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spacing w:before="50"/>
        <w:rPr>
          <w:sz w:val="34"/>
        </w:rPr>
      </w:pPr>
    </w:p>
    <w:p>
      <w:pPr>
        <w:pStyle w:val="Heading1"/>
        <w:spacing w:line="424" w:lineRule="auto"/>
        <w:ind w:left="774" w:right="1058" w:firstLine="0"/>
        <w:jc w:val="center"/>
      </w:pPr>
      <w:r>
        <w:rPr/>
        <w:t>INTEGRATING</w:t>
      </w:r>
      <w:r>
        <w:rPr>
          <w:spacing w:val="-1"/>
        </w:rPr>
        <w:t> </w:t>
      </w:r>
      <w:r>
        <w:rPr/>
        <w:t>ERC-20 ALLOWANCE</w:t>
      </w:r>
      <w:r>
        <w:rPr>
          <w:spacing w:val="-1"/>
        </w:rPr>
        <w:t> </w:t>
      </w:r>
      <w:r>
        <w:rPr/>
        <w:t>EDGES INTO PAGERANK FOR ENHANCED ON-CHAIN WALLET REPUTATION SCORING</w:t>
      </w:r>
    </w:p>
    <w:p>
      <w:r>
        <w:rPr>
          <w:i/>
        </w:rPr>
        <w:t>[대역본] 각 영문 문단 바로 아래에 대응 한국어(이탤릭). 문단 텍스트 키 1:1 매칭. 작성: Taehong Kwon.</w:t>
      </w:r>
    </w:p>
    <w:p>
      <w:pPr>
        <w:pStyle w:val="Heading1"/>
        <w:spacing w:line="424" w:lineRule="auto"/>
        <w:ind w:left="774" w:right="1058" w:firstLine="0"/>
        <w:jc w:val="center"/>
      </w:pPr>
      <w:r>
        <w:rPr>
          <w:i/>
        </w:rPr>
        <w:t>향상된 온체인 지갑 평판 산정을 위한 ERC-20 승인(allowance) 간선과 PageRank의 통합</w:t>
      </w:r>
    </w:p>
    <w:p>
      <w:pPr>
        <w:pStyle w:val="BodyText"/>
        <w:spacing w:before="234"/>
        <w:rPr>
          <w:b/>
          <w:sz w:val="34"/>
        </w:rPr>
      </w:pPr>
    </w:p>
    <w:p>
      <w:pPr>
        <w:pStyle w:val="BodyText"/>
        <w:ind w:left="774" w:right="1051"/>
        <w:jc w:val="center"/>
      </w:pPr>
      <w:r>
        <w:rPr>
          <w:spacing w:val="-5"/>
        </w:rPr>
        <w:t>by</w:t>
      </w:r>
    </w:p>
    <w:p>
      <w:pPr>
        <w:pStyle w:val="BodyText"/>
        <w:ind w:left="774" w:right="1051"/>
        <w:jc w:val="center"/>
      </w:pPr>
      <w:r>
        <w:rPr>
          <w:i/>
        </w:rPr>
        <w:t>지은이</w:t>
      </w:r>
    </w:p>
    <w:p>
      <w:pPr>
        <w:pStyle w:val="BodyText"/>
      </w:pPr>
    </w:p>
    <w:p>
      <w:pPr>
        <w:pStyle w:val="BodyText"/>
        <w:spacing w:before="111"/>
      </w:pPr>
    </w:p>
    <w:p>
      <w:pPr>
        <w:pStyle w:val="Heading2"/>
        <w:spacing w:before="1"/>
        <w:ind w:left="774" w:right="1066" w:firstLine="0"/>
        <w:jc w:val="center"/>
      </w:pPr>
      <w:r>
        <w:rPr/>
        <w:t>TAEHONG</w:t>
      </w:r>
      <w:r>
        <w:rPr>
          <w:spacing w:val="7"/>
        </w:rPr>
        <w:t> </w:t>
      </w:r>
      <w:r>
        <w:rPr>
          <w:spacing w:val="-4"/>
        </w:rPr>
        <w:t>KWON</w:t>
      </w:r>
    </w:p>
    <w:p>
      <w:pPr>
        <w:pStyle w:val="Heading2"/>
        <w:spacing w:before="1"/>
        <w:ind w:left="774" w:right="1066" w:firstLine="0"/>
        <w:jc w:val="center"/>
      </w:pPr>
      <w:r>
        <w:rPr>
          <w:i/>
        </w:rPr>
        <w:t>권태홍 (TAEHONG KWON)</w:t>
      </w:r>
    </w:p>
    <w:p>
      <w:pPr>
        <w:pStyle w:val="BodyText"/>
        <w:rPr>
          <w:b/>
          <w:sz w:val="28"/>
        </w:rPr>
      </w:pPr>
    </w:p>
    <w:p>
      <w:pPr>
        <w:pStyle w:val="BodyText"/>
        <w:spacing w:before="293"/>
        <w:rPr>
          <w:b/>
          <w:sz w:val="28"/>
        </w:rPr>
      </w:pPr>
    </w:p>
    <w:p>
      <w:pPr>
        <w:pStyle w:val="BodyText"/>
        <w:ind w:left="774" w:right="1056"/>
        <w:jc w:val="center"/>
      </w:pPr>
      <w:r>
        <w:rPr/>
        <w:t>submitted</w:t>
      </w:r>
      <w:r>
        <w:rPr>
          <w:spacing w:val="-9"/>
        </w:rPr>
        <w:t> </w:t>
      </w:r>
      <w:r>
        <w:rPr/>
        <w:t>in</w:t>
      </w:r>
      <w:r>
        <w:rPr>
          <w:spacing w:val="-8"/>
        </w:rPr>
        <w:t> </w:t>
      </w:r>
      <w:r>
        <w:rPr/>
        <w:t>accordance</w:t>
      </w:r>
      <w:r>
        <w:rPr>
          <w:spacing w:val="-8"/>
        </w:rPr>
        <w:t> </w:t>
      </w:r>
      <w:r>
        <w:rPr/>
        <w:t>with</w:t>
      </w:r>
      <w:r>
        <w:rPr>
          <w:spacing w:val="-8"/>
        </w:rPr>
        <w:t> </w:t>
      </w:r>
      <w:r>
        <w:rPr/>
        <w:t>the</w:t>
      </w:r>
      <w:r>
        <w:rPr>
          <w:spacing w:val="-9"/>
        </w:rPr>
        <w:t> </w:t>
      </w:r>
      <w:r>
        <w:rPr/>
        <w:t>requirements</w:t>
      </w:r>
      <w:r>
        <w:rPr>
          <w:spacing w:val="-8"/>
        </w:rPr>
        <w:t> </w:t>
      </w:r>
      <w:r>
        <w:rPr/>
        <w:t>for</w:t>
      </w:r>
      <w:r>
        <w:rPr>
          <w:spacing w:val="-8"/>
        </w:rPr>
        <w:t> </w:t>
      </w:r>
      <w:r>
        <w:rPr/>
        <w:t>the</w:t>
      </w:r>
      <w:r>
        <w:rPr>
          <w:spacing w:val="-8"/>
        </w:rPr>
        <w:t> </w:t>
      </w:r>
      <w:r>
        <w:rPr/>
        <w:t>degree</w:t>
      </w:r>
      <w:r>
        <w:rPr>
          <w:spacing w:val="-8"/>
        </w:rPr>
        <w:t> </w:t>
      </w:r>
      <w:r>
        <w:rPr>
          <w:spacing w:val="-5"/>
        </w:rPr>
        <w:t>of</w:t>
      </w:r>
    </w:p>
    <w:p>
      <w:pPr>
        <w:pStyle w:val="BodyText"/>
        <w:ind w:left="774" w:right="1056"/>
        <w:jc w:val="center"/>
      </w:pPr>
      <w:r>
        <w:rPr>
          <w:i/>
        </w:rPr>
        <w:t>다음 학위 요건에 따라 제출함</w:t>
      </w:r>
    </w:p>
    <w:p>
      <w:pPr>
        <w:pStyle w:val="BodyText"/>
      </w:pPr>
    </w:p>
    <w:p>
      <w:pPr>
        <w:pStyle w:val="BodyText"/>
        <w:spacing w:before="112"/>
      </w:pPr>
    </w:p>
    <w:p>
      <w:pPr>
        <w:pStyle w:val="Heading2"/>
        <w:ind w:left="774" w:right="1047" w:firstLine="0"/>
        <w:jc w:val="center"/>
      </w:pPr>
      <w:r>
        <w:rPr/>
        <w:t>DOCTOR</w:t>
      </w:r>
      <w:r>
        <w:rPr>
          <w:spacing w:val="13"/>
        </w:rPr>
        <w:t> </w:t>
      </w:r>
      <w:r>
        <w:rPr/>
        <w:t>OF</w:t>
      </w:r>
      <w:r>
        <w:rPr>
          <w:spacing w:val="14"/>
        </w:rPr>
        <w:t> </w:t>
      </w:r>
      <w:r>
        <w:rPr>
          <w:spacing w:val="-2"/>
        </w:rPr>
        <w:t>PHILOSOPHY</w:t>
      </w:r>
    </w:p>
    <w:p>
      <w:pPr>
        <w:pStyle w:val="Heading2"/>
        <w:ind w:left="774" w:right="1047" w:firstLine="0"/>
        <w:jc w:val="center"/>
      </w:pPr>
      <w:r>
        <w:rPr>
          <w:i/>
        </w:rPr>
        <w:t>철학박사 (Doctor of Philosophy)</w:t>
      </w:r>
    </w:p>
    <w:p>
      <w:pPr>
        <w:pStyle w:val="BodyText"/>
        <w:spacing w:before="62"/>
        <w:rPr>
          <w:b/>
          <w:sz w:val="28"/>
        </w:rPr>
      </w:pPr>
    </w:p>
    <w:p>
      <w:pPr>
        <w:pStyle w:val="BodyText"/>
        <w:ind w:left="774" w:right="1056"/>
        <w:jc w:val="center"/>
      </w:pPr>
      <w:r>
        <w:rPr/>
        <w:t>in</w:t>
      </w:r>
      <w:r>
        <w:rPr>
          <w:spacing w:val="-4"/>
        </w:rPr>
        <w:t> </w:t>
      </w:r>
      <w:r>
        <w:rPr/>
        <w:t>the</w:t>
      </w:r>
      <w:r>
        <w:rPr>
          <w:spacing w:val="-3"/>
        </w:rPr>
        <w:t> </w:t>
      </w:r>
      <w:r>
        <w:rPr>
          <w:spacing w:val="-2"/>
        </w:rPr>
        <w:t>subject</w:t>
      </w:r>
    </w:p>
    <w:p>
      <w:pPr>
        <w:pStyle w:val="BodyText"/>
        <w:ind w:left="774" w:right="1056"/>
        <w:jc w:val="center"/>
      </w:pPr>
      <w:r>
        <w:rPr>
          <w:i/>
        </w:rPr>
        <w:t>전공</w:t>
      </w:r>
    </w:p>
    <w:p>
      <w:pPr>
        <w:pStyle w:val="BodyText"/>
      </w:pPr>
    </w:p>
    <w:p>
      <w:pPr>
        <w:pStyle w:val="BodyText"/>
        <w:spacing w:before="112"/>
      </w:pPr>
    </w:p>
    <w:p>
      <w:pPr>
        <w:pStyle w:val="Heading2"/>
        <w:ind w:left="774" w:right="1057" w:firstLine="0"/>
        <w:jc w:val="center"/>
      </w:pPr>
      <w:r>
        <w:rPr/>
        <w:t>COMPUTER</w:t>
      </w:r>
      <w:r>
        <w:rPr>
          <w:spacing w:val="26"/>
        </w:rPr>
        <w:t> </w:t>
      </w:r>
      <w:r>
        <w:rPr>
          <w:spacing w:val="-2"/>
        </w:rPr>
        <w:t>SCIENCE</w:t>
      </w:r>
    </w:p>
    <w:p>
      <w:pPr>
        <w:pStyle w:val="Heading2"/>
        <w:ind w:left="774" w:right="1057" w:firstLine="0"/>
        <w:jc w:val="center"/>
      </w:pPr>
      <w:r>
        <w:rPr>
          <w:i/>
        </w:rPr>
        <w:t>컴퓨터과학 (Computer Science)</w:t>
      </w:r>
    </w:p>
    <w:p>
      <w:pPr>
        <w:pStyle w:val="BodyText"/>
        <w:rPr>
          <w:b/>
          <w:sz w:val="28"/>
        </w:rPr>
      </w:pPr>
    </w:p>
    <w:p>
      <w:pPr>
        <w:pStyle w:val="BodyText"/>
        <w:spacing w:before="294"/>
        <w:rPr>
          <w:b/>
          <w:sz w:val="28"/>
        </w:rPr>
      </w:pPr>
    </w:p>
    <w:p>
      <w:pPr>
        <w:pStyle w:val="BodyText"/>
        <w:ind w:left="774" w:right="1057"/>
        <w:jc w:val="center"/>
      </w:pPr>
      <w:r>
        <w:rPr/>
        <w:t>at</w:t>
      </w:r>
      <w:r>
        <w:rPr>
          <w:spacing w:val="-3"/>
        </w:rPr>
        <w:t> </w:t>
      </w:r>
      <w:r>
        <w:rPr>
          <w:spacing w:val="-5"/>
        </w:rPr>
        <w:t>the</w:t>
      </w:r>
    </w:p>
    <w:p>
      <w:pPr>
        <w:pStyle w:val="BodyText"/>
        <w:ind w:left="774" w:right="1057"/>
        <w:jc w:val="center"/>
      </w:pPr>
      <w:r>
        <w:rPr>
          <w:i/>
        </w:rPr>
        <w:t>（기관）</w:t>
      </w:r>
    </w:p>
    <w:p>
      <w:pPr>
        <w:pStyle w:val="BodyText"/>
      </w:pPr>
    </w:p>
    <w:p>
      <w:pPr>
        <w:pStyle w:val="BodyText"/>
        <w:spacing w:before="112"/>
      </w:pPr>
    </w:p>
    <w:p>
      <w:pPr>
        <w:pStyle w:val="Heading2"/>
        <w:ind w:left="774" w:right="1047" w:firstLine="0"/>
        <w:jc w:val="center"/>
      </w:pPr>
      <w:r>
        <w:rPr/>
        <w:t>UNIVERSITY</w:t>
      </w:r>
      <w:r>
        <w:rPr>
          <w:spacing w:val="18"/>
        </w:rPr>
        <w:t> </w:t>
      </w:r>
      <w:r>
        <w:rPr/>
        <w:t>OF</w:t>
      </w:r>
      <w:r>
        <w:rPr>
          <w:spacing w:val="19"/>
        </w:rPr>
        <w:t> </w:t>
      </w:r>
      <w:r>
        <w:rPr/>
        <w:t>SOUTH</w:t>
      </w:r>
      <w:r>
        <w:rPr>
          <w:spacing w:val="19"/>
        </w:rPr>
        <w:t> </w:t>
      </w:r>
      <w:r>
        <w:rPr>
          <w:spacing w:val="-2"/>
        </w:rPr>
        <w:t>AFRICA</w:t>
      </w:r>
    </w:p>
    <w:p>
      <w:pPr>
        <w:pStyle w:val="Heading2"/>
        <w:ind w:left="774" w:right="1047" w:firstLine="0"/>
        <w:jc w:val="center"/>
      </w:pPr>
      <w:r>
        <w:rPr>
          <w:i/>
        </w:rPr>
        <w:t>남아프리카공화국 대학교 (University of South Africa)</w:t>
      </w:r>
    </w:p>
    <w:p>
      <w:pPr>
        <w:pStyle w:val="BodyText"/>
        <w:rPr>
          <w:b/>
          <w:sz w:val="28"/>
        </w:rPr>
      </w:pPr>
    </w:p>
    <w:p>
      <w:pPr>
        <w:pStyle w:val="BodyText"/>
        <w:spacing w:before="293"/>
        <w:rPr>
          <w:b/>
          <w:sz w:val="28"/>
        </w:rPr>
      </w:pPr>
    </w:p>
    <w:p>
      <w:pPr>
        <w:pStyle w:val="BodyText"/>
        <w:ind w:left="774" w:right="1056"/>
        <w:jc w:val="center"/>
      </w:pPr>
      <w:r>
        <w:rPr/>
        <w:t>SUPERVISOR:</w:t>
      </w:r>
      <w:r>
        <w:rPr>
          <w:spacing w:val="-15"/>
        </w:rPr>
        <w:t> </w:t>
      </w:r>
      <w:r>
        <w:rPr/>
        <w:t>Prof. Ernest</w:t>
      </w:r>
      <w:r>
        <w:rPr>
          <w:spacing w:val="-15"/>
        </w:rPr>
        <w:t> </w:t>
      </w:r>
      <w:r>
        <w:rPr>
          <w:spacing w:val="-2"/>
        </w:rPr>
        <w:t>Mnkandla</w:t>
      </w:r>
    </w:p>
    <w:p>
      <w:pPr>
        <w:pStyle w:val="BodyText"/>
        <w:ind w:left="774" w:right="1056"/>
        <w:jc w:val="center"/>
      </w:pPr>
      <w:r>
        <w:rPr>
          <w:i/>
        </w:rPr>
        <w:t>지도교수: Ernest Mnkandla 교수</w:t>
      </w:r>
    </w:p>
    <w:p>
      <w:pPr>
        <w:pStyle w:val="BodyText"/>
        <w:spacing w:before="117"/>
      </w:pPr>
    </w:p>
    <w:p>
      <w:pPr>
        <w:pStyle w:val="BodyText"/>
        <w:ind w:left="774" w:right="1056"/>
        <w:jc w:val="center"/>
      </w:pPr>
      <w:r>
        <w:rPr/>
        <w:t>CO-SUPERVISOR:</w:t>
      </w:r>
      <w:r>
        <w:rPr>
          <w:spacing w:val="-15"/>
        </w:rPr>
        <w:t> </w:t>
      </w:r>
      <w:r>
        <w:rPr/>
        <w:t>Prof. Donatien</w:t>
      </w:r>
      <w:r>
        <w:rPr>
          <w:spacing w:val="-14"/>
        </w:rPr>
        <w:t> </w:t>
      </w:r>
      <w:r>
        <w:rPr/>
        <w:t>Koulla</w:t>
      </w:r>
      <w:r>
        <w:rPr>
          <w:spacing w:val="-15"/>
        </w:rPr>
        <w:t> </w:t>
      </w:r>
      <w:r>
        <w:rPr>
          <w:spacing w:val="-2"/>
        </w:rPr>
        <w:t>Moulla</w:t>
      </w:r>
    </w:p>
    <w:p>
      <w:pPr>
        <w:pStyle w:val="BodyText"/>
        <w:ind w:left="774" w:right="1056"/>
        <w:jc w:val="center"/>
      </w:pPr>
      <w:r>
        <w:rPr>
          <w:i/>
        </w:rPr>
        <w:t>공동지도교수: Donatien Koulla Moulla 교수</w:t>
      </w:r>
    </w:p>
    <w:p>
      <w:pPr>
        <w:pStyle w:val="BodyText"/>
      </w:pPr>
    </w:p>
    <w:p>
      <w:pPr>
        <w:pStyle w:val="BodyText"/>
      </w:pPr>
    </w:p>
    <w:p>
      <w:pPr>
        <w:pStyle w:val="BodyText"/>
        <w:spacing w:before="118"/>
      </w:pPr>
    </w:p>
    <w:p>
      <w:pPr>
        <w:pStyle w:val="BodyText"/>
        <w:ind w:left="774" w:right="1061"/>
        <w:jc w:val="center"/>
      </w:pPr>
      <w:r>
        <w:rPr/>
        <w:t>June</w:t>
      </w:r>
      <w:r>
        <w:rPr>
          <w:spacing w:val="-6"/>
        </w:rPr>
        <w:t> </w:t>
      </w:r>
      <w:r>
        <w:rPr>
          <w:spacing w:val="-4"/>
        </w:rPr>
        <w:t>2026</w:t>
      </w:r>
    </w:p>
    <w:p>
      <w:pPr>
        <w:pStyle w:val="BodyText"/>
        <w:ind w:left="774" w:right="1061"/>
        <w:jc w:val="center"/>
      </w:pPr>
      <w:r>
        <w:rPr>
          <w:i/>
        </w:rPr>
        <w:t>2026년 6월</w:t>
      </w:r>
    </w:p>
    <w:p>
      <w:pPr>
        <w:pStyle w:val="BodyText"/>
        <w:spacing w:after="0"/>
        <w:jc w:val="center"/>
        <w:sectPr>
          <w:type w:val="continuous"/>
          <w:pgSz w:w="11910" w:h="16840"/>
          <w:pgMar w:top="1920" w:bottom="280" w:left="992" w:right="708"/>
        </w:sectPr>
      </w:pPr>
    </w:p>
    <w:p>
      <w:pPr>
        <w:pStyle w:val="BodyText"/>
        <w:rPr>
          <w:sz w:val="34"/>
        </w:rPr>
      </w:pPr>
    </w:p>
    <w:p>
      <w:pPr>
        <w:pStyle w:val="BodyText"/>
        <w:spacing w:before="197"/>
        <w:rPr>
          <w:sz w:val="34"/>
        </w:rPr>
      </w:pPr>
    </w:p>
    <w:p>
      <w:pPr>
        <w:pStyle w:val="Heading1"/>
        <w:ind w:left="282" w:firstLine="0"/>
        <w:jc w:val="left"/>
      </w:pPr>
      <w:bookmarkStart w:name="_bookmark0" w:id="1"/>
      <w:bookmarkEnd w:id="1"/>
      <w:r>
        <w:rPr>
          <w:b w:val="0"/>
        </w:rPr>
      </w:r>
      <w:r>
        <w:rPr>
          <w:spacing w:val="-2"/>
        </w:rPr>
        <w:t>Abstract</w:t>
      </w:r>
    </w:p>
    <w:p>
      <w:pPr>
        <w:pStyle w:val="Heading1"/>
        <w:ind w:left="282" w:firstLine="0"/>
        <w:jc w:val="left"/>
      </w:pPr>
      <w:r>
        <w:rPr>
          <w:i/>
        </w:rPr>
        <w:t>초록</w:t>
      </w:r>
    </w:p>
    <w:p>
      <w:pPr>
        <w:pStyle w:val="BodyText"/>
        <w:spacing w:before="28"/>
        <w:rPr>
          <w:b/>
          <w:sz w:val="34"/>
        </w:rPr>
      </w:pPr>
    </w:p>
    <w:p>
      <w:pPr>
        <w:pStyle w:val="BodyText"/>
        <w:spacing w:line="396" w:lineRule="auto"/>
        <w:ind w:left="274" w:right="524" w:firstLine="7"/>
        <w:jc w:val="both"/>
      </w:pPr>
      <w:r>
        <w:rPr/>
        <w:t>DeFi protocols require on-chain reputation scores that are computationally scalable, semantically interpretable, and aligned with operationally relevant on-chain signals (authorization, transfer ac-tivity, and risk-related proxies) </w:t>
      </w:r>
      <w:hyperlink w:history="true" w:anchor="_bookmark181">
        <w:r>
          <w:rPr>
            <w:vertAlign w:val="superscript"/>
          </w:rPr>
          <w:t>[48]</w:t>
        </w:r>
      </w:hyperlink>
      <w:r>
        <w:rPr>
          <w:vertAlign w:val="superscript"/>
        </w:rPr>
        <w:t>,</w:t>
      </w:r>
      <w:hyperlink w:history="true" w:anchor="_bookmark186">
        <w:r>
          <w:rPr>
            <w:vertAlign w:val="superscript"/>
          </w:rPr>
          <w:t>[53]</w:t>
        </w:r>
      </w:hyperlink>
      <w:r>
        <w:rPr>
          <w:vertAlign w:val="baseline"/>
        </w:rPr>
        <w:t>.</w:t>
      </w:r>
      <w:r>
        <w:rPr>
          <w:spacing w:val="40"/>
          <w:vertAlign w:val="baseline"/>
        </w:rPr>
        <w:t> </w:t>
      </w:r>
      <w:r>
        <w:rPr>
          <w:vertAlign w:val="baseline"/>
        </w:rPr>
        <w:t>This dissertation introduces </w:t>
      </w:r>
      <w:r>
        <w:rPr>
          <w:b/>
          <w:vertAlign w:val="baseline"/>
        </w:rPr>
        <w:t>EndorseRank</w:t>
      </w:r>
      <w:r>
        <w:rPr>
          <w:vertAlign w:val="baseline"/>
        </w:rPr>
        <w:t>, an on-chain reputation</w:t>
      </w:r>
      <w:r>
        <w:rPr>
          <w:spacing w:val="-7"/>
          <w:vertAlign w:val="baseline"/>
        </w:rPr>
        <w:t> </w:t>
      </w:r>
      <w:r>
        <w:rPr>
          <w:vertAlign w:val="baseline"/>
        </w:rPr>
        <w:t>score</w:t>
      </w:r>
      <w:r>
        <w:rPr>
          <w:spacing w:val="-7"/>
          <w:vertAlign w:val="baseline"/>
        </w:rPr>
        <w:t> </w:t>
      </w:r>
      <w:r>
        <w:rPr>
          <w:vertAlign w:val="baseline"/>
        </w:rPr>
        <w:t>produced</w:t>
      </w:r>
      <w:r>
        <w:rPr>
          <w:spacing w:val="-7"/>
          <w:vertAlign w:val="baseline"/>
        </w:rPr>
        <w:t> </w:t>
      </w:r>
      <w:r>
        <w:rPr>
          <w:vertAlign w:val="baseline"/>
        </w:rPr>
        <w:t>by</w:t>
      </w:r>
      <w:r>
        <w:rPr>
          <w:spacing w:val="-7"/>
          <w:vertAlign w:val="baseline"/>
        </w:rPr>
        <w:t> </w:t>
      </w:r>
      <w:r>
        <w:rPr>
          <w:vertAlign w:val="baseline"/>
        </w:rPr>
        <w:t>applying</w:t>
      </w:r>
      <w:r>
        <w:rPr>
          <w:spacing w:val="-7"/>
          <w:vertAlign w:val="baseline"/>
        </w:rPr>
        <w:t> </w:t>
      </w:r>
      <w:r>
        <w:rPr>
          <w:vertAlign w:val="baseline"/>
        </w:rPr>
        <w:t>PageRank</w:t>
      </w:r>
      <w:r>
        <w:rPr>
          <w:spacing w:val="-7"/>
          <w:vertAlign w:val="baseline"/>
        </w:rPr>
        <w:t> </w:t>
      </w:r>
      <w:r>
        <w:rPr>
          <w:vertAlign w:val="baseline"/>
        </w:rPr>
        <w:t>to</w:t>
      </w:r>
      <w:r>
        <w:rPr>
          <w:spacing w:val="-7"/>
          <w:vertAlign w:val="baseline"/>
        </w:rPr>
        <w:t> </w:t>
      </w:r>
      <w:r>
        <w:rPr>
          <w:vertAlign w:val="baseline"/>
        </w:rPr>
        <w:t>a</w:t>
      </w:r>
      <w:r>
        <w:rPr>
          <w:spacing w:val="-7"/>
          <w:vertAlign w:val="baseline"/>
        </w:rPr>
        <w:t> </w:t>
      </w:r>
      <w:r>
        <w:rPr>
          <w:vertAlign w:val="baseline"/>
        </w:rPr>
        <w:t>directed</w:t>
      </w:r>
      <w:r>
        <w:rPr>
          <w:spacing w:val="-7"/>
          <w:vertAlign w:val="baseline"/>
        </w:rPr>
        <w:t> </w:t>
      </w:r>
      <w:r>
        <w:rPr>
          <w:vertAlign w:val="baseline"/>
        </w:rPr>
        <w:t>endorsement</w:t>
      </w:r>
      <w:r>
        <w:rPr>
          <w:spacing w:val="-7"/>
          <w:vertAlign w:val="baseline"/>
        </w:rPr>
        <w:t> </w:t>
      </w:r>
      <w:r>
        <w:rPr>
          <w:vertAlign w:val="baseline"/>
        </w:rPr>
        <w:t>graph</w:t>
      </w:r>
      <w:r>
        <w:rPr>
          <w:spacing w:val="-7"/>
          <w:vertAlign w:val="baseline"/>
        </w:rPr>
        <w:t> </w:t>
      </w:r>
      <w:r>
        <w:rPr>
          <w:vertAlign w:val="baseline"/>
        </w:rPr>
        <w:t>built</w:t>
      </w:r>
      <w:r>
        <w:rPr>
          <w:spacing w:val="-7"/>
          <w:vertAlign w:val="baseline"/>
        </w:rPr>
        <w:t> </w:t>
      </w:r>
      <w:r>
        <w:rPr>
          <w:vertAlign w:val="baseline"/>
        </w:rPr>
        <w:t>from</w:t>
      </w:r>
      <w:r>
        <w:rPr>
          <w:spacing w:val="-7"/>
          <w:vertAlign w:val="baseline"/>
        </w:rPr>
        <w:t> </w:t>
      </w:r>
      <w:r>
        <w:rPr>
          <w:vertAlign w:val="baseline"/>
        </w:rPr>
        <w:t>latest ERC-20</w:t>
      </w:r>
      <w:r>
        <w:rPr>
          <w:spacing w:val="-8"/>
          <w:vertAlign w:val="baseline"/>
        </w:rPr>
        <w:t> </w:t>
      </w:r>
      <w:r>
        <w:rPr>
          <w:vertAlign w:val="baseline"/>
        </w:rPr>
        <w:t>allowance</w:t>
      </w:r>
      <w:r>
        <w:rPr>
          <w:spacing w:val="-8"/>
          <w:vertAlign w:val="baseline"/>
        </w:rPr>
        <w:t> </w:t>
      </w:r>
      <w:r>
        <w:rPr>
          <w:vertAlign w:val="baseline"/>
        </w:rPr>
        <w:t>edges</w:t>
      </w:r>
      <w:r>
        <w:rPr>
          <w:spacing w:val="-8"/>
          <w:vertAlign w:val="baseline"/>
        </w:rPr>
        <w:t> </w:t>
      </w:r>
      <w:r>
        <w:rPr>
          <w:vertAlign w:val="baseline"/>
        </w:rPr>
        <w:t>on</w:t>
      </w:r>
      <w:r>
        <w:rPr>
          <w:spacing w:val="-8"/>
          <w:vertAlign w:val="baseline"/>
        </w:rPr>
        <w:t> </w:t>
      </w:r>
      <w:r>
        <w:rPr>
          <w:vertAlign w:val="baseline"/>
        </w:rPr>
        <w:t>Arbitrum</w:t>
      </w:r>
      <w:r>
        <w:rPr>
          <w:spacing w:val="-8"/>
          <w:vertAlign w:val="baseline"/>
        </w:rPr>
        <w:t> </w:t>
      </w:r>
      <w:r>
        <w:rPr>
          <w:vertAlign w:val="baseline"/>
        </w:rPr>
        <w:t>One,</w:t>
      </w:r>
      <w:r>
        <w:rPr>
          <w:spacing w:val="-7"/>
          <w:vertAlign w:val="baseline"/>
        </w:rPr>
        <w:t> </w:t>
      </w:r>
      <w:r>
        <w:rPr>
          <w:vertAlign w:val="baseline"/>
        </w:rPr>
        <w:t>and</w:t>
      </w:r>
      <w:r>
        <w:rPr>
          <w:spacing w:val="-8"/>
          <w:vertAlign w:val="baseline"/>
        </w:rPr>
        <w:t> </w:t>
      </w:r>
      <w:r>
        <w:rPr>
          <w:vertAlign w:val="baseline"/>
        </w:rPr>
        <w:t>evaluates</w:t>
      </w:r>
      <w:r>
        <w:rPr>
          <w:spacing w:val="-8"/>
          <w:vertAlign w:val="baseline"/>
        </w:rPr>
        <w:t> </w:t>
      </w:r>
      <w:r>
        <w:rPr>
          <w:vertAlign w:val="baseline"/>
        </w:rPr>
        <w:t>it</w:t>
      </w:r>
      <w:r>
        <w:rPr>
          <w:spacing w:val="-8"/>
          <w:vertAlign w:val="baseline"/>
        </w:rPr>
        <w:t> </w:t>
      </w:r>
      <w:r>
        <w:rPr>
          <w:vertAlign w:val="baseline"/>
        </w:rPr>
        <w:t>against</w:t>
      </w:r>
      <w:r>
        <w:rPr>
          <w:spacing w:val="-8"/>
          <w:vertAlign w:val="baseline"/>
        </w:rPr>
        <w:t> </w:t>
      </w:r>
      <w:r>
        <w:rPr>
          <w:vertAlign w:val="baseline"/>
        </w:rPr>
        <w:t>Adaptive</w:t>
      </w:r>
      <w:r>
        <w:rPr>
          <w:spacing w:val="-8"/>
          <w:vertAlign w:val="baseline"/>
        </w:rPr>
        <w:t> </w:t>
      </w:r>
      <w:r>
        <w:rPr>
          <w:vertAlign w:val="baseline"/>
        </w:rPr>
        <w:t>Weighted</w:t>
      </w:r>
      <w:r>
        <w:rPr>
          <w:spacing w:val="-8"/>
          <w:vertAlign w:val="baseline"/>
        </w:rPr>
        <w:t> </w:t>
      </w:r>
      <w:r>
        <w:rPr>
          <w:vertAlign w:val="baseline"/>
        </w:rPr>
        <w:t>PageRank (AWP), the transfer-graph baseline of Do et al.</w:t>
      </w:r>
      <w:hyperlink w:history="true" w:anchor="_bookmark149">
        <w:r>
          <w:rPr>
            <w:vertAlign w:val="superscript"/>
          </w:rPr>
          <w:t>[16]</w:t>
        </w:r>
      </w:hyperlink>
      <w:r>
        <w:rPr>
          <w:vertAlign w:val="baseline"/>
        </w:rPr>
        <w:t>, using five proxy families on a matched wallet cohort (</w:t>
      </w:r>
      <w:r>
        <w:rPr>
          <w:rFonts w:ascii="Calibri"/>
          <w:i/>
          <w:vertAlign w:val="baseline"/>
        </w:rPr>
        <w:t>n </w:t>
      </w:r>
      <w:r>
        <w:rPr>
          <w:rFonts w:ascii="Calibri"/>
          <w:w w:val="125"/>
          <w:vertAlign w:val="baseline"/>
        </w:rPr>
        <w:t>= </w:t>
      </w:r>
      <w:r>
        <w:rPr>
          <w:rFonts w:ascii="Calibri"/>
          <w:vertAlign w:val="baseline"/>
        </w:rPr>
        <w:t>5</w:t>
      </w:r>
      <w:r>
        <w:rPr>
          <w:rFonts w:ascii="Calibri"/>
          <w:i/>
          <w:vertAlign w:val="baseline"/>
        </w:rPr>
        <w:t>,</w:t>
      </w:r>
      <w:r>
        <w:rPr>
          <w:rFonts w:ascii="Calibri"/>
          <w:vertAlign w:val="baseline"/>
        </w:rPr>
        <w:t>521</w:t>
      </w:r>
      <w:r>
        <w:rPr>
          <w:vertAlign w:val="baseline"/>
        </w:rPr>
        <w:t>).</w:t>
      </w:r>
    </w:p>
    <w:p>
      <w:pPr>
        <w:pStyle w:val="BodyText"/>
        <w:spacing w:line="396" w:lineRule="auto"/>
        <w:ind w:left="274" w:right="524" w:firstLine="7"/>
        <w:jc w:val="both"/>
      </w:pPr>
      <w:r>
        <w:rPr>
          <w:i/>
        </w:rPr>
        <w:t>DeFi 프로토콜에는 계산적으로 확장 가능하고 의미적으로 해석 가능하며 운영상 관련된 온체인 신호(승인, 전송 활동 및 위험 관련 프록시)와 일치하는 온체인 평판 점수가 필요합니다[48],[53]. 이 논문에서는 Arbitrum One의 최신 ERC-20 허용 에지에서 구축된 방향성 보증 그래프에 PageRank를 적용하여 생성된 온체인 평판 점수인 EndorseRank를 소개하고 일치하는 지갑 코호트에서 5개의 프록시 패밀리를 사용하여 Do et al.[16]의 전송 그래프 기준인 Adaptive Weighted PageRank(AWP)와 비교하여 이를 평가합니다. (n = 5,521).</w:t>
      </w:r>
    </w:p>
    <w:p>
      <w:pPr>
        <w:pStyle w:val="BodyText"/>
        <w:spacing w:line="323" w:lineRule="exact"/>
        <w:ind w:left="282"/>
        <w:jc w:val="both"/>
      </w:pPr>
      <w:r>
        <w:rPr/>
        <w:t>EndorseRank</w:t>
      </w:r>
      <w:r>
        <w:rPr>
          <w:spacing w:val="-15"/>
        </w:rPr>
        <w:t> </w:t>
      </w:r>
      <w:r>
        <w:rPr/>
        <w:t>runs</w:t>
      </w:r>
      <w:r>
        <w:rPr>
          <w:spacing w:val="-15"/>
        </w:rPr>
        <w:t> </w:t>
      </w:r>
      <w:r>
        <w:rPr>
          <w:rFonts w:ascii="Lucida Sans Unicode" w:hAnsi="Lucida Sans Unicode"/>
        </w:rPr>
        <w:t>≈</w:t>
      </w:r>
      <w:r>
        <w:rPr>
          <w:rFonts w:ascii="Lucida Sans Unicode" w:hAnsi="Lucida Sans Unicode"/>
          <w:spacing w:val="-1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19"/>
        </w:rPr>
        <w:t> </w:t>
      </w:r>
      <w:r>
        <w:rPr/>
        <w:t>faster</w:t>
      </w:r>
      <w:r>
        <w:rPr>
          <w:spacing w:val="-15"/>
        </w:rPr>
        <w:t> </w:t>
      </w:r>
      <w:r>
        <w:rPr/>
        <w:t>than</w:t>
      </w:r>
      <w:r>
        <w:rPr>
          <w:spacing w:val="-15"/>
        </w:rPr>
        <w:t> </w:t>
      </w:r>
      <w:r>
        <w:rPr/>
        <w:t>AWP</w:t>
      </w:r>
      <w:r>
        <w:rPr>
          <w:spacing w:val="-15"/>
        </w:rPr>
        <w:t> </w:t>
      </w:r>
      <w:r>
        <w:rPr/>
        <w:t>on</w:t>
      </w:r>
      <w:r>
        <w:rPr>
          <w:spacing w:val="-15"/>
        </w:rPr>
        <w:t> </w:t>
      </w:r>
      <w:r>
        <w:rPr/>
        <w:t>identical</w:t>
      </w:r>
      <w:r>
        <w:rPr>
          <w:spacing w:val="-15"/>
        </w:rPr>
        <w:t> </w:t>
      </w:r>
      <w:r>
        <w:rPr/>
        <w:t>cohort</w:t>
      </w:r>
      <w:r>
        <w:rPr>
          <w:spacing w:val="-15"/>
        </w:rPr>
        <w:t> </w:t>
      </w:r>
      <w:r>
        <w:rPr/>
        <w:t>inputs</w:t>
      </w:r>
      <w:r>
        <w:rPr>
          <w:spacing w:val="-15"/>
        </w:rPr>
        <w:t> </w:t>
      </w:r>
      <w:r>
        <w:rPr/>
        <w:t>(</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5"/>
        </w:rPr>
        <w:t> </w:t>
      </w:r>
      <w:r>
        <w:rPr/>
        <w:t>vs.</w:t>
      </w:r>
      <w:r>
        <w:rPr>
          <w:spacing w:val="-15"/>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13"/>
        </w:rPr>
        <w:t> </w:t>
      </w:r>
      <w:r>
        <w:rPr>
          <w:spacing w:val="-2"/>
        </w:rPr>
        <w:t>PageR-</w:t>
      </w:r>
    </w:p>
    <w:p>
      <w:pPr>
        <w:pStyle w:val="BodyText"/>
        <w:spacing w:line="323" w:lineRule="exact"/>
        <w:ind w:left="282"/>
        <w:jc w:val="both"/>
      </w:pPr>
      <w:r>
        <w:rPr>
          <w:i/>
        </w:rPr>
        <w:t>EndorseRank는 동일한 코호트 입력에서 AWP보다 약 8.9배 더 빠르게 실행됩니다(2.105초 대 18.711초 PageR-</w:t>
      </w:r>
    </w:p>
    <w:p>
      <w:pPr>
        <w:pStyle w:val="BodyText"/>
        <w:spacing w:line="333" w:lineRule="auto" w:before="122"/>
        <w:ind w:left="276" w:right="524" w:firstLine="5"/>
        <w:jc w:val="both"/>
      </w:pPr>
      <w:r>
        <w:rPr>
          <w:w w:val="105"/>
        </w:rPr>
        <w:t>ank</w:t>
      </w:r>
      <w:r>
        <w:rPr>
          <w:spacing w:val="-16"/>
          <w:w w:val="105"/>
        </w:rPr>
        <w:t> </w:t>
      </w:r>
      <w:r>
        <w:rPr>
          <w:w w:val="105"/>
        </w:rPr>
        <w:t>wall-clock</w:t>
      </w:r>
      <w:r>
        <w:rPr>
          <w:spacing w:val="-16"/>
          <w:w w:val="105"/>
        </w:rPr>
        <w:t> </w:t>
      </w:r>
      <w:r>
        <w:rPr>
          <w:w w:val="105"/>
        </w:rPr>
        <w:t>time)</w:t>
      </w:r>
      <w:r>
        <w:rPr>
          <w:spacing w:val="-16"/>
          <w:w w:val="105"/>
        </w:rPr>
        <w:t> </w:t>
      </w:r>
      <w:r>
        <w:rPr>
          <w:w w:val="105"/>
        </w:rPr>
        <w:t>and</w:t>
      </w:r>
      <w:r>
        <w:rPr>
          <w:spacing w:val="-15"/>
          <w:w w:val="105"/>
        </w:rPr>
        <w:t> </w:t>
      </w:r>
      <w:r>
        <w:rPr>
          <w:w w:val="105"/>
        </w:rPr>
        <w:t>aligns</w:t>
      </w:r>
      <w:r>
        <w:rPr>
          <w:spacing w:val="-16"/>
          <w:w w:val="105"/>
        </w:rPr>
        <w:t> </w:t>
      </w:r>
      <w:r>
        <w:rPr>
          <w:w w:val="105"/>
        </w:rPr>
        <w:t>more</w:t>
      </w:r>
      <w:r>
        <w:rPr>
          <w:spacing w:val="-16"/>
          <w:w w:val="105"/>
        </w:rPr>
        <w:t> </w:t>
      </w:r>
      <w:r>
        <w:rPr>
          <w:w w:val="105"/>
        </w:rPr>
        <w:t>strongly</w:t>
      </w:r>
      <w:r>
        <w:rPr>
          <w:spacing w:val="-16"/>
          <w:w w:val="105"/>
        </w:rPr>
        <w:t> </w:t>
      </w:r>
      <w:r>
        <w:rPr>
          <w:w w:val="105"/>
        </w:rPr>
        <w:t>with</w:t>
      </w:r>
      <w:r>
        <w:rPr>
          <w:spacing w:val="-15"/>
          <w:w w:val="105"/>
        </w:rPr>
        <w:t> </w:t>
      </w:r>
      <w:r>
        <w:rPr>
          <w:w w:val="105"/>
        </w:rPr>
        <w:t>allowance</w:t>
      </w:r>
      <w:r>
        <w:rPr>
          <w:spacing w:val="-16"/>
          <w:w w:val="105"/>
        </w:rPr>
        <w:t> </w:t>
      </w:r>
      <w:r>
        <w:rPr>
          <w:w w:val="105"/>
        </w:rPr>
        <w:t>proxies</w:t>
      </w:r>
      <w:r>
        <w:rPr>
          <w:spacing w:val="-16"/>
          <w:w w:val="105"/>
        </w:rPr>
        <w:t> </w:t>
      </w:r>
      <w:r>
        <w:rPr>
          <w:w w:val="105"/>
        </w:rPr>
        <w:t>(mean</w:t>
      </w:r>
      <w:r>
        <w:rPr>
          <w:spacing w:val="-16"/>
          <w:w w:val="105"/>
        </w:rPr>
        <w:t> </w:t>
      </w:r>
      <w:r>
        <w:rPr>
          <w:w w:val="105"/>
        </w:rPr>
        <w:t>Kendall</w:t>
      </w:r>
      <w:r>
        <w:rPr>
          <w:spacing w:val="-15"/>
          <w:w w:val="105"/>
        </w:rPr>
        <w:t> </w:t>
      </w:r>
      <w:r>
        <w:rPr>
          <w:rFonts w:ascii="Calibri" w:hAnsi="Calibri"/>
          <w:i/>
          <w:w w:val="105"/>
        </w:rPr>
        <w:t>τ</w:t>
      </w:r>
      <w:r>
        <w:rPr>
          <w:rFonts w:ascii="Calibri" w:hAnsi="Calibri"/>
          <w:i/>
          <w:spacing w:val="-15"/>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 </w:t>
      </w:r>
      <w:r>
        <w:rPr/>
        <w:t>vs.</w:t>
      </w:r>
      <w:r>
        <w:rPr>
          <w:spacing w:val="-15"/>
        </w:rPr>
        <w:t> </w:t>
      </w:r>
      <w:r>
        <w:rPr>
          <w:rFonts w:ascii="Lucida Sans Unicode" w:hAnsi="Lucida Sans Unicode"/>
        </w:rPr>
        <w:t>—</w:t>
      </w:r>
      <w:r>
        <w:rPr>
          <w:rFonts w:ascii="Calibri" w:hAnsi="Calibri"/>
        </w:rPr>
        <w:t>0</w:t>
      </w:r>
      <w:r>
        <w:rPr>
          <w:rFonts w:ascii="Calibri" w:hAnsi="Calibri"/>
          <w:i/>
        </w:rPr>
        <w:t>.</w:t>
      </w:r>
      <w:r>
        <w:rPr>
          <w:rFonts w:ascii="Calibri" w:hAnsi="Calibri"/>
        </w:rPr>
        <w:t>030</w:t>
      </w:r>
      <w:r>
        <w:rPr>
          <w:rFonts w:ascii="Calibri" w:hAnsi="Calibri"/>
          <w:spacing w:val="-12"/>
        </w:rPr>
        <w:t> </w:t>
      </w:r>
      <w:r>
        <w:rPr/>
        <w:t>for</w:t>
      </w:r>
      <w:r>
        <w:rPr>
          <w:spacing w:val="-15"/>
        </w:rPr>
        <w:t> </w:t>
      </w:r>
      <w:r>
        <w:rPr/>
        <w:t>AWP);</w:t>
      </w:r>
      <w:r>
        <w:rPr>
          <w:spacing w:val="-15"/>
        </w:rPr>
        <w:t> </w:t>
      </w:r>
      <w:r>
        <w:rPr/>
        <w:t>AWP</w:t>
      </w:r>
      <w:r>
        <w:rPr>
          <w:spacing w:val="-15"/>
        </w:rPr>
        <w:t> </w:t>
      </w:r>
      <w:r>
        <w:rPr/>
        <w:t>aligns</w:t>
      </w:r>
      <w:r>
        <w:rPr>
          <w:spacing w:val="-15"/>
        </w:rPr>
        <w:t> </w:t>
      </w:r>
      <w:r>
        <w:rPr/>
        <w:t>more</w:t>
      </w:r>
      <w:r>
        <w:rPr>
          <w:spacing w:val="-15"/>
        </w:rPr>
        <w:t> </w:t>
      </w:r>
      <w:r>
        <w:rPr/>
        <w:t>strongly</w:t>
      </w:r>
      <w:r>
        <w:rPr>
          <w:spacing w:val="-15"/>
        </w:rPr>
        <w:t> </w:t>
      </w:r>
      <w:r>
        <w:rPr/>
        <w:t>with</w:t>
      </w:r>
      <w:r>
        <w:rPr>
          <w:spacing w:val="-15"/>
        </w:rPr>
        <w:t> </w:t>
      </w:r>
      <w:r>
        <w:rPr/>
        <w:t>transfer</w:t>
      </w:r>
      <w:r>
        <w:rPr>
          <w:spacing w:val="-15"/>
        </w:rPr>
        <w:t> </w:t>
      </w:r>
      <w:r>
        <w:rPr/>
        <w:t>proxies</w:t>
      </w:r>
      <w:r>
        <w:rPr>
          <w:spacing w:val="-15"/>
        </w:rPr>
        <w:t> </w:t>
      </w:r>
      <w:r>
        <w:rPr/>
        <w:t>(</w:t>
      </w:r>
      <w:r>
        <w:rPr>
          <w:rFonts w:ascii="Calibri" w:hAnsi="Calibri"/>
          <w:i/>
        </w:rPr>
        <w:t>τ</w:t>
      </w:r>
      <w:r>
        <w:rPr>
          <w:rFonts w:ascii="Calibri" w:hAnsi="Calibri"/>
          <w:i/>
          <w:spacing w:val="26"/>
        </w:rPr>
        <w:t> </w:t>
      </w:r>
      <w:r>
        <w:rPr>
          <w:rFonts w:ascii="Calibri" w:hAnsi="Calibri"/>
        </w:rPr>
        <w:t>= 0</w:t>
      </w:r>
      <w:r>
        <w:rPr>
          <w:rFonts w:ascii="Calibri" w:hAnsi="Calibri"/>
          <w:i/>
        </w:rPr>
        <w:t>.</w:t>
      </w:r>
      <w:r>
        <w:rPr>
          <w:rFonts w:ascii="Calibri" w:hAnsi="Calibri"/>
        </w:rPr>
        <w:t>534</w:t>
      </w:r>
      <w:r>
        <w:rPr>
          <w:rFonts w:ascii="Calibri" w:hAnsi="Calibri"/>
          <w:spacing w:val="-10"/>
        </w:rPr>
        <w:t> </w:t>
      </w:r>
      <w:r>
        <w:rPr/>
        <w:t>vs.</w:t>
      </w:r>
      <w:r>
        <w:rPr>
          <w:spacing w:val="-15"/>
        </w:rPr>
        <w:t> </w:t>
      </w:r>
      <w:r>
        <w:rPr>
          <w:rFonts w:ascii="Calibri" w:hAnsi="Calibri"/>
        </w:rPr>
        <w:t>0</w:t>
      </w:r>
      <w:r>
        <w:rPr>
          <w:rFonts w:ascii="Calibri" w:hAnsi="Calibri"/>
          <w:i/>
        </w:rPr>
        <w:t>.</w:t>
      </w:r>
      <w:r>
        <w:rPr>
          <w:rFonts w:ascii="Calibri" w:hAnsi="Calibri"/>
        </w:rPr>
        <w:t>333</w:t>
      </w:r>
      <w:r>
        <w:rPr>
          <w:rFonts w:ascii="Calibri" w:hAnsi="Calibri"/>
          <w:spacing w:val="-10"/>
        </w:rPr>
        <w:t> </w:t>
      </w:r>
      <w:r>
        <w:rPr/>
        <w:t>for</w:t>
      </w:r>
      <w:r>
        <w:rPr>
          <w:spacing w:val="-15"/>
        </w:rPr>
        <w:t> </w:t>
      </w:r>
      <w:r>
        <w:rPr/>
        <w:t>En-dorseRank). Inter-method rank correlation between EndorseRank and AWP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316</w:t>
      </w:r>
      <w:r>
        <w:rPr/>
        <w:t>) indicates</w:t>
      </w:r>
    </w:p>
    <w:p>
      <w:pPr>
        <w:pStyle w:val="BodyText"/>
        <w:spacing w:line="333" w:lineRule="auto" w:before="122"/>
        <w:ind w:left="276" w:right="524" w:firstLine="5"/>
        <w:jc w:val="both"/>
      </w:pPr>
      <w:r>
        <w:rPr>
          <w:i/>
        </w:rPr>
        <w:t>벽시계 시간) 허용 프록시와 더 강력하게 정렬됩니다(평균 Kendall τ = 0.355 대 AWP의 경우 —0.030). AWP는 전송 프록시(τ = 0.534 대 En-dorseRank의 경우 0.333)와 더욱 강력하게 정렬됩니다. EndorseRank와 AWP 사이의 메소드 간 순위 상관 관계(τ = 0.316)는</w:t>
      </w:r>
    </w:p>
    <w:p>
      <w:pPr>
        <w:pStyle w:val="BodyText"/>
        <w:spacing w:before="47"/>
        <w:ind w:left="282"/>
        <w:jc w:val="both"/>
      </w:pPr>
      <w:r>
        <w:rPr/>
        <w:t>partially</w:t>
      </w:r>
      <w:r>
        <w:rPr>
          <w:spacing w:val="-11"/>
        </w:rPr>
        <w:t> </w:t>
      </w:r>
      <w:r>
        <w:rPr/>
        <w:t>overlapping</w:t>
      </w:r>
      <w:r>
        <w:rPr>
          <w:spacing w:val="-10"/>
        </w:rPr>
        <w:t> </w:t>
      </w:r>
      <w:r>
        <w:rPr/>
        <w:t>yet</w:t>
      </w:r>
      <w:r>
        <w:rPr>
          <w:spacing w:val="-10"/>
        </w:rPr>
        <w:t> </w:t>
      </w:r>
      <w:r>
        <w:rPr/>
        <w:t>construct-distinct</w:t>
      </w:r>
      <w:r>
        <w:rPr>
          <w:spacing w:val="-10"/>
        </w:rPr>
        <w:t> </w:t>
      </w:r>
      <w:r>
        <w:rPr/>
        <w:t>social</w:t>
      </w:r>
      <w:r>
        <w:rPr>
          <w:spacing w:val="-10"/>
        </w:rPr>
        <w:t> </w:t>
      </w:r>
      <w:r>
        <w:rPr/>
        <w:t>reputation</w:t>
      </w:r>
      <w:r>
        <w:rPr>
          <w:spacing w:val="-10"/>
        </w:rPr>
        <w:t> </w:t>
      </w:r>
      <w:r>
        <w:rPr>
          <w:spacing w:val="-2"/>
        </w:rPr>
        <w:t>structures.</w:t>
      </w:r>
    </w:p>
    <w:p>
      <w:pPr>
        <w:pStyle w:val="BodyText"/>
        <w:spacing w:before="47"/>
        <w:ind w:left="282"/>
        <w:jc w:val="both"/>
      </w:pPr>
      <w:r>
        <w:rPr>
          <w:i/>
        </w:rPr>
        <w:t>부분적으로 중복되지만 구성이 다른 사회적 평판 구조.</w:t>
      </w:r>
    </w:p>
    <w:p>
      <w:pPr>
        <w:pStyle w:val="BodyText"/>
        <w:spacing w:line="304" w:lineRule="auto" w:before="155"/>
        <w:ind w:left="273" w:right="559" w:firstLine="8"/>
        <w:jc w:val="both"/>
      </w:pPr>
      <w:r>
        <w:rPr/>
        <w:t>On an expanded wallet pool (</w:t>
      </w:r>
      <w:r>
        <w:rPr>
          <w:rFonts w:ascii="Calibri" w:hAnsi="Calibri"/>
          <w:i/>
        </w:rPr>
        <w:t>N</w:t>
      </w:r>
      <w:r>
        <w:rPr>
          <w:rFonts w:ascii="Calibri" w:hAnsi="Calibri"/>
          <w:i/>
          <w:spacing w:val="40"/>
          <w:w w:val="125"/>
        </w:rPr>
        <w:t> </w:t>
      </w:r>
      <w:r>
        <w:rPr>
          <w:rFonts w:ascii="Calibri" w:hAnsi="Calibri"/>
          <w:w w:val="125"/>
        </w:rPr>
        <w:t>=</w:t>
      </w:r>
      <w:r>
        <w:rPr>
          <w:rFonts w:ascii="Calibri" w:hAnsi="Calibri"/>
          <w:spacing w:val="26"/>
          <w:w w:val="125"/>
        </w:rPr>
        <w:t> </w:t>
      </w:r>
      <w:r>
        <w:rPr>
          <w:rFonts w:ascii="Calibri" w:hAnsi="Calibri"/>
        </w:rPr>
        <w:t>31</w:t>
      </w:r>
      <w:r>
        <w:rPr>
          <w:rFonts w:ascii="Calibri" w:hAnsi="Calibri"/>
          <w:i/>
        </w:rPr>
        <w:t>,</w:t>
      </w:r>
      <w:r>
        <w:rPr>
          <w:rFonts w:ascii="Calibri" w:hAnsi="Calibri"/>
        </w:rPr>
        <w:t>612</w:t>
      </w:r>
      <w:r>
        <w:rPr/>
        <w:t>),</w:t>
      </w:r>
      <w:r>
        <w:rPr>
          <w:spacing w:val="14"/>
        </w:rPr>
        <w:t> </w:t>
      </w:r>
      <w:r>
        <w:rPr/>
        <w:t>EndorseRank remains </w:t>
      </w:r>
      <w:r>
        <w:rPr>
          <w:rFonts w:ascii="Lucida Sans Unicode" w:hAnsi="Lucida Sans Unicode"/>
        </w:rPr>
        <w:t>≈</w:t>
      </w:r>
      <w:r>
        <w:rPr>
          <w:rFonts w:ascii="Lucida Sans Unicode" w:hAnsi="Lucida Sans Unicode"/>
          <w:spacing w:val="19"/>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5"/>
        </w:rPr>
        <w:t> </w:t>
      </w:r>
      <w:r>
        <w:rPr/>
        <w:t>faster than AWP at</w:t>
      </w:r>
      <w:r>
        <w:rPr>
          <w:spacing w:val="40"/>
        </w:rPr>
        <w: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and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7"/>
        </w:rPr>
        <w:t> </w:t>
      </w:r>
      <w:r>
        <w:rPr/>
        <w:t>at full pool size.</w:t>
      </w:r>
      <w:r>
        <w:rPr>
          <w:spacing w:val="40"/>
        </w:rPr>
        <w:t> </w:t>
      </w:r>
      <w:r>
        <w:rPr/>
        <w:t>Robustness checks (PageRank damping, top-20 token subgraph, sample-size sensitivity) leave EndorseRank allowance alignment stable at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355 </w:t>
      </w:r>
      <w:r>
        <w:rPr/>
        <w:t>without altering the allowance–transfer trade-off.</w:t>
      </w:r>
    </w:p>
    <w:p>
      <w:pPr>
        <w:pStyle w:val="BodyText"/>
        <w:spacing w:line="304" w:lineRule="auto" w:before="155"/>
        <w:ind w:left="273" w:right="559" w:firstLine="8"/>
        <w:jc w:val="both"/>
      </w:pPr>
      <w:r>
        <w:rPr>
          <w:i/>
        </w:rPr>
        <w:t>확장된 지갑 풀(N = 31,612)에서 EndorseRank는 n = 10,000에서 AWP보다 AWP보다 10.4배 더 빠르고 전체 풀 크기에서는 9.4배 더 빠릅니다. 견고성 검사(PageRank 댐핑, 상위 20개 토큰 하위 그래프, 표본 크기 민감도)는 허용량-이전 균형을 변경하지 않고 EndorseRank 허용량 정렬을 τ ≒ 0.355에서 안정적으로 유지합니다.</w:t>
      </w:r>
    </w:p>
    <w:p>
      <w:pPr>
        <w:pStyle w:val="BodyText"/>
        <w:spacing w:line="393" w:lineRule="auto" w:before="124"/>
        <w:ind w:left="276" w:right="558" w:firstLine="5"/>
        <w:jc w:val="both"/>
      </w:pPr>
      <w:r>
        <w:rPr/>
        <w:t>During empirical work, GMX V2 trading-success proxies were incorporated to extend domain validation on the same cohort, and </w:t>
      </w:r>
      <w:r>
        <w:rPr>
          <w:b/>
        </w:rPr>
        <w:t>GF-PR </w:t>
      </w:r>
      <w:r>
        <w:rPr/>
        <w:t>was added as a supplementary outcome-native ceiling </w:t>
      </w:r>
      <w:r>
        <w:rPr>
          <w:spacing w:val="-2"/>
        </w:rPr>
        <w:t>reference</w:t>
      </w:r>
      <w:r>
        <w:rPr>
          <w:spacing w:val="-10"/>
        </w:rPr>
        <w:t> </w:t>
      </w:r>
      <w:r>
        <w:rPr>
          <w:spacing w:val="-2"/>
        </w:rPr>
        <w:t>built</w:t>
      </w:r>
      <w:r>
        <w:rPr>
          <w:spacing w:val="-9"/>
        </w:rPr>
        <w:t> </w:t>
      </w:r>
      <w:r>
        <w:rPr>
          <w:spacing w:val="-2"/>
        </w:rPr>
        <w:t>from</w:t>
      </w:r>
      <w:r>
        <w:rPr>
          <w:spacing w:val="-10"/>
        </w:rPr>
        <w:t> </w:t>
      </w:r>
      <w:r>
        <w:rPr>
          <w:spacing w:val="-2"/>
        </w:rPr>
        <w:t>the</w:t>
      </w:r>
      <w:r>
        <w:rPr>
          <w:spacing w:val="-9"/>
        </w:rPr>
        <w:t> </w:t>
      </w:r>
      <w:r>
        <w:rPr>
          <w:spacing w:val="-2"/>
        </w:rPr>
        <w:t>same</w:t>
      </w:r>
      <w:r>
        <w:rPr>
          <w:spacing w:val="-9"/>
        </w:rPr>
        <w:t> </w:t>
      </w:r>
      <w:r>
        <w:rPr>
          <w:spacing w:val="-2"/>
        </w:rPr>
        <w:t>GMX</w:t>
      </w:r>
      <w:r>
        <w:rPr>
          <w:spacing w:val="-10"/>
        </w:rPr>
        <w:t> </w:t>
      </w:r>
      <w:r>
        <w:rPr>
          <w:spacing w:val="-2"/>
        </w:rPr>
        <w:t>profit-and-loss</w:t>
      </w:r>
      <w:r>
        <w:rPr>
          <w:spacing w:val="-9"/>
        </w:rPr>
        <w:t> </w:t>
      </w:r>
      <w:r>
        <w:rPr>
          <w:spacing w:val="-2"/>
        </w:rPr>
        <w:t>stream.</w:t>
      </w:r>
      <w:r>
        <w:rPr>
          <w:spacing w:val="29"/>
        </w:rPr>
        <w:t> </w:t>
      </w:r>
      <w:r>
        <w:rPr>
          <w:spacing w:val="-2"/>
        </w:rPr>
        <w:t>Among</w:t>
      </w:r>
      <w:r>
        <w:rPr>
          <w:spacing w:val="-9"/>
        </w:rPr>
        <w:t> </w:t>
      </w:r>
      <w:r>
        <w:rPr>
          <w:spacing w:val="-2"/>
        </w:rPr>
        <w:t>social</w:t>
      </w:r>
      <w:r>
        <w:rPr>
          <w:spacing w:val="-10"/>
        </w:rPr>
        <w:t> </w:t>
      </w:r>
      <w:r>
        <w:rPr>
          <w:spacing w:val="-2"/>
        </w:rPr>
        <w:t>methods,</w:t>
      </w:r>
      <w:r>
        <w:rPr>
          <w:spacing w:val="-5"/>
        </w:rPr>
        <w:t> </w:t>
      </w:r>
      <w:r>
        <w:rPr>
          <w:spacing w:val="-2"/>
        </w:rPr>
        <w:t>transfer</w:t>
      </w:r>
      <w:r>
        <w:rPr>
          <w:spacing w:val="-9"/>
        </w:rPr>
        <w:t> </w:t>
      </w:r>
      <w:r>
        <w:rPr>
          <w:spacing w:val="-2"/>
        </w:rPr>
        <w:t>proxies yield</w:t>
      </w:r>
      <w:r>
        <w:rPr>
          <w:spacing w:val="-10"/>
        </w:rPr>
        <w:t> </w:t>
      </w:r>
      <w:r>
        <w:rPr>
          <w:spacing w:val="-2"/>
        </w:rPr>
        <w:t>higher</w:t>
      </w:r>
      <w:r>
        <w:rPr>
          <w:spacing w:val="-9"/>
        </w:rPr>
        <w:t> </w:t>
      </w:r>
      <w:r>
        <w:rPr>
          <w:spacing w:val="-2"/>
        </w:rPr>
        <w:t>mean</w:t>
      </w:r>
      <w:r>
        <w:rPr>
          <w:spacing w:val="-10"/>
        </w:rPr>
        <w:t> </w:t>
      </w:r>
      <w:r>
        <w:rPr>
          <w:spacing w:val="-2"/>
        </w:rPr>
        <w:t>alignment</w:t>
      </w:r>
      <w:r>
        <w:rPr>
          <w:spacing w:val="-9"/>
        </w:rPr>
        <w:t> </w:t>
      </w:r>
      <w:r>
        <w:rPr>
          <w:spacing w:val="-2"/>
        </w:rPr>
        <w:t>than</w:t>
      </w:r>
      <w:r>
        <w:rPr>
          <w:spacing w:val="-9"/>
        </w:rPr>
        <w:t> </w:t>
      </w:r>
      <w:r>
        <w:rPr>
          <w:spacing w:val="-2"/>
        </w:rPr>
        <w:t>trading-success</w:t>
      </w:r>
      <w:r>
        <w:rPr>
          <w:spacing w:val="-10"/>
        </w:rPr>
        <w:t> </w:t>
      </w:r>
      <w:r>
        <w:rPr>
          <w:spacing w:val="-2"/>
        </w:rPr>
        <w:t>proxies</w:t>
      </w:r>
      <w:r>
        <w:rPr>
          <w:spacing w:val="-9"/>
        </w:rPr>
        <w:t> </w:t>
      </w:r>
      <w:r>
        <w:rPr>
          <w:spacing w:val="-2"/>
        </w:rPr>
        <w:t>on</w:t>
      </w:r>
      <w:r>
        <w:rPr>
          <w:spacing w:val="-9"/>
        </w:rPr>
        <w:t> </w:t>
      </w:r>
      <w:r>
        <w:rPr>
          <w:spacing w:val="-2"/>
        </w:rPr>
        <w:t>this</w:t>
      </w:r>
      <w:r>
        <w:rPr>
          <w:spacing w:val="-10"/>
        </w:rPr>
        <w:t> </w:t>
      </w:r>
      <w:r>
        <w:rPr>
          <w:spacing w:val="-2"/>
        </w:rPr>
        <w:t>chain; GF-PR</w:t>
      </w:r>
      <w:r>
        <w:rPr>
          <w:spacing w:val="-10"/>
        </w:rPr>
        <w:t> </w:t>
      </w:r>
      <w:r>
        <w:rPr>
          <w:spacing w:val="-2"/>
        </w:rPr>
        <w:t>achieves</w:t>
      </w:r>
      <w:r>
        <w:rPr>
          <w:spacing w:val="-9"/>
        </w:rPr>
        <w:t> </w:t>
      </w:r>
      <w:r>
        <w:rPr>
          <w:spacing w:val="-2"/>
        </w:rPr>
        <w:t>the</w:t>
      </w:r>
      <w:r>
        <w:rPr>
          <w:spacing w:val="-9"/>
        </w:rPr>
        <w:t> </w:t>
      </w:r>
      <w:r>
        <w:rPr>
          <w:spacing w:val="-2"/>
        </w:rPr>
        <w:t>highest trading-success</w:t>
      </w:r>
      <w:r>
        <w:rPr>
          <w:spacing w:val="-9"/>
        </w:rPr>
        <w:t> </w:t>
      </w:r>
      <w:r>
        <w:rPr>
          <w:spacing w:val="-2"/>
        </w:rPr>
        <w:t>mean</w:t>
      </w:r>
      <w:r>
        <w:rPr>
          <w:spacing w:val="-8"/>
        </w:rPr>
        <w:t> </w:t>
      </w:r>
      <w:r>
        <w:rPr>
          <w:rFonts w:ascii="Calibri" w:hAnsi="Calibri"/>
          <w:i/>
          <w:spacing w:val="-2"/>
        </w:rPr>
        <w:t>τ</w:t>
      </w:r>
      <w:r>
        <w:rPr>
          <w:rFonts w:ascii="Calibri" w:hAnsi="Calibri"/>
          <w:i/>
          <w:spacing w:val="30"/>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9"/>
        </w:rPr>
        <w:t> </w:t>
      </w:r>
      <w:r>
        <w:rPr>
          <w:spacing w:val="-2"/>
        </w:rPr>
        <w:t>by</w:t>
      </w:r>
      <w:r>
        <w:rPr>
          <w:spacing w:val="-9"/>
        </w:rPr>
        <w:t> </w:t>
      </w:r>
      <w:r>
        <w:rPr>
          <w:spacing w:val="-2"/>
        </w:rPr>
        <w:t>construction,</w:t>
      </w:r>
      <w:r>
        <w:rPr>
          <w:spacing w:val="-4"/>
        </w:rPr>
        <w:t> </w:t>
      </w:r>
      <w:r>
        <w:rPr>
          <w:spacing w:val="-2"/>
        </w:rPr>
        <w:t>illustrating</w:t>
      </w:r>
      <w:r>
        <w:rPr>
          <w:spacing w:val="-9"/>
        </w:rPr>
        <w:t> </w:t>
      </w:r>
      <w:r>
        <w:rPr>
          <w:spacing w:val="-2"/>
        </w:rPr>
        <w:t>construct</w:t>
      </w:r>
      <w:r>
        <w:rPr>
          <w:spacing w:val="-9"/>
        </w:rPr>
        <w:t> </w:t>
      </w:r>
      <w:r>
        <w:rPr>
          <w:spacing w:val="-2"/>
        </w:rPr>
        <w:t>overlap</w:t>
      </w:r>
      <w:r>
        <w:rPr>
          <w:spacing w:val="-9"/>
        </w:rPr>
        <w:t> </w:t>
      </w:r>
      <w:r>
        <w:rPr>
          <w:spacing w:val="-2"/>
        </w:rPr>
        <w:t>when</w:t>
      </w:r>
      <w:r>
        <w:rPr>
          <w:spacing w:val="-9"/>
        </w:rPr>
        <w:t> </w:t>
      </w:r>
      <w:r>
        <w:rPr>
          <w:spacing w:val="-2"/>
        </w:rPr>
        <w:t>ranking</w:t>
      </w:r>
      <w:r>
        <w:rPr>
          <w:spacing w:val="-9"/>
        </w:rPr>
        <w:t> </w:t>
      </w:r>
      <w:r>
        <w:rPr>
          <w:spacing w:val="-2"/>
        </w:rPr>
        <w:t>directly </w:t>
      </w:r>
      <w:r>
        <w:rPr/>
        <w:t>on</w:t>
      </w:r>
      <w:r>
        <w:rPr>
          <w:spacing w:val="-15"/>
        </w:rPr>
        <w:t> </w:t>
      </w:r>
      <w:r>
        <w:rPr/>
        <w:t>outcome</w:t>
      </w:r>
      <w:r>
        <w:rPr>
          <w:spacing w:val="-15"/>
        </w:rPr>
        <w:t> </w:t>
      </w:r>
      <w:r>
        <w:rPr/>
        <w:t>flow</w:t>
      </w:r>
      <w:r>
        <w:rPr>
          <w:spacing w:val="-15"/>
        </w:rPr>
        <w:t> </w:t>
      </w:r>
      <w:r>
        <w:rPr/>
        <w:t>rather</w:t>
      </w:r>
      <w:r>
        <w:rPr>
          <w:spacing w:val="-15"/>
        </w:rPr>
        <w:t> </w:t>
      </w:r>
      <w:r>
        <w:rPr/>
        <w:t>than</w:t>
      </w:r>
      <w:r>
        <w:rPr>
          <w:spacing w:val="-15"/>
        </w:rPr>
        <w:t> </w:t>
      </w:r>
      <w:r>
        <w:rPr/>
        <w:t>social</w:t>
      </w:r>
      <w:r>
        <w:rPr>
          <w:spacing w:val="-15"/>
        </w:rPr>
        <w:t> </w:t>
      </w:r>
      <w:r>
        <w:rPr/>
        <w:t>edges.</w:t>
      </w:r>
      <w:r>
        <w:rPr>
          <w:spacing w:val="-7"/>
        </w:rPr>
        <w:t> </w:t>
      </w:r>
      <w:r>
        <w:rPr/>
        <w:t>GF-PR</w:t>
      </w:r>
      <w:r>
        <w:rPr>
          <w:spacing w:val="-15"/>
        </w:rPr>
        <w:t> </w:t>
      </w:r>
      <w:r>
        <w:rPr/>
        <w:t>does</w:t>
      </w:r>
      <w:r>
        <w:rPr>
          <w:spacing w:val="-15"/>
        </w:rPr>
        <w:t> </w:t>
      </w:r>
      <w:r>
        <w:rPr/>
        <w:t>not</w:t>
      </w:r>
      <w:r>
        <w:rPr>
          <w:spacing w:val="-15"/>
        </w:rPr>
        <w:t> </w:t>
      </w:r>
      <w:r>
        <w:rPr/>
        <w:t>constitute</w:t>
      </w:r>
      <w:r>
        <w:rPr>
          <w:spacing w:val="-15"/>
        </w:rPr>
        <w:t> </w:t>
      </w:r>
      <w:r>
        <w:rPr/>
        <w:t>a</w:t>
      </w:r>
      <w:r>
        <w:rPr>
          <w:spacing w:val="-15"/>
        </w:rPr>
        <w:t> </w:t>
      </w:r>
      <w:r>
        <w:rPr/>
        <w:t>deployable</w:t>
      </w:r>
      <w:r>
        <w:rPr>
          <w:spacing w:val="-15"/>
        </w:rPr>
        <w:t> </w:t>
      </w:r>
      <w:r>
        <w:rPr/>
        <w:t>social</w:t>
      </w:r>
      <w:r>
        <w:rPr>
          <w:spacing w:val="-15"/>
        </w:rPr>
        <w:t> </w:t>
      </w:r>
      <w:r>
        <w:rPr/>
        <w:t>reputation </w:t>
      </w:r>
      <w:r>
        <w:rPr>
          <w:spacing w:val="-2"/>
        </w:rPr>
        <w:t>score.</w:t>
      </w:r>
    </w:p>
    <w:p>
      <w:pPr>
        <w:pStyle w:val="BodyText"/>
        <w:spacing w:line="393" w:lineRule="auto" w:before="124"/>
        <w:ind w:left="276" w:right="558" w:firstLine="5"/>
        <w:jc w:val="both"/>
      </w:pPr>
      <w:r>
        <w:rPr>
          <w:i/>
        </w:rPr>
        <w:t>실증적 작업 중에 GMX V2 거래 성공 프록시가 통합되어 동일한 코호트에서 도메인 검증을 확장했으며, GF-PR이 동일한 GMX 손익 흐름에서 구축된 보충 결과 기본 상한 참조로 추가되었습니다. 소셜 방법 중에서 전송 프록시는 이 체인의 거래 성공 프록시보다 더 높은 평균 정렬을 생성합니다. GF-PR은 구성을 통해 가장 높은 거래 성공 평균 τ(0.583)를 달성하여 소셜 가장자리가 아닌 결과 흐름에 직접 순위를 매길 때 구성 중복을 보여줍니다. GF-PR은 배포 가능한 사회적 평판 점수를 구성하지 않습니다.</w:t>
      </w:r>
    </w:p>
    <w:p>
      <w:pPr>
        <w:pStyle w:val="BodyText"/>
        <w:spacing w:after="0" w:line="393" w:lineRule="auto"/>
        <w:jc w:val="both"/>
        <w:sectPr>
          <w:footerReference w:type="default" r:id="rId5"/>
          <w:pgSz w:w="11910" w:h="16840"/>
          <w:pgMar w:header="0" w:footer="2115" w:top="1920" w:bottom="2300" w:left="992" w:right="708"/>
          <w:pgNumType w:start="1"/>
        </w:sectPr>
      </w:pPr>
    </w:p>
    <w:p>
      <w:pPr>
        <w:pStyle w:val="BodyText"/>
        <w:spacing w:line="396" w:lineRule="auto" w:before="72"/>
        <w:ind w:left="273" w:right="523" w:firstLine="8"/>
        <w:jc w:val="both"/>
      </w:pPr>
      <w:r>
        <w:rPr>
          <w:b/>
          <w:i/>
        </w:rPr>
        <w:t>Keywords—</w:t>
      </w:r>
      <w:r>
        <w:rPr>
          <w:b/>
          <w:i/>
          <w:spacing w:val="-10"/>
        </w:rPr>
        <w:t> </w:t>
      </w:r>
      <w:r>
        <w:rPr/>
        <w:t>DeFi,</w:t>
      </w:r>
      <w:r>
        <w:rPr>
          <w:spacing w:val="-10"/>
        </w:rPr>
        <w:t> </w:t>
      </w:r>
      <w:r>
        <w:rPr/>
        <w:t>EndorseRank,</w:t>
      </w:r>
      <w:r>
        <w:rPr>
          <w:spacing w:val="-10"/>
        </w:rPr>
        <w:t> </w:t>
      </w:r>
      <w:r>
        <w:rPr/>
        <w:t>Adaptive</w:t>
      </w:r>
      <w:r>
        <w:rPr>
          <w:spacing w:val="-10"/>
        </w:rPr>
        <w:t> </w:t>
      </w:r>
      <w:r>
        <w:rPr/>
        <w:t>Weighted</w:t>
      </w:r>
      <w:r>
        <w:rPr>
          <w:spacing w:val="-10"/>
        </w:rPr>
        <w:t> </w:t>
      </w:r>
      <w:r>
        <w:rPr/>
        <w:t>PageRank,</w:t>
      </w:r>
      <w:r>
        <w:rPr>
          <w:spacing w:val="-10"/>
        </w:rPr>
        <w:t> </w:t>
      </w:r>
      <w:r>
        <w:rPr/>
        <w:t>On-Chain</w:t>
      </w:r>
      <w:r>
        <w:rPr>
          <w:spacing w:val="-10"/>
        </w:rPr>
        <w:t> </w:t>
      </w:r>
      <w:r>
        <w:rPr/>
        <w:t>Reputation,</w:t>
      </w:r>
      <w:r>
        <w:rPr>
          <w:spacing w:val="-10"/>
        </w:rPr>
        <w:t> </w:t>
      </w:r>
      <w:r>
        <w:rPr/>
        <w:t>GMX</w:t>
      </w:r>
      <w:r>
        <w:rPr>
          <w:spacing w:val="-10"/>
        </w:rPr>
        <w:t> </w:t>
      </w:r>
      <w:r>
        <w:rPr/>
        <w:t>V2, Arbitrum</w:t>
      </w:r>
      <w:r>
        <w:rPr>
          <w:spacing w:val="-4"/>
        </w:rPr>
        <w:t> </w:t>
      </w:r>
      <w:r>
        <w:rPr/>
        <w:t>One,</w:t>
      </w:r>
      <w:r>
        <w:rPr>
          <w:spacing w:val="-2"/>
        </w:rPr>
        <w:t> </w:t>
      </w:r>
      <w:r>
        <w:rPr/>
        <w:t>Domain</w:t>
      </w:r>
      <w:r>
        <w:rPr>
          <w:spacing w:val="-4"/>
        </w:rPr>
        <w:t> </w:t>
      </w:r>
      <w:r>
        <w:rPr/>
        <w:t>Alignment,</w:t>
      </w:r>
      <w:r>
        <w:rPr>
          <w:spacing w:val="-2"/>
        </w:rPr>
        <w:t> </w:t>
      </w:r>
      <w:r>
        <w:rPr/>
        <w:t>Spearman’s</w:t>
      </w:r>
      <w:r>
        <w:rPr>
          <w:spacing w:val="-4"/>
        </w:rPr>
        <w:t> </w:t>
      </w:r>
      <w:r>
        <w:rPr/>
        <w:t>rho,</w:t>
      </w:r>
      <w:r>
        <w:rPr>
          <w:spacing w:val="-2"/>
        </w:rPr>
        <w:t> </w:t>
      </w:r>
      <w:r>
        <w:rPr/>
        <w:t>Kendall’s</w:t>
      </w:r>
      <w:r>
        <w:rPr>
          <w:spacing w:val="-4"/>
        </w:rPr>
        <w:t> </w:t>
      </w:r>
      <w:r>
        <w:rPr/>
        <w:t>tau,</w:t>
      </w:r>
      <w:r>
        <w:rPr>
          <w:spacing w:val="-2"/>
        </w:rPr>
        <w:t> </w:t>
      </w:r>
      <w:r>
        <w:rPr/>
        <w:t>GF-PR</w:t>
      </w:r>
      <w:r>
        <w:rPr>
          <w:spacing w:val="-4"/>
        </w:rPr>
        <w:t> </w:t>
      </w:r>
      <w:r>
        <w:rPr/>
        <w:t>(outcome-native</w:t>
      </w:r>
      <w:r>
        <w:rPr>
          <w:spacing w:val="-4"/>
        </w:rPr>
        <w:t> </w:t>
      </w:r>
      <w:r>
        <w:rPr/>
        <w:t>refer-</w:t>
      </w:r>
      <w:r>
        <w:rPr>
          <w:spacing w:val="-2"/>
        </w:rPr>
        <w:t>ence)</w:t>
      </w:r>
    </w:p>
    <w:p>
      <w:pPr>
        <w:pStyle w:val="BodyText"/>
        <w:spacing w:line="396" w:lineRule="auto" w:before="72"/>
        <w:ind w:left="273" w:right="523" w:firstLine="8"/>
        <w:jc w:val="both"/>
      </w:pPr>
      <w:r>
        <w:rPr>
          <w:i/>
        </w:rPr>
        <w:t>키워드— DeFi, EndorseRank, Adaptive Weighted PageRank, 온체인 평판, GMX V2, Arbitrum One, 도메인 정렬, Spearman의 rho, Kendall의 tau, GF-PR(결과-기본 참조)</w:t>
      </w:r>
    </w:p>
    <w:p>
      <w:pPr>
        <w:pStyle w:val="BodyText"/>
        <w:spacing w:after="0" w:line="396" w:lineRule="auto"/>
        <w:jc w:val="both"/>
        <w:sectPr>
          <w:pgSz w:w="11910" w:h="16840"/>
          <w:pgMar w:header="0" w:footer="2115" w:top="1840" w:bottom="2300" w:left="992" w:right="708"/>
        </w:sectPr>
      </w:pPr>
    </w:p>
    <w:p>
      <w:pPr>
        <w:pStyle w:val="Heading1"/>
        <w:spacing w:before="79"/>
        <w:ind w:left="271" w:firstLine="0"/>
        <w:jc w:val="left"/>
      </w:pPr>
      <w:r>
        <w:rPr/>
        <w:t>Table</w:t>
      </w:r>
      <w:r>
        <w:rPr>
          <w:spacing w:val="-11"/>
        </w:rPr>
        <w:t> </w:t>
      </w:r>
      <w:r>
        <w:rPr/>
        <w:t>of</w:t>
      </w:r>
      <w:r>
        <w:rPr>
          <w:spacing w:val="-9"/>
        </w:rPr>
        <w:t> </w:t>
      </w:r>
      <w:r>
        <w:rPr>
          <w:spacing w:val="-2"/>
        </w:rPr>
        <w:t>Contents</w:t>
      </w:r>
    </w:p>
    <w:p>
      <w:pPr>
        <w:pStyle w:val="Heading1"/>
        <w:spacing w:before="79"/>
        <w:ind w:left="271" w:firstLine="0"/>
        <w:jc w:val="left"/>
      </w:pPr>
      <w:r>
        <w:rPr>
          <w:i/>
        </w:rPr>
        <w:t>목차</w:t>
      </w:r>
    </w:p>
    <w:p>
      <w:pPr>
        <w:pStyle w:val="Heading1"/>
        <w:spacing w:after="0"/>
        <w:jc w:val="left"/>
        <w:sectPr>
          <w:pgSz w:w="11910" w:h="16840"/>
          <w:pgMar w:header="0" w:footer="2115" w:top="1740" w:bottom="2829" w:left="992" w:right="708"/>
        </w:sectPr>
      </w:pPr>
    </w:p>
    <w:sdt>
      <w:sdtPr>
        <w:docPartObj>
          <w:docPartGallery w:val="Table of Contents"/>
          <w:docPartUnique/>
        </w:docPartObj>
      </w:sdtPr>
      <w:sdtEndPr/>
      <w:sdtContent>
        <w:p>
          <w:pPr>
            <w:pStyle w:val="TOC5"/>
            <w:tabs>
              <w:tab w:pos="9639" w:val="right" w:leader="dot"/>
            </w:tabs>
            <w:spacing w:before="352"/>
            <w:rPr>
              <w:b w:val="0"/>
            </w:rPr>
          </w:pPr>
          <w:hyperlink w:history="true" w:anchor="_bookmark0">
            <w:r>
              <w:rPr>
                <w:spacing w:val="-2"/>
              </w:rPr>
              <w:t>Abstract</w:t>
            </w:r>
          </w:hyperlink>
          <w:r>
            <w:rPr>
              <w:b w:val="0"/>
            </w:rPr>
            <w:tab/>
          </w:r>
          <w:hyperlink w:history="true" w:anchor="_bookmark0">
            <w:r>
              <w:rPr>
                <w:b w:val="0"/>
                <w:spacing w:val="-10"/>
              </w:rPr>
              <w:t>1</w:t>
            </w:r>
          </w:hyperlink>
        </w:p>
        <w:p>
          <w:pPr>
            <w:pStyle w:val="TOC5"/>
            <w:tabs>
              <w:tab w:pos="9639" w:val="right" w:leader="dot"/>
            </w:tabs>
            <w:rPr>
              <w:b w:val="0"/>
            </w:rPr>
          </w:pPr>
          <w:hyperlink w:history="true" w:anchor="_bookmark1">
            <w:r>
              <w:rPr>
                <w:spacing w:val="-2"/>
              </w:rPr>
              <w:t>Abbreviations and Notation</w:t>
            </w:r>
          </w:hyperlink>
          <w:r>
            <w:rPr>
              <w:b w:val="0"/>
            </w:rPr>
            <w:tab/>
          </w:r>
          <w:hyperlink w:history="true" w:anchor="_bookmark1">
            <w:r>
              <w:rPr>
                <w:b w:val="0"/>
                <w:spacing w:val="-5"/>
              </w:rPr>
              <w:t>11</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4">
            <w:r>
              <w:rPr>
                <w:spacing w:val="-2"/>
              </w:rPr>
              <w:t>Introduction and</w:t>
            </w:r>
            <w:r>
              <w:rPr>
                <w:spacing w:val="-1"/>
              </w:rPr>
              <w:t> </w:t>
            </w:r>
            <w:r>
              <w:rPr>
                <w:spacing w:val="-2"/>
              </w:rPr>
              <w:t>Research</w:t>
            </w:r>
            <w:r>
              <w:rPr>
                <w:spacing w:val="-1"/>
              </w:rPr>
              <w:t> </w:t>
            </w:r>
            <w:r>
              <w:rPr>
                <w:spacing w:val="-2"/>
              </w:rPr>
              <w:t>Problem</w:t>
            </w:r>
          </w:hyperlink>
          <w:r>
            <w:rPr>
              <w:b w:val="0"/>
            </w:rPr>
            <w:tab/>
          </w:r>
          <w:hyperlink w:history="true" w:anchor="_bookmark4">
            <w:r>
              <w:rPr>
                <w:b w:val="0"/>
                <w:spacing w:val="-5"/>
              </w:rPr>
              <w:t>13</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
            <w:r>
              <w:rPr/>
              <w:t>Background:</w:t>
            </w:r>
            <w:r>
              <w:rPr>
                <w:spacing w:val="3"/>
              </w:rPr>
              <w:t> </w:t>
            </w:r>
            <w:r>
              <w:rPr/>
              <w:t>DeFi,</w:t>
            </w:r>
            <w:r>
              <w:rPr>
                <w:spacing w:val="-13"/>
              </w:rPr>
              <w:t> </w:t>
            </w:r>
            <w:r>
              <w:rPr/>
              <w:t>pseudonymity,</w:t>
            </w:r>
            <w:r>
              <w:rPr>
                <w:spacing w:val="-13"/>
              </w:rPr>
              <w:t> </w:t>
            </w:r>
            <w:r>
              <w:rPr/>
              <w:t>and</w:t>
            </w:r>
            <w:r>
              <w:rPr>
                <w:spacing w:val="-13"/>
              </w:rPr>
              <w:t> </w:t>
            </w:r>
            <w:r>
              <w:rPr>
                <w:spacing w:val="-2"/>
              </w:rPr>
              <w:t>collateral</w:t>
            </w:r>
          </w:hyperlink>
          <w:r>
            <w:rPr/>
            <w:tab/>
          </w:r>
          <w:hyperlink w:history="true" w:anchor="_bookmark5">
            <w:r>
              <w:rPr>
                <w:spacing w:val="-5"/>
              </w:rPr>
              <w:t>14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
            <w:r>
              <w:rPr/>
              <w:t>Motivation</w:t>
            </w:r>
            <w:r>
              <w:rPr>
                <w:spacing w:val="-9"/>
              </w:rPr>
              <w:t> </w:t>
            </w:r>
            <w:r>
              <w:rPr/>
              <w:t>for</w:t>
            </w:r>
            <w:r>
              <w:rPr>
                <w:spacing w:val="-9"/>
              </w:rPr>
              <w:t> </w:t>
            </w:r>
            <w:r>
              <w:rPr/>
              <w:t>on-chain</w:t>
            </w:r>
            <w:r>
              <w:rPr>
                <w:spacing w:val="-9"/>
              </w:rPr>
              <w:t> </w:t>
            </w:r>
            <w:r>
              <w:rPr/>
              <w:t>reputation</w:t>
            </w:r>
            <w:r>
              <w:rPr>
                <w:spacing w:val="-9"/>
              </w:rPr>
              <w:t> </w:t>
            </w:r>
            <w:r>
              <w:rPr>
                <w:spacing w:val="-2"/>
              </w:rPr>
              <w:t>scores</w:t>
            </w:r>
          </w:hyperlink>
          <w:r>
            <w:rPr/>
            <w:tab/>
          </w:r>
          <w:hyperlink w:history="true" w:anchor="_bookmark6">
            <w:r>
              <w:rPr>
                <w:spacing w:val="-5"/>
              </w:rPr>
              <w:t>15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
            <w:r>
              <w:rPr/>
              <w:t>Research</w:t>
            </w:r>
            <w:r>
              <w:rPr>
                <w:spacing w:val="-10"/>
              </w:rPr>
              <w:t> </w:t>
            </w:r>
            <w:r>
              <w:rPr>
                <w:spacing w:val="-2"/>
              </w:rPr>
              <w:t>problem</w:t>
            </w:r>
          </w:hyperlink>
          <w:r>
            <w:rPr/>
            <w:tab/>
          </w:r>
          <w:hyperlink w:history="true" w:anchor="_bookmark7">
            <w:r>
              <w:rPr>
                <w:spacing w:val="-5"/>
              </w:rPr>
              <w:t>16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
            <w:r>
              <w:rPr>
                <w:spacing w:val="-2"/>
              </w:rPr>
              <w:t>Supplementary</w:t>
            </w:r>
            <w:r>
              <w:rPr>
                <w:spacing w:val="10"/>
              </w:rPr>
              <w:t> </w:t>
            </w:r>
            <w:r>
              <w:rPr>
                <w:spacing w:val="-2"/>
              </w:rPr>
              <w:t>extension</w:t>
            </w:r>
            <w:r>
              <w:rPr>
                <w:spacing w:val="11"/>
              </w:rPr>
              <w:t> </w:t>
            </w:r>
            <w:r>
              <w:rPr>
                <w:spacing w:val="-2"/>
              </w:rPr>
              <w:t>(GF-</w:t>
            </w:r>
            <w:r>
              <w:rPr>
                <w:spacing w:val="-5"/>
              </w:rPr>
              <w:t>PR)</w:t>
            </w:r>
          </w:hyperlink>
          <w:r>
            <w:rPr/>
            <w:tab/>
          </w:r>
          <w:hyperlink w:history="true" w:anchor="_bookmark10">
            <w:r>
              <w:rPr>
                <w:spacing w:val="-5"/>
              </w:rPr>
              <w:t>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
            <w:r>
              <w:rPr/>
              <w:t>Research</w:t>
            </w:r>
            <w:r>
              <w:rPr>
                <w:spacing w:val="-10"/>
              </w:rPr>
              <w:t> </w:t>
            </w:r>
            <w:r>
              <w:rPr>
                <w:spacing w:val="-2"/>
              </w:rPr>
              <w:t>questions</w:t>
            </w:r>
          </w:hyperlink>
          <w:r>
            <w:rPr/>
            <w:tab/>
          </w:r>
          <w:hyperlink w:history="true" w:anchor="_bookmark12">
            <w:r>
              <w:rPr>
                <w:spacing w:val="-5"/>
              </w:rPr>
              <w:t>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4">
            <w:r>
              <w:rPr>
                <w:spacing w:val="-2"/>
              </w:rPr>
              <w:t>Contributions</w:t>
            </w:r>
          </w:hyperlink>
          <w:r>
            <w:rPr/>
            <w:tab/>
          </w:r>
          <w:hyperlink w:history="true" w:anchor="_bookmark14">
            <w:r>
              <w:rPr>
                <w:spacing w:val="-5"/>
              </w:rPr>
              <w:t>21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5">
            <w:r>
              <w:rPr/>
              <w:t>Scope</w:t>
            </w:r>
            <w:r>
              <w:rPr>
                <w:spacing w:val="-6"/>
              </w:rPr>
              <w:t> </w:t>
            </w:r>
            <w:r>
              <w:rPr/>
              <w:t>and</w:t>
            </w:r>
            <w:r>
              <w:rPr>
                <w:spacing w:val="-6"/>
              </w:rPr>
              <w:t> </w:t>
            </w:r>
            <w:r>
              <w:rPr>
                <w:spacing w:val="-2"/>
              </w:rPr>
              <w:t>limitations</w:t>
            </w:r>
          </w:hyperlink>
          <w:r>
            <w:rPr/>
            <w:tab/>
          </w:r>
          <w:hyperlink w:history="true" w:anchor="_bookmark15">
            <w:r>
              <w:rPr>
                <w:spacing w:val="-5"/>
              </w:rPr>
              <w:t>22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6">
            <w:r>
              <w:rPr/>
              <w:t>Dissertation</w:t>
            </w:r>
            <w:r>
              <w:rPr>
                <w:spacing w:val="-13"/>
              </w:rPr>
              <w:t> </w:t>
            </w:r>
            <w:r>
              <w:rPr>
                <w:spacing w:val="-2"/>
              </w:rPr>
              <w:t>roadmap</w:t>
            </w:r>
          </w:hyperlink>
          <w:r>
            <w:rPr/>
            <w:tab/>
          </w:r>
          <w:hyperlink w:history="true" w:anchor="_bookmark16">
            <w:r>
              <w:rPr>
                <w:spacing w:val="-5"/>
              </w:rPr>
              <w:t>23</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17">
            <w:r>
              <w:rPr/>
              <w:t>Literature</w:t>
            </w:r>
            <w:r>
              <w:rPr>
                <w:spacing w:val="-14"/>
              </w:rPr>
              <w:t> </w:t>
            </w:r>
            <w:r>
              <w:rPr/>
              <w:t>Review</w:t>
            </w:r>
            <w:r>
              <w:rPr>
                <w:spacing w:val="-14"/>
              </w:rPr>
              <w:t> </w:t>
            </w:r>
            <w:r>
              <w:rPr/>
              <w:t>and</w:t>
            </w:r>
            <w:r>
              <w:rPr>
                <w:spacing w:val="-14"/>
              </w:rPr>
              <w:t> </w:t>
            </w:r>
            <w:r>
              <w:rPr/>
              <w:t>Theoretical</w:t>
            </w:r>
            <w:r>
              <w:rPr>
                <w:spacing w:val="-13"/>
              </w:rPr>
              <w:t> </w:t>
            </w:r>
            <w:r>
              <w:rPr>
                <w:spacing w:val="-2"/>
              </w:rPr>
              <w:t>Framework</w:t>
            </w:r>
          </w:hyperlink>
          <w:r>
            <w:rPr>
              <w:b w:val="0"/>
            </w:rPr>
            <w:tab/>
          </w:r>
          <w:hyperlink w:history="true" w:anchor="_bookmark17">
            <w:r>
              <w:rPr>
                <w:b w:val="0"/>
                <w:spacing w:val="-5"/>
              </w:rPr>
              <w:t>25</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8">
            <w:r>
              <w:rPr/>
              <w:t>Blockchain</w:t>
            </w:r>
            <w:r>
              <w:rPr>
                <w:spacing w:val="-8"/>
              </w:rPr>
              <w:t> </w:t>
            </w:r>
            <w:r>
              <w:rPr/>
              <w:t>and</w:t>
            </w:r>
            <w:r>
              <w:rPr>
                <w:spacing w:val="-7"/>
              </w:rPr>
              <w:t> </w:t>
            </w:r>
            <w:r>
              <w:rPr/>
              <w:t>DeFi</w:t>
            </w:r>
            <w:r>
              <w:rPr>
                <w:spacing w:val="-8"/>
              </w:rPr>
              <w:t> </w:t>
            </w:r>
            <w:r>
              <w:rPr>
                <w:spacing w:val="-2"/>
              </w:rPr>
              <w:t>foundations</w:t>
            </w:r>
          </w:hyperlink>
          <w:r>
            <w:rPr/>
            <w:tab/>
          </w:r>
          <w:hyperlink w:history="true" w:anchor="_bookmark18">
            <w:r>
              <w:rPr>
                <w:spacing w:val="-5"/>
              </w:rPr>
              <w:t>25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9">
            <w:r>
              <w:rPr/>
              <w:t>Ethereum,</w:t>
            </w:r>
            <w:r>
              <w:rPr>
                <w:spacing w:val="-10"/>
              </w:rPr>
              <w:t> </w:t>
            </w:r>
            <w:r>
              <w:rPr/>
              <w:t>Layer-2</w:t>
            </w:r>
            <w:r>
              <w:rPr>
                <w:spacing w:val="-9"/>
              </w:rPr>
              <w:t> </w:t>
            </w:r>
            <w:r>
              <w:rPr/>
              <w:t>rollups,</w:t>
            </w:r>
            <w:r>
              <w:rPr>
                <w:spacing w:val="-10"/>
              </w:rPr>
              <w:t> </w:t>
            </w:r>
            <w:r>
              <w:rPr/>
              <w:t>and</w:t>
            </w:r>
            <w:r>
              <w:rPr>
                <w:spacing w:val="-9"/>
              </w:rPr>
              <w:t> </w:t>
            </w:r>
            <w:r>
              <w:rPr/>
              <w:t>Arbitrum</w:t>
            </w:r>
            <w:r>
              <w:rPr>
                <w:spacing w:val="-10"/>
              </w:rPr>
              <w:t> </w:t>
            </w:r>
            <w:r>
              <w:rPr>
                <w:spacing w:val="-5"/>
              </w:rPr>
              <w:t>One</w:t>
            </w:r>
          </w:hyperlink>
          <w:r>
            <w:rPr/>
            <w:tab/>
          </w:r>
          <w:hyperlink w:history="true" w:anchor="_bookmark19">
            <w:r>
              <w:rPr>
                <w:spacing w:val="-5"/>
              </w:rPr>
              <w:t>26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0">
            <w:r>
              <w:rPr/>
              <w:t>ERC-20</w:t>
            </w:r>
            <w:r>
              <w:rPr>
                <w:spacing w:val="-9"/>
              </w:rPr>
              <w:t> </w:t>
            </w:r>
            <w:r>
              <w:rPr/>
              <w:t>tokens</w:t>
            </w:r>
            <w:r>
              <w:rPr>
                <w:spacing w:val="-8"/>
              </w:rPr>
              <w:t> </w:t>
            </w:r>
            <w:r>
              <w:rPr/>
              <w:t>and</w:t>
            </w:r>
            <w:r>
              <w:rPr>
                <w:spacing w:val="-8"/>
              </w:rPr>
              <w:t> </w:t>
            </w:r>
            <w:r>
              <w:rPr/>
              <w:t>the</w:t>
            </w:r>
            <w:r>
              <w:rPr>
                <w:spacing w:val="-8"/>
              </w:rPr>
              <w:t> </w:t>
            </w:r>
            <w:r>
              <w:rPr/>
              <w:t>allowance</w:t>
            </w:r>
            <w:r>
              <w:rPr>
                <w:spacing w:val="-8"/>
              </w:rPr>
              <w:t> </w:t>
            </w:r>
            <w:r>
              <w:rPr>
                <w:spacing w:val="-2"/>
              </w:rPr>
              <w:t>lifecycle</w:t>
            </w:r>
          </w:hyperlink>
          <w:r>
            <w:rPr/>
            <w:tab/>
          </w:r>
          <w:hyperlink w:history="true" w:anchor="_bookmark20">
            <w:r>
              <w:rPr>
                <w:spacing w:val="-5"/>
              </w:rPr>
              <w:t>27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1">
            <w:r>
              <w:rPr/>
              <w:t>Graph-based</w:t>
            </w:r>
            <w:r>
              <w:rPr>
                <w:spacing w:val="-12"/>
              </w:rPr>
              <w:t> </w:t>
            </w:r>
            <w:r>
              <w:rPr/>
              <w:t>on-chain</w:t>
            </w:r>
            <w:r>
              <w:rPr>
                <w:spacing w:val="-11"/>
              </w:rPr>
              <w:t> </w:t>
            </w:r>
            <w:r>
              <w:rPr>
                <w:spacing w:val="-2"/>
              </w:rPr>
              <w:t>reputation</w:t>
            </w:r>
          </w:hyperlink>
          <w:r>
            <w:rPr/>
            <w:tab/>
          </w:r>
          <w:hyperlink w:history="true" w:anchor="_bookmark21">
            <w:r>
              <w:rPr>
                <w:spacing w:val="-5"/>
              </w:rPr>
              <w:t>27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3">
            <w:r>
              <w:rPr/>
              <w:t>PageRank</w:t>
            </w:r>
            <w:r>
              <w:rPr>
                <w:spacing w:val="-11"/>
              </w:rPr>
              <w:t> </w:t>
            </w:r>
            <w:r>
              <w:rPr>
                <w:spacing w:val="-2"/>
              </w:rPr>
              <w:t>formalism</w:t>
            </w:r>
          </w:hyperlink>
          <w:r>
            <w:rPr/>
            <w:tab/>
          </w:r>
          <w:hyperlink w:history="true" w:anchor="_bookmark23">
            <w:r>
              <w:rPr>
                <w:spacing w:val="-5"/>
              </w:rPr>
              <w:t>29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28">
            <w:r>
              <w:rPr/>
              <w:t>Reputation</w:t>
            </w:r>
            <w:r>
              <w:rPr>
                <w:spacing w:val="-14"/>
              </w:rPr>
              <w:t> </w:t>
            </w:r>
            <w:r>
              <w:rPr/>
              <w:t>systems</w:t>
            </w:r>
            <w:r>
              <w:rPr>
                <w:spacing w:val="-13"/>
              </w:rPr>
              <w:t> </w:t>
            </w:r>
            <w:r>
              <w:rPr>
                <w:spacing w:val="-2"/>
              </w:rPr>
              <w:t>lineage</w:t>
            </w:r>
          </w:hyperlink>
          <w:r>
            <w:rPr/>
            <w:tab/>
          </w:r>
          <w:hyperlink w:history="true" w:anchor="_bookmark28">
            <w:r>
              <w:rPr>
                <w:spacing w:val="-5"/>
              </w:rPr>
              <w:t>30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0">
            <w:r>
              <w:rPr/>
              <w:t>ERC-20</w:t>
            </w:r>
            <w:r>
              <w:rPr>
                <w:spacing w:val="-12"/>
              </w:rPr>
              <w:t> </w:t>
            </w:r>
            <w:r>
              <w:rPr/>
              <w:t>allowances</w:t>
            </w:r>
            <w:r>
              <w:rPr>
                <w:spacing w:val="-11"/>
              </w:rPr>
              <w:t> </w:t>
            </w:r>
            <w:r>
              <w:rPr/>
              <w:t>as</w:t>
            </w:r>
            <w:r>
              <w:rPr>
                <w:spacing w:val="-11"/>
              </w:rPr>
              <w:t> </w:t>
            </w:r>
            <w:r>
              <w:rPr>
                <w:spacing w:val="-2"/>
              </w:rPr>
              <w:t>endorsement</w:t>
            </w:r>
          </w:hyperlink>
          <w:r>
            <w:rPr/>
            <w:tab/>
          </w:r>
          <w:hyperlink w:history="true" w:anchor="_bookmark30">
            <w:r>
              <w:rPr>
                <w:spacing w:val="-5"/>
              </w:rPr>
              <w:t>31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1">
            <w:r>
              <w:rPr/>
              <w:t>Trading</w:t>
            </w:r>
            <w:r>
              <w:rPr>
                <w:spacing w:val="-12"/>
              </w:rPr>
              <w:t> </w:t>
            </w:r>
            <w:r>
              <w:rPr/>
              <w:t>success</w:t>
            </w:r>
            <w:r>
              <w:rPr>
                <w:spacing w:val="-12"/>
              </w:rPr>
              <w:t> </w:t>
            </w:r>
            <w:r>
              <w:rPr/>
              <w:t>validation</w:t>
            </w:r>
            <w:r>
              <w:rPr>
                <w:spacing w:val="-12"/>
              </w:rPr>
              <w:t> </w:t>
            </w:r>
            <w:r>
              <w:rPr/>
              <w:t>frame</w:t>
            </w:r>
            <w:r>
              <w:rPr>
                <w:spacing w:val="-12"/>
              </w:rPr>
              <w:t> </w:t>
            </w:r>
            <w:r>
              <w:rPr/>
              <w:t>(GMX</w:t>
            </w:r>
            <w:r>
              <w:rPr>
                <w:spacing w:val="-12"/>
              </w:rPr>
              <w:t> </w:t>
            </w:r>
            <w:r>
              <w:rPr>
                <w:spacing w:val="-5"/>
              </w:rPr>
              <w:t>V2)</w:t>
            </w:r>
          </w:hyperlink>
          <w:r>
            <w:rPr/>
            <w:tab/>
          </w:r>
          <w:hyperlink w:history="true" w:anchor="_bookmark31">
            <w:r>
              <w:rPr>
                <w:spacing w:val="-5"/>
              </w:rPr>
              <w:t>31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2">
            <w:r>
              <w:rPr/>
              <w:t>Supplementary</w:t>
            </w:r>
            <w:r>
              <w:rPr>
                <w:spacing w:val="-14"/>
              </w:rPr>
              <w:t> </w:t>
            </w:r>
            <w:r>
              <w:rPr/>
              <w:t>extension:</w:t>
            </w:r>
            <w:r>
              <w:rPr>
                <w:spacing w:val="3"/>
              </w:rPr>
              <w:t> </w:t>
            </w:r>
            <w:r>
              <w:rPr/>
              <w:t>outcome-native</w:t>
            </w:r>
            <w:r>
              <w:rPr>
                <w:spacing w:val="-13"/>
              </w:rPr>
              <w:t> </w:t>
            </w:r>
            <w:r>
              <w:rPr/>
              <w:t>reference</w:t>
            </w:r>
            <w:r>
              <w:rPr>
                <w:spacing w:val="-13"/>
              </w:rPr>
              <w:t> </w:t>
            </w:r>
            <w:r>
              <w:rPr/>
              <w:t>(GF-</w:t>
            </w:r>
            <w:r>
              <w:rPr>
                <w:spacing w:val="-5"/>
              </w:rPr>
              <w:t>PR)</w:t>
            </w:r>
          </w:hyperlink>
          <w:r>
            <w:rPr/>
            <w:tab/>
          </w:r>
          <w:hyperlink w:history="true" w:anchor="_bookmark32">
            <w:r>
              <w:rPr>
                <w:spacing w:val="-5"/>
              </w:rPr>
              <w:t>32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3">
            <w:r>
              <w:rPr/>
              <w:t>Rank</w:t>
            </w:r>
            <w:r>
              <w:rPr>
                <w:spacing w:val="-9"/>
              </w:rPr>
              <w:t> </w:t>
            </w:r>
            <w:r>
              <w:rPr/>
              <w:t>correlation</w:t>
            </w:r>
            <w:r>
              <w:rPr>
                <w:spacing w:val="-9"/>
              </w:rPr>
              <w:t> </w:t>
            </w:r>
            <w:r>
              <w:rPr>
                <w:spacing w:val="-2"/>
              </w:rPr>
              <w:t>theory</w:t>
            </w:r>
          </w:hyperlink>
          <w:r>
            <w:rPr/>
            <w:tab/>
          </w:r>
          <w:hyperlink w:history="true" w:anchor="_bookmark33">
            <w:r>
              <w:rPr>
                <w:spacing w:val="-5"/>
              </w:rPr>
              <w:t>32</w:t>
            </w:r>
          </w:hyperlink>
        </w:p>
        <w:p>
          <w:pPr>
            <w:pStyle w:val="TOC4"/>
            <w:numPr>
              <w:ilvl w:val="1"/>
              <w:numId w:val="1"/>
            </w:numPr>
            <w:tabs>
              <w:tab w:pos="1214" w:val="left" w:leader="none"/>
              <w:tab w:pos="9639" w:val="right" w:leader="dot"/>
            </w:tabs>
            <w:spacing w:line="240" w:lineRule="auto" w:before="230" w:after="20"/>
            <w:ind w:left="1214" w:right="0" w:hanging="573"/>
            <w:jc w:val="left"/>
          </w:pPr>
          <w:hyperlink w:history="true" w:anchor="_bookmark34">
            <w:r>
              <w:rPr/>
              <w:t>Theoretical</w:t>
            </w:r>
            <w:r>
              <w:rPr>
                <w:spacing w:val="-12"/>
              </w:rPr>
              <w:t> </w:t>
            </w:r>
            <w:r>
              <w:rPr>
                <w:spacing w:val="-2"/>
              </w:rPr>
              <w:t>framework</w:t>
            </w:r>
          </w:hyperlink>
          <w:r>
            <w:rPr/>
            <w:tab/>
          </w:r>
          <w:hyperlink w:history="true" w:anchor="_bookmark34">
            <w:r>
              <w:rPr>
                <w:spacing w:val="-5"/>
              </w:rPr>
              <w:t>33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35">
            <w:r>
              <w:rPr/>
              <w:t>Reader’s</w:t>
            </w:r>
            <w:r>
              <w:rPr>
                <w:spacing w:val="-9"/>
              </w:rPr>
              <w:t> </w:t>
            </w:r>
            <w:r>
              <w:rPr/>
              <w:t>guide</w:t>
            </w:r>
            <w:r>
              <w:rPr>
                <w:spacing w:val="-8"/>
              </w:rPr>
              <w:t> </w:t>
            </w:r>
            <w:r>
              <w:rPr/>
              <w:t>to</w:t>
            </w:r>
            <w:r>
              <w:rPr>
                <w:spacing w:val="-8"/>
              </w:rPr>
              <w:t> </w:t>
            </w:r>
            <w:r>
              <w:rPr>
                <w:spacing w:val="-2"/>
              </w:rPr>
              <w:t>terminology</w:t>
            </w:r>
          </w:hyperlink>
          <w:r>
            <w:rPr/>
            <w:tab/>
          </w:r>
          <w:hyperlink w:history="true" w:anchor="_bookmark35">
            <w:r>
              <w:rPr>
                <w:spacing w:val="-5"/>
              </w:rPr>
              <w:t>35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7">
            <w:r>
              <w:rPr/>
              <w:t>Domain</w:t>
            </w:r>
            <w:r>
              <w:rPr>
                <w:spacing w:val="-10"/>
              </w:rPr>
              <w:t> </w:t>
            </w:r>
            <w:r>
              <w:rPr/>
              <w:t>alignment</w:t>
            </w:r>
            <w:r>
              <w:rPr>
                <w:spacing w:val="-10"/>
              </w:rPr>
              <w:t> </w:t>
            </w:r>
            <w:r>
              <w:rPr>
                <w:spacing w:val="-2"/>
              </w:rPr>
              <w:t>metrics</w:t>
            </w:r>
          </w:hyperlink>
          <w:r>
            <w:rPr/>
            <w:tab/>
          </w:r>
          <w:hyperlink w:history="true" w:anchor="_bookmark37">
            <w:r>
              <w:rPr>
                <w:spacing w:val="-5"/>
              </w:rPr>
              <w:t>36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8">
            <w:r>
              <w:rPr/>
              <w:t>Worked</w:t>
            </w:r>
            <w:r>
              <w:rPr>
                <w:spacing w:val="-12"/>
              </w:rPr>
              <w:t> </w:t>
            </w:r>
            <w:r>
              <w:rPr/>
              <w:t>example:</w:t>
            </w:r>
            <w:r>
              <w:rPr>
                <w:spacing w:val="5"/>
              </w:rPr>
              <w:t> </w:t>
            </w:r>
            <w:r>
              <w:rPr/>
              <w:t>PageRank</w:t>
            </w:r>
            <w:r>
              <w:rPr>
                <w:spacing w:val="-11"/>
              </w:rPr>
              <w:t> </w:t>
            </w:r>
            <w:r>
              <w:rPr/>
              <w:t>on</w:t>
            </w:r>
            <w:r>
              <w:rPr>
                <w:spacing w:val="-12"/>
              </w:rPr>
              <w:t> </w:t>
            </w:r>
            <w:r>
              <w:rPr/>
              <w:t>a</w:t>
            </w:r>
            <w:r>
              <w:rPr>
                <w:spacing w:val="-11"/>
              </w:rPr>
              <w:t> </w:t>
            </w:r>
            <w:r>
              <w:rPr/>
              <w:t>four-node</w:t>
            </w:r>
            <w:r>
              <w:rPr>
                <w:spacing w:val="-12"/>
              </w:rPr>
              <w:t> </w:t>
            </w:r>
            <w:r>
              <w:rPr/>
              <w:t>endorsement</w:t>
            </w:r>
            <w:r>
              <w:rPr>
                <w:spacing w:val="-11"/>
              </w:rPr>
              <w:t> </w:t>
            </w:r>
            <w:r>
              <w:rPr>
                <w:spacing w:val="-2"/>
              </w:rPr>
              <w:t>graph</w:t>
            </w:r>
          </w:hyperlink>
          <w:r>
            <w:rPr/>
            <w:tab/>
          </w:r>
          <w:hyperlink w:history="true" w:anchor="_bookmark38">
            <w:r>
              <w:rPr>
                <w:spacing w:val="-5"/>
              </w:rPr>
              <w:t>36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39">
            <w:r>
              <w:rPr/>
              <w:t>DeFi</w:t>
            </w:r>
            <w:r>
              <w:rPr>
                <w:spacing w:val="-8"/>
              </w:rPr>
              <w:t> </w:t>
            </w:r>
            <w:r>
              <w:rPr/>
              <w:t>risk</w:t>
            </w:r>
            <w:r>
              <w:rPr>
                <w:spacing w:val="-7"/>
              </w:rPr>
              <w:t> </w:t>
            </w:r>
            <w:r>
              <w:rPr/>
              <w:t>taxonomy</w:t>
            </w:r>
            <w:r>
              <w:rPr>
                <w:spacing w:val="-7"/>
              </w:rPr>
              <w:t> </w:t>
            </w:r>
            <w:r>
              <w:rPr/>
              <w:t>and</w:t>
            </w:r>
            <w:r>
              <w:rPr>
                <w:spacing w:val="-7"/>
              </w:rPr>
              <w:t> </w:t>
            </w:r>
            <w:r>
              <w:rPr/>
              <w:t>where</w:t>
            </w:r>
            <w:r>
              <w:rPr>
                <w:spacing w:val="-7"/>
              </w:rPr>
              <w:t> </w:t>
            </w:r>
            <w:r>
              <w:rPr/>
              <w:t>reputation</w:t>
            </w:r>
            <w:r>
              <w:rPr>
                <w:spacing w:val="-8"/>
              </w:rPr>
              <w:t> </w:t>
            </w:r>
            <w:r>
              <w:rPr>
                <w:spacing w:val="-4"/>
              </w:rPr>
              <w:t>fits</w:t>
            </w:r>
          </w:hyperlink>
          <w:r>
            <w:rPr/>
            <w:tab/>
          </w:r>
          <w:hyperlink w:history="true" w:anchor="_bookmark39">
            <w:r>
              <w:rPr>
                <w:spacing w:val="-5"/>
              </w:rPr>
              <w:t>37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0">
            <w:r>
              <w:rPr/>
              <w:t>Perpetual</w:t>
            </w:r>
            <w:r>
              <w:rPr>
                <w:spacing w:val="-9"/>
              </w:rPr>
              <w:t> </w:t>
            </w:r>
            <w:r>
              <w:rPr/>
              <w:t>markets</w:t>
            </w:r>
            <w:r>
              <w:rPr>
                <w:spacing w:val="-8"/>
              </w:rPr>
              <w:t> </w:t>
            </w:r>
            <w:r>
              <w:rPr/>
              <w:t>as</w:t>
            </w:r>
            <w:r>
              <w:rPr>
                <w:spacing w:val="-8"/>
              </w:rPr>
              <w:t> </w:t>
            </w:r>
            <w:r>
              <w:rPr/>
              <w:t>a</w:t>
            </w:r>
            <w:r>
              <w:rPr>
                <w:spacing w:val="-9"/>
              </w:rPr>
              <w:t> </w:t>
            </w:r>
            <w:r>
              <w:rPr/>
              <w:t>validation</w:t>
            </w:r>
            <w:r>
              <w:rPr>
                <w:spacing w:val="-8"/>
              </w:rPr>
              <w:t> </w:t>
            </w:r>
            <w:r>
              <w:rPr>
                <w:spacing w:val="-2"/>
              </w:rPr>
              <w:t>laboratory</w:t>
            </w:r>
          </w:hyperlink>
          <w:r>
            <w:rPr/>
            <w:tab/>
          </w:r>
          <w:hyperlink w:history="true" w:anchor="_bookmark40">
            <w:r>
              <w:rPr>
                <w:spacing w:val="-5"/>
              </w:rPr>
              <w:t>38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1">
            <w:r>
              <w:rPr/>
              <w:t>Related</w:t>
            </w:r>
            <w:r>
              <w:rPr>
                <w:spacing w:val="-12"/>
              </w:rPr>
              <w:t> </w:t>
            </w:r>
            <w:r>
              <w:rPr/>
              <w:t>measurement</w:t>
            </w:r>
            <w:r>
              <w:rPr>
                <w:spacing w:val="-11"/>
              </w:rPr>
              <w:t> </w:t>
            </w:r>
            <w:r>
              <w:rPr>
                <w:spacing w:val="-2"/>
              </w:rPr>
              <w:t>traditions</w:t>
            </w:r>
          </w:hyperlink>
          <w:r>
            <w:rPr/>
            <w:tab/>
          </w:r>
          <w:hyperlink w:history="true" w:anchor="_bookmark41">
            <w:r>
              <w:rPr>
                <w:spacing w:val="-5"/>
              </w:rPr>
              <w:t>38</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42">
            <w:r>
              <w:rPr/>
              <w:t>Accounts,</w:t>
            </w:r>
            <w:r>
              <w:rPr>
                <w:spacing w:val="-7"/>
              </w:rPr>
              <w:t> </w:t>
            </w:r>
            <w:r>
              <w:rPr/>
              <w:t>gas,</w:t>
            </w:r>
            <w:r>
              <w:rPr>
                <w:spacing w:val="-7"/>
              </w:rPr>
              <w:t> </w:t>
            </w:r>
            <w:r>
              <w:rPr/>
              <w:t>and</w:t>
            </w:r>
            <w:r>
              <w:rPr>
                <w:spacing w:val="-7"/>
              </w:rPr>
              <w:t> </w:t>
            </w:r>
            <w:r>
              <w:rPr/>
              <w:t>why</w:t>
            </w:r>
            <w:r>
              <w:rPr>
                <w:spacing w:val="-7"/>
              </w:rPr>
              <w:t> </w:t>
            </w:r>
            <w:r>
              <w:rPr/>
              <w:t>logs</w:t>
            </w:r>
            <w:r>
              <w:rPr>
                <w:spacing w:val="-7"/>
              </w:rPr>
              <w:t> </w:t>
            </w:r>
            <w:r>
              <w:rPr/>
              <w:t>are</w:t>
            </w:r>
            <w:r>
              <w:rPr>
                <w:spacing w:val="-7"/>
              </w:rPr>
              <w:t> </w:t>
            </w:r>
            <w:r>
              <w:rPr/>
              <w:t>the</w:t>
            </w:r>
            <w:r>
              <w:rPr>
                <w:spacing w:val="-6"/>
              </w:rPr>
              <w:t> </w:t>
            </w:r>
            <w:r>
              <w:rPr/>
              <w:t>measurement</w:t>
            </w:r>
            <w:r>
              <w:rPr>
                <w:spacing w:val="-7"/>
              </w:rPr>
              <w:t> </w:t>
            </w:r>
            <w:r>
              <w:rPr>
                <w:spacing w:val="-2"/>
              </w:rPr>
              <w:t>surface</w:t>
            </w:r>
          </w:hyperlink>
          <w:r>
            <w:rPr/>
            <w:tab/>
          </w:r>
          <w:hyperlink w:history="true" w:anchor="_bookmark42">
            <w:r>
              <w:rPr>
                <w:spacing w:val="-5"/>
              </w:rPr>
              <w:t>39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3">
            <w:r>
              <w:rPr/>
              <w:t>Approvals</w:t>
            </w:r>
            <w:r>
              <w:rPr>
                <w:spacing w:val="-14"/>
              </w:rPr>
              <w:t> </w:t>
            </w:r>
            <w:r>
              <w:rPr/>
              <w:t>as</w:t>
            </w:r>
            <w:r>
              <w:rPr>
                <w:spacing w:val="-13"/>
              </w:rPr>
              <w:t> </w:t>
            </w:r>
            <w:r>
              <w:rPr/>
              <w:t>security-relevant</w:t>
            </w:r>
            <w:r>
              <w:rPr>
                <w:spacing w:val="-14"/>
              </w:rPr>
              <w:t> </w:t>
            </w:r>
            <w:r>
              <w:rPr>
                <w:spacing w:val="-2"/>
              </w:rPr>
              <w:t>events</w:t>
            </w:r>
          </w:hyperlink>
          <w:r>
            <w:rPr/>
            <w:tab/>
          </w:r>
          <w:hyperlink w:history="true" w:anchor="_bookmark43">
            <w:r>
              <w:rPr>
                <w:spacing w:val="-5"/>
              </w:rPr>
              <w:t>39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4">
            <w:r>
              <w:rPr/>
              <w:t>AWP</w:t>
            </w:r>
            <w:r>
              <w:rPr>
                <w:spacing w:val="-8"/>
              </w:rPr>
              <w:t> </w:t>
            </w:r>
            <w:r>
              <w:rPr/>
              <w:t>in</w:t>
            </w:r>
            <w:r>
              <w:rPr>
                <w:spacing w:val="-7"/>
              </w:rPr>
              <w:t> </w:t>
            </w:r>
            <w:r>
              <w:rPr/>
              <w:t>depth:</w:t>
            </w:r>
            <w:r>
              <w:rPr>
                <w:spacing w:val="11"/>
              </w:rPr>
              <w:t> </w:t>
            </w:r>
            <w:r>
              <w:rPr/>
              <w:t>what</w:t>
            </w:r>
            <w:r>
              <w:rPr>
                <w:spacing w:val="-8"/>
              </w:rPr>
              <w:t> </w:t>
            </w:r>
            <w:r>
              <w:rPr/>
              <w:t>Do</w:t>
            </w:r>
            <w:r>
              <w:rPr>
                <w:spacing w:val="-7"/>
              </w:rPr>
              <w:t> </w:t>
            </w:r>
            <w:r>
              <w:rPr/>
              <w:t>et</w:t>
            </w:r>
            <w:r>
              <w:rPr>
                <w:spacing w:val="-7"/>
              </w:rPr>
              <w:t> </w:t>
            </w:r>
            <w:r>
              <w:rPr/>
              <w:t>al.</w:t>
            </w:r>
            <w:r>
              <w:rPr>
                <w:spacing w:val="-7"/>
              </w:rPr>
              <w:t> </w:t>
            </w:r>
            <w:r>
              <w:rPr>
                <w:spacing w:val="-2"/>
              </w:rPr>
              <w:t>measure</w:t>
            </w:r>
          </w:hyperlink>
          <w:r>
            <w:rPr/>
            <w:tab/>
          </w:r>
          <w:hyperlink w:history="true" w:anchor="_bookmark44">
            <w:r>
              <w:rPr>
                <w:spacing w:val="-5"/>
              </w:rPr>
              <w:t>40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5">
            <w:r>
              <w:rPr/>
              <w:t>Comparison</w:t>
            </w:r>
            <w:r>
              <w:rPr>
                <w:spacing w:val="-9"/>
              </w:rPr>
              <w:t> </w:t>
            </w:r>
            <w:r>
              <w:rPr/>
              <w:t>of</w:t>
            </w:r>
            <w:r>
              <w:rPr>
                <w:spacing w:val="-8"/>
              </w:rPr>
              <w:t> </w:t>
            </w:r>
            <w:r>
              <w:rPr/>
              <w:t>graph</w:t>
            </w:r>
            <w:r>
              <w:rPr>
                <w:spacing w:val="-8"/>
              </w:rPr>
              <w:t> </w:t>
            </w:r>
            <w:r>
              <w:rPr/>
              <w:t>reputation</w:t>
            </w:r>
            <w:r>
              <w:rPr>
                <w:spacing w:val="-8"/>
              </w:rPr>
              <w:t> </w:t>
            </w:r>
            <w:r>
              <w:rPr>
                <w:spacing w:val="-2"/>
              </w:rPr>
              <w:t>methods</w:t>
            </w:r>
          </w:hyperlink>
          <w:r>
            <w:rPr/>
            <w:tab/>
          </w:r>
          <w:hyperlink w:history="true" w:anchor="_bookmark45">
            <w:r>
              <w:rPr>
                <w:spacing w:val="-5"/>
              </w:rPr>
              <w:t>40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7">
            <w:r>
              <w:rPr/>
              <w:t>Open</w:t>
            </w:r>
            <w:r>
              <w:rPr>
                <w:spacing w:val="-11"/>
              </w:rPr>
              <w:t> </w:t>
            </w:r>
            <w:r>
              <w:rPr/>
              <w:t>problems</w:t>
            </w:r>
            <w:r>
              <w:rPr>
                <w:spacing w:val="-10"/>
              </w:rPr>
              <w:t> </w:t>
            </w:r>
            <w:r>
              <w:rPr/>
              <w:t>motivating</w:t>
            </w:r>
            <w:r>
              <w:rPr>
                <w:spacing w:val="-11"/>
              </w:rPr>
              <w:t> </w:t>
            </w:r>
            <w:r>
              <w:rPr/>
              <w:t>this</w:t>
            </w:r>
            <w:r>
              <w:rPr>
                <w:spacing w:val="-10"/>
              </w:rPr>
              <w:t> </w:t>
            </w:r>
            <w:r>
              <w:rPr>
                <w:spacing w:val="-2"/>
              </w:rPr>
              <w:t>dissertation</w:t>
            </w:r>
          </w:hyperlink>
          <w:r>
            <w:rPr/>
            <w:tab/>
          </w:r>
          <w:hyperlink w:history="true" w:anchor="_bookmark47">
            <w:r>
              <w:rPr>
                <w:spacing w:val="-5"/>
              </w:rPr>
              <w:t>41</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48">
            <w:r>
              <w:rPr>
                <w:spacing w:val="-2"/>
              </w:rPr>
              <w:t>Research</w:t>
            </w:r>
            <w:r>
              <w:rPr>
                <w:spacing w:val="-1"/>
              </w:rPr>
              <w:t> </w:t>
            </w:r>
            <w:r>
              <w:rPr>
                <w:spacing w:val="-2"/>
              </w:rPr>
              <w:t>Methodology</w:t>
            </w:r>
          </w:hyperlink>
          <w:r>
            <w:rPr>
              <w:b w:val="0"/>
            </w:rPr>
            <w:tab/>
          </w:r>
          <w:hyperlink w:history="true" w:anchor="_bookmark48">
            <w:r>
              <w:rPr>
                <w:b w:val="0"/>
                <w:spacing w:val="-5"/>
              </w:rPr>
              <w:t>42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49">
            <w:r>
              <w:rPr>
                <w:spacing w:val="-2"/>
              </w:rPr>
              <w:t>Notation</w:t>
            </w:r>
          </w:hyperlink>
          <w:r>
            <w:rPr/>
            <w:tab/>
          </w:r>
          <w:hyperlink w:history="true" w:anchor="_bookmark49">
            <w:r>
              <w:rPr>
                <w:spacing w:val="-5"/>
              </w:rPr>
              <w:t>43</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3">
            <w:r>
              <w:rPr/>
              <w:t>Data</w:t>
            </w:r>
            <w:r>
              <w:rPr>
                <w:spacing w:val="-9"/>
              </w:rPr>
              <w:t> </w:t>
            </w:r>
            <w:r>
              <w:rPr/>
              <w:t>sources</w:t>
            </w:r>
            <w:r>
              <w:rPr>
                <w:spacing w:val="-8"/>
              </w:rPr>
              <w:t> </w:t>
            </w:r>
            <w:r>
              <w:rPr/>
              <w:t>and</w:t>
            </w:r>
            <w:r>
              <w:rPr>
                <w:spacing w:val="-8"/>
              </w:rPr>
              <w:t> </w:t>
            </w:r>
            <w:r>
              <w:rPr>
                <w:spacing w:val="-2"/>
              </w:rPr>
              <w:t>sampling</w:t>
            </w:r>
          </w:hyperlink>
          <w:r>
            <w:rPr/>
            <w:tab/>
          </w:r>
          <w:hyperlink w:history="true" w:anchor="_bookmark53">
            <w:r>
              <w:rPr>
                <w:spacing w:val="-5"/>
              </w:rPr>
              <w:t>45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4">
            <w:r>
              <w:rPr/>
              <w:t>Three-phase</w:t>
            </w:r>
            <w:r>
              <w:rPr>
                <w:spacing w:val="-12"/>
              </w:rPr>
              <w:t> </w:t>
            </w:r>
            <w:r>
              <w:rPr/>
              <w:t>collection</w:t>
            </w:r>
            <w:r>
              <w:rPr>
                <w:spacing w:val="-12"/>
              </w:rPr>
              <w:t> </w:t>
            </w:r>
            <w:r>
              <w:rPr>
                <w:spacing w:val="-2"/>
              </w:rPr>
              <w:t>strategy</w:t>
            </w:r>
          </w:hyperlink>
          <w:r>
            <w:rPr/>
            <w:tab/>
          </w:r>
          <w:hyperlink w:history="true" w:anchor="_bookmark54">
            <w:r>
              <w:rPr>
                <w:spacing w:val="-5"/>
              </w:rPr>
              <w:t>48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5">
            <w:r>
              <w:rPr/>
              <w:t>Pipeline</w:t>
            </w:r>
            <w:r>
              <w:rPr>
                <w:spacing w:val="-9"/>
              </w:rPr>
              <w:t> </w:t>
            </w:r>
            <w:r>
              <w:rPr>
                <w:spacing w:val="-2"/>
              </w:rPr>
              <w:t>architecture</w:t>
            </w:r>
          </w:hyperlink>
          <w:r>
            <w:rPr/>
            <w:tab/>
          </w:r>
          <w:hyperlink w:history="true" w:anchor="_bookmark55">
            <w:r>
              <w:rPr>
                <w:spacing w:val="-5"/>
              </w:rPr>
              <w:t>49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8">
            <w:r>
              <w:rPr/>
              <w:t>Event</w:t>
            </w:r>
            <w:r>
              <w:rPr>
                <w:spacing w:val="-7"/>
              </w:rPr>
              <w:t> </w:t>
            </w:r>
            <w:r>
              <w:rPr>
                <w:spacing w:val="-2"/>
              </w:rPr>
              <w:t>decoding</w:t>
            </w:r>
          </w:hyperlink>
          <w:r>
            <w:rPr/>
            <w:tab/>
          </w:r>
          <w:hyperlink w:history="true" w:anchor="_bookmark58">
            <w:r>
              <w:rPr>
                <w:spacing w:val="-5"/>
              </w:rPr>
              <w:t>50</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59">
            <w:r>
              <w:rPr/>
              <w:t>Graph</w:t>
            </w:r>
            <w:r>
              <w:rPr>
                <w:spacing w:val="-7"/>
              </w:rPr>
              <w:t> </w:t>
            </w:r>
            <w:r>
              <w:rPr>
                <w:spacing w:val="-2"/>
              </w:rPr>
              <w:t>construction</w:t>
            </w:r>
          </w:hyperlink>
          <w:r>
            <w:rPr/>
            <w:tab/>
          </w:r>
          <w:hyperlink w:history="true" w:anchor="_bookmark59">
            <w:r>
              <w:rPr>
                <w:spacing w:val="-5"/>
              </w:rPr>
              <w:t>51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4">
            <w:r>
              <w:rPr/>
              <w:t>Supplementary</w:t>
            </w:r>
            <w:r>
              <w:rPr>
                <w:spacing w:val="-10"/>
              </w:rPr>
              <w:t> </w:t>
            </w:r>
            <w:r>
              <w:rPr/>
              <w:t>GF-PR</w:t>
            </w:r>
            <w:r>
              <w:rPr>
                <w:spacing w:val="-10"/>
              </w:rPr>
              <w:t> </w:t>
            </w:r>
            <w:r>
              <w:rPr/>
              <w:t>graph</w:t>
            </w:r>
            <w:r>
              <w:rPr>
                <w:spacing w:val="-10"/>
              </w:rPr>
              <w:t> </w:t>
            </w:r>
            <w:r>
              <w:rPr>
                <w:spacing w:val="-2"/>
              </w:rPr>
              <w:t>(extension)</w:t>
            </w:r>
          </w:hyperlink>
          <w:r>
            <w:rPr/>
            <w:tab/>
          </w:r>
          <w:hyperlink w:history="true" w:anchor="_bookmark64">
            <w:r>
              <w:rPr>
                <w:spacing w:val="-5"/>
              </w:rPr>
              <w:t>55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65">
            <w:r>
              <w:rPr/>
              <w:t>Five-proxy</w:t>
            </w:r>
            <w:r>
              <w:rPr>
                <w:spacing w:val="-12"/>
              </w:rPr>
              <w:t> </w:t>
            </w:r>
            <w:r>
              <w:rPr/>
              <w:t>evaluation</w:t>
            </w:r>
            <w:r>
              <w:rPr>
                <w:spacing w:val="-11"/>
              </w:rPr>
              <w:t> </w:t>
            </w:r>
            <w:r>
              <w:rPr>
                <w:spacing w:val="-2"/>
              </w:rPr>
              <w:t>design</w:t>
            </w:r>
          </w:hyperlink>
          <w:r>
            <w:rPr/>
            <w:tab/>
          </w:r>
          <w:hyperlink w:history="true" w:anchor="_bookmark65">
            <w:r>
              <w:rPr>
                <w:spacing w:val="-5"/>
              </w:rPr>
              <w:t>56</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66">
            <w:r>
              <w:rPr/>
              <w:t>Proxy</w:t>
            </w:r>
            <w:r>
              <w:rPr>
                <w:spacing w:val="-10"/>
              </w:rPr>
              <w:t> </w:t>
            </w:r>
            <w:r>
              <w:rPr/>
              <w:t>operational</w:t>
            </w:r>
            <w:r>
              <w:rPr>
                <w:spacing w:val="-9"/>
              </w:rPr>
              <w:t> </w:t>
            </w:r>
            <w:r>
              <w:rPr>
                <w:spacing w:val="-2"/>
              </w:rPr>
              <w:t>definitions</w:t>
            </w:r>
          </w:hyperlink>
          <w:r>
            <w:rPr/>
            <w:tab/>
          </w:r>
          <w:hyperlink w:history="true" w:anchor="_bookmark66">
            <w:r>
              <w:rPr>
                <w:spacing w:val="-5"/>
              </w:rPr>
              <w:t>57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1">
            <w:r>
              <w:rPr/>
              <w:t>Statistical</w:t>
            </w:r>
            <w:r>
              <w:rPr>
                <w:spacing w:val="-11"/>
              </w:rPr>
              <w:t> </w:t>
            </w:r>
            <w:r>
              <w:rPr>
                <w:spacing w:val="-2"/>
              </w:rPr>
              <w:t>tests</w:t>
            </w:r>
          </w:hyperlink>
          <w:r>
            <w:rPr/>
            <w:tab/>
          </w:r>
          <w:hyperlink w:history="true" w:anchor="_bookmark71">
            <w:r>
              <w:rPr>
                <w:spacing w:val="-5"/>
              </w:rPr>
              <w:t>61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2">
            <w:r>
              <w:rPr/>
              <w:t>Computational</w:t>
            </w:r>
            <w:r>
              <w:rPr>
                <w:spacing w:val="-12"/>
              </w:rPr>
              <w:t> </w:t>
            </w:r>
            <w:r>
              <w:rPr/>
              <w:t>benchmark</w:t>
            </w:r>
            <w:r>
              <w:rPr>
                <w:spacing w:val="-12"/>
              </w:rPr>
              <w:t> </w:t>
            </w:r>
            <w:r>
              <w:rPr/>
              <w:t>(Claim</w:t>
            </w:r>
            <w:r>
              <w:rPr>
                <w:spacing w:val="-11"/>
              </w:rPr>
              <w:t> </w:t>
            </w:r>
            <w:r>
              <w:rPr>
                <w:spacing w:val="-5"/>
              </w:rPr>
              <w:t>C1)</w:t>
            </w:r>
          </w:hyperlink>
          <w:r>
            <w:rPr/>
            <w:tab/>
          </w:r>
          <w:hyperlink w:history="true" w:anchor="_bookmark72">
            <w:r>
              <w:rPr>
                <w:spacing w:val="-5"/>
              </w:rPr>
              <w:t>62</w:t>
            </w:r>
          </w:hyperlink>
        </w:p>
        <w:p>
          <w:pPr>
            <w:pStyle w:val="TOC4"/>
            <w:numPr>
              <w:ilvl w:val="1"/>
              <w:numId w:val="1"/>
            </w:numPr>
            <w:tabs>
              <w:tab w:pos="1214" w:val="left" w:leader="none"/>
              <w:tab w:pos="9639" w:val="right" w:leader="dot"/>
            </w:tabs>
            <w:spacing w:line="240" w:lineRule="auto" w:before="230" w:after="163"/>
            <w:ind w:left="1214" w:right="0" w:hanging="573"/>
            <w:jc w:val="left"/>
          </w:pPr>
          <w:hyperlink w:history="true" w:anchor="_bookmark73">
            <w:r>
              <w:rPr/>
              <w:t>Scaling</w:t>
            </w:r>
            <w:r>
              <w:rPr>
                <w:spacing w:val="-11"/>
              </w:rPr>
              <w:t> </w:t>
            </w:r>
            <w:r>
              <w:rPr/>
              <w:t>and</w:t>
            </w:r>
            <w:r>
              <w:rPr>
                <w:spacing w:val="-11"/>
              </w:rPr>
              <w:t> </w:t>
            </w:r>
            <w:r>
              <w:rPr/>
              <w:t>robustness</w:t>
            </w:r>
            <w:r>
              <w:rPr>
                <w:spacing w:val="-11"/>
              </w:rPr>
              <w:t> </w:t>
            </w:r>
            <w:r>
              <w:rPr>
                <w:spacing w:val="-2"/>
              </w:rPr>
              <w:t>extensions</w:t>
            </w:r>
          </w:hyperlink>
          <w:r>
            <w:rPr/>
            <w:tab/>
          </w:r>
          <w:hyperlink w:history="true" w:anchor="_bookmark73">
            <w:r>
              <w:rPr>
                <w:spacing w:val="-5"/>
              </w:rPr>
              <w:t>63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74">
            <w:r>
              <w:rPr>
                <w:spacing w:val="-2"/>
              </w:rPr>
              <w:t>Reproducibility</w:t>
            </w:r>
          </w:hyperlink>
          <w:r>
            <w:rPr/>
            <w:tab/>
          </w:r>
          <w:hyperlink w:history="true" w:anchor="_bookmark74">
            <w:r>
              <w:rPr>
                <w:spacing w:val="-5"/>
              </w:rPr>
              <w:t>65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5">
            <w:r>
              <w:rPr/>
              <w:t>Sampling</w:t>
            </w:r>
            <w:r>
              <w:rPr>
                <w:spacing w:val="-15"/>
              </w:rPr>
              <w:t> </w:t>
            </w:r>
            <w:r>
              <w:rPr/>
              <w:t>considerations</w:t>
            </w:r>
            <w:r>
              <w:rPr>
                <w:spacing w:val="-14"/>
              </w:rPr>
              <w:t> </w:t>
            </w:r>
            <w:r>
              <w:rPr/>
              <w:t>and</w:t>
            </w:r>
            <w:r>
              <w:rPr>
                <w:spacing w:val="-14"/>
              </w:rPr>
              <w:t> </w:t>
            </w:r>
            <w:r>
              <w:rPr>
                <w:spacing w:val="-2"/>
              </w:rPr>
              <w:t>missingness</w:t>
            </w:r>
          </w:hyperlink>
          <w:r>
            <w:rPr/>
            <w:tab/>
          </w:r>
          <w:hyperlink w:history="true" w:anchor="_bookmark75">
            <w:r>
              <w:rPr>
                <w:spacing w:val="-5"/>
              </w:rPr>
              <w:t>66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6">
            <w:r>
              <w:rPr>
                <w:spacing w:val="-2"/>
              </w:rPr>
              <w:t>Implementation</w:t>
            </w:r>
            <w:r>
              <w:rPr>
                <w:spacing w:val="11"/>
              </w:rPr>
              <w:t> </w:t>
            </w:r>
            <w:r>
              <w:rPr>
                <w:spacing w:val="-2"/>
              </w:rPr>
              <w:t>notes</w:t>
            </w:r>
          </w:hyperlink>
          <w:r>
            <w:rPr/>
            <w:tab/>
          </w:r>
          <w:hyperlink w:history="true" w:anchor="_bookmark76">
            <w:r>
              <w:rPr>
                <w:spacing w:val="-5"/>
              </w:rPr>
              <w:t>66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77">
            <w:r>
              <w:rPr>
                <w:spacing w:val="-2"/>
              </w:rPr>
              <w:t>Ethics</w:t>
            </w:r>
          </w:hyperlink>
          <w:r>
            <w:rPr/>
            <w:tab/>
          </w:r>
          <w:hyperlink w:history="true" w:anchor="_bookmark77">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78">
            <w:r>
              <w:rPr/>
              <w:t>Privacy</w:t>
            </w:r>
            <w:r>
              <w:rPr>
                <w:spacing w:val="-7"/>
              </w:rPr>
              <w:t> </w:t>
            </w:r>
            <w:r>
              <w:rPr/>
              <w:t>and</w:t>
            </w:r>
            <w:r>
              <w:rPr>
                <w:spacing w:val="-6"/>
              </w:rPr>
              <w:t> </w:t>
            </w:r>
            <w:r>
              <w:rPr>
                <w:spacing w:val="-2"/>
              </w:rPr>
              <w:t>anonymity</w:t>
            </w:r>
          </w:hyperlink>
          <w:r>
            <w:rPr/>
            <w:tab/>
          </w:r>
          <w:hyperlink w:history="true" w:anchor="_bookmark78">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79">
            <w:r>
              <w:rPr/>
              <w:t>Data</w:t>
            </w:r>
            <w:r>
              <w:rPr>
                <w:spacing w:val="-6"/>
              </w:rPr>
              <w:t> </w:t>
            </w:r>
            <w:r>
              <w:rPr>
                <w:spacing w:val="-2"/>
              </w:rPr>
              <w:t>minimization</w:t>
            </w:r>
          </w:hyperlink>
          <w:r>
            <w:rPr/>
            <w:tab/>
          </w:r>
          <w:hyperlink w:history="true" w:anchor="_bookmark79">
            <w:r>
              <w:rPr>
                <w:spacing w:val="-5"/>
              </w:rPr>
              <w:t>67</w:t>
            </w:r>
          </w:hyperlink>
        </w:p>
        <w:p>
          <w:pPr>
            <w:pStyle w:val="TOC7"/>
            <w:numPr>
              <w:ilvl w:val="0"/>
              <w:numId w:val="2"/>
            </w:numPr>
            <w:tabs>
              <w:tab w:pos="1715" w:val="left" w:leader="none"/>
              <w:tab w:pos="9639" w:val="right" w:leader="dot"/>
            </w:tabs>
            <w:spacing w:line="240" w:lineRule="auto" w:before="231" w:after="0"/>
            <w:ind w:left="1715" w:right="0" w:hanging="142"/>
            <w:jc w:val="left"/>
          </w:pPr>
          <w:hyperlink w:history="true" w:anchor="_bookmark80">
            <w:r>
              <w:rPr/>
              <w:t>Data</w:t>
            </w:r>
            <w:r>
              <w:rPr>
                <w:spacing w:val="-6"/>
              </w:rPr>
              <w:t> </w:t>
            </w:r>
            <w:r>
              <w:rPr/>
              <w:t>usage</w:t>
            </w:r>
            <w:r>
              <w:rPr>
                <w:spacing w:val="-5"/>
              </w:rPr>
              <w:t> </w:t>
            </w:r>
            <w:r>
              <w:rPr/>
              <w:t>and</w:t>
            </w:r>
            <w:r>
              <w:rPr>
                <w:spacing w:val="-6"/>
              </w:rPr>
              <w:t> </w:t>
            </w:r>
            <w:r>
              <w:rPr>
                <w:spacing w:val="-2"/>
              </w:rPr>
              <w:t>compliance</w:t>
            </w:r>
          </w:hyperlink>
          <w:r>
            <w:rPr/>
            <w:tab/>
          </w:r>
          <w:hyperlink w:history="true" w:anchor="_bookmark80">
            <w:r>
              <w:rPr>
                <w:spacing w:val="-5"/>
              </w:rPr>
              <w:t>67</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1">
            <w:r>
              <w:rPr/>
              <w:t>Fairness</w:t>
            </w:r>
            <w:r>
              <w:rPr>
                <w:spacing w:val="-11"/>
              </w:rPr>
              <w:t> </w:t>
            </w:r>
            <w:r>
              <w:rPr/>
              <w:t>and</w:t>
            </w:r>
            <w:r>
              <w:rPr>
                <w:spacing w:val="-10"/>
              </w:rPr>
              <w:t> </w:t>
            </w:r>
            <w:r>
              <w:rPr>
                <w:spacing w:val="-2"/>
              </w:rPr>
              <w:t>transparency</w:t>
            </w:r>
          </w:hyperlink>
          <w:r>
            <w:rPr/>
            <w:tab/>
          </w:r>
          <w:hyperlink w:history="true" w:anchor="_bookmark81">
            <w:r>
              <w:rPr>
                <w:spacing w:val="-5"/>
              </w:rPr>
              <w:t>68</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2">
            <w:r>
              <w:rPr/>
              <w:t>Responsible</w:t>
            </w:r>
            <w:r>
              <w:rPr>
                <w:spacing w:val="-10"/>
              </w:rPr>
              <w:t> </w:t>
            </w:r>
            <w:r>
              <w:rPr/>
              <w:t>disclosure</w:t>
            </w:r>
            <w:r>
              <w:rPr>
                <w:spacing w:val="-9"/>
              </w:rPr>
              <w:t> </w:t>
            </w:r>
            <w:r>
              <w:rPr/>
              <w:t>and</w:t>
            </w:r>
            <w:r>
              <w:rPr>
                <w:spacing w:val="-9"/>
              </w:rPr>
              <w:t> </w:t>
            </w:r>
            <w:r>
              <w:rPr>
                <w:spacing w:val="-2"/>
              </w:rPr>
              <w:t>impact</w:t>
            </w:r>
          </w:hyperlink>
          <w:r>
            <w:rPr/>
            <w:tab/>
          </w:r>
          <w:hyperlink w:history="true" w:anchor="_bookmark82">
            <w:r>
              <w:rPr>
                <w:spacing w:val="-5"/>
              </w:rPr>
              <w:t>68</w:t>
            </w:r>
          </w:hyperlink>
        </w:p>
        <w:p>
          <w:pPr>
            <w:pStyle w:val="TOC7"/>
            <w:numPr>
              <w:ilvl w:val="0"/>
              <w:numId w:val="2"/>
            </w:numPr>
            <w:tabs>
              <w:tab w:pos="1715" w:val="left" w:leader="none"/>
              <w:tab w:pos="9639" w:val="right" w:leader="dot"/>
            </w:tabs>
            <w:spacing w:line="240" w:lineRule="auto" w:before="230" w:after="0"/>
            <w:ind w:left="1715" w:right="0" w:hanging="142"/>
            <w:jc w:val="left"/>
          </w:pPr>
          <w:hyperlink w:history="true" w:anchor="_bookmark83">
            <w:r>
              <w:rPr/>
              <w:t>Summary</w:t>
            </w:r>
            <w:r>
              <w:rPr>
                <w:spacing w:val="-10"/>
              </w:rPr>
              <w:t> </w:t>
            </w:r>
            <w:r>
              <w:rPr/>
              <w:t>of</w:t>
            </w:r>
            <w:r>
              <w:rPr>
                <w:spacing w:val="-10"/>
              </w:rPr>
              <w:t> </w:t>
            </w:r>
            <w:r>
              <w:rPr/>
              <w:t>methodological</w:t>
            </w:r>
            <w:r>
              <w:rPr>
                <w:spacing w:val="-10"/>
              </w:rPr>
              <w:t> </w:t>
            </w:r>
            <w:r>
              <w:rPr>
                <w:spacing w:val="-2"/>
              </w:rPr>
              <w:t>commitments</w:t>
            </w:r>
          </w:hyperlink>
          <w:r>
            <w:rPr/>
            <w:tab/>
          </w:r>
          <w:hyperlink w:history="true" w:anchor="_bookmark83">
            <w:r>
              <w:rPr>
                <w:spacing w:val="-5"/>
              </w:rPr>
              <w:t>68</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84">
            <w:r>
              <w:rPr>
                <w:spacing w:val="-2"/>
              </w:rPr>
              <w:t>Implementation</w:t>
            </w:r>
            <w:r>
              <w:rPr>
                <w:spacing w:val="1"/>
              </w:rPr>
              <w:t> </w:t>
            </w:r>
            <w:r>
              <w:rPr>
                <w:spacing w:val="-2"/>
              </w:rPr>
              <w:t>and</w:t>
            </w:r>
            <w:r>
              <w:rPr>
                <w:spacing w:val="1"/>
              </w:rPr>
              <w:t> </w:t>
            </w:r>
            <w:r>
              <w:rPr>
                <w:spacing w:val="-2"/>
              </w:rPr>
              <w:t>Empirical</w:t>
            </w:r>
            <w:r>
              <w:rPr>
                <w:spacing w:val="1"/>
              </w:rPr>
              <w:t> </w:t>
            </w:r>
            <w:r>
              <w:rPr>
                <w:spacing w:val="-2"/>
              </w:rPr>
              <w:t>Results</w:t>
            </w:r>
          </w:hyperlink>
          <w:r>
            <w:rPr>
              <w:b w:val="0"/>
            </w:rPr>
            <w:tab/>
          </w:r>
          <w:hyperlink w:history="true" w:anchor="_bookmark84">
            <w:r>
              <w:rPr>
                <w:b w:val="0"/>
                <w:spacing w:val="-5"/>
              </w:rPr>
              <w:t>69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85">
            <w:r>
              <w:rPr>
                <w:spacing w:val="-2"/>
              </w:rPr>
              <w:t>Dataset</w:t>
            </w:r>
          </w:hyperlink>
          <w:r>
            <w:rPr/>
            <w:tab/>
          </w:r>
          <w:hyperlink w:history="true" w:anchor="_bookmark85">
            <w:r>
              <w:rPr>
                <w:spacing w:val="-5"/>
              </w:rPr>
              <w:t>69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90">
            <w:r>
              <w:rPr/>
              <w:t>EndorseRank</w:t>
            </w:r>
            <w:r>
              <w:rPr>
                <w:spacing w:val="-13"/>
              </w:rPr>
              <w:t> </w:t>
            </w:r>
            <w:r>
              <w:rPr/>
              <w:t>vs</w:t>
            </w:r>
            <w:r>
              <w:rPr>
                <w:spacing w:val="-13"/>
              </w:rPr>
              <w:t> </w:t>
            </w:r>
            <w:r>
              <w:rPr/>
              <w:t>AWP</w:t>
            </w:r>
            <w:r>
              <w:rPr>
                <w:spacing w:val="-13"/>
              </w:rPr>
              <w:t> </w:t>
            </w:r>
            <w:r>
              <w:rPr/>
              <w:t>benchmark</w:t>
            </w:r>
            <w:r>
              <w:rPr>
                <w:spacing w:val="-13"/>
              </w:rPr>
              <w:t> </w:t>
            </w:r>
            <w:r>
              <w:rPr/>
              <w:t>(Claim</w:t>
            </w:r>
            <w:r>
              <w:rPr>
                <w:spacing w:val="-13"/>
              </w:rPr>
              <w:t> </w:t>
            </w:r>
            <w:r>
              <w:rPr>
                <w:spacing w:val="-5"/>
              </w:rPr>
              <w:t>C1)</w:t>
            </w:r>
          </w:hyperlink>
          <w:r>
            <w:rPr/>
            <w:tab/>
          </w:r>
          <w:hyperlink w:history="true" w:anchor="_bookmark90">
            <w:r>
              <w:rPr>
                <w:spacing w:val="-5"/>
              </w:rPr>
              <w:t>75</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95">
            <w:r>
              <w:rPr>
                <w:spacing w:val="-2"/>
              </w:rPr>
              <w:t>Robustness</w:t>
            </w:r>
            <w:r>
              <w:rPr>
                <w:spacing w:val="-1"/>
              </w:rPr>
              <w:t> </w:t>
            </w:r>
            <w:r>
              <w:rPr>
                <w:spacing w:val="-2"/>
              </w:rPr>
              <w:t>checks</w:t>
            </w:r>
          </w:hyperlink>
          <w:r>
            <w:rPr/>
            <w:tab/>
          </w:r>
          <w:hyperlink w:history="true" w:anchor="_bookmark95">
            <w:r>
              <w:rPr>
                <w:spacing w:val="-5"/>
              </w:rPr>
              <w:t>79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0">
            <w:r>
              <w:rPr/>
              <w:t>Social-method</w:t>
            </w:r>
            <w:r>
              <w:rPr>
                <w:spacing w:val="-15"/>
              </w:rPr>
              <w:t> </w:t>
            </w:r>
            <w:r>
              <w:rPr/>
              <w:t>alignment:</w:t>
            </w:r>
            <w:r>
              <w:rPr>
                <w:spacing w:val="2"/>
              </w:rPr>
              <w:t> </w:t>
            </w:r>
            <w:r>
              <w:rPr/>
              <w:t>EndorseRank</w:t>
            </w:r>
            <w:r>
              <w:rPr>
                <w:spacing w:val="-14"/>
              </w:rPr>
              <w:t> </w:t>
            </w:r>
            <w:r>
              <w:rPr/>
              <w:t>vs</w:t>
            </w:r>
            <w:r>
              <w:rPr>
                <w:spacing w:val="-14"/>
              </w:rPr>
              <w:t> </w:t>
            </w:r>
            <w:r>
              <w:rPr/>
              <w:t>AWP</w:t>
            </w:r>
            <w:r>
              <w:rPr>
                <w:spacing w:val="-15"/>
              </w:rPr>
              <w:t> </w:t>
            </w:r>
            <w:r>
              <w:rPr/>
              <w:t>(Claims</w:t>
            </w:r>
            <w:r>
              <w:rPr>
                <w:spacing w:val="-14"/>
              </w:rPr>
              <w:t> </w:t>
            </w:r>
            <w:r>
              <w:rPr/>
              <w:t>C2–</w:t>
            </w:r>
            <w:r>
              <w:rPr>
                <w:spacing w:val="-5"/>
              </w:rPr>
              <w:t>C3)</w:t>
            </w:r>
          </w:hyperlink>
          <w:r>
            <w:rPr/>
            <w:tab/>
          </w:r>
          <w:hyperlink w:history="true" w:anchor="_bookmark100">
            <w:r>
              <w:rPr>
                <w:spacing w:val="-5"/>
              </w:rPr>
              <w:t>82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3">
            <w:r>
              <w:rPr/>
              <w:t>Proxy</w:t>
            </w:r>
            <w:r>
              <w:rPr>
                <w:spacing w:val="-7"/>
              </w:rPr>
              <w:t> </w:t>
            </w:r>
            <w:r>
              <w:rPr/>
              <w:t>family</w:t>
            </w:r>
            <w:r>
              <w:rPr>
                <w:spacing w:val="-7"/>
              </w:rPr>
              <w:t> </w:t>
            </w:r>
            <w:r>
              <w:rPr>
                <w:spacing w:val="-2"/>
              </w:rPr>
              <w:t>detail</w:t>
            </w:r>
          </w:hyperlink>
          <w:r>
            <w:rPr/>
            <w:tab/>
          </w:r>
          <w:hyperlink w:history="true" w:anchor="_bookmark103">
            <w:r>
              <w:rPr>
                <w:spacing w:val="-5"/>
              </w:rPr>
              <w:t>84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09">
            <w:r>
              <w:rPr/>
              <w:t>Rank</w:t>
            </w:r>
            <w:r>
              <w:rPr>
                <w:spacing w:val="-8"/>
              </w:rPr>
              <w:t> </w:t>
            </w:r>
            <w:r>
              <w:rPr/>
              <w:t>divergence</w:t>
            </w:r>
            <w:r>
              <w:rPr>
                <w:spacing w:val="-7"/>
              </w:rPr>
              <w:t> </w:t>
            </w:r>
            <w:r>
              <w:rPr/>
              <w:t>(H1</w:t>
            </w:r>
            <w:r>
              <w:rPr>
                <w:spacing w:val="-7"/>
              </w:rPr>
              <w:t> </w:t>
            </w:r>
            <w:r>
              <w:rPr/>
              <w:t>/</w:t>
            </w:r>
            <w:r>
              <w:rPr>
                <w:spacing w:val="-7"/>
              </w:rPr>
              <w:t> </w:t>
            </w:r>
            <w:r>
              <w:rPr>
                <w:spacing w:val="-4"/>
              </w:rPr>
              <w:t>RQ1)</w:t>
            </w:r>
          </w:hyperlink>
          <w:r>
            <w:rPr/>
            <w:tab/>
          </w:r>
          <w:hyperlink w:history="true" w:anchor="_bookmark109">
            <w:r>
              <w:rPr>
                <w:spacing w:val="-5"/>
              </w:rPr>
              <w:t>91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2">
            <w:r>
              <w:rPr/>
              <w:t>Supplementary</w:t>
            </w:r>
            <w:r>
              <w:rPr>
                <w:spacing w:val="-10"/>
              </w:rPr>
              <w:t> </w:t>
            </w:r>
            <w:r>
              <w:rPr/>
              <w:t>GF-PR</w:t>
            </w:r>
            <w:r>
              <w:rPr>
                <w:spacing w:val="-9"/>
              </w:rPr>
              <w:t> </w:t>
            </w:r>
            <w:r>
              <w:rPr/>
              <w:t>ceiling</w:t>
            </w:r>
            <w:r>
              <w:rPr>
                <w:spacing w:val="-9"/>
              </w:rPr>
              <w:t> </w:t>
            </w:r>
            <w:r>
              <w:rPr/>
              <w:t>analysis</w:t>
            </w:r>
            <w:r>
              <w:rPr>
                <w:spacing w:val="-10"/>
              </w:rPr>
              <w:t> </w:t>
            </w:r>
            <w:r>
              <w:rPr/>
              <w:t>(SRQ1</w:t>
            </w:r>
            <w:r>
              <w:rPr>
                <w:spacing w:val="-9"/>
              </w:rPr>
              <w:t> </w:t>
            </w:r>
            <w:r>
              <w:rPr/>
              <w:t>/</w:t>
            </w:r>
            <w:r>
              <w:rPr>
                <w:spacing w:val="-9"/>
              </w:rPr>
              <w:t> </w:t>
            </w:r>
            <w:r>
              <w:rPr>
                <w:spacing w:val="-4"/>
              </w:rPr>
              <w:t>SC1)</w:t>
            </w:r>
          </w:hyperlink>
          <w:r>
            <w:rPr/>
            <w:tab/>
          </w:r>
          <w:hyperlink w:history="true" w:anchor="_bookmark112">
            <w:r>
              <w:rPr>
                <w:spacing w:val="-5"/>
              </w:rPr>
              <w:t>94</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3">
            <w:r>
              <w:rPr/>
              <w:t>Primary</w:t>
            </w:r>
            <w:r>
              <w:rPr>
                <w:spacing w:val="-10"/>
              </w:rPr>
              <w:t> </w:t>
            </w:r>
            <w:r>
              <w:rPr/>
              <w:t>claims</w:t>
            </w:r>
            <w:r>
              <w:rPr>
                <w:spacing w:val="-9"/>
              </w:rPr>
              <w:t> </w:t>
            </w:r>
            <w:r>
              <w:rPr/>
              <w:t>(C1–C4)</w:t>
            </w:r>
            <w:r>
              <w:rPr>
                <w:spacing w:val="-10"/>
              </w:rPr>
              <w:t> </w:t>
            </w:r>
            <w:r>
              <w:rPr/>
              <w:t>and</w:t>
            </w:r>
            <w:r>
              <w:rPr>
                <w:spacing w:val="-9"/>
              </w:rPr>
              <w:t> </w:t>
            </w:r>
            <w:r>
              <w:rPr/>
              <w:t>supplementary</w:t>
            </w:r>
            <w:r>
              <w:rPr>
                <w:spacing w:val="-9"/>
              </w:rPr>
              <w:t> </w:t>
            </w:r>
            <w:r>
              <w:rPr/>
              <w:t>claim</w:t>
            </w:r>
            <w:r>
              <w:rPr>
                <w:spacing w:val="-10"/>
              </w:rPr>
              <w:t> </w:t>
            </w:r>
            <w:r>
              <w:rPr>
                <w:spacing w:val="-2"/>
              </w:rPr>
              <w:t>(SC1)</w:t>
            </w:r>
          </w:hyperlink>
          <w:r>
            <w:rPr/>
            <w:tab/>
          </w:r>
          <w:hyperlink w:history="true" w:anchor="_bookmark113">
            <w:r>
              <w:rPr>
                <w:spacing w:val="-5"/>
              </w:rPr>
              <w:t>95</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14">
            <w:r>
              <w:rPr>
                <w:i w:val="0"/>
                <w:spacing w:val="-2"/>
                <w:sz w:val="24"/>
              </w:rPr>
              <w:t>Discussion</w:t>
            </w:r>
          </w:hyperlink>
          <w:r>
            <w:rPr>
              <w:b w:val="0"/>
              <w:i w:val="0"/>
              <w:sz w:val="24"/>
            </w:rPr>
            <w:tab/>
          </w:r>
          <w:hyperlink w:history="true" w:anchor="_bookmark114">
            <w:r>
              <w:rPr>
                <w:b w:val="0"/>
                <w:i w:val="0"/>
                <w:spacing w:val="-5"/>
                <w:sz w:val="24"/>
              </w:rPr>
              <w:t>98</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15">
            <w:r>
              <w:rPr/>
              <w:t>Findings</w:t>
            </w:r>
            <w:r>
              <w:rPr>
                <w:spacing w:val="-10"/>
              </w:rPr>
              <w:t> </w:t>
            </w:r>
            <w:r>
              <w:rPr/>
              <w:t>by</w:t>
            </w:r>
            <w:r>
              <w:rPr>
                <w:spacing w:val="-10"/>
              </w:rPr>
              <w:t> </w:t>
            </w:r>
            <w:r>
              <w:rPr/>
              <w:t>research</w:t>
            </w:r>
            <w:r>
              <w:rPr>
                <w:spacing w:val="-9"/>
              </w:rPr>
              <w:t> </w:t>
            </w:r>
            <w:r>
              <w:rPr>
                <w:spacing w:val="-2"/>
              </w:rPr>
              <w:t>question</w:t>
            </w:r>
          </w:hyperlink>
          <w:r>
            <w:rPr/>
            <w:tab/>
          </w:r>
          <w:hyperlink w:history="true" w:anchor="_bookmark115">
            <w:r>
              <w:rPr>
                <w:spacing w:val="-5"/>
              </w:rPr>
              <w:t>98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6">
            <w:r>
              <w:rPr/>
              <w:t>Supplementary</w:t>
            </w:r>
            <w:r>
              <w:rPr>
                <w:spacing w:val="-12"/>
              </w:rPr>
              <w:t> </w:t>
            </w:r>
            <w:r>
              <w:rPr/>
              <w:t>finding</w:t>
            </w:r>
            <w:r>
              <w:rPr>
                <w:spacing w:val="-12"/>
              </w:rPr>
              <w:t> </w:t>
            </w:r>
            <w:r>
              <w:rPr>
                <w:spacing w:val="-2"/>
              </w:rPr>
              <w:t>(SRQ1)</w:t>
            </w:r>
          </w:hyperlink>
          <w:r>
            <w:rPr/>
            <w:tab/>
          </w:r>
          <w:hyperlink w:history="true" w:anchor="_bookmark116">
            <w:r>
              <w:rPr>
                <w:spacing w:val="-5"/>
              </w:rPr>
              <w:t>101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17">
            <w:r>
              <w:rPr/>
              <w:t>Theoretical</w:t>
            </w:r>
            <w:r>
              <w:rPr>
                <w:spacing w:val="-12"/>
              </w:rPr>
              <w:t> </w:t>
            </w:r>
            <w:r>
              <w:rPr>
                <w:spacing w:val="-2"/>
              </w:rPr>
              <w:t>implications</w:t>
            </w:r>
          </w:hyperlink>
          <w:r>
            <w:rPr/>
            <w:tab/>
          </w:r>
          <w:hyperlink w:history="true" w:anchor="_bookmark117">
            <w:r>
              <w:rPr>
                <w:spacing w:val="-5"/>
              </w:rPr>
              <w:t>102</w:t>
            </w:r>
          </w:hyperlink>
        </w:p>
        <w:p>
          <w:pPr>
            <w:pStyle w:val="TOC4"/>
            <w:numPr>
              <w:ilvl w:val="1"/>
              <w:numId w:val="1"/>
            </w:numPr>
            <w:tabs>
              <w:tab w:pos="1214" w:val="left" w:leader="none"/>
              <w:tab w:pos="9639" w:val="right" w:leader="dot"/>
            </w:tabs>
            <w:spacing w:line="240" w:lineRule="auto" w:before="230" w:after="163"/>
            <w:ind w:left="1214" w:right="0" w:hanging="573"/>
            <w:jc w:val="left"/>
          </w:pPr>
          <w:hyperlink w:history="true" w:anchor="_bookmark118">
            <w:r>
              <w:rPr/>
              <w:t>Practical</w:t>
            </w:r>
            <w:r>
              <w:rPr>
                <w:spacing w:val="-10"/>
              </w:rPr>
              <w:t> </w:t>
            </w:r>
            <w:r>
              <w:rPr>
                <w:spacing w:val="-2"/>
              </w:rPr>
              <w:t>implications</w:t>
            </w:r>
          </w:hyperlink>
          <w:r>
            <w:rPr/>
            <w:tab/>
          </w:r>
          <w:hyperlink w:history="true" w:anchor="_bookmark118">
            <w:r>
              <w:rPr>
                <w:spacing w:val="-5"/>
              </w:rPr>
              <w:t>103</w:t>
            </w:r>
          </w:hyperlink>
        </w:p>
        <w:p>
          <w:pPr>
            <w:pStyle w:val="TOC4"/>
            <w:numPr>
              <w:ilvl w:val="1"/>
              <w:numId w:val="1"/>
            </w:numPr>
            <w:tabs>
              <w:tab w:pos="1214" w:val="left" w:leader="none"/>
              <w:tab w:pos="9639" w:val="right" w:leader="dot"/>
            </w:tabs>
            <w:spacing w:line="240" w:lineRule="auto" w:before="74" w:after="0"/>
            <w:ind w:left="1214" w:right="0" w:hanging="573"/>
            <w:jc w:val="left"/>
          </w:pPr>
          <w:hyperlink w:history="true" w:anchor="_bookmark121">
            <w:r>
              <w:rPr/>
              <w:t>Sybil</w:t>
            </w:r>
            <w:r>
              <w:rPr>
                <w:spacing w:val="-7"/>
              </w:rPr>
              <w:t> </w:t>
            </w:r>
            <w:r>
              <w:rPr/>
              <w:t>cost</w:t>
            </w:r>
            <w:r>
              <w:rPr>
                <w:spacing w:val="-6"/>
              </w:rPr>
              <w:t> </w:t>
            </w:r>
            <w:r>
              <w:rPr/>
              <w:t>on</w:t>
            </w:r>
            <w:r>
              <w:rPr>
                <w:spacing w:val="-6"/>
              </w:rPr>
              <w:t> </w:t>
            </w:r>
            <w:r>
              <w:rPr/>
              <w:t>allowance</w:t>
            </w:r>
            <w:r>
              <w:rPr>
                <w:spacing w:val="-7"/>
              </w:rPr>
              <w:t> </w:t>
            </w:r>
            <w:r>
              <w:rPr>
                <w:spacing w:val="-2"/>
              </w:rPr>
              <w:t>graphs</w:t>
            </w:r>
          </w:hyperlink>
          <w:r>
            <w:rPr/>
            <w:tab/>
          </w:r>
          <w:hyperlink w:history="true" w:anchor="_bookmark121">
            <w:r>
              <w:rPr>
                <w:spacing w:val="-5"/>
              </w:rPr>
              <w:t>108</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5">
            <w:r>
              <w:rPr/>
              <w:t>Regulatory</w:t>
            </w:r>
            <w:r>
              <w:rPr>
                <w:spacing w:val="-8"/>
              </w:rPr>
              <w:t> </w:t>
            </w:r>
            <w:r>
              <w:rPr/>
              <w:t>and</w:t>
            </w:r>
            <w:r>
              <w:rPr>
                <w:spacing w:val="-8"/>
              </w:rPr>
              <w:t> </w:t>
            </w:r>
            <w:r>
              <w:rPr/>
              <w:t>ethical</w:t>
            </w:r>
            <w:r>
              <w:rPr>
                <w:spacing w:val="-8"/>
              </w:rPr>
              <w:t> </w:t>
            </w:r>
            <w:r>
              <w:rPr>
                <w:spacing w:val="-2"/>
              </w:rPr>
              <w:t>considerations</w:t>
            </w:r>
          </w:hyperlink>
          <w:r>
            <w:rPr/>
            <w:tab/>
          </w:r>
          <w:hyperlink w:history="true" w:anchor="_bookmark125">
            <w:r>
              <w:rPr>
                <w:spacing w:val="-5"/>
              </w:rPr>
              <w:t>111</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6">
            <w:r>
              <w:rPr/>
              <w:t>Threats</w:t>
            </w:r>
            <w:r>
              <w:rPr>
                <w:spacing w:val="-9"/>
              </w:rPr>
              <w:t> </w:t>
            </w:r>
            <w:r>
              <w:rPr/>
              <w:t>to</w:t>
            </w:r>
            <w:r>
              <w:rPr>
                <w:spacing w:val="-9"/>
              </w:rPr>
              <w:t> </w:t>
            </w:r>
            <w:r>
              <w:rPr>
                <w:spacing w:val="-2"/>
              </w:rPr>
              <w:t>validity</w:t>
            </w:r>
          </w:hyperlink>
          <w:r>
            <w:rPr/>
            <w:tab/>
          </w:r>
          <w:hyperlink w:history="true" w:anchor="_bookmark126">
            <w:r>
              <w:rPr>
                <w:spacing w:val="-5"/>
              </w:rPr>
              <w:t>112</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7">
            <w:r>
              <w:rPr>
                <w:spacing w:val="-2"/>
              </w:rPr>
              <w:t>Limitations</w:t>
            </w:r>
          </w:hyperlink>
          <w:r>
            <w:rPr/>
            <w:tab/>
          </w:r>
          <w:hyperlink w:history="true" w:anchor="_bookmark127">
            <w:r>
              <w:rPr>
                <w:spacing w:val="-5"/>
              </w:rPr>
              <w:t>114</w:t>
            </w:r>
          </w:hyperlink>
        </w:p>
        <w:p>
          <w:pPr>
            <w:pStyle w:val="TOC1"/>
            <w:numPr>
              <w:ilvl w:val="0"/>
              <w:numId w:val="1"/>
            </w:numPr>
            <w:tabs>
              <w:tab w:pos="856" w:val="left" w:leader="none"/>
              <w:tab w:pos="9639" w:val="right" w:leader="dot"/>
            </w:tabs>
            <w:spacing w:line="240" w:lineRule="auto" w:before="230" w:after="0"/>
            <w:ind w:left="856" w:right="0" w:hanging="574"/>
            <w:jc w:val="left"/>
            <w:rPr>
              <w:b w:val="0"/>
            </w:rPr>
          </w:pPr>
          <w:hyperlink w:history="true" w:anchor="_bookmark128">
            <w:r>
              <w:rPr/>
              <w:t>Conclusion</w:t>
            </w:r>
            <w:r>
              <w:rPr>
                <w:spacing w:val="-14"/>
              </w:rPr>
              <w:t> </w:t>
            </w:r>
            <w:r>
              <w:rPr/>
              <w:t>and</w:t>
            </w:r>
            <w:r>
              <w:rPr>
                <w:spacing w:val="-14"/>
              </w:rPr>
              <w:t> </w:t>
            </w:r>
            <w:r>
              <w:rPr/>
              <w:t>Future</w:t>
            </w:r>
            <w:r>
              <w:rPr>
                <w:spacing w:val="-14"/>
              </w:rPr>
              <w:t> </w:t>
            </w:r>
            <w:r>
              <w:rPr>
                <w:spacing w:val="-4"/>
              </w:rPr>
              <w:t>Work</w:t>
            </w:r>
          </w:hyperlink>
          <w:r>
            <w:rPr>
              <w:b w:val="0"/>
            </w:rPr>
            <w:tab/>
          </w:r>
          <w:hyperlink w:history="true" w:anchor="_bookmark128">
            <w:r>
              <w:rPr>
                <w:b w:val="0"/>
                <w:spacing w:val="-5"/>
              </w:rPr>
              <w:t>116</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29">
            <w:r>
              <w:rPr/>
              <w:t>Summary</w:t>
            </w:r>
            <w:r>
              <w:rPr>
                <w:spacing w:val="-7"/>
              </w:rPr>
              <w:t> </w:t>
            </w:r>
            <w:r>
              <w:rPr/>
              <w:t>of</w:t>
            </w:r>
            <w:r>
              <w:rPr>
                <w:spacing w:val="-7"/>
              </w:rPr>
              <w:t> </w:t>
            </w:r>
            <w:r>
              <w:rPr>
                <w:spacing w:val="-2"/>
              </w:rPr>
              <w:t>findings</w:t>
            </w:r>
          </w:hyperlink>
          <w:r>
            <w:rPr/>
            <w:tab/>
          </w:r>
          <w:hyperlink w:history="true" w:anchor="_bookmark129">
            <w:r>
              <w:rPr>
                <w:spacing w:val="-5"/>
              </w:rPr>
              <w:t>116</w:t>
            </w:r>
          </w:hyperlink>
        </w:p>
        <w:p>
          <w:pPr>
            <w:pStyle w:val="TOC4"/>
            <w:numPr>
              <w:ilvl w:val="1"/>
              <w:numId w:val="1"/>
            </w:numPr>
            <w:tabs>
              <w:tab w:pos="1214" w:val="left" w:leader="none"/>
              <w:tab w:pos="9639" w:val="right" w:leader="dot"/>
            </w:tabs>
            <w:spacing w:line="240" w:lineRule="auto" w:before="231" w:after="0"/>
            <w:ind w:left="1214" w:right="0" w:hanging="573"/>
            <w:jc w:val="left"/>
          </w:pPr>
          <w:hyperlink w:history="true" w:anchor="_bookmark130">
            <w:r>
              <w:rPr/>
              <w:t>Original</w:t>
            </w:r>
            <w:r>
              <w:rPr>
                <w:spacing w:val="-9"/>
              </w:rPr>
              <w:t> </w:t>
            </w:r>
            <w:r>
              <w:rPr/>
              <w:t>contribution</w:t>
            </w:r>
            <w:r>
              <w:rPr>
                <w:spacing w:val="-8"/>
              </w:rPr>
              <w:t> </w:t>
            </w:r>
            <w:r>
              <w:rPr/>
              <w:t>to</w:t>
            </w:r>
            <w:r>
              <w:rPr>
                <w:spacing w:val="-8"/>
              </w:rPr>
              <w:t> </w:t>
            </w:r>
            <w:r>
              <w:rPr>
                <w:spacing w:val="-2"/>
              </w:rPr>
              <w:t>knowledge</w:t>
            </w:r>
          </w:hyperlink>
          <w:r>
            <w:rPr/>
            <w:tab/>
          </w:r>
          <w:hyperlink w:history="true" w:anchor="_bookmark130">
            <w:r>
              <w:rPr>
                <w:spacing w:val="-5"/>
              </w:rPr>
              <w:t>117</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31">
            <w:r>
              <w:rPr/>
              <w:t>Future</w:t>
            </w:r>
            <w:r>
              <w:rPr>
                <w:spacing w:val="-8"/>
              </w:rPr>
              <w:t> </w:t>
            </w:r>
            <w:r>
              <w:rPr>
                <w:spacing w:val="-4"/>
              </w:rPr>
              <w:t>work</w:t>
            </w:r>
          </w:hyperlink>
          <w:r>
            <w:rPr/>
            <w:tab/>
          </w:r>
          <w:hyperlink w:history="true" w:anchor="_bookmark131">
            <w:r>
              <w:rPr>
                <w:spacing w:val="-5"/>
              </w:rPr>
              <w:t>119</w:t>
            </w:r>
          </w:hyperlink>
        </w:p>
        <w:p>
          <w:pPr>
            <w:pStyle w:val="TOC4"/>
            <w:numPr>
              <w:ilvl w:val="1"/>
              <w:numId w:val="1"/>
            </w:numPr>
            <w:tabs>
              <w:tab w:pos="1214" w:val="left" w:leader="none"/>
              <w:tab w:pos="9639" w:val="right" w:leader="dot"/>
            </w:tabs>
            <w:spacing w:line="240" w:lineRule="auto" w:before="230" w:after="0"/>
            <w:ind w:left="1214" w:right="0" w:hanging="573"/>
            <w:jc w:val="left"/>
          </w:pPr>
          <w:hyperlink w:history="true" w:anchor="_bookmark132">
            <w:r>
              <w:rPr/>
              <w:t>Closing</w:t>
            </w:r>
            <w:r>
              <w:rPr>
                <w:spacing w:val="-9"/>
              </w:rPr>
              <w:t> </w:t>
            </w:r>
            <w:r>
              <w:rPr>
                <w:spacing w:val="-2"/>
              </w:rPr>
              <w:t>reflection</w:t>
            </w:r>
          </w:hyperlink>
          <w:r>
            <w:rPr/>
            <w:tab/>
          </w:r>
          <w:hyperlink w:history="true" w:anchor="_bookmark132">
            <w:r>
              <w:rPr>
                <w:spacing w:val="-5"/>
              </w:rPr>
              <w:t>120</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33">
            <w:r>
              <w:rPr>
                <w:i w:val="0"/>
                <w:spacing w:val="-2"/>
                <w:sz w:val="24"/>
              </w:rPr>
              <w:t>References</w:t>
            </w:r>
          </w:hyperlink>
          <w:r>
            <w:rPr>
              <w:b w:val="0"/>
              <w:i w:val="0"/>
              <w:sz w:val="24"/>
            </w:rPr>
            <w:tab/>
          </w:r>
          <w:hyperlink w:history="true" w:anchor="_bookmark133">
            <w:r>
              <w:rPr>
                <w:b w:val="0"/>
                <w:i w:val="0"/>
                <w:spacing w:val="-5"/>
                <w:sz w:val="24"/>
              </w:rPr>
              <w:t>122</w:t>
            </w:r>
          </w:hyperlink>
        </w:p>
        <w:p>
          <w:pPr>
            <w:pStyle w:val="TOC2"/>
            <w:numPr>
              <w:ilvl w:val="0"/>
              <w:numId w:val="1"/>
            </w:numPr>
            <w:tabs>
              <w:tab w:pos="856" w:val="left" w:leader="none"/>
              <w:tab w:pos="9639" w:val="right" w:leader="dot"/>
            </w:tabs>
            <w:spacing w:line="240" w:lineRule="auto" w:before="230" w:after="0"/>
            <w:ind w:left="856" w:right="0" w:hanging="574"/>
            <w:jc w:val="left"/>
            <w:rPr>
              <w:b w:val="0"/>
              <w:i w:val="0"/>
              <w:sz w:val="24"/>
            </w:rPr>
          </w:pPr>
          <w:hyperlink w:history="true" w:anchor="_bookmark197">
            <w:r>
              <w:rPr>
                <w:i w:val="0"/>
                <w:spacing w:val="-2"/>
                <w:sz w:val="24"/>
              </w:rPr>
              <w:t>Appendix</w:t>
            </w:r>
          </w:hyperlink>
          <w:r>
            <w:rPr>
              <w:b w:val="0"/>
              <w:i w:val="0"/>
              <w:sz w:val="24"/>
            </w:rPr>
            <w:tab/>
          </w:r>
          <w:hyperlink w:history="true" w:anchor="_bookmark197">
            <w:r>
              <w:rPr>
                <w:b w:val="0"/>
                <w:i w:val="0"/>
                <w:spacing w:val="-5"/>
                <w:sz w:val="24"/>
              </w:rPr>
              <w:t>129</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198">
            <w:r>
              <w:rPr/>
              <w:t>Evaluation</w:t>
            </w:r>
            <w:r>
              <w:rPr>
                <w:spacing w:val="-13"/>
              </w:rPr>
              <w:t> </w:t>
            </w:r>
            <w:r>
              <w:rPr/>
              <w:t>Pipeline</w:t>
            </w:r>
            <w:r>
              <w:rPr>
                <w:spacing w:val="-12"/>
              </w:rPr>
              <w:t> </w:t>
            </w:r>
            <w:r>
              <w:rPr/>
              <w:t>and</w:t>
            </w:r>
            <w:r>
              <w:rPr>
                <w:spacing w:val="-13"/>
              </w:rPr>
              <w:t> </w:t>
            </w:r>
            <w:r>
              <w:rPr>
                <w:spacing w:val="-2"/>
              </w:rPr>
              <w:t>Reproducibility</w:t>
            </w:r>
          </w:hyperlink>
          <w:r>
            <w:rPr>
              <w:b w:val="0"/>
            </w:rPr>
            <w:tab/>
          </w:r>
          <w:hyperlink w:history="true" w:anchor="_bookmark198">
            <w:r>
              <w:rPr>
                <w:b w:val="0"/>
                <w:spacing w:val="-5"/>
              </w:rPr>
              <w:t>129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199">
            <w:r>
              <w:rPr/>
              <w:t>Pipeline</w:t>
            </w:r>
            <w:r>
              <w:rPr>
                <w:spacing w:val="-9"/>
              </w:rPr>
              <w:t> </w:t>
            </w:r>
            <w:r>
              <w:rPr>
                <w:spacing w:val="-2"/>
              </w:rPr>
              <w:t>stages</w:t>
            </w:r>
          </w:hyperlink>
          <w:r>
            <w:rPr/>
            <w:tab/>
          </w:r>
          <w:hyperlink w:history="true" w:anchor="_bookmark199">
            <w:r>
              <w:rPr>
                <w:spacing w:val="-5"/>
              </w:rPr>
              <w:t>129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0">
            <w:r>
              <w:rPr/>
              <w:t>BigQuery</w:t>
            </w:r>
            <w:r>
              <w:rPr>
                <w:spacing w:val="-11"/>
              </w:rPr>
              <w:t> </w:t>
            </w:r>
            <w:r>
              <w:rPr/>
              <w:t>extraction</w:t>
            </w:r>
            <w:r>
              <w:rPr>
                <w:spacing w:val="-11"/>
              </w:rPr>
              <w:t> </w:t>
            </w:r>
            <w:r>
              <w:rPr>
                <w:spacing w:val="-2"/>
              </w:rPr>
              <w:t>design</w:t>
            </w:r>
          </w:hyperlink>
          <w:r>
            <w:rPr/>
            <w:tab/>
          </w:r>
          <w:hyperlink w:history="true" w:anchor="_bookmark200">
            <w:r>
              <w:rPr>
                <w:spacing w:val="-5"/>
              </w:rPr>
              <w:t>130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1">
            <w:r>
              <w:rPr/>
              <w:t>Scaling</w:t>
            </w:r>
            <w:r>
              <w:rPr>
                <w:spacing w:val="-9"/>
              </w:rPr>
              <w:t> </w:t>
            </w:r>
            <w:r>
              <w:rPr>
                <w:spacing w:val="-2"/>
              </w:rPr>
              <w:t>tables</w:t>
            </w:r>
          </w:hyperlink>
          <w:r>
            <w:rPr/>
            <w:tab/>
          </w:r>
          <w:hyperlink w:history="true" w:anchor="_bookmark201">
            <w:r>
              <w:rPr>
                <w:spacing w:val="-5"/>
              </w:rPr>
              <w:t>130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3">
            <w:r>
              <w:rPr/>
              <w:t>Credit</w:t>
            </w:r>
            <w:r>
              <w:rPr>
                <w:spacing w:val="-9"/>
              </w:rPr>
              <w:t> </w:t>
            </w:r>
            <w:r>
              <w:rPr/>
              <w:t>Delegation</w:t>
            </w:r>
            <w:r>
              <w:rPr>
                <w:spacing w:val="-9"/>
              </w:rPr>
              <w:t> </w:t>
            </w:r>
            <w:r>
              <w:rPr/>
              <w:t>extract</w:t>
            </w:r>
            <w:r>
              <w:rPr>
                <w:spacing w:val="-9"/>
              </w:rPr>
              <w:t> </w:t>
            </w:r>
            <w:r>
              <w:rPr>
                <w:spacing w:val="-2"/>
              </w:rPr>
              <w:t>(deferred)</w:t>
            </w:r>
          </w:hyperlink>
          <w:r>
            <w:rPr/>
            <w:tab/>
          </w:r>
          <w:hyperlink w:history="true" w:anchor="_bookmark203">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4">
            <w:r>
              <w:rPr/>
              <w:t>Supplementary</w:t>
            </w:r>
            <w:r>
              <w:rPr>
                <w:spacing w:val="-13"/>
              </w:rPr>
              <w:t> </w:t>
            </w:r>
            <w:r>
              <w:rPr/>
              <w:t>alignment</w:t>
            </w:r>
            <w:r>
              <w:rPr>
                <w:spacing w:val="-12"/>
              </w:rPr>
              <w:t> </w:t>
            </w:r>
            <w:r>
              <w:rPr/>
              <w:t>summary</w:t>
            </w:r>
            <w:r>
              <w:rPr>
                <w:spacing w:val="-12"/>
              </w:rPr>
              <w:t> </w:t>
            </w:r>
            <w:r>
              <w:rPr>
                <w:spacing w:val="-2"/>
              </w:rPr>
              <w:t>table</w:t>
            </w:r>
          </w:hyperlink>
          <w:r>
            <w:rPr/>
            <w:tab/>
          </w:r>
          <w:hyperlink w:history="true" w:anchor="_bookmark204">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6">
            <w:r>
              <w:rPr/>
              <w:t>Parameter</w:t>
            </w:r>
            <w:r>
              <w:rPr>
                <w:spacing w:val="-11"/>
              </w:rPr>
              <w:t> </w:t>
            </w:r>
            <w:r>
              <w:rPr>
                <w:spacing w:val="-2"/>
              </w:rPr>
              <w:t>summary</w:t>
            </w:r>
          </w:hyperlink>
          <w:r>
            <w:rPr/>
            <w:tab/>
          </w:r>
          <w:hyperlink w:history="true" w:anchor="_bookmark206">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7">
            <w:r>
              <w:rPr/>
              <w:t>Proxy</w:t>
            </w:r>
            <w:r>
              <w:rPr>
                <w:spacing w:val="-14"/>
              </w:rPr>
              <w:t> </w:t>
            </w:r>
            <w:r>
              <w:rPr/>
              <w:t>operational</w:t>
            </w:r>
            <w:r>
              <w:rPr>
                <w:spacing w:val="-13"/>
              </w:rPr>
              <w:t> </w:t>
            </w:r>
            <w:r>
              <w:rPr/>
              <w:t>definitions</w:t>
            </w:r>
            <w:r>
              <w:rPr>
                <w:spacing w:val="-13"/>
              </w:rPr>
              <w:t> </w:t>
            </w:r>
            <w:r>
              <w:rPr>
                <w:spacing w:val="-2"/>
              </w:rPr>
              <w:t>(reference)</w:t>
            </w:r>
          </w:hyperlink>
          <w:r>
            <w:rPr/>
            <w:tab/>
          </w:r>
          <w:hyperlink w:history="true" w:anchor="_bookmark207">
            <w:r>
              <w:rPr>
                <w:spacing w:val="-5"/>
              </w:rPr>
              <w:t>131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09">
            <w:r>
              <w:rPr>
                <w:spacing w:val="-2"/>
              </w:rPr>
              <w:t>Glossary</w:t>
            </w:r>
          </w:hyperlink>
          <w:r>
            <w:rPr/>
            <w:tab/>
          </w:r>
          <w:hyperlink w:history="true" w:anchor="_bookmark209">
            <w:r>
              <w:rPr>
                <w:spacing w:val="-5"/>
              </w:rPr>
              <w:t>132</w:t>
            </w:r>
          </w:hyperlink>
        </w:p>
        <w:p>
          <w:pPr>
            <w:pStyle w:val="TOC3"/>
            <w:numPr>
              <w:ilvl w:val="1"/>
              <w:numId w:val="1"/>
            </w:numPr>
            <w:tabs>
              <w:tab w:pos="1214" w:val="left" w:leader="none"/>
              <w:tab w:pos="9639" w:val="right" w:leader="dot"/>
            </w:tabs>
            <w:spacing w:line="240" w:lineRule="auto" w:before="231" w:after="0"/>
            <w:ind w:left="1214" w:right="0" w:hanging="573"/>
            <w:jc w:val="left"/>
            <w:rPr>
              <w:b w:val="0"/>
            </w:rPr>
          </w:pPr>
          <w:hyperlink w:history="true" w:anchor="_bookmark210">
            <w:r>
              <w:rPr>
                <w:spacing w:val="-2"/>
              </w:rPr>
              <w:t>SQL</w:t>
            </w:r>
            <w:r>
              <w:rPr>
                <w:spacing w:val="-1"/>
              </w:rPr>
              <w:t> </w:t>
            </w:r>
            <w:r>
              <w:rPr>
                <w:spacing w:val="-2"/>
              </w:rPr>
              <w:t>Templates,</w:t>
            </w:r>
            <w:r>
              <w:rPr>
                <w:spacing w:val="-1"/>
              </w:rPr>
              <w:t> </w:t>
            </w:r>
            <w:r>
              <w:rPr>
                <w:spacing w:val="-2"/>
              </w:rPr>
              <w:t>Configuration,</w:t>
            </w:r>
            <w:r>
              <w:rPr>
                <w:spacing w:val="-1"/>
              </w:rPr>
              <w:t> </w:t>
            </w:r>
            <w:r>
              <w:rPr>
                <w:spacing w:val="-2"/>
              </w:rPr>
              <w:t>and</w:t>
            </w:r>
            <w:r>
              <w:rPr>
                <w:spacing w:val="-1"/>
              </w:rPr>
              <w:t> </w:t>
            </w:r>
            <w:r>
              <w:rPr>
                <w:spacing w:val="-2"/>
              </w:rPr>
              <w:t>Extended</w:t>
            </w:r>
            <w:r>
              <w:rPr>
                <w:spacing w:val="-1"/>
              </w:rPr>
              <w:t> </w:t>
            </w:r>
            <w:r>
              <w:rPr>
                <w:spacing w:val="-2"/>
              </w:rPr>
              <w:t>Notes</w:t>
            </w:r>
          </w:hyperlink>
          <w:r>
            <w:rPr>
              <w:b w:val="0"/>
            </w:rPr>
            <w:tab/>
          </w:r>
          <w:hyperlink w:history="true" w:anchor="_bookmark210">
            <w:r>
              <w:rPr>
                <w:b w:val="0"/>
                <w:spacing w:val="-5"/>
              </w:rPr>
              <w:t>133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1">
            <w:r>
              <w:rPr/>
              <w:t>Approval</w:t>
            </w:r>
            <w:r>
              <w:rPr>
                <w:spacing w:val="-9"/>
              </w:rPr>
              <w:t> </w:t>
            </w:r>
            <w:r>
              <w:rPr/>
              <w:t>log</w:t>
            </w:r>
            <w:r>
              <w:rPr>
                <w:spacing w:val="-8"/>
              </w:rPr>
              <w:t> </w:t>
            </w:r>
            <w:r>
              <w:rPr/>
              <w:t>extraction</w:t>
            </w:r>
            <w:r>
              <w:rPr>
                <w:spacing w:val="-8"/>
              </w:rPr>
              <w:t> </w:t>
            </w:r>
            <w:r>
              <w:rPr>
                <w:spacing w:val="-2"/>
              </w:rPr>
              <w:t>pattern</w:t>
            </w:r>
          </w:hyperlink>
          <w:r>
            <w:rPr/>
            <w:tab/>
          </w:r>
          <w:hyperlink w:history="true" w:anchor="_bookmark211">
            <w:r>
              <w:rPr>
                <w:spacing w:val="-5"/>
              </w:rPr>
              <w:t>133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2">
            <w:r>
              <w:rPr/>
              <w:t>Transfer</w:t>
            </w:r>
            <w:r>
              <w:rPr>
                <w:spacing w:val="-11"/>
              </w:rPr>
              <w:t> </w:t>
            </w:r>
            <w:r>
              <w:rPr/>
              <w:t>log</w:t>
            </w:r>
            <w:r>
              <w:rPr>
                <w:spacing w:val="-11"/>
              </w:rPr>
              <w:t> </w:t>
            </w:r>
            <w:r>
              <w:rPr/>
              <w:t>extraction</w:t>
            </w:r>
            <w:r>
              <w:rPr>
                <w:spacing w:val="-11"/>
              </w:rPr>
              <w:t> </w:t>
            </w:r>
            <w:r>
              <w:rPr>
                <w:spacing w:val="-2"/>
              </w:rPr>
              <w:t>pattern</w:t>
            </w:r>
          </w:hyperlink>
          <w:r>
            <w:rPr/>
            <w:tab/>
          </w:r>
          <w:hyperlink w:history="true" w:anchor="_bookmark212">
            <w:r>
              <w:rPr>
                <w:spacing w:val="-5"/>
              </w:rPr>
              <w:t>134</w:t>
            </w:r>
          </w:hyperlink>
        </w:p>
        <w:p>
          <w:pPr>
            <w:pStyle w:val="TOC6"/>
            <w:numPr>
              <w:ilvl w:val="2"/>
              <w:numId w:val="1"/>
            </w:numPr>
            <w:tabs>
              <w:tab w:pos="1572" w:val="left" w:leader="none"/>
              <w:tab w:pos="9639" w:val="right" w:leader="dot"/>
            </w:tabs>
            <w:spacing w:line="240" w:lineRule="auto" w:before="230" w:after="163"/>
            <w:ind w:left="1572" w:right="0" w:hanging="573"/>
            <w:jc w:val="left"/>
          </w:pPr>
          <w:hyperlink w:history="true" w:anchor="_bookmark213">
            <w:r>
              <w:rPr/>
              <w:t>GMX</w:t>
            </w:r>
            <w:r>
              <w:rPr>
                <w:spacing w:val="-13"/>
              </w:rPr>
              <w:t> </w:t>
            </w:r>
            <w:r>
              <w:rPr/>
              <w:t>PositionDecrease</w:t>
            </w:r>
            <w:r>
              <w:rPr>
                <w:spacing w:val="-12"/>
              </w:rPr>
              <w:t> </w:t>
            </w:r>
            <w:r>
              <w:rPr/>
              <w:t>extraction</w:t>
            </w:r>
            <w:r>
              <w:rPr>
                <w:spacing w:val="-12"/>
              </w:rPr>
              <w:t> </w:t>
            </w:r>
            <w:r>
              <w:rPr>
                <w:spacing w:val="-2"/>
              </w:rPr>
              <w:t>pattern</w:t>
            </w:r>
          </w:hyperlink>
          <w:r>
            <w:rPr/>
            <w:tab/>
          </w:r>
          <w:hyperlink w:history="true" w:anchor="_bookmark213">
            <w:r>
              <w:rPr>
                <w:spacing w:val="-5"/>
              </w:rPr>
              <w:t>135</w:t>
            </w:r>
          </w:hyperlink>
        </w:p>
        <w:p>
          <w:pPr>
            <w:pStyle w:val="TOC6"/>
            <w:numPr>
              <w:ilvl w:val="2"/>
              <w:numId w:val="1"/>
            </w:numPr>
            <w:tabs>
              <w:tab w:pos="1572" w:val="left" w:leader="none"/>
              <w:tab w:pos="9639" w:val="right" w:leader="dot"/>
            </w:tabs>
            <w:spacing w:line="240" w:lineRule="auto" w:before="74" w:after="0"/>
            <w:ind w:left="1572" w:right="0" w:hanging="573"/>
            <w:jc w:val="left"/>
          </w:pPr>
          <w:hyperlink w:history="true" w:anchor="_bookmark214">
            <w:r>
              <w:rPr/>
              <w:t>Configuration</w:t>
            </w:r>
            <w:r>
              <w:rPr>
                <w:spacing w:val="-15"/>
              </w:rPr>
              <w:t> </w:t>
            </w:r>
            <w:r>
              <w:rPr>
                <w:spacing w:val="-4"/>
              </w:rPr>
              <w:t>keys</w:t>
            </w:r>
          </w:hyperlink>
          <w:r>
            <w:rPr/>
            <w:tab/>
          </w:r>
          <w:hyperlink w:history="true" w:anchor="_bookmark214">
            <w:r>
              <w:rPr>
                <w:spacing w:val="-5"/>
              </w:rPr>
              <w:t>135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5">
            <w:r>
              <w:rPr/>
              <w:t>Complexity</w:t>
            </w:r>
            <w:r>
              <w:rPr>
                <w:spacing w:val="-13"/>
              </w:rPr>
              <w:t> </w:t>
            </w:r>
            <w:r>
              <w:rPr>
                <w:spacing w:val="-2"/>
              </w:rPr>
              <w:t>notes</w:t>
            </w:r>
          </w:hyperlink>
          <w:r>
            <w:rPr/>
            <w:tab/>
          </w:r>
          <w:hyperlink w:history="true" w:anchor="_bookmark215">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6">
            <w:r>
              <w:rPr/>
              <w:t>Interpretation</w:t>
            </w:r>
            <w:r>
              <w:rPr>
                <w:spacing w:val="-10"/>
              </w:rPr>
              <w:t> </w:t>
            </w:r>
            <w:r>
              <w:rPr/>
              <w:t>checklist</w:t>
            </w:r>
            <w:r>
              <w:rPr>
                <w:spacing w:val="-9"/>
              </w:rPr>
              <w:t> </w:t>
            </w:r>
            <w:r>
              <w:rPr/>
              <w:t>for</w:t>
            </w:r>
            <w:r>
              <w:rPr>
                <w:spacing w:val="-9"/>
              </w:rPr>
              <w:t> </w:t>
            </w:r>
            <w:r>
              <w:rPr>
                <w:spacing w:val="-2"/>
              </w:rPr>
              <w:t>readers</w:t>
            </w:r>
          </w:hyperlink>
          <w:r>
            <w:rPr/>
            <w:tab/>
          </w:r>
          <w:hyperlink w:history="true" w:anchor="_bookmark216">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7">
            <w:r>
              <w:rPr/>
              <w:t>Archived</w:t>
            </w:r>
            <w:r>
              <w:rPr>
                <w:spacing w:val="-10"/>
              </w:rPr>
              <w:t> </w:t>
            </w:r>
            <w:r>
              <w:rPr/>
              <w:t>extended</w:t>
            </w:r>
            <w:r>
              <w:rPr>
                <w:spacing w:val="-10"/>
              </w:rPr>
              <w:t> </w:t>
            </w:r>
            <w:r>
              <w:rPr>
                <w:spacing w:val="-2"/>
              </w:rPr>
              <w:t>baselines</w:t>
            </w:r>
          </w:hyperlink>
          <w:r>
            <w:rPr/>
            <w:tab/>
          </w:r>
          <w:hyperlink w:history="true" w:anchor="_bookmark217">
            <w:r>
              <w:rPr>
                <w:spacing w:val="-5"/>
              </w:rPr>
              <w:t>136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18">
            <w:r>
              <w:rPr>
                <w:spacing w:val="-2"/>
              </w:rPr>
              <w:t>Limitations</w:t>
            </w:r>
            <w:r>
              <w:rPr>
                <w:spacing w:val="-1"/>
              </w:rPr>
              <w:t> </w:t>
            </w:r>
            <w:r>
              <w:rPr>
                <w:spacing w:val="-2"/>
              </w:rPr>
              <w:t>reprise</w:t>
            </w:r>
          </w:hyperlink>
          <w:r>
            <w:rPr/>
            <w:tab/>
          </w:r>
          <w:hyperlink w:history="true" w:anchor="_bookmark218">
            <w:r>
              <w:rPr>
                <w:spacing w:val="-5"/>
              </w:rPr>
              <w:t>137</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219">
            <w:r>
              <w:rPr/>
              <w:t>Elementary</w:t>
            </w:r>
            <w:r>
              <w:rPr>
                <w:spacing w:val="-13"/>
              </w:rPr>
              <w:t> </w:t>
            </w:r>
            <w:r>
              <w:rPr/>
              <w:t>Properties</w:t>
            </w:r>
            <w:r>
              <w:rPr>
                <w:spacing w:val="-12"/>
              </w:rPr>
              <w:t> </w:t>
            </w:r>
            <w:r>
              <w:rPr/>
              <w:t>of</w:t>
            </w:r>
            <w:r>
              <w:rPr>
                <w:spacing w:val="-13"/>
              </w:rPr>
              <w:t> </w:t>
            </w:r>
            <w:r>
              <w:rPr/>
              <w:t>PageRank</w:t>
            </w:r>
            <w:r>
              <w:rPr>
                <w:spacing w:val="-12"/>
              </w:rPr>
              <w:t> </w:t>
            </w:r>
            <w:r>
              <w:rPr/>
              <w:t>and</w:t>
            </w:r>
            <w:r>
              <w:rPr>
                <w:spacing w:val="-13"/>
              </w:rPr>
              <w:t> </w:t>
            </w:r>
            <w:r>
              <w:rPr/>
              <w:t>Rank</w:t>
            </w:r>
            <w:r>
              <w:rPr>
                <w:spacing w:val="-12"/>
              </w:rPr>
              <w:t> </w:t>
            </w:r>
            <w:r>
              <w:rPr>
                <w:spacing w:val="-2"/>
              </w:rPr>
              <w:t>Correlation</w:t>
            </w:r>
          </w:hyperlink>
          <w:r>
            <w:rPr>
              <w:b w:val="0"/>
            </w:rPr>
            <w:tab/>
          </w:r>
          <w:hyperlink w:history="true" w:anchor="_bookmark219">
            <w:r>
              <w:rPr>
                <w:b w:val="0"/>
                <w:spacing w:val="-5"/>
              </w:rPr>
              <w:t>137</w:t>
            </w:r>
          </w:hyperlink>
        </w:p>
        <w:p>
          <w:pPr>
            <w:pStyle w:val="TOC6"/>
            <w:numPr>
              <w:ilvl w:val="2"/>
              <w:numId w:val="1"/>
            </w:numPr>
            <w:tabs>
              <w:tab w:pos="1572" w:val="left" w:leader="none"/>
              <w:tab w:pos="9639" w:val="right" w:leader="dot"/>
            </w:tabs>
            <w:spacing w:line="240" w:lineRule="auto" w:before="231" w:after="0"/>
            <w:ind w:left="1572" w:right="0" w:hanging="573"/>
            <w:jc w:val="left"/>
          </w:pPr>
          <w:hyperlink w:history="true" w:anchor="_bookmark220">
            <w:r>
              <w:rPr/>
              <w:t>Existence</w:t>
            </w:r>
            <w:r>
              <w:rPr>
                <w:spacing w:val="-10"/>
              </w:rPr>
              <w:t> </w:t>
            </w:r>
            <w:r>
              <w:rPr/>
              <w:t>and</w:t>
            </w:r>
            <w:r>
              <w:rPr>
                <w:spacing w:val="-10"/>
              </w:rPr>
              <w:t> </w:t>
            </w:r>
            <w:r>
              <w:rPr/>
              <w:t>uniqueness</w:t>
            </w:r>
            <w:r>
              <w:rPr>
                <w:spacing w:val="-9"/>
              </w:rPr>
              <w:t> </w:t>
            </w:r>
            <w:r>
              <w:rPr/>
              <w:t>of</w:t>
            </w:r>
            <w:r>
              <w:rPr>
                <w:spacing w:val="-10"/>
              </w:rPr>
              <w:t> </w:t>
            </w:r>
            <w:r>
              <w:rPr>
                <w:spacing w:val="-2"/>
              </w:rPr>
              <w:t>PageRank</w:t>
            </w:r>
          </w:hyperlink>
          <w:r>
            <w:rPr/>
            <w:tab/>
          </w:r>
          <w:hyperlink w:history="true" w:anchor="_bookmark220">
            <w:r>
              <w:rPr>
                <w:spacing w:val="-5"/>
              </w:rPr>
              <w:t>137</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1">
            <w:r>
              <w:rPr/>
              <w:t>Continuity</w:t>
            </w:r>
            <w:r>
              <w:rPr>
                <w:spacing w:val="-7"/>
              </w:rPr>
              <w:t> </w:t>
            </w:r>
            <w:r>
              <w:rPr/>
              <w:t>in</w:t>
            </w:r>
            <w:r>
              <w:rPr>
                <w:spacing w:val="-7"/>
              </w:rPr>
              <w:t> </w:t>
            </w:r>
            <w:r>
              <w:rPr/>
              <w:t>edge</w:t>
            </w:r>
            <w:r>
              <w:rPr>
                <w:spacing w:val="-6"/>
              </w:rPr>
              <w:t> </w:t>
            </w:r>
            <w:r>
              <w:rPr>
                <w:spacing w:val="-2"/>
              </w:rPr>
              <w:t>weights</w:t>
            </w:r>
          </w:hyperlink>
          <w:r>
            <w:rPr/>
            <w:tab/>
          </w:r>
          <w:hyperlink w:history="true" w:anchor="_bookmark221">
            <w:r>
              <w:rPr>
                <w:spacing w:val="-5"/>
              </w:rPr>
              <w:t>138</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2">
            <w:r>
              <w:rPr/>
              <w:t>Sparsity</w:t>
            </w:r>
            <w:r>
              <w:rPr>
                <w:spacing w:val="-11"/>
              </w:rPr>
              <w:t> </w:t>
            </w:r>
            <w:r>
              <w:rPr/>
              <w:t>and</w:t>
            </w:r>
            <w:r>
              <w:rPr>
                <w:spacing w:val="-10"/>
              </w:rPr>
              <w:t> </w:t>
            </w:r>
            <w:r>
              <w:rPr/>
              <w:t>per-iteration</w:t>
            </w:r>
            <w:r>
              <w:rPr>
                <w:spacing w:val="-11"/>
              </w:rPr>
              <w:t> </w:t>
            </w:r>
            <w:r>
              <w:rPr>
                <w:spacing w:val="-4"/>
              </w:rPr>
              <w:t>cost</w:t>
            </w:r>
          </w:hyperlink>
          <w:r>
            <w:rPr/>
            <w:tab/>
          </w:r>
          <w:hyperlink w:history="true" w:anchor="_bookmark222">
            <w:r>
              <w:rPr>
                <w:spacing w:val="-5"/>
              </w:rPr>
              <w:t>138</w:t>
            </w:r>
          </w:hyperlink>
        </w:p>
        <w:p>
          <w:pPr>
            <w:pStyle w:val="TOC6"/>
            <w:numPr>
              <w:ilvl w:val="2"/>
              <w:numId w:val="1"/>
            </w:numPr>
            <w:tabs>
              <w:tab w:pos="1572" w:val="left" w:leader="none"/>
              <w:tab w:pos="9639" w:val="right" w:leader="dot"/>
            </w:tabs>
            <w:spacing w:line="240" w:lineRule="auto" w:before="225" w:after="0"/>
            <w:ind w:left="1572" w:right="0" w:hanging="573"/>
            <w:jc w:val="left"/>
          </w:pPr>
          <w:hyperlink w:history="true" w:anchor="_bookmark223">
            <w:r>
              <w:rPr>
                <w:spacing w:val="-2"/>
              </w:rPr>
              <w:t>Properties of Spearman’s</w:t>
            </w:r>
            <w:r>
              <w:rPr>
                <w:spacing w:val="-1"/>
              </w:rPr>
              <w:t> </w:t>
            </w:r>
            <w:r>
              <w:rPr>
                <w:rFonts w:ascii="Calibri" w:hAnsi="Calibri"/>
                <w:i/>
                <w:spacing w:val="-10"/>
              </w:rPr>
              <w:t>ρ</w:t>
            </w:r>
          </w:hyperlink>
          <w:r>
            <w:rPr/>
            <w:tab/>
          </w:r>
          <w:hyperlink w:history="true" w:anchor="_bookmark223">
            <w:r>
              <w:rPr>
                <w:spacing w:val="-5"/>
              </w:rPr>
              <w:t>138</w:t>
            </w:r>
          </w:hyperlink>
        </w:p>
        <w:p>
          <w:pPr>
            <w:pStyle w:val="TOC6"/>
            <w:numPr>
              <w:ilvl w:val="2"/>
              <w:numId w:val="1"/>
            </w:numPr>
            <w:tabs>
              <w:tab w:pos="1572" w:val="left" w:leader="none"/>
              <w:tab w:pos="9639" w:val="right" w:leader="dot"/>
            </w:tabs>
            <w:spacing w:line="240" w:lineRule="auto" w:before="213" w:after="0"/>
            <w:ind w:left="1572" w:right="0" w:hanging="573"/>
            <w:jc w:val="left"/>
          </w:pPr>
          <w:hyperlink w:history="true" w:anchor="_bookmark224">
            <w:r>
              <w:rPr>
                <w:spacing w:val="-2"/>
              </w:rPr>
              <w:t>Properties of Kendall’s</w:t>
            </w:r>
            <w:r>
              <w:rPr>
                <w:spacing w:val="-1"/>
              </w:rPr>
              <w:t> </w:t>
            </w:r>
            <w:r>
              <w:rPr>
                <w:rFonts w:ascii="Calibri" w:hAnsi="Calibri"/>
                <w:i/>
                <w:spacing w:val="-10"/>
              </w:rPr>
              <w:t>τ</w:t>
            </w:r>
          </w:hyperlink>
          <w:r>
            <w:rPr/>
            <w:tab/>
          </w:r>
          <w:hyperlink w:history="true" w:anchor="_bookmark224">
            <w:r>
              <w:rPr>
                <w:spacing w:val="-5"/>
              </w:rPr>
              <w:t>138</w:t>
            </w:r>
          </w:hyperlink>
        </w:p>
        <w:p>
          <w:pPr>
            <w:pStyle w:val="TOC6"/>
            <w:numPr>
              <w:ilvl w:val="2"/>
              <w:numId w:val="1"/>
            </w:numPr>
            <w:tabs>
              <w:tab w:pos="1572" w:val="left" w:leader="none"/>
              <w:tab w:pos="9639" w:val="right" w:leader="dot"/>
            </w:tabs>
            <w:spacing w:line="240" w:lineRule="auto" w:before="218" w:after="0"/>
            <w:ind w:left="1572" w:right="0" w:hanging="573"/>
            <w:jc w:val="left"/>
          </w:pPr>
          <w:hyperlink w:history="true" w:anchor="_bookmark225">
            <w:r>
              <w:rPr/>
              <w:t>Construct</w:t>
            </w:r>
            <w:r>
              <w:rPr>
                <w:spacing w:val="-10"/>
              </w:rPr>
              <w:t> </w:t>
            </w:r>
            <w:r>
              <w:rPr/>
              <w:t>validity</w:t>
            </w:r>
            <w:r>
              <w:rPr>
                <w:spacing w:val="-9"/>
              </w:rPr>
              <w:t> </w:t>
            </w:r>
            <w:r>
              <w:rPr>
                <w:spacing w:val="-4"/>
              </w:rPr>
              <w:t>note</w:t>
            </w:r>
          </w:hyperlink>
          <w:r>
            <w:rPr/>
            <w:tab/>
          </w:r>
          <w:hyperlink w:history="true" w:anchor="_bookmark225">
            <w:r>
              <w:rPr>
                <w:spacing w:val="-5"/>
              </w:rPr>
              <w:t>139</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6">
            <w:r>
              <w:rPr/>
              <w:t>Numerical</w:t>
            </w:r>
            <w:r>
              <w:rPr>
                <w:spacing w:val="-11"/>
              </w:rPr>
              <w:t> </w:t>
            </w:r>
            <w:r>
              <w:rPr/>
              <w:t>summary</w:t>
            </w:r>
            <w:r>
              <w:rPr>
                <w:spacing w:val="-11"/>
              </w:rPr>
              <w:t> </w:t>
            </w:r>
            <w:r>
              <w:rPr>
                <w:spacing w:val="-2"/>
              </w:rPr>
              <w:t>sheet</w:t>
            </w:r>
          </w:hyperlink>
          <w:r>
            <w:rPr/>
            <w:tab/>
          </w:r>
          <w:hyperlink w:history="true" w:anchor="_bookmark226">
            <w:r>
              <w:rPr>
                <w:spacing w:val="-5"/>
              </w:rPr>
              <w:t>139</w:t>
            </w:r>
          </w:hyperlink>
        </w:p>
        <w:p>
          <w:pPr>
            <w:pStyle w:val="TOC3"/>
            <w:numPr>
              <w:ilvl w:val="1"/>
              <w:numId w:val="1"/>
            </w:numPr>
            <w:tabs>
              <w:tab w:pos="1214" w:val="left" w:leader="none"/>
              <w:tab w:pos="9639" w:val="right" w:leader="dot"/>
            </w:tabs>
            <w:spacing w:line="240" w:lineRule="auto" w:before="230" w:after="0"/>
            <w:ind w:left="1214" w:right="0" w:hanging="573"/>
            <w:jc w:val="left"/>
            <w:rPr>
              <w:b w:val="0"/>
            </w:rPr>
          </w:pPr>
          <w:hyperlink w:history="true" w:anchor="_bookmark227">
            <w:r>
              <w:rPr>
                <w:spacing w:val="-2"/>
              </w:rPr>
              <w:t>Archived</w:t>
            </w:r>
            <w:r>
              <w:rPr>
                <w:spacing w:val="-4"/>
              </w:rPr>
              <w:t> </w:t>
            </w:r>
            <w:r>
              <w:rPr>
                <w:spacing w:val="-2"/>
              </w:rPr>
              <w:t>Extended</w:t>
            </w:r>
            <w:r>
              <w:rPr>
                <w:spacing w:val="-3"/>
              </w:rPr>
              <w:t> </w:t>
            </w:r>
            <w:r>
              <w:rPr>
                <w:spacing w:val="-2"/>
              </w:rPr>
              <w:t>Baselines</w:t>
            </w:r>
          </w:hyperlink>
          <w:r>
            <w:rPr>
              <w:b w:val="0"/>
            </w:rPr>
            <w:tab/>
          </w:r>
          <w:hyperlink w:history="true" w:anchor="_bookmark227">
            <w:r>
              <w:rPr>
                <w:b w:val="0"/>
                <w:spacing w:val="-5"/>
              </w:rPr>
              <w:t>140</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28">
            <w:r>
              <w:rPr/>
              <w:t>Seven-method</w:t>
            </w:r>
            <w:r>
              <w:rPr>
                <w:spacing w:val="-13"/>
              </w:rPr>
              <w:t> </w:t>
            </w:r>
            <w:r>
              <w:rPr/>
              <w:t>alignment</w:t>
            </w:r>
            <w:r>
              <w:rPr>
                <w:spacing w:val="-13"/>
              </w:rPr>
              <w:t> </w:t>
            </w:r>
            <w:r>
              <w:rPr>
                <w:spacing w:val="-2"/>
              </w:rPr>
              <w:t>matrix</w:t>
            </w:r>
          </w:hyperlink>
          <w:r>
            <w:rPr/>
            <w:tab/>
          </w:r>
          <w:hyperlink w:history="true" w:anchor="_bookmark228">
            <w:r>
              <w:rPr>
                <w:spacing w:val="-5"/>
              </w:rPr>
              <w:t>141</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0">
            <w:r>
              <w:rPr/>
              <w:t>Six-method</w:t>
            </w:r>
            <w:r>
              <w:rPr>
                <w:spacing w:val="-14"/>
              </w:rPr>
              <w:t> </w:t>
            </w:r>
            <w:r>
              <w:rPr/>
              <w:t>Aave-oriented</w:t>
            </w:r>
            <w:r>
              <w:rPr>
                <w:spacing w:val="-13"/>
              </w:rPr>
              <w:t> </w:t>
            </w:r>
            <w:r>
              <w:rPr>
                <w:spacing w:val="-2"/>
              </w:rPr>
              <w:t>matrix</w:t>
            </w:r>
          </w:hyperlink>
          <w:r>
            <w:rPr/>
            <w:tab/>
          </w:r>
          <w:hyperlink w:history="true" w:anchor="_bookmark230">
            <w:r>
              <w:rPr>
                <w:spacing w:val="-5"/>
              </w:rPr>
              <w:t>142</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2">
            <w:r>
              <w:rPr/>
              <w:t>Why</w:t>
            </w:r>
            <w:r>
              <w:rPr>
                <w:spacing w:val="-7"/>
              </w:rPr>
              <w:t> </w:t>
            </w:r>
            <w:r>
              <w:rPr/>
              <w:t>the</w:t>
            </w:r>
            <w:r>
              <w:rPr>
                <w:spacing w:val="-6"/>
              </w:rPr>
              <w:t> </w:t>
            </w:r>
            <w:r>
              <w:rPr/>
              <w:t>main</w:t>
            </w:r>
            <w:r>
              <w:rPr>
                <w:spacing w:val="-7"/>
              </w:rPr>
              <w:t> </w:t>
            </w:r>
            <w:r>
              <w:rPr/>
              <w:t>narrative</w:t>
            </w:r>
            <w:r>
              <w:rPr>
                <w:spacing w:val="-6"/>
              </w:rPr>
              <w:t> </w:t>
            </w:r>
            <w:r>
              <w:rPr/>
              <w:t>uses</w:t>
            </w:r>
            <w:r>
              <w:rPr>
                <w:spacing w:val="-7"/>
              </w:rPr>
              <w:t> </w:t>
            </w:r>
            <w:r>
              <w:rPr/>
              <w:t>three</w:t>
            </w:r>
            <w:r>
              <w:rPr>
                <w:spacing w:val="-6"/>
              </w:rPr>
              <w:t> </w:t>
            </w:r>
            <w:r>
              <w:rPr>
                <w:spacing w:val="-2"/>
              </w:rPr>
              <w:t>methods</w:t>
            </w:r>
          </w:hyperlink>
          <w:r>
            <w:rPr/>
            <w:tab/>
          </w:r>
          <w:hyperlink w:history="true" w:anchor="_bookmark232">
            <w:r>
              <w:rPr>
                <w:spacing w:val="-5"/>
              </w:rPr>
              <w:t>142</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3">
            <w:r>
              <w:rPr/>
              <w:t>Reproducing</w:t>
            </w:r>
            <w:r>
              <w:rPr>
                <w:spacing w:val="-11"/>
              </w:rPr>
              <w:t> </w:t>
            </w:r>
            <w:r>
              <w:rPr/>
              <w:t>archive</w:t>
            </w:r>
            <w:r>
              <w:rPr>
                <w:spacing w:val="-11"/>
              </w:rPr>
              <w:t> </w:t>
            </w:r>
            <w:r>
              <w:rPr>
                <w:spacing w:val="-2"/>
              </w:rPr>
              <w:t>tables</w:t>
            </w:r>
          </w:hyperlink>
          <w:r>
            <w:rPr/>
            <w:tab/>
          </w:r>
          <w:hyperlink w:history="true" w:anchor="_bookmark233">
            <w:r>
              <w:rPr>
                <w:spacing w:val="-5"/>
              </w:rPr>
              <w:t>143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4">
            <w:r>
              <w:rPr/>
              <w:t>Notes</w:t>
            </w:r>
            <w:r>
              <w:rPr>
                <w:spacing w:val="-8"/>
              </w:rPr>
              <w:t> </w:t>
            </w:r>
            <w:r>
              <w:rPr/>
              <w:t>on</w:t>
            </w:r>
            <w:r>
              <w:rPr>
                <w:spacing w:val="-8"/>
              </w:rPr>
              <w:t> </w:t>
            </w:r>
            <w:r>
              <w:rPr/>
              <w:t>archived</w:t>
            </w:r>
            <w:r>
              <w:rPr>
                <w:spacing w:val="-8"/>
              </w:rPr>
              <w:t> </w:t>
            </w:r>
            <w:r>
              <w:rPr/>
              <w:t>method</w:t>
            </w:r>
            <w:r>
              <w:rPr>
                <w:spacing w:val="-8"/>
              </w:rPr>
              <w:t> </w:t>
            </w:r>
            <w:r>
              <w:rPr>
                <w:spacing w:val="-2"/>
              </w:rPr>
              <w:t>identifiers</w:t>
            </w:r>
          </w:hyperlink>
          <w:r>
            <w:rPr/>
            <w:tab/>
          </w:r>
          <w:hyperlink w:history="true" w:anchor="_bookmark234">
            <w:r>
              <w:rPr>
                <w:spacing w:val="-5"/>
              </w:rPr>
              <w:t>143</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5">
            <w:r>
              <w:rPr/>
              <w:t>Decision</w:t>
            </w:r>
            <w:r>
              <w:rPr>
                <w:spacing w:val="-6"/>
              </w:rPr>
              <w:t> </w:t>
            </w:r>
            <w:r>
              <w:rPr/>
              <w:t>log:</w:t>
            </w:r>
            <w:r>
              <w:rPr>
                <w:spacing w:val="13"/>
              </w:rPr>
              <w:t> </w:t>
            </w:r>
            <w:r>
              <w:rPr/>
              <w:t>what</w:t>
            </w:r>
            <w:r>
              <w:rPr>
                <w:spacing w:val="-5"/>
              </w:rPr>
              <w:t> </w:t>
            </w:r>
            <w:r>
              <w:rPr/>
              <w:t>stayed</w:t>
            </w:r>
            <w:r>
              <w:rPr>
                <w:spacing w:val="-6"/>
              </w:rPr>
              <w:t> </w:t>
            </w:r>
            <w:r>
              <w:rPr/>
              <w:t>in</w:t>
            </w:r>
            <w:r>
              <w:rPr>
                <w:spacing w:val="-5"/>
              </w:rPr>
              <w:t> </w:t>
            </w:r>
            <w:r>
              <w:rPr/>
              <w:t>the</w:t>
            </w:r>
            <w:r>
              <w:rPr>
                <w:spacing w:val="-6"/>
              </w:rPr>
              <w:t> </w:t>
            </w:r>
            <w:r>
              <w:rPr/>
              <w:t>main</w:t>
            </w:r>
            <w:r>
              <w:rPr>
                <w:spacing w:val="-5"/>
              </w:rPr>
              <w:t> </w:t>
            </w:r>
            <w:r>
              <w:rPr>
                <w:spacing w:val="-4"/>
              </w:rPr>
              <w:t>text</w:t>
            </w:r>
          </w:hyperlink>
          <w:r>
            <w:rPr/>
            <w:tab/>
          </w:r>
          <w:hyperlink w:history="true" w:anchor="_bookmark235">
            <w:r>
              <w:rPr>
                <w:spacing w:val="-5"/>
              </w:rPr>
              <w:t>144</w:t>
            </w:r>
          </w:hyperlink>
        </w:p>
        <w:p>
          <w:pPr>
            <w:pStyle w:val="TOC3"/>
            <w:numPr>
              <w:ilvl w:val="1"/>
              <w:numId w:val="1"/>
            </w:numPr>
            <w:tabs>
              <w:tab w:pos="1214" w:val="left" w:leader="none"/>
              <w:tab w:pos="9639" w:val="right" w:leader="dot"/>
            </w:tabs>
            <w:spacing w:line="240" w:lineRule="auto" w:before="231" w:after="0"/>
            <w:ind w:left="1214" w:right="0" w:hanging="573"/>
            <w:jc w:val="left"/>
            <w:rPr>
              <w:b w:val="0"/>
            </w:rPr>
          </w:pPr>
          <w:hyperlink w:history="true" w:anchor="_bookmark236">
            <w:r>
              <w:rPr>
                <w:spacing w:val="-2"/>
              </w:rPr>
              <w:t>Claim-to-Evidence</w:t>
            </w:r>
            <w:r>
              <w:rPr>
                <w:spacing w:val="13"/>
              </w:rPr>
              <w:t> </w:t>
            </w:r>
            <w:r>
              <w:rPr>
                <w:spacing w:val="-5"/>
              </w:rPr>
              <w:t>Map</w:t>
            </w:r>
          </w:hyperlink>
          <w:r>
            <w:rPr>
              <w:b w:val="0"/>
            </w:rPr>
            <w:tab/>
          </w:r>
          <w:hyperlink w:history="true" w:anchor="_bookmark236">
            <w:r>
              <w:rPr>
                <w:b w:val="0"/>
                <w:spacing w:val="-5"/>
              </w:rPr>
              <w:t>144</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7">
            <w:r>
              <w:rPr/>
              <w:t>H1</w:t>
            </w:r>
            <w:r>
              <w:rPr>
                <w:spacing w:val="-5"/>
              </w:rPr>
              <w:t> </w:t>
            </w:r>
            <w:r>
              <w:rPr/>
              <w:t>/</w:t>
            </w:r>
            <w:r>
              <w:rPr>
                <w:spacing w:val="-4"/>
              </w:rPr>
              <w:t> </w:t>
            </w:r>
            <w:r>
              <w:rPr/>
              <w:t>RQ1</w:t>
            </w:r>
            <w:r>
              <w:rPr>
                <w:spacing w:val="-4"/>
              </w:rPr>
              <w:t> </w:t>
            </w:r>
            <w:r>
              <w:rPr/>
              <w:t>—</w:t>
            </w:r>
            <w:r>
              <w:rPr>
                <w:spacing w:val="-4"/>
              </w:rPr>
              <w:t> </w:t>
            </w:r>
            <w:r>
              <w:rPr/>
              <w:t>Rank</w:t>
            </w:r>
            <w:r>
              <w:rPr>
                <w:spacing w:val="-4"/>
              </w:rPr>
              <w:t> </w:t>
            </w:r>
            <w:r>
              <w:rPr>
                <w:spacing w:val="-2"/>
              </w:rPr>
              <w:t>divergence</w:t>
            </w:r>
          </w:hyperlink>
          <w:r>
            <w:rPr/>
            <w:tab/>
          </w:r>
          <w:hyperlink w:history="true" w:anchor="_bookmark237">
            <w:r>
              <w:rPr>
                <w:spacing w:val="-5"/>
              </w:rPr>
              <w:t>144</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38">
            <w:r>
              <w:rPr/>
              <w:t>H2</w:t>
            </w:r>
            <w:r>
              <w:rPr>
                <w:spacing w:val="-7"/>
              </w:rPr>
              <w:t> </w:t>
            </w:r>
            <w:r>
              <w:rPr/>
              <w:t>/</w:t>
            </w:r>
            <w:r>
              <w:rPr>
                <w:spacing w:val="-7"/>
              </w:rPr>
              <w:t> </w:t>
            </w:r>
            <w:r>
              <w:rPr/>
              <w:t>RQ2</w:t>
            </w:r>
            <w:r>
              <w:rPr>
                <w:spacing w:val="-6"/>
              </w:rPr>
              <w:t> </w:t>
            </w:r>
            <w:r>
              <w:rPr/>
              <w:t>—</w:t>
            </w:r>
            <w:r>
              <w:rPr>
                <w:spacing w:val="-7"/>
              </w:rPr>
              <w:t> </w:t>
            </w:r>
            <w:r>
              <w:rPr/>
              <w:t>Construct-specific</w:t>
            </w:r>
            <w:r>
              <w:rPr>
                <w:spacing w:val="-7"/>
              </w:rPr>
              <w:t> </w:t>
            </w:r>
            <w:r>
              <w:rPr>
                <w:spacing w:val="-2"/>
              </w:rPr>
              <w:t>alignment</w:t>
            </w:r>
          </w:hyperlink>
          <w:r>
            <w:rPr/>
            <w:tab/>
          </w:r>
          <w:hyperlink w:history="true" w:anchor="_bookmark238">
            <w:r>
              <w:rPr>
                <w:spacing w:val="-5"/>
              </w:rPr>
              <w:t>145</w:t>
            </w:r>
          </w:hyperlink>
        </w:p>
        <w:p>
          <w:pPr>
            <w:pStyle w:val="TOC6"/>
            <w:numPr>
              <w:ilvl w:val="2"/>
              <w:numId w:val="1"/>
            </w:numPr>
            <w:tabs>
              <w:tab w:pos="1572" w:val="left" w:leader="none"/>
              <w:tab w:pos="9639" w:val="right" w:leader="dot"/>
            </w:tabs>
            <w:spacing w:line="240" w:lineRule="auto" w:before="230" w:after="163"/>
            <w:ind w:left="1572" w:right="0" w:hanging="573"/>
            <w:jc w:val="left"/>
          </w:pPr>
          <w:hyperlink w:history="true" w:anchor="_bookmark239">
            <w:r>
              <w:rPr/>
              <w:t>H3</w:t>
            </w:r>
            <w:r>
              <w:rPr>
                <w:spacing w:val="-6"/>
              </w:rPr>
              <w:t> </w:t>
            </w:r>
            <w:r>
              <w:rPr/>
              <w:t>/</w:t>
            </w:r>
            <w:r>
              <w:rPr>
                <w:spacing w:val="-6"/>
              </w:rPr>
              <w:t> </w:t>
            </w:r>
            <w:r>
              <w:rPr/>
              <w:t>RQ3</w:t>
            </w:r>
            <w:r>
              <w:rPr>
                <w:spacing w:val="-6"/>
              </w:rPr>
              <w:t> </w:t>
            </w:r>
            <w:r>
              <w:rPr/>
              <w:t>—</w:t>
            </w:r>
            <w:r>
              <w:rPr>
                <w:spacing w:val="-6"/>
              </w:rPr>
              <w:t> </w:t>
            </w:r>
            <w:r>
              <w:rPr/>
              <w:t>Computational</w:t>
            </w:r>
            <w:r>
              <w:rPr>
                <w:spacing w:val="-6"/>
              </w:rPr>
              <w:t> </w:t>
            </w:r>
            <w:r>
              <w:rPr>
                <w:spacing w:val="-2"/>
              </w:rPr>
              <w:t>efficiency</w:t>
            </w:r>
          </w:hyperlink>
          <w:r>
            <w:rPr/>
            <w:tab/>
          </w:r>
          <w:hyperlink w:history="true" w:anchor="_bookmark239">
            <w:r>
              <w:rPr>
                <w:spacing w:val="-5"/>
              </w:rPr>
              <w:t>145</w:t>
            </w:r>
          </w:hyperlink>
        </w:p>
        <w:p>
          <w:pPr>
            <w:pStyle w:val="TOC6"/>
            <w:numPr>
              <w:ilvl w:val="2"/>
              <w:numId w:val="1"/>
            </w:numPr>
            <w:tabs>
              <w:tab w:pos="1572" w:val="left" w:leader="none"/>
              <w:tab w:pos="9639" w:val="right" w:leader="dot"/>
            </w:tabs>
            <w:spacing w:line="240" w:lineRule="auto" w:before="74" w:after="0"/>
            <w:ind w:left="1572" w:right="0" w:hanging="573"/>
            <w:jc w:val="left"/>
          </w:pPr>
          <w:hyperlink w:history="true" w:anchor="_bookmark240">
            <w:r>
              <w:rPr>
                <w:spacing w:val="-2"/>
              </w:rPr>
              <w:t>RQ4</w:t>
            </w:r>
            <w:r>
              <w:rPr>
                <w:spacing w:val="-7"/>
              </w:rPr>
              <w:t> </w:t>
            </w:r>
            <w:r>
              <w:rPr>
                <w:spacing w:val="-2"/>
              </w:rPr>
              <w:t>—</w:t>
            </w:r>
            <w:r>
              <w:rPr>
                <w:spacing w:val="-6"/>
              </w:rPr>
              <w:t> </w:t>
            </w:r>
            <w:r>
              <w:rPr>
                <w:spacing w:val="-2"/>
              </w:rPr>
              <w:t>Validation</w:t>
            </w:r>
            <w:r>
              <w:rPr>
                <w:spacing w:val="-7"/>
              </w:rPr>
              <w:t> </w:t>
            </w:r>
            <w:r>
              <w:rPr>
                <w:spacing w:val="-4"/>
              </w:rPr>
              <w:t>frame</w:t>
            </w:r>
          </w:hyperlink>
          <w:r>
            <w:rPr/>
            <w:tab/>
          </w:r>
          <w:hyperlink w:history="true" w:anchor="_bookmark240">
            <w:r>
              <w:rPr>
                <w:spacing w:val="-5"/>
              </w:rPr>
              <w:t>145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1">
            <w:r>
              <w:rPr/>
              <w:t>SRQ1</w:t>
            </w:r>
            <w:r>
              <w:rPr>
                <w:spacing w:val="-5"/>
              </w:rPr>
              <w:t> </w:t>
            </w:r>
            <w:r>
              <w:rPr/>
              <w:t>/</w:t>
            </w:r>
            <w:r>
              <w:rPr>
                <w:spacing w:val="-5"/>
              </w:rPr>
              <w:t> </w:t>
            </w:r>
            <w:r>
              <w:rPr/>
              <w:t>SC1</w:t>
            </w:r>
            <w:r>
              <w:rPr>
                <w:spacing w:val="-5"/>
              </w:rPr>
              <w:t> </w:t>
            </w:r>
            <w:r>
              <w:rPr/>
              <w:t>—</w:t>
            </w:r>
            <w:r>
              <w:rPr>
                <w:spacing w:val="-5"/>
              </w:rPr>
              <w:t> </w:t>
            </w:r>
            <w:r>
              <w:rPr/>
              <w:t>GF-PR</w:t>
            </w:r>
            <w:r>
              <w:rPr>
                <w:spacing w:val="-5"/>
              </w:rPr>
              <w:t> </w:t>
            </w:r>
            <w:r>
              <w:rPr>
                <w:spacing w:val="-2"/>
              </w:rPr>
              <w:t>ceiling</w:t>
            </w:r>
          </w:hyperlink>
          <w:r>
            <w:rPr/>
            <w:tab/>
          </w:r>
          <w:hyperlink w:history="true" w:anchor="_bookmark241">
            <w:r>
              <w:rPr>
                <w:spacing w:val="-5"/>
              </w:rPr>
              <w:t>145</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2">
            <w:r>
              <w:rPr>
                <w:spacing w:val="-2"/>
              </w:rPr>
              <w:t>Claims</w:t>
            </w:r>
            <w:r>
              <w:rPr>
                <w:spacing w:val="1"/>
              </w:rPr>
              <w:t> </w:t>
            </w:r>
            <w:r>
              <w:rPr>
                <w:spacing w:val="-2"/>
              </w:rPr>
              <w:t>C1–</w:t>
            </w:r>
            <w:r>
              <w:rPr>
                <w:spacing w:val="-5"/>
              </w:rPr>
              <w:t>C4</w:t>
            </w:r>
          </w:hyperlink>
          <w:r>
            <w:rPr/>
            <w:tab/>
          </w:r>
          <w:hyperlink w:history="true" w:anchor="_bookmark242">
            <w:r>
              <w:rPr>
                <w:spacing w:val="-5"/>
              </w:rPr>
              <w:t>146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3">
            <w:r>
              <w:rPr>
                <w:spacing w:val="-2"/>
              </w:rPr>
              <w:t>Explicit</w:t>
            </w:r>
            <w:r>
              <w:rPr>
                <w:spacing w:val="7"/>
              </w:rPr>
              <w:t> </w:t>
            </w:r>
            <w:r>
              <w:rPr>
                <w:spacing w:val="-2"/>
              </w:rPr>
              <w:t>non-claims</w:t>
            </w:r>
          </w:hyperlink>
          <w:r>
            <w:rPr/>
            <w:tab/>
          </w:r>
          <w:hyperlink w:history="true" w:anchor="_bookmark243">
            <w:r>
              <w:rPr>
                <w:spacing w:val="-5"/>
              </w:rPr>
              <w:t>146</w:t>
            </w:r>
          </w:hyperlink>
        </w:p>
        <w:p>
          <w:pPr>
            <w:pStyle w:val="TOC6"/>
            <w:numPr>
              <w:ilvl w:val="2"/>
              <w:numId w:val="1"/>
            </w:numPr>
            <w:tabs>
              <w:tab w:pos="1572" w:val="left" w:leader="none"/>
              <w:tab w:pos="9639" w:val="right" w:leader="dot"/>
            </w:tabs>
            <w:spacing w:line="240" w:lineRule="auto" w:before="230" w:after="0"/>
            <w:ind w:left="1572" w:right="0" w:hanging="573"/>
            <w:jc w:val="left"/>
          </w:pPr>
          <w:hyperlink w:history="true" w:anchor="_bookmark244">
            <w:r>
              <w:rPr/>
              <w:t>Artifact</w:t>
            </w:r>
            <w:r>
              <w:rPr>
                <w:spacing w:val="-8"/>
              </w:rPr>
              <w:t> </w:t>
            </w:r>
            <w:r>
              <w:rPr/>
              <w:t>checklist</w:t>
            </w:r>
            <w:r>
              <w:rPr>
                <w:spacing w:val="-7"/>
              </w:rPr>
              <w:t> </w:t>
            </w:r>
            <w:r>
              <w:rPr/>
              <w:t>for</w:t>
            </w:r>
            <w:r>
              <w:rPr>
                <w:spacing w:val="-7"/>
              </w:rPr>
              <w:t> </w:t>
            </w:r>
            <w:r>
              <w:rPr>
                <w:spacing w:val="-2"/>
              </w:rPr>
              <w:t>replication</w:t>
            </w:r>
          </w:hyperlink>
          <w:r>
            <w:rPr/>
            <w:tab/>
          </w:r>
          <w:hyperlink w:history="true" w:anchor="_bookmark244">
            <w:r>
              <w:rPr>
                <w:spacing w:val="-5"/>
              </w:rPr>
              <w:t>146</w:t>
            </w:r>
          </w:hyperlink>
        </w:p>
      </w:sdtContent>
    </w:sdt>
    <w:p>
      <w:pPr>
        <w:pStyle w:val="TOC6"/>
        <w:spacing w:after="0" w:line="240" w:lineRule="auto"/>
        <w:jc w:val="left"/>
        <w:sectPr>
          <w:type w:val="continuous"/>
          <w:pgSz w:w="11910" w:h="16840"/>
          <w:pgMar w:header="0" w:footer="2115" w:top="1858" w:bottom="2829" w:left="992" w:right="708"/>
        </w:sectPr>
      </w:pPr>
    </w:p>
    <w:p>
      <w:pPr>
        <w:spacing w:before="79"/>
        <w:ind w:left="282"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Figures</w:t>
      </w:r>
    </w:p>
    <w:p>
      <w:pPr>
        <w:spacing w:before="79"/>
        <w:ind w:left="282" w:right="0" w:firstLine="0"/>
        <w:jc w:val="left"/>
        <w:rPr>
          <w:b/>
          <w:sz w:val="34"/>
        </w:rPr>
      </w:pPr>
      <w:r>
        <w:rPr>
          <w:i/>
        </w:rPr>
        <w:t>그림 목록</w:t>
      </w:r>
    </w:p>
    <w:p>
      <w:pPr>
        <w:pStyle w:val="BodyText"/>
        <w:spacing w:before="155"/>
        <w:rPr>
          <w:b/>
          <w:sz w:val="34"/>
        </w:rPr>
      </w:pPr>
    </w:p>
    <w:p>
      <w:pPr>
        <w:pStyle w:val="ListParagraph"/>
        <w:numPr>
          <w:ilvl w:val="1"/>
          <w:numId w:val="3"/>
        </w:numPr>
        <w:tabs>
          <w:tab w:pos="1190" w:val="left" w:leader="none"/>
          <w:tab w:pos="9399" w:val="left" w:leader="dot"/>
        </w:tabs>
        <w:spacing w:line="386" w:lineRule="auto" w:before="1" w:after="0"/>
        <w:ind w:left="1190" w:right="564" w:hanging="550"/>
        <w:jc w:val="left"/>
        <w:rPr>
          <w:sz w:val="24"/>
        </w:rPr>
      </w:pPr>
      <w:hyperlink w:history="true" w:anchor="_bookmark22">
        <w:r>
          <w:rPr>
            <w:w w:val="105"/>
            <w:sz w:val="24"/>
          </w:rPr>
          <w:t>ERC-20 allowance lifecycle:</w:t>
        </w:r>
        <w:r>
          <w:rPr>
            <w:spacing w:val="40"/>
            <w:w w:val="105"/>
            <w:sz w:val="24"/>
          </w:rPr>
          <w:t> </w:t>
        </w:r>
        <w:r>
          <w:rPr>
            <w:w w:val="105"/>
            <w:sz w:val="24"/>
          </w:rPr>
          <w:t>approve (or permit), optional </w:t>
        </w:r>
        <w:r>
          <w:rPr>
            <w:rFonts w:ascii="Calibri" w:hAnsi="Calibri"/>
            <w:w w:val="105"/>
            <w:sz w:val="24"/>
          </w:rPr>
          <w:t>transferFrom</w:t>
        </w:r>
        <w:r>
          <w:rPr>
            <w:w w:val="105"/>
            <w:sz w:val="24"/>
          </w:rPr>
          <w:t>, and</w:t>
        </w:r>
      </w:hyperlink>
      <w:r>
        <w:rPr>
          <w:w w:val="105"/>
          <w:sz w:val="24"/>
        </w:rPr>
        <w:t> </w:t>
      </w:r>
      <w:hyperlink w:history="true" w:anchor="_bookmark22">
        <w:r>
          <w:rPr>
            <w:w w:val="105"/>
            <w:sz w:val="24"/>
          </w:rPr>
          <w:t>revoke.</w:t>
        </w:r>
        <w:r>
          <w:rPr>
            <w:spacing w:val="5"/>
            <w:w w:val="105"/>
            <w:sz w:val="24"/>
          </w:rPr>
          <w:t> </w:t>
        </w:r>
        <w:r>
          <w:rPr>
            <w:w w:val="105"/>
            <w:sz w:val="24"/>
          </w:rPr>
          <w:t>EndorseRank</w:t>
        </w:r>
        <w:r>
          <w:rPr>
            <w:spacing w:val="-15"/>
            <w:w w:val="105"/>
            <w:sz w:val="24"/>
          </w:rPr>
          <w:t> </w:t>
        </w:r>
        <w:r>
          <w:rPr>
            <w:w w:val="105"/>
            <w:sz w:val="24"/>
          </w:rPr>
          <w:t>edges</w:t>
        </w:r>
        <w:r>
          <w:rPr>
            <w:spacing w:val="-16"/>
            <w:w w:val="105"/>
            <w:sz w:val="24"/>
          </w:rPr>
          <w:t> </w:t>
        </w:r>
        <w:r>
          <w:rPr>
            <w:w w:val="105"/>
            <w:sz w:val="24"/>
          </w:rPr>
          <w:t>reflect</w:t>
        </w:r>
        <w:r>
          <w:rPr>
            <w:spacing w:val="-16"/>
            <w:w w:val="105"/>
            <w:sz w:val="24"/>
          </w:rPr>
          <w:t> </w:t>
        </w:r>
        <w:r>
          <w:rPr>
            <w:w w:val="105"/>
            <w:sz w:val="24"/>
          </w:rPr>
          <w:t>the</w:t>
        </w:r>
        <w:r>
          <w:rPr>
            <w:spacing w:val="-16"/>
            <w:w w:val="105"/>
            <w:sz w:val="24"/>
          </w:rPr>
          <w:t> </w:t>
        </w:r>
        <w:r>
          <w:rPr>
            <w:w w:val="105"/>
            <w:sz w:val="24"/>
          </w:rPr>
          <w:t>latest</w:t>
        </w:r>
        <w:r>
          <w:rPr>
            <w:spacing w:val="-15"/>
            <w:w w:val="105"/>
            <w:sz w:val="24"/>
          </w:rPr>
          <w:t> </w:t>
        </w:r>
        <w:r>
          <w:rPr>
            <w:w w:val="105"/>
            <w:sz w:val="24"/>
          </w:rPr>
          <w:t>live</w:t>
        </w:r>
        <w:r>
          <w:rPr>
            <w:spacing w:val="-16"/>
            <w:w w:val="105"/>
            <w:sz w:val="24"/>
          </w:rPr>
          <w:t> </w:t>
        </w:r>
        <w:r>
          <w:rPr>
            <w:w w:val="105"/>
            <w:sz w:val="24"/>
          </w:rPr>
          <w:t>allowance</w:t>
        </w:r>
        <w:r>
          <w:rPr>
            <w:spacing w:val="-16"/>
            <w:w w:val="105"/>
            <w:sz w:val="24"/>
          </w:rPr>
          <w:t> </w:t>
        </w:r>
        <w:r>
          <w:rPr>
            <w:w w:val="105"/>
            <w:sz w:val="24"/>
          </w:rPr>
          <w:t>snapshot</w:t>
        </w:r>
        <w:r>
          <w:rPr>
            <w:spacing w:val="-16"/>
            <w:w w:val="105"/>
            <w:sz w:val="24"/>
          </w:rPr>
          <w:t> </w:t>
        </w:r>
        <w:r>
          <w:rPr>
            <w:w w:val="105"/>
            <w:sz w:val="24"/>
          </w:rPr>
          <w:t>per</w:t>
        </w:r>
        <w:r>
          <w:rPr>
            <w:spacing w:val="-15"/>
            <w:w w:val="105"/>
            <w:sz w:val="24"/>
          </w:rPr>
          <w:t> </w:t>
        </w:r>
        <w:r>
          <w:rPr>
            <w:w w:val="105"/>
            <w:sz w:val="24"/>
          </w:rPr>
          <w:t>owner–</w:t>
        </w:r>
      </w:hyperlink>
      <w:hyperlink w:history="true" w:anchor="_bookmark22">
        <w:r>
          <w:rPr>
            <w:w w:val="105"/>
            <w:sz w:val="24"/>
          </w:rPr>
          <w:t>spender pair (historical approvals superseded, not time-decayed).</w:t>
        </w:r>
      </w:hyperlink>
      <w:r>
        <w:rPr>
          <w:sz w:val="24"/>
        </w:rPr>
        <w:tab/>
      </w:r>
      <w:r>
        <w:rPr>
          <w:spacing w:val="-8"/>
          <w:w w:val="105"/>
          <w:sz w:val="24"/>
        </w:rPr>
        <w:t>28</w:t>
      </w:r>
    </w:p>
    <w:p>
      <w:pPr>
        <w:pStyle w:val="ListParagraph"/>
        <w:numPr>
          <w:ilvl w:val="1"/>
          <w:numId w:val="3"/>
        </w:numPr>
        <w:tabs>
          <w:tab w:pos="1190" w:val="left" w:leader="none"/>
          <w:tab w:pos="9399" w:val="left" w:leader="dot"/>
        </w:tabs>
        <w:spacing w:line="386" w:lineRule="auto" w:before="1" w:after="0"/>
        <w:ind w:left="1190" w:right="564" w:hanging="550"/>
        <w:jc w:val="left"/>
        <w:rPr>
          <w:sz w:val="24"/>
        </w:rPr>
      </w:pPr>
      <w:r>
        <w:rPr>
          <w:i/>
        </w:rPr>
        <w:t>ERC-20 허용 수명 주기: 승인(또는 허용), 선택적 전송, 취소. EndorseRank 에지는 소유자-소비자 쌍당 최신 실시간 허용량 스냅샷을 반영합니다(과거 승인은 시간 경과에 따라 대체되지 않고 대체됨).</w:t>
        <w:tab/>
        <w:t>28</w:t>
      </w:r>
    </w:p>
    <w:p>
      <w:pPr>
        <w:pStyle w:val="ListParagraph"/>
        <w:numPr>
          <w:ilvl w:val="1"/>
          <w:numId w:val="3"/>
        </w:numPr>
        <w:tabs>
          <w:tab w:pos="1190" w:val="left" w:leader="none"/>
          <w:tab w:pos="9399" w:val="left" w:leader="dot"/>
        </w:tabs>
        <w:spacing w:line="396" w:lineRule="auto" w:before="27" w:after="0"/>
        <w:ind w:left="1190" w:right="564" w:hanging="550"/>
        <w:jc w:val="left"/>
        <w:rPr>
          <w:sz w:val="24"/>
        </w:rPr>
      </w:pPr>
      <w:hyperlink w:history="true" w:anchor="_bookmark27">
        <w:r>
          <w:rPr>
            <w:sz w:val="24"/>
          </w:rPr>
          <w:t>Random-surfer intuition for PageRank. Solid arrows are graph transitions; dashed</w:t>
        </w:r>
      </w:hyperlink>
      <w:r>
        <w:rPr>
          <w:sz w:val="24"/>
        </w:rPr>
        <w:t> </w:t>
      </w:r>
      <w:hyperlink w:history="true" w:anchor="_bookmark27">
        <w:r>
          <w:rPr>
            <w:sz w:val="24"/>
          </w:rPr>
          <w:t>arrows represent teleportation that mixes the chain.</w:t>
        </w:r>
      </w:hyperlink>
      <w:r>
        <w:rPr>
          <w:sz w:val="24"/>
        </w:rPr>
        <w:tab/>
      </w:r>
      <w:r>
        <w:rPr>
          <w:spacing w:val="-6"/>
          <w:sz w:val="24"/>
        </w:rPr>
        <w:t>30</w:t>
      </w:r>
    </w:p>
    <w:p>
      <w:pPr>
        <w:pStyle w:val="ListParagraph"/>
        <w:numPr>
          <w:ilvl w:val="1"/>
          <w:numId w:val="3"/>
        </w:numPr>
        <w:tabs>
          <w:tab w:pos="1190" w:val="left" w:leader="none"/>
          <w:tab w:pos="9399" w:val="left" w:leader="dot"/>
        </w:tabs>
        <w:spacing w:line="396" w:lineRule="auto" w:before="27" w:after="0"/>
        <w:ind w:left="1190" w:right="564" w:hanging="550"/>
        <w:jc w:val="left"/>
        <w:rPr>
          <w:sz w:val="24"/>
        </w:rPr>
      </w:pPr>
      <w:r>
        <w:rPr>
          <w:i/>
        </w:rPr>
        <w:t>PageRank에 대한 무작위 서퍼 직관. 실선 화살표는 그래프 전환이고 점선 화살표는 체인을 혼합하는 순간 이동을 나타냅니다.</w:t>
        <w:tab/>
        <w:t>30</w:t>
      </w:r>
    </w:p>
    <w:p>
      <w:pPr>
        <w:pStyle w:val="ListParagraph"/>
        <w:numPr>
          <w:ilvl w:val="1"/>
          <w:numId w:val="3"/>
        </w:numPr>
        <w:tabs>
          <w:tab w:pos="1190" w:val="left" w:leader="none"/>
        </w:tabs>
        <w:spacing w:line="396" w:lineRule="auto" w:before="16" w:after="0"/>
        <w:ind w:left="1190" w:right="1133" w:hanging="550"/>
        <w:jc w:val="both"/>
        <w:rPr>
          <w:sz w:val="24"/>
        </w:rPr>
      </w:pPr>
      <w:hyperlink w:history="true" w:anchor="_bookmark36">
        <w:r>
          <w:rPr>
            <w:sz w:val="24"/>
          </w:rPr>
          <w:t>Conceptual model:</w:t>
        </w:r>
        <w:r>
          <w:rPr>
            <w:spacing w:val="40"/>
            <w:sz w:val="24"/>
          </w:rPr>
          <w:t> </w:t>
        </w:r>
        <w:r>
          <w:rPr>
            <w:sz w:val="24"/>
          </w:rPr>
          <w:t>primary EndorseRank vs. AWP comparison mapped to </w:t>
        </w:r>
        <w:r>
          <w:rPr>
            <w:sz w:val="24"/>
          </w:rPr>
          <w:t>repu-</w:t>
        </w:r>
      </w:hyperlink>
      <w:hyperlink w:history="true" w:anchor="_bookmark36">
        <w:r>
          <w:rPr>
            <w:sz w:val="24"/>
          </w:rPr>
          <w:t>tation</w:t>
        </w:r>
        <w:r>
          <w:rPr>
            <w:spacing w:val="-10"/>
            <w:sz w:val="24"/>
          </w:rPr>
          <w:t> </w:t>
        </w:r>
        <w:r>
          <w:rPr>
            <w:sz w:val="24"/>
          </w:rPr>
          <w:t>structure</w:t>
        </w:r>
        <w:r>
          <w:rPr>
            <w:spacing w:val="-10"/>
            <w:sz w:val="24"/>
          </w:rPr>
          <w:t> </w:t>
        </w:r>
        <w:r>
          <w:rPr>
            <w:sz w:val="24"/>
          </w:rPr>
          <w:t>(H1/RQ1),</w:t>
        </w:r>
        <w:r>
          <w:rPr>
            <w:spacing w:val="-9"/>
            <w:sz w:val="24"/>
          </w:rPr>
          <w:t> </w:t>
        </w:r>
        <w:r>
          <w:rPr>
            <w:sz w:val="24"/>
          </w:rPr>
          <w:t>social-method</w:t>
        </w:r>
        <w:r>
          <w:rPr>
            <w:spacing w:val="-10"/>
            <w:sz w:val="24"/>
          </w:rPr>
          <w:t> </w:t>
        </w:r>
        <w:r>
          <w:rPr>
            <w:sz w:val="24"/>
          </w:rPr>
          <w:t>alignment</w:t>
        </w:r>
        <w:r>
          <w:rPr>
            <w:spacing w:val="-10"/>
            <w:sz w:val="24"/>
          </w:rPr>
          <w:t> </w:t>
        </w:r>
        <w:r>
          <w:rPr>
            <w:sz w:val="24"/>
          </w:rPr>
          <w:t>(H2/RQ2),</w:t>
        </w:r>
        <w:r>
          <w:rPr>
            <w:spacing w:val="-9"/>
            <w:sz w:val="24"/>
          </w:rPr>
          <w:t> </w:t>
        </w:r>
        <w:r>
          <w:rPr>
            <w:sz w:val="24"/>
          </w:rPr>
          <w:t>and</w:t>
        </w:r>
        <w:r>
          <w:rPr>
            <w:spacing w:val="-10"/>
            <w:sz w:val="24"/>
          </w:rPr>
          <w:t> </w:t>
        </w:r>
        <w:r>
          <w:rPr>
            <w:sz w:val="24"/>
          </w:rPr>
          <w:t>computational</w:t>
        </w:r>
      </w:hyperlink>
      <w:r>
        <w:rPr>
          <w:sz w:val="24"/>
        </w:rPr>
        <w:t> </w:t>
      </w:r>
      <w:hyperlink w:history="true" w:anchor="_bookmark36">
        <w:r>
          <w:rPr>
            <w:spacing w:val="-2"/>
            <w:sz w:val="24"/>
          </w:rPr>
          <w:t>efficiency</w:t>
        </w:r>
        <w:r>
          <w:rPr>
            <w:spacing w:val="-5"/>
            <w:sz w:val="24"/>
          </w:rPr>
          <w:t> </w:t>
        </w:r>
        <w:r>
          <w:rPr>
            <w:spacing w:val="-2"/>
            <w:sz w:val="24"/>
          </w:rPr>
          <w:t>(H3/RQ3); RQ4</w:t>
        </w:r>
        <w:r>
          <w:rPr>
            <w:spacing w:val="-5"/>
            <w:sz w:val="24"/>
          </w:rPr>
          <w:t> </w:t>
        </w:r>
        <w:r>
          <w:rPr>
            <w:spacing w:val="-2"/>
            <w:sz w:val="24"/>
          </w:rPr>
          <w:t>separately</w:t>
        </w:r>
        <w:r>
          <w:rPr>
            <w:spacing w:val="-5"/>
            <w:sz w:val="24"/>
          </w:rPr>
          <w:t> </w:t>
        </w:r>
        <w:r>
          <w:rPr>
            <w:spacing w:val="-2"/>
            <w:sz w:val="24"/>
          </w:rPr>
          <w:t>compares</w:t>
        </w:r>
        <w:r>
          <w:rPr>
            <w:spacing w:val="-5"/>
            <w:sz w:val="24"/>
          </w:rPr>
          <w:t> </w:t>
        </w:r>
        <w:r>
          <w:rPr>
            <w:spacing w:val="-2"/>
            <w:sz w:val="24"/>
          </w:rPr>
          <w:t>transfer</w:t>
        </w:r>
        <w:r>
          <w:rPr>
            <w:spacing w:val="-5"/>
            <w:sz w:val="24"/>
          </w:rPr>
          <w:t> </w:t>
        </w:r>
        <w:r>
          <w:rPr>
            <w:spacing w:val="-2"/>
            <w:sz w:val="24"/>
          </w:rPr>
          <w:t>versus</w:t>
        </w:r>
        <w:r>
          <w:rPr>
            <w:spacing w:val="-5"/>
            <w:sz w:val="24"/>
          </w:rPr>
          <w:t> </w:t>
        </w:r>
        <w:r>
          <w:rPr>
            <w:spacing w:val="-2"/>
            <w:sz w:val="24"/>
          </w:rPr>
          <w:t>trading-success</w:t>
        </w:r>
        <w:r>
          <w:rPr>
            <w:spacing w:val="-5"/>
            <w:sz w:val="24"/>
          </w:rPr>
          <w:t> </w:t>
        </w:r>
        <w:r>
          <w:rPr>
            <w:spacing w:val="-2"/>
            <w:sz w:val="24"/>
          </w:rPr>
          <w:t>val-</w:t>
        </w:r>
      </w:hyperlink>
      <w:hyperlink w:history="true" w:anchor="_bookmark36">
        <w:r>
          <w:rPr>
            <w:sz w:val="24"/>
          </w:rPr>
          <w:t>idation frames.</w:t>
        </w:r>
        <w:r>
          <w:rPr>
            <w:spacing w:val="39"/>
            <w:sz w:val="24"/>
          </w:rPr>
          <w:t> </w:t>
        </w:r>
        <w:r>
          <w:rPr>
            <w:sz w:val="24"/>
          </w:rPr>
          <w:t>GF-PR (dashed) is a supplementary outcome-native ceiling refer-</w:t>
        </w:r>
      </w:hyperlink>
    </w:p>
    <w:p>
      <w:pPr>
        <w:pStyle w:val="ListParagraph"/>
        <w:numPr>
          <w:ilvl w:val="1"/>
          <w:numId w:val="3"/>
        </w:numPr>
        <w:tabs>
          <w:tab w:pos="1190" w:val="left" w:leader="none"/>
        </w:tabs>
        <w:spacing w:line="396" w:lineRule="auto" w:before="16" w:after="0"/>
        <w:ind w:left="1190" w:right="1133" w:hanging="550"/>
        <w:jc w:val="both"/>
        <w:rPr>
          <w:sz w:val="24"/>
        </w:rPr>
      </w:pPr>
      <w:r>
        <w:rPr>
          <w:i/>
        </w:rPr>
        <w:t>개념적 모델: 평판 구조(H1/RQ1), 사회적 방법 정렬(H2/RQ2) 및 계산 효율성(H3/RQ3)에 매핑된 기본 EndorseRank 대 AWP 비교, RQ4는 전송 대 거래 성공 검증 프레임을 개별적으로 비교합니다. GF-PR(점선)은 보충 결과 - 기본 상한 참조입니다.</w:t>
      </w:r>
    </w:p>
    <w:p>
      <w:pPr>
        <w:pStyle w:val="BodyText"/>
        <w:tabs>
          <w:tab w:pos="9399" w:val="left" w:leader="dot"/>
        </w:tabs>
        <w:spacing w:before="4"/>
        <w:ind w:left="1190"/>
        <w:jc w:val="both"/>
      </w:pPr>
      <w:hyperlink w:history="true" w:anchor="_bookmark36">
        <w:r>
          <w:rPr/>
          <w:t>ence</w:t>
        </w:r>
        <w:r>
          <w:rPr>
            <w:spacing w:val="-6"/>
          </w:rPr>
          <w:t> </w:t>
        </w:r>
        <w:r>
          <w:rPr/>
          <w:t>(SRQ1),</w:t>
        </w:r>
        <w:r>
          <w:rPr>
            <w:spacing w:val="-5"/>
          </w:rPr>
          <w:t> </w:t>
        </w:r>
        <w:r>
          <w:rPr/>
          <w:t>not</w:t>
        </w:r>
        <w:r>
          <w:rPr>
            <w:spacing w:val="-6"/>
          </w:rPr>
          <w:t> </w:t>
        </w:r>
        <w:r>
          <w:rPr/>
          <w:t>a</w:t>
        </w:r>
        <w:r>
          <w:rPr>
            <w:spacing w:val="-5"/>
          </w:rPr>
          <w:t> </w:t>
        </w:r>
        <w:r>
          <w:rPr/>
          <w:t>third</w:t>
        </w:r>
        <w:r>
          <w:rPr>
            <w:spacing w:val="-6"/>
          </w:rPr>
          <w:t> </w:t>
        </w:r>
        <w:r>
          <w:rPr/>
          <w:t>peer</w:t>
        </w:r>
        <w:r>
          <w:rPr>
            <w:spacing w:val="-5"/>
          </w:rPr>
          <w:t> </w:t>
        </w:r>
        <w:r>
          <w:rPr/>
          <w:t>social</w:t>
        </w:r>
        <w:r>
          <w:rPr>
            <w:spacing w:val="-5"/>
          </w:rPr>
          <w:t> </w:t>
        </w:r>
        <w:r>
          <w:rPr>
            <w:spacing w:val="-2"/>
          </w:rPr>
          <w:t>method.</w:t>
        </w:r>
      </w:hyperlink>
      <w:r>
        <w:rPr/>
        <w:tab/>
      </w:r>
      <w:r>
        <w:rPr>
          <w:spacing w:val="-5"/>
        </w:rPr>
        <w:t>35</w:t>
      </w:r>
    </w:p>
    <w:p>
      <w:pPr>
        <w:pStyle w:val="BodyText"/>
        <w:tabs>
          <w:tab w:pos="9399" w:val="left" w:leader="dot"/>
        </w:tabs>
        <w:spacing w:before="4"/>
        <w:ind w:left="1190"/>
        <w:jc w:val="both"/>
      </w:pPr>
      <w:r>
        <w:rPr>
          <w:i/>
        </w:rPr>
        <w:t>ence(SRQ1)는 세 번째 동료 소셜 방법이 아닙니다.</w:t>
        <w:tab/>
        <w:t>35</w:t>
      </w:r>
    </w:p>
    <w:p>
      <w:pPr>
        <w:pStyle w:val="BodyText"/>
        <w:spacing w:before="118"/>
      </w:pPr>
    </w:p>
    <w:p>
      <w:pPr>
        <w:pStyle w:val="ListParagraph"/>
        <w:numPr>
          <w:ilvl w:val="1"/>
          <w:numId w:val="4"/>
        </w:numPr>
        <w:tabs>
          <w:tab w:pos="1190" w:val="left" w:leader="none"/>
        </w:tabs>
        <w:spacing w:line="396" w:lineRule="auto" w:before="0" w:after="0"/>
        <w:ind w:left="1190" w:right="1135" w:hanging="550"/>
        <w:jc w:val="both"/>
        <w:rPr>
          <w:sz w:val="24"/>
        </w:rPr>
      </w:pPr>
      <w:hyperlink w:history="true" w:anchor="_bookmark56">
        <w:r>
          <w:rPr>
            <w:sz w:val="24"/>
          </w:rPr>
          <w:t>Evaluation pipeline:</w:t>
        </w:r>
        <w:r>
          <w:rPr>
            <w:spacing w:val="40"/>
            <w:sz w:val="24"/>
          </w:rPr>
          <w:t> </w:t>
        </w:r>
        <w:r>
          <w:rPr>
            <w:sz w:val="24"/>
          </w:rPr>
          <w:t>public Arbitrum logs are extracted and decoded, reputation</w:t>
        </w:r>
      </w:hyperlink>
      <w:r>
        <w:rPr>
          <w:sz w:val="24"/>
        </w:rPr>
        <w:t> </w:t>
      </w:r>
      <w:hyperlink w:history="true" w:anchor="_bookmark56">
        <w:r>
          <w:rPr>
            <w:spacing w:val="-2"/>
            <w:sz w:val="24"/>
          </w:rPr>
          <w:t>edges</w:t>
        </w:r>
        <w:r>
          <w:rPr>
            <w:spacing w:val="-13"/>
            <w:sz w:val="24"/>
          </w:rPr>
          <w:t> </w:t>
        </w:r>
        <w:r>
          <w:rPr>
            <w:spacing w:val="-2"/>
            <w:sz w:val="24"/>
          </w:rPr>
          <w:t>and</w:t>
        </w:r>
        <w:r>
          <w:rPr>
            <w:spacing w:val="-13"/>
            <w:sz w:val="24"/>
          </w:rPr>
          <w:t> </w:t>
        </w:r>
        <w:r>
          <w:rPr>
            <w:spacing w:val="-2"/>
            <w:sz w:val="24"/>
          </w:rPr>
          <w:t>GMX</w:t>
        </w:r>
        <w:r>
          <w:rPr>
            <w:spacing w:val="-13"/>
            <w:sz w:val="24"/>
          </w:rPr>
          <w:t> </w:t>
        </w:r>
        <w:r>
          <w:rPr>
            <w:spacing w:val="-2"/>
            <w:sz w:val="24"/>
          </w:rPr>
          <w:t>outcomes</w:t>
        </w:r>
        <w:r>
          <w:rPr>
            <w:spacing w:val="-13"/>
            <w:sz w:val="24"/>
          </w:rPr>
          <w:t> </w:t>
        </w:r>
        <w:r>
          <w:rPr>
            <w:spacing w:val="-2"/>
            <w:sz w:val="24"/>
          </w:rPr>
          <w:t>are</w:t>
        </w:r>
        <w:r>
          <w:rPr>
            <w:spacing w:val="-13"/>
            <w:sz w:val="24"/>
          </w:rPr>
          <w:t> </w:t>
        </w:r>
        <w:r>
          <w:rPr>
            <w:spacing w:val="-2"/>
            <w:sz w:val="24"/>
          </w:rPr>
          <w:t>preprocessed,</w:t>
        </w:r>
        <w:r>
          <w:rPr>
            <w:spacing w:val="-13"/>
            <w:sz w:val="24"/>
          </w:rPr>
          <w:t> </w:t>
        </w:r>
        <w:r>
          <w:rPr>
            <w:spacing w:val="-2"/>
            <w:sz w:val="24"/>
          </w:rPr>
          <w:t>EndorseRank</w:t>
        </w:r>
        <w:r>
          <w:rPr>
            <w:spacing w:val="-13"/>
            <w:sz w:val="24"/>
          </w:rPr>
          <w:t> </w:t>
        </w:r>
        <w:r>
          <w:rPr>
            <w:spacing w:val="-2"/>
            <w:sz w:val="24"/>
          </w:rPr>
          <w:t>and</w:t>
        </w:r>
        <w:r>
          <w:rPr>
            <w:spacing w:val="-13"/>
            <w:sz w:val="24"/>
          </w:rPr>
          <w:t> </w:t>
        </w:r>
        <w:r>
          <w:rPr>
            <w:spacing w:val="-2"/>
            <w:sz w:val="24"/>
          </w:rPr>
          <w:t>AWP</w:t>
        </w:r>
        <w:r>
          <w:rPr>
            <w:spacing w:val="-13"/>
            <w:sz w:val="24"/>
          </w:rPr>
          <w:t> </w:t>
        </w:r>
        <w:r>
          <w:rPr>
            <w:spacing w:val="-2"/>
            <w:sz w:val="24"/>
          </w:rPr>
          <w:t>ranks</w:t>
        </w:r>
        <w:r>
          <w:rPr>
            <w:spacing w:val="-13"/>
            <w:sz w:val="24"/>
          </w:rPr>
          <w:t> </w:t>
        </w:r>
        <w:r>
          <w:rPr>
            <w:spacing w:val="-2"/>
            <w:sz w:val="24"/>
          </w:rPr>
          <w:t>are</w:t>
        </w:r>
        <w:r>
          <w:rPr>
            <w:spacing w:val="-13"/>
            <w:sz w:val="24"/>
          </w:rPr>
          <w:t> </w:t>
        </w:r>
        <w:r>
          <w:rPr>
            <w:spacing w:val="-2"/>
            <w:sz w:val="24"/>
          </w:rPr>
          <w:t>com-</w:t>
        </w:r>
      </w:hyperlink>
      <w:hyperlink w:history="true" w:anchor="_bookmark56">
        <w:r>
          <w:rPr>
            <w:sz w:val="24"/>
          </w:rPr>
          <w:t>puted, proxies and alignment statistics are evaluated, and LaTeX result fragments</w:t>
        </w:r>
      </w:hyperlink>
    </w:p>
    <w:p>
      <w:pPr>
        <w:pStyle w:val="ListParagraph"/>
        <w:numPr>
          <w:ilvl w:val="1"/>
          <w:numId w:val="4"/>
        </w:numPr>
        <w:tabs>
          <w:tab w:pos="1190" w:val="left" w:leader="none"/>
        </w:tabs>
        <w:spacing w:line="396" w:lineRule="auto" w:before="0" w:after="0"/>
        <w:ind w:left="1190" w:right="1135" w:hanging="550"/>
        <w:jc w:val="both"/>
        <w:rPr>
          <w:sz w:val="24"/>
        </w:rPr>
      </w:pPr>
      <w:r>
        <w:rPr>
          <w:i/>
        </w:rPr>
        <w:t>평가 파이프라인: 공개 Arbitrum 로그가 추출 및 디코딩되고, 평판 에지 및 GMX 결과가 전처리되고, EndorseRank 및 AWP 순위가 계산되고, 프록시 및 정렬 통계가 평가되고, LaTeX 결과 조각이 생성됩니다.</w:t>
      </w:r>
    </w:p>
    <w:p>
      <w:pPr>
        <w:pStyle w:val="BodyText"/>
        <w:tabs>
          <w:tab w:pos="9399" w:val="left" w:leader="dot"/>
        </w:tabs>
        <w:spacing w:before="3"/>
        <w:ind w:left="1190"/>
        <w:jc w:val="both"/>
      </w:pPr>
      <w:hyperlink w:history="true" w:anchor="_bookmark56">
        <w:r>
          <w:rPr/>
          <w:t>are</w:t>
        </w:r>
        <w:r>
          <w:rPr>
            <w:spacing w:val="-4"/>
          </w:rPr>
          <w:t> </w:t>
        </w:r>
        <w:r>
          <w:rPr>
            <w:spacing w:val="-2"/>
          </w:rPr>
          <w:t>exported.</w:t>
        </w:r>
      </w:hyperlink>
      <w:r>
        <w:rPr/>
        <w:tab/>
      </w:r>
      <w:r>
        <w:rPr>
          <w:spacing w:val="-5"/>
        </w:rPr>
        <w:t>49</w:t>
      </w:r>
    </w:p>
    <w:p>
      <w:pPr>
        <w:pStyle w:val="BodyText"/>
        <w:tabs>
          <w:tab w:pos="9399" w:val="left" w:leader="dot"/>
        </w:tabs>
        <w:spacing w:before="3"/>
        <w:ind w:left="1190"/>
        <w:jc w:val="both"/>
      </w:pPr>
      <w:r>
        <w:rPr>
          <w:i/>
        </w:rPr>
        <w:t>수출됩니다.</w:t>
        <w:tab/>
        <w:t>49</w:t>
      </w:r>
    </w:p>
    <w:p>
      <w:pPr>
        <w:pStyle w:val="ListParagraph"/>
        <w:numPr>
          <w:ilvl w:val="1"/>
          <w:numId w:val="4"/>
        </w:numPr>
        <w:tabs>
          <w:tab w:pos="1190" w:val="left" w:leader="none"/>
        </w:tabs>
        <w:spacing w:line="376" w:lineRule="auto" w:before="190" w:after="0"/>
        <w:ind w:left="1190" w:right="1173" w:hanging="550"/>
        <w:jc w:val="both"/>
        <w:rPr>
          <w:sz w:val="24"/>
        </w:rPr>
      </w:pPr>
      <w:hyperlink w:history="true" w:anchor="_bookmark62">
        <w:r>
          <w:rPr>
            <w:w w:val="105"/>
            <w:sz w:val="24"/>
          </w:rPr>
          <w:t>Logistic</w:t>
        </w:r>
        <w:r>
          <w:rPr>
            <w:spacing w:val="-8"/>
            <w:w w:val="105"/>
            <w:sz w:val="24"/>
          </w:rPr>
          <w:t> </w:t>
        </w:r>
        <w:r>
          <w:rPr>
            <w:w w:val="105"/>
            <w:sz w:val="24"/>
          </w:rPr>
          <w:t>time-decay</w:t>
        </w:r>
        <w:r>
          <w:rPr>
            <w:spacing w:val="-8"/>
            <w:w w:val="105"/>
            <w:sz w:val="24"/>
          </w:rPr>
          <w:t> </w:t>
        </w:r>
        <w:r>
          <w:rPr>
            <w:rFonts w:ascii="Calibri" w:hAnsi="Calibri"/>
            <w:i/>
            <w:w w:val="105"/>
            <w:sz w:val="24"/>
          </w:rPr>
          <w:t>σ</w:t>
        </w:r>
        <w:r>
          <w:rPr>
            <w:rFonts w:ascii="Calibri" w:hAnsi="Calibri"/>
            <w:w w:val="105"/>
            <w:sz w:val="24"/>
          </w:rPr>
          <w:t>(∆</w:t>
        </w:r>
        <w:r>
          <w:rPr>
            <w:rFonts w:ascii="Calibri" w:hAnsi="Calibri"/>
            <w:i/>
            <w:w w:val="105"/>
            <w:sz w:val="24"/>
          </w:rPr>
          <w:t>t</w:t>
        </w:r>
        <w:r>
          <w:rPr>
            <w:rFonts w:ascii="Calibri" w:hAnsi="Calibri"/>
            <w:w w:val="105"/>
            <w:sz w:val="24"/>
          </w:rPr>
          <w:t>)</w:t>
        </w:r>
        <w:r>
          <w:rPr>
            <w:rFonts w:ascii="Calibri" w:hAnsi="Calibri"/>
            <w:spacing w:val="-2"/>
            <w:w w:val="105"/>
            <w:sz w:val="24"/>
          </w:rPr>
          <w:t> </w:t>
        </w:r>
        <w:r>
          <w:rPr>
            <w:w w:val="105"/>
            <w:sz w:val="24"/>
          </w:rPr>
          <w:t>used</w:t>
        </w:r>
        <w:r>
          <w:rPr>
            <w:spacing w:val="-8"/>
            <w:w w:val="105"/>
            <w:sz w:val="24"/>
          </w:rPr>
          <w:t> </w:t>
        </w:r>
        <w:r>
          <w:rPr>
            <w:w w:val="105"/>
            <w:sz w:val="24"/>
          </w:rPr>
          <w:t>by</w:t>
        </w:r>
        <w:r>
          <w:rPr>
            <w:spacing w:val="-8"/>
            <w:w w:val="105"/>
            <w:sz w:val="24"/>
          </w:rPr>
          <w:t> </w:t>
        </w:r>
        <w:r>
          <w:rPr>
            <w:w w:val="105"/>
            <w:sz w:val="24"/>
          </w:rPr>
          <w:t>AWP</w:t>
        </w:r>
        <w:r>
          <w:rPr>
            <w:spacing w:val="-8"/>
            <w:w w:val="105"/>
            <w:sz w:val="24"/>
          </w:rPr>
          <w:t> </w:t>
        </w:r>
        <w:r>
          <w:rPr>
            <w:w w:val="105"/>
            <w:sz w:val="24"/>
          </w:rPr>
          <w:t>(</w:t>
        </w:r>
        <w:r>
          <w:rPr>
            <w:rFonts w:ascii="Calibri" w:hAnsi="Calibri"/>
            <w:i/>
            <w:w w:val="105"/>
            <w:sz w:val="24"/>
          </w:rPr>
          <w:t>k</w:t>
        </w:r>
        <w:r>
          <w:rPr>
            <w:rFonts w:ascii="Calibri" w:hAnsi="Calibri"/>
            <w:i/>
            <w:w w:val="105"/>
            <w:sz w:val="24"/>
          </w:rPr>
          <w:t> </w:t>
        </w:r>
        <w:r>
          <w:rPr>
            <w:rFonts w:ascii="Calibri" w:hAnsi="Calibri"/>
            <w:w w:val="125"/>
            <w:sz w:val="24"/>
          </w:rPr>
          <w:t>=</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01</w:t>
        </w:r>
        <w:r>
          <w:rPr>
            <w:w w:val="105"/>
            <w:sz w:val="24"/>
          </w:rPr>
          <w:t>,</w:t>
        </w:r>
        <w:r>
          <w:rPr>
            <w:spacing w:val="-6"/>
            <w:w w:val="105"/>
            <w:sz w:val="24"/>
          </w:rPr>
          <w:t> </w:t>
        </w:r>
        <w:r>
          <w:rPr>
            <w:rFonts w:ascii="Calibri" w:hAnsi="Calibri"/>
            <w:i/>
            <w:w w:val="105"/>
            <w:sz w:val="24"/>
          </w:rPr>
          <w:t>t</w:t>
        </w:r>
        <w:r>
          <w:rPr>
            <w:rFonts w:ascii="Calibri" w:hAnsi="Calibri"/>
            <w:w w:val="105"/>
            <w:sz w:val="24"/>
            <w:vertAlign w:val="subscript"/>
          </w:rPr>
          <w:t>0</w:t>
        </w:r>
        <w:r>
          <w:rPr>
            <w:rFonts w:ascii="Calibri" w:hAnsi="Calibri"/>
            <w:w w:val="125"/>
            <w:sz w:val="24"/>
            <w:vertAlign w:val="baseline"/>
          </w:rPr>
          <w:t> =</w:t>
        </w:r>
        <w:r>
          <w:rPr>
            <w:rFonts w:ascii="Calibri" w:hAnsi="Calibri"/>
            <w:w w:val="125"/>
            <w:sz w:val="24"/>
            <w:vertAlign w:val="baseline"/>
          </w:rPr>
          <w:t> </w:t>
        </w:r>
        <w:r>
          <w:rPr>
            <w:rFonts w:ascii="Calibri" w:hAnsi="Calibri"/>
            <w:w w:val="105"/>
            <w:sz w:val="24"/>
            <w:vertAlign w:val="baseline"/>
          </w:rPr>
          <w:t>180</w:t>
        </w:r>
        <w:r>
          <w:rPr>
            <w:rFonts w:ascii="Calibri" w:hAnsi="Calibri"/>
            <w:spacing w:val="-2"/>
            <w:w w:val="105"/>
            <w:sz w:val="24"/>
            <w:vertAlign w:val="baseline"/>
          </w:rPr>
          <w:t> </w:t>
        </w:r>
        <w:r>
          <w:rPr>
            <w:w w:val="105"/>
            <w:sz w:val="24"/>
            <w:vertAlign w:val="baseline"/>
          </w:rPr>
          <w:t>days).</w:t>
        </w:r>
        <w:r>
          <w:rPr>
            <w:spacing w:val="23"/>
            <w:w w:val="105"/>
            <w:sz w:val="24"/>
            <w:vertAlign w:val="baseline"/>
          </w:rPr>
          <w:t> </w:t>
        </w:r>
        <w:r>
          <w:rPr>
            <w:w w:val="105"/>
            <w:sz w:val="24"/>
            <w:vertAlign w:val="baseline"/>
          </w:rPr>
          <w:t>Horizontal</w:t>
        </w:r>
      </w:hyperlink>
      <w:r>
        <w:rPr>
          <w:w w:val="105"/>
          <w:sz w:val="24"/>
          <w:vertAlign w:val="baseline"/>
        </w:rPr>
        <w:t> </w:t>
      </w:r>
      <w:hyperlink w:history="true" w:anchor="_bookmark62">
        <w:r>
          <w:rPr>
            <w:sz w:val="24"/>
            <w:vertAlign w:val="baseline"/>
          </w:rPr>
          <w:t>axis</w:t>
        </w:r>
        <w:r>
          <w:rPr>
            <w:spacing w:val="-14"/>
            <w:sz w:val="24"/>
            <w:vertAlign w:val="baseline"/>
          </w:rPr>
          <w:t> </w:t>
        </w:r>
        <w:r>
          <w:rPr>
            <w:sz w:val="24"/>
            <w:vertAlign w:val="baseline"/>
          </w:rPr>
          <w:t>is</w:t>
        </w:r>
        <w:r>
          <w:rPr>
            <w:spacing w:val="-14"/>
            <w:sz w:val="24"/>
            <w:vertAlign w:val="baseline"/>
          </w:rPr>
          <w:t> </w:t>
        </w:r>
        <w:r>
          <w:rPr>
            <w:sz w:val="24"/>
            <w:vertAlign w:val="baseline"/>
          </w:rPr>
          <w:t>event</w:t>
        </w:r>
        <w:r>
          <w:rPr>
            <w:spacing w:val="-14"/>
            <w:sz w:val="24"/>
            <w:vertAlign w:val="baseline"/>
          </w:rPr>
          <w:t> </w:t>
        </w:r>
        <w:r>
          <w:rPr>
            <w:sz w:val="24"/>
            <w:vertAlign w:val="baseline"/>
          </w:rPr>
          <w:t>age</w:t>
        </w:r>
        <w:r>
          <w:rPr>
            <w:spacing w:val="-14"/>
            <w:sz w:val="24"/>
            <w:vertAlign w:val="baseline"/>
          </w:rPr>
          <w:t> </w:t>
        </w:r>
        <w:r>
          <w:rPr>
            <w:sz w:val="24"/>
            <w:vertAlign w:val="baseline"/>
          </w:rPr>
          <w:t>in</w:t>
        </w:r>
        <w:r>
          <w:rPr>
            <w:spacing w:val="-14"/>
            <w:sz w:val="24"/>
            <w:vertAlign w:val="baseline"/>
          </w:rPr>
          <w:t> </w:t>
        </w:r>
        <w:r>
          <w:rPr>
            <w:sz w:val="24"/>
            <w:vertAlign w:val="baseline"/>
          </w:rPr>
          <w:t>days</w:t>
        </w:r>
        <w:r>
          <w:rPr>
            <w:spacing w:val="-14"/>
            <w:sz w:val="24"/>
            <w:vertAlign w:val="baseline"/>
          </w:rPr>
          <w:t> </w:t>
        </w:r>
        <w:r>
          <w:rPr>
            <w:sz w:val="24"/>
            <w:vertAlign w:val="baseline"/>
          </w:rPr>
          <w:t>before</w:t>
        </w:r>
        <w:r>
          <w:rPr>
            <w:spacing w:val="-14"/>
            <w:sz w:val="24"/>
            <w:vertAlign w:val="baseline"/>
          </w:rPr>
          <w:t> </w:t>
        </w:r>
        <w:r>
          <w:rPr>
            <w:sz w:val="24"/>
            <w:vertAlign w:val="baseline"/>
          </w:rPr>
          <w:t>2026-05-31</w:t>
        </w:r>
        <w:r>
          <w:rPr>
            <w:spacing w:val="-14"/>
            <w:sz w:val="24"/>
            <w:vertAlign w:val="baseline"/>
          </w:rPr>
          <w:t> </w:t>
        </w:r>
        <w:r>
          <w:rPr>
            <w:sz w:val="24"/>
            <w:vertAlign w:val="baseline"/>
          </w:rPr>
          <w:t>UTC;</w:t>
        </w:r>
        <w:r>
          <w:rPr>
            <w:spacing w:val="-14"/>
            <w:sz w:val="24"/>
            <w:vertAlign w:val="baseline"/>
          </w:rPr>
          <w:t> </w:t>
        </w:r>
        <w:r>
          <w:rPr>
            <w:sz w:val="24"/>
            <w:vertAlign w:val="baseline"/>
          </w:rPr>
          <w:t>vertical</w:t>
        </w:r>
        <w:r>
          <w:rPr>
            <w:spacing w:val="-14"/>
            <w:sz w:val="24"/>
            <w:vertAlign w:val="baseline"/>
          </w:rPr>
          <w:t> </w:t>
        </w:r>
        <w:r>
          <w:rPr>
            <w:sz w:val="24"/>
            <w:vertAlign w:val="baseline"/>
          </w:rPr>
          <w:t>axis</w:t>
        </w:r>
        <w:r>
          <w:rPr>
            <w:spacing w:val="-14"/>
            <w:sz w:val="24"/>
            <w:vertAlign w:val="baseline"/>
          </w:rPr>
          <w:t> </w:t>
        </w:r>
        <w:r>
          <w:rPr>
            <w:sz w:val="24"/>
            <w:vertAlign w:val="baseline"/>
          </w:rPr>
          <w:t>is</w:t>
        </w:r>
        <w:r>
          <w:rPr>
            <w:spacing w:val="-14"/>
            <w:sz w:val="24"/>
            <w:vertAlign w:val="baseline"/>
          </w:rPr>
          <w:t> </w:t>
        </w:r>
        <w:r>
          <w:rPr>
            <w:sz w:val="24"/>
            <w:vertAlign w:val="baseline"/>
          </w:rPr>
          <w:t>the</w:t>
        </w:r>
        <w:r>
          <w:rPr>
            <w:spacing w:val="-14"/>
            <w:sz w:val="24"/>
            <w:vertAlign w:val="baseline"/>
          </w:rPr>
          <w:t> </w:t>
        </w:r>
        <w:r>
          <w:rPr>
            <w:sz w:val="24"/>
            <w:vertAlign w:val="baseline"/>
          </w:rPr>
          <w:t>multiplicative</w:t>
        </w:r>
      </w:hyperlink>
    </w:p>
    <w:p>
      <w:pPr>
        <w:pStyle w:val="ListParagraph"/>
        <w:numPr>
          <w:ilvl w:val="1"/>
          <w:numId w:val="4"/>
        </w:numPr>
        <w:tabs>
          <w:tab w:pos="1190" w:val="left" w:leader="none"/>
        </w:tabs>
        <w:spacing w:line="376" w:lineRule="auto" w:before="190" w:after="0"/>
        <w:ind w:left="1190" w:right="1173" w:hanging="550"/>
        <w:jc w:val="both"/>
        <w:rPr>
          <w:sz w:val="24"/>
        </w:rPr>
      </w:pPr>
      <w:r>
        <w:rPr>
          <w:i/>
        </w:rPr>
        <w:t>AWP(k = 0.01, t0 = 180일)에 사용되는 로지스틱 시간 감쇠 σ(Δt). 가로 축은 2026-05-31 UTC 이전 날짜의 이벤트 기간이고 세로 축은 곱셈입니다.</w:t>
      </w:r>
    </w:p>
    <w:p>
      <w:pPr>
        <w:pStyle w:val="BodyText"/>
        <w:tabs>
          <w:tab w:pos="9399" w:val="left" w:leader="dot"/>
        </w:tabs>
        <w:spacing w:before="24"/>
        <w:ind w:left="1182"/>
        <w:jc w:val="both"/>
      </w:pPr>
      <w:hyperlink w:history="true" w:anchor="_bookmark62">
        <w:r>
          <w:rPr/>
          <w:t>weight</w:t>
        </w:r>
        <w:r>
          <w:rPr>
            <w:spacing w:val="-7"/>
          </w:rPr>
          <w:t> </w:t>
        </w:r>
        <w:r>
          <w:rPr/>
          <w:t>applied</w:t>
        </w:r>
        <w:r>
          <w:rPr>
            <w:spacing w:val="-7"/>
          </w:rPr>
          <w:t> </w:t>
        </w:r>
        <w:r>
          <w:rPr/>
          <w:t>to</w:t>
        </w:r>
        <w:r>
          <w:rPr>
            <w:spacing w:val="-7"/>
          </w:rPr>
          <w:t> </w:t>
        </w:r>
        <w:r>
          <w:rPr/>
          <w:t>transfer</w:t>
        </w:r>
        <w:r>
          <w:rPr>
            <w:spacing w:val="-6"/>
          </w:rPr>
          <w:t> </w:t>
        </w:r>
        <w:r>
          <w:rPr>
            <w:spacing w:val="-2"/>
          </w:rPr>
          <w:t>value.</w:t>
        </w:r>
      </w:hyperlink>
      <w:r>
        <w:rPr/>
        <w:tab/>
      </w:r>
      <w:r>
        <w:rPr>
          <w:spacing w:val="-5"/>
        </w:rPr>
        <w:t>54</w:t>
      </w:r>
    </w:p>
    <w:p>
      <w:pPr>
        <w:pStyle w:val="BodyText"/>
        <w:tabs>
          <w:tab w:pos="9399" w:val="left" w:leader="dot"/>
        </w:tabs>
        <w:spacing w:before="24"/>
        <w:ind w:left="1182"/>
        <w:jc w:val="both"/>
      </w:pPr>
      <w:r>
        <w:rPr>
          <w:i/>
        </w:rPr>
        <w:t>이전 가치에 적용되는 가중치.</w:t>
        <w:tab/>
        <w:t>54</w:t>
      </w:r>
    </w:p>
    <w:p>
      <w:pPr>
        <w:pStyle w:val="BodyText"/>
        <w:spacing w:before="113"/>
      </w:pPr>
    </w:p>
    <w:p>
      <w:pPr>
        <w:pStyle w:val="ListParagraph"/>
        <w:numPr>
          <w:ilvl w:val="1"/>
          <w:numId w:val="5"/>
        </w:numPr>
        <w:tabs>
          <w:tab w:pos="1190" w:val="left" w:leader="none"/>
        </w:tabs>
        <w:spacing w:line="374" w:lineRule="auto" w:before="0" w:after="0"/>
        <w:ind w:left="1190" w:right="1173" w:hanging="550"/>
        <w:jc w:val="left"/>
        <w:rPr>
          <w:sz w:val="24"/>
        </w:rPr>
      </w:pPr>
      <w:hyperlink w:history="true" w:anchor="_bookmark87">
        <w:r>
          <w:rPr>
            <w:w w:val="105"/>
            <w:sz w:val="24"/>
          </w:rPr>
          <w:t>Distribution</w:t>
        </w:r>
        <w:r>
          <w:rPr>
            <w:spacing w:val="17"/>
            <w:w w:val="110"/>
            <w:sz w:val="24"/>
          </w:rPr>
          <w:t> </w:t>
        </w:r>
        <w:r>
          <w:rPr>
            <w:w w:val="110"/>
            <w:sz w:val="24"/>
          </w:rPr>
          <w:t>of</w:t>
        </w:r>
        <w:r>
          <w:rPr>
            <w:spacing w:val="17"/>
            <w:w w:val="110"/>
            <w:sz w:val="24"/>
          </w:rPr>
          <w:t> </w:t>
        </w:r>
        <w:r>
          <w:rPr>
            <w:w w:val="110"/>
            <w:sz w:val="24"/>
          </w:rPr>
          <w:t>GMX</w:t>
        </w:r>
        <w:r>
          <w:rPr>
            <w:spacing w:val="17"/>
            <w:w w:val="110"/>
            <w:sz w:val="24"/>
          </w:rPr>
          <w:t> </w:t>
        </w:r>
        <w:r>
          <w:rPr>
            <w:w w:val="110"/>
            <w:sz w:val="24"/>
          </w:rPr>
          <w:t>V2</w:t>
        </w:r>
        <w:r>
          <w:rPr>
            <w:spacing w:val="17"/>
            <w:w w:val="110"/>
            <w:sz w:val="24"/>
          </w:rPr>
          <w:t> </w:t>
        </w:r>
        <w:r>
          <w:rPr>
            <w:rFonts w:ascii="Calibri" w:hAnsi="Calibri"/>
            <w:w w:val="110"/>
            <w:sz w:val="24"/>
          </w:rPr>
          <w:t>PositionDecrease</w:t>
        </w:r>
        <w:r>
          <w:rPr>
            <w:rFonts w:ascii="Calibri" w:hAnsi="Calibri"/>
            <w:spacing w:val="23"/>
            <w:w w:val="110"/>
            <w:sz w:val="24"/>
          </w:rPr>
          <w:t> </w:t>
        </w:r>
        <w:r>
          <w:rPr>
            <w:w w:val="110"/>
            <w:sz w:val="24"/>
          </w:rPr>
          <w:t>close</w:t>
        </w:r>
        <w:r>
          <w:rPr>
            <w:spacing w:val="17"/>
            <w:w w:val="110"/>
            <w:sz w:val="24"/>
          </w:rPr>
          <w:t> </w:t>
        </w:r>
        <w:r>
          <w:rPr>
            <w:w w:val="110"/>
            <w:sz w:val="24"/>
          </w:rPr>
          <w:t>counts</w:t>
        </w:r>
        <w:r>
          <w:rPr>
            <w:spacing w:val="17"/>
            <w:w w:val="110"/>
            <w:sz w:val="24"/>
          </w:rPr>
          <w:t> </w:t>
        </w:r>
        <w:r>
          <w:rPr>
            <w:w w:val="110"/>
            <w:sz w:val="24"/>
          </w:rPr>
          <w:t>per</w:t>
        </w:r>
        <w:r>
          <w:rPr>
            <w:spacing w:val="17"/>
            <w:w w:val="110"/>
            <w:sz w:val="24"/>
          </w:rPr>
          <w:t> </w:t>
        </w:r>
        <w:r>
          <w:rPr>
            <w:w w:val="110"/>
            <w:sz w:val="24"/>
          </w:rPr>
          <w:t>wallet</w:t>
        </w:r>
        <w:r>
          <w:rPr>
            <w:spacing w:val="17"/>
            <w:w w:val="110"/>
            <w:sz w:val="24"/>
          </w:rPr>
          <w:t> </w:t>
        </w:r>
        <w:r>
          <w:rPr>
            <w:w w:val="110"/>
            <w:sz w:val="24"/>
          </w:rPr>
          <w:t>in</w:t>
        </w:r>
        <w:r>
          <w:rPr>
            <w:spacing w:val="17"/>
            <w:w w:val="110"/>
            <w:sz w:val="24"/>
          </w:rPr>
          <w:t> </w:t>
        </w:r>
        <w:r>
          <w:rPr>
            <w:w w:val="110"/>
            <w:sz w:val="24"/>
          </w:rPr>
          <w:t>the</w:t>
        </w:r>
      </w:hyperlink>
      <w:r>
        <w:rPr>
          <w:w w:val="110"/>
          <w:sz w:val="24"/>
        </w:rPr>
        <w:t> </w:t>
      </w:r>
      <w:hyperlink w:history="true" w:anchor="_bookmark87">
        <w:r>
          <w:rPr>
            <w:sz w:val="24"/>
          </w:rPr>
          <w:t>matched</w:t>
        </w:r>
        <w:r>
          <w:rPr>
            <w:spacing w:val="16"/>
            <w:sz w:val="24"/>
          </w:rPr>
          <w:t> </w:t>
        </w:r>
        <w:r>
          <w:rPr>
            <w:sz w:val="24"/>
          </w:rPr>
          <w:t>cohort</w:t>
        </w:r>
        <w:r>
          <w:rPr>
            <w:spacing w:val="16"/>
            <w:sz w:val="24"/>
          </w:rPr>
          <w:t> </w:t>
        </w:r>
        <w:r>
          <w:rPr>
            <w:sz w:val="24"/>
          </w:rPr>
          <w:t>(</w:t>
        </w:r>
        <w:r>
          <w:rPr>
            <w:rFonts w:ascii="Calibri" w:hAnsi="Calibri"/>
            <w:i/>
            <w:sz w:val="24"/>
          </w:rPr>
          <w:t>n</w:t>
        </w:r>
        <w:r>
          <w:rPr>
            <w:rFonts w:ascii="Calibri" w:hAnsi="Calibri"/>
            <w:i/>
            <w:spacing w:val="40"/>
            <w:sz w:val="24"/>
          </w:rPr>
          <w:t> </w:t>
        </w:r>
        <w:r>
          <w:rPr>
            <w:rFonts w:ascii="Calibri" w:hAnsi="Calibri"/>
            <w:sz w:val="24"/>
          </w:rPr>
          <w:t>=</w:t>
        </w:r>
        <w:r>
          <w:rPr>
            <w:rFonts w:ascii="Calibri" w:hAnsi="Calibri"/>
            <w:spacing w:val="40"/>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69"/>
            <w:sz w:val="24"/>
          </w:rPr>
          <w:t> </w:t>
        </w:r>
        <w:r>
          <w:rPr>
            <w:sz w:val="24"/>
          </w:rPr>
          <w:t>The</w:t>
        </w:r>
        <w:r>
          <w:rPr>
            <w:spacing w:val="16"/>
            <w:sz w:val="24"/>
          </w:rPr>
          <w:t> </w:t>
        </w:r>
        <w:r>
          <w:rPr>
            <w:sz w:val="24"/>
          </w:rPr>
          <w:t>cohort</w:t>
        </w:r>
        <w:r>
          <w:rPr>
            <w:spacing w:val="16"/>
            <w:sz w:val="24"/>
          </w:rPr>
          <w:t> </w:t>
        </w:r>
        <w:r>
          <w:rPr>
            <w:sz w:val="24"/>
          </w:rPr>
          <w:t>filter</w:t>
        </w:r>
        <w:r>
          <w:rPr>
            <w:spacing w:val="16"/>
            <w:sz w:val="24"/>
          </w:rPr>
          <w:t> </w:t>
        </w:r>
        <w:r>
          <w:rPr>
            <w:sz w:val="24"/>
          </w:rPr>
          <w:t>requires</w:t>
        </w:r>
        <w:r>
          <w:rPr>
            <w:spacing w:val="16"/>
            <w:sz w:val="24"/>
          </w:rPr>
          <w:t> </w:t>
        </w:r>
        <w:r>
          <w:rPr>
            <w:sz w:val="24"/>
          </w:rPr>
          <w:t>at</w:t>
        </w:r>
        <w:r>
          <w:rPr>
            <w:spacing w:val="16"/>
            <w:sz w:val="24"/>
          </w:rPr>
          <w:t> </w:t>
        </w:r>
        <w:r>
          <w:rPr>
            <w:sz w:val="24"/>
          </w:rPr>
          <w:t>least</w:t>
        </w:r>
        <w:r>
          <w:rPr>
            <w:spacing w:val="16"/>
            <w:sz w:val="24"/>
          </w:rPr>
          <w:t> </w:t>
        </w:r>
        <w:r>
          <w:rPr>
            <w:sz w:val="24"/>
          </w:rPr>
          <w:t>three</w:t>
        </w:r>
        <w:r>
          <w:rPr>
            <w:spacing w:val="16"/>
            <w:sz w:val="24"/>
          </w:rPr>
          <w:t> </w:t>
        </w:r>
        <w:r>
          <w:rPr>
            <w:sz w:val="24"/>
          </w:rPr>
          <w:t>closes;</w:t>
        </w:r>
        <w:r>
          <w:rPr>
            <w:spacing w:val="24"/>
            <w:sz w:val="24"/>
          </w:rPr>
          <w:t> </w:t>
        </w:r>
        <w:r>
          <w:rPr>
            <w:sz w:val="24"/>
          </w:rPr>
          <w:t>the</w:t>
        </w:r>
      </w:hyperlink>
    </w:p>
    <w:p>
      <w:pPr>
        <w:pStyle w:val="ListParagraph"/>
        <w:numPr>
          <w:ilvl w:val="1"/>
          <w:numId w:val="5"/>
        </w:numPr>
        <w:tabs>
          <w:tab w:pos="1190" w:val="left" w:leader="none"/>
        </w:tabs>
        <w:spacing w:line="374" w:lineRule="auto" w:before="0" w:after="0"/>
        <w:ind w:left="1190" w:right="1173" w:hanging="550"/>
        <w:jc w:val="left"/>
        <w:rPr>
          <w:sz w:val="24"/>
        </w:rPr>
      </w:pPr>
      <w:r>
        <w:rPr>
          <w:i/>
        </w:rPr>
        <w:t>일치하는 코호트(n = 5,521)의 지갑당 GMX V2 PositionDecrease 마감 횟수 분포. 코호트 필터에는 최소 3번의 마감이 필요합니다.</w:t>
      </w:r>
    </w:p>
    <w:p>
      <w:pPr>
        <w:pStyle w:val="BodyText"/>
        <w:tabs>
          <w:tab w:pos="9399" w:val="left" w:leader="dot"/>
        </w:tabs>
        <w:spacing w:before="3"/>
        <w:ind w:left="1190"/>
      </w:pPr>
      <w:hyperlink w:history="true" w:anchor="_bookmark87">
        <w:r>
          <w:rPr/>
          <w:t>long</w:t>
        </w:r>
        <w:r>
          <w:rPr>
            <w:spacing w:val="-7"/>
          </w:rPr>
          <w:t> </w:t>
        </w:r>
        <w:r>
          <w:rPr/>
          <w:t>right</w:t>
        </w:r>
        <w:r>
          <w:rPr>
            <w:spacing w:val="-6"/>
          </w:rPr>
          <w:t> </w:t>
        </w:r>
        <w:r>
          <w:rPr/>
          <w:t>tail</w:t>
        </w:r>
        <w:r>
          <w:rPr>
            <w:spacing w:val="-7"/>
          </w:rPr>
          <w:t> </w:t>
        </w:r>
        <w:r>
          <w:rPr/>
          <w:t>reflects</w:t>
        </w:r>
        <w:r>
          <w:rPr>
            <w:spacing w:val="-6"/>
          </w:rPr>
          <w:t> </w:t>
        </w:r>
        <w:r>
          <w:rPr/>
          <w:t>a</w:t>
        </w:r>
        <w:r>
          <w:rPr>
            <w:spacing w:val="-7"/>
          </w:rPr>
          <w:t> </w:t>
        </w:r>
        <w:r>
          <w:rPr/>
          <w:t>minority</w:t>
        </w:r>
        <w:r>
          <w:rPr>
            <w:spacing w:val="-6"/>
          </w:rPr>
          <w:t> </w:t>
        </w:r>
        <w:r>
          <w:rPr/>
          <w:t>of</w:t>
        </w:r>
        <w:r>
          <w:rPr>
            <w:spacing w:val="-7"/>
          </w:rPr>
          <w:t> </w:t>
        </w:r>
        <w:r>
          <w:rPr/>
          <w:t>highly</w:t>
        </w:r>
        <w:r>
          <w:rPr>
            <w:spacing w:val="-6"/>
          </w:rPr>
          <w:t> </w:t>
        </w:r>
        <w:r>
          <w:rPr/>
          <w:t>active</w:t>
        </w:r>
        <w:r>
          <w:rPr>
            <w:spacing w:val="-7"/>
          </w:rPr>
          <w:t> </w:t>
        </w:r>
        <w:r>
          <w:rPr>
            <w:spacing w:val="-2"/>
          </w:rPr>
          <w:t>traders.</w:t>
        </w:r>
      </w:hyperlink>
      <w:r>
        <w:rPr/>
        <w:tab/>
      </w:r>
      <w:r>
        <w:rPr>
          <w:spacing w:val="-5"/>
        </w:rPr>
        <w:t>72</w:t>
      </w:r>
    </w:p>
    <w:p>
      <w:pPr>
        <w:pStyle w:val="BodyText"/>
        <w:tabs>
          <w:tab w:pos="9399" w:val="left" w:leader="dot"/>
        </w:tabs>
        <w:spacing w:before="3"/>
        <w:ind w:left="1190"/>
      </w:pPr>
      <w:r>
        <w:rPr>
          <w:i/>
        </w:rPr>
        <w:t>긴 오른쪽 꼬리는 소수의 매우 활동적인 거래자를 반영합니다.</w:t>
        <w:tab/>
        <w:t>72</w:t>
      </w:r>
    </w:p>
    <w:p>
      <w:pPr>
        <w:pStyle w:val="ListParagraph"/>
        <w:numPr>
          <w:ilvl w:val="1"/>
          <w:numId w:val="5"/>
        </w:numPr>
        <w:tabs>
          <w:tab w:pos="1184" w:val="left" w:leader="none"/>
          <w:tab w:pos="1190" w:val="left" w:leader="none"/>
        </w:tabs>
        <w:spacing w:line="396" w:lineRule="auto" w:before="195" w:after="0"/>
        <w:ind w:left="1184" w:right="564" w:hanging="544"/>
        <w:jc w:val="left"/>
        <w:rPr>
          <w:sz w:val="24"/>
        </w:rPr>
      </w:pPr>
      <w:hyperlink w:history="true" w:anchor="_bookmark88">
        <w:r>
          <w:rPr>
            <w:sz w:val="24"/>
          </w:rPr>
          <w:t>Distribution</w:t>
        </w:r>
        <w:r>
          <w:rPr>
            <w:spacing w:val="36"/>
            <w:sz w:val="24"/>
          </w:rPr>
          <w:t> </w:t>
        </w:r>
        <w:r>
          <w:rPr>
            <w:sz w:val="24"/>
          </w:rPr>
          <w:t>of</w:t>
        </w:r>
        <w:r>
          <w:rPr>
            <w:spacing w:val="30"/>
            <w:sz w:val="24"/>
          </w:rPr>
          <w:t> </w:t>
        </w:r>
        <w:r>
          <w:rPr>
            <w:sz w:val="24"/>
          </w:rPr>
          <w:t>GMX</w:t>
        </w:r>
        <w:r>
          <w:rPr>
            <w:spacing w:val="29"/>
            <w:sz w:val="24"/>
          </w:rPr>
          <w:t> </w:t>
        </w:r>
        <w:r>
          <w:rPr>
            <w:sz w:val="24"/>
          </w:rPr>
          <w:t>realized</w:t>
        </w:r>
        <w:r>
          <w:rPr>
            <w:spacing w:val="29"/>
            <w:sz w:val="24"/>
          </w:rPr>
          <w:t> </w:t>
        </w:r>
        <w:r>
          <w:rPr>
            <w:sz w:val="24"/>
          </w:rPr>
          <w:t>PnL</w:t>
        </w:r>
        <w:r>
          <w:rPr>
            <w:spacing w:val="30"/>
            <w:sz w:val="24"/>
          </w:rPr>
          <w:t> </w:t>
        </w:r>
        <w:r>
          <w:rPr>
            <w:sz w:val="24"/>
          </w:rPr>
          <w:t>summaries</w:t>
        </w:r>
        <w:r>
          <w:rPr>
            <w:spacing w:val="29"/>
            <w:sz w:val="24"/>
          </w:rPr>
          <w:t> </w:t>
        </w:r>
        <w:r>
          <w:rPr>
            <w:sz w:val="24"/>
          </w:rPr>
          <w:t>in</w:t>
        </w:r>
        <w:r>
          <w:rPr>
            <w:spacing w:val="30"/>
            <w:sz w:val="24"/>
          </w:rPr>
          <w:t> </w:t>
        </w:r>
        <w:r>
          <w:rPr>
            <w:sz w:val="24"/>
          </w:rPr>
          <w:t>the</w:t>
        </w:r>
        <w:r>
          <w:rPr>
            <w:spacing w:val="29"/>
            <w:sz w:val="24"/>
          </w:rPr>
          <w:t> </w:t>
        </w:r>
        <w:r>
          <w:rPr>
            <w:sz w:val="24"/>
          </w:rPr>
          <w:t>matched</w:t>
        </w:r>
        <w:r>
          <w:rPr>
            <w:spacing w:val="30"/>
            <w:sz w:val="24"/>
          </w:rPr>
          <w:t> </w:t>
        </w:r>
        <w:r>
          <w:rPr>
            <w:sz w:val="24"/>
          </w:rPr>
          <w:t>cohort.</w:t>
        </w:r>
        <w:r>
          <w:rPr>
            <w:spacing w:val="64"/>
            <w:sz w:val="24"/>
          </w:rPr>
          <w:t>  </w:t>
        </w:r>
        <w:r>
          <w:rPr>
            <w:sz w:val="24"/>
          </w:rPr>
          <w:t>Heteroge-</w:t>
        </w:r>
      </w:hyperlink>
      <w:hyperlink w:history="true" w:anchor="_bookmark88">
        <w:r>
          <w:rPr>
            <w:sz w:val="24"/>
          </w:rPr>
          <w:t>neous profit and loss outcomes motivate treating trading-success proxies as one</w:t>
        </w:r>
      </w:hyperlink>
      <w:r>
        <w:rPr>
          <w:sz w:val="24"/>
        </w:rPr>
        <w:t> </w:t>
      </w:r>
      <w:hyperlink w:history="true" w:anchor="_bookmark88">
        <w:r>
          <w:rPr>
            <w:sz w:val="24"/>
          </w:rPr>
          <w:t>validation</w:t>
        </w:r>
        <w:r>
          <w:rPr>
            <w:spacing w:val="-11"/>
            <w:sz w:val="24"/>
          </w:rPr>
          <w:t> </w:t>
        </w:r>
        <w:r>
          <w:rPr>
            <w:sz w:val="24"/>
          </w:rPr>
          <w:t>axis</w:t>
        </w:r>
        <w:r>
          <w:rPr>
            <w:spacing w:val="-11"/>
            <w:sz w:val="24"/>
          </w:rPr>
          <w:t> </w:t>
        </w:r>
        <w:r>
          <w:rPr>
            <w:sz w:val="24"/>
          </w:rPr>
          <w:t>among</w:t>
        </w:r>
        <w:r>
          <w:rPr>
            <w:spacing w:val="-11"/>
            <w:sz w:val="24"/>
          </w:rPr>
          <w:t> </w:t>
        </w:r>
        <w:r>
          <w:rPr>
            <w:sz w:val="24"/>
          </w:rPr>
          <w:t>several,</w:t>
        </w:r>
        <w:r>
          <w:rPr>
            <w:spacing w:val="-9"/>
            <w:sz w:val="24"/>
          </w:rPr>
          <w:t> </w:t>
        </w:r>
        <w:r>
          <w:rPr>
            <w:sz w:val="24"/>
          </w:rPr>
          <w:t>rather</w:t>
        </w:r>
        <w:r>
          <w:rPr>
            <w:spacing w:val="-11"/>
            <w:sz w:val="24"/>
          </w:rPr>
          <w:t> </w:t>
        </w:r>
        <w:r>
          <w:rPr>
            <w:sz w:val="24"/>
          </w:rPr>
          <w:t>than</w:t>
        </w:r>
        <w:r>
          <w:rPr>
            <w:spacing w:val="-11"/>
            <w:sz w:val="24"/>
          </w:rPr>
          <w:t> </w:t>
        </w:r>
        <w:r>
          <w:rPr>
            <w:sz w:val="24"/>
          </w:rPr>
          <w:t>as</w:t>
        </w:r>
        <w:r>
          <w:rPr>
            <w:spacing w:val="-11"/>
            <w:sz w:val="24"/>
          </w:rPr>
          <w:t> </w:t>
        </w:r>
        <w:r>
          <w:rPr>
            <w:sz w:val="24"/>
          </w:rPr>
          <w:t>a</w:t>
        </w:r>
        <w:r>
          <w:rPr>
            <w:spacing w:val="-11"/>
            <w:sz w:val="24"/>
          </w:rPr>
          <w:t> </w:t>
        </w:r>
        <w:r>
          <w:rPr>
            <w:sz w:val="24"/>
          </w:rPr>
          <w:t>sole</w:t>
        </w:r>
        <w:r>
          <w:rPr>
            <w:spacing w:val="-11"/>
            <w:sz w:val="24"/>
          </w:rPr>
          <w:t> </w:t>
        </w:r>
        <w:r>
          <w:rPr>
            <w:sz w:val="24"/>
          </w:rPr>
          <w:t>ground</w:t>
        </w:r>
        <w:r>
          <w:rPr>
            <w:spacing w:val="-11"/>
            <w:sz w:val="24"/>
          </w:rPr>
          <w:t> </w:t>
        </w:r>
        <w:r>
          <w:rPr>
            <w:sz w:val="24"/>
          </w:rPr>
          <w:t>truth</w:t>
        </w:r>
        <w:r>
          <w:rPr>
            <w:spacing w:val="-11"/>
            <w:sz w:val="24"/>
          </w:rPr>
          <w:t> </w:t>
        </w:r>
        <w:r>
          <w:rPr>
            <w:sz w:val="24"/>
          </w:rPr>
          <w:t>for</w:t>
        </w:r>
        <w:r>
          <w:rPr>
            <w:spacing w:val="-11"/>
            <w:sz w:val="24"/>
          </w:rPr>
          <w:t> </w:t>
        </w:r>
        <w:r>
          <w:rPr>
            <w:sz w:val="24"/>
          </w:rPr>
          <w:t>social</w:t>
        </w:r>
        <w:r>
          <w:rPr>
            <w:spacing w:val="-11"/>
            <w:sz w:val="24"/>
          </w:rPr>
          <w:t> </w:t>
        </w:r>
        <w:r>
          <w:rPr>
            <w:sz w:val="24"/>
          </w:rPr>
          <w:t>reputation.</w:t>
        </w:r>
      </w:hyperlink>
      <w:r>
        <w:rPr>
          <w:spacing w:val="62"/>
          <w:sz w:val="24"/>
        </w:rPr>
        <w:t> </w:t>
      </w:r>
      <w:r>
        <w:rPr>
          <w:sz w:val="24"/>
        </w:rPr>
        <w:t>73</w:t>
      </w:r>
    </w:p>
    <w:p>
      <w:pPr>
        <w:pStyle w:val="ListParagraph"/>
        <w:numPr>
          <w:ilvl w:val="1"/>
          <w:numId w:val="5"/>
        </w:numPr>
        <w:tabs>
          <w:tab w:pos="1184" w:val="left" w:leader="none"/>
          <w:tab w:pos="1190" w:val="left" w:leader="none"/>
        </w:tabs>
        <w:spacing w:line="396" w:lineRule="auto" w:before="195" w:after="0"/>
        <w:ind w:left="1184" w:right="564" w:hanging="544"/>
        <w:jc w:val="left"/>
        <w:rPr>
          <w:sz w:val="24"/>
        </w:rPr>
      </w:pPr>
      <w:r>
        <w:rPr>
          <w:i/>
        </w:rPr>
        <w:t>일치하는 코호트에서 GMX 실현 손익 요약 분포.  이질적인 손익 결과는 거래 성공 프록시를 사회적 평판에 대한 유일한 근거가 아닌 여러 검증 축 중 하나로 취급하도록 동기를 부여합니다. 73</w:t>
      </w:r>
    </w:p>
    <w:p>
      <w:pPr>
        <w:pStyle w:val="ListParagraph"/>
        <w:spacing w:after="0" w:line="396" w:lineRule="auto"/>
        <w:jc w:val="left"/>
        <w:rPr>
          <w:sz w:val="24"/>
        </w:rPr>
        <w:sectPr>
          <w:pgSz w:w="11910" w:h="16840"/>
          <w:pgMar w:header="0" w:footer="2115" w:top="1740" w:bottom="2300" w:left="992" w:right="708"/>
        </w:sectPr>
      </w:pPr>
    </w:p>
    <w:p>
      <w:pPr>
        <w:pStyle w:val="ListParagraph"/>
        <w:numPr>
          <w:ilvl w:val="1"/>
          <w:numId w:val="5"/>
        </w:numPr>
        <w:tabs>
          <w:tab w:pos="1190" w:val="left" w:leader="none"/>
        </w:tabs>
        <w:spacing w:line="396" w:lineRule="auto" w:before="72" w:after="0"/>
        <w:ind w:left="1190" w:right="1135" w:hanging="550"/>
        <w:jc w:val="both"/>
        <w:rPr>
          <w:sz w:val="24"/>
        </w:rPr>
      </w:pPr>
      <w:hyperlink w:history="true" w:anchor="_bookmark89">
        <w:r>
          <w:rPr>
            <w:sz w:val="24"/>
          </w:rPr>
          <w:t>Distribution of GMX close success rates in the matched cohort.</w:t>
        </w:r>
        <w:r>
          <w:rPr>
            <w:spacing w:val="35"/>
            <w:sz w:val="24"/>
          </w:rPr>
          <w:t> </w:t>
        </w:r>
        <w:r>
          <w:rPr>
            <w:sz w:val="24"/>
          </w:rPr>
          <w:t>Concentration of</w:t>
        </w:r>
      </w:hyperlink>
      <w:r>
        <w:rPr>
          <w:sz w:val="24"/>
        </w:rPr>
        <w:t> </w:t>
      </w:r>
      <w:hyperlink w:history="true" w:anchor="_bookmark89">
        <w:r>
          <w:rPr>
            <w:sz w:val="24"/>
          </w:rPr>
          <w:t>rates reduces the discriminative power of rate-based trading-success proxies rela-</w:t>
        </w:r>
      </w:hyperlink>
    </w:p>
    <w:p>
      <w:pPr>
        <w:pStyle w:val="ListParagraph"/>
        <w:numPr>
          <w:ilvl w:val="1"/>
          <w:numId w:val="5"/>
        </w:numPr>
        <w:tabs>
          <w:tab w:pos="1190" w:val="left" w:leader="none"/>
        </w:tabs>
        <w:spacing w:line="396" w:lineRule="auto" w:before="72" w:after="0"/>
        <w:ind w:left="1190" w:right="1135" w:hanging="550"/>
        <w:jc w:val="both"/>
        <w:rPr>
          <w:sz w:val="24"/>
        </w:rPr>
      </w:pPr>
      <w:r>
        <w:rPr>
          <w:i/>
        </w:rPr>
        <w:t>일치하는 집단의 GMX 근접 성공률 분포입니다. 요율의 집중은 요율 기반 거래 성공 대리 관계의 차별적 힘을 감소시킵니다.</w:t>
      </w:r>
    </w:p>
    <w:p>
      <w:pPr>
        <w:pStyle w:val="BodyText"/>
        <w:tabs>
          <w:tab w:pos="9399" w:val="left" w:leader="dot"/>
        </w:tabs>
        <w:spacing w:before="2"/>
        <w:ind w:left="1190"/>
        <w:jc w:val="both"/>
      </w:pPr>
      <w:hyperlink w:history="true" w:anchor="_bookmark89">
        <w:r>
          <w:rPr/>
          <w:t>tive</w:t>
        </w:r>
        <w:r>
          <w:rPr>
            <w:spacing w:val="-7"/>
          </w:rPr>
          <w:t> </w:t>
        </w:r>
        <w:r>
          <w:rPr/>
          <w:t>to</w:t>
        </w:r>
        <w:r>
          <w:rPr>
            <w:spacing w:val="-6"/>
          </w:rPr>
          <w:t> </w:t>
        </w:r>
        <w:r>
          <w:rPr/>
          <w:t>count-</w:t>
        </w:r>
        <w:r>
          <w:rPr>
            <w:spacing w:val="-6"/>
          </w:rPr>
          <w:t> </w:t>
        </w:r>
        <w:r>
          <w:rPr/>
          <w:t>or</w:t>
        </w:r>
        <w:r>
          <w:rPr>
            <w:spacing w:val="-6"/>
          </w:rPr>
          <w:t> </w:t>
        </w:r>
        <w:r>
          <w:rPr/>
          <w:t>value-based</w:t>
        </w:r>
        <w:r>
          <w:rPr>
            <w:spacing w:val="-6"/>
          </w:rPr>
          <w:t> </w:t>
        </w:r>
        <w:r>
          <w:rPr>
            <w:spacing w:val="-2"/>
          </w:rPr>
          <w:t>proxies.</w:t>
        </w:r>
      </w:hyperlink>
      <w:r>
        <w:rPr/>
        <w:tab/>
      </w:r>
      <w:r>
        <w:rPr>
          <w:spacing w:val="-5"/>
        </w:rPr>
        <w:t>74</w:t>
      </w:r>
    </w:p>
    <w:p>
      <w:pPr>
        <w:pStyle w:val="BodyText"/>
        <w:tabs>
          <w:tab w:pos="9399" w:val="left" w:leader="dot"/>
        </w:tabs>
        <w:spacing w:before="2"/>
        <w:ind w:left="1190"/>
        <w:jc w:val="both"/>
      </w:pPr>
      <w:r>
        <w:rPr>
          <w:i/>
        </w:rPr>
        <w:t>개수 기반 또는 값 기반 프록시에 적합합니다.</w:t>
        <w:tab/>
        <w:t>74</w:t>
      </w:r>
    </w:p>
    <w:p>
      <w:pPr>
        <w:pStyle w:val="ListParagraph"/>
        <w:numPr>
          <w:ilvl w:val="1"/>
          <w:numId w:val="5"/>
        </w:numPr>
        <w:tabs>
          <w:tab w:pos="1190" w:val="left" w:leader="none"/>
        </w:tabs>
        <w:spacing w:line="456" w:lineRule="exact" w:before="54" w:after="0"/>
        <w:ind w:left="1190" w:right="1173" w:hanging="550"/>
        <w:jc w:val="both"/>
        <w:rPr>
          <w:sz w:val="24"/>
        </w:rPr>
      </w:pPr>
      <w:hyperlink w:history="true" w:anchor="_bookmark94">
        <w:r>
          <w:rPr>
            <w:sz w:val="24"/>
          </w:rPr>
          <w:t>PageRank</w:t>
        </w:r>
        <w:r>
          <w:rPr>
            <w:spacing w:val="-15"/>
            <w:sz w:val="24"/>
          </w:rPr>
          <w:t> </w:t>
        </w:r>
        <w:r>
          <w:rPr>
            <w:sz w:val="24"/>
          </w:rPr>
          <w:t>wall-clock</w:t>
        </w:r>
        <w:r>
          <w:rPr>
            <w:spacing w:val="-15"/>
            <w:sz w:val="24"/>
          </w:rPr>
          <w:t> </w:t>
        </w:r>
        <w:r>
          <w:rPr>
            <w:sz w:val="24"/>
          </w:rPr>
          <w:t>runtime</w:t>
        </w:r>
        <w:r>
          <w:rPr>
            <w:spacing w:val="-15"/>
            <w:sz w:val="24"/>
          </w:rPr>
          <w:t> </w:t>
        </w:r>
        <w:r>
          <w:rPr>
            <w:sz w:val="24"/>
          </w:rPr>
          <w:t>versus</w:t>
        </w:r>
        <w:r>
          <w:rPr>
            <w:spacing w:val="-15"/>
            <w:sz w:val="24"/>
          </w:rPr>
          <w:t> </w:t>
        </w:r>
        <w:r>
          <w:rPr>
            <w:sz w:val="24"/>
          </w:rPr>
          <w:t>cohort</w:t>
        </w:r>
        <w:r>
          <w:rPr>
            <w:spacing w:val="-15"/>
            <w:sz w:val="24"/>
          </w:rPr>
          <w:t> </w:t>
        </w:r>
        <w:r>
          <w:rPr>
            <w:sz w:val="24"/>
          </w:rPr>
          <w:t>size</w:t>
        </w:r>
        <w:r>
          <w:rPr>
            <w:spacing w:val="-15"/>
            <w:sz w:val="24"/>
          </w:rPr>
          <w:t> </w:t>
        </w:r>
        <w:r>
          <w:rPr>
            <w:sz w:val="24"/>
          </w:rPr>
          <w:t>(log</w:t>
        </w:r>
        <w:r>
          <w:rPr>
            <w:spacing w:val="-15"/>
            <w:sz w:val="24"/>
          </w:rPr>
          <w:t> </w:t>
        </w:r>
        <w:r>
          <w:rPr>
            <w:rFonts w:ascii="Calibri" w:hAnsi="Calibri"/>
            <w:i/>
            <w:sz w:val="24"/>
          </w:rPr>
          <w:t>x</w:t>
        </w:r>
        <w:r>
          <w:rPr>
            <w:sz w:val="24"/>
          </w:rPr>
          <w:t>-axis).</w:t>
        </w:r>
        <w:r>
          <w:rPr>
            <w:spacing w:val="-15"/>
            <w:sz w:val="24"/>
          </w:rPr>
          <w:t> </w:t>
        </w:r>
        <w:r>
          <w:rPr>
            <w:sz w:val="24"/>
          </w:rPr>
          <w:t>Solid</w:t>
        </w:r>
        <w:r>
          <w:rPr>
            <w:spacing w:val="-15"/>
            <w:sz w:val="24"/>
          </w:rPr>
          <w:t> </w:t>
        </w:r>
        <w:r>
          <w:rPr>
            <w:sz w:val="24"/>
          </w:rPr>
          <w:t>lines:</w:t>
        </w:r>
        <w:r>
          <w:rPr>
            <w:spacing w:val="6"/>
            <w:sz w:val="24"/>
          </w:rPr>
          <w:t> </w:t>
        </w:r>
        <w:r>
          <w:rPr>
            <w:sz w:val="24"/>
          </w:rPr>
          <w:t>in-cohort</w:t>
        </w:r>
      </w:hyperlink>
      <w:r>
        <w:rPr>
          <w:sz w:val="24"/>
        </w:rPr>
        <w:t> </w:t>
      </w:r>
      <w:hyperlink w:history="true" w:anchor="_bookmark94">
        <w:r>
          <w:rPr>
            <w:sz w:val="24"/>
          </w:rPr>
          <w:t>scaling</w:t>
        </w:r>
        <w:r>
          <w:rPr>
            <w:spacing w:val="-5"/>
            <w:sz w:val="24"/>
          </w:rPr>
          <w:t> </w:t>
        </w:r>
        <w:r>
          <w:rPr>
            <w:sz w:val="24"/>
          </w:rPr>
          <w:t>on</w:t>
        </w:r>
        <w:r>
          <w:rPr>
            <w:spacing w:val="-5"/>
            <w:sz w:val="24"/>
          </w:rPr>
          <w:t> </w:t>
        </w:r>
        <w:r>
          <w:rPr>
            <w:sz w:val="24"/>
          </w:rPr>
          <w:t>the</w:t>
        </w:r>
        <w:r>
          <w:rPr>
            <w:spacing w:val="-5"/>
            <w:sz w:val="24"/>
          </w:rPr>
          <w:t> </w:t>
        </w:r>
        <w:r>
          <w:rPr>
            <w:sz w:val="24"/>
          </w:rPr>
          <w:t>matched</w:t>
        </w:r>
        <w:r>
          <w:rPr>
            <w:spacing w:val="-5"/>
            <w:sz w:val="24"/>
          </w:rPr>
          <w:t> </w:t>
        </w:r>
        <w:r>
          <w:rPr>
            <w:sz w:val="24"/>
          </w:rPr>
          <w:t>GMX</w:t>
        </w:r>
        <w:r>
          <w:rPr>
            <w:spacing w:val="-5"/>
            <w:sz w:val="24"/>
          </w:rPr>
          <w:t> </w:t>
        </w:r>
        <w:r>
          <w:rPr>
            <w:sz w:val="24"/>
          </w:rPr>
          <w:t>sample</w:t>
        </w:r>
        <w:r>
          <w:rPr>
            <w:spacing w:val="-5"/>
            <w:sz w:val="24"/>
          </w:rPr>
          <w:t> </w:t>
        </w:r>
        <w:r>
          <w:rPr>
            <w:sz w:val="24"/>
          </w:rPr>
          <w:t>(</w:t>
        </w:r>
        <w:r>
          <w:rPr>
            <w:rFonts w:ascii="Calibri" w:hAnsi="Calibri"/>
            <w:i/>
            <w:sz w:val="24"/>
          </w:rPr>
          <w:t>n </w:t>
        </w:r>
        <w:r>
          <w:rPr>
            <w:rFonts w:ascii="Lucida Sans Unicode" w:hAnsi="Lucida Sans Unicode"/>
            <w:sz w:val="24"/>
          </w:rPr>
          <w:t>≤</w:t>
        </w:r>
        <w:r>
          <w:rPr>
            <w:rFonts w:ascii="Lucida Sans Unicode" w:hAnsi="Lucida Sans Unicode"/>
            <w:spacing w:val="-15"/>
            <w:sz w:val="24"/>
          </w:rPr>
          <w:t> </w:t>
        </w:r>
        <w:r>
          <w:rPr>
            <w:rFonts w:ascii="Calibri" w:hAnsi="Calibri"/>
            <w:sz w:val="24"/>
          </w:rPr>
          <w:t>5</w:t>
        </w:r>
        <w:r>
          <w:rPr>
            <w:rFonts w:ascii="Calibri" w:hAnsi="Calibri"/>
            <w:i/>
            <w:sz w:val="24"/>
          </w:rPr>
          <w:t>,</w:t>
        </w:r>
        <w:r>
          <w:rPr>
            <w:rFonts w:ascii="Calibri" w:hAnsi="Calibri"/>
            <w:sz w:val="24"/>
          </w:rPr>
          <w:t>521</w:t>
        </w:r>
        <w:r>
          <w:rPr>
            <w:sz w:val="24"/>
          </w:rPr>
          <w:t>). Dashed</w:t>
        </w:r>
        <w:r>
          <w:rPr>
            <w:spacing w:val="-4"/>
            <w:sz w:val="24"/>
          </w:rPr>
          <w:t> </w:t>
        </w:r>
        <w:r>
          <w:rPr>
            <w:sz w:val="24"/>
          </w:rPr>
          <w:t>lines: expanded</w:t>
        </w:r>
        <w:r>
          <w:rPr>
            <w:spacing w:val="-4"/>
            <w:sz w:val="24"/>
          </w:rPr>
          <w:t> </w:t>
        </w:r>
        <w:r>
          <w:rPr>
            <w:sz w:val="24"/>
          </w:rPr>
          <w:t>wallet</w:t>
        </w:r>
      </w:hyperlink>
      <w:r>
        <w:rPr>
          <w:sz w:val="24"/>
        </w:rPr>
        <w:t> </w:t>
      </w:r>
      <w:hyperlink w:history="true" w:anchor="_bookmark94">
        <w:r>
          <w:rPr>
            <w:sz w:val="24"/>
          </w:rPr>
          <w:t>pool</w:t>
        </w:r>
        <w:r>
          <w:rPr>
            <w:spacing w:val="-10"/>
            <w:sz w:val="24"/>
          </w:rPr>
          <w:t> </w:t>
        </w:r>
        <w:r>
          <w:rPr>
            <w:sz w:val="24"/>
          </w:rPr>
          <w:t>(</w:t>
        </w:r>
        <w:r>
          <w:rPr>
            <w:rFonts w:ascii="Calibri" w:hAnsi="Calibri"/>
            <w:i/>
            <w:sz w:val="24"/>
          </w:rPr>
          <w:t>N</w:t>
        </w:r>
        <w:r>
          <w:rPr>
            <w:rFonts w:ascii="Calibri" w:hAnsi="Calibri"/>
            <w:i/>
            <w:spacing w:val="16"/>
            <w:w w:val="125"/>
            <w:sz w:val="24"/>
          </w:rPr>
          <w:t> </w:t>
        </w:r>
        <w:r>
          <w:rPr>
            <w:rFonts w:ascii="Calibri" w:hAnsi="Calibri"/>
            <w:w w:val="125"/>
            <w:sz w:val="24"/>
          </w:rPr>
          <w:t>=</w:t>
        </w:r>
        <w:r>
          <w:rPr>
            <w:rFonts w:ascii="Calibri" w:hAnsi="Calibri"/>
            <w:spacing w:val="-7"/>
            <w:w w:val="125"/>
            <w:sz w:val="24"/>
          </w:rPr>
          <w:t> </w:t>
        </w:r>
        <w:r>
          <w:rPr>
            <w:rFonts w:ascii="Calibri" w:hAnsi="Calibri"/>
            <w:sz w:val="24"/>
          </w:rPr>
          <w:t>31</w:t>
        </w:r>
        <w:r>
          <w:rPr>
            <w:rFonts w:ascii="Calibri" w:hAnsi="Calibri"/>
            <w:i/>
            <w:sz w:val="24"/>
          </w:rPr>
          <w:t>,</w:t>
        </w:r>
        <w:r>
          <w:rPr>
            <w:rFonts w:ascii="Calibri" w:hAnsi="Calibri"/>
            <w:sz w:val="24"/>
          </w:rPr>
          <w:t>612</w:t>
        </w:r>
        <w:r>
          <w:rPr>
            <w:sz w:val="24"/>
          </w:rPr>
          <w:t>).</w:t>
        </w:r>
        <w:r>
          <w:rPr>
            <w:spacing w:val="13"/>
            <w:sz w:val="24"/>
          </w:rPr>
          <w:t> </w:t>
        </w:r>
        <w:r>
          <w:rPr>
            <w:sz w:val="24"/>
          </w:rPr>
          <w:t>EndorseRank</w:t>
        </w:r>
        <w:r>
          <w:rPr>
            <w:spacing w:val="-7"/>
            <w:sz w:val="24"/>
          </w:rPr>
          <w:t> </w:t>
        </w:r>
        <w:r>
          <w:rPr>
            <w:sz w:val="24"/>
          </w:rPr>
          <w:t>remains</w:t>
        </w:r>
        <w:r>
          <w:rPr>
            <w:spacing w:val="-7"/>
            <w:sz w:val="24"/>
          </w:rPr>
          <w:t> </w:t>
        </w:r>
        <w:r>
          <w:rPr>
            <w:sz w:val="24"/>
          </w:rPr>
          <w:t>approximately</w:t>
        </w:r>
        <w:r>
          <w:rPr>
            <w:spacing w:val="-7"/>
            <w:sz w:val="24"/>
          </w:rPr>
          <w:t> </w:t>
        </w:r>
        <w:r>
          <w:rPr>
            <w:rFonts w:ascii="Calibri" w:hAnsi="Calibri"/>
            <w:sz w:val="24"/>
          </w:rPr>
          <w:t>9</w:t>
        </w:r>
        <w:r>
          <w:rPr>
            <w:sz w:val="24"/>
          </w:rPr>
          <w:t>–</w:t>
        </w:r>
        <w:r>
          <w:rPr>
            <w:rFonts w:ascii="Calibri" w:hAnsi="Calibri"/>
            <w:sz w:val="24"/>
          </w:rPr>
          <w:t>10</w:t>
        </w:r>
        <w:r>
          <w:rPr>
            <w:rFonts w:ascii="Lucida Sans Unicode" w:hAnsi="Lucida Sans Unicode"/>
            <w:sz w:val="24"/>
          </w:rPr>
          <w:t>×</w:t>
        </w:r>
        <w:r>
          <w:rPr>
            <w:rFonts w:ascii="Lucida Sans Unicode" w:hAnsi="Lucida Sans Unicode"/>
            <w:spacing w:val="-19"/>
            <w:sz w:val="24"/>
          </w:rPr>
          <w:t> </w:t>
        </w:r>
        <w:r>
          <w:rPr>
            <w:sz w:val="24"/>
          </w:rPr>
          <w:t>faster</w:t>
        </w:r>
        <w:r>
          <w:rPr>
            <w:spacing w:val="-7"/>
            <w:sz w:val="24"/>
          </w:rPr>
          <w:t> </w:t>
        </w:r>
        <w:r>
          <w:rPr>
            <w:sz w:val="24"/>
          </w:rPr>
          <w:t>than</w:t>
        </w:r>
        <w:r>
          <w:rPr>
            <w:spacing w:val="-7"/>
            <w:sz w:val="24"/>
          </w:rPr>
          <w:t> </w:t>
        </w:r>
        <w:r>
          <w:rPr>
            <w:sz w:val="24"/>
          </w:rPr>
          <w:t>AWP</w:t>
        </w:r>
      </w:hyperlink>
    </w:p>
    <w:p>
      <w:pPr>
        <w:pStyle w:val="ListParagraph"/>
        <w:numPr>
          <w:ilvl w:val="1"/>
          <w:numId w:val="5"/>
        </w:numPr>
        <w:tabs>
          <w:tab w:pos="1190" w:val="left" w:leader="none"/>
        </w:tabs>
        <w:spacing w:line="456" w:lineRule="exact" w:before="54" w:after="0"/>
        <w:ind w:left="1190" w:right="1173" w:hanging="550"/>
        <w:jc w:val="both"/>
        <w:rPr>
          <w:sz w:val="24"/>
        </w:rPr>
      </w:pPr>
      <w:r>
        <w:rPr>
          <w:i/>
        </w:rPr>
        <w:t>PageRank 벽시계 런타임과 코호트 크기(로그 x축). 실선: 일치하는 GMX 표본(n ≤ 5,521)에 대한 코호트 내 확장입니다. 점선: 확장된 지갑 풀(N = 31,612). EndorseRank는 AWP보다 약 9~10배 더 빠릅니다.</w:t>
      </w:r>
    </w:p>
    <w:p>
      <w:pPr>
        <w:pStyle w:val="BodyText"/>
        <w:tabs>
          <w:tab w:pos="9399" w:val="left" w:leader="dot"/>
        </w:tabs>
        <w:spacing w:before="103"/>
        <w:ind w:left="1190"/>
        <w:jc w:val="both"/>
      </w:pPr>
      <w:hyperlink w:history="true" w:anchor="_bookmark94">
        <w:r>
          <w:rPr/>
          <w:t>at</w:t>
        </w:r>
        <w:r>
          <w:rPr>
            <w:spacing w:val="-1"/>
          </w:rPr>
          <w:t> </w:t>
        </w:r>
        <w:r>
          <w:rPr>
            <w:rFonts w:ascii="Calibri" w:hAnsi="Calibri"/>
            <w:i/>
          </w:rPr>
          <w:t>n</w:t>
        </w:r>
        <w:r>
          <w:rPr>
            <w:rFonts w:ascii="Calibri" w:hAnsi="Calibri"/>
            <w:i/>
            <w:spacing w:val="13"/>
          </w:rPr>
          <w:t> </w:t>
        </w:r>
        <w:r>
          <w:rPr>
            <w:rFonts w:ascii="Calibri" w:hAnsi="Calibri"/>
          </w:rPr>
          <w:t>=</w:t>
        </w:r>
        <w:r>
          <w:rPr>
            <w:rFonts w:ascii="Calibri" w:hAnsi="Calibri"/>
            <w:spacing w:val="12"/>
          </w:rPr>
          <w:t> </w:t>
        </w:r>
        <w:r>
          <w:rPr>
            <w:rFonts w:ascii="Calibri" w:hAnsi="Calibri"/>
          </w:rPr>
          <w:t>10</w:t>
        </w:r>
        <w:r>
          <w:rPr>
            <w:rFonts w:ascii="Calibri" w:hAnsi="Calibri"/>
            <w:i/>
          </w:rPr>
          <w:t>,</w:t>
        </w:r>
        <w:r>
          <w:rPr>
            <w:rFonts w:ascii="Calibri" w:hAnsi="Calibri"/>
          </w:rPr>
          <w:t>000</w:t>
        </w:r>
        <w:r>
          <w:rPr>
            <w:rFonts w:ascii="Calibri" w:hAnsi="Calibri"/>
            <w:spacing w:val="6"/>
          </w:rPr>
          <w:t> </w:t>
        </w:r>
        <w:r>
          <w:rPr/>
          <w:t>(</w:t>
        </w:r>
        <w:r>
          <w:rPr>
            <w:rFonts w:ascii="Lucida Sans Unicode" w:hAnsi="Lucida Sans Unicode"/>
          </w:rPr>
          <w:t>≈</w:t>
        </w:r>
        <w:r>
          <w:rPr>
            <w:rFonts w:ascii="Lucida Sans Unicode" w:hAnsi="Lucida Sans Unicode"/>
            <w:spacing w:val="-10"/>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 and at</w:t>
        </w:r>
        <w:r>
          <w:rPr>
            <w:spacing w:val="-1"/>
          </w:rPr>
          <w:t> </w:t>
        </w:r>
        <w:r>
          <w:rPr/>
          <w:t>full pool size (</w:t>
        </w:r>
        <w:r>
          <w:rPr>
            <w:rFonts w:ascii="Lucida Sans Unicode" w:hAnsi="Lucida Sans Unicode"/>
          </w:rPr>
          <w:t>≈</w:t>
        </w:r>
        <w:r>
          <w:rPr>
            <w:rFonts w:ascii="Lucida Sans Unicode" w:hAnsi="Lucida Sans Unicode"/>
            <w:spacing w:val="-10"/>
          </w:rPr>
          <w:t> </w:t>
        </w:r>
        <w:r>
          <w:rPr>
            <w:rFonts w:ascii="Calibri" w:hAnsi="Calibri"/>
            <w:spacing w:val="-2"/>
          </w:rPr>
          <w:t>9</w:t>
        </w:r>
        <w:r>
          <w:rPr>
            <w:rFonts w:ascii="Calibri" w:hAnsi="Calibri"/>
            <w:i/>
            <w:spacing w:val="-2"/>
          </w:rPr>
          <w:t>.</w:t>
        </w:r>
        <w:r>
          <w:rPr>
            <w:rFonts w:ascii="Calibri" w:hAnsi="Calibri"/>
            <w:spacing w:val="-2"/>
          </w:rPr>
          <w:t>4</w:t>
        </w:r>
        <w:r>
          <w:rPr>
            <w:rFonts w:ascii="Lucida Sans Unicode" w:hAnsi="Lucida Sans Unicode"/>
            <w:spacing w:val="-2"/>
          </w:rPr>
          <w:t>×</w:t>
        </w:r>
        <w:r>
          <w:rPr>
            <w:spacing w:val="-2"/>
          </w:rPr>
          <w:t>).</w:t>
        </w:r>
      </w:hyperlink>
      <w:r>
        <w:rPr/>
        <w:tab/>
      </w:r>
      <w:r>
        <w:rPr>
          <w:spacing w:val="-5"/>
        </w:rPr>
        <w:t>78</w:t>
      </w:r>
    </w:p>
    <w:p>
      <w:pPr>
        <w:pStyle w:val="BodyText"/>
        <w:tabs>
          <w:tab w:pos="9399" w:val="left" w:leader="dot"/>
        </w:tabs>
        <w:spacing w:before="103"/>
        <w:ind w:left="1190"/>
        <w:jc w:val="both"/>
      </w:pPr>
      <w:r>
        <w:rPr>
          <w:i/>
        </w:rPr>
        <w:t>n = 10,000(≒ 10.4×) 및 전체 풀 크기(≒ 9.4×)에서.</w:t>
        <w:tab/>
        <w:t>78</w:t>
      </w:r>
    </w:p>
    <w:p>
      <w:pPr>
        <w:pStyle w:val="ListParagraph"/>
        <w:numPr>
          <w:ilvl w:val="1"/>
          <w:numId w:val="5"/>
        </w:numPr>
        <w:tabs>
          <w:tab w:pos="1190" w:val="left" w:leader="none"/>
        </w:tabs>
        <w:spacing w:line="240" w:lineRule="auto" w:before="101" w:after="0"/>
        <w:ind w:left="1190" w:right="0" w:hanging="549"/>
        <w:jc w:val="both"/>
        <w:rPr>
          <w:rFonts w:ascii="Lucida Sans Unicode" w:hAnsi="Lucida Sans Unicode"/>
          <w:sz w:val="24"/>
        </w:rPr>
      </w:pPr>
      <w:hyperlink w:history="true" w:anchor="_bookmark97">
        <w:r>
          <w:rPr>
            <w:sz w:val="24"/>
          </w:rPr>
          <w:t>Damping</w:t>
        </w:r>
        <w:r>
          <w:rPr>
            <w:spacing w:val="7"/>
            <w:sz w:val="24"/>
          </w:rPr>
          <w:t> </w:t>
        </w:r>
        <w:r>
          <w:rPr>
            <w:sz w:val="24"/>
          </w:rPr>
          <w:t>sensitivity</w:t>
        </w:r>
        <w:r>
          <w:rPr>
            <w:spacing w:val="8"/>
            <w:sz w:val="24"/>
          </w:rPr>
          <w:t> </w:t>
        </w:r>
        <w:r>
          <w:rPr>
            <w:sz w:val="24"/>
          </w:rPr>
          <w:t>of</w:t>
        </w:r>
        <w:r>
          <w:rPr>
            <w:spacing w:val="8"/>
            <w:sz w:val="24"/>
          </w:rPr>
          <w:t> </w:t>
        </w:r>
        <w:r>
          <w:rPr>
            <w:sz w:val="24"/>
          </w:rPr>
          <w:t>mean</w:t>
        </w:r>
        <w:r>
          <w:rPr>
            <w:spacing w:val="8"/>
            <w:sz w:val="24"/>
          </w:rPr>
          <w:t> </w:t>
        </w:r>
        <w:r>
          <w:rPr>
            <w:sz w:val="24"/>
          </w:rPr>
          <w:t>Kendall</w:t>
        </w:r>
        <w:r>
          <w:rPr>
            <w:spacing w:val="7"/>
            <w:sz w:val="24"/>
          </w:rPr>
          <w:t> </w:t>
        </w:r>
        <w:r>
          <w:rPr>
            <w:rFonts w:ascii="Calibri" w:hAnsi="Calibri"/>
            <w:i/>
            <w:sz w:val="24"/>
          </w:rPr>
          <w:t>τ</w:t>
        </w:r>
        <w:r>
          <w:rPr>
            <w:rFonts w:ascii="Calibri" w:hAnsi="Calibri"/>
            <w:i/>
            <w:spacing w:val="39"/>
            <w:sz w:val="24"/>
          </w:rPr>
          <w:t> </w:t>
        </w:r>
        <w:r>
          <w:rPr>
            <w:sz w:val="24"/>
          </w:rPr>
          <w:t>for</w:t>
        </w:r>
        <w:r>
          <w:rPr>
            <w:spacing w:val="8"/>
            <w:sz w:val="24"/>
          </w:rPr>
          <w:t> </w:t>
        </w:r>
        <w:r>
          <w:rPr>
            <w:sz w:val="24"/>
          </w:rPr>
          <w:t>allowance</w:t>
        </w:r>
        <w:r>
          <w:rPr>
            <w:spacing w:val="8"/>
            <w:sz w:val="24"/>
          </w:rPr>
          <w:t> </w:t>
        </w:r>
        <w:r>
          <w:rPr>
            <w:sz w:val="24"/>
          </w:rPr>
          <w:t>and</w:t>
        </w:r>
        <w:r>
          <w:rPr>
            <w:spacing w:val="7"/>
            <w:sz w:val="24"/>
          </w:rPr>
          <w:t> </w:t>
        </w:r>
        <w:r>
          <w:rPr>
            <w:sz w:val="24"/>
          </w:rPr>
          <w:t>transfer</w:t>
        </w:r>
        <w:r>
          <w:rPr>
            <w:spacing w:val="8"/>
            <w:sz w:val="24"/>
          </w:rPr>
          <w:t> </w:t>
        </w:r>
        <w:r>
          <w:rPr>
            <w:sz w:val="24"/>
          </w:rPr>
          <w:t>families</w:t>
        </w:r>
        <w:r>
          <w:rPr>
            <w:spacing w:val="8"/>
            <w:sz w:val="24"/>
          </w:rPr>
          <w:t> </w:t>
        </w:r>
        <w:r>
          <w:rPr>
            <w:sz w:val="24"/>
          </w:rPr>
          <w:t>(</w:t>
        </w:r>
        <w:r>
          <w:rPr>
            <w:rFonts w:ascii="Calibri" w:hAnsi="Calibri"/>
            <w:i/>
            <w:sz w:val="24"/>
          </w:rPr>
          <w:t>d</w:t>
        </w:r>
        <w:r>
          <w:rPr>
            <w:rFonts w:ascii="Calibri" w:hAnsi="Calibri"/>
            <w:i/>
            <w:spacing w:val="36"/>
            <w:sz w:val="24"/>
          </w:rPr>
          <w:t> </w:t>
        </w:r>
        <w:r>
          <w:rPr>
            <w:rFonts w:ascii="Lucida Sans Unicode" w:hAnsi="Lucida Sans Unicode"/>
            <w:spacing w:val="-10"/>
            <w:sz w:val="24"/>
          </w:rPr>
          <w:t>∈</w:t>
        </w:r>
      </w:hyperlink>
    </w:p>
    <w:p>
      <w:pPr>
        <w:pStyle w:val="ListParagraph"/>
        <w:numPr>
          <w:ilvl w:val="1"/>
          <w:numId w:val="5"/>
        </w:numPr>
        <w:tabs>
          <w:tab w:pos="1190" w:val="left" w:leader="none"/>
        </w:tabs>
        <w:spacing w:line="240" w:lineRule="auto" w:before="101" w:after="0"/>
        <w:ind w:left="1190" w:right="0" w:hanging="549"/>
        <w:jc w:val="both"/>
        <w:rPr>
          <w:rFonts w:ascii="Lucida Sans Unicode" w:hAnsi="Lucida Sans Unicode"/>
          <w:sz w:val="24"/>
        </w:rPr>
      </w:pPr>
      <w:r>
        <w:rPr>
          <w:i/>
        </w:rPr>
        <w:t>수당 및 이전 가족에 대한 평균 Kendall τ의 감쇠 민감도(d ∈</w:t>
      </w:r>
    </w:p>
    <w:p>
      <w:pPr>
        <w:pStyle w:val="BodyText"/>
        <w:tabs>
          <w:tab w:pos="9399" w:val="left" w:leader="dot"/>
        </w:tabs>
        <w:spacing w:line="297" w:lineRule="auto" w:before="88"/>
        <w:ind w:left="1190" w:right="564"/>
      </w:pPr>
      <w:hyperlink w:history="true" w:anchor="_bookmark97">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2"/>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2"/>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w:t>
        </w:r>
        <w:r>
          <w:rPr>
            <w:spacing w:val="40"/>
          </w:rPr>
          <w:t> </w:t>
        </w:r>
        <w:r>
          <w:rPr/>
          <w:t>EndorseRank allowance alignment remains </w:t>
        </w:r>
        <w:r>
          <w:rPr>
            <w:rFonts w:ascii="Lucida Sans Unicode" w:hAnsi="Lucida Sans Unicode"/>
          </w:rPr>
          <w:t>≈ </w:t>
        </w:r>
        <w:r>
          <w:rPr>
            <w:rFonts w:ascii="Calibri" w:hAnsi="Calibri"/>
          </w:rPr>
          <w:t>0</w:t>
        </w:r>
        <w:r>
          <w:rPr>
            <w:rFonts w:ascii="Calibri" w:hAnsi="Calibri"/>
            <w:i/>
          </w:rPr>
          <w:t>.</w:t>
        </w:r>
        <w:r>
          <w:rPr>
            <w:rFonts w:ascii="Calibri" w:hAnsi="Calibri"/>
          </w:rPr>
          <w:t>355 </w:t>
        </w:r>
        <w:r>
          <w:rPr/>
          <w:t>across the</w:t>
        </w:r>
      </w:hyperlink>
      <w:r>
        <w:rPr/>
        <w:t> </w:t>
      </w:r>
      <w:hyperlink w:history="true" w:anchor="_bookmark97">
        <w:r>
          <w:rPr/>
          <w:t>sweep; AWP transfer alignment varies by at most </w:t>
        </w:r>
        <w:r>
          <w:rPr>
            <w:rFonts w:ascii="Lucida Sans Unicode" w:hAnsi="Lucida Sans Unicode"/>
          </w:rPr>
          <w:t>≈ </w:t>
        </w:r>
        <w:r>
          <w:rPr>
            <w:rFonts w:ascii="Calibri" w:hAnsi="Calibri"/>
          </w:rPr>
          <w:t>0</w:t>
        </w:r>
        <w:r>
          <w:rPr>
            <w:rFonts w:ascii="Calibri" w:hAnsi="Calibri"/>
            <w:i/>
          </w:rPr>
          <w:t>.</w:t>
        </w:r>
        <w:r>
          <w:rPr>
            <w:rFonts w:ascii="Calibri" w:hAnsi="Calibri"/>
          </w:rPr>
          <w:t>005</w:t>
        </w:r>
      </w:hyperlink>
      <w:r>
        <w:rPr/>
        <w:tab/>
      </w:r>
      <w:r>
        <w:rPr>
          <w:spacing w:val="-6"/>
        </w:rPr>
        <w:t>80</w:t>
      </w:r>
    </w:p>
    <w:p>
      <w:pPr>
        <w:pStyle w:val="BodyText"/>
        <w:tabs>
          <w:tab w:pos="9399" w:val="left" w:leader="dot"/>
        </w:tabs>
        <w:spacing w:line="297" w:lineRule="auto" w:before="88"/>
        <w:ind w:left="1190" w:right="564"/>
      </w:pPr>
      <w:r>
        <w:rPr>
          <w:i/>
        </w:rPr>
        <w:t>{0.75, 0.85, 0.95}). EndorseRank 여유 정렬은 스윕 전반에 걸쳐 AWP 전송 정렬이 최대 ≒ 0.005만큼 변경됩니다.</w:t>
        <w:tab/>
        <w:t>80</w:t>
      </w:r>
    </w:p>
    <w:p>
      <w:pPr>
        <w:pStyle w:val="ListParagraph"/>
        <w:numPr>
          <w:ilvl w:val="1"/>
          <w:numId w:val="5"/>
        </w:numPr>
        <w:tabs>
          <w:tab w:pos="1182" w:val="left" w:leader="none"/>
          <w:tab w:pos="1190" w:val="left" w:leader="none"/>
        </w:tabs>
        <w:spacing w:line="374" w:lineRule="auto" w:before="47" w:after="0"/>
        <w:ind w:left="1182" w:right="1154" w:hanging="542"/>
        <w:jc w:val="left"/>
        <w:rPr>
          <w:sz w:val="24"/>
        </w:rPr>
      </w:pPr>
      <w:hyperlink w:history="true" w:anchor="_bookmark102">
        <w:r>
          <w:rPr>
            <w:spacing w:val="-53"/>
            <w:sz w:val="24"/>
          </w:rPr>
          <w:t> </w:t>
        </w:r>
        <w:r>
          <w:rPr>
            <w:sz w:val="24"/>
          </w:rPr>
          <w:t>Family-level</w:t>
        </w:r>
        <w:r>
          <w:rPr>
            <w:spacing w:val="-15"/>
            <w:sz w:val="24"/>
          </w:rPr>
          <w:t> </w:t>
        </w:r>
        <w:r>
          <w:rPr>
            <w:sz w:val="24"/>
          </w:rPr>
          <w:t>mean</w:t>
        </w:r>
        <w:r>
          <w:rPr>
            <w:spacing w:val="-15"/>
            <w:sz w:val="24"/>
          </w:rPr>
          <w:t> </w:t>
        </w:r>
        <w:r>
          <w:rPr>
            <w:sz w:val="24"/>
          </w:rPr>
          <w:t>Kendall</w:t>
        </w:r>
        <w:r>
          <w:rPr>
            <w:spacing w:val="-15"/>
            <w:sz w:val="24"/>
          </w:rPr>
          <w:t> </w:t>
        </w:r>
        <w:r>
          <w:rPr>
            <w:rFonts w:ascii="Calibri" w:hAnsi="Calibri"/>
            <w:i/>
            <w:sz w:val="24"/>
          </w:rPr>
          <w:t>τ</w:t>
        </w:r>
        <w:r>
          <w:rPr>
            <w:rFonts w:ascii="Calibri" w:hAnsi="Calibri"/>
            <w:i/>
            <w:spacing w:val="13"/>
            <w:sz w:val="24"/>
          </w:rPr>
          <w:t> </w:t>
        </w:r>
        <w:r>
          <w:rPr>
            <w:sz w:val="24"/>
          </w:rPr>
          <w:t>heatmap</w:t>
        </w:r>
        <w:r>
          <w:rPr>
            <w:spacing w:val="-15"/>
            <w:sz w:val="24"/>
          </w:rPr>
          <w:t> </w:t>
        </w:r>
        <w:r>
          <w:rPr>
            <w:sz w:val="24"/>
          </w:rPr>
          <w:t>for</w:t>
        </w:r>
        <w:r>
          <w:rPr>
            <w:spacing w:val="-15"/>
            <w:sz w:val="24"/>
          </w:rPr>
          <w:t> </w:t>
        </w:r>
        <w:r>
          <w:rPr>
            <w:sz w:val="24"/>
          </w:rPr>
          <w:t>EndorseRank,</w:t>
        </w:r>
        <w:r>
          <w:rPr>
            <w:spacing w:val="-15"/>
            <w:sz w:val="24"/>
          </w:rPr>
          <w:t> </w:t>
        </w:r>
        <w:r>
          <w:rPr>
            <w:sz w:val="24"/>
          </w:rPr>
          <w:t>AWP,</w:t>
        </w:r>
        <w:r>
          <w:rPr>
            <w:spacing w:val="-15"/>
            <w:sz w:val="24"/>
          </w:rPr>
          <w:t> </w:t>
        </w:r>
        <w:r>
          <w:rPr>
            <w:sz w:val="24"/>
          </w:rPr>
          <w:t>and</w:t>
        </w:r>
        <w:r>
          <w:rPr>
            <w:spacing w:val="-15"/>
            <w:sz w:val="24"/>
          </w:rPr>
          <w:t> </w:t>
        </w:r>
        <w:r>
          <w:rPr>
            <w:sz w:val="24"/>
          </w:rPr>
          <w:t>supplementary</w:t>
        </w:r>
      </w:hyperlink>
      <w:r>
        <w:rPr>
          <w:sz w:val="24"/>
        </w:rPr>
        <w:t> </w:t>
      </w:r>
      <w:hyperlink w:history="true" w:anchor="_bookmark102">
        <w:r>
          <w:rPr>
            <w:sz w:val="24"/>
          </w:rPr>
          <w:t>GF-PR</w:t>
        </w:r>
        <w:r>
          <w:rPr>
            <w:spacing w:val="20"/>
            <w:sz w:val="24"/>
          </w:rPr>
          <w:t> </w:t>
        </w:r>
        <w:r>
          <w:rPr>
            <w:sz w:val="24"/>
          </w:rPr>
          <w:t>on</w:t>
        </w:r>
        <w:r>
          <w:rPr>
            <w:spacing w:val="20"/>
            <w:sz w:val="24"/>
          </w:rPr>
          <w:t> </w:t>
        </w:r>
        <w:r>
          <w:rPr>
            <w:sz w:val="24"/>
          </w:rPr>
          <w:t>the</w:t>
        </w:r>
        <w:r>
          <w:rPr>
            <w:spacing w:val="22"/>
            <w:sz w:val="24"/>
          </w:rPr>
          <w:t> </w:t>
        </w:r>
        <w:r>
          <w:rPr>
            <w:sz w:val="24"/>
          </w:rPr>
          <w:t>matched</w:t>
        </w:r>
        <w:r>
          <w:rPr>
            <w:spacing w:val="20"/>
            <w:sz w:val="24"/>
          </w:rPr>
          <w:t> </w:t>
        </w:r>
        <w:r>
          <w:rPr>
            <w:sz w:val="24"/>
          </w:rPr>
          <w:t>cohort</w:t>
        </w:r>
        <w:r>
          <w:rPr>
            <w:spacing w:val="20"/>
            <w:sz w:val="24"/>
          </w:rPr>
          <w:t> </w:t>
        </w:r>
        <w:r>
          <w:rPr>
            <w:sz w:val="24"/>
          </w:rPr>
          <w:t>(</w:t>
        </w:r>
        <w:r>
          <w:rPr>
            <w:rFonts w:ascii="Calibri" w:hAnsi="Calibri"/>
            <w:i/>
            <w:sz w:val="24"/>
          </w:rPr>
          <w:t>n</w:t>
        </w:r>
        <w:r>
          <w:rPr>
            <w:rFonts w:ascii="Calibri" w:hAnsi="Calibri"/>
            <w:i/>
            <w:spacing w:val="47"/>
            <w:w w:val="125"/>
            <w:sz w:val="24"/>
          </w:rPr>
          <w:t> </w:t>
        </w:r>
        <w:r>
          <w:rPr>
            <w:rFonts w:ascii="Calibri" w:hAnsi="Calibri"/>
            <w:w w:val="125"/>
            <w:sz w:val="24"/>
          </w:rPr>
          <w:t>=</w:t>
        </w:r>
        <w:r>
          <w:rPr>
            <w:rFonts w:ascii="Calibri" w:hAnsi="Calibri"/>
            <w:spacing w:val="47"/>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56"/>
            <w:w w:val="150"/>
            <w:sz w:val="24"/>
          </w:rPr>
          <w:t> </w:t>
        </w:r>
        <w:r>
          <w:rPr>
            <w:sz w:val="24"/>
          </w:rPr>
          <w:t>EndorseRank</w:t>
        </w:r>
        <w:r>
          <w:rPr>
            <w:spacing w:val="20"/>
            <w:sz w:val="24"/>
          </w:rPr>
          <w:t> </w:t>
        </w:r>
        <w:r>
          <w:rPr>
            <w:sz w:val="24"/>
          </w:rPr>
          <w:t>peaks</w:t>
        </w:r>
        <w:r>
          <w:rPr>
            <w:spacing w:val="20"/>
            <w:sz w:val="24"/>
          </w:rPr>
          <w:t> </w:t>
        </w:r>
        <w:r>
          <w:rPr>
            <w:sz w:val="24"/>
          </w:rPr>
          <w:t>on</w:t>
        </w:r>
        <w:r>
          <w:rPr>
            <w:spacing w:val="21"/>
            <w:sz w:val="24"/>
          </w:rPr>
          <w:t> </w:t>
        </w:r>
        <w:r>
          <w:rPr>
            <w:spacing w:val="-2"/>
            <w:sz w:val="24"/>
          </w:rPr>
          <w:t>allowance;</w:t>
        </w:r>
      </w:hyperlink>
    </w:p>
    <w:p>
      <w:pPr>
        <w:pStyle w:val="ListParagraph"/>
        <w:numPr>
          <w:ilvl w:val="1"/>
          <w:numId w:val="5"/>
        </w:numPr>
        <w:tabs>
          <w:tab w:pos="1182" w:val="left" w:leader="none"/>
          <w:tab w:pos="1190" w:val="left" w:leader="none"/>
        </w:tabs>
        <w:spacing w:line="374" w:lineRule="auto" w:before="47" w:after="0"/>
        <w:ind w:left="1182" w:right="1154" w:hanging="542"/>
        <w:jc w:val="left"/>
        <w:rPr>
          <w:sz w:val="24"/>
        </w:rPr>
      </w:pPr>
      <w:r>
        <w:rPr>
          <w:i/>
        </w:rPr>
        <w:t>EndorseRank, AWP에 대한 가족 수준 평균 Kendall τ 히트맵 및 일치하는 코호트(n = 5,521)에 대한 보충 GF-PR. EndorseRank 수당 최고점;</w:t>
      </w:r>
    </w:p>
    <w:p>
      <w:pPr>
        <w:pStyle w:val="BodyText"/>
        <w:tabs>
          <w:tab w:pos="9399" w:val="left" w:leader="dot"/>
        </w:tabs>
        <w:spacing w:line="396" w:lineRule="auto" w:before="3"/>
        <w:ind w:left="1190" w:right="564" w:hanging="9"/>
      </w:pPr>
      <w:hyperlink w:history="true" w:anchor="_bookmark102">
        <w:r>
          <w:rPr/>
          <w:t>AWP peaks on transfer among social methods; GF-PR peaks on trading-outcome</w:t>
        </w:r>
      </w:hyperlink>
      <w:r>
        <w:rPr/>
        <w:t> </w:t>
      </w:r>
      <w:hyperlink w:history="true" w:anchor="_bookmark102">
        <w:r>
          <w:rPr/>
          <w:t>families via construct overlap.</w:t>
        </w:r>
      </w:hyperlink>
      <w:r>
        <w:rPr/>
        <w:tab/>
      </w:r>
      <w:r>
        <w:rPr>
          <w:spacing w:val="-6"/>
        </w:rPr>
        <w:t>83</w:t>
      </w:r>
    </w:p>
    <w:p>
      <w:pPr>
        <w:pStyle w:val="BodyText"/>
        <w:tabs>
          <w:tab w:pos="9399" w:val="left" w:leader="dot"/>
        </w:tabs>
        <w:spacing w:line="396" w:lineRule="auto" w:before="3"/>
        <w:ind w:left="1190" w:right="564" w:hanging="9"/>
      </w:pPr>
      <w:r>
        <w:rPr>
          <w:i/>
        </w:rPr>
        <w:t>AWP 사회적 방법 간의 이전이 최고조에 달하고, GF-PR은 구성 중복을 통해 거래 결과 계열에서 최고조에 달합니다.</w:t>
        <w:tab/>
        <w:t>83</w:t>
      </w:r>
    </w:p>
    <w:p>
      <w:pPr>
        <w:pStyle w:val="ListParagraph"/>
        <w:numPr>
          <w:ilvl w:val="1"/>
          <w:numId w:val="5"/>
        </w:numPr>
        <w:tabs>
          <w:tab w:pos="1183" w:val="left" w:leader="none"/>
          <w:tab w:pos="1189" w:val="left" w:leader="none"/>
        </w:tabs>
        <w:spacing w:line="381" w:lineRule="auto" w:before="16" w:after="0"/>
        <w:ind w:left="1183" w:right="1134" w:hanging="543"/>
        <w:jc w:val="both"/>
        <w:rPr>
          <w:sz w:val="24"/>
        </w:rPr>
      </w:pPr>
      <w:hyperlink w:history="true" w:anchor="_bookmark110">
        <w:r>
          <w:rPr>
            <w:sz w:val="24"/>
          </w:rPr>
          <w:t>Marginal</w:t>
        </w:r>
        <w:r>
          <w:rPr>
            <w:sz w:val="24"/>
          </w:rPr>
          <w:t> distributions of EndorseRank and AWP scores on the matched cohort</w:t>
        </w:r>
      </w:hyperlink>
      <w:r>
        <w:rPr>
          <w:spacing w:val="80"/>
          <w:sz w:val="24"/>
        </w:rPr>
        <w:t> </w:t>
      </w:r>
      <w:hyperlink w:history="true" w:anchor="_bookmark110">
        <w:r>
          <w:rPr>
            <w:sz w:val="24"/>
          </w:rPr>
          <w:t>(</w:t>
        </w:r>
        <w:r>
          <w:rPr>
            <w:rFonts w:ascii="Calibri" w:hAnsi="Calibri"/>
            <w:i/>
            <w:sz w:val="24"/>
          </w:rPr>
          <w:t>n</w:t>
        </w:r>
        <w:r>
          <w:rPr>
            <w:rFonts w:ascii="Calibri" w:hAnsi="Calibri"/>
            <w:i/>
            <w:spacing w:val="40"/>
            <w:w w:val="125"/>
            <w:sz w:val="24"/>
          </w:rPr>
          <w:t> </w:t>
        </w:r>
        <w:r>
          <w:rPr>
            <w:rFonts w:ascii="Calibri" w:hAnsi="Calibri"/>
            <w:w w:val="125"/>
            <w:sz w:val="24"/>
          </w:rPr>
          <w:t>=</w:t>
        </w:r>
        <w:r>
          <w:rPr>
            <w:rFonts w:ascii="Calibri" w:hAnsi="Calibri"/>
            <w:spacing w:val="40"/>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26"/>
            <w:sz w:val="24"/>
          </w:rPr>
          <w:t> </w:t>
        </w:r>
        <w:r>
          <w:rPr>
            <w:sz w:val="24"/>
          </w:rPr>
          <w:t>shown</w:t>
        </w:r>
        <w:r>
          <w:rPr>
            <w:spacing w:val="20"/>
            <w:sz w:val="24"/>
          </w:rPr>
          <w:t> </w:t>
        </w:r>
        <w:r>
          <w:rPr>
            <w:sz w:val="24"/>
          </w:rPr>
          <w:t>on</w:t>
        </w:r>
        <w:r>
          <w:rPr>
            <w:spacing w:val="20"/>
            <w:sz w:val="24"/>
          </w:rPr>
          <w:t> </w:t>
        </w:r>
        <w:r>
          <w:rPr>
            <w:sz w:val="24"/>
          </w:rPr>
          <w:t>a</w:t>
        </w:r>
        <w:r>
          <w:rPr>
            <w:spacing w:val="20"/>
            <w:sz w:val="24"/>
          </w:rPr>
          <w:t> </w:t>
        </w:r>
        <w:r>
          <w:rPr>
            <w:sz w:val="24"/>
          </w:rPr>
          <w:t>log</w:t>
        </w:r>
        <w:r>
          <w:rPr>
            <w:rFonts w:ascii="Calibri" w:hAnsi="Calibri"/>
            <w:sz w:val="24"/>
            <w:vertAlign w:val="subscript"/>
          </w:rPr>
          <w:t>10</w:t>
        </w:r>
        <w:r>
          <w:rPr>
            <w:rFonts w:ascii="Calibri" w:hAnsi="Calibri"/>
            <w:spacing w:val="36"/>
            <w:sz w:val="24"/>
            <w:vertAlign w:val="baseline"/>
          </w:rPr>
          <w:t> </w:t>
        </w:r>
        <w:r>
          <w:rPr>
            <w:sz w:val="24"/>
            <w:vertAlign w:val="baseline"/>
          </w:rPr>
          <w:t>scale</w:t>
        </w:r>
        <w:r>
          <w:rPr>
            <w:spacing w:val="20"/>
            <w:sz w:val="24"/>
            <w:vertAlign w:val="baseline"/>
          </w:rPr>
          <w:t> </w:t>
        </w:r>
        <w:r>
          <w:rPr>
            <w:sz w:val="24"/>
            <w:vertAlign w:val="baseline"/>
          </w:rPr>
          <w:t>for</w:t>
        </w:r>
        <w:r>
          <w:rPr>
            <w:spacing w:val="20"/>
            <w:sz w:val="24"/>
            <w:vertAlign w:val="baseline"/>
          </w:rPr>
          <w:t> </w:t>
        </w:r>
        <w:r>
          <w:rPr>
            <w:sz w:val="24"/>
            <w:vertAlign w:val="baseline"/>
          </w:rPr>
          <w:t>wallets</w:t>
        </w:r>
        <w:r>
          <w:rPr>
            <w:spacing w:val="20"/>
            <w:sz w:val="24"/>
            <w:vertAlign w:val="baseline"/>
          </w:rPr>
          <w:t> </w:t>
        </w:r>
        <w:r>
          <w:rPr>
            <w:sz w:val="24"/>
            <w:vertAlign w:val="baseline"/>
          </w:rPr>
          <w:t>with</w:t>
        </w:r>
        <w:r>
          <w:rPr>
            <w:spacing w:val="20"/>
            <w:sz w:val="24"/>
            <w:vertAlign w:val="baseline"/>
          </w:rPr>
          <w:t> </w:t>
        </w:r>
        <w:r>
          <w:rPr>
            <w:sz w:val="24"/>
            <w:vertAlign w:val="baseline"/>
          </w:rPr>
          <w:t>positive</w:t>
        </w:r>
        <w:r>
          <w:rPr>
            <w:spacing w:val="20"/>
            <w:sz w:val="24"/>
            <w:vertAlign w:val="baseline"/>
          </w:rPr>
          <w:t> </w:t>
        </w:r>
        <w:r>
          <w:rPr>
            <w:sz w:val="24"/>
            <w:vertAlign w:val="baseline"/>
          </w:rPr>
          <w:t>score</w:t>
        </w:r>
        <w:r>
          <w:rPr>
            <w:spacing w:val="20"/>
            <w:sz w:val="24"/>
            <w:vertAlign w:val="baseline"/>
          </w:rPr>
          <w:t> </w:t>
        </w:r>
        <w:r>
          <w:rPr>
            <w:sz w:val="24"/>
            <w:vertAlign w:val="baseline"/>
          </w:rPr>
          <w:t>(EndorseR-</w:t>
        </w:r>
      </w:hyperlink>
      <w:hyperlink w:history="true" w:anchor="_bookmark110">
        <w:r>
          <w:rPr>
            <w:sz w:val="24"/>
            <w:vertAlign w:val="baseline"/>
          </w:rPr>
          <w:t>ank excludes </w:t>
        </w:r>
        <w:r>
          <w:rPr>
            <w:rFonts w:ascii="Calibri" w:hAnsi="Calibri"/>
            <w:sz w:val="24"/>
            <w:vertAlign w:val="baseline"/>
          </w:rPr>
          <w:t>966 </w:t>
        </w:r>
        <w:r>
          <w:rPr>
            <w:sz w:val="24"/>
            <w:vertAlign w:val="baseline"/>
          </w:rPr>
          <w:t>zero-score wallets; AWP excludes </w:t>
        </w:r>
        <w:r>
          <w:rPr>
            <w:rFonts w:ascii="Calibri" w:hAnsi="Calibri"/>
            <w:sz w:val="24"/>
            <w:vertAlign w:val="baseline"/>
          </w:rPr>
          <w:t>381</w:t>
        </w:r>
        <w:r>
          <w:rPr>
            <w:sz w:val="24"/>
            <w:vertAlign w:val="baseline"/>
          </w:rPr>
          <w:t>).</w:t>
        </w:r>
        <w:r>
          <w:rPr>
            <w:spacing w:val="36"/>
            <w:sz w:val="24"/>
            <w:vertAlign w:val="baseline"/>
          </w:rPr>
          <w:t> </w:t>
        </w:r>
        <w:r>
          <w:rPr>
            <w:sz w:val="24"/>
            <w:vertAlign w:val="baseline"/>
          </w:rPr>
          <w:t>Both are right-skewed</w:t>
        </w:r>
      </w:hyperlink>
      <w:r>
        <w:rPr>
          <w:sz w:val="24"/>
          <w:vertAlign w:val="baseline"/>
        </w:rPr>
        <w:t> </w:t>
      </w:r>
      <w:hyperlink w:history="true" w:anchor="_bookmark110">
        <w:r>
          <w:rPr>
            <w:sz w:val="24"/>
            <w:vertAlign w:val="baseline"/>
          </w:rPr>
          <w:t>PageRank distributions; differences in shape reflect the distinct endorsement and</w:t>
        </w:r>
      </w:hyperlink>
    </w:p>
    <w:p>
      <w:pPr>
        <w:pStyle w:val="ListParagraph"/>
        <w:numPr>
          <w:ilvl w:val="1"/>
          <w:numId w:val="5"/>
        </w:numPr>
        <w:tabs>
          <w:tab w:pos="1183" w:val="left" w:leader="none"/>
          <w:tab w:pos="1189" w:val="left" w:leader="none"/>
        </w:tabs>
        <w:spacing w:line="381" w:lineRule="auto" w:before="16" w:after="0"/>
        <w:ind w:left="1183" w:right="1134" w:hanging="543"/>
        <w:jc w:val="both"/>
        <w:rPr>
          <w:sz w:val="24"/>
        </w:rPr>
      </w:pPr>
      <w:r>
        <w:rPr>
          <w:i/>
        </w:rPr>
        <w:t>일치하는 코호트(n = 5,521)에 대한 EndorseRank 및 AWP 점수의 한계 분포는 양수 점수가 있는 지갑에 대한 log10 척도로 표시됩니다(EndorseR-ank는 966개의 0점 지갑을 제외하고 AWP는 381을 제외합니다). 둘 다 오른쪽으로 치우친 PageRank 분포입니다. 형태의 차이는 뚜렷한 지지와</w:t>
      </w:r>
    </w:p>
    <w:p>
      <w:pPr>
        <w:pStyle w:val="BodyText"/>
        <w:tabs>
          <w:tab w:pos="9399" w:val="left" w:leader="dot"/>
        </w:tabs>
        <w:spacing w:before="17"/>
        <w:ind w:left="1190"/>
        <w:jc w:val="both"/>
      </w:pPr>
      <w:hyperlink w:history="true" w:anchor="_bookmark110">
        <w:r>
          <w:rPr/>
          <w:t>transfer</w:t>
        </w:r>
        <w:r>
          <w:rPr>
            <w:spacing w:val="-9"/>
          </w:rPr>
          <w:t> </w:t>
        </w:r>
        <w:r>
          <w:rPr>
            <w:spacing w:val="-2"/>
          </w:rPr>
          <w:t>operators.</w:t>
        </w:r>
      </w:hyperlink>
      <w:r>
        <w:rPr/>
        <w:tab/>
      </w:r>
      <w:r>
        <w:rPr>
          <w:spacing w:val="-5"/>
        </w:rPr>
        <w:t>92</w:t>
      </w:r>
    </w:p>
    <w:p>
      <w:pPr>
        <w:pStyle w:val="BodyText"/>
        <w:tabs>
          <w:tab w:pos="9399" w:val="left" w:leader="dot"/>
        </w:tabs>
        <w:spacing w:before="17"/>
        <w:ind w:left="1190"/>
        <w:jc w:val="both"/>
      </w:pPr>
      <w:r>
        <w:rPr>
          <w:i/>
        </w:rPr>
        <w:t>전송 운영자.</w:t>
        <w:tab/>
        <w:t>92</w:t>
      </w:r>
    </w:p>
    <w:p>
      <w:pPr>
        <w:pStyle w:val="ListParagraph"/>
        <w:numPr>
          <w:ilvl w:val="1"/>
          <w:numId w:val="5"/>
        </w:numPr>
        <w:tabs>
          <w:tab w:pos="1190" w:val="left" w:leader="none"/>
          <w:tab w:pos="9399" w:val="left" w:leader="dot"/>
        </w:tabs>
        <w:spacing w:line="386" w:lineRule="auto" w:before="194" w:after="0"/>
        <w:ind w:left="1190" w:right="564" w:hanging="550"/>
        <w:jc w:val="left"/>
        <w:rPr>
          <w:sz w:val="24"/>
        </w:rPr>
      </w:pPr>
      <w:hyperlink w:history="true" w:anchor="_bookmark111">
        <w:r>
          <w:rPr>
            <w:sz w:val="24"/>
          </w:rPr>
          <w:t>Rank–rank</w:t>
        </w:r>
        <w:r>
          <w:rPr>
            <w:spacing w:val="40"/>
            <w:sz w:val="24"/>
          </w:rPr>
          <w:t> </w:t>
        </w:r>
        <w:r>
          <w:rPr>
            <w:sz w:val="24"/>
          </w:rPr>
          <w:t>scatter</w:t>
        </w:r>
        <w:r>
          <w:rPr>
            <w:spacing w:val="40"/>
            <w:sz w:val="24"/>
          </w:rPr>
          <w:t> </w:t>
        </w:r>
        <w:r>
          <w:rPr>
            <w:sz w:val="24"/>
          </w:rPr>
          <w:t>of</w:t>
        </w:r>
        <w:r>
          <w:rPr>
            <w:spacing w:val="40"/>
            <w:sz w:val="24"/>
          </w:rPr>
          <w:t> </w:t>
        </w:r>
        <w:r>
          <w:rPr>
            <w:sz w:val="24"/>
          </w:rPr>
          <w:t>EndorseRank</w:t>
        </w:r>
        <w:r>
          <w:rPr>
            <w:spacing w:val="40"/>
            <w:sz w:val="24"/>
          </w:rPr>
          <w:t> </w:t>
        </w:r>
        <w:r>
          <w:rPr>
            <w:sz w:val="24"/>
          </w:rPr>
          <w:t>versus</w:t>
        </w:r>
        <w:r>
          <w:rPr>
            <w:spacing w:val="40"/>
            <w:sz w:val="24"/>
          </w:rPr>
          <w:t> </w:t>
        </w:r>
        <w:r>
          <w:rPr>
            <w:sz w:val="24"/>
          </w:rPr>
          <w:t>AWP</w:t>
        </w:r>
        <w:r>
          <w:rPr>
            <w:spacing w:val="40"/>
            <w:sz w:val="24"/>
          </w:rPr>
          <w:t> </w:t>
        </w:r>
        <w:r>
          <w:rPr>
            <w:sz w:val="24"/>
          </w:rPr>
          <w:t>on</w:t>
        </w:r>
        <w:r>
          <w:rPr>
            <w:spacing w:val="40"/>
            <w:sz w:val="24"/>
          </w:rPr>
          <w:t> </w:t>
        </w:r>
        <w:r>
          <w:rPr>
            <w:sz w:val="24"/>
          </w:rPr>
          <w:t>the</w:t>
        </w:r>
        <w:r>
          <w:rPr>
            <w:spacing w:val="40"/>
            <w:sz w:val="24"/>
          </w:rPr>
          <w:t> </w:t>
        </w:r>
        <w:r>
          <w:rPr>
            <w:sz w:val="24"/>
          </w:rPr>
          <w:t>matched</w:t>
        </w:r>
        <w:r>
          <w:rPr>
            <w:spacing w:val="40"/>
            <w:sz w:val="24"/>
          </w:rPr>
          <w:t> </w:t>
        </w:r>
        <w:r>
          <w:rPr>
            <w:sz w:val="24"/>
          </w:rPr>
          <w:t>cohort.</w:t>
        </w:r>
        <w:r>
          <w:rPr>
            <w:spacing w:val="80"/>
            <w:w w:val="150"/>
            <w:sz w:val="24"/>
          </w:rPr>
          <w:t> </w:t>
        </w:r>
        <w:r>
          <w:rPr>
            <w:sz w:val="24"/>
          </w:rPr>
          <w:t>Inter-</w:t>
        </w:r>
      </w:hyperlink>
      <w:hyperlink w:history="true" w:anchor="_bookmark111">
        <w:r>
          <w:rPr>
            <w:sz w:val="24"/>
          </w:rPr>
          <w:t>method Kendall </w:t>
        </w:r>
        <w:r>
          <w:rPr>
            <w:rFonts w:ascii="Calibri" w:hAnsi="Calibri"/>
            <w:i/>
            <w:sz w:val="24"/>
          </w:rPr>
          <w:t>τ</w:t>
        </w:r>
        <w:r>
          <w:rPr>
            <w:rFonts w:ascii="Calibri" w:hAnsi="Calibri"/>
            <w:i/>
            <w:spacing w:val="40"/>
            <w:w w:val="125"/>
            <w:sz w:val="24"/>
          </w:rPr>
          <w:t> </w:t>
        </w:r>
        <w:r>
          <w:rPr>
            <w:rFonts w:ascii="Calibri" w:hAnsi="Calibri"/>
            <w:w w:val="125"/>
            <w:sz w:val="24"/>
          </w:rPr>
          <w:t>=</w:t>
        </w:r>
        <w:r>
          <w:rPr>
            <w:rFonts w:ascii="Calibri" w:hAnsi="Calibri"/>
            <w:w w:val="125"/>
            <w:sz w:val="24"/>
          </w:rPr>
          <w:t> </w:t>
        </w:r>
        <w:r>
          <w:rPr>
            <w:rFonts w:ascii="Calibri" w:hAnsi="Calibri"/>
            <w:sz w:val="24"/>
          </w:rPr>
          <w:t>0</w:t>
        </w:r>
        <w:r>
          <w:rPr>
            <w:rFonts w:ascii="Calibri" w:hAnsi="Calibri"/>
            <w:i/>
            <w:sz w:val="24"/>
          </w:rPr>
          <w:t>.</w:t>
        </w:r>
        <w:r>
          <w:rPr>
            <w:rFonts w:ascii="Calibri" w:hAnsi="Calibri"/>
            <w:sz w:val="24"/>
          </w:rPr>
          <w:t>316 </w:t>
        </w:r>
        <w:r>
          <w:rPr>
            <w:sz w:val="24"/>
          </w:rPr>
          <w:t>indicates partial overlap with substantial pairwise dis-</w:t>
        </w:r>
      </w:hyperlink>
      <w:hyperlink w:history="true" w:anchor="_bookmark111">
        <w:r>
          <w:rPr>
            <w:sz w:val="24"/>
          </w:rPr>
          <w:t>agreement,</w:t>
        </w:r>
        <w:r>
          <w:rPr>
            <w:spacing w:val="-13"/>
            <w:sz w:val="24"/>
          </w:rPr>
          <w:t> </w:t>
        </w:r>
        <w:r>
          <w:rPr>
            <w:sz w:val="24"/>
          </w:rPr>
          <w:t>supporting</w:t>
        </w:r>
        <w:r>
          <w:rPr>
            <w:spacing w:val="-13"/>
            <w:sz w:val="24"/>
          </w:rPr>
          <w:t> </w:t>
        </w:r>
        <w:r>
          <w:rPr>
            <w:sz w:val="24"/>
          </w:rPr>
          <w:t>H1/RQ1</w:t>
        </w:r>
        <w:r>
          <w:rPr>
            <w:spacing w:val="-12"/>
            <w:sz w:val="24"/>
          </w:rPr>
          <w:t> </w:t>
        </w:r>
        <w:r>
          <w:rPr>
            <w:sz w:val="24"/>
          </w:rPr>
          <w:t>(construct-distinct</w:t>
        </w:r>
        <w:r>
          <w:rPr>
            <w:spacing w:val="-13"/>
            <w:sz w:val="24"/>
          </w:rPr>
          <w:t> </w:t>
        </w:r>
        <w:r>
          <w:rPr>
            <w:spacing w:val="-2"/>
            <w:sz w:val="24"/>
          </w:rPr>
          <w:t>orderings).</w:t>
        </w:r>
      </w:hyperlink>
      <w:r>
        <w:rPr>
          <w:sz w:val="24"/>
        </w:rPr>
        <w:tab/>
      </w:r>
      <w:r>
        <w:rPr>
          <w:spacing w:val="-5"/>
          <w:sz w:val="24"/>
        </w:rPr>
        <w:t>93</w:t>
      </w:r>
    </w:p>
    <w:p>
      <w:pPr>
        <w:pStyle w:val="ListParagraph"/>
        <w:numPr>
          <w:ilvl w:val="1"/>
          <w:numId w:val="5"/>
        </w:numPr>
        <w:tabs>
          <w:tab w:pos="1190" w:val="left" w:leader="none"/>
          <w:tab w:pos="9399" w:val="left" w:leader="dot"/>
        </w:tabs>
        <w:spacing w:line="386" w:lineRule="auto" w:before="194" w:after="0"/>
        <w:ind w:left="1190" w:right="564" w:hanging="550"/>
        <w:jc w:val="left"/>
        <w:rPr>
          <w:sz w:val="24"/>
        </w:rPr>
      </w:pPr>
      <w:r>
        <w:rPr>
          <w:i/>
        </w:rPr>
        <w:t>일치하는 코호트에서 EndorseRank 대 AWP의 순위-순위 분포입니다. 방법 간 Kendall τ = 0.316은 H1/RQ1(구성 구별 순서)을 지원하는 상당한 쌍별 불일치가 있는 부분적 중첩을 나타냅니다.</w:t>
        <w:tab/>
        <w:t>93</w:t>
      </w:r>
    </w:p>
    <w:p>
      <w:pPr>
        <w:pStyle w:val="ListParagraph"/>
        <w:spacing w:after="0" w:line="386" w:lineRule="auto"/>
        <w:jc w:val="left"/>
        <w:rPr>
          <w:sz w:val="24"/>
        </w:rPr>
        <w:sectPr>
          <w:pgSz w:w="11910" w:h="16840"/>
          <w:pgMar w:header="0" w:footer="2115" w:top="1840" w:bottom="2300" w:left="992" w:right="708"/>
        </w:sectPr>
      </w:pPr>
    </w:p>
    <w:p>
      <w:pPr>
        <w:pStyle w:val="Heading1"/>
        <w:spacing w:before="79"/>
        <w:ind w:left="282" w:firstLine="0"/>
        <w:jc w:val="left"/>
      </w:pPr>
      <w:r>
        <w:rPr/>
        <w:t>List</w:t>
      </w:r>
      <w:r>
        <w:rPr>
          <w:spacing w:val="4"/>
        </w:rPr>
        <w:t> </w:t>
      </w:r>
      <w:r>
        <w:rPr/>
        <w:t>of</w:t>
      </w:r>
      <w:r>
        <w:rPr>
          <w:spacing w:val="5"/>
        </w:rPr>
        <w:t> </w:t>
      </w:r>
      <w:r>
        <w:rPr>
          <w:spacing w:val="-2"/>
        </w:rPr>
        <w:t>Tables</w:t>
      </w:r>
    </w:p>
    <w:p>
      <w:pPr>
        <w:pStyle w:val="Heading1"/>
        <w:spacing w:before="79"/>
        <w:ind w:left="282" w:firstLine="0"/>
        <w:jc w:val="left"/>
      </w:pPr>
      <w:r>
        <w:rPr>
          <w:i/>
        </w:rPr>
        <w:t>테이블 목록</w:t>
      </w:r>
    </w:p>
    <w:p>
      <w:pPr>
        <w:pStyle w:val="BodyText"/>
        <w:spacing w:before="133"/>
        <w:rPr>
          <w:b/>
          <w:sz w:val="20"/>
        </w:rPr>
      </w:pPr>
    </w:p>
    <w:tbl>
      <w:tblPr>
        <w:tblW w:w="0" w:type="auto"/>
        <w:jc w:val="left"/>
        <w:tblInd w:w="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
        <w:gridCol w:w="8300"/>
        <w:gridCol w:w="355"/>
      </w:tblGrid>
      <w:tr>
        <w:trPr>
          <w:trHeight w:val="367" w:hRule="atLeast"/>
        </w:trPr>
        <w:tc>
          <w:tcPr>
            <w:tcW w:w="444" w:type="dxa"/>
          </w:tcPr>
          <w:p>
            <w:pPr>
              <w:pStyle w:val="TableParagraph"/>
              <w:spacing w:line="265" w:lineRule="exact" w:before="0"/>
              <w:ind w:left="50"/>
              <w:jc w:val="left"/>
              <w:rPr>
                <w:sz w:val="24"/>
              </w:rPr>
            </w:pPr>
            <w:hyperlink w:history="true" w:anchor="_bookmark2">
              <w:r>
                <w:rPr>
                  <w:spacing w:val="-10"/>
                  <w:sz w:val="24"/>
                </w:rPr>
                <w:t>1</w:t>
              </w:r>
            </w:hyperlink>
          </w:p>
        </w:tc>
        <w:tc>
          <w:tcPr>
            <w:tcW w:w="8300" w:type="dxa"/>
          </w:tcPr>
          <w:p>
            <w:pPr>
              <w:pStyle w:val="TableParagraph"/>
              <w:spacing w:line="265" w:lineRule="exact" w:before="0"/>
              <w:ind w:left="147"/>
              <w:jc w:val="left"/>
              <w:rPr>
                <w:sz w:val="24"/>
              </w:rPr>
            </w:pPr>
            <w:hyperlink w:history="true" w:anchor="_bookmark2">
              <w:r>
                <w:rPr>
                  <w:sz w:val="24"/>
                </w:rPr>
                <w:t>Abbreviations</w:t>
              </w:r>
              <w:r>
                <w:rPr>
                  <w:spacing w:val="-3"/>
                  <w:sz w:val="24"/>
                </w:rPr>
                <w:t> </w:t>
              </w:r>
              <w:r>
                <w:rPr>
                  <w:sz w:val="24"/>
                </w:rPr>
                <w:t>used</w:t>
              </w:r>
              <w:r>
                <w:rPr>
                  <w:spacing w:val="-2"/>
                  <w:sz w:val="24"/>
                </w:rPr>
                <w:t> </w:t>
              </w:r>
              <w:r>
                <w:rPr>
                  <w:sz w:val="24"/>
                </w:rPr>
                <w:t>in</w:t>
              </w:r>
              <w:r>
                <w:rPr>
                  <w:spacing w:val="-2"/>
                  <w:sz w:val="24"/>
                </w:rPr>
                <w:t> </w:t>
              </w:r>
              <w:r>
                <w:rPr>
                  <w:sz w:val="24"/>
                </w:rPr>
                <w:t>this</w:t>
              </w:r>
              <w:r>
                <w:rPr>
                  <w:spacing w:val="-2"/>
                  <w:sz w:val="24"/>
                </w:rPr>
                <w:t> </w:t>
              </w:r>
              <w:r>
                <w:rPr>
                  <w:sz w:val="24"/>
                </w:rPr>
                <w:t>dissertation.</w:t>
              </w:r>
            </w:hyperlink>
            <w:r>
              <w:rPr>
                <w:spacing w:val="35"/>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pacing w:val="-10"/>
                <w:sz w:val="24"/>
              </w:rPr>
              <w:t>.</w:t>
            </w:r>
          </w:p>
          <w:p>
            <w:pPr>
              <w:pStyle w:val="TableParagraph"/>
              <w:spacing w:line="265" w:lineRule="exact" w:before="0"/>
              <w:ind w:left="147"/>
              <w:jc w:val="left"/>
              <w:rPr>
                <w:sz w:val="24"/>
              </w:rPr>
            </w:pPr>
            <w:r>
              <w:rPr>
                <w:i/>
              </w:rPr>
              <w:t>본 논문에 사용된 약어입니다. . . . . . . . . . . . . . . . . . . . . . . . .</w:t>
            </w:r>
          </w:p>
        </w:tc>
        <w:tc>
          <w:tcPr>
            <w:tcW w:w="355" w:type="dxa"/>
          </w:tcPr>
          <w:p>
            <w:pPr>
              <w:pStyle w:val="TableParagraph"/>
              <w:spacing w:line="265" w:lineRule="exact" w:before="0"/>
              <w:ind w:left="22"/>
              <w:rPr>
                <w:sz w:val="24"/>
              </w:rPr>
            </w:pPr>
            <w:r>
              <w:rPr>
                <w:spacing w:val="-5"/>
                <w:sz w:val="24"/>
              </w:rPr>
              <w:t>11</w:t>
            </w:r>
          </w:p>
        </w:tc>
      </w:tr>
      <w:tr>
        <w:trPr>
          <w:trHeight w:val="569" w:hRule="atLeast"/>
        </w:trPr>
        <w:tc>
          <w:tcPr>
            <w:tcW w:w="444" w:type="dxa"/>
          </w:tcPr>
          <w:p>
            <w:pPr>
              <w:pStyle w:val="TableParagraph"/>
              <w:spacing w:before="91"/>
              <w:ind w:left="50"/>
              <w:jc w:val="left"/>
              <w:rPr>
                <w:sz w:val="24"/>
              </w:rPr>
            </w:pPr>
            <w:hyperlink w:history="true" w:anchor="_bookmark3">
              <w:r>
                <w:rPr>
                  <w:spacing w:val="-10"/>
                  <w:sz w:val="24"/>
                </w:rPr>
                <w:t>2</w:t>
              </w:r>
            </w:hyperlink>
          </w:p>
        </w:tc>
        <w:tc>
          <w:tcPr>
            <w:tcW w:w="8300" w:type="dxa"/>
          </w:tcPr>
          <w:p>
            <w:pPr>
              <w:pStyle w:val="TableParagraph"/>
              <w:spacing w:before="91"/>
              <w:ind w:left="155"/>
              <w:jc w:val="left"/>
              <w:rPr>
                <w:sz w:val="24"/>
              </w:rPr>
            </w:pPr>
            <w:hyperlink w:history="true" w:anchor="_bookmark3">
              <w:r>
                <w:rPr>
                  <w:sz w:val="24"/>
                </w:rPr>
                <w:t>Mathematical</w:t>
              </w:r>
              <w:r>
                <w:rPr>
                  <w:spacing w:val="-3"/>
                  <w:sz w:val="24"/>
                </w:rPr>
                <w:t> </w:t>
              </w:r>
              <w:r>
                <w:rPr>
                  <w:sz w:val="24"/>
                </w:rPr>
                <w:t>notation</w:t>
              </w:r>
              <w:r>
                <w:rPr>
                  <w:spacing w:val="-2"/>
                  <w:sz w:val="24"/>
                </w:rPr>
                <w:t> </w:t>
              </w:r>
              <w:r>
                <w:rPr>
                  <w:sz w:val="24"/>
                </w:rPr>
                <w:t>used</w:t>
              </w:r>
              <w:r>
                <w:rPr>
                  <w:spacing w:val="-2"/>
                  <w:sz w:val="24"/>
                </w:rPr>
                <w:t> </w:t>
              </w:r>
              <w:r>
                <w:rPr>
                  <w:sz w:val="24"/>
                </w:rPr>
                <w:t>in</w:t>
              </w:r>
              <w:r>
                <w:rPr>
                  <w:spacing w:val="-3"/>
                  <w:sz w:val="24"/>
                </w:rPr>
                <w:t> </w:t>
              </w:r>
              <w:r>
                <w:rPr>
                  <w:sz w:val="24"/>
                </w:rPr>
                <w:t>this</w:t>
              </w:r>
              <w:r>
                <w:rPr>
                  <w:spacing w:val="-2"/>
                  <w:sz w:val="24"/>
                </w:rPr>
                <w:t> </w:t>
              </w:r>
              <w:r>
                <w:rPr>
                  <w:sz w:val="24"/>
                </w:rPr>
                <w:t>dissertation.</w:t>
              </w:r>
            </w:hyperlink>
            <w:r>
              <w:rPr>
                <w:spacing w:val="28"/>
                <w:sz w:val="24"/>
              </w:rPr>
              <w:t>  </w:t>
            </w:r>
            <w:r>
              <w:rPr>
                <w:sz w:val="24"/>
              </w:rPr>
              <w:t>.</w:t>
            </w:r>
            <w:r>
              <w:rPr>
                <w:spacing w:val="58"/>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7"/>
                <w:sz w:val="24"/>
              </w:rPr>
              <w:t> </w:t>
            </w:r>
            <w:r>
              <w:rPr>
                <w:sz w:val="24"/>
              </w:rPr>
              <w:t>.</w:t>
            </w:r>
            <w:r>
              <w:rPr>
                <w:spacing w:val="56"/>
                <w:sz w:val="24"/>
              </w:rPr>
              <w:t> </w:t>
            </w:r>
            <w:r>
              <w:rPr>
                <w:spacing w:val="-10"/>
                <w:sz w:val="24"/>
              </w:rPr>
              <w:t>.</w:t>
            </w:r>
          </w:p>
          <w:p>
            <w:pPr>
              <w:pStyle w:val="TableParagraph"/>
              <w:spacing w:before="91"/>
              <w:ind w:left="155"/>
              <w:jc w:val="left"/>
              <w:rPr>
                <w:sz w:val="24"/>
              </w:rPr>
            </w:pPr>
            <w:r>
              <w:rPr>
                <w:i/>
              </w:rPr>
              <w:t>이 논문에 사용된 수학적 표기법입니다.  . . . . . . . . . . . . . . . . . . .</w:t>
            </w:r>
          </w:p>
        </w:tc>
        <w:tc>
          <w:tcPr>
            <w:tcW w:w="355" w:type="dxa"/>
          </w:tcPr>
          <w:p>
            <w:pPr>
              <w:pStyle w:val="TableParagraph"/>
              <w:spacing w:before="91"/>
              <w:ind w:left="22" w:right="8"/>
              <w:rPr>
                <w:sz w:val="24"/>
              </w:rPr>
            </w:pPr>
            <w:r>
              <w:rPr>
                <w:spacing w:val="-5"/>
                <w:sz w:val="24"/>
              </w:rPr>
              <w:t>12</w:t>
            </w:r>
          </w:p>
        </w:tc>
      </w:tr>
      <w:tr>
        <w:trPr>
          <w:trHeight w:val="573" w:hRule="atLeast"/>
        </w:trPr>
        <w:tc>
          <w:tcPr>
            <w:tcW w:w="444" w:type="dxa"/>
          </w:tcPr>
          <w:p>
            <w:pPr>
              <w:pStyle w:val="TableParagraph"/>
              <w:spacing w:before="191"/>
              <w:ind w:left="50"/>
              <w:jc w:val="left"/>
              <w:rPr>
                <w:sz w:val="24"/>
              </w:rPr>
            </w:pPr>
            <w:hyperlink w:history="true" w:anchor="_bookmark9">
              <w:r>
                <w:rPr>
                  <w:spacing w:val="-5"/>
                  <w:sz w:val="24"/>
                </w:rPr>
                <w:t>1.1</w:t>
              </w:r>
            </w:hyperlink>
          </w:p>
        </w:tc>
        <w:tc>
          <w:tcPr>
            <w:tcW w:w="8300" w:type="dxa"/>
          </w:tcPr>
          <w:p>
            <w:pPr>
              <w:pStyle w:val="TableParagraph"/>
              <w:spacing w:before="187"/>
              <w:ind w:left="155"/>
              <w:jc w:val="left"/>
              <w:rPr>
                <w:sz w:val="24"/>
              </w:rPr>
            </w:pPr>
            <w:hyperlink w:history="true" w:anchor="_bookmark9">
              <w:r>
                <w:rPr>
                  <w:sz w:val="24"/>
                </w:rPr>
                <w:t>Primary</w:t>
              </w:r>
              <w:r>
                <w:rPr>
                  <w:spacing w:val="-11"/>
                  <w:sz w:val="24"/>
                </w:rPr>
                <w:t> </w:t>
              </w:r>
              <w:r>
                <w:rPr>
                  <w:sz w:val="24"/>
                </w:rPr>
                <w:t>comparison:</w:t>
              </w:r>
              <w:r>
                <w:rPr>
                  <w:spacing w:val="15"/>
                  <w:sz w:val="24"/>
                </w:rPr>
                <w:t> </w:t>
              </w:r>
              <w:r>
                <w:rPr>
                  <w:sz w:val="24"/>
                </w:rPr>
                <w:t>EndorseRank</w:t>
              </w:r>
              <w:r>
                <w:rPr>
                  <w:spacing w:val="-9"/>
                  <w:sz w:val="24"/>
                </w:rPr>
                <w:t> </w:t>
              </w:r>
              <w:r>
                <w:rPr>
                  <w:sz w:val="24"/>
                </w:rPr>
                <w:t>versus</w:t>
              </w:r>
              <w:r>
                <w:rPr>
                  <w:spacing w:val="-9"/>
                  <w:sz w:val="24"/>
                </w:rPr>
                <w:t> </w:t>
              </w:r>
              <w:r>
                <w:rPr>
                  <w:sz w:val="24"/>
                </w:rPr>
                <w:t>AWP</w:t>
              </w:r>
              <w:r>
                <w:rPr>
                  <w:spacing w:val="-11"/>
                  <w:sz w:val="24"/>
                </w:rPr>
                <w:t> </w:t>
              </w:r>
              <w:r>
                <w:rPr>
                  <w:sz w:val="24"/>
                </w:rPr>
                <w:t>(matched</w:t>
              </w:r>
              <w:r>
                <w:rPr>
                  <w:spacing w:val="-9"/>
                  <w:sz w:val="24"/>
                </w:rPr>
                <w:t> </w:t>
              </w:r>
              <w:r>
                <w:rPr>
                  <w:sz w:val="24"/>
                </w:rPr>
                <w:t>wallet</w:t>
              </w:r>
              <w:r>
                <w:rPr>
                  <w:spacing w:val="-10"/>
                  <w:sz w:val="24"/>
                </w:rPr>
                <w:t> </w:t>
              </w:r>
              <w:r>
                <w:rPr>
                  <w:sz w:val="24"/>
                </w:rPr>
                <w:t>cohort,</w:t>
              </w:r>
              <w:r>
                <w:rPr>
                  <w:spacing w:val="-8"/>
                  <w:sz w:val="24"/>
                </w:rPr>
                <w:t> </w:t>
              </w:r>
              <w:r>
                <w:rPr>
                  <w:rFonts w:ascii="Calibri"/>
                  <w:i/>
                  <w:sz w:val="24"/>
                </w:rPr>
                <w:t>n</w:t>
              </w:r>
              <w:r>
                <w:rPr>
                  <w:rFonts w:ascii="Calibri"/>
                  <w:i/>
                  <w:spacing w:val="11"/>
                  <w:sz w:val="24"/>
                </w:rPr>
                <w:t> </w:t>
              </w:r>
              <w:r>
                <w:rPr>
                  <w:rFonts w:ascii="Calibri"/>
                  <w:sz w:val="24"/>
                </w:rPr>
                <w:t>=</w:t>
              </w:r>
              <w:r>
                <w:rPr>
                  <w:rFonts w:ascii="Calibri"/>
                  <w:spacing w:val="9"/>
                  <w:sz w:val="24"/>
                </w:rPr>
                <w:t> </w:t>
              </w:r>
              <w:r>
                <w:rPr>
                  <w:rFonts w:ascii="Calibri"/>
                  <w:spacing w:val="-2"/>
                  <w:sz w:val="24"/>
                </w:rPr>
                <w:t>5</w:t>
              </w:r>
              <w:r>
                <w:rPr>
                  <w:rFonts w:ascii="Calibri"/>
                  <w:i/>
                  <w:spacing w:val="-2"/>
                  <w:sz w:val="24"/>
                </w:rPr>
                <w:t>,</w:t>
              </w:r>
              <w:r>
                <w:rPr>
                  <w:rFonts w:ascii="Calibri"/>
                  <w:spacing w:val="-2"/>
                  <w:sz w:val="24"/>
                </w:rPr>
                <w:t>521</w:t>
              </w:r>
              <w:r>
                <w:rPr>
                  <w:spacing w:val="-2"/>
                  <w:sz w:val="24"/>
                </w:rPr>
                <w:t>).</w:t>
              </w:r>
            </w:hyperlink>
          </w:p>
          <w:p>
            <w:pPr>
              <w:pStyle w:val="TableParagraph"/>
              <w:spacing w:before="187"/>
              <w:ind w:left="155"/>
              <w:jc w:val="left"/>
              <w:rPr>
                <w:sz w:val="24"/>
              </w:rPr>
            </w:pPr>
            <w:r>
              <w:rPr>
                <w:i/>
              </w:rPr>
              <w:t>1차 비교: EndorseRank 대 AWP(일치하는 지갑 코호트, n = 5,521).</w:t>
            </w:r>
          </w:p>
        </w:tc>
        <w:tc>
          <w:tcPr>
            <w:tcW w:w="355" w:type="dxa"/>
          </w:tcPr>
          <w:p>
            <w:pPr>
              <w:pStyle w:val="TableParagraph"/>
              <w:spacing w:before="191"/>
              <w:ind w:left="22" w:right="8"/>
              <w:rPr>
                <w:sz w:val="24"/>
              </w:rPr>
            </w:pPr>
            <w:r>
              <w:rPr>
                <w:spacing w:val="-5"/>
                <w:sz w:val="24"/>
              </w:rPr>
              <w:t>17</w:t>
            </w:r>
          </w:p>
        </w:tc>
      </w:tr>
      <w:tr>
        <w:trPr>
          <w:trHeight w:val="459" w:hRule="atLeast"/>
        </w:trPr>
        <w:tc>
          <w:tcPr>
            <w:tcW w:w="444" w:type="dxa"/>
          </w:tcPr>
          <w:p>
            <w:pPr>
              <w:pStyle w:val="TableParagraph"/>
              <w:spacing w:before="87"/>
              <w:ind w:left="50"/>
              <w:jc w:val="left"/>
              <w:rPr>
                <w:sz w:val="24"/>
              </w:rPr>
            </w:pPr>
            <w:hyperlink w:history="true" w:anchor="_bookmark11">
              <w:r>
                <w:rPr>
                  <w:spacing w:val="-5"/>
                  <w:sz w:val="24"/>
                </w:rPr>
                <w:t>1.2</w:t>
              </w:r>
            </w:hyperlink>
          </w:p>
        </w:tc>
        <w:tc>
          <w:tcPr>
            <w:tcW w:w="8300" w:type="dxa"/>
          </w:tcPr>
          <w:p>
            <w:pPr>
              <w:pStyle w:val="TableParagraph"/>
              <w:spacing w:before="87"/>
              <w:ind w:left="155"/>
              <w:jc w:val="left"/>
              <w:rPr>
                <w:sz w:val="24"/>
              </w:rPr>
            </w:pPr>
            <w:hyperlink w:history="true" w:anchor="_bookmark11">
              <w:r>
                <w:rPr>
                  <w:sz w:val="24"/>
                </w:rPr>
                <w:t>Supplementary</w:t>
              </w:r>
              <w:r>
                <w:rPr>
                  <w:spacing w:val="21"/>
                  <w:sz w:val="24"/>
                </w:rPr>
                <w:t> </w:t>
              </w:r>
              <w:r>
                <w:rPr>
                  <w:sz w:val="24"/>
                </w:rPr>
                <w:t>extension</w:t>
              </w:r>
              <w:r>
                <w:rPr>
                  <w:spacing w:val="22"/>
                  <w:sz w:val="24"/>
                </w:rPr>
                <w:t> </w:t>
              </w:r>
              <w:r>
                <w:rPr>
                  <w:sz w:val="24"/>
                </w:rPr>
                <w:t>added</w:t>
              </w:r>
              <w:r>
                <w:rPr>
                  <w:spacing w:val="22"/>
                  <w:sz w:val="24"/>
                </w:rPr>
                <w:t> </w:t>
              </w:r>
              <w:r>
                <w:rPr>
                  <w:sz w:val="24"/>
                </w:rPr>
                <w:t>during</w:t>
              </w:r>
              <w:r>
                <w:rPr>
                  <w:spacing w:val="22"/>
                  <w:sz w:val="24"/>
                </w:rPr>
                <w:t> </w:t>
              </w:r>
              <w:r>
                <w:rPr>
                  <w:sz w:val="24"/>
                </w:rPr>
                <w:t>empirical</w:t>
              </w:r>
              <w:r>
                <w:rPr>
                  <w:spacing w:val="21"/>
                  <w:sz w:val="24"/>
                </w:rPr>
                <w:t> </w:t>
              </w:r>
              <w:r>
                <w:rPr>
                  <w:sz w:val="24"/>
                </w:rPr>
                <w:t>work</w:t>
              </w:r>
              <w:r>
                <w:rPr>
                  <w:spacing w:val="22"/>
                  <w:sz w:val="24"/>
                </w:rPr>
                <w:t> </w:t>
              </w:r>
              <w:r>
                <w:rPr>
                  <w:sz w:val="24"/>
                </w:rPr>
                <w:t>(not</w:t>
              </w:r>
              <w:r>
                <w:rPr>
                  <w:spacing w:val="22"/>
                  <w:sz w:val="24"/>
                </w:rPr>
                <w:t> </w:t>
              </w:r>
              <w:r>
                <w:rPr>
                  <w:sz w:val="24"/>
                </w:rPr>
                <w:t>part</w:t>
              </w:r>
              <w:r>
                <w:rPr>
                  <w:spacing w:val="22"/>
                  <w:sz w:val="24"/>
                </w:rPr>
                <w:t> </w:t>
              </w:r>
              <w:r>
                <w:rPr>
                  <w:sz w:val="24"/>
                </w:rPr>
                <w:t>of</w:t>
              </w:r>
              <w:r>
                <w:rPr>
                  <w:spacing w:val="21"/>
                  <w:sz w:val="24"/>
                </w:rPr>
                <w:t> </w:t>
              </w:r>
              <w:r>
                <w:rPr>
                  <w:sz w:val="24"/>
                </w:rPr>
                <w:t>the</w:t>
              </w:r>
              <w:r>
                <w:rPr>
                  <w:spacing w:val="22"/>
                  <w:sz w:val="24"/>
                </w:rPr>
                <w:t> </w:t>
              </w:r>
              <w:r>
                <w:rPr>
                  <w:spacing w:val="-2"/>
                  <w:sz w:val="24"/>
                </w:rPr>
                <w:t>primary</w:t>
              </w:r>
            </w:hyperlink>
          </w:p>
          <w:p>
            <w:pPr>
              <w:pStyle w:val="TableParagraph"/>
              <w:spacing w:before="87"/>
              <w:ind w:left="155"/>
              <w:jc w:val="left"/>
              <w:rPr>
                <w:sz w:val="24"/>
              </w:rPr>
            </w:pPr>
            <w:r>
              <w:rPr>
                <w:i/>
              </w:rPr>
              <w:t>실증적 작업 중에 추가된 보충 확장(기본 작업의 일부가 아님)</w:t>
            </w:r>
          </w:p>
        </w:tc>
        <w:tc>
          <w:tcPr>
            <w:tcW w:w="355" w:type="dxa"/>
          </w:tcPr>
          <w:p>
            <w:pPr>
              <w:pStyle w:val="TableParagraph"/>
              <w:spacing w:before="0"/>
              <w:jc w:val="left"/>
              <w:rPr>
                <w:sz w:val="24"/>
              </w:rPr>
            </w:pPr>
          </w:p>
        </w:tc>
      </w:tr>
      <w:tr>
        <w:trPr>
          <w:trHeight w:val="463" w:hRule="atLeast"/>
        </w:trPr>
        <w:tc>
          <w:tcPr>
            <w:tcW w:w="444" w:type="dxa"/>
          </w:tcPr>
          <w:p>
            <w:pPr>
              <w:pStyle w:val="TableParagraph"/>
              <w:spacing w:before="0"/>
              <w:jc w:val="left"/>
              <w:rPr>
                <w:sz w:val="24"/>
              </w:rPr>
            </w:pPr>
          </w:p>
        </w:tc>
        <w:tc>
          <w:tcPr>
            <w:tcW w:w="8300" w:type="dxa"/>
          </w:tcPr>
          <w:p>
            <w:pPr>
              <w:pStyle w:val="TableParagraph"/>
              <w:tabs>
                <w:tab w:pos="4148" w:val="left" w:leader="none"/>
              </w:tabs>
              <w:spacing w:before="85"/>
              <w:ind w:left="155"/>
              <w:jc w:val="left"/>
              <w:rPr>
                <w:sz w:val="24"/>
              </w:rPr>
            </w:pPr>
            <w:hyperlink w:history="true" w:anchor="_bookmark11">
              <w:r>
                <w:rPr>
                  <w:spacing w:val="-2"/>
                  <w:sz w:val="24"/>
                </w:rPr>
                <w:t>EndorseRank–AWP</w:t>
              </w:r>
              <w:r>
                <w:rPr>
                  <w:spacing w:val="-9"/>
                  <w:sz w:val="24"/>
                </w:rPr>
                <w:t> </w:t>
              </w:r>
              <w:r>
                <w:rPr>
                  <w:spacing w:val="-2"/>
                  <w:sz w:val="24"/>
                </w:rPr>
                <w:t>research</w:t>
              </w:r>
              <w:r>
                <w:rPr>
                  <w:spacing w:val="-8"/>
                  <w:sz w:val="24"/>
                </w:rPr>
                <w:t> </w:t>
              </w:r>
              <w:r>
                <w:rPr>
                  <w:spacing w:val="-2"/>
                  <w:sz w:val="24"/>
                </w:rPr>
                <w:t>question).</w:t>
              </w:r>
            </w:hyperlink>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p>
            <w:pPr>
              <w:pStyle w:val="TableParagraph"/>
              <w:tabs>
                <w:tab w:pos="4148" w:val="left" w:leader="none"/>
              </w:tabs>
              <w:spacing w:before="85"/>
              <w:ind w:left="155"/>
              <w:jc w:val="left"/>
              <w:rPr>
                <w:sz w:val="24"/>
              </w:rPr>
            </w:pPr>
            <w:r>
              <w:rPr>
                <w:i/>
              </w:rPr>
              <w:t>EndorseRank–AWP 연구 질문).</w:t>
              <w:tab/>
              <w:t>. . . . . . . . . . . . . . . . . . . . . . .</w:t>
            </w:r>
          </w:p>
        </w:tc>
        <w:tc>
          <w:tcPr>
            <w:tcW w:w="355" w:type="dxa"/>
          </w:tcPr>
          <w:p>
            <w:pPr>
              <w:pStyle w:val="TableParagraph"/>
              <w:spacing w:before="85"/>
              <w:ind w:left="22" w:right="8"/>
              <w:rPr>
                <w:sz w:val="24"/>
              </w:rPr>
            </w:pPr>
            <w:r>
              <w:rPr>
                <w:spacing w:val="-5"/>
                <w:sz w:val="24"/>
              </w:rPr>
              <w:t>19</w:t>
            </w:r>
          </w:p>
        </w:tc>
      </w:tr>
      <w:tr>
        <w:trPr>
          <w:trHeight w:val="569" w:hRule="atLeast"/>
        </w:trPr>
        <w:tc>
          <w:tcPr>
            <w:tcW w:w="444" w:type="dxa"/>
          </w:tcPr>
          <w:p>
            <w:pPr>
              <w:pStyle w:val="TableParagraph"/>
              <w:spacing w:before="91"/>
              <w:ind w:left="50"/>
              <w:jc w:val="left"/>
              <w:rPr>
                <w:sz w:val="24"/>
              </w:rPr>
            </w:pPr>
            <w:hyperlink w:history="true" w:anchor="_bookmark13">
              <w:r>
                <w:rPr>
                  <w:spacing w:val="-5"/>
                  <w:sz w:val="24"/>
                </w:rPr>
                <w:t>1.3</w:t>
              </w:r>
            </w:hyperlink>
          </w:p>
        </w:tc>
        <w:tc>
          <w:tcPr>
            <w:tcW w:w="8300" w:type="dxa"/>
          </w:tcPr>
          <w:p>
            <w:pPr>
              <w:pStyle w:val="TableParagraph"/>
              <w:spacing w:before="91"/>
              <w:ind w:left="155"/>
              <w:jc w:val="left"/>
              <w:rPr>
                <w:sz w:val="24"/>
              </w:rPr>
            </w:pPr>
            <w:hyperlink w:history="true" w:anchor="_bookmark13">
              <w:r>
                <w:rPr>
                  <w:sz w:val="24"/>
                </w:rPr>
                <w:t>Summary</w:t>
              </w:r>
              <w:r>
                <w:rPr>
                  <w:spacing w:val="-4"/>
                  <w:sz w:val="24"/>
                </w:rPr>
                <w:t> </w:t>
              </w:r>
              <w:r>
                <w:rPr>
                  <w:sz w:val="24"/>
                </w:rPr>
                <w:t>of</w:t>
              </w:r>
              <w:r>
                <w:rPr>
                  <w:spacing w:val="-4"/>
                  <w:sz w:val="24"/>
                </w:rPr>
                <w:t> </w:t>
              </w:r>
              <w:r>
                <w:rPr>
                  <w:sz w:val="24"/>
                </w:rPr>
                <w:t>hypotheses,</w:t>
              </w:r>
              <w:r>
                <w:rPr>
                  <w:spacing w:val="-3"/>
                  <w:sz w:val="24"/>
                </w:rPr>
                <w:t> </w:t>
              </w:r>
              <w:r>
                <w:rPr>
                  <w:sz w:val="24"/>
                </w:rPr>
                <w:t>research</w:t>
              </w:r>
              <w:r>
                <w:rPr>
                  <w:spacing w:val="-4"/>
                  <w:sz w:val="24"/>
                </w:rPr>
                <w:t> </w:t>
              </w:r>
              <w:r>
                <w:rPr>
                  <w:sz w:val="24"/>
                </w:rPr>
                <w:t>questions,</w:t>
              </w:r>
              <w:r>
                <w:rPr>
                  <w:spacing w:val="-3"/>
                  <w:sz w:val="24"/>
                </w:rPr>
                <w:t> </w:t>
              </w:r>
              <w:r>
                <w:rPr>
                  <w:sz w:val="24"/>
                </w:rPr>
                <w:t>and</w:t>
              </w:r>
              <w:r>
                <w:rPr>
                  <w:spacing w:val="-4"/>
                  <w:sz w:val="24"/>
                </w:rPr>
                <w:t> </w:t>
              </w:r>
              <w:r>
                <w:rPr>
                  <w:sz w:val="24"/>
                </w:rPr>
                <w:t>empirical</w:t>
              </w:r>
              <w:r>
                <w:rPr>
                  <w:spacing w:val="-3"/>
                  <w:sz w:val="24"/>
                </w:rPr>
                <w:t> </w:t>
              </w:r>
              <w:r>
                <w:rPr>
                  <w:sz w:val="24"/>
                </w:rPr>
                <w:t>claims.</w:t>
              </w:r>
            </w:hyperlink>
            <w:r>
              <w:rPr>
                <w:spacing w:val="76"/>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pacing w:val="-10"/>
                <w:sz w:val="24"/>
              </w:rPr>
              <w:t>.</w:t>
            </w:r>
          </w:p>
          <w:p>
            <w:pPr>
              <w:pStyle w:val="TableParagraph"/>
              <w:spacing w:before="91"/>
              <w:ind w:left="155"/>
              <w:jc w:val="left"/>
              <w:rPr>
                <w:sz w:val="24"/>
              </w:rPr>
            </w:pPr>
            <w:r>
              <w:rPr>
                <w:i/>
              </w:rPr>
              <w:t>가설, 연구 질문, 경험적 주장의 요약입니다. . . . . . . . . .</w:t>
            </w:r>
          </w:p>
        </w:tc>
        <w:tc>
          <w:tcPr>
            <w:tcW w:w="355" w:type="dxa"/>
          </w:tcPr>
          <w:p>
            <w:pPr>
              <w:pStyle w:val="TableParagraph"/>
              <w:spacing w:before="91"/>
              <w:ind w:left="22" w:right="8"/>
              <w:rPr>
                <w:sz w:val="24"/>
              </w:rPr>
            </w:pPr>
            <w:r>
              <w:rPr>
                <w:spacing w:val="-5"/>
                <w:sz w:val="24"/>
              </w:rPr>
              <w:t>20</w:t>
            </w:r>
          </w:p>
        </w:tc>
      </w:tr>
      <w:tr>
        <w:trPr>
          <w:trHeight w:val="669" w:hRule="atLeast"/>
        </w:trPr>
        <w:tc>
          <w:tcPr>
            <w:tcW w:w="444" w:type="dxa"/>
          </w:tcPr>
          <w:p>
            <w:pPr>
              <w:pStyle w:val="TableParagraph"/>
              <w:spacing w:before="191"/>
              <w:ind w:left="50"/>
              <w:jc w:val="left"/>
              <w:rPr>
                <w:sz w:val="24"/>
              </w:rPr>
            </w:pPr>
            <w:hyperlink w:history="true" w:anchor="_bookmark46">
              <w:r>
                <w:rPr>
                  <w:spacing w:val="-5"/>
                  <w:sz w:val="24"/>
                </w:rPr>
                <w:t>2.1</w:t>
              </w:r>
            </w:hyperlink>
          </w:p>
        </w:tc>
        <w:tc>
          <w:tcPr>
            <w:tcW w:w="8300" w:type="dxa"/>
          </w:tcPr>
          <w:p>
            <w:pPr>
              <w:pStyle w:val="TableParagraph"/>
              <w:spacing w:before="191"/>
              <w:ind w:left="155"/>
              <w:jc w:val="left"/>
              <w:rPr>
                <w:sz w:val="24"/>
              </w:rPr>
            </w:pPr>
            <w:hyperlink w:history="true" w:anchor="_bookmark46">
              <w:r>
                <w:rPr>
                  <w:sz w:val="24"/>
                </w:rPr>
                <w:t>Comparison</w:t>
              </w:r>
              <w:r>
                <w:rPr>
                  <w:spacing w:val="-4"/>
                  <w:sz w:val="24"/>
                </w:rPr>
                <w:t> </w:t>
              </w:r>
              <w:r>
                <w:rPr>
                  <w:sz w:val="24"/>
                </w:rPr>
                <w:t>of</w:t>
              </w:r>
              <w:r>
                <w:rPr>
                  <w:spacing w:val="-4"/>
                  <w:sz w:val="24"/>
                </w:rPr>
                <w:t> </w:t>
              </w:r>
              <w:r>
                <w:rPr>
                  <w:sz w:val="24"/>
                </w:rPr>
                <w:t>selected</w:t>
              </w:r>
              <w:r>
                <w:rPr>
                  <w:spacing w:val="-3"/>
                  <w:sz w:val="24"/>
                </w:rPr>
                <w:t> </w:t>
              </w:r>
              <w:r>
                <w:rPr>
                  <w:sz w:val="24"/>
                </w:rPr>
                <w:t>graph</w:t>
              </w:r>
              <w:r>
                <w:rPr>
                  <w:spacing w:val="-4"/>
                  <w:sz w:val="24"/>
                </w:rPr>
                <w:t> </w:t>
              </w:r>
              <w:r>
                <w:rPr>
                  <w:sz w:val="24"/>
                </w:rPr>
                <w:t>reputation</w:t>
              </w:r>
              <w:r>
                <w:rPr>
                  <w:spacing w:val="-3"/>
                  <w:sz w:val="24"/>
                </w:rPr>
                <w:t> </w:t>
              </w:r>
              <w:r>
                <w:rPr>
                  <w:sz w:val="24"/>
                </w:rPr>
                <w:t>methods</w:t>
              </w:r>
              <w:r>
                <w:rPr>
                  <w:spacing w:val="-4"/>
                  <w:sz w:val="24"/>
                </w:rPr>
                <w:t> </w:t>
              </w:r>
              <w:r>
                <w:rPr>
                  <w:sz w:val="24"/>
                </w:rPr>
                <w:t>(conceptual).</w:t>
              </w:r>
            </w:hyperlink>
            <w:r>
              <w:rPr>
                <w:spacing w:val="6"/>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4"/>
                <w:sz w:val="24"/>
              </w:rPr>
              <w:t> </w:t>
            </w:r>
            <w:r>
              <w:rPr>
                <w:sz w:val="24"/>
              </w:rPr>
              <w:t>.</w:t>
            </w:r>
            <w:r>
              <w:rPr>
                <w:spacing w:val="53"/>
                <w:sz w:val="24"/>
              </w:rPr>
              <w:t> </w:t>
            </w:r>
            <w:r>
              <w:rPr>
                <w:sz w:val="24"/>
              </w:rPr>
              <w:t>.</w:t>
            </w:r>
            <w:r>
              <w:rPr>
                <w:spacing w:val="54"/>
                <w:sz w:val="24"/>
              </w:rPr>
              <w:t> </w:t>
            </w:r>
            <w:r>
              <w:rPr>
                <w:sz w:val="24"/>
              </w:rPr>
              <w:t>.</w:t>
            </w:r>
            <w:r>
              <w:rPr>
                <w:spacing w:val="54"/>
                <w:sz w:val="24"/>
              </w:rPr>
              <w:t> </w:t>
            </w:r>
            <w:r>
              <w:rPr>
                <w:sz w:val="24"/>
              </w:rPr>
              <w:t>.</w:t>
            </w:r>
            <w:r>
              <w:rPr>
                <w:spacing w:val="54"/>
                <w:sz w:val="24"/>
              </w:rPr>
              <w:t> </w:t>
            </w:r>
            <w:r>
              <w:rPr>
                <w:spacing w:val="-10"/>
                <w:sz w:val="24"/>
              </w:rPr>
              <w:t>.</w:t>
            </w:r>
          </w:p>
          <w:p>
            <w:pPr>
              <w:pStyle w:val="TableParagraph"/>
              <w:spacing w:before="191"/>
              <w:ind w:left="155"/>
              <w:jc w:val="left"/>
              <w:rPr>
                <w:sz w:val="24"/>
              </w:rPr>
            </w:pPr>
            <w:r>
              <w:rPr>
                <w:i/>
              </w:rPr>
              <w:t>선택된 그래프 평판 방법의 비교(개념적) . . . . . . . . . . .</w:t>
            </w:r>
          </w:p>
        </w:tc>
        <w:tc>
          <w:tcPr>
            <w:tcW w:w="355" w:type="dxa"/>
          </w:tcPr>
          <w:p>
            <w:pPr>
              <w:pStyle w:val="TableParagraph"/>
              <w:spacing w:before="191"/>
              <w:ind w:left="22" w:right="8"/>
              <w:rPr>
                <w:sz w:val="24"/>
              </w:rPr>
            </w:pPr>
            <w:r>
              <w:rPr>
                <w:spacing w:val="-5"/>
                <w:sz w:val="24"/>
              </w:rPr>
              <w:t>40</w:t>
            </w:r>
          </w:p>
        </w:tc>
      </w:tr>
      <w:tr>
        <w:trPr>
          <w:trHeight w:val="669" w:hRule="atLeast"/>
        </w:trPr>
        <w:tc>
          <w:tcPr>
            <w:tcW w:w="444" w:type="dxa"/>
          </w:tcPr>
          <w:p>
            <w:pPr>
              <w:pStyle w:val="TableParagraph"/>
              <w:spacing w:before="191"/>
              <w:ind w:left="50"/>
              <w:jc w:val="left"/>
              <w:rPr>
                <w:sz w:val="24"/>
              </w:rPr>
            </w:pPr>
            <w:hyperlink w:history="true" w:anchor="_bookmark51">
              <w:r>
                <w:rPr>
                  <w:spacing w:val="-5"/>
                  <w:sz w:val="24"/>
                </w:rPr>
                <w:t>3.1</w:t>
              </w:r>
            </w:hyperlink>
          </w:p>
        </w:tc>
        <w:tc>
          <w:tcPr>
            <w:tcW w:w="8300" w:type="dxa"/>
          </w:tcPr>
          <w:p>
            <w:pPr>
              <w:pStyle w:val="TableParagraph"/>
              <w:tabs>
                <w:tab w:pos="5404" w:val="left" w:leader="none"/>
              </w:tabs>
              <w:spacing w:before="191"/>
              <w:ind w:left="155"/>
              <w:jc w:val="left"/>
              <w:rPr>
                <w:sz w:val="24"/>
              </w:rPr>
            </w:pPr>
            <w:hyperlink w:history="true" w:anchor="_bookmark51">
              <w:r>
                <w:rPr>
                  <w:sz w:val="24"/>
                </w:rPr>
                <w:t>Notation</w:t>
              </w:r>
              <w:r>
                <w:rPr>
                  <w:spacing w:val="-7"/>
                  <w:sz w:val="24"/>
                </w:rPr>
                <w:t> </w:t>
              </w:r>
              <w:r>
                <w:rPr>
                  <w:sz w:val="24"/>
                </w:rPr>
                <w:t>for</w:t>
              </w:r>
              <w:r>
                <w:rPr>
                  <w:spacing w:val="-7"/>
                  <w:sz w:val="24"/>
                </w:rPr>
                <w:t> </w:t>
              </w:r>
              <w:r>
                <w:rPr>
                  <w:sz w:val="24"/>
                </w:rPr>
                <w:t>graphs,</w:t>
              </w:r>
              <w:r>
                <w:rPr>
                  <w:spacing w:val="-7"/>
                  <w:sz w:val="24"/>
                </w:rPr>
                <w:t> </w:t>
              </w:r>
              <w:r>
                <w:rPr>
                  <w:sz w:val="24"/>
                </w:rPr>
                <w:t>scores,</w:t>
              </w:r>
              <w:r>
                <w:rPr>
                  <w:spacing w:val="-7"/>
                  <w:sz w:val="24"/>
                </w:rPr>
                <w:t> </w:t>
              </w:r>
              <w:r>
                <w:rPr>
                  <w:sz w:val="24"/>
                </w:rPr>
                <w:t>proxies,</w:t>
              </w:r>
              <w:r>
                <w:rPr>
                  <w:spacing w:val="-7"/>
                  <w:sz w:val="24"/>
                </w:rPr>
                <w:t> </w:t>
              </w:r>
              <w:r>
                <w:rPr>
                  <w:sz w:val="24"/>
                </w:rPr>
                <w:t>and</w:t>
              </w:r>
              <w:r>
                <w:rPr>
                  <w:spacing w:val="-7"/>
                  <w:sz w:val="24"/>
                </w:rPr>
                <w:t> </w:t>
              </w:r>
              <w:r>
                <w:rPr>
                  <w:spacing w:val="-2"/>
                  <w:sz w:val="24"/>
                </w:rPr>
                <w:t>parameters.</w:t>
              </w:r>
            </w:hyperlink>
            <w:r>
              <w:rPr>
                <w:sz w:val="24"/>
              </w:rPr>
              <w:tab/>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p>
            <w:pPr>
              <w:pStyle w:val="TableParagraph"/>
              <w:tabs>
                <w:tab w:pos="5404" w:val="left" w:leader="none"/>
              </w:tabs>
              <w:spacing w:before="191"/>
              <w:ind w:left="155"/>
              <w:jc w:val="left"/>
              <w:rPr>
                <w:sz w:val="24"/>
              </w:rPr>
            </w:pPr>
            <w:r>
              <w:rPr>
                <w:i/>
              </w:rPr>
              <w:t>그래프, 점수, 프록시 및 매개변수에 대한 표기법입니다.</w:t>
              <w:tab/>
              <w:t>. . . . . . . . . . . . . . . .</w:t>
            </w:r>
          </w:p>
        </w:tc>
        <w:tc>
          <w:tcPr>
            <w:tcW w:w="355" w:type="dxa"/>
          </w:tcPr>
          <w:p>
            <w:pPr>
              <w:pStyle w:val="TableParagraph"/>
              <w:spacing w:before="191"/>
              <w:ind w:left="22" w:right="8"/>
              <w:rPr>
                <w:sz w:val="24"/>
              </w:rPr>
            </w:pPr>
            <w:r>
              <w:rPr>
                <w:spacing w:val="-5"/>
                <w:sz w:val="24"/>
              </w:rPr>
              <w:t>44</w:t>
            </w:r>
          </w:p>
        </w:tc>
      </w:tr>
      <w:tr>
        <w:trPr>
          <w:trHeight w:val="567" w:hRule="atLeast"/>
        </w:trPr>
        <w:tc>
          <w:tcPr>
            <w:tcW w:w="444" w:type="dxa"/>
          </w:tcPr>
          <w:p>
            <w:pPr>
              <w:pStyle w:val="TableParagraph"/>
              <w:spacing w:before="191"/>
              <w:ind w:left="50"/>
              <w:jc w:val="left"/>
              <w:rPr>
                <w:sz w:val="24"/>
              </w:rPr>
            </w:pPr>
            <w:hyperlink w:history="true" w:anchor="_bookmark86">
              <w:r>
                <w:rPr>
                  <w:spacing w:val="-5"/>
                  <w:sz w:val="24"/>
                </w:rPr>
                <w:t>4.1</w:t>
              </w:r>
            </w:hyperlink>
          </w:p>
        </w:tc>
        <w:tc>
          <w:tcPr>
            <w:tcW w:w="8300" w:type="dxa"/>
          </w:tcPr>
          <w:p>
            <w:pPr>
              <w:pStyle w:val="TableParagraph"/>
              <w:spacing w:before="152"/>
              <w:ind w:left="155"/>
              <w:jc w:val="left"/>
              <w:rPr>
                <w:sz w:val="24"/>
              </w:rPr>
            </w:pPr>
            <w:hyperlink w:history="true" w:anchor="_bookmark86">
              <w:r>
                <w:rPr>
                  <w:sz w:val="24"/>
                </w:rPr>
                <w:t>Dataset</w:t>
              </w:r>
              <w:r>
                <w:rPr>
                  <w:spacing w:val="2"/>
                  <w:sz w:val="24"/>
                </w:rPr>
                <w:t> </w:t>
              </w:r>
              <w:r>
                <w:rPr>
                  <w:sz w:val="24"/>
                </w:rPr>
                <w:t>characteristics</w:t>
              </w:r>
              <w:r>
                <w:rPr>
                  <w:spacing w:val="3"/>
                  <w:sz w:val="24"/>
                </w:rPr>
                <w:t> </w:t>
              </w:r>
              <w:r>
                <w:rPr>
                  <w:sz w:val="24"/>
                </w:rPr>
                <w:t>for</w:t>
              </w:r>
              <w:r>
                <w:rPr>
                  <w:spacing w:val="2"/>
                  <w:sz w:val="24"/>
                </w:rPr>
                <w:t> </w:t>
              </w:r>
              <w:r>
                <w:rPr>
                  <w:sz w:val="24"/>
                </w:rPr>
                <w:t>the</w:t>
              </w:r>
              <w:r>
                <w:rPr>
                  <w:spacing w:val="3"/>
                  <w:sz w:val="24"/>
                </w:rPr>
                <w:t> </w:t>
              </w:r>
              <w:r>
                <w:rPr>
                  <w:sz w:val="24"/>
                </w:rPr>
                <w:t>matched</w:t>
              </w:r>
              <w:r>
                <w:rPr>
                  <w:spacing w:val="2"/>
                  <w:sz w:val="24"/>
                </w:rPr>
                <w:t> </w:t>
              </w:r>
              <w:r>
                <w:rPr>
                  <w:sz w:val="24"/>
                </w:rPr>
                <w:t>cohort</w:t>
              </w:r>
              <w:r>
                <w:rPr>
                  <w:spacing w:val="3"/>
                  <w:sz w:val="24"/>
                </w:rPr>
                <w:t> </w:t>
              </w:r>
              <w:r>
                <w:rPr>
                  <w:sz w:val="24"/>
                </w:rPr>
                <w:t>(</w:t>
              </w:r>
              <w:r>
                <w:rPr>
                  <w:rFonts w:ascii="Calibri" w:hAnsi="Calibri"/>
                  <w:i/>
                  <w:sz w:val="24"/>
                </w:rPr>
                <w:t>n</w:t>
              </w:r>
              <w:r>
                <w:rPr>
                  <w:rFonts w:ascii="Calibri" w:hAnsi="Calibri"/>
                  <w:i/>
                  <w:spacing w:val="20"/>
                  <w:sz w:val="24"/>
                </w:rPr>
                <w:t> </w:t>
              </w:r>
              <w:r>
                <w:rPr>
                  <w:rFonts w:ascii="Calibri" w:hAnsi="Calibri"/>
                  <w:sz w:val="24"/>
                </w:rPr>
                <w:t>=</w:t>
              </w:r>
              <w:r>
                <w:rPr>
                  <w:rFonts w:ascii="Calibri" w:hAnsi="Calibri"/>
                  <w:spacing w:val="20"/>
                  <w:sz w:val="24"/>
                </w:rPr>
                <w:t> </w:t>
              </w:r>
              <w:r>
                <w:rPr>
                  <w:rFonts w:ascii="Calibri" w:hAnsi="Calibri"/>
                  <w:sz w:val="24"/>
                </w:rPr>
                <w:t>5</w:t>
              </w:r>
              <w:r>
                <w:rPr>
                  <w:rFonts w:ascii="Calibri" w:hAnsi="Calibri"/>
                  <w:i/>
                  <w:sz w:val="24"/>
                </w:rPr>
                <w:t>,</w:t>
              </w:r>
              <w:r>
                <w:rPr>
                  <w:rFonts w:ascii="Calibri" w:hAnsi="Calibri"/>
                  <w:sz w:val="24"/>
                </w:rPr>
                <w:t>521</w:t>
              </w:r>
              <w:r>
                <w:rPr>
                  <w:rFonts w:ascii="Calibri" w:hAnsi="Calibri"/>
                  <w:spacing w:val="9"/>
                  <w:sz w:val="24"/>
                </w:rPr>
                <w:t> </w:t>
              </w:r>
              <w:r>
                <w:rPr>
                  <w:sz w:val="24"/>
                </w:rPr>
                <w:t>wallets</w:t>
              </w:r>
              <w:r>
                <w:rPr>
                  <w:spacing w:val="2"/>
                  <w:sz w:val="24"/>
                </w:rPr>
                <w:t> </w:t>
              </w:r>
              <w:r>
                <w:rPr>
                  <w:sz w:val="24"/>
                </w:rPr>
                <w:t>with</w:t>
              </w:r>
              <w:r>
                <w:rPr>
                  <w:spacing w:val="3"/>
                  <w:sz w:val="24"/>
                </w:rPr>
                <w:t> </w:t>
              </w:r>
              <w:r>
                <w:rPr>
                  <w:rFonts w:ascii="Lucida Sans Unicode" w:hAnsi="Lucida Sans Unicode"/>
                  <w:sz w:val="24"/>
                </w:rPr>
                <w:t>≥</w:t>
              </w:r>
              <w:r>
                <w:rPr>
                  <w:rFonts w:ascii="Lucida Sans Unicode" w:hAnsi="Lucida Sans Unicode"/>
                  <w:spacing w:val="-2"/>
                  <w:sz w:val="24"/>
                </w:rPr>
                <w:t> </w:t>
              </w:r>
              <w:r>
                <w:rPr>
                  <w:rFonts w:ascii="Calibri" w:hAnsi="Calibri"/>
                  <w:sz w:val="24"/>
                </w:rPr>
                <w:t>3</w:t>
              </w:r>
              <w:r>
                <w:rPr>
                  <w:rFonts w:ascii="Calibri" w:hAnsi="Calibri"/>
                  <w:spacing w:val="9"/>
                  <w:sz w:val="24"/>
                </w:rPr>
                <w:t> </w:t>
              </w:r>
              <w:r>
                <w:rPr>
                  <w:spacing w:val="-5"/>
                  <w:sz w:val="24"/>
                </w:rPr>
                <w:t>GMX</w:t>
              </w:r>
            </w:hyperlink>
          </w:p>
          <w:p>
            <w:pPr>
              <w:pStyle w:val="TableParagraph"/>
              <w:spacing w:before="152"/>
              <w:ind w:left="155"/>
              <w:jc w:val="left"/>
              <w:rPr>
                <w:sz w:val="24"/>
              </w:rPr>
            </w:pPr>
            <w:r>
              <w:rPr>
                <w:i/>
              </w:rPr>
              <w:t>일치하는 코호트에 대한 데이터세트 특성(n = ≥ 3 GMX인 지갑 5,521개)</w:t>
            </w:r>
          </w:p>
        </w:tc>
        <w:tc>
          <w:tcPr>
            <w:tcW w:w="355" w:type="dxa"/>
          </w:tcPr>
          <w:p>
            <w:pPr>
              <w:pStyle w:val="TableParagraph"/>
              <w:spacing w:before="0"/>
              <w:jc w:val="left"/>
              <w:rPr>
                <w:sz w:val="24"/>
              </w:rPr>
            </w:pPr>
          </w:p>
        </w:tc>
      </w:tr>
      <w:tr>
        <w:trPr>
          <w:trHeight w:val="459" w:hRule="atLeast"/>
        </w:trPr>
        <w:tc>
          <w:tcPr>
            <w:tcW w:w="444" w:type="dxa"/>
          </w:tcPr>
          <w:p>
            <w:pPr>
              <w:pStyle w:val="TableParagraph"/>
              <w:spacing w:before="0"/>
              <w:jc w:val="left"/>
              <w:rPr>
                <w:sz w:val="24"/>
              </w:rPr>
            </w:pPr>
          </w:p>
        </w:tc>
        <w:tc>
          <w:tcPr>
            <w:tcW w:w="8300" w:type="dxa"/>
          </w:tcPr>
          <w:p>
            <w:pPr>
              <w:pStyle w:val="TableParagraph"/>
              <w:spacing w:before="80"/>
              <w:ind w:left="155"/>
              <w:jc w:val="left"/>
              <w:rPr>
                <w:sz w:val="24"/>
              </w:rPr>
            </w:pPr>
            <w:hyperlink w:history="true" w:anchor="_bookmark86">
              <w:r>
                <w:rPr>
                  <w:sz w:val="24"/>
                </w:rPr>
                <w:t>closes</w:t>
              </w:r>
              <w:r>
                <w:rPr>
                  <w:spacing w:val="-3"/>
                  <w:sz w:val="24"/>
                </w:rPr>
                <w:t> </w:t>
              </w:r>
              <w:r>
                <w:rPr>
                  <w:sz w:val="24"/>
                </w:rPr>
                <w:t>and</w:t>
              </w:r>
              <w:r>
                <w:rPr>
                  <w:spacing w:val="-3"/>
                  <w:sz w:val="24"/>
                </w:rPr>
                <w:t> </w:t>
              </w:r>
              <w:r>
                <w:rPr>
                  <w:sz w:val="24"/>
                </w:rPr>
                <w:t>non-zero</w:t>
              </w:r>
              <w:r>
                <w:rPr>
                  <w:spacing w:val="-3"/>
                  <w:sz w:val="24"/>
                </w:rPr>
                <w:t> </w:t>
              </w:r>
              <w:r>
                <w:rPr>
                  <w:sz w:val="24"/>
                </w:rPr>
                <w:t>reputation-subgraph</w:t>
              </w:r>
              <w:r>
                <w:rPr>
                  <w:spacing w:val="-3"/>
                  <w:sz w:val="24"/>
                </w:rPr>
                <w:t> </w:t>
              </w:r>
              <w:r>
                <w:rPr>
                  <w:sz w:val="24"/>
                </w:rPr>
                <w:t>connectivity).</w:t>
              </w:r>
            </w:hyperlink>
            <w:r>
              <w:rPr>
                <w:spacing w:val="67"/>
                <w:w w:val="150"/>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z w:val="24"/>
              </w:rPr>
              <w:t>.</w:t>
            </w:r>
            <w:r>
              <w:rPr>
                <w:spacing w:val="55"/>
                <w:sz w:val="24"/>
              </w:rPr>
              <w:t> </w:t>
            </w:r>
            <w:r>
              <w:rPr>
                <w:sz w:val="24"/>
              </w:rPr>
              <w:t>.</w:t>
            </w:r>
            <w:r>
              <w:rPr>
                <w:spacing w:val="55"/>
                <w:sz w:val="24"/>
              </w:rPr>
              <w:t> </w:t>
            </w:r>
            <w:r>
              <w:rPr>
                <w:sz w:val="24"/>
              </w:rPr>
              <w:t>.</w:t>
            </w:r>
            <w:r>
              <w:rPr>
                <w:spacing w:val="56"/>
                <w:sz w:val="24"/>
              </w:rPr>
              <w:t> </w:t>
            </w:r>
            <w:r>
              <w:rPr>
                <w:spacing w:val="-10"/>
                <w:sz w:val="24"/>
              </w:rPr>
              <w:t>.</w:t>
            </w:r>
          </w:p>
          <w:p>
            <w:pPr>
              <w:pStyle w:val="TableParagraph"/>
              <w:spacing w:before="80"/>
              <w:ind w:left="155"/>
              <w:jc w:val="left"/>
              <w:rPr>
                <w:sz w:val="24"/>
              </w:rPr>
            </w:pPr>
            <w:r>
              <w:rPr>
                <w:i/>
              </w:rPr>
              <w:t>닫히고 0이 아닌 평판-하위 그래프 연결). . . . . . . . . . . . . . . .</w:t>
            </w:r>
          </w:p>
        </w:tc>
        <w:tc>
          <w:tcPr>
            <w:tcW w:w="355" w:type="dxa"/>
          </w:tcPr>
          <w:p>
            <w:pPr>
              <w:pStyle w:val="TableParagraph"/>
              <w:spacing w:before="80"/>
              <w:ind w:left="22" w:right="8"/>
              <w:rPr>
                <w:sz w:val="24"/>
              </w:rPr>
            </w:pPr>
            <w:r>
              <w:rPr>
                <w:spacing w:val="-5"/>
                <w:sz w:val="24"/>
              </w:rPr>
              <w:t>70</w:t>
            </w:r>
          </w:p>
        </w:tc>
      </w:tr>
      <w:tr>
        <w:trPr>
          <w:trHeight w:val="459" w:hRule="atLeast"/>
        </w:trPr>
        <w:tc>
          <w:tcPr>
            <w:tcW w:w="444" w:type="dxa"/>
          </w:tcPr>
          <w:p>
            <w:pPr>
              <w:pStyle w:val="TableParagraph"/>
              <w:spacing w:before="91"/>
              <w:ind w:left="50"/>
              <w:jc w:val="left"/>
              <w:rPr>
                <w:sz w:val="24"/>
              </w:rPr>
            </w:pPr>
            <w:hyperlink w:history="true" w:anchor="_bookmark91">
              <w:r>
                <w:rPr>
                  <w:spacing w:val="-5"/>
                  <w:sz w:val="24"/>
                </w:rPr>
                <w:t>4.2</w:t>
              </w:r>
            </w:hyperlink>
          </w:p>
        </w:tc>
        <w:tc>
          <w:tcPr>
            <w:tcW w:w="8300" w:type="dxa"/>
          </w:tcPr>
          <w:p>
            <w:pPr>
              <w:pStyle w:val="TableParagraph"/>
              <w:spacing w:before="87"/>
              <w:ind w:left="155"/>
              <w:jc w:val="left"/>
              <w:rPr>
                <w:sz w:val="24"/>
              </w:rPr>
            </w:pPr>
            <w:hyperlink w:history="true" w:anchor="_bookmark91">
              <w:r>
                <w:rPr>
                  <w:sz w:val="24"/>
                </w:rPr>
                <w:t>Computational</w:t>
              </w:r>
              <w:r>
                <w:rPr>
                  <w:spacing w:val="-2"/>
                  <w:sz w:val="24"/>
                </w:rPr>
                <w:t> </w:t>
              </w:r>
              <w:r>
                <w:rPr>
                  <w:sz w:val="24"/>
                </w:rPr>
                <w:t>benchmark</w:t>
              </w:r>
              <w:r>
                <w:rPr>
                  <w:spacing w:val="-2"/>
                  <w:sz w:val="24"/>
                </w:rPr>
                <w:t> </w:t>
              </w:r>
              <w:r>
                <w:rPr>
                  <w:sz w:val="24"/>
                </w:rPr>
                <w:t>on</w:t>
              </w:r>
              <w:r>
                <w:rPr>
                  <w:spacing w:val="-2"/>
                  <w:sz w:val="24"/>
                </w:rPr>
                <w:t> </w:t>
              </w:r>
              <w:r>
                <w:rPr>
                  <w:sz w:val="24"/>
                </w:rPr>
                <w:t>matched</w:t>
              </w:r>
              <w:r>
                <w:rPr>
                  <w:spacing w:val="-2"/>
                  <w:sz w:val="24"/>
                </w:rPr>
                <w:t> </w:t>
              </w:r>
              <w:r>
                <w:rPr>
                  <w:sz w:val="24"/>
                </w:rPr>
                <w:t>wallet</w:t>
              </w:r>
              <w:r>
                <w:rPr>
                  <w:spacing w:val="-2"/>
                  <w:sz w:val="24"/>
                </w:rPr>
                <w:t> </w:t>
              </w:r>
              <w:r>
                <w:rPr>
                  <w:sz w:val="24"/>
                </w:rPr>
                <w:t>cohort</w:t>
              </w:r>
              <w:r>
                <w:rPr>
                  <w:spacing w:val="-2"/>
                  <w:sz w:val="24"/>
                </w:rPr>
                <w:t> </w:t>
              </w:r>
              <w:r>
                <w:rPr>
                  <w:sz w:val="24"/>
                </w:rPr>
                <w:t>(</w:t>
              </w:r>
              <w:r>
                <w:rPr>
                  <w:rFonts w:ascii="Calibri"/>
                  <w:i/>
                  <w:sz w:val="24"/>
                </w:rPr>
                <w:t>n</w:t>
              </w:r>
              <w:r>
                <w:rPr>
                  <w:rFonts w:ascii="Calibri"/>
                  <w:i/>
                  <w:spacing w:val="-3"/>
                  <w:w w:val="125"/>
                  <w:sz w:val="24"/>
                </w:rPr>
                <w:t> </w:t>
              </w:r>
              <w:r>
                <w:rPr>
                  <w:rFonts w:ascii="Calibri"/>
                  <w:w w:val="125"/>
                  <w:sz w:val="24"/>
                </w:rPr>
                <w:t>=</w:t>
              </w:r>
              <w:r>
                <w:rPr>
                  <w:rFonts w:ascii="Calibri"/>
                  <w:spacing w:val="-4"/>
                  <w:w w:val="125"/>
                  <w:sz w:val="24"/>
                </w:rPr>
                <w:t> </w:t>
              </w:r>
              <w:r>
                <w:rPr>
                  <w:rFonts w:ascii="Calibri"/>
                  <w:sz w:val="24"/>
                </w:rPr>
                <w:t>5521</w:t>
              </w:r>
              <w:r>
                <w:rPr>
                  <w:sz w:val="24"/>
                </w:rPr>
                <w:t>).</w:t>
              </w:r>
            </w:hyperlink>
            <w:r>
              <w:rPr>
                <w:spacing w:val="35"/>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z w:val="24"/>
              </w:rPr>
              <w:t>.</w:t>
            </w:r>
            <w:r>
              <w:rPr>
                <w:spacing w:val="57"/>
                <w:sz w:val="24"/>
              </w:rPr>
              <w:t> </w:t>
            </w:r>
            <w:r>
              <w:rPr>
                <w:spacing w:val="-10"/>
                <w:sz w:val="24"/>
              </w:rPr>
              <w:t>.</w:t>
            </w:r>
          </w:p>
          <w:p>
            <w:pPr>
              <w:pStyle w:val="TableParagraph"/>
              <w:spacing w:before="87"/>
              <w:ind w:left="155"/>
              <w:jc w:val="left"/>
              <w:rPr>
                <w:sz w:val="24"/>
              </w:rPr>
            </w:pPr>
            <w:r>
              <w:rPr>
                <w:i/>
              </w:rPr>
              <w:t>일치하는 지갑 코호트(n = 5521)에 대한 계산 벤치마크. . . . . . . . . . .</w:t>
            </w:r>
          </w:p>
        </w:tc>
        <w:tc>
          <w:tcPr>
            <w:tcW w:w="355" w:type="dxa"/>
          </w:tcPr>
          <w:p>
            <w:pPr>
              <w:pStyle w:val="TableParagraph"/>
              <w:spacing w:before="91"/>
              <w:ind w:left="22" w:right="8"/>
              <w:rPr>
                <w:sz w:val="24"/>
              </w:rPr>
            </w:pPr>
            <w:r>
              <w:rPr>
                <w:spacing w:val="-5"/>
                <w:sz w:val="24"/>
              </w:rPr>
              <w:t>75</w:t>
            </w:r>
          </w:p>
        </w:tc>
      </w:tr>
      <w:tr>
        <w:trPr>
          <w:trHeight w:val="942" w:hRule="atLeast"/>
        </w:trPr>
        <w:tc>
          <w:tcPr>
            <w:tcW w:w="444" w:type="dxa"/>
          </w:tcPr>
          <w:p>
            <w:pPr>
              <w:pStyle w:val="TableParagraph"/>
              <w:spacing w:before="103"/>
              <w:ind w:left="50"/>
              <w:jc w:val="left"/>
              <w:rPr>
                <w:sz w:val="24"/>
              </w:rPr>
            </w:pPr>
            <w:hyperlink w:history="true" w:anchor="_bookmark93">
              <w:r>
                <w:rPr>
                  <w:spacing w:val="-5"/>
                  <w:sz w:val="24"/>
                </w:rPr>
                <w:t>4.3</w:t>
              </w:r>
            </w:hyperlink>
          </w:p>
        </w:tc>
        <w:tc>
          <w:tcPr>
            <w:tcW w:w="8300" w:type="dxa"/>
          </w:tcPr>
          <w:p>
            <w:pPr>
              <w:pStyle w:val="TableParagraph"/>
              <w:spacing w:before="98"/>
              <w:ind w:left="155"/>
              <w:jc w:val="left"/>
              <w:rPr>
                <w:rFonts w:ascii="Calibri" w:hAnsi="Calibri"/>
                <w:sz w:val="24"/>
              </w:rPr>
            </w:pPr>
            <w:hyperlink w:history="true" w:anchor="_bookmark93">
              <w:r>
                <w:rPr>
                  <w:sz w:val="24"/>
                </w:rPr>
                <w:t>Runtime</w:t>
              </w:r>
              <w:r>
                <w:rPr>
                  <w:spacing w:val="1"/>
                  <w:sz w:val="24"/>
                </w:rPr>
                <w:t> </w:t>
              </w:r>
              <w:r>
                <w:rPr>
                  <w:sz w:val="24"/>
                </w:rPr>
                <w:t>scaling</w:t>
              </w:r>
              <w:r>
                <w:rPr>
                  <w:spacing w:val="2"/>
                  <w:sz w:val="24"/>
                </w:rPr>
                <w:t> </w:t>
              </w:r>
              <w:r>
                <w:rPr>
                  <w:sz w:val="24"/>
                </w:rPr>
                <w:t>on</w:t>
              </w:r>
              <w:r>
                <w:rPr>
                  <w:spacing w:val="1"/>
                  <w:sz w:val="24"/>
                </w:rPr>
                <w:t> </w:t>
              </w:r>
              <w:r>
                <w:rPr>
                  <w:sz w:val="24"/>
                </w:rPr>
                <w:t>expanded</w:t>
              </w:r>
              <w:r>
                <w:rPr>
                  <w:spacing w:val="2"/>
                  <w:sz w:val="24"/>
                </w:rPr>
                <w:t> </w:t>
              </w:r>
              <w:r>
                <w:rPr>
                  <w:sz w:val="24"/>
                </w:rPr>
                <w:t>wallet</w:t>
              </w:r>
              <w:r>
                <w:rPr>
                  <w:spacing w:val="1"/>
                  <w:sz w:val="24"/>
                </w:rPr>
                <w:t> </w:t>
              </w:r>
              <w:r>
                <w:rPr>
                  <w:sz w:val="24"/>
                </w:rPr>
                <w:t>pool</w:t>
              </w:r>
              <w:r>
                <w:rPr>
                  <w:spacing w:val="2"/>
                  <w:sz w:val="24"/>
                </w:rPr>
                <w:t> </w:t>
              </w:r>
              <w:r>
                <w:rPr>
                  <w:sz w:val="24"/>
                </w:rPr>
                <w:t>(</w:t>
              </w:r>
              <w:r>
                <w:rPr>
                  <w:rFonts w:ascii="Calibri" w:hAnsi="Calibri"/>
                  <w:i/>
                  <w:sz w:val="24"/>
                </w:rPr>
                <w:t>N</w:t>
              </w:r>
              <w:r>
                <w:rPr>
                  <w:rFonts w:ascii="Calibri" w:hAnsi="Calibri"/>
                  <w:i/>
                  <w:spacing w:val="40"/>
                  <w:sz w:val="24"/>
                </w:rPr>
                <w:t> </w:t>
              </w:r>
              <w:r>
                <w:rPr>
                  <w:rFonts w:ascii="Calibri" w:hAnsi="Calibri"/>
                  <w:sz w:val="24"/>
                </w:rPr>
                <w:t>=</w:t>
              </w:r>
              <w:r>
                <w:rPr>
                  <w:rFonts w:ascii="Calibri" w:hAnsi="Calibri"/>
                  <w:spacing w:val="15"/>
                  <w:sz w:val="24"/>
                </w:rPr>
                <w:t> </w:t>
              </w:r>
              <w:r>
                <w:rPr>
                  <w:rFonts w:ascii="Calibri" w:hAnsi="Calibri"/>
                  <w:sz w:val="24"/>
                </w:rPr>
                <w:t>31612</w:t>
              </w:r>
              <w:r>
                <w:rPr>
                  <w:sz w:val="24"/>
                </w:rPr>
                <w:t>;</w:t>
              </w:r>
              <w:r>
                <w:rPr>
                  <w:spacing w:val="3"/>
                  <w:sz w:val="24"/>
                </w:rPr>
                <w:t> </w:t>
              </w:r>
              <w:r>
                <w:rPr>
                  <w:sz w:val="24"/>
                </w:rPr>
                <w:t>SHA256</w:t>
              </w:r>
              <w:r>
                <w:rPr>
                  <w:spacing w:val="1"/>
                  <w:sz w:val="24"/>
                </w:rPr>
                <w:t> </w:t>
              </w:r>
              <w:r>
                <w:rPr>
                  <w:sz w:val="24"/>
                </w:rPr>
                <w:t>seed</w:t>
              </w:r>
              <w:r>
                <w:rPr>
                  <w:spacing w:val="2"/>
                  <w:sz w:val="24"/>
                </w:rPr>
                <w:t> </w:t>
              </w:r>
              <w:r>
                <w:rPr>
                  <w:rFonts w:ascii="Calibri" w:hAnsi="Calibri"/>
                  <w:spacing w:val="-2"/>
                  <w:sz w:val="24"/>
                </w:rPr>
                <w:t>benchmark</w:t>
              </w:r>
            </w:hyperlink>
          </w:p>
          <w:p>
            <w:pPr>
              <w:pStyle w:val="TableParagraph"/>
              <w:spacing w:before="98"/>
              <w:ind w:left="155"/>
              <w:jc w:val="left"/>
              <w:rPr>
                <w:rFonts w:ascii="Calibri" w:hAnsi="Calibri"/>
                <w:sz w:val="24"/>
              </w:rPr>
            </w:pPr>
            <w:r>
              <w:rPr>
                <w:i/>
              </w:rPr>
              <w:t>확장된 지갑 풀의 런타임 확장(N = 31612, SHA256 시드 벤치마크)</w:t>
            </w:r>
          </w:p>
          <w:p>
            <w:pPr>
              <w:pStyle w:val="TableParagraph"/>
              <w:spacing w:before="164"/>
              <w:ind w:left="94"/>
              <w:jc w:val="left"/>
              <w:rPr>
                <w:sz w:val="24"/>
              </w:rPr>
            </w:pPr>
            <w:hyperlink w:history="true" w:anchor="_bookmark93">
              <w:r>
                <w:rPr>
                  <w:rFonts w:ascii="Calibri" w:hAnsi="Calibri"/>
                  <w:sz w:val="24"/>
                </w:rPr>
                <w:t>-tier2-v1</w:t>
              </w:r>
              <w:r>
                <w:rPr>
                  <w:sz w:val="24"/>
                </w:rPr>
                <w:t>).</w:t>
              </w:r>
              <w:r>
                <w:rPr>
                  <w:spacing w:val="79"/>
                  <w:sz w:val="24"/>
                </w:rPr>
                <w:t> </w:t>
              </w:r>
              <w:r>
                <w:rPr>
                  <w:sz w:val="24"/>
                </w:rPr>
                <w:t>Stages</w:t>
              </w:r>
              <w:r>
                <w:rPr>
                  <w:spacing w:val="29"/>
                  <w:sz w:val="24"/>
                </w:rPr>
                <w:t> </w:t>
              </w:r>
              <w:r>
                <w:rPr>
                  <w:sz w:val="24"/>
                </w:rPr>
                <w:t>subsample</w:t>
              </w:r>
              <w:r>
                <w:rPr>
                  <w:spacing w:val="30"/>
                  <w:sz w:val="24"/>
                </w:rPr>
                <w:t> </w:t>
              </w:r>
              <w:r>
                <w:rPr>
                  <w:sz w:val="24"/>
                </w:rPr>
                <w:t>the</w:t>
              </w:r>
              <w:r>
                <w:rPr>
                  <w:spacing w:val="30"/>
                  <w:sz w:val="24"/>
                </w:rPr>
                <w:t> </w:t>
              </w:r>
              <w:r>
                <w:rPr>
                  <w:sz w:val="24"/>
                </w:rPr>
                <w:t>extraction</w:t>
              </w:r>
              <w:r>
                <w:rPr>
                  <w:spacing w:val="29"/>
                  <w:sz w:val="24"/>
                </w:rPr>
                <w:t> </w:t>
              </w:r>
              <w:r>
                <w:rPr>
                  <w:sz w:val="24"/>
                </w:rPr>
                <w:t>wallet</w:t>
              </w:r>
              <w:r>
                <w:rPr>
                  <w:spacing w:val="30"/>
                  <w:sz w:val="24"/>
                </w:rPr>
                <w:t> </w:t>
              </w:r>
              <w:r>
                <w:rPr>
                  <w:sz w:val="24"/>
                </w:rPr>
                <w:t>set;</w:t>
              </w:r>
              <w:r>
                <w:rPr>
                  <w:spacing w:val="35"/>
                  <w:sz w:val="24"/>
                </w:rPr>
                <w:t> </w:t>
              </w:r>
              <w:r>
                <w:rPr>
                  <w:sz w:val="24"/>
                </w:rPr>
                <w:t>ER</w:t>
              </w:r>
              <w:r>
                <w:rPr>
                  <w:spacing w:val="30"/>
                  <w:sz w:val="24"/>
                </w:rPr>
                <w:t> </w:t>
              </w:r>
              <w:r>
                <w:rPr>
                  <w:sz w:val="24"/>
                </w:rPr>
                <w:t>speedup</w:t>
              </w:r>
              <w:r>
                <w:rPr>
                  <w:spacing w:val="29"/>
                  <w:sz w:val="24"/>
                </w:rPr>
                <w:t> </w:t>
              </w:r>
              <w:r>
                <w:rPr>
                  <w:sz w:val="24"/>
                </w:rPr>
                <w:t>=</w:t>
              </w:r>
              <w:r>
                <w:rPr>
                  <w:spacing w:val="30"/>
                  <w:sz w:val="24"/>
                </w:rPr>
                <w:t> </w:t>
              </w:r>
              <w:r>
                <w:rPr>
                  <w:spacing w:val="-2"/>
                  <w:sz w:val="24"/>
                </w:rPr>
                <w:t>AWP/ER</w:t>
              </w:r>
            </w:hyperlink>
          </w:p>
          <w:p>
            <w:pPr>
              <w:pStyle w:val="TableParagraph"/>
              <w:spacing w:before="164"/>
              <w:ind w:left="94"/>
              <w:jc w:val="left"/>
              <w:rPr>
                <w:sz w:val="24"/>
              </w:rPr>
            </w:pPr>
            <w:r>
              <w:rPr>
                <w:i/>
              </w:rPr>
              <w:t>-tier2-v1). 추출 지갑 세트를 서브샘플링하는 단계; ER 속도 향상 = AWP/ER</w:t>
            </w:r>
          </w:p>
        </w:tc>
        <w:tc>
          <w:tcPr>
            <w:tcW w:w="355" w:type="dxa"/>
          </w:tcPr>
          <w:p>
            <w:pPr>
              <w:pStyle w:val="TableParagraph"/>
              <w:spacing w:before="0"/>
              <w:jc w:val="left"/>
              <w:rPr>
                <w:sz w:val="24"/>
              </w:rPr>
            </w:pPr>
          </w:p>
        </w:tc>
      </w:tr>
      <w:tr>
        <w:trPr>
          <w:trHeight w:val="452" w:hRule="atLeast"/>
        </w:trPr>
        <w:tc>
          <w:tcPr>
            <w:tcW w:w="444" w:type="dxa"/>
          </w:tcPr>
          <w:p>
            <w:pPr>
              <w:pStyle w:val="TableParagraph"/>
              <w:spacing w:before="0"/>
              <w:jc w:val="left"/>
              <w:rPr>
                <w:sz w:val="24"/>
              </w:rPr>
            </w:pPr>
          </w:p>
        </w:tc>
        <w:tc>
          <w:tcPr>
            <w:tcW w:w="8300" w:type="dxa"/>
          </w:tcPr>
          <w:p>
            <w:pPr>
              <w:pStyle w:val="TableParagraph"/>
              <w:spacing w:before="73"/>
              <w:ind w:left="155"/>
              <w:jc w:val="left"/>
              <w:rPr>
                <w:sz w:val="24"/>
              </w:rPr>
            </w:pPr>
            <w:hyperlink w:history="true" w:anchor="_bookmark93">
              <w:r>
                <w:rPr>
                  <w:sz w:val="24"/>
                </w:rPr>
                <w:t>runtime</w:t>
              </w:r>
              <w:r>
                <w:rPr>
                  <w:spacing w:val="-2"/>
                  <w:sz w:val="24"/>
                </w:rPr>
                <w:t> </w:t>
              </w:r>
              <w:r>
                <w:rPr>
                  <w:sz w:val="24"/>
                </w:rPr>
                <w:t>ratio.</w:t>
              </w:r>
            </w:hyperlink>
            <w:r>
              <w:rPr>
                <w:spacing w:val="29"/>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z w:val="24"/>
              </w:rPr>
              <w:t>.</w:t>
            </w:r>
            <w:r>
              <w:rPr>
                <w:spacing w:val="58"/>
                <w:sz w:val="24"/>
              </w:rPr>
              <w:t> </w:t>
            </w:r>
            <w:r>
              <w:rPr>
                <w:spacing w:val="-10"/>
                <w:sz w:val="24"/>
              </w:rPr>
              <w:t>.</w:t>
            </w:r>
          </w:p>
          <w:p>
            <w:pPr>
              <w:pStyle w:val="TableParagraph"/>
              <w:spacing w:before="73"/>
              <w:ind w:left="155"/>
              <w:jc w:val="left"/>
              <w:rPr>
                <w:sz w:val="24"/>
              </w:rPr>
            </w:pPr>
            <w:r>
              <w:rPr>
                <w:i/>
              </w:rPr>
              <w:t>런타임 비율.  . . . . . . . . . . . . . . . . . . . . . . . . . . . . . . . . . . . . .</w:t>
            </w:r>
          </w:p>
        </w:tc>
        <w:tc>
          <w:tcPr>
            <w:tcW w:w="355" w:type="dxa"/>
          </w:tcPr>
          <w:p>
            <w:pPr>
              <w:pStyle w:val="TableParagraph"/>
              <w:spacing w:before="73"/>
              <w:ind w:left="22" w:right="8"/>
              <w:rPr>
                <w:sz w:val="24"/>
              </w:rPr>
            </w:pPr>
            <w:r>
              <w:rPr>
                <w:spacing w:val="-5"/>
                <w:sz w:val="24"/>
              </w:rPr>
              <w:t>77</w:t>
            </w:r>
          </w:p>
        </w:tc>
      </w:tr>
      <w:tr>
        <w:trPr>
          <w:trHeight w:val="467" w:hRule="atLeast"/>
        </w:trPr>
        <w:tc>
          <w:tcPr>
            <w:tcW w:w="444" w:type="dxa"/>
          </w:tcPr>
          <w:p>
            <w:pPr>
              <w:pStyle w:val="TableParagraph"/>
              <w:spacing w:before="91"/>
              <w:ind w:left="50"/>
              <w:jc w:val="left"/>
              <w:rPr>
                <w:sz w:val="24"/>
              </w:rPr>
            </w:pPr>
            <w:hyperlink w:history="true" w:anchor="_bookmark96">
              <w:r>
                <w:rPr>
                  <w:spacing w:val="-5"/>
                  <w:sz w:val="24"/>
                </w:rPr>
                <w:t>4.4</w:t>
              </w:r>
            </w:hyperlink>
          </w:p>
        </w:tc>
        <w:tc>
          <w:tcPr>
            <w:tcW w:w="8300" w:type="dxa"/>
          </w:tcPr>
          <w:p>
            <w:pPr>
              <w:pStyle w:val="TableParagraph"/>
              <w:spacing w:before="52"/>
              <w:ind w:left="155"/>
              <w:jc w:val="left"/>
              <w:rPr>
                <w:sz w:val="24"/>
              </w:rPr>
            </w:pPr>
            <w:hyperlink w:history="true" w:anchor="_bookmark96">
              <w:r>
                <w:rPr>
                  <w:sz w:val="24"/>
                </w:rPr>
                <w:t>Robustness:</w:t>
              </w:r>
              <w:r>
                <w:rPr>
                  <w:spacing w:val="27"/>
                  <w:sz w:val="24"/>
                </w:rPr>
                <w:t> </w:t>
              </w:r>
              <w:r>
                <w:rPr>
                  <w:sz w:val="24"/>
                </w:rPr>
                <w:t>mean</w:t>
              </w:r>
              <w:r>
                <w:rPr>
                  <w:spacing w:val="4"/>
                  <w:sz w:val="24"/>
                </w:rPr>
                <w:t> </w:t>
              </w:r>
              <w:r>
                <w:rPr>
                  <w:sz w:val="24"/>
                </w:rPr>
                <w:t>Kendall</w:t>
              </w:r>
              <w:r>
                <w:rPr>
                  <w:spacing w:val="4"/>
                  <w:sz w:val="24"/>
                </w:rPr>
                <w:t> </w:t>
              </w:r>
              <w:r>
                <w:rPr>
                  <w:rFonts w:ascii="Calibri" w:hAnsi="Calibri"/>
                  <w:i/>
                  <w:sz w:val="24"/>
                </w:rPr>
                <w:t>τ</w:t>
              </w:r>
              <w:r>
                <w:rPr>
                  <w:rFonts w:ascii="Calibri" w:hAnsi="Calibri"/>
                  <w:i/>
                  <w:spacing w:val="35"/>
                  <w:sz w:val="24"/>
                </w:rPr>
                <w:t> </w:t>
              </w:r>
              <w:r>
                <w:rPr>
                  <w:sz w:val="24"/>
                </w:rPr>
                <w:t>under</w:t>
              </w:r>
              <w:r>
                <w:rPr>
                  <w:spacing w:val="4"/>
                  <w:sz w:val="24"/>
                </w:rPr>
                <w:t> </w:t>
              </w:r>
              <w:r>
                <w:rPr>
                  <w:sz w:val="24"/>
                </w:rPr>
                <w:t>PageRank</w:t>
              </w:r>
              <w:r>
                <w:rPr>
                  <w:spacing w:val="4"/>
                  <w:sz w:val="24"/>
                </w:rPr>
                <w:t> </w:t>
              </w:r>
              <w:r>
                <w:rPr>
                  <w:sz w:val="24"/>
                </w:rPr>
                <w:t>damping</w:t>
              </w:r>
              <w:r>
                <w:rPr>
                  <w:spacing w:val="4"/>
                  <w:sz w:val="24"/>
                </w:rPr>
                <w:t> </w:t>
              </w:r>
              <w:r>
                <w:rPr>
                  <w:rFonts w:ascii="Calibri" w:hAnsi="Calibri"/>
                  <w:i/>
                  <w:sz w:val="24"/>
                </w:rPr>
                <w:t>d</w:t>
              </w:r>
              <w:r>
                <w:rPr>
                  <w:rFonts w:ascii="Calibri" w:hAnsi="Calibri"/>
                  <w:i/>
                  <w:spacing w:val="23"/>
                  <w:sz w:val="24"/>
                </w:rPr>
                <w:t> </w:t>
              </w:r>
              <w:r>
                <w:rPr>
                  <w:rFonts w:ascii="Lucida Sans Unicode" w:hAnsi="Lucida Sans Unicode"/>
                  <w:sz w:val="24"/>
                </w:rPr>
                <w:t>∈</w:t>
              </w:r>
              <w:r>
                <w:rPr>
                  <w:rFonts w:ascii="Lucida Sans Unicode" w:hAnsi="Lucida Sans Unicode"/>
                  <w:spacing w:val="2"/>
                  <w:sz w:val="24"/>
                </w:rPr>
                <w:t> </w:t>
              </w:r>
              <w:r>
                <w:rPr>
                  <w:rFonts w:ascii="Lucida Sans Unicode" w:hAnsi="Lucida Sans Unicode"/>
                  <w:sz w:val="24"/>
                </w:rPr>
                <w:t>{</w:t>
              </w:r>
              <w:r>
                <w:rPr>
                  <w:rFonts w:ascii="Calibri" w:hAnsi="Calibri"/>
                  <w:sz w:val="24"/>
                </w:rPr>
                <w:t>0</w:t>
              </w:r>
              <w:r>
                <w:rPr>
                  <w:rFonts w:ascii="Calibri" w:hAnsi="Calibri"/>
                  <w:i/>
                  <w:sz w:val="24"/>
                </w:rPr>
                <w:t>.</w:t>
              </w:r>
              <w:r>
                <w:rPr>
                  <w:rFonts w:ascii="Calibri" w:hAnsi="Calibri"/>
                  <w:sz w:val="24"/>
                </w:rPr>
                <w:t>75</w:t>
              </w:r>
              <w:r>
                <w:rPr>
                  <w:rFonts w:ascii="Calibri" w:hAnsi="Calibri"/>
                  <w:i/>
                  <w:sz w:val="24"/>
                </w:rPr>
                <w:t>,</w:t>
              </w:r>
              <w:r>
                <w:rPr>
                  <w:rFonts w:ascii="Calibri" w:hAnsi="Calibri"/>
                  <w:i/>
                  <w:spacing w:val="-15"/>
                  <w:sz w:val="24"/>
                </w:rPr>
                <w:t> </w:t>
              </w:r>
              <w:r>
                <w:rPr>
                  <w:rFonts w:ascii="Calibri" w:hAnsi="Calibri"/>
                  <w:sz w:val="24"/>
                </w:rPr>
                <w:t>0</w:t>
              </w:r>
              <w:r>
                <w:rPr>
                  <w:rFonts w:ascii="Calibri" w:hAnsi="Calibri"/>
                  <w:i/>
                  <w:sz w:val="24"/>
                </w:rPr>
                <w:t>.</w:t>
              </w:r>
              <w:r>
                <w:rPr>
                  <w:rFonts w:ascii="Calibri" w:hAnsi="Calibri"/>
                  <w:sz w:val="24"/>
                </w:rPr>
                <w:t>85</w:t>
              </w:r>
              <w:r>
                <w:rPr>
                  <w:rFonts w:ascii="Calibri" w:hAnsi="Calibri"/>
                  <w:i/>
                  <w:sz w:val="24"/>
                </w:rPr>
                <w:t>,</w:t>
              </w:r>
              <w:r>
                <w:rPr>
                  <w:rFonts w:ascii="Calibri" w:hAnsi="Calibri"/>
                  <w:i/>
                  <w:spacing w:val="-15"/>
                  <w:sz w:val="24"/>
                </w:rPr>
                <w:t> </w:t>
              </w:r>
              <w:r>
                <w:rPr>
                  <w:rFonts w:ascii="Calibri" w:hAnsi="Calibri"/>
                  <w:sz w:val="24"/>
                </w:rPr>
                <w:t>0</w:t>
              </w:r>
              <w:r>
                <w:rPr>
                  <w:rFonts w:ascii="Calibri" w:hAnsi="Calibri"/>
                  <w:i/>
                  <w:sz w:val="24"/>
                </w:rPr>
                <w:t>.</w:t>
              </w:r>
              <w:r>
                <w:rPr>
                  <w:rFonts w:ascii="Calibri" w:hAnsi="Calibri"/>
                  <w:sz w:val="24"/>
                </w:rPr>
                <w:t>95</w:t>
              </w:r>
              <w:r>
                <w:rPr>
                  <w:rFonts w:ascii="Lucida Sans Unicode" w:hAnsi="Lucida Sans Unicode"/>
                  <w:sz w:val="24"/>
                </w:rPr>
                <w:t>}</w:t>
              </w:r>
              <w:r>
                <w:rPr>
                  <w:rFonts w:ascii="Lucida Sans Unicode" w:hAnsi="Lucida Sans Unicode"/>
                  <w:spacing w:val="-13"/>
                  <w:sz w:val="24"/>
                </w:rPr>
                <w:t> </w:t>
              </w:r>
              <w:r>
                <w:rPr>
                  <w:spacing w:val="-5"/>
                  <w:sz w:val="24"/>
                </w:rPr>
                <w:t>on</w:t>
              </w:r>
            </w:hyperlink>
          </w:p>
          <w:p>
            <w:pPr>
              <w:pStyle w:val="TableParagraph"/>
              <w:spacing w:before="52"/>
              <w:ind w:left="155"/>
              <w:jc w:val="left"/>
              <w:rPr>
                <w:sz w:val="24"/>
              </w:rPr>
            </w:pPr>
            <w:r>
              <w:rPr>
                <w:i/>
              </w:rPr>
              <w:t>견고성: PageRank 감쇠 d ∈ {0.75, 0.85, 0.95} 아래에서 평균 Kendall τ</w:t>
            </w:r>
          </w:p>
        </w:tc>
        <w:tc>
          <w:tcPr>
            <w:tcW w:w="355" w:type="dxa"/>
          </w:tcPr>
          <w:p>
            <w:pPr>
              <w:pStyle w:val="TableParagraph"/>
              <w:spacing w:before="0"/>
              <w:jc w:val="left"/>
              <w:rPr>
                <w:sz w:val="24"/>
              </w:rPr>
            </w:pPr>
          </w:p>
        </w:tc>
      </w:tr>
      <w:tr>
        <w:trPr>
          <w:trHeight w:val="463" w:hRule="atLeast"/>
        </w:trPr>
        <w:tc>
          <w:tcPr>
            <w:tcW w:w="444" w:type="dxa"/>
          </w:tcPr>
          <w:p>
            <w:pPr>
              <w:pStyle w:val="TableParagraph"/>
              <w:spacing w:before="0"/>
              <w:jc w:val="left"/>
              <w:rPr>
                <w:sz w:val="24"/>
              </w:rPr>
            </w:pPr>
          </w:p>
        </w:tc>
        <w:tc>
          <w:tcPr>
            <w:tcW w:w="8300" w:type="dxa"/>
          </w:tcPr>
          <w:p>
            <w:pPr>
              <w:pStyle w:val="TableParagraph"/>
              <w:spacing w:before="76"/>
              <w:ind w:left="155"/>
              <w:jc w:val="left"/>
              <w:rPr>
                <w:sz w:val="24"/>
              </w:rPr>
            </w:pPr>
            <w:hyperlink w:history="true" w:anchor="_bookmark96">
              <w:r>
                <w:rPr>
                  <w:sz w:val="24"/>
                </w:rPr>
                <w:t>matched</w:t>
              </w:r>
              <w:r>
                <w:rPr>
                  <w:spacing w:val="-2"/>
                  <w:sz w:val="24"/>
                </w:rPr>
                <w:t> </w:t>
              </w:r>
              <w:r>
                <w:rPr>
                  <w:sz w:val="24"/>
                </w:rPr>
                <w:t>wallet</w:t>
              </w:r>
              <w:r>
                <w:rPr>
                  <w:spacing w:val="-1"/>
                  <w:sz w:val="24"/>
                </w:rPr>
                <w:t> </w:t>
              </w:r>
              <w:r>
                <w:rPr>
                  <w:sz w:val="24"/>
                </w:rPr>
                <w:t>cohort</w:t>
              </w:r>
              <w:r>
                <w:rPr>
                  <w:spacing w:val="-1"/>
                  <w:sz w:val="24"/>
                </w:rPr>
                <w:t> </w:t>
              </w:r>
              <w:r>
                <w:rPr>
                  <w:sz w:val="24"/>
                </w:rPr>
                <w:t>(</w:t>
              </w:r>
              <w:r>
                <w:rPr>
                  <w:rFonts w:ascii="Calibri"/>
                  <w:i/>
                  <w:sz w:val="24"/>
                </w:rPr>
                <w:t>n</w:t>
              </w:r>
              <w:r>
                <w:rPr>
                  <w:rFonts w:ascii="Calibri"/>
                  <w:i/>
                  <w:spacing w:val="-2"/>
                  <w:w w:val="125"/>
                  <w:sz w:val="24"/>
                </w:rPr>
                <w:t> </w:t>
              </w:r>
              <w:r>
                <w:rPr>
                  <w:rFonts w:ascii="Calibri"/>
                  <w:w w:val="125"/>
                  <w:sz w:val="24"/>
                </w:rPr>
                <w:t>=</w:t>
              </w:r>
              <w:r>
                <w:rPr>
                  <w:rFonts w:ascii="Calibri"/>
                  <w:spacing w:val="-2"/>
                  <w:w w:val="125"/>
                  <w:sz w:val="24"/>
                </w:rPr>
                <w:t> </w:t>
              </w:r>
              <w:r>
                <w:rPr>
                  <w:rFonts w:ascii="Calibri"/>
                  <w:sz w:val="24"/>
                </w:rPr>
                <w:t>5521</w:t>
              </w:r>
              <w:r>
                <w:rPr>
                  <w:sz w:val="24"/>
                </w:rPr>
                <w:t>).</w:t>
              </w:r>
            </w:hyperlink>
            <w:r>
              <w:rPr>
                <w:spacing w:val="67"/>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p>
            <w:pPr>
              <w:pStyle w:val="TableParagraph"/>
              <w:spacing w:before="76"/>
              <w:ind w:left="155"/>
              <w:jc w:val="left"/>
              <w:rPr>
                <w:sz w:val="24"/>
              </w:rPr>
            </w:pPr>
            <w:r>
              <w:rPr>
                <w:i/>
              </w:rPr>
              <w:t>일치하는 지갑 코호트(n = 5521). . . . . . . . . . . . . . . . . . . . . . . . . . .</w:t>
            </w:r>
          </w:p>
        </w:tc>
        <w:tc>
          <w:tcPr>
            <w:tcW w:w="355" w:type="dxa"/>
          </w:tcPr>
          <w:p>
            <w:pPr>
              <w:pStyle w:val="TableParagraph"/>
              <w:spacing w:before="80"/>
              <w:ind w:left="22" w:right="8"/>
              <w:rPr>
                <w:sz w:val="24"/>
              </w:rPr>
            </w:pPr>
            <w:r>
              <w:rPr>
                <w:spacing w:val="-5"/>
                <w:sz w:val="24"/>
              </w:rPr>
              <w:t>79</w:t>
            </w:r>
          </w:p>
        </w:tc>
      </w:tr>
      <w:tr>
        <w:trPr>
          <w:trHeight w:val="470" w:hRule="atLeast"/>
        </w:trPr>
        <w:tc>
          <w:tcPr>
            <w:tcW w:w="444" w:type="dxa"/>
          </w:tcPr>
          <w:p>
            <w:pPr>
              <w:pStyle w:val="TableParagraph"/>
              <w:spacing w:before="87"/>
              <w:ind w:left="50"/>
              <w:jc w:val="left"/>
              <w:rPr>
                <w:sz w:val="24"/>
              </w:rPr>
            </w:pPr>
            <w:hyperlink w:history="true" w:anchor="_bookmark98">
              <w:r>
                <w:rPr>
                  <w:spacing w:val="-5"/>
                  <w:sz w:val="24"/>
                </w:rPr>
                <w:t>4.5</w:t>
              </w:r>
            </w:hyperlink>
          </w:p>
        </w:tc>
        <w:tc>
          <w:tcPr>
            <w:tcW w:w="8300" w:type="dxa"/>
          </w:tcPr>
          <w:p>
            <w:pPr>
              <w:pStyle w:val="TableParagraph"/>
              <w:spacing w:before="83"/>
              <w:ind w:left="155"/>
              <w:jc w:val="left"/>
              <w:rPr>
                <w:sz w:val="24"/>
              </w:rPr>
            </w:pPr>
            <w:hyperlink w:history="true" w:anchor="_bookmark98">
              <w:r>
                <w:rPr>
                  <w:sz w:val="24"/>
                </w:rPr>
                <w:t>Robustness:</w:t>
              </w:r>
              <w:r>
                <w:rPr>
                  <w:spacing w:val="11"/>
                  <w:sz w:val="24"/>
                </w:rPr>
                <w:t> </w:t>
              </w:r>
              <w:r>
                <w:rPr>
                  <w:sz w:val="24"/>
                </w:rPr>
                <w:t>mean</w:t>
              </w:r>
              <w:r>
                <w:rPr>
                  <w:spacing w:val="-6"/>
                  <w:sz w:val="24"/>
                </w:rPr>
                <w:t> </w:t>
              </w:r>
              <w:r>
                <w:rPr>
                  <w:sz w:val="24"/>
                </w:rPr>
                <w:t>Kendall</w:t>
              </w:r>
              <w:r>
                <w:rPr>
                  <w:spacing w:val="-6"/>
                  <w:sz w:val="24"/>
                </w:rPr>
                <w:t> </w:t>
              </w:r>
              <w:r>
                <w:rPr>
                  <w:rFonts w:ascii="Calibri" w:hAnsi="Calibri"/>
                  <w:i/>
                  <w:sz w:val="24"/>
                </w:rPr>
                <w:t>τ</w:t>
              </w:r>
              <w:r>
                <w:rPr>
                  <w:rFonts w:ascii="Calibri" w:hAnsi="Calibri"/>
                  <w:i/>
                  <w:spacing w:val="24"/>
                  <w:sz w:val="24"/>
                </w:rPr>
                <w:t> </w:t>
              </w:r>
              <w:r>
                <w:rPr>
                  <w:sz w:val="24"/>
                </w:rPr>
                <w:t>on</w:t>
              </w:r>
              <w:r>
                <w:rPr>
                  <w:spacing w:val="-6"/>
                  <w:sz w:val="24"/>
                </w:rPr>
                <w:t> </w:t>
              </w:r>
              <w:r>
                <w:rPr>
                  <w:sz w:val="24"/>
                </w:rPr>
                <w:t>top-20</w:t>
              </w:r>
              <w:r>
                <w:rPr>
                  <w:spacing w:val="-7"/>
                  <w:sz w:val="24"/>
                </w:rPr>
                <w:t> </w:t>
              </w:r>
              <w:r>
                <w:rPr>
                  <w:sz w:val="24"/>
                </w:rPr>
                <w:t>ERC-20</w:t>
              </w:r>
              <w:r>
                <w:rPr>
                  <w:spacing w:val="-6"/>
                  <w:sz w:val="24"/>
                </w:rPr>
                <w:t> </w:t>
              </w:r>
              <w:r>
                <w:rPr>
                  <w:sz w:val="24"/>
                </w:rPr>
                <w:t>token</w:t>
              </w:r>
              <w:r>
                <w:rPr>
                  <w:spacing w:val="-6"/>
                  <w:sz w:val="24"/>
                </w:rPr>
                <w:t> </w:t>
              </w:r>
              <w:r>
                <w:rPr>
                  <w:sz w:val="24"/>
                </w:rPr>
                <w:t>subgraph</w:t>
              </w:r>
              <w:r>
                <w:rPr>
                  <w:spacing w:val="-6"/>
                  <w:sz w:val="24"/>
                </w:rPr>
                <w:t> </w:t>
              </w:r>
              <w:r>
                <w:rPr>
                  <w:sz w:val="24"/>
                </w:rPr>
                <w:t>(matched</w:t>
              </w:r>
              <w:r>
                <w:rPr>
                  <w:spacing w:val="-7"/>
                  <w:sz w:val="24"/>
                </w:rPr>
                <w:t> </w:t>
              </w:r>
              <w:r>
                <w:rPr>
                  <w:sz w:val="24"/>
                </w:rPr>
                <w:t>cohort).</w:t>
              </w:r>
            </w:hyperlink>
            <w:r>
              <w:rPr>
                <w:sz w:val="24"/>
              </w:rPr>
              <w:t> </w:t>
            </w:r>
            <w:r>
              <w:rPr>
                <w:spacing w:val="-10"/>
                <w:sz w:val="24"/>
              </w:rPr>
              <w:t>.</w:t>
            </w:r>
          </w:p>
          <w:p>
            <w:pPr>
              <w:pStyle w:val="TableParagraph"/>
              <w:spacing w:before="83"/>
              <w:ind w:left="155"/>
              <w:jc w:val="left"/>
              <w:rPr>
                <w:sz w:val="24"/>
              </w:rPr>
            </w:pPr>
            <w:r>
              <w:rPr>
                <w:i/>
              </w:rPr>
              <w:t>견고성: 상위 20개 ERC-20 토큰 하위 그래프(일치하는 코호트)의 평균 Kendall τ. .</w:t>
            </w:r>
          </w:p>
        </w:tc>
        <w:tc>
          <w:tcPr>
            <w:tcW w:w="355" w:type="dxa"/>
          </w:tcPr>
          <w:p>
            <w:pPr>
              <w:pStyle w:val="TableParagraph"/>
              <w:spacing w:before="87"/>
              <w:ind w:left="22" w:right="8"/>
              <w:rPr>
                <w:sz w:val="24"/>
              </w:rPr>
            </w:pPr>
            <w:r>
              <w:rPr>
                <w:spacing w:val="-5"/>
                <w:sz w:val="24"/>
              </w:rPr>
              <w:t>81</w:t>
            </w:r>
          </w:p>
        </w:tc>
      </w:tr>
      <w:tr>
        <w:trPr>
          <w:trHeight w:val="448" w:hRule="atLeast"/>
        </w:trPr>
        <w:tc>
          <w:tcPr>
            <w:tcW w:w="444" w:type="dxa"/>
          </w:tcPr>
          <w:p>
            <w:pPr>
              <w:pStyle w:val="TableParagraph"/>
              <w:spacing w:before="87"/>
              <w:ind w:left="50"/>
              <w:jc w:val="left"/>
              <w:rPr>
                <w:sz w:val="24"/>
              </w:rPr>
            </w:pPr>
            <w:hyperlink w:history="true" w:anchor="_bookmark99">
              <w:r>
                <w:rPr>
                  <w:spacing w:val="-5"/>
                  <w:sz w:val="24"/>
                </w:rPr>
                <w:t>4.6</w:t>
              </w:r>
            </w:hyperlink>
          </w:p>
        </w:tc>
        <w:tc>
          <w:tcPr>
            <w:tcW w:w="8300" w:type="dxa"/>
          </w:tcPr>
          <w:p>
            <w:pPr>
              <w:pStyle w:val="TableParagraph"/>
              <w:spacing w:before="83"/>
              <w:ind w:left="155"/>
              <w:jc w:val="left"/>
              <w:rPr>
                <w:rFonts w:ascii="Calibri"/>
                <w:sz w:val="24"/>
              </w:rPr>
            </w:pPr>
            <w:hyperlink w:history="true" w:anchor="_bookmark99">
              <w:r>
                <w:rPr>
                  <w:w w:val="105"/>
                  <w:sz w:val="24"/>
                </w:rPr>
                <w:t>Robustness:</w:t>
              </w:r>
              <w:r>
                <w:rPr>
                  <w:spacing w:val="23"/>
                  <w:w w:val="105"/>
                  <w:sz w:val="24"/>
                </w:rPr>
                <w:t> </w:t>
              </w:r>
              <w:r>
                <w:rPr>
                  <w:w w:val="105"/>
                  <w:sz w:val="24"/>
                </w:rPr>
                <w:t>alignment</w:t>
              </w:r>
              <w:r>
                <w:rPr>
                  <w:spacing w:val="-7"/>
                  <w:w w:val="105"/>
                  <w:sz w:val="24"/>
                </w:rPr>
                <w:t> </w:t>
              </w:r>
              <w:r>
                <w:rPr>
                  <w:w w:val="105"/>
                  <w:sz w:val="24"/>
                </w:rPr>
                <w:t>and</w:t>
              </w:r>
              <w:r>
                <w:rPr>
                  <w:spacing w:val="-6"/>
                  <w:w w:val="105"/>
                  <w:sz w:val="24"/>
                </w:rPr>
                <w:t> </w:t>
              </w:r>
              <w:r>
                <w:rPr>
                  <w:w w:val="105"/>
                  <w:sz w:val="24"/>
                </w:rPr>
                <w:t>runtime</w:t>
              </w:r>
              <w:r>
                <w:rPr>
                  <w:spacing w:val="-7"/>
                  <w:w w:val="105"/>
                  <w:sz w:val="24"/>
                </w:rPr>
                <w:t> </w:t>
              </w:r>
              <w:r>
                <w:rPr>
                  <w:w w:val="105"/>
                  <w:sz w:val="24"/>
                </w:rPr>
                <w:t>vs.</w:t>
              </w:r>
              <w:r>
                <w:rPr>
                  <w:spacing w:val="-6"/>
                  <w:w w:val="105"/>
                  <w:sz w:val="24"/>
                </w:rPr>
                <w:t> </w:t>
              </w:r>
              <w:r>
                <w:rPr>
                  <w:w w:val="105"/>
                  <w:sz w:val="24"/>
                </w:rPr>
                <w:t>subsample</w:t>
              </w:r>
              <w:r>
                <w:rPr>
                  <w:spacing w:val="-7"/>
                  <w:w w:val="105"/>
                  <w:sz w:val="24"/>
                </w:rPr>
                <w:t> </w:t>
              </w:r>
              <w:r>
                <w:rPr>
                  <w:w w:val="105"/>
                  <w:sz w:val="24"/>
                </w:rPr>
                <w:t>size</w:t>
              </w:r>
              <w:r>
                <w:rPr>
                  <w:spacing w:val="-7"/>
                  <w:w w:val="105"/>
                  <w:sz w:val="24"/>
                </w:rPr>
                <w:t> </w:t>
              </w:r>
              <w:r>
                <w:rPr>
                  <w:w w:val="105"/>
                  <w:sz w:val="24"/>
                </w:rPr>
                <w:t>from</w:t>
              </w:r>
              <w:r>
                <w:rPr>
                  <w:spacing w:val="-6"/>
                  <w:w w:val="105"/>
                  <w:sz w:val="24"/>
                </w:rPr>
                <w:t> </w:t>
              </w:r>
              <w:r>
                <w:rPr>
                  <w:w w:val="105"/>
                  <w:sz w:val="24"/>
                </w:rPr>
                <w:t>wallet</w:t>
              </w:r>
              <w:r>
                <w:rPr>
                  <w:spacing w:val="-7"/>
                  <w:w w:val="105"/>
                  <w:sz w:val="24"/>
                </w:rPr>
                <w:t> </w:t>
              </w:r>
              <w:r>
                <w:rPr>
                  <w:w w:val="105"/>
                  <w:sz w:val="24"/>
                </w:rPr>
                <w:t>pool</w:t>
              </w:r>
              <w:r>
                <w:rPr>
                  <w:spacing w:val="-6"/>
                  <w:w w:val="105"/>
                  <w:sz w:val="24"/>
                </w:rPr>
                <w:t> </w:t>
              </w:r>
              <w:r>
                <w:rPr>
                  <w:w w:val="105"/>
                  <w:sz w:val="24"/>
                </w:rPr>
                <w:t>(</w:t>
              </w:r>
              <w:r>
                <w:rPr>
                  <w:rFonts w:ascii="Calibri"/>
                  <w:i/>
                  <w:w w:val="105"/>
                  <w:sz w:val="24"/>
                </w:rPr>
                <w:t>N</w:t>
              </w:r>
              <w:r>
                <w:rPr>
                  <w:rFonts w:ascii="Calibri"/>
                  <w:i/>
                  <w:spacing w:val="30"/>
                  <w:w w:val="125"/>
                  <w:sz w:val="24"/>
                </w:rPr>
                <w:t> </w:t>
              </w:r>
              <w:r>
                <w:rPr>
                  <w:rFonts w:ascii="Calibri"/>
                  <w:spacing w:val="-10"/>
                  <w:w w:val="125"/>
                  <w:sz w:val="24"/>
                </w:rPr>
                <w:t>=</w:t>
              </w:r>
            </w:hyperlink>
          </w:p>
          <w:p>
            <w:pPr>
              <w:pStyle w:val="TableParagraph"/>
              <w:spacing w:before="83"/>
              <w:ind w:left="155"/>
              <w:jc w:val="left"/>
              <w:rPr>
                <w:rFonts w:ascii="Calibri"/>
                <w:sz w:val="24"/>
              </w:rPr>
            </w:pPr>
            <w:r>
              <w:rPr>
                <w:i/>
              </w:rPr>
              <w:t>견고성: 정렬 및 런타임 대 지갑 풀의 하위 샘플 크기(N =</w:t>
            </w:r>
          </w:p>
        </w:tc>
        <w:tc>
          <w:tcPr>
            <w:tcW w:w="355" w:type="dxa"/>
          </w:tcPr>
          <w:p>
            <w:pPr>
              <w:pStyle w:val="TableParagraph"/>
              <w:spacing w:before="0"/>
              <w:jc w:val="left"/>
              <w:rPr>
                <w:sz w:val="24"/>
              </w:rPr>
            </w:pPr>
          </w:p>
        </w:tc>
      </w:tr>
      <w:tr>
        <w:trPr>
          <w:trHeight w:val="485" w:hRule="atLeast"/>
        </w:trPr>
        <w:tc>
          <w:tcPr>
            <w:tcW w:w="444" w:type="dxa"/>
          </w:tcPr>
          <w:p>
            <w:pPr>
              <w:pStyle w:val="TableParagraph"/>
              <w:spacing w:before="0"/>
              <w:jc w:val="left"/>
              <w:rPr>
                <w:sz w:val="24"/>
              </w:rPr>
            </w:pPr>
          </w:p>
        </w:tc>
        <w:tc>
          <w:tcPr>
            <w:tcW w:w="8300" w:type="dxa"/>
          </w:tcPr>
          <w:p>
            <w:pPr>
              <w:pStyle w:val="TableParagraph"/>
              <w:spacing w:before="91"/>
              <w:ind w:left="150"/>
              <w:jc w:val="left"/>
              <w:rPr>
                <w:sz w:val="24"/>
              </w:rPr>
            </w:pPr>
            <w:hyperlink w:history="true" w:anchor="_bookmark99">
              <w:r>
                <w:rPr>
                  <w:rFonts w:ascii="Calibri" w:hAnsi="Calibri"/>
                  <w:sz w:val="24"/>
                </w:rPr>
                <w:t>31612</w:t>
              </w:r>
              <w:r>
                <w:rPr>
                  <w:sz w:val="24"/>
                </w:rPr>
                <w:t>;</w:t>
              </w:r>
              <w:r>
                <w:rPr>
                  <w:spacing w:val="3"/>
                  <w:sz w:val="24"/>
                </w:rPr>
                <w:t> </w:t>
              </w:r>
              <w:r>
                <w:rPr>
                  <w:sz w:val="24"/>
                </w:rPr>
                <w:t>seed</w:t>
              </w:r>
              <w:r>
                <w:rPr>
                  <w:spacing w:val="3"/>
                  <w:sz w:val="24"/>
                </w:rPr>
                <w:t> </w:t>
              </w:r>
              <w:r>
                <w:rPr>
                  <w:rFonts w:ascii="Calibri" w:hAnsi="Calibri"/>
                  <w:sz w:val="24"/>
                </w:rPr>
                <w:t>benchmark-tier2-v1</w:t>
              </w:r>
              <w:r>
                <w:rPr>
                  <w:sz w:val="24"/>
                </w:rPr>
                <w:t>).</w:t>
              </w:r>
            </w:hyperlink>
            <w:r>
              <w:rPr>
                <w:spacing w:val="35"/>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z w:val="24"/>
              </w:rPr>
              <w:t>.</w:t>
            </w:r>
            <w:r>
              <w:rPr>
                <w:spacing w:val="68"/>
                <w:sz w:val="24"/>
              </w:rPr>
              <w:t> </w:t>
            </w:r>
            <w:r>
              <w:rPr>
                <w:sz w:val="24"/>
              </w:rPr>
              <w:t>.</w:t>
            </w:r>
            <w:r>
              <w:rPr>
                <w:spacing w:val="68"/>
                <w:sz w:val="24"/>
              </w:rPr>
              <w:t> </w:t>
            </w:r>
            <w:r>
              <w:rPr>
                <w:sz w:val="24"/>
              </w:rPr>
              <w:t>.</w:t>
            </w:r>
            <w:r>
              <w:rPr>
                <w:spacing w:val="68"/>
                <w:sz w:val="24"/>
              </w:rPr>
              <w:t> </w:t>
            </w:r>
            <w:r>
              <w:rPr>
                <w:sz w:val="24"/>
              </w:rPr>
              <w:t>.</w:t>
            </w:r>
            <w:r>
              <w:rPr>
                <w:spacing w:val="67"/>
                <w:sz w:val="24"/>
              </w:rPr>
              <w:t> </w:t>
            </w:r>
            <w:r>
              <w:rPr>
                <w:spacing w:val="-10"/>
                <w:sz w:val="24"/>
              </w:rPr>
              <w:t>.</w:t>
            </w:r>
          </w:p>
          <w:p>
            <w:pPr>
              <w:pStyle w:val="TableParagraph"/>
              <w:spacing w:before="91"/>
              <w:ind w:left="150"/>
              <w:jc w:val="left"/>
              <w:rPr>
                <w:sz w:val="24"/>
              </w:rPr>
            </w:pPr>
            <w:r>
              <w:rPr>
                <w:i/>
              </w:rPr>
              <w:t>31612, 시드 벤치마크-tier2-v1). . . . . . . . . . . . . . . . . . . . . . . . . .</w:t>
            </w:r>
          </w:p>
        </w:tc>
        <w:tc>
          <w:tcPr>
            <w:tcW w:w="355" w:type="dxa"/>
          </w:tcPr>
          <w:p>
            <w:pPr>
              <w:pStyle w:val="TableParagraph"/>
              <w:spacing w:before="96"/>
              <w:ind w:left="22" w:right="8"/>
              <w:rPr>
                <w:sz w:val="24"/>
              </w:rPr>
            </w:pPr>
            <w:r>
              <w:rPr>
                <w:spacing w:val="-5"/>
                <w:sz w:val="24"/>
              </w:rPr>
              <w:t>81</w:t>
            </w:r>
          </w:p>
        </w:tc>
      </w:tr>
      <w:tr>
        <w:trPr>
          <w:trHeight w:val="456" w:hRule="atLeast"/>
        </w:trPr>
        <w:tc>
          <w:tcPr>
            <w:tcW w:w="444" w:type="dxa"/>
          </w:tcPr>
          <w:p>
            <w:pPr>
              <w:pStyle w:val="TableParagraph"/>
              <w:spacing w:before="80"/>
              <w:ind w:left="50"/>
              <w:jc w:val="left"/>
              <w:rPr>
                <w:sz w:val="24"/>
              </w:rPr>
            </w:pPr>
            <w:hyperlink w:history="true" w:anchor="_bookmark101">
              <w:r>
                <w:rPr>
                  <w:spacing w:val="-5"/>
                  <w:sz w:val="24"/>
                </w:rPr>
                <w:t>4.7</w:t>
              </w:r>
            </w:hyperlink>
          </w:p>
        </w:tc>
        <w:tc>
          <w:tcPr>
            <w:tcW w:w="8300" w:type="dxa"/>
          </w:tcPr>
          <w:p>
            <w:pPr>
              <w:pStyle w:val="TableParagraph"/>
              <w:spacing w:before="76"/>
              <w:ind w:left="155"/>
              <w:jc w:val="left"/>
              <w:rPr>
                <w:sz w:val="24"/>
              </w:rPr>
            </w:pPr>
            <w:hyperlink w:history="true" w:anchor="_bookmark101">
              <w:r>
                <w:rPr>
                  <w:sz w:val="24"/>
                </w:rPr>
                <w:t>Mean</w:t>
              </w:r>
              <w:r>
                <w:rPr>
                  <w:spacing w:val="-1"/>
                  <w:sz w:val="24"/>
                </w:rPr>
                <w:t> </w:t>
              </w:r>
              <w:r>
                <w:rPr>
                  <w:sz w:val="24"/>
                </w:rPr>
                <w:t>Kendall </w:t>
              </w:r>
              <w:r>
                <w:rPr>
                  <w:rFonts w:ascii="Calibri" w:hAnsi="Calibri"/>
                  <w:i/>
                  <w:sz w:val="24"/>
                </w:rPr>
                <w:t>τ</w:t>
              </w:r>
              <w:r>
                <w:rPr>
                  <w:rFonts w:ascii="Calibri" w:hAnsi="Calibri"/>
                  <w:i/>
                  <w:spacing w:val="32"/>
                  <w:sz w:val="24"/>
                </w:rPr>
                <w:t> </w:t>
              </w:r>
              <w:r>
                <w:rPr>
                  <w:sz w:val="24"/>
                </w:rPr>
                <w:t>by proxy</w:t>
              </w:r>
              <w:r>
                <w:rPr>
                  <w:spacing w:val="-1"/>
                  <w:sz w:val="24"/>
                </w:rPr>
                <w:t> </w:t>
              </w:r>
              <w:r>
                <w:rPr>
                  <w:sz w:val="24"/>
                </w:rPr>
                <w:t>family across 3 PageRank methods</w:t>
              </w:r>
              <w:r>
                <w:rPr>
                  <w:spacing w:val="-1"/>
                  <w:sz w:val="24"/>
                </w:rPr>
                <w:t> </w:t>
              </w:r>
              <w:r>
                <w:rPr>
                  <w:sz w:val="24"/>
                </w:rPr>
                <w:t>(</w:t>
              </w:r>
              <w:r>
                <w:rPr>
                  <w:rFonts w:ascii="Calibri" w:hAnsi="Calibri"/>
                  <w:i/>
                  <w:sz w:val="24"/>
                </w:rPr>
                <w:t>n</w:t>
              </w:r>
              <w:r>
                <w:rPr>
                  <w:rFonts w:ascii="Calibri" w:hAnsi="Calibri"/>
                  <w:i/>
                  <w:spacing w:val="13"/>
                  <w:sz w:val="24"/>
                </w:rPr>
                <w:t> </w:t>
              </w:r>
              <w:r>
                <w:rPr>
                  <w:rFonts w:ascii="Calibri" w:hAnsi="Calibri"/>
                  <w:sz w:val="24"/>
                </w:rPr>
                <w:t>=</w:t>
              </w:r>
              <w:r>
                <w:rPr>
                  <w:rFonts w:ascii="Calibri" w:hAnsi="Calibri"/>
                  <w:spacing w:val="13"/>
                  <w:sz w:val="24"/>
                </w:rPr>
                <w:t> </w:t>
              </w:r>
              <w:r>
                <w:rPr>
                  <w:rFonts w:ascii="Calibri" w:hAnsi="Calibri"/>
                  <w:sz w:val="24"/>
                </w:rPr>
                <w:t>5521</w:t>
              </w:r>
              <w:r>
                <w:rPr>
                  <w:sz w:val="24"/>
                </w:rPr>
                <w:t>).</w:t>
              </w:r>
              <w:r>
                <w:rPr>
                  <w:spacing w:val="21"/>
                  <w:sz w:val="24"/>
                </w:rPr>
                <w:t> </w:t>
              </w:r>
              <w:r>
                <w:rPr>
                  <w:sz w:val="24"/>
                </w:rPr>
                <w:t>Bold</w:t>
              </w:r>
              <w:r>
                <w:rPr>
                  <w:spacing w:val="-1"/>
                  <w:sz w:val="24"/>
                </w:rPr>
                <w:t> </w:t>
              </w:r>
              <w:r>
                <w:rPr>
                  <w:spacing w:val="-10"/>
                  <w:sz w:val="24"/>
                </w:rPr>
                <w:t>=</w:t>
              </w:r>
            </w:hyperlink>
          </w:p>
          <w:p>
            <w:pPr>
              <w:pStyle w:val="TableParagraph"/>
              <w:spacing w:before="76"/>
              <w:ind w:left="155"/>
              <w:jc w:val="left"/>
              <w:rPr>
                <w:sz w:val="24"/>
              </w:rPr>
            </w:pPr>
            <w:r>
              <w:rPr>
                <w:i/>
              </w:rPr>
              <w:t>3개의 PageRank 방법에 걸쳐 프록시 계열의 평균 Kendall τ(n = 5521). 굵은 글씨 =</w:t>
            </w:r>
          </w:p>
        </w:tc>
        <w:tc>
          <w:tcPr>
            <w:tcW w:w="355" w:type="dxa"/>
          </w:tcPr>
          <w:p>
            <w:pPr>
              <w:pStyle w:val="TableParagraph"/>
              <w:spacing w:before="0"/>
              <w:jc w:val="left"/>
              <w:rPr>
                <w:sz w:val="24"/>
              </w:rPr>
            </w:pPr>
          </w:p>
        </w:tc>
      </w:tr>
      <w:tr>
        <w:trPr>
          <w:trHeight w:val="452" w:hRule="atLeast"/>
        </w:trPr>
        <w:tc>
          <w:tcPr>
            <w:tcW w:w="444" w:type="dxa"/>
          </w:tcPr>
          <w:p>
            <w:pPr>
              <w:pStyle w:val="TableParagraph"/>
              <w:spacing w:before="0"/>
              <w:jc w:val="left"/>
              <w:rPr>
                <w:sz w:val="24"/>
              </w:rPr>
            </w:pPr>
          </w:p>
        </w:tc>
        <w:tc>
          <w:tcPr>
            <w:tcW w:w="8300" w:type="dxa"/>
          </w:tcPr>
          <w:p>
            <w:pPr>
              <w:pStyle w:val="TableParagraph"/>
              <w:spacing w:before="80"/>
              <w:ind w:left="155"/>
              <w:jc w:val="left"/>
              <w:rPr>
                <w:sz w:val="24"/>
              </w:rPr>
            </w:pPr>
            <w:hyperlink w:history="true" w:anchor="_bookmark101">
              <w:r>
                <w:rPr>
                  <w:sz w:val="24"/>
                </w:rPr>
                <w:t>column</w:t>
              </w:r>
              <w:r>
                <w:rPr>
                  <w:spacing w:val="-11"/>
                  <w:sz w:val="24"/>
                </w:rPr>
                <w:t> </w:t>
              </w:r>
              <w:r>
                <w:rPr>
                  <w:sz w:val="24"/>
                </w:rPr>
                <w:t>maximum.</w:t>
              </w:r>
              <w:r>
                <w:rPr>
                  <w:spacing w:val="11"/>
                  <w:sz w:val="24"/>
                </w:rPr>
                <w:t> </w:t>
              </w:r>
              <w:r>
                <w:rPr>
                  <w:sz w:val="24"/>
                </w:rPr>
                <w:t>Runtime</w:t>
              </w:r>
              <w:r>
                <w:rPr>
                  <w:spacing w:val="-10"/>
                  <w:sz w:val="24"/>
                </w:rPr>
                <w:t> </w:t>
              </w:r>
              <w:r>
                <w:rPr>
                  <w:sz w:val="24"/>
                </w:rPr>
                <w:t>=</w:t>
              </w:r>
              <w:r>
                <w:rPr>
                  <w:spacing w:val="-11"/>
                  <w:sz w:val="24"/>
                </w:rPr>
                <w:t> </w:t>
              </w:r>
              <w:r>
                <w:rPr>
                  <w:sz w:val="24"/>
                </w:rPr>
                <w:t>mean</w:t>
              </w:r>
              <w:r>
                <w:rPr>
                  <w:spacing w:val="-10"/>
                  <w:sz w:val="24"/>
                </w:rPr>
                <w:t> </w:t>
              </w:r>
              <w:r>
                <w:rPr>
                  <w:sz w:val="24"/>
                </w:rPr>
                <w:t>PageRank</w:t>
              </w:r>
              <w:r>
                <w:rPr>
                  <w:spacing w:val="-10"/>
                  <w:sz w:val="24"/>
                </w:rPr>
                <w:t> </w:t>
              </w:r>
              <w:r>
                <w:rPr>
                  <w:sz w:val="24"/>
                </w:rPr>
                <w:t>wall</w:t>
              </w:r>
              <w:r>
                <w:rPr>
                  <w:spacing w:val="-10"/>
                  <w:sz w:val="24"/>
                </w:rPr>
                <w:t> </w:t>
              </w:r>
              <w:r>
                <w:rPr>
                  <w:sz w:val="24"/>
                </w:rPr>
                <w:t>time</w:t>
              </w:r>
              <w:r>
                <w:rPr>
                  <w:spacing w:val="-11"/>
                  <w:sz w:val="24"/>
                </w:rPr>
                <w:t> </w:t>
              </w:r>
              <w:r>
                <w:rPr>
                  <w:sz w:val="24"/>
                </w:rPr>
                <w:t>(s,</w:t>
              </w:r>
              <w:r>
                <w:rPr>
                  <w:spacing w:val="-9"/>
                  <w:sz w:val="24"/>
                </w:rPr>
                <w:t> </w:t>
              </w:r>
              <w:r>
                <w:rPr>
                  <w:sz w:val="24"/>
                </w:rPr>
                <w:t>3</w:t>
              </w:r>
              <w:r>
                <w:rPr>
                  <w:spacing w:val="-10"/>
                  <w:sz w:val="24"/>
                </w:rPr>
                <w:t> </w:t>
              </w:r>
              <w:r>
                <w:rPr>
                  <w:sz w:val="24"/>
                </w:rPr>
                <w:t>repeats).</w:t>
              </w:r>
              <w:r>
                <w:rPr>
                  <w:spacing w:val="10"/>
                  <w:sz w:val="24"/>
                </w:rPr>
                <w:t> </w:t>
              </w:r>
              <w:r>
                <w:rPr>
                  <w:spacing w:val="-2"/>
                  <w:sz w:val="24"/>
                </w:rPr>
                <w:t>EndorseR-</w:t>
              </w:r>
            </w:hyperlink>
          </w:p>
          <w:p>
            <w:pPr>
              <w:pStyle w:val="TableParagraph"/>
              <w:spacing w:before="80"/>
              <w:ind w:left="155"/>
              <w:jc w:val="left"/>
              <w:rPr>
                <w:sz w:val="24"/>
              </w:rPr>
            </w:pPr>
            <w:r>
              <w:rPr>
                <w:i/>
              </w:rPr>
              <w:t>열 최대. 런타임 = 평균 PageRank 벽 시간(초, 3회 반복). EndorseR-</w:t>
            </w:r>
          </w:p>
        </w:tc>
        <w:tc>
          <w:tcPr>
            <w:tcW w:w="355" w:type="dxa"/>
          </w:tcPr>
          <w:p>
            <w:pPr>
              <w:pStyle w:val="TableParagraph"/>
              <w:spacing w:before="0"/>
              <w:jc w:val="left"/>
              <w:rPr>
                <w:sz w:val="24"/>
              </w:rPr>
            </w:pPr>
          </w:p>
        </w:tc>
      </w:tr>
      <w:tr>
        <w:trPr>
          <w:trHeight w:val="456" w:hRule="atLeast"/>
        </w:trPr>
        <w:tc>
          <w:tcPr>
            <w:tcW w:w="444" w:type="dxa"/>
          </w:tcPr>
          <w:p>
            <w:pPr>
              <w:pStyle w:val="TableParagraph"/>
              <w:spacing w:before="0"/>
              <w:jc w:val="left"/>
              <w:rPr>
                <w:sz w:val="24"/>
              </w:rPr>
            </w:pPr>
          </w:p>
        </w:tc>
        <w:tc>
          <w:tcPr>
            <w:tcW w:w="8300" w:type="dxa"/>
          </w:tcPr>
          <w:p>
            <w:pPr>
              <w:pStyle w:val="TableParagraph"/>
              <w:spacing w:before="85"/>
              <w:ind w:left="155"/>
              <w:jc w:val="left"/>
              <w:rPr>
                <w:sz w:val="24"/>
              </w:rPr>
            </w:pPr>
            <w:hyperlink w:history="true" w:anchor="_bookmark101">
              <w:r>
                <w:rPr>
                  <w:spacing w:val="-2"/>
                  <w:sz w:val="24"/>
                </w:rPr>
                <w:t>ank</w:t>
              </w:r>
              <w:r>
                <w:rPr>
                  <w:spacing w:val="-8"/>
                  <w:sz w:val="24"/>
                </w:rPr>
                <w:t> </w:t>
              </w:r>
              <w:r>
                <w:rPr>
                  <w:spacing w:val="-2"/>
                  <w:sz w:val="24"/>
                </w:rPr>
                <w:t>and</w:t>
              </w:r>
              <w:r>
                <w:rPr>
                  <w:spacing w:val="-7"/>
                  <w:sz w:val="24"/>
                </w:rPr>
                <w:t> </w:t>
              </w:r>
              <w:r>
                <w:rPr>
                  <w:spacing w:val="-2"/>
                  <w:sz w:val="24"/>
                </w:rPr>
                <w:t>AWP</w:t>
              </w:r>
              <w:r>
                <w:rPr>
                  <w:spacing w:val="-8"/>
                  <w:sz w:val="24"/>
                </w:rPr>
                <w:t> </w:t>
              </w:r>
              <w:r>
                <w:rPr>
                  <w:spacing w:val="-2"/>
                  <w:sz w:val="24"/>
                </w:rPr>
                <w:t>are</w:t>
              </w:r>
              <w:r>
                <w:rPr>
                  <w:spacing w:val="-7"/>
                  <w:sz w:val="24"/>
                </w:rPr>
                <w:t> </w:t>
              </w:r>
              <w:r>
                <w:rPr>
                  <w:spacing w:val="-2"/>
                  <w:sz w:val="24"/>
                </w:rPr>
                <w:t>social</w:t>
              </w:r>
              <w:r>
                <w:rPr>
                  <w:spacing w:val="-8"/>
                  <w:sz w:val="24"/>
                </w:rPr>
                <w:t> </w:t>
              </w:r>
              <w:r>
                <w:rPr>
                  <w:spacing w:val="-2"/>
                  <w:sz w:val="24"/>
                </w:rPr>
                <w:t>reputation</w:t>
              </w:r>
              <w:r>
                <w:rPr>
                  <w:spacing w:val="-7"/>
                  <w:sz w:val="24"/>
                </w:rPr>
                <w:t> </w:t>
              </w:r>
              <w:r>
                <w:rPr>
                  <w:spacing w:val="-2"/>
                  <w:sz w:val="24"/>
                </w:rPr>
                <w:t>graphs;</w:t>
              </w:r>
              <w:r>
                <w:rPr>
                  <w:spacing w:val="-5"/>
                  <w:sz w:val="24"/>
                </w:rPr>
                <w:t> </w:t>
              </w:r>
              <w:r>
                <w:rPr>
                  <w:spacing w:val="-2"/>
                  <w:sz w:val="24"/>
                </w:rPr>
                <w:t>GF-PR</w:t>
              </w:r>
              <w:r>
                <w:rPr>
                  <w:spacing w:val="-7"/>
                  <w:sz w:val="24"/>
                </w:rPr>
                <w:t> </w:t>
              </w:r>
              <w:r>
                <w:rPr>
                  <w:spacing w:val="-2"/>
                  <w:sz w:val="24"/>
                </w:rPr>
                <w:t>is</w:t>
              </w:r>
              <w:r>
                <w:rPr>
                  <w:spacing w:val="-8"/>
                  <w:sz w:val="24"/>
                </w:rPr>
                <w:t> </w:t>
              </w:r>
              <w:r>
                <w:rPr>
                  <w:spacing w:val="-2"/>
                  <w:sz w:val="24"/>
                </w:rPr>
                <w:t>an</w:t>
              </w:r>
              <w:r>
                <w:rPr>
                  <w:spacing w:val="-7"/>
                  <w:sz w:val="24"/>
                </w:rPr>
                <w:t> </w:t>
              </w:r>
              <w:r>
                <w:rPr>
                  <w:spacing w:val="-2"/>
                  <w:sz w:val="24"/>
                </w:rPr>
                <w:t>outcome-native</w:t>
              </w:r>
              <w:r>
                <w:rPr>
                  <w:spacing w:val="-8"/>
                  <w:sz w:val="24"/>
                </w:rPr>
                <w:t> </w:t>
              </w:r>
              <w:r>
                <w:rPr>
                  <w:spacing w:val="-2"/>
                  <w:sz w:val="24"/>
                </w:rPr>
                <w:t>GMX</w:t>
              </w:r>
              <w:r>
                <w:rPr>
                  <w:spacing w:val="-7"/>
                  <w:sz w:val="24"/>
                </w:rPr>
                <w:t> </w:t>
              </w:r>
              <w:r>
                <w:rPr>
                  <w:spacing w:val="-5"/>
                  <w:sz w:val="24"/>
                </w:rPr>
                <w:t>PnL</w:t>
              </w:r>
            </w:hyperlink>
          </w:p>
          <w:p>
            <w:pPr>
              <w:pStyle w:val="TableParagraph"/>
              <w:spacing w:before="85"/>
              <w:ind w:left="155"/>
              <w:jc w:val="left"/>
              <w:rPr>
                <w:sz w:val="24"/>
              </w:rPr>
            </w:pPr>
            <w:r>
              <w:rPr>
                <w:i/>
              </w:rPr>
              <w:t>ank 및 AWP는 사회적 평판 그래프이고, GF-PR은 결과 기반 GMX PnL입니다.</w:t>
            </w:r>
          </w:p>
        </w:tc>
        <w:tc>
          <w:tcPr>
            <w:tcW w:w="355" w:type="dxa"/>
          </w:tcPr>
          <w:p>
            <w:pPr>
              <w:pStyle w:val="TableParagraph"/>
              <w:spacing w:before="0"/>
              <w:jc w:val="left"/>
              <w:rPr>
                <w:sz w:val="24"/>
              </w:rPr>
            </w:pPr>
          </w:p>
        </w:tc>
      </w:tr>
      <w:tr>
        <w:trPr>
          <w:trHeight w:val="360" w:hRule="atLeast"/>
        </w:trPr>
        <w:tc>
          <w:tcPr>
            <w:tcW w:w="444" w:type="dxa"/>
          </w:tcPr>
          <w:p>
            <w:pPr>
              <w:pStyle w:val="TableParagraph"/>
              <w:spacing w:before="0"/>
              <w:jc w:val="left"/>
              <w:rPr>
                <w:sz w:val="24"/>
              </w:rPr>
            </w:pPr>
          </w:p>
        </w:tc>
        <w:tc>
          <w:tcPr>
            <w:tcW w:w="8300" w:type="dxa"/>
          </w:tcPr>
          <w:p>
            <w:pPr>
              <w:pStyle w:val="TableParagraph"/>
              <w:spacing w:line="256" w:lineRule="exact" w:before="85"/>
              <w:ind w:left="155"/>
              <w:jc w:val="left"/>
              <w:rPr>
                <w:sz w:val="24"/>
              </w:rPr>
            </w:pPr>
            <w:hyperlink w:history="true" w:anchor="_bookmark101">
              <w:r>
                <w:rPr>
                  <w:sz w:val="24"/>
                </w:rPr>
                <w:t>star</w:t>
              </w:r>
              <w:r>
                <w:rPr>
                  <w:spacing w:val="-3"/>
                  <w:sz w:val="24"/>
                </w:rPr>
                <w:t> </w:t>
              </w:r>
              <w:r>
                <w:rPr>
                  <w:sz w:val="24"/>
                </w:rPr>
                <w:t>baseline</w:t>
              </w:r>
              <w:r>
                <w:rPr>
                  <w:spacing w:val="-2"/>
                  <w:sz w:val="24"/>
                </w:rPr>
                <w:t> </w:t>
              </w:r>
              <w:r>
                <w:rPr>
                  <w:sz w:val="24"/>
                </w:rPr>
                <w:t>(construct</w:t>
              </w:r>
              <w:r>
                <w:rPr>
                  <w:spacing w:val="-3"/>
                  <w:sz w:val="24"/>
                </w:rPr>
                <w:t> </w:t>
              </w:r>
              <w:r>
                <w:rPr>
                  <w:sz w:val="24"/>
                </w:rPr>
                <w:t>overlap</w:t>
              </w:r>
              <w:r>
                <w:rPr>
                  <w:spacing w:val="-2"/>
                  <w:sz w:val="24"/>
                </w:rPr>
                <w:t> </w:t>
              </w:r>
              <w:r>
                <w:rPr>
                  <w:sz w:val="24"/>
                </w:rPr>
                <w:t>on</w:t>
              </w:r>
              <w:r>
                <w:rPr>
                  <w:spacing w:val="-2"/>
                  <w:sz w:val="24"/>
                </w:rPr>
                <w:t> </w:t>
              </w:r>
              <w:r>
                <w:rPr>
                  <w:sz w:val="24"/>
                </w:rPr>
                <w:t>GMX</w:t>
              </w:r>
              <w:r>
                <w:rPr>
                  <w:spacing w:val="-3"/>
                  <w:sz w:val="24"/>
                </w:rPr>
                <w:t> </w:t>
              </w:r>
              <w:r>
                <w:rPr>
                  <w:sz w:val="24"/>
                </w:rPr>
                <w:t>proxies).</w:t>
              </w:r>
            </w:hyperlink>
            <w:r>
              <w:rPr>
                <w:spacing w:val="2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7"/>
                <w:sz w:val="24"/>
              </w:rPr>
              <w:t> </w:t>
            </w:r>
            <w:r>
              <w:rPr>
                <w:spacing w:val="-10"/>
                <w:sz w:val="24"/>
              </w:rPr>
              <w:t>.</w:t>
            </w:r>
          </w:p>
          <w:p>
            <w:pPr>
              <w:pStyle w:val="TableParagraph"/>
              <w:spacing w:line="256" w:lineRule="exact" w:before="85"/>
              <w:ind w:left="155"/>
              <w:jc w:val="left"/>
              <w:rPr>
                <w:sz w:val="24"/>
              </w:rPr>
            </w:pPr>
            <w:r>
              <w:rPr>
                <w:i/>
              </w:rPr>
              <w:t>별 기준선(GMX 프록시에 중복 구성). . . . . . . . . . . . . . . . . . .</w:t>
            </w:r>
          </w:p>
        </w:tc>
        <w:tc>
          <w:tcPr>
            <w:tcW w:w="355" w:type="dxa"/>
          </w:tcPr>
          <w:p>
            <w:pPr>
              <w:pStyle w:val="TableParagraph"/>
              <w:spacing w:line="256" w:lineRule="exact" w:before="85"/>
              <w:ind w:left="22" w:right="8"/>
              <w:rPr>
                <w:sz w:val="24"/>
              </w:rPr>
            </w:pPr>
            <w:r>
              <w:rPr>
                <w:spacing w:val="-5"/>
                <w:sz w:val="24"/>
              </w:rPr>
              <w:t>82</w:t>
            </w:r>
          </w:p>
        </w:tc>
      </w:tr>
    </w:tbl>
    <w:p>
      <w:pPr>
        <w:pStyle w:val="TableParagraph"/>
        <w:spacing w:after="0" w:line="256" w:lineRule="exact"/>
        <w:rPr>
          <w:sz w:val="24"/>
        </w:rPr>
        <w:sectPr>
          <w:pgSz w:w="11910" w:h="16840"/>
          <w:pgMar w:header="0" w:footer="2115" w:top="1740" w:bottom="2300" w:left="992" w:right="708"/>
        </w:sectPr>
      </w:pPr>
    </w:p>
    <w:p>
      <w:pPr>
        <w:pStyle w:val="ListParagraph"/>
        <w:numPr>
          <w:ilvl w:val="1"/>
          <w:numId w:val="6"/>
        </w:numPr>
        <w:tabs>
          <w:tab w:pos="1190" w:val="left" w:leader="none"/>
          <w:tab w:pos="9399" w:val="left" w:leader="dot"/>
        </w:tabs>
        <w:spacing w:line="374" w:lineRule="auto" w:before="68" w:after="0"/>
        <w:ind w:left="1190" w:right="564" w:hanging="550"/>
        <w:jc w:val="left"/>
        <w:rPr>
          <w:sz w:val="24"/>
        </w:rPr>
      </w:pPr>
      <w:hyperlink w:history="true" w:anchor="_bookmark104">
        <w:r>
          <w:rPr>
            <w:sz w:val="24"/>
          </w:rPr>
          <w:t>Domain alignment with transfer proxies (Do et al. 2023 baseline).</w:t>
        </w:r>
        <w:r>
          <w:rPr>
            <w:spacing w:val="40"/>
            <w:sz w:val="24"/>
          </w:rPr>
          <w:t> </w:t>
        </w:r>
        <w:r>
          <w:rPr>
            <w:sz w:val="24"/>
          </w:rPr>
          <w:t>Kendall </w:t>
        </w:r>
        <w:r>
          <w:rPr>
            <w:rFonts w:ascii="Calibri" w:hAnsi="Calibri"/>
            <w:i/>
            <w:sz w:val="24"/>
          </w:rPr>
          <w:t>τ</w:t>
        </w:r>
        <w:r>
          <w:rPr>
            <w:rFonts w:ascii="Calibri" w:hAnsi="Calibri"/>
            <w:i/>
            <w:spacing w:val="40"/>
            <w:sz w:val="24"/>
          </w:rPr>
          <w:t> </w:t>
        </w:r>
        <w:r>
          <w:rPr>
            <w:sz w:val="24"/>
          </w:rPr>
          <w:t>and</w:t>
        </w:r>
      </w:hyperlink>
      <w:r>
        <w:rPr>
          <w:sz w:val="24"/>
        </w:rPr>
        <w:t> </w:t>
      </w:r>
      <w:hyperlink w:history="true" w:anchor="_bookmark104">
        <w:r>
          <w:rPr>
            <w:sz w:val="24"/>
          </w:rPr>
          <w:t>Spearman</w:t>
        </w:r>
        <w:r>
          <w:rPr>
            <w:spacing w:val="-9"/>
            <w:sz w:val="24"/>
          </w:rPr>
          <w:t> </w:t>
        </w:r>
        <w:r>
          <w:rPr>
            <w:rFonts w:ascii="Calibri" w:hAnsi="Calibri"/>
            <w:i/>
            <w:sz w:val="24"/>
          </w:rPr>
          <w:t>ρ</w:t>
        </w:r>
        <w:r>
          <w:rPr>
            <w:rFonts w:ascii="Calibri" w:hAnsi="Calibri"/>
            <w:i/>
            <w:spacing w:val="-2"/>
            <w:sz w:val="24"/>
          </w:rPr>
          <w:t> </w:t>
        </w:r>
        <w:r>
          <w:rPr>
            <w:sz w:val="24"/>
          </w:rPr>
          <w:t>between</w:t>
        </w:r>
        <w:r>
          <w:rPr>
            <w:spacing w:val="-8"/>
            <w:sz w:val="24"/>
          </w:rPr>
          <w:t> </w:t>
        </w:r>
        <w:r>
          <w:rPr>
            <w:sz w:val="24"/>
          </w:rPr>
          <w:t>reputation</w:t>
        </w:r>
        <w:r>
          <w:rPr>
            <w:spacing w:val="-8"/>
            <w:sz w:val="24"/>
          </w:rPr>
          <w:t> </w:t>
        </w:r>
        <w:r>
          <w:rPr>
            <w:sz w:val="24"/>
          </w:rPr>
          <w:t>scores</w:t>
        </w:r>
        <w:r>
          <w:rPr>
            <w:spacing w:val="-8"/>
            <w:sz w:val="24"/>
          </w:rPr>
          <w:t> </w:t>
        </w:r>
        <w:r>
          <w:rPr>
            <w:sz w:val="24"/>
          </w:rPr>
          <w:t>and</w:t>
        </w:r>
        <w:r>
          <w:rPr>
            <w:spacing w:val="-8"/>
            <w:sz w:val="24"/>
          </w:rPr>
          <w:t> </w:t>
        </w:r>
        <w:r>
          <w:rPr>
            <w:sz w:val="24"/>
          </w:rPr>
          <w:t>proxy</w:t>
        </w:r>
        <w:r>
          <w:rPr>
            <w:spacing w:val="-8"/>
            <w:sz w:val="24"/>
          </w:rPr>
          <w:t> </w:t>
        </w:r>
        <w:r>
          <w:rPr>
            <w:spacing w:val="-2"/>
            <w:sz w:val="24"/>
          </w:rPr>
          <w:t>rankings.</w:t>
        </w:r>
      </w:hyperlink>
      <w:r>
        <w:rPr>
          <w:sz w:val="24"/>
        </w:rPr>
        <w:tab/>
      </w:r>
      <w:r>
        <w:rPr>
          <w:spacing w:val="-5"/>
          <w:sz w:val="24"/>
        </w:rPr>
        <w:t>85</w:t>
      </w:r>
    </w:p>
    <w:p>
      <w:pPr>
        <w:pStyle w:val="ListParagraph"/>
        <w:numPr>
          <w:ilvl w:val="1"/>
          <w:numId w:val="6"/>
        </w:numPr>
        <w:tabs>
          <w:tab w:pos="1190" w:val="left" w:leader="none"/>
          <w:tab w:pos="9399" w:val="left" w:leader="dot"/>
        </w:tabs>
        <w:spacing w:line="374" w:lineRule="auto" w:before="68" w:after="0"/>
        <w:ind w:left="1190" w:right="564" w:hanging="550"/>
        <w:jc w:val="left"/>
        <w:rPr>
          <w:sz w:val="24"/>
        </w:rPr>
      </w:pPr>
      <w:r>
        <w:rPr>
          <w:i/>
        </w:rPr>
        <w:t>전송 프록시와 도메인 정렬(Do et al. 2023 기준) Kendall τ 및 Spearman ρ는 평판 점수와 프록시 순위 사이입니다.</w:t>
        <w:tab/>
        <w:t>85</w:t>
      </w:r>
    </w:p>
    <w:p>
      <w:pPr>
        <w:pStyle w:val="ListParagraph"/>
        <w:numPr>
          <w:ilvl w:val="1"/>
          <w:numId w:val="6"/>
        </w:numPr>
        <w:tabs>
          <w:tab w:pos="1184" w:val="left" w:leader="none"/>
          <w:tab w:pos="1190" w:val="left" w:leader="none"/>
          <w:tab w:pos="9399" w:val="left" w:leader="dot"/>
        </w:tabs>
        <w:spacing w:line="396" w:lineRule="auto" w:before="17" w:after="0"/>
        <w:ind w:left="1184" w:right="564" w:hanging="544"/>
        <w:jc w:val="left"/>
        <w:rPr>
          <w:sz w:val="24"/>
        </w:rPr>
      </w:pPr>
      <w:hyperlink w:history="true" w:anchor="_bookmark105">
        <w:r>
          <w:rPr>
            <w:sz w:val="24"/>
          </w:rPr>
          <w:t>Domain</w:t>
        </w:r>
        <w:r>
          <w:rPr>
            <w:spacing w:val="40"/>
            <w:sz w:val="24"/>
          </w:rPr>
          <w:t> </w:t>
        </w:r>
        <w:r>
          <w:rPr>
            <w:sz w:val="24"/>
          </w:rPr>
          <w:t>alignment</w:t>
        </w:r>
        <w:r>
          <w:rPr>
            <w:spacing w:val="40"/>
            <w:sz w:val="24"/>
          </w:rPr>
          <w:t> </w:t>
        </w:r>
        <w:r>
          <w:rPr>
            <w:sz w:val="24"/>
          </w:rPr>
          <w:t>with</w:t>
        </w:r>
        <w:r>
          <w:rPr>
            <w:spacing w:val="40"/>
            <w:sz w:val="24"/>
          </w:rPr>
          <w:t> </w:t>
        </w:r>
        <w:r>
          <w:rPr>
            <w:sz w:val="24"/>
          </w:rPr>
          <w:t>allowance</w:t>
        </w:r>
        <w:r>
          <w:rPr>
            <w:spacing w:val="40"/>
            <w:sz w:val="24"/>
          </w:rPr>
          <w:t> </w:t>
        </w:r>
        <w:r>
          <w:rPr>
            <w:sz w:val="24"/>
          </w:rPr>
          <w:t>proxies</w:t>
        </w:r>
        <w:r>
          <w:rPr>
            <w:spacing w:val="40"/>
            <w:sz w:val="24"/>
          </w:rPr>
          <w:t> </w:t>
        </w:r>
        <w:r>
          <w:rPr>
            <w:sz w:val="24"/>
          </w:rPr>
          <w:t>(spender-side</w:t>
        </w:r>
        <w:r>
          <w:rPr>
            <w:spacing w:val="40"/>
            <w:sz w:val="24"/>
          </w:rPr>
          <w:t> </w:t>
        </w:r>
        <w:r>
          <w:rPr>
            <w:sz w:val="24"/>
          </w:rPr>
          <w:t>in-approve</w:t>
        </w:r>
        <w:r>
          <w:rPr>
            <w:spacing w:val="40"/>
            <w:sz w:val="24"/>
          </w:rPr>
          <w:t> </w:t>
        </w:r>
        <w:r>
          <w:rPr>
            <w:sz w:val="24"/>
          </w:rPr>
          <w:t>degree</w:t>
        </w:r>
        <w:r>
          <w:rPr>
            <w:spacing w:val="40"/>
            <w:sz w:val="24"/>
          </w:rPr>
          <w:t> </w:t>
        </w:r>
        <w:r>
          <w:rPr>
            <w:sz w:val="24"/>
          </w:rPr>
          <w:t>and</w:t>
        </w:r>
      </w:hyperlink>
      <w:r>
        <w:rPr>
          <w:sz w:val="24"/>
        </w:rPr>
        <w:t> </w:t>
      </w:r>
      <w:hyperlink w:history="true" w:anchor="_bookmark105">
        <w:r>
          <w:rPr>
            <w:spacing w:val="-2"/>
            <w:sz w:val="24"/>
          </w:rPr>
          <w:t>value).</w:t>
        </w:r>
      </w:hyperlink>
      <w:r>
        <w:rPr>
          <w:sz w:val="24"/>
        </w:rPr>
        <w:tab/>
      </w:r>
      <w:r>
        <w:rPr>
          <w:spacing w:val="-6"/>
          <w:sz w:val="24"/>
        </w:rPr>
        <w:t>86</w:t>
      </w:r>
    </w:p>
    <w:p>
      <w:pPr>
        <w:pStyle w:val="ListParagraph"/>
        <w:numPr>
          <w:ilvl w:val="1"/>
          <w:numId w:val="6"/>
        </w:numPr>
        <w:tabs>
          <w:tab w:pos="1184" w:val="left" w:leader="none"/>
          <w:tab w:pos="1190" w:val="left" w:leader="none"/>
          <w:tab w:pos="9399" w:val="left" w:leader="dot"/>
        </w:tabs>
        <w:spacing w:line="396" w:lineRule="auto" w:before="17" w:after="0"/>
        <w:ind w:left="1184" w:right="564" w:hanging="544"/>
        <w:jc w:val="left"/>
        <w:rPr>
          <w:sz w:val="24"/>
        </w:rPr>
      </w:pPr>
      <w:r>
        <w:rPr>
          <w:i/>
        </w:rPr>
        <w:t>수당 프록시와 도메인 정렬(지출자 측 승인 정도 및 값)</w:t>
        <w:tab/>
        <w:t>86</w:t>
      </w:r>
    </w:p>
    <w:p>
      <w:pPr>
        <w:pStyle w:val="ListParagraph"/>
        <w:numPr>
          <w:ilvl w:val="1"/>
          <w:numId w:val="6"/>
        </w:numPr>
        <w:tabs>
          <w:tab w:pos="1190" w:val="left" w:leader="none"/>
        </w:tabs>
        <w:spacing w:line="240" w:lineRule="auto" w:before="16" w:after="0"/>
        <w:ind w:left="1190" w:right="0" w:hanging="549"/>
        <w:jc w:val="left"/>
        <w:rPr>
          <w:sz w:val="24"/>
        </w:rPr>
      </w:pPr>
      <w:hyperlink w:history="true" w:anchor="_bookmark106">
        <w:r>
          <w:rPr>
            <w:sz w:val="24"/>
          </w:rPr>
          <w:t>Domain</w:t>
        </w:r>
        <w:r>
          <w:rPr>
            <w:spacing w:val="16"/>
            <w:sz w:val="24"/>
          </w:rPr>
          <w:t> </w:t>
        </w:r>
        <w:r>
          <w:rPr>
            <w:sz w:val="24"/>
          </w:rPr>
          <w:t>alignment</w:t>
        </w:r>
        <w:r>
          <w:rPr>
            <w:spacing w:val="17"/>
            <w:sz w:val="24"/>
          </w:rPr>
          <w:t> </w:t>
        </w:r>
        <w:r>
          <w:rPr>
            <w:sz w:val="24"/>
          </w:rPr>
          <w:t>with</w:t>
        </w:r>
        <w:r>
          <w:rPr>
            <w:spacing w:val="18"/>
            <w:sz w:val="24"/>
          </w:rPr>
          <w:t> </w:t>
        </w:r>
        <w:r>
          <w:rPr>
            <w:sz w:val="24"/>
          </w:rPr>
          <w:t>inverse-risk</w:t>
        </w:r>
        <w:r>
          <w:rPr>
            <w:spacing w:val="17"/>
            <w:sz w:val="24"/>
          </w:rPr>
          <w:t> </w:t>
        </w:r>
        <w:r>
          <w:rPr>
            <w:sz w:val="24"/>
          </w:rPr>
          <w:t>proxies</w:t>
        </w:r>
        <w:r>
          <w:rPr>
            <w:spacing w:val="17"/>
            <w:sz w:val="24"/>
          </w:rPr>
          <w:t> </w:t>
        </w:r>
        <w:r>
          <w:rPr>
            <w:sz w:val="24"/>
          </w:rPr>
          <w:t>from</w:t>
        </w:r>
        <w:r>
          <w:rPr>
            <w:spacing w:val="17"/>
            <w:sz w:val="24"/>
          </w:rPr>
          <w:t> </w:t>
        </w:r>
        <w:r>
          <w:rPr>
            <w:sz w:val="24"/>
          </w:rPr>
          <w:t>GMX</w:t>
        </w:r>
        <w:r>
          <w:rPr>
            <w:spacing w:val="18"/>
            <w:sz w:val="24"/>
          </w:rPr>
          <w:t> </w:t>
        </w:r>
        <w:r>
          <w:rPr>
            <w:sz w:val="24"/>
          </w:rPr>
          <w:t>realized</w:t>
        </w:r>
        <w:r>
          <w:rPr>
            <w:spacing w:val="17"/>
            <w:sz w:val="24"/>
          </w:rPr>
          <w:t> </w:t>
        </w:r>
        <w:r>
          <w:rPr>
            <w:sz w:val="24"/>
          </w:rPr>
          <w:t>PnL</w:t>
        </w:r>
        <w:r>
          <w:rPr>
            <w:spacing w:val="17"/>
            <w:sz w:val="24"/>
          </w:rPr>
          <w:t> </w:t>
        </w:r>
        <w:r>
          <w:rPr>
            <w:sz w:val="24"/>
          </w:rPr>
          <w:t>(higher</w:t>
        </w:r>
        <w:r>
          <w:rPr>
            <w:spacing w:val="18"/>
            <w:sz w:val="24"/>
          </w:rPr>
          <w:t> </w:t>
        </w:r>
        <w:r>
          <w:rPr>
            <w:spacing w:val="-10"/>
            <w:sz w:val="24"/>
          </w:rPr>
          <w:t>=</w:t>
        </w:r>
      </w:hyperlink>
    </w:p>
    <w:p>
      <w:pPr>
        <w:pStyle w:val="ListParagraph"/>
        <w:numPr>
          <w:ilvl w:val="1"/>
          <w:numId w:val="6"/>
        </w:numPr>
        <w:tabs>
          <w:tab w:pos="1190" w:val="left" w:leader="none"/>
        </w:tabs>
        <w:spacing w:line="240" w:lineRule="auto" w:before="16" w:after="0"/>
        <w:ind w:left="1190" w:right="0" w:hanging="549"/>
        <w:jc w:val="left"/>
        <w:rPr>
          <w:sz w:val="24"/>
        </w:rPr>
      </w:pPr>
      <w:r>
        <w:rPr>
          <w:i/>
        </w:rPr>
        <w:t>GMX 실현 손익의 역위험 프록시와의 도메인 정렬(더 높음 =</w:t>
      </w:r>
    </w:p>
    <w:p>
      <w:pPr>
        <w:pStyle w:val="BodyText"/>
        <w:tabs>
          <w:tab w:pos="9399" w:val="left" w:leader="dot"/>
        </w:tabs>
        <w:spacing w:before="180"/>
        <w:ind w:left="1190"/>
      </w:pPr>
      <w:hyperlink w:history="true" w:anchor="_bookmark106">
        <w:r>
          <w:rPr/>
          <w:t>lower</w:t>
        </w:r>
        <w:r>
          <w:rPr>
            <w:spacing w:val="-7"/>
          </w:rPr>
          <w:t> </w:t>
        </w:r>
        <w:r>
          <w:rPr>
            <w:spacing w:val="-2"/>
          </w:rPr>
          <w:t>loss).</w:t>
        </w:r>
      </w:hyperlink>
      <w:r>
        <w:rPr/>
        <w:tab/>
      </w:r>
      <w:r>
        <w:rPr>
          <w:spacing w:val="-5"/>
        </w:rPr>
        <w:t>88</w:t>
      </w:r>
    </w:p>
    <w:p>
      <w:pPr>
        <w:pStyle w:val="BodyText"/>
        <w:tabs>
          <w:tab w:pos="9399" w:val="left" w:leader="dot"/>
        </w:tabs>
        <w:spacing w:before="180"/>
        <w:ind w:left="1190"/>
      </w:pPr>
      <w:r>
        <w:rPr>
          <w:i/>
        </w:rPr>
        <w:t>손실이 적음).</w:t>
        <w:tab/>
        <w:t>88</w:t>
      </w:r>
    </w:p>
    <w:p>
      <w:pPr>
        <w:pStyle w:val="ListParagraph"/>
        <w:numPr>
          <w:ilvl w:val="1"/>
          <w:numId w:val="6"/>
        </w:numPr>
        <w:tabs>
          <w:tab w:pos="1190" w:val="left" w:leader="none"/>
          <w:tab w:pos="9399" w:val="left" w:leader="dot"/>
        </w:tabs>
        <w:spacing w:line="240" w:lineRule="auto" w:before="194" w:after="0"/>
        <w:ind w:left="1190" w:right="0" w:hanging="549"/>
        <w:jc w:val="left"/>
        <w:rPr>
          <w:sz w:val="24"/>
        </w:rPr>
      </w:pPr>
      <w:hyperlink w:history="true" w:anchor="_bookmark107">
        <w:r>
          <w:rPr>
            <w:sz w:val="24"/>
          </w:rPr>
          <w:t>Domain</w:t>
        </w:r>
        <w:r>
          <w:rPr>
            <w:spacing w:val="-10"/>
            <w:sz w:val="24"/>
          </w:rPr>
          <w:t> </w:t>
        </w:r>
        <w:r>
          <w:rPr>
            <w:sz w:val="24"/>
          </w:rPr>
          <w:t>alignment</w:t>
        </w:r>
        <w:r>
          <w:rPr>
            <w:spacing w:val="-10"/>
            <w:sz w:val="24"/>
          </w:rPr>
          <w:t> </w:t>
        </w:r>
        <w:r>
          <w:rPr>
            <w:sz w:val="24"/>
          </w:rPr>
          <w:t>with</w:t>
        </w:r>
        <w:r>
          <w:rPr>
            <w:spacing w:val="-9"/>
            <w:sz w:val="24"/>
          </w:rPr>
          <w:t> </w:t>
        </w:r>
        <w:r>
          <w:rPr>
            <w:sz w:val="24"/>
          </w:rPr>
          <w:t>Sybil-adjusted</w:t>
        </w:r>
        <w:r>
          <w:rPr>
            <w:spacing w:val="-10"/>
            <w:sz w:val="24"/>
          </w:rPr>
          <w:t> </w:t>
        </w:r>
        <w:r>
          <w:rPr>
            <w:sz w:val="24"/>
          </w:rPr>
          <w:t>stability</w:t>
        </w:r>
        <w:r>
          <w:rPr>
            <w:spacing w:val="-9"/>
            <w:sz w:val="24"/>
          </w:rPr>
          <w:t> </w:t>
        </w:r>
        <w:r>
          <w:rPr>
            <w:sz w:val="24"/>
          </w:rPr>
          <w:t>proxies</w:t>
        </w:r>
        <w:r>
          <w:rPr>
            <w:spacing w:val="-10"/>
            <w:sz w:val="24"/>
          </w:rPr>
          <w:t> </w:t>
        </w:r>
        <w:r>
          <w:rPr>
            <w:sz w:val="24"/>
          </w:rPr>
          <w:t>from</w:t>
        </w:r>
        <w:r>
          <w:rPr>
            <w:spacing w:val="-9"/>
            <w:sz w:val="24"/>
          </w:rPr>
          <w:t> </w:t>
        </w:r>
        <w:r>
          <w:rPr>
            <w:sz w:val="24"/>
          </w:rPr>
          <w:t>transfer</w:t>
        </w:r>
        <w:r>
          <w:rPr>
            <w:spacing w:val="-10"/>
            <w:sz w:val="24"/>
          </w:rPr>
          <w:t> </w:t>
        </w:r>
        <w:r>
          <w:rPr>
            <w:spacing w:val="-2"/>
            <w:sz w:val="24"/>
          </w:rPr>
          <w:t>activity</w:t>
        </w:r>
      </w:hyperlink>
      <w:r>
        <w:rPr>
          <w:sz w:val="24"/>
        </w:rPr>
        <w:tab/>
      </w:r>
      <w:r>
        <w:rPr>
          <w:spacing w:val="-5"/>
          <w:sz w:val="24"/>
        </w:rPr>
        <w:t>89</w:t>
      </w:r>
    </w:p>
    <w:p>
      <w:pPr>
        <w:pStyle w:val="ListParagraph"/>
        <w:numPr>
          <w:ilvl w:val="1"/>
          <w:numId w:val="6"/>
        </w:numPr>
        <w:tabs>
          <w:tab w:pos="1190" w:val="left" w:leader="none"/>
          <w:tab w:pos="9399" w:val="left" w:leader="dot"/>
        </w:tabs>
        <w:spacing w:line="240" w:lineRule="auto" w:before="194" w:after="0"/>
        <w:ind w:left="1190" w:right="0" w:hanging="549"/>
        <w:jc w:val="left"/>
        <w:rPr>
          <w:sz w:val="24"/>
        </w:rPr>
      </w:pPr>
      <w:r>
        <w:rPr>
          <w:i/>
        </w:rPr>
        <w:t>이전 활동에서 Sybil 조정된 안정성 프록시와 도메인 정렬</w:t>
        <w:tab/>
        <w:t>89</w:t>
      </w:r>
    </w:p>
    <w:p>
      <w:pPr>
        <w:pStyle w:val="ListParagraph"/>
        <w:numPr>
          <w:ilvl w:val="1"/>
          <w:numId w:val="6"/>
        </w:numPr>
        <w:tabs>
          <w:tab w:pos="1190" w:val="left" w:leader="none"/>
        </w:tabs>
        <w:spacing w:line="240" w:lineRule="auto" w:before="195" w:after="0"/>
        <w:ind w:left="1190" w:right="0" w:hanging="549"/>
        <w:jc w:val="left"/>
        <w:rPr>
          <w:sz w:val="24"/>
        </w:rPr>
      </w:pPr>
      <w:hyperlink w:history="true" w:anchor="_bookmark108">
        <w:r>
          <w:rPr>
            <w:sz w:val="24"/>
          </w:rPr>
          <w:t>Domain</w:t>
        </w:r>
        <w:r>
          <w:rPr>
            <w:spacing w:val="-9"/>
            <w:sz w:val="24"/>
          </w:rPr>
          <w:t> </w:t>
        </w:r>
        <w:r>
          <w:rPr>
            <w:sz w:val="24"/>
          </w:rPr>
          <w:t>alignment</w:t>
        </w:r>
        <w:r>
          <w:rPr>
            <w:spacing w:val="-8"/>
            <w:sz w:val="24"/>
          </w:rPr>
          <w:t> </w:t>
        </w:r>
        <w:r>
          <w:rPr>
            <w:sz w:val="24"/>
          </w:rPr>
          <w:t>with</w:t>
        </w:r>
        <w:r>
          <w:rPr>
            <w:spacing w:val="-8"/>
            <w:sz w:val="24"/>
          </w:rPr>
          <w:t> </w:t>
        </w:r>
        <w:r>
          <w:rPr>
            <w:sz w:val="24"/>
          </w:rPr>
          <w:t>GMX</w:t>
        </w:r>
        <w:r>
          <w:rPr>
            <w:spacing w:val="-9"/>
            <w:sz w:val="24"/>
          </w:rPr>
          <w:t> </w:t>
        </w:r>
        <w:r>
          <w:rPr>
            <w:sz w:val="24"/>
          </w:rPr>
          <w:t>V2</w:t>
        </w:r>
        <w:r>
          <w:rPr>
            <w:spacing w:val="-8"/>
            <w:sz w:val="24"/>
          </w:rPr>
          <w:t> </w:t>
        </w:r>
        <w:r>
          <w:rPr>
            <w:sz w:val="24"/>
          </w:rPr>
          <w:t>margin-trading</w:t>
        </w:r>
        <w:r>
          <w:rPr>
            <w:spacing w:val="-8"/>
            <w:sz w:val="24"/>
          </w:rPr>
          <w:t> </w:t>
        </w:r>
        <w:r>
          <w:rPr>
            <w:sz w:val="24"/>
          </w:rPr>
          <w:t>success</w:t>
        </w:r>
        <w:r>
          <w:rPr>
            <w:spacing w:val="-8"/>
            <w:sz w:val="24"/>
          </w:rPr>
          <w:t> </w:t>
        </w:r>
        <w:r>
          <w:rPr>
            <w:sz w:val="24"/>
          </w:rPr>
          <w:t>proxies</w:t>
        </w:r>
        <w:r>
          <w:rPr>
            <w:spacing w:val="-9"/>
            <w:sz w:val="24"/>
          </w:rPr>
          <w:t> </w:t>
        </w:r>
        <w:r>
          <w:rPr>
            <w:sz w:val="24"/>
          </w:rPr>
          <w:t>on</w:t>
        </w:r>
        <w:r>
          <w:rPr>
            <w:spacing w:val="-8"/>
            <w:sz w:val="24"/>
          </w:rPr>
          <w:t> </w:t>
        </w:r>
        <w:r>
          <w:rPr>
            <w:sz w:val="24"/>
          </w:rPr>
          <w:t>Arbitrum</w:t>
        </w:r>
        <w:r>
          <w:rPr>
            <w:spacing w:val="-8"/>
            <w:sz w:val="24"/>
          </w:rPr>
          <w:t> </w:t>
        </w:r>
        <w:r>
          <w:rPr>
            <w:sz w:val="24"/>
          </w:rPr>
          <w:t>One.</w:t>
        </w:r>
      </w:hyperlink>
      <w:r>
        <w:rPr>
          <w:spacing w:val="60"/>
          <w:w w:val="150"/>
          <w:sz w:val="24"/>
        </w:rPr>
        <w:t> </w:t>
      </w:r>
      <w:r>
        <w:rPr>
          <w:spacing w:val="-5"/>
          <w:sz w:val="24"/>
        </w:rPr>
        <w:t>90</w:t>
      </w:r>
    </w:p>
    <w:p>
      <w:pPr>
        <w:pStyle w:val="ListParagraph"/>
        <w:numPr>
          <w:ilvl w:val="1"/>
          <w:numId w:val="6"/>
        </w:numPr>
        <w:tabs>
          <w:tab w:pos="1190" w:val="left" w:leader="none"/>
        </w:tabs>
        <w:spacing w:line="240" w:lineRule="auto" w:before="195" w:after="0"/>
        <w:ind w:left="1190" w:right="0" w:hanging="549"/>
        <w:jc w:val="left"/>
        <w:rPr>
          <w:sz w:val="24"/>
        </w:rPr>
      </w:pPr>
      <w:r>
        <w:rPr>
          <w:i/>
        </w:rPr>
        <w:t>Arbitrum One의 GMX V2 마진 거래 성공 프록시와 도메인 정렬. 90</w:t>
      </w:r>
    </w:p>
    <w:p>
      <w:pPr>
        <w:pStyle w:val="ListParagraph"/>
        <w:numPr>
          <w:ilvl w:val="1"/>
          <w:numId w:val="7"/>
        </w:numPr>
        <w:tabs>
          <w:tab w:pos="1190" w:val="left" w:leader="none"/>
        </w:tabs>
        <w:spacing w:line="240" w:lineRule="auto" w:before="354" w:after="0"/>
        <w:ind w:left="1190" w:right="0" w:hanging="549"/>
        <w:jc w:val="left"/>
        <w:rPr>
          <w:rFonts w:ascii="Calibri" w:hAnsi="Calibri"/>
          <w:sz w:val="24"/>
        </w:rPr>
      </w:pPr>
      <w:hyperlink w:history="true" w:anchor="_bookmark202">
        <w:r>
          <w:rPr>
            <w:w w:val="105"/>
            <w:sz w:val="24"/>
          </w:rPr>
          <w:t>In-cohort</w:t>
        </w:r>
        <w:r>
          <w:rPr>
            <w:spacing w:val="31"/>
            <w:w w:val="105"/>
            <w:sz w:val="24"/>
          </w:rPr>
          <w:t> </w:t>
        </w:r>
        <w:r>
          <w:rPr>
            <w:w w:val="105"/>
            <w:sz w:val="24"/>
          </w:rPr>
          <w:t>runtime</w:t>
        </w:r>
        <w:r>
          <w:rPr>
            <w:spacing w:val="32"/>
            <w:w w:val="105"/>
            <w:sz w:val="24"/>
          </w:rPr>
          <w:t> </w:t>
        </w:r>
        <w:r>
          <w:rPr>
            <w:w w:val="105"/>
            <w:sz w:val="24"/>
          </w:rPr>
          <w:t>scaling</w:t>
        </w:r>
        <w:r>
          <w:rPr>
            <w:spacing w:val="32"/>
            <w:w w:val="105"/>
            <w:sz w:val="24"/>
          </w:rPr>
          <w:t> </w:t>
        </w:r>
        <w:r>
          <w:rPr>
            <w:w w:val="105"/>
            <w:sz w:val="24"/>
          </w:rPr>
          <w:t>(SHA256</w:t>
        </w:r>
        <w:r>
          <w:rPr>
            <w:spacing w:val="32"/>
            <w:w w:val="105"/>
            <w:sz w:val="24"/>
          </w:rPr>
          <w:t> </w:t>
        </w:r>
        <w:r>
          <w:rPr>
            <w:w w:val="105"/>
            <w:sz w:val="24"/>
          </w:rPr>
          <w:t>seed</w:t>
        </w:r>
        <w:r>
          <w:rPr>
            <w:spacing w:val="31"/>
            <w:w w:val="105"/>
            <w:sz w:val="24"/>
          </w:rPr>
          <w:t> </w:t>
        </w:r>
        <w:r>
          <w:rPr>
            <w:rFonts w:ascii="Calibri" w:hAnsi="Calibri"/>
            <w:w w:val="105"/>
            <w:sz w:val="24"/>
          </w:rPr>
          <w:t>benchmark-</w:t>
        </w:r>
        <w:r>
          <w:rPr>
            <w:rFonts w:ascii="Calibri" w:hAnsi="Calibri"/>
            <w:w w:val="120"/>
            <w:sz w:val="24"/>
          </w:rPr>
          <w:t>scale-</w:t>
        </w:r>
        <w:r>
          <w:rPr>
            <w:rFonts w:ascii="Calibri" w:hAnsi="Calibri"/>
            <w:w w:val="105"/>
            <w:sz w:val="24"/>
          </w:rPr>
          <w:t>v1</w:t>
        </w:r>
        <w:r>
          <w:rPr>
            <w:w w:val="105"/>
            <w:sz w:val="24"/>
          </w:rPr>
          <w:t>;</w:t>
        </w:r>
        <w:r>
          <w:rPr>
            <w:spacing w:val="52"/>
            <w:w w:val="105"/>
            <w:sz w:val="24"/>
          </w:rPr>
          <w:t> </w:t>
        </w:r>
        <w:r>
          <w:rPr>
            <w:rFonts w:ascii="Calibri" w:hAnsi="Calibri"/>
            <w:i/>
            <w:w w:val="105"/>
            <w:sz w:val="24"/>
          </w:rPr>
          <w:t>n</w:t>
        </w:r>
        <w:r>
          <w:rPr>
            <w:rFonts w:ascii="Calibri" w:hAnsi="Calibri"/>
            <w:i/>
            <w:spacing w:val="68"/>
            <w:w w:val="150"/>
            <w:sz w:val="24"/>
          </w:rPr>
          <w:t> </w:t>
        </w:r>
        <w:r>
          <w:rPr>
            <w:rFonts w:ascii="Lucida Sans Unicode" w:hAnsi="Lucida Sans Unicode"/>
            <w:w w:val="105"/>
            <w:sz w:val="24"/>
          </w:rPr>
          <w:t>≤</w:t>
        </w:r>
        <w:r>
          <w:rPr>
            <w:rFonts w:ascii="Lucida Sans Unicode" w:hAnsi="Lucida Sans Unicode"/>
            <w:spacing w:val="69"/>
            <w:w w:val="105"/>
            <w:sz w:val="24"/>
          </w:rPr>
          <w:t> </w:t>
        </w:r>
        <w:r>
          <w:rPr>
            <w:rFonts w:ascii="Calibri" w:hAnsi="Calibri"/>
            <w:spacing w:val="-2"/>
            <w:w w:val="105"/>
            <w:sz w:val="24"/>
          </w:rPr>
          <w:t>5</w:t>
        </w:r>
        <w:r>
          <w:rPr>
            <w:rFonts w:ascii="Calibri" w:hAnsi="Calibri"/>
            <w:i/>
            <w:spacing w:val="-2"/>
            <w:w w:val="105"/>
            <w:sz w:val="24"/>
          </w:rPr>
          <w:t>,</w:t>
        </w:r>
        <w:r>
          <w:rPr>
            <w:rFonts w:ascii="Calibri" w:hAnsi="Calibri"/>
            <w:spacing w:val="-2"/>
            <w:w w:val="105"/>
            <w:sz w:val="24"/>
          </w:rPr>
          <w:t>521</w:t>
        </w:r>
      </w:hyperlink>
    </w:p>
    <w:p>
      <w:pPr>
        <w:pStyle w:val="ListParagraph"/>
        <w:numPr>
          <w:ilvl w:val="1"/>
          <w:numId w:val="7"/>
        </w:numPr>
        <w:tabs>
          <w:tab w:pos="1190" w:val="left" w:leader="none"/>
        </w:tabs>
        <w:spacing w:line="240" w:lineRule="auto" w:before="354" w:after="0"/>
        <w:ind w:left="1190" w:right="0" w:hanging="549"/>
        <w:jc w:val="left"/>
        <w:rPr>
          <w:rFonts w:ascii="Calibri" w:hAnsi="Calibri"/>
          <w:sz w:val="24"/>
        </w:rPr>
      </w:pPr>
      <w:r>
        <w:rPr>
          <w:i/>
        </w:rPr>
        <w:t>코호트 내 런타임 확장(SHA256 시드 벤치마크-규모-v1, n ≤ 5,521</w:t>
      </w:r>
    </w:p>
    <w:p>
      <w:pPr>
        <w:pStyle w:val="BodyText"/>
        <w:tabs>
          <w:tab w:pos="9280" w:val="left" w:leader="dot"/>
        </w:tabs>
        <w:spacing w:before="127"/>
        <w:ind w:left="1190"/>
      </w:pPr>
      <w:hyperlink w:history="true" w:anchor="_bookmark202">
        <w:r>
          <w:rPr/>
          <w:t>matched</w:t>
        </w:r>
        <w:r>
          <w:rPr>
            <w:spacing w:val="-9"/>
          </w:rPr>
          <w:t> </w:t>
        </w:r>
        <w:r>
          <w:rPr/>
          <w:t>GMX</w:t>
        </w:r>
        <w:r>
          <w:rPr>
            <w:spacing w:val="-9"/>
          </w:rPr>
          <w:t> </w:t>
        </w:r>
        <w:r>
          <w:rPr>
            <w:spacing w:val="-2"/>
          </w:rPr>
          <w:t>cohort).</w:t>
        </w:r>
      </w:hyperlink>
      <w:r>
        <w:rPr/>
        <w:tab/>
      </w:r>
      <w:r>
        <w:rPr>
          <w:spacing w:val="-5"/>
        </w:rPr>
        <w:t>130</w:t>
      </w:r>
    </w:p>
    <w:p>
      <w:pPr>
        <w:pStyle w:val="BodyText"/>
        <w:tabs>
          <w:tab w:pos="9280" w:val="left" w:leader="dot"/>
        </w:tabs>
        <w:spacing w:before="127"/>
        <w:ind w:left="1190"/>
      </w:pPr>
      <w:r>
        <w:rPr>
          <w:i/>
        </w:rPr>
        <w:t>GMX 코호트와 일치).</w:t>
        <w:tab/>
        <w:t>130</w:t>
      </w:r>
    </w:p>
    <w:p>
      <w:pPr>
        <w:pStyle w:val="ListParagraph"/>
        <w:numPr>
          <w:ilvl w:val="1"/>
          <w:numId w:val="7"/>
        </w:numPr>
        <w:tabs>
          <w:tab w:pos="1190" w:val="left" w:leader="none"/>
          <w:tab w:pos="9280" w:val="left" w:leader="dot"/>
        </w:tabs>
        <w:spacing w:line="240" w:lineRule="auto" w:before="190" w:after="0"/>
        <w:ind w:left="1190" w:right="0" w:hanging="549"/>
        <w:jc w:val="left"/>
        <w:rPr>
          <w:sz w:val="24"/>
        </w:rPr>
      </w:pPr>
      <w:hyperlink w:history="true" w:anchor="_bookmark205">
        <w:r>
          <w:rPr>
            <w:sz w:val="24"/>
          </w:rPr>
          <w:t>Mean</w:t>
        </w:r>
        <w:r>
          <w:rPr>
            <w:spacing w:val="-3"/>
            <w:sz w:val="24"/>
          </w:rPr>
          <w:t> </w:t>
        </w:r>
        <w:r>
          <w:rPr>
            <w:sz w:val="24"/>
          </w:rPr>
          <w:t>Kendall</w:t>
        </w:r>
        <w:r>
          <w:rPr>
            <w:spacing w:val="-3"/>
            <w:sz w:val="24"/>
          </w:rPr>
          <w:t> </w:t>
        </w:r>
        <w:r>
          <w:rPr>
            <w:rFonts w:ascii="Calibri" w:hAnsi="Calibri"/>
            <w:i/>
            <w:sz w:val="24"/>
          </w:rPr>
          <w:t>τ</w:t>
        </w:r>
        <w:r>
          <w:rPr>
            <w:rFonts w:ascii="Calibri" w:hAnsi="Calibri"/>
            <w:i/>
            <w:spacing w:val="30"/>
            <w:sz w:val="24"/>
          </w:rPr>
          <w:t> </w:t>
        </w:r>
        <w:r>
          <w:rPr>
            <w:sz w:val="24"/>
          </w:rPr>
          <w:t>by</w:t>
        </w:r>
        <w:r>
          <w:rPr>
            <w:spacing w:val="-2"/>
            <w:sz w:val="24"/>
          </w:rPr>
          <w:t> </w:t>
        </w:r>
        <w:r>
          <w:rPr>
            <w:sz w:val="24"/>
          </w:rPr>
          <w:t>proxy</w:t>
        </w:r>
        <w:r>
          <w:rPr>
            <w:spacing w:val="-3"/>
            <w:sz w:val="24"/>
          </w:rPr>
          <w:t> </w:t>
        </w:r>
        <w:r>
          <w:rPr>
            <w:sz w:val="24"/>
          </w:rPr>
          <w:t>family:</w:t>
        </w:r>
        <w:r>
          <w:rPr>
            <w:spacing w:val="17"/>
            <w:sz w:val="24"/>
          </w:rPr>
          <w:t> </w:t>
        </w:r>
        <w:r>
          <w:rPr>
            <w:sz w:val="24"/>
          </w:rPr>
          <w:t>EndorseRank,</w:t>
        </w:r>
        <w:r>
          <w:rPr>
            <w:spacing w:val="-2"/>
            <w:sz w:val="24"/>
          </w:rPr>
          <w:t> </w:t>
        </w:r>
        <w:r>
          <w:rPr>
            <w:sz w:val="24"/>
          </w:rPr>
          <w:t>AWP,</w:t>
        </w:r>
        <w:r>
          <w:rPr>
            <w:spacing w:val="-3"/>
            <w:sz w:val="24"/>
          </w:rPr>
          <w:t> </w:t>
        </w:r>
        <w:r>
          <w:rPr>
            <w:sz w:val="24"/>
          </w:rPr>
          <w:t>and</w:t>
        </w:r>
        <w:r>
          <w:rPr>
            <w:spacing w:val="-3"/>
            <w:sz w:val="24"/>
          </w:rPr>
          <w:t> </w:t>
        </w:r>
        <w:r>
          <w:rPr>
            <w:sz w:val="24"/>
          </w:rPr>
          <w:t>GF-PR</w:t>
        </w:r>
        <w:r>
          <w:rPr>
            <w:spacing w:val="-2"/>
            <w:sz w:val="24"/>
          </w:rPr>
          <w:t> </w:t>
        </w:r>
        <w:r>
          <w:rPr>
            <w:sz w:val="24"/>
          </w:rPr>
          <w:t>(</w:t>
        </w:r>
        <w:r>
          <w:rPr>
            <w:rFonts w:ascii="Calibri" w:hAnsi="Calibri"/>
            <w:i/>
            <w:sz w:val="24"/>
          </w:rPr>
          <w:t>n</w:t>
        </w:r>
        <w:r>
          <w:rPr>
            <w:rFonts w:ascii="Calibri" w:hAnsi="Calibri"/>
            <w:i/>
            <w:spacing w:val="10"/>
            <w:sz w:val="24"/>
          </w:rPr>
          <w:t> </w:t>
        </w:r>
        <w:r>
          <w:rPr>
            <w:rFonts w:ascii="Calibri" w:hAnsi="Calibri"/>
            <w:sz w:val="24"/>
          </w:rPr>
          <w:t>=</w:t>
        </w:r>
        <w:r>
          <w:rPr>
            <w:rFonts w:ascii="Calibri" w:hAnsi="Calibri"/>
            <w:spacing w:val="10"/>
            <w:sz w:val="24"/>
          </w:rPr>
          <w:t> </w:t>
        </w:r>
        <w:r>
          <w:rPr>
            <w:rFonts w:ascii="Calibri" w:hAnsi="Calibri"/>
            <w:spacing w:val="-2"/>
            <w:sz w:val="24"/>
          </w:rPr>
          <w:t>5521</w:t>
        </w:r>
        <w:r>
          <w:rPr>
            <w:spacing w:val="-2"/>
            <w:sz w:val="24"/>
          </w:rPr>
          <w:t>).</w:t>
        </w:r>
      </w:hyperlink>
      <w:r>
        <w:rPr>
          <w:sz w:val="24"/>
        </w:rPr>
        <w:tab/>
      </w:r>
      <w:r>
        <w:rPr>
          <w:spacing w:val="-5"/>
          <w:sz w:val="24"/>
        </w:rPr>
        <w:t>131</w:t>
      </w:r>
    </w:p>
    <w:p>
      <w:pPr>
        <w:pStyle w:val="ListParagraph"/>
        <w:numPr>
          <w:ilvl w:val="1"/>
          <w:numId w:val="7"/>
        </w:numPr>
        <w:tabs>
          <w:tab w:pos="1190" w:val="left" w:leader="none"/>
          <w:tab w:pos="9280" w:val="left" w:leader="dot"/>
        </w:tabs>
        <w:spacing w:line="240" w:lineRule="auto" w:before="190" w:after="0"/>
        <w:ind w:left="1190" w:right="0" w:hanging="549"/>
        <w:jc w:val="left"/>
        <w:rPr>
          <w:sz w:val="24"/>
        </w:rPr>
      </w:pPr>
      <w:r>
        <w:rPr>
          <w:i/>
        </w:rPr>
        <w:t>프록시 패밀리의 평균 Kendall τ: EndorseRank, AWP 및 GF-PR(n = 5521).</w:t>
        <w:tab/>
        <w:t>131</w:t>
      </w:r>
    </w:p>
    <w:p>
      <w:pPr>
        <w:pStyle w:val="ListParagraph"/>
        <w:numPr>
          <w:ilvl w:val="1"/>
          <w:numId w:val="7"/>
        </w:numPr>
        <w:tabs>
          <w:tab w:pos="1190" w:val="left" w:leader="none"/>
          <w:tab w:pos="9280" w:val="left" w:leader="dot"/>
        </w:tabs>
        <w:spacing w:line="240" w:lineRule="auto" w:before="181" w:after="0"/>
        <w:ind w:left="1190" w:right="0" w:hanging="549"/>
        <w:jc w:val="left"/>
        <w:rPr>
          <w:sz w:val="24"/>
        </w:rPr>
      </w:pPr>
      <w:hyperlink w:history="true" w:anchor="_bookmark208">
        <w:r>
          <w:rPr>
            <w:sz w:val="24"/>
          </w:rPr>
          <w:t>Default</w:t>
        </w:r>
        <w:r>
          <w:rPr>
            <w:spacing w:val="-9"/>
            <w:sz w:val="24"/>
          </w:rPr>
          <w:t> </w:t>
        </w:r>
        <w:r>
          <w:rPr>
            <w:sz w:val="24"/>
          </w:rPr>
          <w:t>parameters</w:t>
        </w:r>
        <w:r>
          <w:rPr>
            <w:spacing w:val="-8"/>
            <w:sz w:val="24"/>
          </w:rPr>
          <w:t> </w:t>
        </w:r>
        <w:r>
          <w:rPr>
            <w:sz w:val="24"/>
          </w:rPr>
          <w:t>used</w:t>
        </w:r>
        <w:r>
          <w:rPr>
            <w:spacing w:val="-8"/>
            <w:sz w:val="24"/>
          </w:rPr>
          <w:t> </w:t>
        </w:r>
        <w:r>
          <w:rPr>
            <w:sz w:val="24"/>
          </w:rPr>
          <w:t>in</w:t>
        </w:r>
        <w:r>
          <w:rPr>
            <w:spacing w:val="-9"/>
            <w:sz w:val="24"/>
          </w:rPr>
          <w:t> </w:t>
        </w:r>
        <w:r>
          <w:rPr>
            <w:sz w:val="24"/>
          </w:rPr>
          <w:t>the</w:t>
        </w:r>
        <w:r>
          <w:rPr>
            <w:spacing w:val="-8"/>
            <w:sz w:val="24"/>
          </w:rPr>
          <w:t> </w:t>
        </w:r>
        <w:r>
          <w:rPr>
            <w:sz w:val="24"/>
          </w:rPr>
          <w:t>primary</w:t>
        </w:r>
        <w:r>
          <w:rPr>
            <w:spacing w:val="-8"/>
            <w:sz w:val="24"/>
          </w:rPr>
          <w:t> </w:t>
        </w:r>
        <w:r>
          <w:rPr>
            <w:spacing w:val="-2"/>
            <w:sz w:val="24"/>
          </w:rPr>
          <w:t>evaluation.</w:t>
        </w:r>
      </w:hyperlink>
      <w:r>
        <w:rPr>
          <w:sz w:val="24"/>
        </w:rPr>
        <w:tab/>
      </w:r>
      <w:r>
        <w:rPr>
          <w:spacing w:val="-5"/>
          <w:sz w:val="24"/>
        </w:rPr>
        <w:t>132</w:t>
      </w:r>
    </w:p>
    <w:p>
      <w:pPr>
        <w:pStyle w:val="ListParagraph"/>
        <w:numPr>
          <w:ilvl w:val="1"/>
          <w:numId w:val="7"/>
        </w:numPr>
        <w:tabs>
          <w:tab w:pos="1190" w:val="left" w:leader="none"/>
          <w:tab w:pos="9280" w:val="left" w:leader="dot"/>
        </w:tabs>
        <w:spacing w:line="240" w:lineRule="auto" w:before="181" w:after="0"/>
        <w:ind w:left="1190" w:right="0" w:hanging="549"/>
        <w:jc w:val="left"/>
        <w:rPr>
          <w:sz w:val="24"/>
        </w:rPr>
      </w:pPr>
      <w:r>
        <w:rPr>
          <w:i/>
        </w:rPr>
        <w:t>1차 평가에 사용되는 기본 매개변수입니다.</w:t>
        <w:tab/>
        <w:t>132</w:t>
      </w:r>
    </w:p>
    <w:p>
      <w:pPr>
        <w:pStyle w:val="ListParagraph"/>
        <w:numPr>
          <w:ilvl w:val="1"/>
          <w:numId w:val="7"/>
        </w:numPr>
        <w:tabs>
          <w:tab w:pos="1190" w:val="left" w:leader="none"/>
        </w:tabs>
        <w:spacing w:line="240" w:lineRule="auto" w:before="190" w:after="0"/>
        <w:ind w:left="1190" w:right="0" w:hanging="549"/>
        <w:jc w:val="left"/>
        <w:rPr>
          <w:sz w:val="24"/>
        </w:rPr>
      </w:pPr>
      <w:hyperlink w:history="true" w:anchor="_bookmark229">
        <w:r>
          <w:rPr>
            <w:w w:val="105"/>
            <w:sz w:val="24"/>
          </w:rPr>
          <w:t>Mean</w:t>
        </w:r>
        <w:r>
          <w:rPr>
            <w:spacing w:val="-16"/>
            <w:w w:val="105"/>
            <w:sz w:val="24"/>
          </w:rPr>
          <w:t> </w:t>
        </w:r>
        <w:r>
          <w:rPr>
            <w:w w:val="105"/>
            <w:sz w:val="24"/>
          </w:rPr>
          <w:t>Kendall</w:t>
        </w:r>
        <w:r>
          <w:rPr>
            <w:spacing w:val="-15"/>
            <w:w w:val="105"/>
            <w:sz w:val="24"/>
          </w:rPr>
          <w:t> </w:t>
        </w:r>
        <w:r>
          <w:rPr>
            <w:rFonts w:ascii="Calibri" w:hAnsi="Calibri"/>
            <w:i/>
            <w:w w:val="105"/>
            <w:sz w:val="24"/>
          </w:rPr>
          <w:t>τ</w:t>
        </w:r>
        <w:r>
          <w:rPr>
            <w:rFonts w:ascii="Calibri" w:hAnsi="Calibri"/>
            <w:i/>
            <w:spacing w:val="9"/>
            <w:w w:val="105"/>
            <w:sz w:val="24"/>
          </w:rPr>
          <w:t> </w:t>
        </w:r>
        <w:r>
          <w:rPr>
            <w:w w:val="105"/>
            <w:sz w:val="24"/>
          </w:rPr>
          <w:t>by</w:t>
        </w:r>
        <w:r>
          <w:rPr>
            <w:spacing w:val="-15"/>
            <w:w w:val="105"/>
            <w:sz w:val="24"/>
          </w:rPr>
          <w:t> </w:t>
        </w:r>
        <w:r>
          <w:rPr>
            <w:w w:val="105"/>
            <w:sz w:val="24"/>
          </w:rPr>
          <w:t>proxy</w:t>
        </w:r>
        <w:r>
          <w:rPr>
            <w:spacing w:val="-15"/>
            <w:w w:val="105"/>
            <w:sz w:val="24"/>
          </w:rPr>
          <w:t> </w:t>
        </w:r>
        <w:r>
          <w:rPr>
            <w:w w:val="105"/>
            <w:sz w:val="24"/>
          </w:rPr>
          <w:t>family</w:t>
        </w:r>
        <w:r>
          <w:rPr>
            <w:spacing w:val="-15"/>
            <w:w w:val="105"/>
            <w:sz w:val="24"/>
          </w:rPr>
          <w:t> </w:t>
        </w:r>
        <w:r>
          <w:rPr>
            <w:w w:val="105"/>
            <w:sz w:val="24"/>
          </w:rPr>
          <w:t>across</w:t>
        </w:r>
        <w:r>
          <w:rPr>
            <w:spacing w:val="-15"/>
            <w:w w:val="105"/>
            <w:sz w:val="24"/>
          </w:rPr>
          <w:t> </w:t>
        </w:r>
        <w:r>
          <w:rPr>
            <w:w w:val="105"/>
            <w:sz w:val="24"/>
          </w:rPr>
          <w:t>7</w:t>
        </w:r>
        <w:r>
          <w:rPr>
            <w:spacing w:val="-15"/>
            <w:w w:val="105"/>
            <w:sz w:val="24"/>
          </w:rPr>
          <w:t> </w:t>
        </w:r>
        <w:r>
          <w:rPr>
            <w:w w:val="105"/>
            <w:sz w:val="24"/>
          </w:rPr>
          <w:t>PageRank</w:t>
        </w:r>
        <w:r>
          <w:rPr>
            <w:spacing w:val="-15"/>
            <w:w w:val="105"/>
            <w:sz w:val="24"/>
          </w:rPr>
          <w:t> </w:t>
        </w:r>
        <w:r>
          <w:rPr>
            <w:w w:val="105"/>
            <w:sz w:val="24"/>
          </w:rPr>
          <w:t>methods</w:t>
        </w:r>
        <w:r>
          <w:rPr>
            <w:spacing w:val="-15"/>
            <w:w w:val="105"/>
            <w:sz w:val="24"/>
          </w:rPr>
          <w:t> </w:t>
        </w:r>
        <w:r>
          <w:rPr>
            <w:w w:val="105"/>
            <w:sz w:val="24"/>
          </w:rPr>
          <w:t>(</w:t>
        </w:r>
        <w:r>
          <w:rPr>
            <w:rFonts w:ascii="Calibri" w:hAnsi="Calibri"/>
            <w:i/>
            <w:w w:val="105"/>
            <w:sz w:val="24"/>
          </w:rPr>
          <w:t>n</w:t>
        </w:r>
        <w:r>
          <w:rPr>
            <w:rFonts w:ascii="Calibri" w:hAnsi="Calibri"/>
            <w:i/>
            <w:spacing w:val="-6"/>
            <w:w w:val="125"/>
            <w:sz w:val="24"/>
          </w:rPr>
          <w:t> </w:t>
        </w:r>
        <w:r>
          <w:rPr>
            <w:rFonts w:ascii="Calibri" w:hAnsi="Calibri"/>
            <w:w w:val="125"/>
            <w:sz w:val="24"/>
          </w:rPr>
          <w:t>=</w:t>
        </w:r>
        <w:r>
          <w:rPr>
            <w:rFonts w:ascii="Calibri" w:hAnsi="Calibri"/>
            <w:spacing w:val="-5"/>
            <w:w w:val="125"/>
            <w:sz w:val="24"/>
          </w:rPr>
          <w:t> </w:t>
        </w:r>
        <w:r>
          <w:rPr>
            <w:rFonts w:ascii="Calibri" w:hAnsi="Calibri"/>
            <w:w w:val="105"/>
            <w:sz w:val="24"/>
          </w:rPr>
          <w:t>5521</w:t>
        </w:r>
        <w:r>
          <w:rPr>
            <w:w w:val="105"/>
            <w:sz w:val="24"/>
          </w:rPr>
          <w:t>).</w:t>
        </w:r>
        <w:r>
          <w:rPr>
            <w:spacing w:val="14"/>
            <w:w w:val="105"/>
            <w:sz w:val="24"/>
          </w:rPr>
          <w:t> </w:t>
        </w:r>
        <w:r>
          <w:rPr>
            <w:spacing w:val="-4"/>
            <w:w w:val="105"/>
            <w:sz w:val="24"/>
          </w:rPr>
          <w:t>Bold</w:t>
        </w:r>
      </w:hyperlink>
    </w:p>
    <w:p>
      <w:pPr>
        <w:pStyle w:val="ListParagraph"/>
        <w:numPr>
          <w:ilvl w:val="1"/>
          <w:numId w:val="7"/>
        </w:numPr>
        <w:tabs>
          <w:tab w:pos="1190" w:val="left" w:leader="none"/>
        </w:tabs>
        <w:spacing w:line="240" w:lineRule="auto" w:before="190" w:after="0"/>
        <w:ind w:left="1190" w:right="0" w:hanging="549"/>
        <w:jc w:val="left"/>
        <w:rPr>
          <w:sz w:val="24"/>
        </w:rPr>
      </w:pPr>
      <w:r>
        <w:rPr>
          <w:i/>
        </w:rPr>
        <w:t>7개 PageRank 방법에 걸쳐 프록시 계열의 평균 Kendall τ(n = 5521). 용감한</w:t>
      </w:r>
    </w:p>
    <w:p>
      <w:pPr>
        <w:pStyle w:val="BodyText"/>
        <w:tabs>
          <w:tab w:pos="9280" w:val="left" w:leader="dot"/>
        </w:tabs>
        <w:spacing w:line="396" w:lineRule="auto" w:before="168"/>
        <w:ind w:left="1190" w:right="564"/>
      </w:pPr>
      <w:hyperlink w:history="true" w:anchor="_bookmark229">
        <w:r>
          <w:rPr/>
          <w:t>= column maximum.</w:t>
        </w:r>
        <w:r>
          <w:rPr>
            <w:spacing w:val="40"/>
          </w:rPr>
          <w:t> </w:t>
        </w:r>
        <w:r>
          <w:rPr/>
          <w:t>Runtime = mean PageRank wall time (s,</w:t>
        </w:r>
        <w:r>
          <w:rPr>
            <w:spacing w:val="29"/>
          </w:rPr>
          <w:t> </w:t>
        </w:r>
        <w:r>
          <w:rPr/>
          <w:t>3 repeats).</w:t>
        </w:r>
        <w:r>
          <w:rPr>
            <w:spacing w:val="40"/>
          </w:rPr>
          <w:t> </w:t>
        </w:r>
        <w:r>
          <w:rPr/>
          <w:t>Edge</w:t>
        </w:r>
      </w:hyperlink>
      <w:r>
        <w:rPr>
          <w:spacing w:val="80"/>
        </w:rPr>
        <w:t> </w:t>
      </w:r>
      <w:hyperlink w:history="true" w:anchor="_bookmark229">
        <w:r>
          <w:rPr/>
          <w:t>counts:</w:t>
        </w:r>
        <w:r>
          <w:rPr>
            <w:spacing w:val="40"/>
          </w:rPr>
          <w:t> </w:t>
        </w:r>
        <w:r>
          <w:rPr/>
          <w:t>liq-pr=45, borrow-pr=484, repay-pr=787, borrow-pr-pool=262, repay-pr-</w:t>
        </w:r>
      </w:hyperlink>
      <w:hyperlink w:history="true" w:anchor="_bookmark229">
        <w:r>
          <w:rPr/>
          <w:t>pool=232, delegation-pr=0.</w:t>
        </w:r>
      </w:hyperlink>
      <w:r>
        <w:rPr/>
        <w:tab/>
      </w:r>
      <w:r>
        <w:rPr>
          <w:spacing w:val="-4"/>
        </w:rPr>
        <w:t>141</w:t>
      </w:r>
    </w:p>
    <w:p>
      <w:pPr>
        <w:pStyle w:val="BodyText"/>
        <w:tabs>
          <w:tab w:pos="9280" w:val="left" w:leader="dot"/>
        </w:tabs>
        <w:spacing w:line="396" w:lineRule="auto" w:before="168"/>
        <w:ind w:left="1190" w:right="564"/>
      </w:pPr>
      <w:r>
        <w:rPr>
          <w:i/>
        </w:rPr>
        <w:t>= 열 최대값. 런타임 = 평균 PageRank 벽 시간(초, 3회 반복). 엣지 카운트: liq-pr=45, rent-pr=484, repay-pr=787, rent-pr-pool=262, repay-pr-pool=232, delegation-pr=0.</w:t>
        <w:tab/>
        <w:t>141</w:t>
      </w:r>
    </w:p>
    <w:p>
      <w:pPr>
        <w:pStyle w:val="ListParagraph"/>
        <w:numPr>
          <w:ilvl w:val="1"/>
          <w:numId w:val="7"/>
        </w:numPr>
        <w:tabs>
          <w:tab w:pos="1182" w:val="left" w:leader="none"/>
          <w:tab w:pos="1189" w:val="left" w:leader="none"/>
        </w:tabs>
        <w:spacing w:line="369" w:lineRule="auto" w:before="13" w:after="0"/>
        <w:ind w:left="1182" w:right="1131" w:hanging="542"/>
        <w:jc w:val="both"/>
        <w:rPr>
          <w:sz w:val="24"/>
        </w:rPr>
      </w:pPr>
      <w:hyperlink w:history="true" w:anchor="_bookmark231">
        <w:r>
          <w:rPr>
            <w:sz w:val="24"/>
          </w:rPr>
          <w:t>Mean</w:t>
        </w:r>
        <w:r>
          <w:rPr>
            <w:spacing w:val="40"/>
            <w:sz w:val="24"/>
          </w:rPr>
          <w:t> </w:t>
        </w:r>
        <w:r>
          <w:rPr>
            <w:sz w:val="24"/>
          </w:rPr>
          <w:t>Kendall</w:t>
        </w:r>
        <w:r>
          <w:rPr>
            <w:spacing w:val="40"/>
            <w:sz w:val="24"/>
          </w:rPr>
          <w:t> </w:t>
        </w:r>
        <w:r>
          <w:rPr>
            <w:rFonts w:ascii="Calibri" w:hAnsi="Calibri"/>
            <w:i/>
            <w:sz w:val="24"/>
          </w:rPr>
          <w:t>τ</w:t>
        </w:r>
        <w:r>
          <w:rPr>
            <w:rFonts w:ascii="Calibri" w:hAnsi="Calibri"/>
            <w:i/>
            <w:spacing w:val="40"/>
            <w:sz w:val="24"/>
          </w:rPr>
          <w:t> </w:t>
        </w:r>
        <w:r>
          <w:rPr>
            <w:sz w:val="24"/>
          </w:rPr>
          <w:t>by</w:t>
        </w:r>
        <w:r>
          <w:rPr>
            <w:spacing w:val="40"/>
            <w:sz w:val="24"/>
          </w:rPr>
          <w:t> </w:t>
        </w:r>
        <w:r>
          <w:rPr>
            <w:sz w:val="24"/>
          </w:rPr>
          <w:t>proxy</w:t>
        </w:r>
        <w:r>
          <w:rPr>
            <w:spacing w:val="40"/>
            <w:sz w:val="24"/>
          </w:rPr>
          <w:t> </w:t>
        </w:r>
        <w:r>
          <w:rPr>
            <w:sz w:val="24"/>
          </w:rPr>
          <w:t>family</w:t>
        </w:r>
        <w:r>
          <w:rPr>
            <w:spacing w:val="40"/>
            <w:sz w:val="24"/>
          </w:rPr>
          <w:t> </w:t>
        </w:r>
        <w:r>
          <w:rPr>
            <w:sz w:val="24"/>
          </w:rPr>
          <w:t>across</w:t>
        </w:r>
        <w:r>
          <w:rPr>
            <w:spacing w:val="40"/>
            <w:sz w:val="24"/>
          </w:rPr>
          <w:t> </w:t>
        </w:r>
        <w:r>
          <w:rPr>
            <w:sz w:val="24"/>
          </w:rPr>
          <w:t>6</w:t>
        </w:r>
        <w:r>
          <w:rPr>
            <w:spacing w:val="40"/>
            <w:sz w:val="24"/>
          </w:rPr>
          <w:t> </w:t>
        </w:r>
        <w:r>
          <w:rPr>
            <w:sz w:val="24"/>
          </w:rPr>
          <w:t>PageRank</w:t>
        </w:r>
        <w:r>
          <w:rPr>
            <w:spacing w:val="40"/>
            <w:sz w:val="24"/>
          </w:rPr>
          <w:t> </w:t>
        </w:r>
        <w:r>
          <w:rPr>
            <w:sz w:val="24"/>
          </w:rPr>
          <w:t>methods</w:t>
        </w:r>
        <w:r>
          <w:rPr>
            <w:spacing w:val="40"/>
            <w:sz w:val="24"/>
          </w:rPr>
          <w:t> </w:t>
        </w:r>
        <w:r>
          <w:rPr>
            <w:sz w:val="24"/>
          </w:rPr>
          <w:t>(</w:t>
        </w:r>
        <w:r>
          <w:rPr>
            <w:rFonts w:ascii="Calibri" w:hAnsi="Calibri"/>
            <w:i/>
            <w:sz w:val="24"/>
          </w:rPr>
          <w:t>n</w:t>
        </w:r>
        <w:r>
          <w:rPr>
            <w:rFonts w:ascii="Calibri" w:hAnsi="Calibri"/>
            <w:i/>
            <w:spacing w:val="80"/>
            <w:w w:val="120"/>
            <w:sz w:val="24"/>
          </w:rPr>
          <w:t> </w:t>
        </w:r>
        <w:r>
          <w:rPr>
            <w:rFonts w:ascii="Calibri" w:hAnsi="Calibri"/>
            <w:w w:val="120"/>
            <w:sz w:val="24"/>
          </w:rPr>
          <w:t>=</w:t>
        </w:r>
        <w:r>
          <w:rPr>
            <w:rFonts w:ascii="Calibri" w:hAnsi="Calibri"/>
            <w:spacing w:val="80"/>
            <w:w w:val="120"/>
            <w:sz w:val="24"/>
          </w:rPr>
          <w:t> </w:t>
        </w:r>
        <w:r>
          <w:rPr>
            <w:rFonts w:ascii="Calibri" w:hAnsi="Calibri"/>
            <w:sz w:val="24"/>
          </w:rPr>
          <w:t>5521</w:t>
        </w:r>
        <w:r>
          <w:rPr>
            <w:sz w:val="24"/>
          </w:rPr>
          <w:t>).</w:t>
        </w:r>
      </w:hyperlink>
      <w:r>
        <w:rPr>
          <w:sz w:val="24"/>
        </w:rPr>
        <w:t> </w:t>
      </w:r>
      <w:hyperlink w:history="true" w:anchor="_bookmark231">
        <w:r>
          <w:rPr>
            <w:sz w:val="24"/>
          </w:rPr>
          <w:t>Bold = column maximum.</w:t>
        </w:r>
        <w:r>
          <w:rPr>
            <w:spacing w:val="40"/>
            <w:sz w:val="24"/>
          </w:rPr>
          <w:t> </w:t>
        </w:r>
        <w:r>
          <w:rPr>
            <w:sz w:val="24"/>
          </w:rPr>
          <w:t>Runtime = mean PageRank wall time (s, 3 repeats).</w:t>
        </w:r>
      </w:hyperlink>
      <w:r>
        <w:rPr>
          <w:sz w:val="24"/>
        </w:rPr>
        <w:t> </w:t>
      </w:r>
      <w:hyperlink w:history="true" w:anchor="_bookmark231">
        <w:r>
          <w:rPr>
            <w:sz w:val="24"/>
          </w:rPr>
          <w:t>Aave</w:t>
        </w:r>
        <w:r>
          <w:rPr>
            <w:spacing w:val="9"/>
            <w:sz w:val="24"/>
          </w:rPr>
          <w:t> </w:t>
        </w:r>
        <w:r>
          <w:rPr>
            <w:sz w:val="24"/>
          </w:rPr>
          <w:t>W</w:t>
        </w:r>
        <w:r>
          <w:rPr>
            <w:rFonts w:ascii="Lucida Sans Unicode" w:hAnsi="Lucida Sans Unicode"/>
            <w:sz w:val="24"/>
          </w:rPr>
          <w:t>→</w:t>
        </w:r>
        <w:r>
          <w:rPr>
            <w:sz w:val="24"/>
          </w:rPr>
          <w:t>W</w:t>
        </w:r>
        <w:r>
          <w:rPr>
            <w:spacing w:val="9"/>
            <w:sz w:val="24"/>
          </w:rPr>
          <w:t> </w:t>
        </w:r>
        <w:r>
          <w:rPr>
            <w:sz w:val="24"/>
          </w:rPr>
          <w:t>edges:</w:t>
        </w:r>
        <w:r>
          <w:rPr>
            <w:spacing w:val="41"/>
            <w:sz w:val="24"/>
          </w:rPr>
          <w:t> </w:t>
        </w:r>
        <w:r>
          <w:rPr>
            <w:sz w:val="24"/>
          </w:rPr>
          <w:t>LiqCall</w:t>
        </w:r>
        <w:r>
          <w:rPr>
            <w:spacing w:val="9"/>
            <w:sz w:val="24"/>
          </w:rPr>
          <w:t> </w:t>
        </w:r>
        <w:r>
          <w:rPr>
            <w:sz w:val="24"/>
          </w:rPr>
          <w:t>(liquidator</w:t>
        </w:r>
        <w:r>
          <w:rPr>
            <w:rFonts w:ascii="Lucida Sans Unicode" w:hAnsi="Lucida Sans Unicode"/>
            <w:sz w:val="24"/>
          </w:rPr>
          <w:t>→</w:t>
        </w:r>
        <w:r>
          <w:rPr>
            <w:sz w:val="24"/>
          </w:rPr>
          <w:t>user),</w:t>
        </w:r>
        <w:r>
          <w:rPr>
            <w:spacing w:val="13"/>
            <w:sz w:val="24"/>
          </w:rPr>
          <w:t> </w:t>
        </w:r>
        <w:r>
          <w:rPr>
            <w:sz w:val="24"/>
          </w:rPr>
          <w:t>Borrow</w:t>
        </w:r>
        <w:r>
          <w:rPr>
            <w:spacing w:val="10"/>
            <w:sz w:val="24"/>
          </w:rPr>
          <w:t> </w:t>
        </w:r>
        <w:r>
          <w:rPr>
            <w:spacing w:val="-2"/>
            <w:sz w:val="24"/>
          </w:rPr>
          <w:t>(initiator</w:t>
        </w:r>
        <w:r>
          <w:rPr>
            <w:rFonts w:ascii="Lucida Sans Unicode" w:hAnsi="Lucida Sans Unicode"/>
            <w:spacing w:val="-2"/>
            <w:sz w:val="24"/>
          </w:rPr>
          <w:t>→</w:t>
        </w:r>
        <w:r>
          <w:rPr>
            <w:spacing w:val="-2"/>
            <w:sz w:val="24"/>
          </w:rPr>
          <w:t>onBehalfOf),</w:t>
        </w:r>
      </w:hyperlink>
    </w:p>
    <w:p>
      <w:pPr>
        <w:pStyle w:val="ListParagraph"/>
        <w:numPr>
          <w:ilvl w:val="1"/>
          <w:numId w:val="7"/>
        </w:numPr>
        <w:tabs>
          <w:tab w:pos="1182" w:val="left" w:leader="none"/>
          <w:tab w:pos="1189" w:val="left" w:leader="none"/>
        </w:tabs>
        <w:spacing w:line="369" w:lineRule="auto" w:before="13" w:after="0"/>
        <w:ind w:left="1182" w:right="1131" w:hanging="542"/>
        <w:jc w:val="both"/>
        <w:rPr>
          <w:sz w:val="24"/>
        </w:rPr>
      </w:pPr>
      <w:r>
        <w:rPr>
          <w:i/>
        </w:rPr>
        <w:t>6개 PageRank 방법에 걸쳐 프록시 계열의 평균 Kendall τ(n = 5521). 굵은 글씨 = 열 최대값. 런타임 = 평균 PageRank 벽 시간(초, 3회 반복). Aave W→W 에지: LiqCall(liquidator→user), Borrow(initiator→onBehalfOf),</w:t>
      </w:r>
    </w:p>
    <w:p>
      <w:pPr>
        <w:pStyle w:val="BodyText"/>
        <w:tabs>
          <w:tab w:pos="7268" w:val="left" w:leader="none"/>
        </w:tabs>
        <w:spacing w:line="259" w:lineRule="exact"/>
        <w:ind w:left="1190"/>
      </w:pPr>
      <w:hyperlink w:history="true" w:anchor="_bookmark231">
        <w:r>
          <w:rPr/>
          <w:t>Repay</w:t>
        </w:r>
        <w:r>
          <w:rPr>
            <w:spacing w:val="47"/>
          </w:rPr>
          <w:t> </w:t>
        </w:r>
        <w:r>
          <w:rPr/>
          <w:t>(repayer</w:t>
        </w:r>
        <w:r>
          <w:rPr>
            <w:rFonts w:ascii="Lucida Sans Unicode" w:hAnsi="Lucida Sans Unicode"/>
          </w:rPr>
          <w:t>→</w:t>
        </w:r>
        <w:r>
          <w:rPr/>
          <w:t>user),</w:t>
        </w:r>
        <w:r>
          <w:rPr>
            <w:spacing w:val="60"/>
          </w:rPr>
          <w:t> </w:t>
        </w:r>
        <w:r>
          <w:rPr/>
          <w:t>Delegation</w:t>
        </w:r>
        <w:r>
          <w:rPr>
            <w:spacing w:val="48"/>
          </w:rPr>
          <w:t> </w:t>
        </w:r>
        <w:r>
          <w:rPr>
            <w:spacing w:val="-2"/>
          </w:rPr>
          <w:t>(delegator</w:t>
        </w:r>
        <w:r>
          <w:rPr>
            <w:rFonts w:ascii="Lucida Sans Unicode" w:hAnsi="Lucida Sans Unicode"/>
            <w:spacing w:val="-2"/>
          </w:rPr>
          <w:t>→</w:t>
        </w:r>
        <w:r>
          <w:rPr>
            <w:spacing w:val="-2"/>
          </w:rPr>
          <w:t>delegatee).</w:t>
        </w:r>
        <w:r>
          <w:rPr/>
          <w:tab/>
          <w:t>Credit</w:t>
        </w:r>
        <w:r>
          <w:rPr>
            <w:spacing w:val="47"/>
          </w:rPr>
          <w:t> </w:t>
        </w:r>
        <w:r>
          <w:rPr>
            <w:spacing w:val="-2"/>
          </w:rPr>
          <w:t>Delegation</w:t>
        </w:r>
      </w:hyperlink>
    </w:p>
    <w:p>
      <w:pPr>
        <w:pStyle w:val="BodyText"/>
        <w:tabs>
          <w:tab w:pos="7268" w:val="left" w:leader="none"/>
        </w:tabs>
        <w:spacing w:line="259" w:lineRule="exact"/>
        <w:ind w:left="1190"/>
      </w:pPr>
      <w:r>
        <w:rPr>
          <w:i/>
        </w:rPr>
        <w:t>상환(납부자→이용자), 위임(위임자→위임자).</w:t>
        <w:tab/>
        <w:t>신용위임</w:t>
      </w:r>
    </w:p>
    <w:p>
      <w:pPr>
        <w:pStyle w:val="BodyText"/>
        <w:tabs>
          <w:tab w:pos="9280" w:val="left" w:leader="dot"/>
        </w:tabs>
        <w:spacing w:line="386" w:lineRule="auto" w:before="122"/>
        <w:ind w:left="1190" w:right="564"/>
      </w:pPr>
      <w:hyperlink w:history="true" w:anchor="_bookmark231">
        <w:r>
          <w:rPr/>
          <w:t>extract</w:t>
        </w:r>
        <w:r>
          <w:rPr>
            <w:spacing w:val="37"/>
          </w:rPr>
          <w:t> </w:t>
        </w:r>
        <w:r>
          <w:rPr/>
          <w:t>deferred</w:t>
        </w:r>
        <w:r>
          <w:rPr>
            <w:spacing w:val="37"/>
          </w:rPr>
          <w:t> </w:t>
        </w:r>
        <w:r>
          <w:rPr/>
          <w:t>when</w:t>
        </w:r>
        <w:r>
          <w:rPr>
            <w:spacing w:val="37"/>
          </w:rPr>
          <w:t> </w:t>
        </w:r>
        <w:r>
          <w:rPr/>
          <w:t>parquet</w:t>
        </w:r>
        <w:r>
          <w:rPr>
            <w:spacing w:val="37"/>
          </w:rPr>
          <w:t> </w:t>
        </w:r>
        <w:r>
          <w:rPr/>
          <w:t>absent—</w:t>
        </w:r>
        <w:r>
          <w:rPr>
            <w:rFonts w:ascii="Calibri" w:hAnsi="Calibri"/>
            <w:i/>
          </w:rPr>
          <w:t>τ</w:t>
        </w:r>
        <w:r>
          <w:rPr>
            <w:rFonts w:ascii="Calibri" w:hAnsi="Calibri"/>
            <w:i/>
            <w:spacing w:val="72"/>
          </w:rPr>
          <w:t> </w:t>
        </w:r>
        <w:r>
          <w:rPr/>
          <w:t>may</w:t>
        </w:r>
        <w:r>
          <w:rPr>
            <w:spacing w:val="37"/>
          </w:rPr>
          <w:t> </w:t>
        </w:r>
        <w:r>
          <w:rPr/>
          <w:t>be</w:t>
        </w:r>
        <w:r>
          <w:rPr>
            <w:spacing w:val="37"/>
          </w:rPr>
          <w:t> </w:t>
        </w:r>
        <w:r>
          <w:rPr/>
          <w:t>degenerate.</w:t>
        </w:r>
        <w:r>
          <w:rPr>
            <w:spacing w:val="80"/>
            <w:w w:val="150"/>
          </w:rPr>
          <w:t> </w:t>
        </w:r>
        <w:r>
          <w:rPr/>
          <w:t>Edge</w:t>
        </w:r>
        <w:r>
          <w:rPr>
            <w:spacing w:val="37"/>
          </w:rPr>
          <w:t> </w:t>
        </w:r>
        <w:r>
          <w:rPr/>
          <w:t>counts:</w:t>
        </w:r>
        <w:r>
          <w:rPr>
            <w:spacing w:val="80"/>
          </w:rPr>
          <w:t> </w:t>
        </w:r>
        <w:r>
          <w:rPr/>
          <w:t>liq-</w:t>
        </w:r>
      </w:hyperlink>
      <w:hyperlink w:history="true" w:anchor="_bookmark231">
        <w:r>
          <w:rPr/>
          <w:t>pr=45,</w:t>
        </w:r>
        <w:r>
          <w:rPr>
            <w:spacing w:val="40"/>
          </w:rPr>
          <w:t> </w:t>
        </w:r>
        <w:r>
          <w:rPr/>
          <w:t>borrow-pr=484,</w:t>
        </w:r>
        <w:r>
          <w:rPr>
            <w:spacing w:val="40"/>
          </w:rPr>
          <w:t> </w:t>
        </w:r>
        <w:r>
          <w:rPr/>
          <w:t>repay-pr=787,</w:t>
        </w:r>
        <w:r>
          <w:rPr>
            <w:spacing w:val="40"/>
          </w:rPr>
          <w:t> </w:t>
        </w:r>
        <w:r>
          <w:rPr/>
          <w:t>borrow-pr-pool=262,</w:t>
        </w:r>
        <w:r>
          <w:rPr>
            <w:spacing w:val="40"/>
          </w:rPr>
          <w:t> </w:t>
        </w:r>
        <w:r>
          <w:rPr/>
          <w:t>repay-pr-pool=232,</w:t>
        </w:r>
      </w:hyperlink>
      <w:r>
        <w:rPr/>
        <w:t> </w:t>
      </w:r>
      <w:hyperlink w:history="true" w:anchor="_bookmark231">
        <w:r>
          <w:rPr>
            <w:spacing w:val="-2"/>
          </w:rPr>
          <w:t>delegation-pr=0.</w:t>
        </w:r>
      </w:hyperlink>
      <w:r>
        <w:rPr/>
        <w:tab/>
      </w:r>
      <w:r>
        <w:rPr>
          <w:spacing w:val="-4"/>
        </w:rPr>
        <w:t>142</w:t>
      </w:r>
    </w:p>
    <w:p>
      <w:pPr>
        <w:pStyle w:val="BodyText"/>
        <w:tabs>
          <w:tab w:pos="9280" w:val="left" w:leader="dot"/>
        </w:tabs>
        <w:spacing w:line="386" w:lineRule="auto" w:before="122"/>
        <w:ind w:left="1190" w:right="564"/>
      </w:pPr>
      <w:r>
        <w:rPr>
          <w:i/>
        </w:rPr>
        <w:t>마루가 없을 때 추출이 연기됨 - τ가 퇴화될 수 있습니다. 엣지 카운트: liq-pr=45, rent-pr=484, repay-pr=787, rent-pr-pool=262, repay-pr-pool=232, delegation-pr=0.</w:t>
        <w:tab/>
        <w:t>142</w:t>
      </w:r>
    </w:p>
    <w:p>
      <w:pPr>
        <w:pStyle w:val="BodyText"/>
        <w:spacing w:after="0" w:line="386" w:lineRule="auto"/>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ind w:left="282" w:firstLine="0"/>
        <w:jc w:val="left"/>
      </w:pPr>
      <w:bookmarkStart w:name="_bookmark1" w:id="2"/>
      <w:bookmarkEnd w:id="2"/>
      <w:r>
        <w:rPr>
          <w:b w:val="0"/>
        </w:rPr>
      </w:r>
      <w:r>
        <w:rPr/>
        <w:t>Abbreviations</w:t>
      </w:r>
      <w:r>
        <w:rPr>
          <w:spacing w:val="4"/>
        </w:rPr>
        <w:t> </w:t>
      </w:r>
      <w:r>
        <w:rPr/>
        <w:t>and</w:t>
      </w:r>
      <w:r>
        <w:rPr>
          <w:spacing w:val="6"/>
        </w:rPr>
        <w:t> </w:t>
      </w:r>
      <w:r>
        <w:rPr>
          <w:spacing w:val="-2"/>
        </w:rPr>
        <w:t>Notation</w:t>
      </w:r>
    </w:p>
    <w:p>
      <w:pPr>
        <w:pStyle w:val="Heading1"/>
        <w:ind w:left="282" w:firstLine="0"/>
        <w:jc w:val="left"/>
      </w:pPr>
      <w:r>
        <w:rPr>
          <w:i/>
        </w:rPr>
        <w:t>약어 및 표기법</w:t>
      </w:r>
    </w:p>
    <w:p>
      <w:pPr>
        <w:pStyle w:val="BodyText"/>
        <w:spacing w:before="28"/>
        <w:rPr>
          <w:b/>
          <w:sz w:val="34"/>
        </w:rPr>
      </w:pPr>
    </w:p>
    <w:p>
      <w:pPr>
        <w:pStyle w:val="BodyText"/>
        <w:spacing w:line="396" w:lineRule="auto"/>
        <w:ind w:left="282" w:right="524" w:hanging="8"/>
      </w:pPr>
      <w:r>
        <w:rPr/>
        <w:t>This</w:t>
      </w:r>
      <w:r>
        <w:rPr>
          <w:spacing w:val="-1"/>
        </w:rPr>
        <w:t> </w:t>
      </w:r>
      <w:r>
        <w:rPr/>
        <w:t>section</w:t>
      </w:r>
      <w:r>
        <w:rPr>
          <w:spacing w:val="-1"/>
        </w:rPr>
        <w:t> </w:t>
      </w:r>
      <w:r>
        <w:rPr/>
        <w:t>lists</w:t>
      </w:r>
      <w:r>
        <w:rPr>
          <w:spacing w:val="-1"/>
        </w:rPr>
        <w:t> </w:t>
      </w:r>
      <w:r>
        <w:rPr/>
        <w:t>abbreviations</w:t>
      </w:r>
      <w:r>
        <w:rPr>
          <w:spacing w:val="-1"/>
        </w:rPr>
        <w:t> </w:t>
      </w:r>
      <w:r>
        <w:rPr/>
        <w:t>and</w:t>
      </w:r>
      <w:r>
        <w:rPr>
          <w:spacing w:val="-1"/>
        </w:rPr>
        <w:t> </w:t>
      </w:r>
      <w:r>
        <w:rPr/>
        <w:t>mathematical</w:t>
      </w:r>
      <w:r>
        <w:rPr>
          <w:spacing w:val="-1"/>
        </w:rPr>
        <w:t> </w:t>
      </w:r>
      <w:r>
        <w:rPr/>
        <w:t>notation</w:t>
      </w:r>
      <w:r>
        <w:rPr>
          <w:spacing w:val="-1"/>
        </w:rPr>
        <w:t> </w:t>
      </w:r>
      <w:r>
        <w:rPr/>
        <w:t>used</w:t>
      </w:r>
      <w:r>
        <w:rPr>
          <w:spacing w:val="-1"/>
        </w:rPr>
        <w:t> </w:t>
      </w:r>
      <w:r>
        <w:rPr/>
        <w:t>throughout</w:t>
      </w:r>
      <w:r>
        <w:rPr>
          <w:spacing w:val="-1"/>
        </w:rPr>
        <w:t> </w:t>
      </w:r>
      <w:r>
        <w:rPr/>
        <w:t>the</w:t>
      </w:r>
      <w:r>
        <w:rPr>
          <w:spacing w:val="-1"/>
        </w:rPr>
        <w:t> </w:t>
      </w:r>
      <w:r>
        <w:rPr/>
        <w:t>dissertation.</w:t>
      </w:r>
      <w:r>
        <w:rPr>
          <w:spacing w:val="28"/>
        </w:rPr>
        <w:t> </w:t>
      </w:r>
      <w:r>
        <w:rPr/>
        <w:t>Sym-bols are defined again at first use in the main chapters when helpful for local reading.</w:t>
      </w:r>
    </w:p>
    <w:p>
      <w:pPr>
        <w:pStyle w:val="BodyText"/>
        <w:spacing w:line="396" w:lineRule="auto"/>
        <w:ind w:left="282" w:right="524" w:hanging="8"/>
      </w:pPr>
      <w:r>
        <w:rPr>
          <w:i/>
        </w:rPr>
        <w:t>이 섹션에는 논문 전반에 걸쳐 사용되는 약어와 수학 표기법이 나열되어 있습니다. 기호는 지역 읽기에 도움이 될 때 주요 장에서 처음 사용할 때 다시 정의됩니다.</w:t>
      </w:r>
    </w:p>
    <w:p>
      <w:pPr>
        <w:pStyle w:val="BodyText"/>
        <w:spacing w:before="160"/>
      </w:pPr>
    </w:p>
    <w:p>
      <w:pPr>
        <w:pStyle w:val="Heading2"/>
        <w:ind w:left="282" w:firstLine="0"/>
      </w:pPr>
      <w:r>
        <w:rPr>
          <w:spacing w:val="-2"/>
        </w:rPr>
        <w:t>Abbreviations</w:t>
      </w:r>
    </w:p>
    <w:p>
      <w:pPr>
        <w:pStyle w:val="Heading2"/>
        <w:ind w:left="282" w:firstLine="0"/>
      </w:pPr>
      <w:r>
        <w:rPr>
          <w:i/>
        </w:rPr>
        <w:t>약어</w:t>
      </w:r>
    </w:p>
    <w:p>
      <w:pPr>
        <w:pStyle w:val="BodyText"/>
        <w:spacing w:before="205"/>
        <w:rPr>
          <w:b/>
          <w:sz w:val="28"/>
        </w:rPr>
      </w:pPr>
    </w:p>
    <w:p>
      <w:pPr>
        <w:pStyle w:val="BodyText"/>
        <w:ind w:left="774" w:right="1065"/>
        <w:jc w:val="center"/>
      </w:pPr>
      <w:bookmarkStart w:name="_bookmark2" w:id="3"/>
      <w:bookmarkEnd w:id="3"/>
      <w:r>
        <w:rPr/>
      </w:r>
      <w:r>
        <w:rPr/>
        <w:t>Table</w:t>
      </w:r>
      <w:r>
        <w:rPr>
          <w:spacing w:val="-11"/>
        </w:rPr>
        <w:t> </w:t>
      </w:r>
      <w:r>
        <w:rPr/>
        <w:t>1:</w:t>
      </w:r>
      <w:r>
        <w:rPr>
          <w:spacing w:val="5"/>
        </w:rPr>
        <w:t> </w:t>
      </w:r>
      <w:r>
        <w:rPr/>
        <w:t>Abbreviations</w:t>
      </w:r>
      <w:r>
        <w:rPr>
          <w:spacing w:val="-10"/>
        </w:rPr>
        <w:t> </w:t>
      </w:r>
      <w:r>
        <w:rPr/>
        <w:t>used</w:t>
      </w:r>
      <w:r>
        <w:rPr>
          <w:spacing w:val="-11"/>
        </w:rPr>
        <w:t> </w:t>
      </w:r>
      <w:r>
        <w:rPr/>
        <w:t>in</w:t>
      </w:r>
      <w:r>
        <w:rPr>
          <w:spacing w:val="-11"/>
        </w:rPr>
        <w:t> </w:t>
      </w:r>
      <w:r>
        <w:rPr/>
        <w:t>this</w:t>
      </w:r>
      <w:r>
        <w:rPr>
          <w:spacing w:val="-11"/>
        </w:rPr>
        <w:t> </w:t>
      </w:r>
      <w:r>
        <w:rPr>
          <w:spacing w:val="-2"/>
        </w:rPr>
        <w:t>dissertation.</w:t>
      </w:r>
    </w:p>
    <w:p>
      <w:pPr>
        <w:pStyle w:val="BodyText"/>
        <w:ind w:left="774" w:right="1065"/>
        <w:jc w:val="center"/>
      </w:pPr>
      <w:r>
        <w:rPr>
          <w:i/>
        </w:rPr>
        <w:t>표 1: 이 논문에 사용된 약어.</w:t>
      </w:r>
    </w:p>
    <w:p>
      <w:pPr>
        <w:pStyle w:val="BodyText"/>
        <w:spacing w:before="1"/>
        <w:rPr>
          <w:sz w:val="19"/>
        </w:rPr>
      </w:pPr>
      <w:r>
        <w:rPr>
          <w:sz w:val="19"/>
        </w:rPr>
        <mc:AlternateContent>
          <mc:Choice Requires="wps">
            <w:drawing>
              <wp:anchor distT="0" distB="0" distL="0" distR="0" allowOverlap="1" layoutInCell="1" locked="0" behindDoc="1" simplePos="0" relativeHeight="487587840">
                <wp:simplePos x="0" y="0"/>
                <wp:positionH relativeFrom="page">
                  <wp:posOffset>1186967</wp:posOffset>
                </wp:positionH>
                <wp:positionV relativeFrom="paragraph">
                  <wp:posOffset>155125</wp:posOffset>
                </wp:positionV>
                <wp:extent cx="518668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186680" cy="1270"/>
                        </a:xfrm>
                        <a:custGeom>
                          <a:avLst/>
                          <a:gdLst/>
                          <a:ahLst/>
                          <a:cxnLst/>
                          <a:rect l="l" t="t" r="r" b="b"/>
                          <a:pathLst>
                            <a:path w="5186680" h="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12.214586pt;width:408.4pt;height:.1pt;mso-position-horizontal-relative:page;mso-position-vertical-relative:paragraph;z-index:-15728640;mso-wrap-distance-left:0;mso-wrap-distance-right:0" id="docshape2" coordorigin="1869,244" coordsize="8168,0" path="m1869,244l10036,244e" filled="false" stroked="true" strokeweight=".9564pt" strokecolor="#000000">
                <v:path arrowok="t"/>
                <v:stroke dashstyle="solid"/>
                <w10:wrap type="topAndBottom"/>
              </v:shape>
            </w:pict>
          </mc:Fallback>
        </mc:AlternateContent>
      </w:r>
    </w:p>
    <w:p>
      <w:pPr>
        <w:spacing w:before="54"/>
        <w:ind w:left="946" w:right="0" w:firstLine="0"/>
        <w:jc w:val="left"/>
        <w:rPr>
          <w:sz w:val="22"/>
        </w:rPr>
      </w:pPr>
      <w:r>
        <w:rPr>
          <w:sz w:val="22"/>
        </w:rPr>
        <w:t>Abbreviation</w:t>
      </w:r>
      <w:r>
        <w:rPr>
          <w:spacing w:val="72"/>
          <w:sz w:val="22"/>
        </w:rPr>
        <w:t> </w:t>
      </w:r>
      <w:r>
        <w:rPr>
          <w:spacing w:val="-2"/>
          <w:sz w:val="22"/>
        </w:rPr>
        <w:t>Meaning</w:t>
      </w:r>
    </w:p>
    <w:p>
      <w:pPr>
        <w:spacing w:before="54"/>
        <w:ind w:left="946" w:right="0" w:firstLine="0"/>
        <w:jc w:val="left"/>
        <w:rPr>
          <w:sz w:val="22"/>
        </w:rPr>
      </w:pPr>
      <w:r>
        <w:rPr>
          <w:i/>
        </w:rPr>
        <w:t>약어 의미</w:t>
      </w:r>
    </w:p>
    <w:p>
      <w:pPr>
        <w:pStyle w:val="BodyText"/>
        <w:rPr>
          <w:sz w:val="5"/>
        </w:rPr>
      </w:pPr>
      <w:r>
        <w:rPr>
          <w:sz w:val="5"/>
        </w:rPr>
        <mc:AlternateContent>
          <mc:Choice Requires="wps">
            <w:drawing>
              <wp:anchor distT="0" distB="0" distL="0" distR="0" allowOverlap="1" layoutInCell="1" locked="0" behindDoc="1" simplePos="0" relativeHeight="487588352">
                <wp:simplePos x="0" y="0"/>
                <wp:positionH relativeFrom="page">
                  <wp:posOffset>1186967</wp:posOffset>
                </wp:positionH>
                <wp:positionV relativeFrom="paragraph">
                  <wp:posOffset>52246</wp:posOffset>
                </wp:positionV>
                <wp:extent cx="518668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186680" cy="1270"/>
                        </a:xfrm>
                        <a:custGeom>
                          <a:avLst/>
                          <a:gdLst/>
                          <a:ahLst/>
                          <a:cxnLst/>
                          <a:rect l="l" t="t" r="r" b="b"/>
                          <a:pathLst>
                            <a:path w="5186680" h="0">
                              <a:moveTo>
                                <a:pt x="0" y="0"/>
                              </a:moveTo>
                              <a:lnTo>
                                <a:pt x="518605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4.113874pt;width:408.4pt;height:.1pt;mso-position-horizontal-relative:page;mso-position-vertical-relative:paragraph;z-index:-15728128;mso-wrap-distance-left:0;mso-wrap-distance-right:0" id="docshape3" coordorigin="1869,82" coordsize="8168,0" path="m1869,82l10036,82e" filled="false" stroked="true" strokeweight=".5978pt" strokecolor="#000000">
                <v:path arrowok="t"/>
                <v:stroke dashstyle="solid"/>
                <w10:wrap type="topAndBottom"/>
              </v:shape>
            </w:pict>
          </mc:Fallback>
        </mc:AlternateContent>
      </w:r>
    </w:p>
    <w:p>
      <w:pPr>
        <w:tabs>
          <w:tab w:pos="2237" w:val="left" w:leader="none"/>
        </w:tabs>
        <w:spacing w:before="54"/>
        <w:ind w:left="946" w:right="0" w:firstLine="0"/>
        <w:jc w:val="left"/>
        <w:rPr>
          <w:sz w:val="22"/>
        </w:rPr>
      </w:pPr>
      <w:r>
        <w:rPr>
          <w:spacing w:val="-5"/>
          <w:sz w:val="22"/>
        </w:rPr>
        <w:t>AMM</w:t>
      </w:r>
      <w:r>
        <w:rPr>
          <w:sz w:val="22"/>
        </w:rPr>
        <w:tab/>
        <w:t>Automated</w:t>
      </w:r>
      <w:r>
        <w:rPr>
          <w:spacing w:val="-10"/>
          <w:sz w:val="22"/>
        </w:rPr>
        <w:t> </w:t>
      </w:r>
      <w:r>
        <w:rPr>
          <w:sz w:val="22"/>
        </w:rPr>
        <w:t>Market</w:t>
      </w:r>
      <w:r>
        <w:rPr>
          <w:spacing w:val="-9"/>
          <w:sz w:val="22"/>
        </w:rPr>
        <w:t> </w:t>
      </w:r>
      <w:r>
        <w:rPr>
          <w:spacing w:val="-2"/>
          <w:sz w:val="22"/>
        </w:rPr>
        <w:t>Maker</w:t>
      </w:r>
    </w:p>
    <w:p>
      <w:pPr>
        <w:tabs>
          <w:tab w:pos="2237" w:val="left" w:leader="none"/>
        </w:tabs>
        <w:spacing w:before="54"/>
        <w:ind w:left="946" w:right="0" w:firstLine="0"/>
        <w:jc w:val="left"/>
        <w:rPr>
          <w:sz w:val="22"/>
        </w:rPr>
      </w:pPr>
      <w:r>
        <w:rPr>
          <w:i/>
        </w:rPr>
        <w:t>AMM</w:t>
        <w:tab/>
        <w:t>자동화된 마켓 메이커</w:t>
      </w:r>
    </w:p>
    <w:p>
      <w:pPr>
        <w:tabs>
          <w:tab w:pos="2237" w:val="left" w:leader="none"/>
        </w:tabs>
        <w:spacing w:before="18"/>
        <w:ind w:left="946" w:right="0" w:firstLine="0"/>
        <w:jc w:val="left"/>
        <w:rPr>
          <w:sz w:val="22"/>
        </w:rPr>
      </w:pPr>
      <w:r>
        <w:rPr>
          <w:spacing w:val="-5"/>
          <w:sz w:val="22"/>
        </w:rPr>
        <w:t>AWP</w:t>
      </w:r>
      <w:r>
        <w:rPr>
          <w:sz w:val="22"/>
        </w:rPr>
        <w:tab/>
      </w:r>
      <w:r>
        <w:rPr>
          <w:spacing w:val="-2"/>
          <w:sz w:val="22"/>
        </w:rPr>
        <w:t>Adaptive</w:t>
      </w:r>
      <w:r>
        <w:rPr>
          <w:spacing w:val="-3"/>
          <w:sz w:val="22"/>
        </w:rPr>
        <w:t> </w:t>
      </w:r>
      <w:r>
        <w:rPr>
          <w:spacing w:val="-2"/>
          <w:sz w:val="22"/>
        </w:rPr>
        <w:t>Weighted PageRank</w:t>
      </w:r>
    </w:p>
    <w:p>
      <w:pPr>
        <w:tabs>
          <w:tab w:pos="2237" w:val="left" w:leader="none"/>
        </w:tabs>
        <w:spacing w:before="18"/>
        <w:ind w:left="946" w:right="0" w:firstLine="0"/>
        <w:jc w:val="left"/>
        <w:rPr>
          <w:sz w:val="22"/>
        </w:rPr>
      </w:pPr>
      <w:r>
        <w:rPr>
          <w:spacing w:val="-5"/>
          <w:sz w:val="22"/>
        </w:rPr>
        <w:t>BQ</w:t>
      </w:r>
      <w:r>
        <w:rPr>
          <w:sz w:val="22"/>
        </w:rPr>
        <w:tab/>
      </w:r>
      <w:r>
        <w:rPr>
          <w:spacing w:val="-2"/>
          <w:sz w:val="22"/>
        </w:rPr>
        <w:t>BigQuery</w:t>
      </w:r>
    </w:p>
    <w:p>
      <w:pPr>
        <w:tabs>
          <w:tab w:pos="2237" w:val="left" w:leader="none"/>
        </w:tabs>
        <w:spacing w:line="256" w:lineRule="auto" w:before="18"/>
        <w:ind w:left="946" w:right="2512" w:firstLine="0"/>
        <w:jc w:val="left"/>
        <w:rPr>
          <w:sz w:val="22"/>
        </w:rPr>
      </w:pPr>
      <w:r>
        <w:rPr>
          <w:spacing w:val="-4"/>
          <w:sz w:val="22"/>
        </w:rPr>
        <w:t>CCS</w:t>
      </w:r>
      <w:r>
        <w:rPr>
          <w:sz w:val="22"/>
        </w:rPr>
        <w:tab/>
        <w:t>ACM</w:t>
      </w:r>
      <w:r>
        <w:rPr>
          <w:spacing w:val="-14"/>
          <w:sz w:val="22"/>
        </w:rPr>
        <w:t> </w:t>
      </w:r>
      <w:r>
        <w:rPr>
          <w:sz w:val="22"/>
        </w:rPr>
        <w:t>Conference</w:t>
      </w:r>
      <w:r>
        <w:rPr>
          <w:spacing w:val="-13"/>
          <w:sz w:val="22"/>
        </w:rPr>
        <w:t> </w:t>
      </w:r>
      <w:r>
        <w:rPr>
          <w:sz w:val="22"/>
        </w:rPr>
        <w:t>on</w:t>
      </w:r>
      <w:r>
        <w:rPr>
          <w:spacing w:val="-14"/>
          <w:sz w:val="22"/>
        </w:rPr>
        <w:t> </w:t>
      </w:r>
      <w:r>
        <w:rPr>
          <w:sz w:val="22"/>
        </w:rPr>
        <w:t>Computer</w:t>
      </w:r>
      <w:r>
        <w:rPr>
          <w:spacing w:val="-13"/>
          <w:sz w:val="22"/>
        </w:rPr>
        <w:t> </w:t>
      </w:r>
      <w:r>
        <w:rPr>
          <w:sz w:val="22"/>
        </w:rPr>
        <w:t>and</w:t>
      </w:r>
      <w:r>
        <w:rPr>
          <w:spacing w:val="-14"/>
          <w:sz w:val="22"/>
        </w:rPr>
        <w:t> </w:t>
      </w:r>
      <w:r>
        <w:rPr>
          <w:sz w:val="22"/>
        </w:rPr>
        <w:t>Communications</w:t>
      </w:r>
      <w:r>
        <w:rPr>
          <w:spacing w:val="-13"/>
          <w:sz w:val="22"/>
        </w:rPr>
        <w:t> </w:t>
      </w:r>
      <w:r>
        <w:rPr>
          <w:sz w:val="22"/>
        </w:rPr>
        <w:t>Security </w:t>
      </w:r>
      <w:r>
        <w:rPr>
          <w:spacing w:val="-4"/>
          <w:sz w:val="22"/>
        </w:rPr>
        <w:t>DeFi</w:t>
      </w:r>
      <w:r>
        <w:rPr>
          <w:sz w:val="22"/>
        </w:rPr>
        <w:tab/>
        <w:t>Decentralized Finance</w:t>
      </w:r>
    </w:p>
    <w:p>
      <w:pPr>
        <w:tabs>
          <w:tab w:pos="2237" w:val="left" w:leader="none"/>
        </w:tabs>
        <w:spacing w:line="256" w:lineRule="auto" w:before="18"/>
        <w:ind w:left="946" w:right="2512" w:firstLine="0"/>
        <w:jc w:val="left"/>
        <w:rPr>
          <w:sz w:val="22"/>
        </w:rPr>
      </w:pPr>
      <w:r>
        <w:rPr>
          <w:i/>
        </w:rPr>
        <w:t>CCS</w:t>
        <w:tab/>
        <w:t>컴퓨터 및 통신 보안에 관한 ACM 컨퍼런스 DeFi</w:t>
        <w:tab/>
        <w:t>탈중앙화 금융</w:t>
      </w:r>
    </w:p>
    <w:p>
      <w:pPr>
        <w:tabs>
          <w:tab w:pos="2237" w:val="left" w:leader="none"/>
        </w:tabs>
        <w:spacing w:before="0"/>
        <w:ind w:left="946" w:right="0" w:firstLine="0"/>
        <w:jc w:val="left"/>
        <w:rPr>
          <w:sz w:val="22"/>
        </w:rPr>
      </w:pPr>
      <w:r>
        <w:rPr>
          <w:spacing w:val="-5"/>
          <w:sz w:val="22"/>
        </w:rPr>
        <w:t>DEX</w:t>
      </w:r>
      <w:r>
        <w:rPr>
          <w:sz w:val="22"/>
        </w:rPr>
        <w:tab/>
        <w:t>Decentralized</w:t>
      </w:r>
      <w:r>
        <w:rPr>
          <w:spacing w:val="-14"/>
          <w:sz w:val="22"/>
        </w:rPr>
        <w:t> </w:t>
      </w:r>
      <w:r>
        <w:rPr>
          <w:spacing w:val="-2"/>
          <w:sz w:val="22"/>
        </w:rPr>
        <w:t>Exchange</w:t>
      </w:r>
    </w:p>
    <w:p>
      <w:pPr>
        <w:tabs>
          <w:tab w:pos="2237" w:val="left" w:leader="none"/>
        </w:tabs>
        <w:spacing w:before="0"/>
        <w:ind w:left="946" w:right="0" w:firstLine="0"/>
        <w:jc w:val="left"/>
        <w:rPr>
          <w:sz w:val="22"/>
        </w:rPr>
      </w:pPr>
      <w:r>
        <w:rPr>
          <w:i/>
        </w:rPr>
        <w:t>덱스</w:t>
        <w:tab/>
        <w:t>탈중앙화 거래소</w:t>
      </w:r>
    </w:p>
    <w:p>
      <w:pPr>
        <w:tabs>
          <w:tab w:pos="2237" w:val="left" w:leader="none"/>
        </w:tabs>
        <w:spacing w:before="18"/>
        <w:ind w:left="946" w:right="0" w:firstLine="0"/>
        <w:jc w:val="left"/>
        <w:rPr>
          <w:sz w:val="22"/>
        </w:rPr>
      </w:pPr>
      <w:r>
        <w:rPr>
          <w:spacing w:val="-5"/>
          <w:sz w:val="22"/>
        </w:rPr>
        <w:t>EIP</w:t>
      </w:r>
      <w:r>
        <w:rPr>
          <w:sz w:val="22"/>
        </w:rPr>
        <w:tab/>
        <w:t>Ethereum</w:t>
      </w:r>
      <w:r>
        <w:rPr>
          <w:spacing w:val="-12"/>
          <w:sz w:val="22"/>
        </w:rPr>
        <w:t> </w:t>
      </w:r>
      <w:r>
        <w:rPr>
          <w:sz w:val="22"/>
        </w:rPr>
        <w:t>Improvement</w:t>
      </w:r>
      <w:r>
        <w:rPr>
          <w:spacing w:val="-11"/>
          <w:sz w:val="22"/>
        </w:rPr>
        <w:t> </w:t>
      </w:r>
      <w:r>
        <w:rPr>
          <w:spacing w:val="-2"/>
          <w:sz w:val="22"/>
        </w:rPr>
        <w:t>Proposal</w:t>
      </w:r>
    </w:p>
    <w:p>
      <w:pPr>
        <w:tabs>
          <w:tab w:pos="2237" w:val="left" w:leader="none"/>
        </w:tabs>
        <w:spacing w:before="18"/>
        <w:ind w:left="946" w:right="0" w:firstLine="0"/>
        <w:jc w:val="left"/>
        <w:rPr>
          <w:sz w:val="22"/>
        </w:rPr>
      </w:pPr>
      <w:r>
        <w:rPr>
          <w:i/>
        </w:rPr>
        <w:t>EIP</w:t>
        <w:tab/>
        <w:t>이더리움 개선 제안</w:t>
      </w:r>
    </w:p>
    <w:p>
      <w:pPr>
        <w:tabs>
          <w:tab w:pos="2237" w:val="left" w:leader="none"/>
        </w:tabs>
        <w:spacing w:line="256" w:lineRule="auto" w:before="18"/>
        <w:ind w:left="946" w:right="2518" w:firstLine="0"/>
        <w:jc w:val="left"/>
        <w:rPr>
          <w:sz w:val="22"/>
        </w:rPr>
      </w:pPr>
      <w:r>
        <w:rPr>
          <w:spacing w:val="-2"/>
          <w:sz w:val="22"/>
        </w:rPr>
        <w:t>ERC-20</w:t>
      </w:r>
      <w:r>
        <w:rPr>
          <w:sz w:val="22"/>
        </w:rPr>
        <w:tab/>
        <w:t>Ethereum</w:t>
      </w:r>
      <w:r>
        <w:rPr>
          <w:spacing w:val="-12"/>
          <w:sz w:val="22"/>
        </w:rPr>
        <w:t> </w:t>
      </w:r>
      <w:r>
        <w:rPr>
          <w:sz w:val="22"/>
        </w:rPr>
        <w:t>Request</w:t>
      </w:r>
      <w:r>
        <w:rPr>
          <w:spacing w:val="-12"/>
          <w:sz w:val="22"/>
        </w:rPr>
        <w:t> </w:t>
      </w:r>
      <w:r>
        <w:rPr>
          <w:sz w:val="22"/>
        </w:rPr>
        <w:t>for</w:t>
      </w:r>
      <w:r>
        <w:rPr>
          <w:spacing w:val="-12"/>
          <w:sz w:val="22"/>
        </w:rPr>
        <w:t> </w:t>
      </w:r>
      <w:r>
        <w:rPr>
          <w:sz w:val="22"/>
        </w:rPr>
        <w:t>Comments</w:t>
      </w:r>
      <w:r>
        <w:rPr>
          <w:spacing w:val="-12"/>
          <w:sz w:val="22"/>
        </w:rPr>
        <w:t> </w:t>
      </w:r>
      <w:r>
        <w:rPr>
          <w:sz w:val="22"/>
        </w:rPr>
        <w:t>20</w:t>
      </w:r>
      <w:r>
        <w:rPr>
          <w:spacing w:val="-12"/>
          <w:sz w:val="22"/>
        </w:rPr>
        <w:t> </w:t>
      </w:r>
      <w:r>
        <w:rPr>
          <w:sz w:val="22"/>
        </w:rPr>
        <w:t>(fungible</w:t>
      </w:r>
      <w:r>
        <w:rPr>
          <w:spacing w:val="-12"/>
          <w:sz w:val="22"/>
        </w:rPr>
        <w:t> </w:t>
      </w:r>
      <w:r>
        <w:rPr>
          <w:sz w:val="22"/>
        </w:rPr>
        <w:t>token</w:t>
      </w:r>
      <w:r>
        <w:rPr>
          <w:spacing w:val="-12"/>
          <w:sz w:val="22"/>
        </w:rPr>
        <w:t> </w:t>
      </w:r>
      <w:r>
        <w:rPr>
          <w:sz w:val="22"/>
        </w:rPr>
        <w:t>standard) </w:t>
      </w:r>
      <w:r>
        <w:rPr>
          <w:spacing w:val="-6"/>
          <w:sz w:val="22"/>
        </w:rPr>
        <w:t>FC</w:t>
      </w:r>
      <w:r>
        <w:rPr>
          <w:sz w:val="22"/>
        </w:rPr>
        <w:tab/>
        <w:t>Financial Cryptography and Data Security</w:t>
      </w:r>
    </w:p>
    <w:p>
      <w:pPr>
        <w:tabs>
          <w:tab w:pos="2237" w:val="left" w:leader="none"/>
        </w:tabs>
        <w:spacing w:line="256" w:lineRule="auto" w:before="18"/>
        <w:ind w:left="946" w:right="2518" w:firstLine="0"/>
        <w:jc w:val="left"/>
        <w:rPr>
          <w:sz w:val="22"/>
        </w:rPr>
      </w:pPr>
      <w:r>
        <w:rPr>
          <w:i/>
        </w:rPr>
        <w:t>ERC-20</w:t>
        <w:tab/>
        <w:t>이더리움 의견 요청 20(대체 가능 토큰 표준) FC</w:t>
        <w:tab/>
        <w:t>금융 암호화 및 데이터 보안</w:t>
      </w:r>
    </w:p>
    <w:p>
      <w:pPr>
        <w:tabs>
          <w:tab w:pos="2237" w:val="left" w:leader="none"/>
        </w:tabs>
        <w:spacing w:line="256" w:lineRule="auto" w:before="1"/>
        <w:ind w:left="946" w:right="3281" w:firstLine="0"/>
        <w:jc w:val="left"/>
        <w:rPr>
          <w:sz w:val="22"/>
        </w:rPr>
      </w:pPr>
      <w:r>
        <w:rPr>
          <w:spacing w:val="-2"/>
          <w:sz w:val="22"/>
        </w:rPr>
        <w:t>GF-PR</w:t>
      </w:r>
      <w:r>
        <w:rPr>
          <w:sz w:val="22"/>
        </w:rPr>
        <w:tab/>
        <w:t>GainFlow PageRank (outcome-native reference) </w:t>
      </w:r>
      <w:r>
        <w:rPr>
          <w:spacing w:val="-4"/>
          <w:sz w:val="22"/>
        </w:rPr>
        <w:t>GMX</w:t>
      </w:r>
      <w:r>
        <w:rPr>
          <w:sz w:val="22"/>
        </w:rPr>
        <w:tab/>
        <w:t>GMX</w:t>
      </w:r>
      <w:r>
        <w:rPr>
          <w:spacing w:val="-11"/>
          <w:sz w:val="22"/>
        </w:rPr>
        <w:t> </w:t>
      </w:r>
      <w:r>
        <w:rPr>
          <w:sz w:val="22"/>
        </w:rPr>
        <w:t>perpetual</w:t>
      </w:r>
      <w:r>
        <w:rPr>
          <w:spacing w:val="-11"/>
          <w:sz w:val="22"/>
        </w:rPr>
        <w:t> </w:t>
      </w:r>
      <w:r>
        <w:rPr>
          <w:sz w:val="22"/>
        </w:rPr>
        <w:t>swap</w:t>
      </w:r>
      <w:r>
        <w:rPr>
          <w:spacing w:val="-11"/>
          <w:sz w:val="22"/>
        </w:rPr>
        <w:t> </w:t>
      </w:r>
      <w:r>
        <w:rPr>
          <w:sz w:val="22"/>
        </w:rPr>
        <w:t>protocol</w:t>
      </w:r>
      <w:r>
        <w:rPr>
          <w:spacing w:val="-11"/>
          <w:sz w:val="22"/>
        </w:rPr>
        <w:t> </w:t>
      </w:r>
      <w:r>
        <w:rPr>
          <w:sz w:val="22"/>
        </w:rPr>
        <w:t>(V2</w:t>
      </w:r>
      <w:r>
        <w:rPr>
          <w:spacing w:val="-11"/>
          <w:sz w:val="22"/>
        </w:rPr>
        <w:t> </w:t>
      </w:r>
      <w:r>
        <w:rPr>
          <w:sz w:val="22"/>
        </w:rPr>
        <w:t>on</w:t>
      </w:r>
      <w:r>
        <w:rPr>
          <w:spacing w:val="-11"/>
          <w:sz w:val="22"/>
        </w:rPr>
        <w:t> </w:t>
      </w:r>
      <w:r>
        <w:rPr>
          <w:sz w:val="22"/>
        </w:rPr>
        <w:t>Arbitrum</w:t>
      </w:r>
      <w:r>
        <w:rPr>
          <w:spacing w:val="-11"/>
          <w:sz w:val="22"/>
        </w:rPr>
        <w:t> </w:t>
      </w:r>
      <w:r>
        <w:rPr>
          <w:sz w:val="22"/>
        </w:rPr>
        <w:t>One) </w:t>
      </w:r>
      <w:r>
        <w:rPr>
          <w:spacing w:val="-6"/>
          <w:sz w:val="22"/>
        </w:rPr>
        <w:t>LP</w:t>
      </w:r>
      <w:r>
        <w:rPr>
          <w:sz w:val="22"/>
        </w:rPr>
        <w:tab/>
        <w:t>Liquidity Provider</w:t>
      </w:r>
    </w:p>
    <w:p>
      <w:pPr>
        <w:tabs>
          <w:tab w:pos="2237" w:val="left" w:leader="none"/>
        </w:tabs>
        <w:spacing w:line="256" w:lineRule="auto" w:before="1"/>
        <w:ind w:left="946" w:right="3281" w:firstLine="0"/>
        <w:jc w:val="left"/>
        <w:rPr>
          <w:sz w:val="22"/>
        </w:rPr>
      </w:pPr>
      <w:r>
        <w:rPr>
          <w:i/>
        </w:rPr>
        <w:t>GF-PR</w:t>
        <w:tab/>
        <w:t>GainFlow PageRank (결과 기본 참조) GMX</w:t>
        <w:tab/>
        <w:t>GMX 영구 스왑 프로토콜(Arbitrum One의 V2) LP</w:t>
        <w:tab/>
        <w:t>유동성 공급자</w:t>
      </w:r>
    </w:p>
    <w:p>
      <w:pPr>
        <w:tabs>
          <w:tab w:pos="2237" w:val="left" w:leader="none"/>
        </w:tabs>
        <w:spacing w:line="256" w:lineRule="auto" w:before="1"/>
        <w:ind w:left="946" w:right="2427" w:firstLine="0"/>
        <w:jc w:val="left"/>
        <w:rPr>
          <w:sz w:val="22"/>
        </w:rPr>
      </w:pPr>
      <w:r>
        <w:rPr>
          <w:spacing w:val="-4"/>
          <w:sz w:val="22"/>
        </w:rPr>
        <w:t>MEV</w:t>
      </w:r>
      <w:r>
        <w:rPr>
          <w:sz w:val="22"/>
        </w:rPr>
        <w:tab/>
      </w:r>
      <w:r>
        <w:rPr>
          <w:spacing w:val="-2"/>
          <w:sz w:val="22"/>
        </w:rPr>
        <w:t>Maximal</w:t>
      </w:r>
      <w:r>
        <w:rPr>
          <w:spacing w:val="-4"/>
          <w:sz w:val="22"/>
        </w:rPr>
        <w:t> </w:t>
      </w:r>
      <w:r>
        <w:rPr>
          <w:spacing w:val="-2"/>
          <w:sz w:val="22"/>
        </w:rPr>
        <w:t>Extractable</w:t>
      </w:r>
      <w:r>
        <w:rPr>
          <w:spacing w:val="-4"/>
          <w:sz w:val="22"/>
        </w:rPr>
        <w:t> </w:t>
      </w:r>
      <w:r>
        <w:rPr>
          <w:spacing w:val="-2"/>
          <w:sz w:val="22"/>
        </w:rPr>
        <w:t>Value</w:t>
      </w:r>
      <w:r>
        <w:rPr>
          <w:spacing w:val="-4"/>
          <w:sz w:val="22"/>
        </w:rPr>
        <w:t> </w:t>
      </w:r>
      <w:r>
        <w:rPr>
          <w:spacing w:val="-2"/>
          <w:sz w:val="22"/>
        </w:rPr>
        <w:t>(formerly</w:t>
      </w:r>
      <w:r>
        <w:rPr>
          <w:spacing w:val="-4"/>
          <w:sz w:val="22"/>
        </w:rPr>
        <w:t> </w:t>
      </w:r>
      <w:r>
        <w:rPr>
          <w:spacing w:val="-2"/>
          <w:sz w:val="22"/>
        </w:rPr>
        <w:t>Miner</w:t>
      </w:r>
      <w:r>
        <w:rPr>
          <w:spacing w:val="-4"/>
          <w:sz w:val="22"/>
        </w:rPr>
        <w:t> </w:t>
      </w:r>
      <w:r>
        <w:rPr>
          <w:spacing w:val="-2"/>
          <w:sz w:val="22"/>
        </w:rPr>
        <w:t>Extractable</w:t>
      </w:r>
      <w:r>
        <w:rPr>
          <w:spacing w:val="-4"/>
          <w:sz w:val="22"/>
        </w:rPr>
        <w:t> </w:t>
      </w:r>
      <w:r>
        <w:rPr>
          <w:spacing w:val="-2"/>
          <w:sz w:val="22"/>
        </w:rPr>
        <w:t>Value) </w:t>
      </w:r>
      <w:r>
        <w:rPr>
          <w:spacing w:val="-4"/>
          <w:sz w:val="22"/>
        </w:rPr>
        <w:t>PnL</w:t>
      </w:r>
      <w:r>
        <w:rPr>
          <w:sz w:val="22"/>
        </w:rPr>
        <w:tab/>
        <w:t>Profit and Loss</w:t>
      </w:r>
    </w:p>
    <w:p>
      <w:pPr>
        <w:tabs>
          <w:tab w:pos="2237" w:val="left" w:leader="none"/>
        </w:tabs>
        <w:spacing w:line="256" w:lineRule="auto" w:before="1"/>
        <w:ind w:left="946" w:right="2427" w:firstLine="0"/>
        <w:jc w:val="left"/>
        <w:rPr>
          <w:sz w:val="22"/>
        </w:rPr>
      </w:pPr>
      <w:r>
        <w:rPr>
          <w:i/>
        </w:rPr>
        <w:t>MEV</w:t>
        <w:tab/>
        <w:t>최대 추출 가능 가치(이전 채굴자 추출 가능 가치) PnL</w:t>
        <w:tab/>
        <w:t>이익과 손실</w:t>
      </w:r>
    </w:p>
    <w:p>
      <w:pPr>
        <w:tabs>
          <w:tab w:pos="2237" w:val="left" w:leader="none"/>
        </w:tabs>
        <w:spacing w:before="0"/>
        <w:ind w:left="946" w:right="0" w:firstLine="0"/>
        <w:jc w:val="left"/>
        <w:rPr>
          <w:sz w:val="22"/>
        </w:rPr>
      </w:pPr>
      <w:r>
        <w:rPr>
          <w:spacing w:val="-5"/>
          <w:sz w:val="22"/>
        </w:rPr>
        <w:t>PR</w:t>
      </w:r>
      <w:r>
        <w:rPr>
          <w:sz w:val="22"/>
        </w:rPr>
        <w:tab/>
      </w:r>
      <w:r>
        <w:rPr>
          <w:spacing w:val="-2"/>
          <w:sz w:val="22"/>
        </w:rPr>
        <w:t>PageRank</w:t>
      </w:r>
    </w:p>
    <w:p>
      <w:pPr>
        <w:tabs>
          <w:tab w:pos="2237" w:val="left" w:leader="none"/>
        </w:tabs>
        <w:spacing w:before="0"/>
        <w:ind w:left="946" w:right="0" w:firstLine="0"/>
        <w:jc w:val="left"/>
        <w:rPr>
          <w:sz w:val="22"/>
        </w:rPr>
      </w:pPr>
      <w:r>
        <w:rPr>
          <w:i/>
        </w:rPr>
        <w:t>홍보</w:t>
        <w:tab/>
        <w:t>PageRank</w:t>
      </w:r>
    </w:p>
    <w:p>
      <w:pPr>
        <w:tabs>
          <w:tab w:pos="2237" w:val="left" w:leader="none"/>
        </w:tabs>
        <w:spacing w:before="18"/>
        <w:ind w:left="946" w:right="0" w:firstLine="0"/>
        <w:jc w:val="left"/>
        <w:rPr>
          <w:sz w:val="22"/>
        </w:rPr>
      </w:pPr>
      <w:r>
        <w:rPr>
          <w:spacing w:val="-5"/>
          <w:sz w:val="22"/>
        </w:rPr>
        <w:t>RQ</w:t>
      </w:r>
      <w:r>
        <w:rPr>
          <w:sz w:val="22"/>
        </w:rPr>
        <w:tab/>
        <w:t>Research</w:t>
      </w:r>
      <w:r>
        <w:rPr>
          <w:spacing w:val="-10"/>
          <w:sz w:val="22"/>
        </w:rPr>
        <w:t> </w:t>
      </w:r>
      <w:r>
        <w:rPr>
          <w:spacing w:val="-2"/>
          <w:sz w:val="22"/>
        </w:rPr>
        <w:t>Question</w:t>
      </w:r>
    </w:p>
    <w:p>
      <w:pPr>
        <w:tabs>
          <w:tab w:pos="2237" w:val="left" w:leader="none"/>
        </w:tabs>
        <w:spacing w:before="18"/>
        <w:ind w:left="946" w:right="0" w:firstLine="0"/>
        <w:jc w:val="left"/>
        <w:rPr>
          <w:sz w:val="22"/>
        </w:rPr>
      </w:pPr>
      <w:r>
        <w:rPr>
          <w:i/>
        </w:rPr>
        <w:t>RQ</w:t>
        <w:tab/>
        <w:t>연구문제</w:t>
      </w:r>
    </w:p>
    <w:p>
      <w:pPr>
        <w:tabs>
          <w:tab w:pos="2237" w:val="left" w:leader="none"/>
        </w:tabs>
        <w:spacing w:before="18"/>
        <w:ind w:left="946" w:right="0" w:firstLine="0"/>
        <w:jc w:val="left"/>
        <w:rPr>
          <w:sz w:val="22"/>
        </w:rPr>
      </w:pPr>
      <w:r>
        <w:rPr>
          <w:spacing w:val="-5"/>
          <w:sz w:val="22"/>
        </w:rPr>
        <w:t>SoK</w:t>
      </w:r>
      <w:r>
        <w:rPr>
          <w:sz w:val="22"/>
        </w:rPr>
        <w:tab/>
        <w:t>Systematization</w:t>
      </w:r>
      <w:r>
        <w:rPr>
          <w:spacing w:val="-9"/>
          <w:sz w:val="22"/>
        </w:rPr>
        <w:t> </w:t>
      </w:r>
      <w:r>
        <w:rPr>
          <w:sz w:val="22"/>
        </w:rPr>
        <w:t>of</w:t>
      </w:r>
      <w:r>
        <w:rPr>
          <w:spacing w:val="-9"/>
          <w:sz w:val="22"/>
        </w:rPr>
        <w:t> </w:t>
      </w:r>
      <w:r>
        <w:rPr>
          <w:spacing w:val="-2"/>
          <w:sz w:val="22"/>
        </w:rPr>
        <w:t>Knowledge</w:t>
      </w:r>
    </w:p>
    <w:p>
      <w:pPr>
        <w:tabs>
          <w:tab w:pos="2237" w:val="left" w:leader="none"/>
        </w:tabs>
        <w:spacing w:before="18"/>
        <w:ind w:left="946" w:right="0" w:firstLine="0"/>
        <w:jc w:val="left"/>
        <w:rPr>
          <w:sz w:val="22"/>
        </w:rPr>
      </w:pPr>
      <w:r>
        <w:rPr>
          <w:i/>
        </w:rPr>
        <w:t>소크</w:t>
        <w:tab/>
        <w:t>지식의 체계화</w:t>
      </w:r>
    </w:p>
    <w:p>
      <w:pPr>
        <w:tabs>
          <w:tab w:pos="2237" w:val="left" w:leader="none"/>
        </w:tabs>
        <w:spacing w:line="256" w:lineRule="auto" w:before="18"/>
        <w:ind w:left="946" w:right="4948" w:firstLine="0"/>
        <w:jc w:val="left"/>
        <w:rPr>
          <w:sz w:val="22"/>
        </w:rPr>
      </w:pPr>
      <w:r>
        <w:rPr>
          <w:spacing w:val="-4"/>
          <w:sz w:val="22"/>
        </w:rPr>
        <w:t>SRQ</w:t>
      </w:r>
      <w:r>
        <w:rPr>
          <w:sz w:val="22"/>
        </w:rPr>
        <w:tab/>
      </w:r>
      <w:r>
        <w:rPr>
          <w:spacing w:val="-2"/>
          <w:sz w:val="22"/>
        </w:rPr>
        <w:t>Supplementary Research </w:t>
      </w:r>
      <w:r>
        <w:rPr>
          <w:spacing w:val="-2"/>
          <w:sz w:val="22"/>
        </w:rPr>
        <w:t>Question USENIX</w:t>
      </w:r>
      <w:r>
        <w:rPr>
          <w:sz w:val="22"/>
        </w:rPr>
        <w:tab/>
        <w:t>USENIX Security Symposium </w:t>
      </w:r>
      <w:r>
        <w:rPr>
          <w:spacing w:val="-4"/>
          <w:sz w:val="22"/>
        </w:rPr>
        <w:t>WWW</w:t>
      </w:r>
      <w:r>
        <w:rPr>
          <w:sz w:val="22"/>
        </w:rPr>
        <w:tab/>
        <w:t>World Wide Web Conference</w:t>
      </w:r>
    </w:p>
    <w:p>
      <w:pPr>
        <w:tabs>
          <w:tab w:pos="2237" w:val="left" w:leader="none"/>
        </w:tabs>
        <w:spacing w:line="256" w:lineRule="auto" w:before="18"/>
        <w:ind w:left="946" w:right="4948" w:firstLine="0"/>
        <w:jc w:val="left"/>
        <w:rPr>
          <w:sz w:val="22"/>
        </w:rPr>
      </w:pPr>
      <w:r>
        <w:rPr>
          <w:i/>
        </w:rPr>
        <w:t>SRQ</w:t>
        <w:tab/>
        <w:t>보충 연구 질문 USENIX</w:t>
        <w:tab/>
        <w:t>USENIX 보안 심포지엄 WWW</w:t>
        <w:tab/>
        <w:t>월드와이드웹 컨퍼런스</w:t>
      </w:r>
    </w:p>
    <w:p>
      <w:pPr>
        <w:pStyle w:val="BodyText"/>
        <w:spacing w:before="10"/>
        <w:rPr>
          <w:sz w:val="3"/>
        </w:rPr>
      </w:pPr>
      <w:r>
        <w:rPr>
          <w:sz w:val="3"/>
        </w:rPr>
        <mc:AlternateContent>
          <mc:Choice Requires="wps">
            <w:drawing>
              <wp:anchor distT="0" distB="0" distL="0" distR="0" allowOverlap="1" layoutInCell="1" locked="0" behindDoc="1" simplePos="0" relativeHeight="487588864">
                <wp:simplePos x="0" y="0"/>
                <wp:positionH relativeFrom="page">
                  <wp:posOffset>1186967</wp:posOffset>
                </wp:positionH>
                <wp:positionV relativeFrom="paragraph">
                  <wp:posOffset>44100</wp:posOffset>
                </wp:positionV>
                <wp:extent cx="51866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186680" cy="1270"/>
                        </a:xfrm>
                        <a:custGeom>
                          <a:avLst/>
                          <a:gdLst/>
                          <a:ahLst/>
                          <a:cxnLst/>
                          <a:rect l="l" t="t" r="r" b="b"/>
                          <a:pathLst>
                            <a:path w="5186680" h="0">
                              <a:moveTo>
                                <a:pt x="0" y="0"/>
                              </a:moveTo>
                              <a:lnTo>
                                <a:pt x="518605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461998pt;margin-top:3.472487pt;width:408.4pt;height:.1pt;mso-position-horizontal-relative:page;mso-position-vertical-relative:paragraph;z-index:-15727616;mso-wrap-distance-left:0;mso-wrap-distance-right:0" id="docshape4" coordorigin="1869,69" coordsize="8168,0" path="m1869,69l10036,69e" filled="false" stroked="true" strokeweight=".9564pt" strokecolor="#000000">
                <v:path arrowok="t"/>
                <v:stroke dashstyle="solid"/>
                <w10:wrap type="topAndBottom"/>
              </v:shape>
            </w:pict>
          </mc:Fallback>
        </mc:AlternateContent>
      </w:r>
    </w:p>
    <w:p>
      <w:pPr>
        <w:pStyle w:val="BodyText"/>
        <w:rPr>
          <w:sz w:val="28"/>
        </w:rPr>
      </w:pPr>
    </w:p>
    <w:p>
      <w:pPr>
        <w:pStyle w:val="BodyText"/>
        <w:spacing w:before="117"/>
        <w:rPr>
          <w:sz w:val="28"/>
        </w:rPr>
      </w:pPr>
    </w:p>
    <w:p>
      <w:pPr>
        <w:pStyle w:val="Heading2"/>
        <w:spacing w:before="1"/>
        <w:ind w:left="282" w:firstLine="0"/>
      </w:pPr>
      <w:r>
        <w:rPr/>
        <w:t>Mathematical</w:t>
      </w:r>
      <w:r>
        <w:rPr>
          <w:spacing w:val="34"/>
        </w:rPr>
        <w:t> </w:t>
      </w:r>
      <w:r>
        <w:rPr>
          <w:spacing w:val="-2"/>
        </w:rPr>
        <w:t>notation</w:t>
      </w:r>
    </w:p>
    <w:p>
      <w:pPr>
        <w:pStyle w:val="Heading2"/>
        <w:spacing w:before="1"/>
        <w:ind w:left="282" w:firstLine="0"/>
      </w:pPr>
      <w:r>
        <w:rPr>
          <w:i/>
        </w:rPr>
        <w:t>수학 표기법</w:t>
      </w:r>
    </w:p>
    <w:p>
      <w:pPr>
        <w:pStyle w:val="Heading2"/>
        <w:spacing w:after="0"/>
        <w:sectPr>
          <w:pgSz w:w="11910" w:h="16840"/>
          <w:pgMar w:header="0" w:footer="2115" w:top="1920" w:bottom="2300" w:left="992" w:right="708"/>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0"/>
        <w:rPr>
          <w:b/>
        </w:rPr>
      </w:pPr>
    </w:p>
    <w:p>
      <w:pPr>
        <w:pStyle w:val="BodyText"/>
        <w:ind w:right="290"/>
        <w:jc w:val="center"/>
      </w:pPr>
      <w:bookmarkStart w:name="_bookmark3" w:id="4"/>
      <w:bookmarkEnd w:id="4"/>
      <w:r>
        <w:rPr/>
      </w:r>
      <w:r>
        <w:rPr/>
        <w:t>Table</w:t>
      </w:r>
      <w:r>
        <w:rPr>
          <w:spacing w:val="-9"/>
        </w:rPr>
        <w:t> </w:t>
      </w:r>
      <w:r>
        <w:rPr/>
        <w:t>2:</w:t>
      </w:r>
      <w:r>
        <w:rPr>
          <w:spacing w:val="8"/>
        </w:rPr>
        <w:t> </w:t>
      </w:r>
      <w:r>
        <w:rPr/>
        <w:t>Mathematical</w:t>
      </w:r>
      <w:r>
        <w:rPr>
          <w:spacing w:val="-9"/>
        </w:rPr>
        <w:t> </w:t>
      </w:r>
      <w:r>
        <w:rPr/>
        <w:t>notation</w:t>
      </w:r>
      <w:r>
        <w:rPr>
          <w:spacing w:val="-9"/>
        </w:rPr>
        <w:t> </w:t>
      </w:r>
      <w:r>
        <w:rPr/>
        <w:t>used</w:t>
      </w:r>
      <w:r>
        <w:rPr>
          <w:spacing w:val="-9"/>
        </w:rPr>
        <w:t> </w:t>
      </w:r>
      <w:r>
        <w:rPr/>
        <w:t>in</w:t>
      </w:r>
      <w:r>
        <w:rPr>
          <w:spacing w:val="-9"/>
        </w:rPr>
        <w:t> </w:t>
      </w:r>
      <w:r>
        <w:rPr/>
        <w:t>this</w:t>
      </w:r>
      <w:r>
        <w:rPr>
          <w:spacing w:val="-9"/>
        </w:rPr>
        <w:t> </w:t>
      </w:r>
      <w:r>
        <w:rPr>
          <w:spacing w:val="-2"/>
        </w:rPr>
        <w:t>dissertation.</w:t>
      </w:r>
    </w:p>
    <w:p>
      <w:pPr>
        <w:pStyle w:val="BodyText"/>
        <w:ind w:right="290"/>
        <w:jc w:val="center"/>
      </w:pPr>
      <w:r>
        <w:rPr>
          <w:i/>
        </w:rPr>
        <w:t>표 2: 이 논문에 사용된 수학적 표기법.</w:t>
      </w:r>
    </w:p>
    <w:p>
      <w:pPr>
        <w:pStyle w:val="BodyText"/>
        <w:spacing w:before="1"/>
        <w:rPr>
          <w:sz w:val="19"/>
        </w:rPr>
      </w:pPr>
      <w:r>
        <w:rPr>
          <w:sz w:val="19"/>
        </w:rPr>
        <mc:AlternateContent>
          <mc:Choice Requires="wps">
            <w:drawing>
              <wp:anchor distT="0" distB="0" distL="0" distR="0" allowOverlap="1" layoutInCell="1" locked="0" behindDoc="1" simplePos="0" relativeHeight="487589376">
                <wp:simplePos x="0" y="0"/>
                <wp:positionH relativeFrom="page">
                  <wp:posOffset>1331849</wp:posOffset>
                </wp:positionH>
                <wp:positionV relativeFrom="paragraph">
                  <wp:posOffset>154815</wp:posOffset>
                </wp:positionV>
                <wp:extent cx="489648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896485" cy="1270"/>
                        </a:xfrm>
                        <a:custGeom>
                          <a:avLst/>
                          <a:gdLst/>
                          <a:ahLst/>
                          <a:cxnLst/>
                          <a:rect l="l" t="t" r="r" b="b"/>
                          <a:pathLst>
                            <a:path w="4896485" h="0">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12.190234pt;width:385.55pt;height:.1pt;mso-position-horizontal-relative:page;mso-position-vertical-relative:paragraph;z-index:-15727104;mso-wrap-distance-left:0;mso-wrap-distance-right:0" id="docshape5" coordorigin="2097,244" coordsize="7711,0" path="m2097,244l9808,244e" filled="false" stroked="true" strokeweight=".9564pt" strokecolor="#000000">
                <v:path arrowok="t"/>
                <v:stroke dashstyle="solid"/>
                <w10:wrap type="topAndBottom"/>
              </v:shape>
            </w:pict>
          </mc:Fallback>
        </mc:AlternateContent>
      </w:r>
    </w:p>
    <w:p>
      <w:pPr>
        <w:spacing w:before="54"/>
        <w:ind w:left="1175" w:right="0" w:firstLine="0"/>
        <w:jc w:val="left"/>
        <w:rPr>
          <w:sz w:val="22"/>
        </w:rPr>
      </w:pPr>
      <w:r>
        <w:rPr>
          <w:sz w:val="22"/>
        </w:rPr>
        <w:t>Symbol</w:t>
      </w:r>
      <w:r>
        <w:rPr>
          <w:spacing w:val="65"/>
          <w:w w:val="150"/>
          <w:sz w:val="22"/>
        </w:rPr>
        <w:t> </w:t>
      </w:r>
      <w:r>
        <w:rPr>
          <w:spacing w:val="-2"/>
          <w:sz w:val="22"/>
        </w:rPr>
        <w:t>Meaning</w:t>
      </w:r>
    </w:p>
    <w:p>
      <w:pPr>
        <w:spacing w:before="54"/>
        <w:ind w:left="1175" w:right="0" w:firstLine="0"/>
        <w:jc w:val="left"/>
        <w:rPr>
          <w:sz w:val="22"/>
        </w:rPr>
      </w:pPr>
      <w:r>
        <w:rPr>
          <w:i/>
        </w:rPr>
        <w:t>기호 의미</w:t>
      </w:r>
    </w:p>
    <w:p>
      <w:pPr>
        <w:pStyle w:val="BodyText"/>
        <w:rPr>
          <w:sz w:val="5"/>
        </w:rPr>
      </w:pPr>
      <w:r>
        <w:rPr>
          <w:sz w:val="5"/>
        </w:rPr>
        <mc:AlternateContent>
          <mc:Choice Requires="wps">
            <w:drawing>
              <wp:anchor distT="0" distB="0" distL="0" distR="0" allowOverlap="1" layoutInCell="1" locked="0" behindDoc="1" simplePos="0" relativeHeight="487589888">
                <wp:simplePos x="0" y="0"/>
                <wp:positionH relativeFrom="page">
                  <wp:posOffset>1331849</wp:posOffset>
                </wp:positionH>
                <wp:positionV relativeFrom="paragraph">
                  <wp:posOffset>52246</wp:posOffset>
                </wp:positionV>
                <wp:extent cx="48964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896485" cy="1270"/>
                        </a:xfrm>
                        <a:custGeom>
                          <a:avLst/>
                          <a:gdLst/>
                          <a:ahLst/>
                          <a:cxnLst/>
                          <a:rect l="l" t="t" r="r" b="b"/>
                          <a:pathLst>
                            <a:path w="4896485" h="0">
                              <a:moveTo>
                                <a:pt x="0" y="0"/>
                              </a:moveTo>
                              <a:lnTo>
                                <a:pt x="489629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4.113874pt;width:385.55pt;height:.1pt;mso-position-horizontal-relative:page;mso-position-vertical-relative:paragraph;z-index:-15726592;mso-wrap-distance-left:0;mso-wrap-distance-right:0" id="docshape6" coordorigin="2097,82" coordsize="7711,0" path="m2097,82l9808,82e" filled="false" stroked="true" strokeweight=".5978pt" strokecolor="#000000">
                <v:path arrowok="t"/>
                <v:stroke dashstyle="solid"/>
                <w10:wrap type="topAndBottom"/>
              </v:shape>
            </w:pict>
          </mc:Fallback>
        </mc:AlternateContent>
      </w:r>
    </w:p>
    <w:p>
      <w:pPr>
        <w:spacing w:line="322" w:lineRule="exact" w:before="18"/>
        <w:ind w:left="1175" w:right="0" w:firstLine="0"/>
        <w:jc w:val="left"/>
        <w:rPr>
          <w:rFonts w:ascii="Lucida Sans Unicode" w:hAnsi="Lucida Sans Unicode"/>
          <w:sz w:val="22"/>
        </w:rPr>
      </w:pPr>
      <w:r>
        <w:rPr>
          <w:rFonts w:ascii="Calibri" w:hAnsi="Calibri"/>
          <w:i/>
          <w:sz w:val="22"/>
        </w:rPr>
        <w:t>G</w:t>
      </w:r>
      <w:r>
        <w:rPr>
          <w:sz w:val="22"/>
          <w:vertAlign w:val="subscript"/>
        </w:rPr>
        <w:t>approve</w:t>
      </w:r>
      <w:r>
        <w:rPr>
          <w:spacing w:val="69"/>
          <w:w w:val="150"/>
          <w:sz w:val="22"/>
          <w:vertAlign w:val="baseline"/>
        </w:rPr>
        <w:t> </w:t>
      </w:r>
      <w:r>
        <w:rPr>
          <w:sz w:val="22"/>
          <w:vertAlign w:val="baseline"/>
        </w:rPr>
        <w:t>Directed</w:t>
      </w:r>
      <w:r>
        <w:rPr>
          <w:spacing w:val="69"/>
          <w:sz w:val="22"/>
          <w:vertAlign w:val="baseline"/>
        </w:rPr>
        <w:t> </w:t>
      </w:r>
      <w:r>
        <w:rPr>
          <w:sz w:val="22"/>
          <w:vertAlign w:val="baseline"/>
        </w:rPr>
        <w:t>endorsement</w:t>
      </w:r>
      <w:r>
        <w:rPr>
          <w:spacing w:val="69"/>
          <w:sz w:val="22"/>
          <w:vertAlign w:val="baseline"/>
        </w:rPr>
        <w:t> </w:t>
      </w:r>
      <w:r>
        <w:rPr>
          <w:sz w:val="22"/>
          <w:vertAlign w:val="baseline"/>
        </w:rPr>
        <w:t>graph</w:t>
      </w:r>
      <w:r>
        <w:rPr>
          <w:spacing w:val="69"/>
          <w:sz w:val="22"/>
          <w:vertAlign w:val="baseline"/>
        </w:rPr>
        <w:t> </w:t>
      </w:r>
      <w:r>
        <w:rPr>
          <w:sz w:val="22"/>
          <w:vertAlign w:val="baseline"/>
        </w:rPr>
        <w:t>from</w:t>
      </w:r>
      <w:r>
        <w:rPr>
          <w:spacing w:val="69"/>
          <w:sz w:val="22"/>
          <w:vertAlign w:val="baseline"/>
        </w:rPr>
        <w:t> </w:t>
      </w:r>
      <w:r>
        <w:rPr>
          <w:sz w:val="22"/>
          <w:vertAlign w:val="baseline"/>
        </w:rPr>
        <w:t>latest</w:t>
      </w:r>
      <w:r>
        <w:rPr>
          <w:spacing w:val="68"/>
          <w:sz w:val="22"/>
          <w:vertAlign w:val="baseline"/>
        </w:rPr>
        <w:t> </w:t>
      </w:r>
      <w:r>
        <w:rPr>
          <w:sz w:val="22"/>
          <w:vertAlign w:val="baseline"/>
        </w:rPr>
        <w:t>ERC-20</w:t>
      </w:r>
      <w:r>
        <w:rPr>
          <w:spacing w:val="69"/>
          <w:sz w:val="22"/>
          <w:vertAlign w:val="baseline"/>
        </w:rPr>
        <w:t> </w:t>
      </w:r>
      <w:r>
        <w:rPr>
          <w:sz w:val="22"/>
          <w:vertAlign w:val="baseline"/>
        </w:rPr>
        <w:t>allowances</w:t>
      </w:r>
      <w:r>
        <w:rPr>
          <w:spacing w:val="69"/>
          <w:sz w:val="22"/>
          <w:vertAlign w:val="baseline"/>
        </w:rPr>
        <w:t> </w:t>
      </w:r>
      <w:r>
        <w:rPr>
          <w:sz w:val="22"/>
          <w:vertAlign w:val="baseline"/>
        </w:rPr>
        <w:t>(owner</w:t>
      </w:r>
      <w:r>
        <w:rPr>
          <w:spacing w:val="68"/>
          <w:sz w:val="22"/>
          <w:vertAlign w:val="baseline"/>
        </w:rPr>
        <w:t> </w:t>
      </w:r>
      <w:r>
        <w:rPr>
          <w:rFonts w:ascii="Lucida Sans Unicode" w:hAnsi="Lucida Sans Unicode"/>
          <w:spacing w:val="-10"/>
          <w:sz w:val="22"/>
          <w:vertAlign w:val="baseline"/>
        </w:rPr>
        <w:t>→</w:t>
      </w:r>
    </w:p>
    <w:p>
      <w:pPr>
        <w:spacing w:line="322" w:lineRule="exact" w:before="18"/>
        <w:ind w:left="1175" w:right="0" w:firstLine="0"/>
        <w:jc w:val="left"/>
        <w:rPr>
          <w:rFonts w:ascii="Lucida Sans Unicode" w:hAnsi="Lucida Sans Unicode"/>
          <w:sz w:val="22"/>
        </w:rPr>
      </w:pPr>
      <w:r>
        <w:rPr>
          <w:i/>
        </w:rPr>
        <w:t>Gapprove 최신 ERC-20 수당의 직접 보증 그래프(소유자 →</w:t>
      </w:r>
    </w:p>
    <w:p>
      <w:pPr>
        <w:spacing w:line="237" w:lineRule="exact" w:before="0"/>
        <w:ind w:left="2009" w:right="0" w:firstLine="0"/>
        <w:jc w:val="left"/>
        <w:rPr>
          <w:sz w:val="22"/>
        </w:rPr>
      </w:pPr>
      <w:r>
        <w:rPr>
          <w:spacing w:val="-2"/>
          <w:sz w:val="22"/>
        </w:rPr>
        <w:t>spender)</w:t>
      </w:r>
    </w:p>
    <w:p>
      <w:pPr>
        <w:spacing w:line="237" w:lineRule="exact" w:before="0"/>
        <w:ind w:left="2009" w:right="0" w:firstLine="0"/>
        <w:jc w:val="left"/>
        <w:rPr>
          <w:sz w:val="22"/>
        </w:rPr>
      </w:pPr>
      <w:r>
        <w:rPr>
          <w:i/>
        </w:rPr>
        <w:t>돈 쓰는 사람)</w:t>
      </w:r>
    </w:p>
    <w:p>
      <w:pPr>
        <w:spacing w:before="14"/>
        <w:ind w:left="1175" w:right="0" w:firstLine="0"/>
        <w:jc w:val="left"/>
        <w:rPr>
          <w:sz w:val="22"/>
        </w:rPr>
      </w:pPr>
      <w:r>
        <w:rPr>
          <w:rFonts w:ascii="Calibri"/>
          <w:i/>
          <w:sz w:val="22"/>
        </w:rPr>
        <w:t>G</w:t>
      </w:r>
      <w:r>
        <w:rPr>
          <w:sz w:val="22"/>
          <w:vertAlign w:val="subscript"/>
        </w:rPr>
        <w:t>transfer</w:t>
      </w:r>
      <w:r>
        <w:rPr>
          <w:spacing w:val="34"/>
          <w:sz w:val="22"/>
          <w:vertAlign w:val="baseline"/>
        </w:rPr>
        <w:t>  </w:t>
      </w:r>
      <w:r>
        <w:rPr>
          <w:sz w:val="22"/>
          <w:vertAlign w:val="baseline"/>
        </w:rPr>
        <w:t>Directed transfer graph with time-decayed edge weights</w:t>
      </w:r>
      <w:r>
        <w:rPr>
          <w:spacing w:val="-1"/>
          <w:sz w:val="22"/>
          <w:vertAlign w:val="baseline"/>
        </w:rPr>
        <w:t> </w:t>
      </w:r>
      <w:r>
        <w:rPr>
          <w:sz w:val="22"/>
          <w:vertAlign w:val="baseline"/>
        </w:rPr>
        <w:t>(AWP </w:t>
      </w:r>
      <w:r>
        <w:rPr>
          <w:spacing w:val="-2"/>
          <w:sz w:val="22"/>
          <w:vertAlign w:val="baseline"/>
        </w:rPr>
        <w:t>input)</w:t>
      </w:r>
    </w:p>
    <w:p>
      <w:pPr>
        <w:spacing w:before="14"/>
        <w:ind w:left="1175" w:right="0" w:firstLine="0"/>
        <w:jc w:val="left"/>
        <w:rPr>
          <w:sz w:val="22"/>
        </w:rPr>
      </w:pPr>
      <w:r>
        <w:rPr>
          <w:i/>
        </w:rPr>
        <w:t>Gtransfer 시간에 따른 간선 가중치가 있는 방향성 전달 그래프(AWP 입력)</w:t>
      </w:r>
    </w:p>
    <w:p>
      <w:pPr>
        <w:tabs>
          <w:tab w:pos="2009" w:val="left" w:leader="none"/>
        </w:tabs>
        <w:spacing w:before="2"/>
        <w:ind w:left="1175" w:right="0" w:firstLine="0"/>
        <w:jc w:val="left"/>
        <w:rPr>
          <w:sz w:val="22"/>
        </w:rPr>
      </w:pPr>
      <w:r>
        <w:rPr>
          <w:rFonts w:ascii="Calibri"/>
          <w:i/>
          <w:spacing w:val="-10"/>
          <w:sz w:val="22"/>
        </w:rPr>
        <w:t>n</w:t>
      </w:r>
      <w:r>
        <w:rPr>
          <w:rFonts w:ascii="Calibri"/>
          <w:i/>
          <w:sz w:val="22"/>
        </w:rPr>
        <w:tab/>
      </w:r>
      <w:r>
        <w:rPr>
          <w:sz w:val="22"/>
        </w:rPr>
        <w:t>Alignment-cohort</w:t>
      </w:r>
      <w:r>
        <w:rPr>
          <w:spacing w:val="4"/>
          <w:sz w:val="22"/>
        </w:rPr>
        <w:t> </w:t>
      </w:r>
      <w:r>
        <w:rPr>
          <w:sz w:val="22"/>
        </w:rPr>
        <w:t>size</w:t>
      </w:r>
      <w:r>
        <w:rPr>
          <w:spacing w:val="5"/>
          <w:sz w:val="22"/>
        </w:rPr>
        <w:t> </w:t>
      </w:r>
      <w:r>
        <w:rPr>
          <w:sz w:val="22"/>
        </w:rPr>
        <w:t>(primary</w:t>
      </w:r>
      <w:r>
        <w:rPr>
          <w:spacing w:val="5"/>
          <w:sz w:val="22"/>
        </w:rPr>
        <w:t> </w:t>
      </w:r>
      <w:r>
        <w:rPr>
          <w:sz w:val="22"/>
        </w:rPr>
        <w:t>comparison:</w:t>
      </w:r>
      <w:r>
        <w:rPr>
          <w:spacing w:val="24"/>
          <w:sz w:val="22"/>
        </w:rPr>
        <w:t> </w:t>
      </w:r>
      <w:r>
        <w:rPr>
          <w:rFonts w:ascii="Calibri"/>
          <w:i/>
          <w:sz w:val="22"/>
        </w:rPr>
        <w:t>n</w:t>
      </w:r>
      <w:r>
        <w:rPr>
          <w:rFonts w:ascii="Calibri"/>
          <w:i/>
          <w:spacing w:val="16"/>
          <w:sz w:val="22"/>
        </w:rPr>
        <w:t> </w:t>
      </w:r>
      <w:r>
        <w:rPr>
          <w:rFonts w:ascii="Calibri"/>
          <w:sz w:val="22"/>
        </w:rPr>
        <w:t>=</w:t>
      </w:r>
      <w:r>
        <w:rPr>
          <w:rFonts w:ascii="Calibri"/>
          <w:spacing w:val="17"/>
          <w:sz w:val="22"/>
        </w:rPr>
        <w:t> </w:t>
      </w:r>
      <w:r>
        <w:rPr>
          <w:rFonts w:ascii="Calibri"/>
          <w:spacing w:val="-2"/>
          <w:sz w:val="22"/>
        </w:rPr>
        <w:t>5</w:t>
      </w:r>
      <w:r>
        <w:rPr>
          <w:rFonts w:ascii="Calibri"/>
          <w:i/>
          <w:spacing w:val="-2"/>
          <w:sz w:val="22"/>
        </w:rPr>
        <w:t>,</w:t>
      </w:r>
      <w:r>
        <w:rPr>
          <w:rFonts w:ascii="Calibri"/>
          <w:spacing w:val="-2"/>
          <w:sz w:val="22"/>
        </w:rPr>
        <w:t>521</w:t>
      </w:r>
      <w:r>
        <w:rPr>
          <w:spacing w:val="-2"/>
          <w:sz w:val="22"/>
        </w:rPr>
        <w:t>)</w:t>
      </w:r>
    </w:p>
    <w:p>
      <w:pPr>
        <w:tabs>
          <w:tab w:pos="2009" w:val="left" w:leader="none"/>
        </w:tabs>
        <w:spacing w:before="2"/>
        <w:ind w:left="1175" w:right="0" w:firstLine="0"/>
        <w:jc w:val="left"/>
        <w:rPr>
          <w:sz w:val="22"/>
        </w:rPr>
      </w:pPr>
      <w:r>
        <w:rPr>
          <w:i/>
        </w:rPr>
        <w:t>N</w:t>
        <w:tab/>
        <w:t>정렬-코호트 크기(1차 비교: n = 5,521)</w:t>
      </w:r>
    </w:p>
    <w:p>
      <w:pPr>
        <w:tabs>
          <w:tab w:pos="2009" w:val="left" w:leader="none"/>
        </w:tabs>
        <w:spacing w:before="2"/>
        <w:ind w:left="1175" w:right="0" w:firstLine="0"/>
        <w:jc w:val="left"/>
        <w:rPr>
          <w:sz w:val="22"/>
        </w:rPr>
      </w:pPr>
      <w:r>
        <w:rPr>
          <w:rFonts w:ascii="Calibri"/>
          <w:i/>
          <w:spacing w:val="-10"/>
          <w:w w:val="110"/>
          <w:sz w:val="22"/>
        </w:rPr>
        <w:t>N</w:t>
      </w:r>
      <w:r>
        <w:rPr>
          <w:rFonts w:ascii="Calibri"/>
          <w:i/>
          <w:sz w:val="22"/>
        </w:rPr>
        <w:tab/>
      </w:r>
      <w:r>
        <w:rPr>
          <w:w w:val="105"/>
          <w:sz w:val="22"/>
        </w:rPr>
        <w:t>Expanded</w:t>
      </w:r>
      <w:r>
        <w:rPr>
          <w:spacing w:val="-15"/>
          <w:w w:val="105"/>
          <w:sz w:val="22"/>
        </w:rPr>
        <w:t> </w:t>
      </w:r>
      <w:r>
        <w:rPr>
          <w:w w:val="105"/>
          <w:sz w:val="22"/>
        </w:rPr>
        <w:t>wallet-pool</w:t>
      </w:r>
      <w:r>
        <w:rPr>
          <w:spacing w:val="-14"/>
          <w:w w:val="105"/>
          <w:sz w:val="22"/>
        </w:rPr>
        <w:t> </w:t>
      </w:r>
      <w:r>
        <w:rPr>
          <w:w w:val="105"/>
          <w:sz w:val="22"/>
        </w:rPr>
        <w:t>size</w:t>
      </w:r>
      <w:r>
        <w:rPr>
          <w:spacing w:val="-15"/>
          <w:w w:val="105"/>
          <w:sz w:val="22"/>
        </w:rPr>
        <w:t> </w:t>
      </w:r>
      <w:r>
        <w:rPr>
          <w:w w:val="105"/>
          <w:sz w:val="22"/>
        </w:rPr>
        <w:t>(scaling:</w:t>
      </w:r>
      <w:r>
        <w:rPr>
          <w:spacing w:val="-11"/>
          <w:w w:val="105"/>
          <w:sz w:val="22"/>
        </w:rPr>
        <w:t> </w:t>
      </w:r>
      <w:r>
        <w:rPr>
          <w:rFonts w:ascii="Calibri"/>
          <w:i/>
          <w:w w:val="105"/>
          <w:sz w:val="22"/>
        </w:rPr>
        <w:t>N</w:t>
      </w:r>
      <w:r>
        <w:rPr>
          <w:rFonts w:ascii="Calibri"/>
          <w:i/>
          <w:spacing w:val="4"/>
          <w:w w:val="105"/>
          <w:sz w:val="22"/>
        </w:rPr>
        <w:t> </w:t>
      </w:r>
      <w:r>
        <w:rPr>
          <w:rFonts w:ascii="Calibri"/>
          <w:w w:val="105"/>
          <w:sz w:val="22"/>
        </w:rPr>
        <w:t>=</w:t>
      </w:r>
      <w:r>
        <w:rPr>
          <w:rFonts w:ascii="Calibri"/>
          <w:spacing w:val="-8"/>
          <w:w w:val="105"/>
          <w:sz w:val="22"/>
        </w:rPr>
        <w:t> </w:t>
      </w:r>
      <w:r>
        <w:rPr>
          <w:rFonts w:ascii="Calibri"/>
          <w:spacing w:val="-2"/>
          <w:w w:val="105"/>
          <w:sz w:val="22"/>
        </w:rPr>
        <w:t>31</w:t>
      </w:r>
      <w:r>
        <w:rPr>
          <w:rFonts w:ascii="Calibri"/>
          <w:i/>
          <w:spacing w:val="-2"/>
          <w:w w:val="105"/>
          <w:sz w:val="22"/>
        </w:rPr>
        <w:t>,</w:t>
      </w:r>
      <w:r>
        <w:rPr>
          <w:rFonts w:ascii="Calibri"/>
          <w:spacing w:val="-2"/>
          <w:w w:val="105"/>
          <w:sz w:val="22"/>
        </w:rPr>
        <w:t>612</w:t>
      </w:r>
      <w:r>
        <w:rPr>
          <w:spacing w:val="-2"/>
          <w:w w:val="105"/>
          <w:sz w:val="22"/>
        </w:rPr>
        <w:t>)</w:t>
      </w:r>
    </w:p>
    <w:p>
      <w:pPr>
        <w:tabs>
          <w:tab w:pos="2009" w:val="left" w:leader="none"/>
        </w:tabs>
        <w:spacing w:before="2"/>
        <w:ind w:left="1175" w:right="0" w:firstLine="0"/>
        <w:jc w:val="left"/>
        <w:rPr>
          <w:sz w:val="22"/>
        </w:rPr>
      </w:pPr>
      <w:r>
        <w:rPr>
          <w:i/>
        </w:rPr>
        <w:t>N</w:t>
        <w:tab/>
        <w:t>확장된 지갑 풀 크기(확장: N = 31,612)</w:t>
      </w:r>
    </w:p>
    <w:p>
      <w:pPr>
        <w:tabs>
          <w:tab w:pos="2009" w:val="left" w:leader="none"/>
        </w:tabs>
        <w:spacing w:before="3"/>
        <w:ind w:left="1175" w:right="0" w:firstLine="0"/>
        <w:jc w:val="left"/>
        <w:rPr>
          <w:sz w:val="22"/>
        </w:rPr>
      </w:pPr>
      <w:r>
        <w:rPr>
          <w:rFonts w:ascii="Calibri"/>
          <w:i/>
          <w:spacing w:val="-10"/>
          <w:sz w:val="22"/>
        </w:rPr>
        <w:t>d</w:t>
      </w:r>
      <w:r>
        <w:rPr>
          <w:rFonts w:ascii="Calibri"/>
          <w:i/>
          <w:sz w:val="22"/>
        </w:rPr>
        <w:tab/>
      </w:r>
      <w:r>
        <w:rPr>
          <w:sz w:val="22"/>
        </w:rPr>
        <w:t>PageRank</w:t>
      </w:r>
      <w:r>
        <w:rPr>
          <w:spacing w:val="-11"/>
          <w:sz w:val="22"/>
        </w:rPr>
        <w:t> </w:t>
      </w:r>
      <w:r>
        <w:rPr>
          <w:sz w:val="22"/>
        </w:rPr>
        <w:t>damping</w:t>
      </w:r>
      <w:r>
        <w:rPr>
          <w:spacing w:val="-11"/>
          <w:sz w:val="22"/>
        </w:rPr>
        <w:t> </w:t>
      </w:r>
      <w:r>
        <w:rPr>
          <w:sz w:val="22"/>
        </w:rPr>
        <w:t>(teleportation)</w:t>
      </w:r>
      <w:r>
        <w:rPr>
          <w:spacing w:val="-11"/>
          <w:sz w:val="22"/>
        </w:rPr>
        <w:t> </w:t>
      </w:r>
      <w:r>
        <w:rPr>
          <w:spacing w:val="-2"/>
          <w:sz w:val="22"/>
        </w:rPr>
        <w:t>factor</w:t>
      </w:r>
    </w:p>
    <w:p>
      <w:pPr>
        <w:tabs>
          <w:tab w:pos="2009" w:val="left" w:leader="none"/>
        </w:tabs>
        <w:spacing w:before="3"/>
        <w:ind w:left="1175" w:right="0" w:firstLine="0"/>
        <w:jc w:val="left"/>
        <w:rPr>
          <w:sz w:val="22"/>
        </w:rPr>
      </w:pPr>
      <w:r>
        <w:rPr>
          <w:i/>
        </w:rPr>
        <w:t>디</w:t>
        <w:tab/>
        <w:t>PageRank 감쇠(순간이동) 계수</w:t>
      </w:r>
    </w:p>
    <w:p>
      <w:pPr>
        <w:tabs>
          <w:tab w:pos="2009" w:val="left" w:leader="none"/>
        </w:tabs>
        <w:spacing w:before="2"/>
        <w:ind w:left="1175" w:right="0" w:firstLine="0"/>
        <w:jc w:val="left"/>
        <w:rPr>
          <w:sz w:val="22"/>
        </w:rPr>
      </w:pPr>
      <w:r>
        <w:rPr>
          <w:rFonts w:ascii="Calibri"/>
          <w:i/>
          <w:spacing w:val="-10"/>
          <w:sz w:val="22"/>
        </w:rPr>
        <w:t>k</w:t>
      </w:r>
      <w:r>
        <w:rPr>
          <w:rFonts w:ascii="Calibri"/>
          <w:i/>
          <w:sz w:val="22"/>
        </w:rPr>
        <w:tab/>
      </w:r>
      <w:r>
        <w:rPr>
          <w:spacing w:val="-2"/>
          <w:sz w:val="22"/>
        </w:rPr>
        <w:t>AWP</w:t>
      </w:r>
      <w:r>
        <w:rPr>
          <w:spacing w:val="-1"/>
          <w:sz w:val="22"/>
        </w:rPr>
        <w:t> </w:t>
      </w:r>
      <w:r>
        <w:rPr>
          <w:spacing w:val="-2"/>
          <w:sz w:val="22"/>
        </w:rPr>
        <w:t>logistic</w:t>
      </w:r>
      <w:r>
        <w:rPr>
          <w:sz w:val="22"/>
        </w:rPr>
        <w:t> </w:t>
      </w:r>
      <w:r>
        <w:rPr>
          <w:spacing w:val="-2"/>
          <w:sz w:val="22"/>
        </w:rPr>
        <w:t>time-decay</w:t>
      </w:r>
      <w:r>
        <w:rPr>
          <w:spacing w:val="-1"/>
          <w:sz w:val="22"/>
        </w:rPr>
        <w:t> </w:t>
      </w:r>
      <w:r>
        <w:rPr>
          <w:spacing w:val="-2"/>
          <w:sz w:val="22"/>
        </w:rPr>
        <w:t>steepness</w:t>
      </w:r>
    </w:p>
    <w:p>
      <w:pPr>
        <w:tabs>
          <w:tab w:pos="2009" w:val="left" w:leader="none"/>
        </w:tabs>
        <w:spacing w:before="2"/>
        <w:ind w:left="1175" w:right="0" w:firstLine="0"/>
        <w:jc w:val="left"/>
        <w:rPr>
          <w:sz w:val="22"/>
        </w:rPr>
      </w:pPr>
      <w:r>
        <w:rPr>
          <w:i/>
        </w:rPr>
        <w:t>케이</w:t>
        <w:tab/>
        <w:t>AWP 로지스틱 시간 감쇠 가파른 정도</w:t>
      </w:r>
    </w:p>
    <w:p>
      <w:pPr>
        <w:tabs>
          <w:tab w:pos="2009" w:val="left" w:leader="none"/>
        </w:tabs>
        <w:spacing w:before="3"/>
        <w:ind w:left="1175" w:right="0" w:firstLine="0"/>
        <w:jc w:val="left"/>
        <w:rPr>
          <w:sz w:val="22"/>
        </w:rPr>
      </w:pPr>
      <w:r>
        <w:rPr>
          <w:rFonts w:ascii="Calibri"/>
          <w:i/>
          <w:spacing w:val="-5"/>
          <w:sz w:val="22"/>
        </w:rPr>
        <w:t>t</w:t>
      </w:r>
      <w:r>
        <w:rPr>
          <w:rFonts w:ascii="Calibri"/>
          <w:spacing w:val="-5"/>
          <w:sz w:val="22"/>
          <w:vertAlign w:val="subscript"/>
        </w:rPr>
        <w:t>0</w:t>
      </w:r>
      <w:r>
        <w:rPr>
          <w:rFonts w:ascii="Calibri"/>
          <w:sz w:val="22"/>
          <w:vertAlign w:val="baseline"/>
        </w:rPr>
        <w:tab/>
      </w:r>
      <w:r>
        <w:rPr>
          <w:sz w:val="22"/>
          <w:vertAlign w:val="baseline"/>
        </w:rPr>
        <w:t>AWP</w:t>
      </w:r>
      <w:r>
        <w:rPr>
          <w:spacing w:val="-14"/>
          <w:sz w:val="22"/>
          <w:vertAlign w:val="baseline"/>
        </w:rPr>
        <w:t> </w:t>
      </w:r>
      <w:r>
        <w:rPr>
          <w:sz w:val="22"/>
          <w:vertAlign w:val="baseline"/>
        </w:rPr>
        <w:t>logistic</w:t>
      </w:r>
      <w:r>
        <w:rPr>
          <w:spacing w:val="-13"/>
          <w:sz w:val="22"/>
          <w:vertAlign w:val="baseline"/>
        </w:rPr>
        <w:t> </w:t>
      </w:r>
      <w:r>
        <w:rPr>
          <w:sz w:val="22"/>
          <w:vertAlign w:val="baseline"/>
        </w:rPr>
        <w:t>time-decay</w:t>
      </w:r>
      <w:r>
        <w:rPr>
          <w:spacing w:val="-13"/>
          <w:sz w:val="22"/>
          <w:vertAlign w:val="baseline"/>
        </w:rPr>
        <w:t> </w:t>
      </w:r>
      <w:r>
        <w:rPr>
          <w:sz w:val="22"/>
          <w:vertAlign w:val="baseline"/>
        </w:rPr>
        <w:t>midpoint</w:t>
      </w:r>
      <w:r>
        <w:rPr>
          <w:spacing w:val="-13"/>
          <w:sz w:val="22"/>
          <w:vertAlign w:val="baseline"/>
        </w:rPr>
        <w:t> </w:t>
      </w:r>
      <w:r>
        <w:rPr>
          <w:spacing w:val="-2"/>
          <w:sz w:val="22"/>
          <w:vertAlign w:val="baseline"/>
        </w:rPr>
        <w:t>(days)</w:t>
      </w:r>
    </w:p>
    <w:p>
      <w:pPr>
        <w:tabs>
          <w:tab w:pos="2009" w:val="left" w:leader="none"/>
        </w:tabs>
        <w:spacing w:before="3"/>
        <w:ind w:left="1175" w:right="0" w:firstLine="0"/>
        <w:jc w:val="left"/>
        <w:rPr>
          <w:sz w:val="22"/>
        </w:rPr>
      </w:pPr>
      <w:r>
        <w:rPr>
          <w:i/>
        </w:rPr>
        <w:t>t0</w:t>
        <w:tab/>
        <w:t>AWP 로지스틱 시간 감쇠 중간점(일)</w:t>
      </w:r>
    </w:p>
    <w:p>
      <w:pPr>
        <w:tabs>
          <w:tab w:pos="2009" w:val="left" w:leader="none"/>
        </w:tabs>
        <w:spacing w:before="2"/>
        <w:ind w:left="1175" w:right="0" w:firstLine="0"/>
        <w:jc w:val="left"/>
        <w:rPr>
          <w:sz w:val="22"/>
        </w:rPr>
      </w:pPr>
      <w:r>
        <w:rPr>
          <w:rFonts w:ascii="Calibri" w:hAnsi="Calibri"/>
          <w:spacing w:val="-5"/>
          <w:sz w:val="22"/>
        </w:rPr>
        <w:t>∆</w:t>
      </w:r>
      <w:r>
        <w:rPr>
          <w:rFonts w:ascii="Calibri" w:hAnsi="Calibri"/>
          <w:i/>
          <w:spacing w:val="-5"/>
          <w:sz w:val="22"/>
        </w:rPr>
        <w:t>t</w:t>
      </w:r>
      <w:r>
        <w:rPr>
          <w:rFonts w:ascii="Calibri" w:hAnsi="Calibri"/>
          <w:i/>
          <w:sz w:val="22"/>
        </w:rPr>
        <w:tab/>
      </w:r>
      <w:r>
        <w:rPr>
          <w:sz w:val="22"/>
        </w:rPr>
        <w:t>Edge</w:t>
      </w:r>
      <w:r>
        <w:rPr>
          <w:spacing w:val="-9"/>
          <w:sz w:val="22"/>
        </w:rPr>
        <w:t> </w:t>
      </w:r>
      <w:r>
        <w:rPr>
          <w:sz w:val="22"/>
        </w:rPr>
        <w:t>age</w:t>
      </w:r>
      <w:r>
        <w:rPr>
          <w:spacing w:val="-8"/>
          <w:sz w:val="22"/>
        </w:rPr>
        <w:t> </w:t>
      </w:r>
      <w:r>
        <w:rPr>
          <w:sz w:val="22"/>
        </w:rPr>
        <w:t>in</w:t>
      </w:r>
      <w:r>
        <w:rPr>
          <w:spacing w:val="-8"/>
          <w:sz w:val="22"/>
        </w:rPr>
        <w:t> </w:t>
      </w:r>
      <w:r>
        <w:rPr>
          <w:sz w:val="22"/>
        </w:rPr>
        <w:t>days</w:t>
      </w:r>
      <w:r>
        <w:rPr>
          <w:spacing w:val="-8"/>
          <w:sz w:val="22"/>
        </w:rPr>
        <w:t> </w:t>
      </w:r>
      <w:r>
        <w:rPr>
          <w:sz w:val="22"/>
        </w:rPr>
        <w:t>for</w:t>
      </w:r>
      <w:r>
        <w:rPr>
          <w:spacing w:val="-8"/>
          <w:sz w:val="22"/>
        </w:rPr>
        <w:t> </w:t>
      </w:r>
      <w:r>
        <w:rPr>
          <w:sz w:val="22"/>
        </w:rPr>
        <w:t>AWP</w:t>
      </w:r>
      <w:r>
        <w:rPr>
          <w:spacing w:val="-8"/>
          <w:sz w:val="22"/>
        </w:rPr>
        <w:t> </w:t>
      </w:r>
      <w:r>
        <w:rPr>
          <w:spacing w:val="-2"/>
          <w:sz w:val="22"/>
        </w:rPr>
        <w:t>decay</w:t>
      </w:r>
    </w:p>
    <w:p>
      <w:pPr>
        <w:tabs>
          <w:tab w:pos="2009" w:val="left" w:leader="none"/>
        </w:tabs>
        <w:spacing w:before="2"/>
        <w:ind w:left="1175" w:right="0" w:firstLine="0"/>
        <w:jc w:val="left"/>
        <w:rPr>
          <w:sz w:val="22"/>
        </w:rPr>
      </w:pPr>
      <w:r>
        <w:rPr>
          <w:i/>
        </w:rPr>
        <w:t>Δt</w:t>
        <w:tab/>
        <w:t>AWP 붕괴에 대한 에지 수명(일)</w:t>
      </w:r>
    </w:p>
    <w:p>
      <w:pPr>
        <w:tabs>
          <w:tab w:pos="2009" w:val="left" w:leader="none"/>
        </w:tabs>
        <w:spacing w:before="3"/>
        <w:ind w:left="1175" w:right="0" w:firstLine="0"/>
        <w:jc w:val="left"/>
        <w:rPr>
          <w:sz w:val="22"/>
        </w:rPr>
      </w:pPr>
      <w:r>
        <w:rPr>
          <w:rFonts w:ascii="Calibri" w:hAnsi="Calibri"/>
          <w:i/>
          <w:spacing w:val="-2"/>
          <w:sz w:val="22"/>
        </w:rPr>
        <w:t>σ</w:t>
      </w:r>
      <w:r>
        <w:rPr>
          <w:rFonts w:ascii="Calibri" w:hAnsi="Calibri"/>
          <w:spacing w:val="-2"/>
          <w:sz w:val="22"/>
        </w:rPr>
        <w:t>(∆</w:t>
      </w:r>
      <w:r>
        <w:rPr>
          <w:rFonts w:ascii="Calibri" w:hAnsi="Calibri"/>
          <w:i/>
          <w:spacing w:val="-2"/>
          <w:sz w:val="22"/>
        </w:rPr>
        <w:t>t</w:t>
      </w:r>
      <w:r>
        <w:rPr>
          <w:rFonts w:ascii="Calibri" w:hAnsi="Calibri"/>
          <w:spacing w:val="-2"/>
          <w:sz w:val="22"/>
        </w:rPr>
        <w:t>)</w:t>
      </w:r>
      <w:r>
        <w:rPr>
          <w:rFonts w:ascii="Calibri" w:hAnsi="Calibri"/>
          <w:sz w:val="22"/>
        </w:rPr>
        <w:tab/>
      </w:r>
      <w:r>
        <w:rPr>
          <w:sz w:val="22"/>
        </w:rPr>
        <w:t>Logistic</w:t>
      </w:r>
      <w:r>
        <w:rPr>
          <w:spacing w:val="-7"/>
          <w:sz w:val="22"/>
        </w:rPr>
        <w:t> </w:t>
      </w:r>
      <w:r>
        <w:rPr>
          <w:sz w:val="22"/>
        </w:rPr>
        <w:t>decay</w:t>
      </w:r>
      <w:r>
        <w:rPr>
          <w:spacing w:val="-7"/>
          <w:sz w:val="22"/>
        </w:rPr>
        <w:t> </w:t>
      </w:r>
      <w:r>
        <w:rPr>
          <w:sz w:val="22"/>
        </w:rPr>
        <w:t>weight</w:t>
      </w:r>
      <w:r>
        <w:rPr>
          <w:spacing w:val="-6"/>
          <w:sz w:val="22"/>
        </w:rPr>
        <w:t> </w:t>
      </w:r>
      <w:r>
        <w:rPr>
          <w:sz w:val="22"/>
        </w:rPr>
        <w:t>applied</w:t>
      </w:r>
      <w:r>
        <w:rPr>
          <w:spacing w:val="-7"/>
          <w:sz w:val="22"/>
        </w:rPr>
        <w:t> </w:t>
      </w:r>
      <w:r>
        <w:rPr>
          <w:sz w:val="22"/>
        </w:rPr>
        <w:t>to</w:t>
      </w:r>
      <w:r>
        <w:rPr>
          <w:spacing w:val="-6"/>
          <w:sz w:val="22"/>
        </w:rPr>
        <w:t> </w:t>
      </w:r>
      <w:r>
        <w:rPr>
          <w:sz w:val="22"/>
        </w:rPr>
        <w:t>transfer</w:t>
      </w:r>
      <w:r>
        <w:rPr>
          <w:spacing w:val="-7"/>
          <w:sz w:val="22"/>
        </w:rPr>
        <w:t> </w:t>
      </w:r>
      <w:r>
        <w:rPr>
          <w:spacing w:val="-2"/>
          <w:sz w:val="22"/>
        </w:rPr>
        <w:t>edges</w:t>
      </w:r>
    </w:p>
    <w:p>
      <w:pPr>
        <w:tabs>
          <w:tab w:pos="2009" w:val="left" w:leader="none"/>
        </w:tabs>
        <w:spacing w:before="3"/>
        <w:ind w:left="1175" w:right="0" w:firstLine="0"/>
        <w:jc w:val="left"/>
        <w:rPr>
          <w:sz w:val="22"/>
        </w:rPr>
      </w:pPr>
      <w:r>
        <w:rPr>
          <w:i/>
        </w:rPr>
        <w:t>σ(Δt)</w:t>
        <w:tab/>
        <w:t>전송 모서리에 적용된 로지스틱 붕괴 가중치</w:t>
      </w:r>
    </w:p>
    <w:p>
      <w:pPr>
        <w:tabs>
          <w:tab w:pos="2009" w:val="left" w:leader="none"/>
        </w:tabs>
        <w:spacing w:before="2"/>
        <w:ind w:left="1175" w:right="0" w:firstLine="0"/>
        <w:jc w:val="left"/>
        <w:rPr>
          <w:sz w:val="22"/>
        </w:rPr>
      </w:pPr>
      <w:r>
        <w:rPr>
          <w:rFonts w:ascii="Calibri" w:hAnsi="Calibri"/>
          <w:i/>
          <w:spacing w:val="-10"/>
          <w:sz w:val="22"/>
        </w:rPr>
        <w:t>ρ</w:t>
      </w:r>
      <w:r>
        <w:rPr>
          <w:rFonts w:ascii="Calibri" w:hAnsi="Calibri"/>
          <w:i/>
          <w:sz w:val="22"/>
        </w:rPr>
        <w:tab/>
      </w:r>
      <w:r>
        <w:rPr>
          <w:sz w:val="22"/>
        </w:rPr>
        <w:t>Spearman’s</w:t>
      </w:r>
      <w:r>
        <w:rPr>
          <w:spacing w:val="-13"/>
          <w:sz w:val="22"/>
        </w:rPr>
        <w:t> </w:t>
      </w:r>
      <w:r>
        <w:rPr>
          <w:sz w:val="22"/>
        </w:rPr>
        <w:t>rank</w:t>
      </w:r>
      <w:r>
        <w:rPr>
          <w:spacing w:val="-13"/>
          <w:sz w:val="22"/>
        </w:rPr>
        <w:t> </w:t>
      </w:r>
      <w:r>
        <w:rPr>
          <w:sz w:val="22"/>
        </w:rPr>
        <w:t>correlation</w:t>
      </w:r>
      <w:r>
        <w:rPr>
          <w:spacing w:val="-13"/>
          <w:sz w:val="22"/>
        </w:rPr>
        <w:t> </w:t>
      </w:r>
      <w:r>
        <w:rPr>
          <w:spacing w:val="-2"/>
          <w:sz w:val="22"/>
        </w:rPr>
        <w:t>coefficient</w:t>
      </w:r>
    </w:p>
    <w:p>
      <w:pPr>
        <w:tabs>
          <w:tab w:pos="2009" w:val="left" w:leader="none"/>
        </w:tabs>
        <w:spacing w:before="2"/>
        <w:ind w:left="1175" w:right="0" w:firstLine="0"/>
        <w:jc w:val="left"/>
        <w:rPr>
          <w:sz w:val="22"/>
        </w:rPr>
      </w:pPr>
      <w:r>
        <w:rPr>
          <w:i/>
        </w:rPr>
        <w:t>ρ</w:t>
        <w:tab/>
        <w:t>Spearman의 순위 상관계수</w:t>
      </w:r>
    </w:p>
    <w:p>
      <w:pPr>
        <w:tabs>
          <w:tab w:pos="2009" w:val="left" w:leader="none"/>
        </w:tabs>
        <w:spacing w:line="254" w:lineRule="exact" w:before="2"/>
        <w:ind w:left="1175" w:right="0" w:firstLine="0"/>
        <w:jc w:val="left"/>
        <w:rPr>
          <w:sz w:val="22"/>
        </w:rPr>
      </w:pPr>
      <w:r>
        <w:rPr>
          <w:rFonts w:ascii="Calibri" w:hAnsi="Calibri"/>
          <w:i/>
          <w:spacing w:val="-10"/>
          <w:sz w:val="22"/>
        </w:rPr>
        <w:t>τ</w:t>
      </w:r>
      <w:r>
        <w:rPr>
          <w:rFonts w:ascii="Calibri" w:hAnsi="Calibri"/>
          <w:i/>
          <w:sz w:val="22"/>
        </w:rPr>
        <w:tab/>
      </w:r>
      <w:r>
        <w:rPr>
          <w:sz w:val="22"/>
        </w:rPr>
        <w:t>Kendall’s</w:t>
      </w:r>
      <w:r>
        <w:rPr>
          <w:spacing w:val="-13"/>
          <w:sz w:val="22"/>
        </w:rPr>
        <w:t> </w:t>
      </w:r>
      <w:r>
        <w:rPr>
          <w:sz w:val="22"/>
        </w:rPr>
        <w:t>rank</w:t>
      </w:r>
      <w:r>
        <w:rPr>
          <w:spacing w:val="-12"/>
          <w:sz w:val="22"/>
        </w:rPr>
        <w:t> </w:t>
      </w:r>
      <w:r>
        <w:rPr>
          <w:sz w:val="22"/>
        </w:rPr>
        <w:t>correlation</w:t>
      </w:r>
      <w:r>
        <w:rPr>
          <w:spacing w:val="-12"/>
          <w:sz w:val="22"/>
        </w:rPr>
        <w:t> </w:t>
      </w:r>
      <w:r>
        <w:rPr>
          <w:spacing w:val="-2"/>
          <w:sz w:val="22"/>
        </w:rPr>
        <w:t>coefficient</w:t>
      </w:r>
    </w:p>
    <w:p>
      <w:pPr>
        <w:tabs>
          <w:tab w:pos="2009" w:val="left" w:leader="none"/>
        </w:tabs>
        <w:spacing w:line="254" w:lineRule="exact" w:before="2"/>
        <w:ind w:left="1175" w:right="0" w:firstLine="0"/>
        <w:jc w:val="left"/>
        <w:rPr>
          <w:sz w:val="22"/>
        </w:rPr>
      </w:pPr>
      <w:r>
        <w:rPr>
          <w:i/>
        </w:rPr>
        <w:t>τ</w:t>
        <w:tab/>
        <w:t>Kendall의 순위 상관계수</w:t>
      </w:r>
    </w:p>
    <w:p>
      <w:pPr>
        <w:tabs>
          <w:tab w:pos="2009" w:val="left" w:leader="none"/>
        </w:tabs>
        <w:spacing w:line="290" w:lineRule="exact" w:before="0"/>
        <w:ind w:left="1175" w:right="0" w:firstLine="0"/>
        <w:jc w:val="left"/>
        <w:rPr>
          <w:sz w:val="22"/>
        </w:rPr>
      </w:pPr>
      <w:r>
        <w:rPr>
          <w:rFonts w:ascii="Lucida Sans Unicode"/>
          <w:spacing w:val="-5"/>
          <w:sz w:val="22"/>
        </w:rPr>
        <w:t>|</w:t>
      </w:r>
      <w:r>
        <w:rPr>
          <w:rFonts w:ascii="Calibri"/>
          <w:i/>
          <w:spacing w:val="-5"/>
          <w:sz w:val="22"/>
        </w:rPr>
        <w:t>E</w:t>
      </w:r>
      <w:r>
        <w:rPr>
          <w:rFonts w:ascii="Lucida Sans Unicode"/>
          <w:spacing w:val="-5"/>
          <w:sz w:val="22"/>
        </w:rPr>
        <w:t>|</w:t>
      </w:r>
      <w:r>
        <w:rPr>
          <w:rFonts w:ascii="Lucida Sans Unicode"/>
          <w:sz w:val="22"/>
        </w:rPr>
        <w:tab/>
      </w:r>
      <w:r>
        <w:rPr>
          <w:sz w:val="22"/>
        </w:rPr>
        <w:t>Number</w:t>
      </w:r>
      <w:r>
        <w:rPr>
          <w:spacing w:val="-7"/>
          <w:sz w:val="22"/>
        </w:rPr>
        <w:t> </w:t>
      </w:r>
      <w:r>
        <w:rPr>
          <w:sz w:val="22"/>
        </w:rPr>
        <w:t>of</w:t>
      </w:r>
      <w:r>
        <w:rPr>
          <w:spacing w:val="-6"/>
          <w:sz w:val="22"/>
        </w:rPr>
        <w:t> </w:t>
      </w:r>
      <w:r>
        <w:rPr>
          <w:sz w:val="22"/>
        </w:rPr>
        <w:t>directed</w:t>
      </w:r>
      <w:r>
        <w:rPr>
          <w:spacing w:val="-6"/>
          <w:sz w:val="22"/>
        </w:rPr>
        <w:t> </w:t>
      </w:r>
      <w:r>
        <w:rPr>
          <w:sz w:val="22"/>
        </w:rPr>
        <w:t>edges</w:t>
      </w:r>
      <w:r>
        <w:rPr>
          <w:spacing w:val="-6"/>
          <w:sz w:val="22"/>
        </w:rPr>
        <w:t> </w:t>
      </w:r>
      <w:r>
        <w:rPr>
          <w:sz w:val="22"/>
        </w:rPr>
        <w:t>in</w:t>
      </w:r>
      <w:r>
        <w:rPr>
          <w:spacing w:val="-7"/>
          <w:sz w:val="22"/>
        </w:rPr>
        <w:t> </w:t>
      </w:r>
      <w:r>
        <w:rPr>
          <w:sz w:val="22"/>
        </w:rPr>
        <w:t>a</w:t>
      </w:r>
      <w:r>
        <w:rPr>
          <w:spacing w:val="-6"/>
          <w:sz w:val="22"/>
        </w:rPr>
        <w:t> </w:t>
      </w:r>
      <w:r>
        <w:rPr>
          <w:sz w:val="22"/>
        </w:rPr>
        <w:t>reputation</w:t>
      </w:r>
      <w:r>
        <w:rPr>
          <w:spacing w:val="-6"/>
          <w:sz w:val="22"/>
        </w:rPr>
        <w:t> </w:t>
      </w:r>
      <w:r>
        <w:rPr>
          <w:spacing w:val="-4"/>
          <w:sz w:val="22"/>
        </w:rPr>
        <w:t>graph</w:t>
      </w:r>
    </w:p>
    <w:p>
      <w:pPr>
        <w:tabs>
          <w:tab w:pos="2009" w:val="left" w:leader="none"/>
        </w:tabs>
        <w:spacing w:line="290" w:lineRule="exact" w:before="0"/>
        <w:ind w:left="1175" w:right="0" w:firstLine="0"/>
        <w:jc w:val="left"/>
        <w:rPr>
          <w:sz w:val="22"/>
        </w:rPr>
      </w:pPr>
      <w:r>
        <w:rPr>
          <w:i/>
        </w:rPr>
        <w:t>|E|</w:t>
        <w:tab/>
        <w:t>평판 그래프의 방향성 가장자리 수</w:t>
      </w:r>
    </w:p>
    <w:p>
      <w:pPr>
        <w:tabs>
          <w:tab w:pos="2009" w:val="left" w:leader="none"/>
        </w:tabs>
        <w:spacing w:line="287" w:lineRule="exact" w:before="0"/>
        <w:ind w:left="1175" w:right="0" w:firstLine="0"/>
        <w:jc w:val="left"/>
        <w:rPr>
          <w:sz w:val="22"/>
        </w:rPr>
      </w:pPr>
      <w:r>
        <w:rPr>
          <w:rFonts w:ascii="Lucida Sans Unicode"/>
          <w:spacing w:val="-10"/>
          <w:sz w:val="22"/>
        </w:rPr>
        <w:t>M</w:t>
      </w:r>
      <w:r>
        <w:rPr>
          <w:rFonts w:ascii="Lucida Sans Unicode"/>
          <w:sz w:val="22"/>
        </w:rPr>
        <w:tab/>
      </w:r>
      <w:r>
        <w:rPr>
          <w:sz w:val="22"/>
        </w:rPr>
        <w:t>Set</w:t>
      </w:r>
      <w:r>
        <w:rPr>
          <w:spacing w:val="-7"/>
          <w:sz w:val="22"/>
        </w:rPr>
        <w:t> </w:t>
      </w:r>
      <w:r>
        <w:rPr>
          <w:sz w:val="22"/>
        </w:rPr>
        <w:t>of</w:t>
      </w:r>
      <w:r>
        <w:rPr>
          <w:spacing w:val="-6"/>
          <w:sz w:val="22"/>
        </w:rPr>
        <w:t> </w:t>
      </w:r>
      <w:r>
        <w:rPr>
          <w:sz w:val="22"/>
        </w:rPr>
        <w:t>wallets</w:t>
      </w:r>
      <w:r>
        <w:rPr>
          <w:spacing w:val="-6"/>
          <w:sz w:val="22"/>
        </w:rPr>
        <w:t> </w:t>
      </w:r>
      <w:r>
        <w:rPr>
          <w:sz w:val="22"/>
        </w:rPr>
        <w:t>in</w:t>
      </w:r>
      <w:r>
        <w:rPr>
          <w:spacing w:val="-6"/>
          <w:sz w:val="22"/>
        </w:rPr>
        <w:t> </w:t>
      </w:r>
      <w:r>
        <w:rPr>
          <w:sz w:val="22"/>
        </w:rPr>
        <w:t>the</w:t>
      </w:r>
      <w:r>
        <w:rPr>
          <w:spacing w:val="-6"/>
          <w:sz w:val="22"/>
        </w:rPr>
        <w:t> </w:t>
      </w:r>
      <w:r>
        <w:rPr>
          <w:sz w:val="22"/>
        </w:rPr>
        <w:t>evaluation</w:t>
      </w:r>
      <w:r>
        <w:rPr>
          <w:spacing w:val="-6"/>
          <w:sz w:val="22"/>
        </w:rPr>
        <w:t> </w:t>
      </w:r>
      <w:r>
        <w:rPr>
          <w:spacing w:val="-2"/>
          <w:sz w:val="22"/>
        </w:rPr>
        <w:t>cohort</w:t>
      </w:r>
    </w:p>
    <w:p>
      <w:pPr>
        <w:tabs>
          <w:tab w:pos="2009" w:val="left" w:leader="none"/>
        </w:tabs>
        <w:spacing w:line="287" w:lineRule="exact" w:before="0"/>
        <w:ind w:left="1175" w:right="0" w:firstLine="0"/>
        <w:jc w:val="left"/>
        <w:rPr>
          <w:sz w:val="22"/>
        </w:rPr>
      </w:pPr>
      <w:r>
        <w:rPr>
          <w:i/>
        </w:rPr>
        <w:t>중</w:t>
        <w:tab/>
        <w:t>평가 코호트의 지갑 세트</w:t>
      </w:r>
    </w:p>
    <w:p>
      <w:pPr>
        <w:tabs>
          <w:tab w:pos="2009" w:val="left" w:leader="none"/>
        </w:tabs>
        <w:spacing w:line="251" w:lineRule="exact" w:before="0"/>
        <w:ind w:left="1175" w:right="0" w:firstLine="0"/>
        <w:jc w:val="left"/>
        <w:rPr>
          <w:sz w:val="22"/>
        </w:rPr>
      </w:pPr>
      <w:r>
        <w:rPr>
          <w:rFonts w:ascii="Calibri"/>
          <w:i/>
          <w:spacing w:val="-4"/>
          <w:sz w:val="22"/>
        </w:rPr>
        <w:t>s</w:t>
      </w:r>
      <w:r>
        <w:rPr>
          <w:rFonts w:ascii="Calibri"/>
          <w:spacing w:val="-4"/>
          <w:sz w:val="22"/>
        </w:rPr>
        <w:t>(</w:t>
      </w:r>
      <w:r>
        <w:rPr>
          <w:rFonts w:ascii="Calibri"/>
          <w:i/>
          <w:spacing w:val="-4"/>
          <w:sz w:val="22"/>
        </w:rPr>
        <w:t>w</w:t>
      </w:r>
      <w:r>
        <w:rPr>
          <w:rFonts w:ascii="Calibri"/>
          <w:spacing w:val="-4"/>
          <w:sz w:val="22"/>
        </w:rPr>
        <w:t>)</w:t>
      </w:r>
      <w:r>
        <w:rPr>
          <w:rFonts w:ascii="Calibri"/>
          <w:sz w:val="22"/>
        </w:rPr>
        <w:tab/>
      </w:r>
      <w:r>
        <w:rPr>
          <w:sz w:val="22"/>
        </w:rPr>
        <w:t>Reputation</w:t>
      </w:r>
      <w:r>
        <w:rPr>
          <w:spacing w:val="-6"/>
          <w:sz w:val="22"/>
        </w:rPr>
        <w:t> </w:t>
      </w:r>
      <w:r>
        <w:rPr>
          <w:sz w:val="22"/>
        </w:rPr>
        <w:t>score</w:t>
      </w:r>
      <w:r>
        <w:rPr>
          <w:spacing w:val="-5"/>
          <w:sz w:val="22"/>
        </w:rPr>
        <w:t> </w:t>
      </w:r>
      <w:r>
        <w:rPr>
          <w:sz w:val="22"/>
        </w:rPr>
        <w:t>of</w:t>
      </w:r>
      <w:r>
        <w:rPr>
          <w:spacing w:val="-5"/>
          <w:sz w:val="22"/>
        </w:rPr>
        <w:t> </w:t>
      </w:r>
      <w:r>
        <w:rPr>
          <w:sz w:val="22"/>
        </w:rPr>
        <w:t>wallet</w:t>
      </w:r>
      <w:r>
        <w:rPr>
          <w:spacing w:val="-5"/>
          <w:sz w:val="22"/>
        </w:rPr>
        <w:t> </w:t>
      </w:r>
      <w:r>
        <w:rPr>
          <w:rFonts w:ascii="Calibri"/>
          <w:i/>
          <w:sz w:val="22"/>
        </w:rPr>
        <w:t>w</w:t>
      </w:r>
      <w:r>
        <w:rPr>
          <w:rFonts w:ascii="Calibri"/>
          <w:i/>
          <w:spacing w:val="5"/>
          <w:sz w:val="22"/>
        </w:rPr>
        <w:t> </w:t>
      </w:r>
      <w:r>
        <w:rPr>
          <w:sz w:val="22"/>
        </w:rPr>
        <w:t>under</w:t>
      </w:r>
      <w:r>
        <w:rPr>
          <w:spacing w:val="-5"/>
          <w:sz w:val="22"/>
        </w:rPr>
        <w:t> </w:t>
      </w:r>
      <w:r>
        <w:rPr>
          <w:sz w:val="22"/>
        </w:rPr>
        <w:t>a</w:t>
      </w:r>
      <w:r>
        <w:rPr>
          <w:spacing w:val="-5"/>
          <w:sz w:val="22"/>
        </w:rPr>
        <w:t> </w:t>
      </w:r>
      <w:r>
        <w:rPr>
          <w:sz w:val="22"/>
        </w:rPr>
        <w:t>given</w:t>
      </w:r>
      <w:r>
        <w:rPr>
          <w:spacing w:val="-5"/>
          <w:sz w:val="22"/>
        </w:rPr>
        <w:t> </w:t>
      </w:r>
      <w:r>
        <w:rPr>
          <w:spacing w:val="-2"/>
          <w:sz w:val="22"/>
        </w:rPr>
        <w:t>method</w:t>
      </w:r>
    </w:p>
    <w:p>
      <w:pPr>
        <w:tabs>
          <w:tab w:pos="2009" w:val="left" w:leader="none"/>
        </w:tabs>
        <w:spacing w:line="251" w:lineRule="exact" w:before="0"/>
        <w:ind w:left="1175" w:right="0" w:firstLine="0"/>
        <w:jc w:val="left"/>
        <w:rPr>
          <w:sz w:val="22"/>
        </w:rPr>
      </w:pPr>
      <w:r>
        <w:rPr>
          <w:i/>
        </w:rPr>
        <w:t>s(w)</w:t>
        <w:tab/>
        <w:t>주어진 방법에 따른 지갑 w의 평판 점수</w:t>
      </w:r>
    </w:p>
    <w:p>
      <w:pPr>
        <w:tabs>
          <w:tab w:pos="2009" w:val="left" w:leader="none"/>
        </w:tabs>
        <w:spacing w:before="3"/>
        <w:ind w:left="1175" w:right="0" w:firstLine="0"/>
        <w:jc w:val="left"/>
        <w:rPr>
          <w:rFonts w:ascii="Calibri"/>
          <w:i/>
          <w:sz w:val="22"/>
        </w:rPr>
      </w:pPr>
      <w:r>
        <w:rPr>
          <w:rFonts w:ascii="Calibri"/>
          <w:i/>
          <w:spacing w:val="-4"/>
          <w:sz w:val="22"/>
        </w:rPr>
        <w:t>p</w:t>
      </w:r>
      <w:r>
        <w:rPr>
          <w:rFonts w:ascii="Calibri"/>
          <w:spacing w:val="-4"/>
          <w:sz w:val="22"/>
        </w:rPr>
        <w:t>(</w:t>
      </w:r>
      <w:r>
        <w:rPr>
          <w:rFonts w:ascii="Calibri"/>
          <w:i/>
          <w:spacing w:val="-4"/>
          <w:sz w:val="22"/>
        </w:rPr>
        <w:t>w</w:t>
      </w:r>
      <w:r>
        <w:rPr>
          <w:rFonts w:ascii="Calibri"/>
          <w:spacing w:val="-4"/>
          <w:sz w:val="22"/>
        </w:rPr>
        <w:t>)</w:t>
      </w:r>
      <w:r>
        <w:rPr>
          <w:rFonts w:ascii="Calibri"/>
          <w:sz w:val="22"/>
        </w:rPr>
        <w:tab/>
      </w:r>
      <w:r>
        <w:rPr>
          <w:spacing w:val="-2"/>
          <w:sz w:val="22"/>
        </w:rPr>
        <w:t>Validation-proxy</w:t>
      </w:r>
      <w:r>
        <w:rPr>
          <w:sz w:val="22"/>
        </w:rPr>
        <w:t> </w:t>
      </w:r>
      <w:r>
        <w:rPr>
          <w:spacing w:val="-2"/>
          <w:sz w:val="22"/>
        </w:rPr>
        <w:t>value</w:t>
      </w:r>
      <w:r>
        <w:rPr>
          <w:spacing w:val="1"/>
          <w:sz w:val="22"/>
        </w:rPr>
        <w:t> </w:t>
      </w:r>
      <w:r>
        <w:rPr>
          <w:spacing w:val="-2"/>
          <w:sz w:val="22"/>
        </w:rPr>
        <w:t>for</w:t>
      </w:r>
      <w:r>
        <w:rPr>
          <w:spacing w:val="1"/>
          <w:sz w:val="22"/>
        </w:rPr>
        <w:t> </w:t>
      </w:r>
      <w:r>
        <w:rPr>
          <w:spacing w:val="-2"/>
          <w:sz w:val="22"/>
        </w:rPr>
        <w:t>wallet</w:t>
      </w:r>
      <w:r>
        <w:rPr>
          <w:spacing w:val="1"/>
          <w:sz w:val="22"/>
        </w:rPr>
        <w:t> </w:t>
      </w:r>
      <w:r>
        <w:rPr>
          <w:rFonts w:ascii="Calibri"/>
          <w:i/>
          <w:spacing w:val="-10"/>
          <w:sz w:val="22"/>
        </w:rPr>
        <w:t>w</w:t>
      </w:r>
    </w:p>
    <w:p>
      <w:pPr>
        <w:tabs>
          <w:tab w:pos="2009" w:val="left" w:leader="none"/>
        </w:tabs>
        <w:spacing w:before="3"/>
        <w:ind w:left="1175" w:right="0" w:firstLine="0"/>
        <w:jc w:val="left"/>
        <w:rPr>
          <w:rFonts w:ascii="Calibri"/>
          <w:i/>
          <w:sz w:val="22"/>
        </w:rPr>
      </w:pPr>
      <w:r>
        <w:rPr>
          <w:i/>
        </w:rPr>
        <w:t>피(w)</w:t>
        <w:tab/>
        <w:t>지갑 w에 대한 검증 프록시 값</w:t>
      </w:r>
    </w:p>
    <w:p>
      <w:pPr>
        <w:pStyle w:val="BodyText"/>
        <w:spacing w:before="1"/>
        <w:rPr>
          <w:rFonts w:ascii="Calibri"/>
          <w:i/>
          <w:sz w:val="4"/>
        </w:rPr>
      </w:pPr>
      <w:r>
        <w:rPr>
          <w:rFonts w:ascii="Calibri"/>
          <w:i/>
          <w:sz w:val="4"/>
        </w:rPr>
        <mc:AlternateContent>
          <mc:Choice Requires="wps">
            <w:drawing>
              <wp:anchor distT="0" distB="0" distL="0" distR="0" allowOverlap="1" layoutInCell="1" locked="0" behindDoc="1" simplePos="0" relativeHeight="487590400">
                <wp:simplePos x="0" y="0"/>
                <wp:positionH relativeFrom="page">
                  <wp:posOffset>1331849</wp:posOffset>
                </wp:positionH>
                <wp:positionV relativeFrom="paragraph">
                  <wp:posOffset>46880</wp:posOffset>
                </wp:positionV>
                <wp:extent cx="489648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896485" cy="1270"/>
                        </a:xfrm>
                        <a:custGeom>
                          <a:avLst/>
                          <a:gdLst/>
                          <a:ahLst/>
                          <a:cxnLst/>
                          <a:rect l="l" t="t" r="r" b="b"/>
                          <a:pathLst>
                            <a:path w="4896485" h="0">
                              <a:moveTo>
                                <a:pt x="0" y="0"/>
                              </a:moveTo>
                              <a:lnTo>
                                <a:pt x="489629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70003pt;margin-top:3.691406pt;width:385.55pt;height:.1pt;mso-position-horizontal-relative:page;mso-position-vertical-relative:paragraph;z-index:-15726080;mso-wrap-distance-left:0;mso-wrap-distance-right:0" id="docshape7" coordorigin="2097,74" coordsize="7711,0" path="m2097,74l9808,74e" filled="false" stroked="true" strokeweight=".9564pt" strokecolor="#000000">
                <v:path arrowok="t"/>
                <v:stroke dashstyle="solid"/>
                <w10:wrap type="topAndBottom"/>
              </v:shape>
            </w:pict>
          </mc:Fallback>
        </mc:AlternateContent>
      </w:r>
    </w:p>
    <w:p>
      <w:pPr>
        <w:pStyle w:val="BodyText"/>
        <w:spacing w:after="0"/>
        <w:rPr>
          <w:rFonts w:ascii="Calibri"/>
          <w:i/>
          <w:sz w:val="4"/>
        </w:rPr>
        <w:sectPr>
          <w:pgSz w:w="11910" w:h="16840"/>
          <w:pgMar w:header="0" w:footer="2115" w:top="1920" w:bottom="2300" w:left="992" w:right="708"/>
        </w:sectPr>
      </w:pPr>
    </w:p>
    <w:p>
      <w:pPr>
        <w:pStyle w:val="BodyText"/>
        <w:rPr>
          <w:rFonts w:ascii="Calibri"/>
          <w:i/>
          <w:sz w:val="34"/>
        </w:rPr>
      </w:pPr>
    </w:p>
    <w:p>
      <w:pPr>
        <w:pStyle w:val="BodyText"/>
        <w:spacing w:before="149"/>
        <w:rPr>
          <w:rFonts w:ascii="Calibri"/>
          <w:i/>
          <w:sz w:val="34"/>
        </w:rPr>
      </w:pPr>
    </w:p>
    <w:p>
      <w:pPr>
        <w:pStyle w:val="Heading1"/>
        <w:numPr>
          <w:ilvl w:val="0"/>
          <w:numId w:val="8"/>
        </w:numPr>
        <w:tabs>
          <w:tab w:pos="625" w:val="left" w:leader="none"/>
        </w:tabs>
        <w:spacing w:line="240" w:lineRule="auto" w:before="0" w:after="0"/>
        <w:ind w:left="625" w:right="0" w:hanging="343"/>
        <w:jc w:val="both"/>
      </w:pPr>
      <w:bookmarkStart w:name="Introduction and Research Problem" w:id="5"/>
      <w:bookmarkEnd w:id="5"/>
      <w:r>
        <w:rPr>
          <w:b w:val="0"/>
        </w:rPr>
      </w:r>
      <w:bookmarkStart w:name="_bookmark4" w:id="6"/>
      <w:bookmarkEnd w:id="6"/>
      <w:r>
        <w:rPr>
          <w:b w:val="0"/>
        </w:rPr>
      </w:r>
      <w:r>
        <w:rPr/>
        <w:t>Introduction</w:t>
      </w:r>
      <w:r>
        <w:rPr>
          <w:spacing w:val="5"/>
        </w:rPr>
        <w:t> </w:t>
      </w:r>
      <w:r>
        <w:rPr/>
        <w:t>and</w:t>
      </w:r>
      <w:r>
        <w:rPr>
          <w:spacing w:val="6"/>
        </w:rPr>
        <w:t> </w:t>
      </w:r>
      <w:r>
        <w:rPr/>
        <w:t>Research</w:t>
      </w:r>
      <w:r>
        <w:rPr>
          <w:spacing w:val="5"/>
        </w:rPr>
        <w:t> </w:t>
      </w:r>
      <w:r>
        <w:rPr>
          <w:spacing w:val="-2"/>
        </w:rPr>
        <w:t>Problem</w:t>
      </w:r>
    </w:p>
    <w:p>
      <w:pPr>
        <w:pStyle w:val="Heading1"/>
        <w:numPr>
          <w:ilvl w:val="0"/>
          <w:numId w:val="8"/>
        </w:numPr>
        <w:tabs>
          <w:tab w:pos="625" w:val="left" w:leader="none"/>
        </w:tabs>
        <w:spacing w:line="240" w:lineRule="auto" w:before="0" w:after="0"/>
        <w:ind w:left="625" w:right="0" w:hanging="343"/>
        <w:jc w:val="both"/>
      </w:pPr>
      <w:r>
        <w:rPr>
          <w:i/>
        </w:rPr>
        <w:t>소개 및 연구문제</w:t>
      </w:r>
    </w:p>
    <w:p>
      <w:pPr>
        <w:pStyle w:val="BodyText"/>
        <w:spacing w:before="28"/>
        <w:rPr>
          <w:b/>
          <w:sz w:val="34"/>
        </w:rPr>
      </w:pPr>
    </w:p>
    <w:p>
      <w:pPr>
        <w:pStyle w:val="BodyText"/>
        <w:spacing w:line="396" w:lineRule="auto"/>
        <w:ind w:left="273" w:right="522" w:firstLine="8"/>
        <w:jc w:val="both"/>
      </w:pPr>
      <w:r>
        <w:rPr/>
        <w:t>Decentralized Finance (DeFi) has transformed how capital is allocated on public blockchains, en-</w:t>
      </w:r>
      <w:r>
        <w:rPr>
          <w:spacing w:val="-2"/>
        </w:rPr>
        <w:t>abling lending, borrowing, and leveraged trading without traditional financial intermediaries</w:t>
      </w:r>
      <w:r>
        <w:rPr>
          <w:spacing w:val="-3"/>
        </w:rPr>
        <w:t> </w:t>
      </w:r>
      <w:hyperlink w:history="true" w:anchor="_bookmark161">
        <w:r>
          <w:rPr>
            <w:spacing w:val="-2"/>
            <w:vertAlign w:val="superscript"/>
          </w:rPr>
          <w:t>[28]</w:t>
        </w:r>
      </w:hyperlink>
      <w:r>
        <w:rPr>
          <w:spacing w:val="-2"/>
          <w:vertAlign w:val="superscript"/>
        </w:rPr>
        <w:t>,</w:t>
      </w:r>
      <w:hyperlink w:history="true" w:anchor="_bookmark186">
        <w:r>
          <w:rPr>
            <w:spacing w:val="-2"/>
            <w:vertAlign w:val="superscript"/>
          </w:rPr>
          <w:t>[53]</w:t>
        </w:r>
      </w:hyperlink>
      <w:r>
        <w:rPr>
          <w:spacing w:val="-2"/>
          <w:vertAlign w:val="baseline"/>
        </w:rPr>
        <w:t>. </w:t>
      </w:r>
      <w:r>
        <w:rPr>
          <w:vertAlign w:val="baseline"/>
        </w:rPr>
        <w:t>Yet</w:t>
      </w:r>
      <w:r>
        <w:rPr>
          <w:spacing w:val="-9"/>
          <w:vertAlign w:val="baseline"/>
        </w:rPr>
        <w:t> </w:t>
      </w:r>
      <w:r>
        <w:rPr>
          <w:vertAlign w:val="baseline"/>
        </w:rPr>
        <w:t>most</w:t>
      </w:r>
      <w:r>
        <w:rPr>
          <w:spacing w:val="-9"/>
          <w:vertAlign w:val="baseline"/>
        </w:rPr>
        <w:t> </w:t>
      </w:r>
      <w:r>
        <w:rPr>
          <w:vertAlign w:val="baseline"/>
        </w:rPr>
        <w:t>credit-like</w:t>
      </w:r>
      <w:r>
        <w:rPr>
          <w:spacing w:val="-9"/>
          <w:vertAlign w:val="baseline"/>
        </w:rPr>
        <w:t> </w:t>
      </w:r>
      <w:r>
        <w:rPr>
          <w:vertAlign w:val="baseline"/>
        </w:rPr>
        <w:t>interactions</w:t>
      </w:r>
      <w:r>
        <w:rPr>
          <w:spacing w:val="-9"/>
          <w:vertAlign w:val="baseline"/>
        </w:rPr>
        <w:t> </w:t>
      </w:r>
      <w:r>
        <w:rPr>
          <w:vertAlign w:val="baseline"/>
        </w:rPr>
        <w:t>remain</w:t>
      </w:r>
      <w:r>
        <w:rPr>
          <w:spacing w:val="-9"/>
          <w:vertAlign w:val="baseline"/>
        </w:rPr>
        <w:t> </w:t>
      </w:r>
      <w:r>
        <w:rPr>
          <w:vertAlign w:val="baseline"/>
        </w:rPr>
        <w:t>highly</w:t>
      </w:r>
      <w:r>
        <w:rPr>
          <w:spacing w:val="-9"/>
          <w:vertAlign w:val="baseline"/>
        </w:rPr>
        <w:t> </w:t>
      </w:r>
      <w:r>
        <w:rPr>
          <w:vertAlign w:val="baseline"/>
        </w:rPr>
        <w:t>collateralized</w:t>
      </w:r>
      <w:r>
        <w:rPr>
          <w:spacing w:val="-9"/>
          <w:vertAlign w:val="baseline"/>
        </w:rPr>
        <w:t> </w:t>
      </w:r>
      <w:r>
        <w:rPr>
          <w:vertAlign w:val="baseline"/>
        </w:rPr>
        <w:t>because</w:t>
      </w:r>
      <w:r>
        <w:rPr>
          <w:spacing w:val="-9"/>
          <w:vertAlign w:val="baseline"/>
        </w:rPr>
        <w:t> </w:t>
      </w:r>
      <w:r>
        <w:rPr>
          <w:vertAlign w:val="baseline"/>
        </w:rPr>
        <w:t>protocols</w:t>
      </w:r>
      <w:r>
        <w:rPr>
          <w:spacing w:val="-9"/>
          <w:vertAlign w:val="baseline"/>
        </w:rPr>
        <w:t> </w:t>
      </w:r>
      <w:r>
        <w:rPr>
          <w:vertAlign w:val="baseline"/>
        </w:rPr>
        <w:t>cannot</w:t>
      </w:r>
      <w:r>
        <w:rPr>
          <w:spacing w:val="-9"/>
          <w:vertAlign w:val="baseline"/>
        </w:rPr>
        <w:t> </w:t>
      </w:r>
      <w:r>
        <w:rPr>
          <w:vertAlign w:val="baseline"/>
        </w:rPr>
        <w:t>rely</w:t>
      </w:r>
      <w:r>
        <w:rPr>
          <w:spacing w:val="-9"/>
          <w:vertAlign w:val="baseline"/>
        </w:rPr>
        <w:t> </w:t>
      </w:r>
      <w:r>
        <w:rPr>
          <w:vertAlign w:val="baseline"/>
        </w:rPr>
        <w:t>on</w:t>
      </w:r>
      <w:r>
        <w:rPr>
          <w:spacing w:val="-9"/>
          <w:vertAlign w:val="baseline"/>
        </w:rPr>
        <w:t> </w:t>
      </w:r>
      <w:r>
        <w:rPr>
          <w:vertAlign w:val="baseline"/>
        </w:rPr>
        <w:t>off-chain identity systems or conventional credit histories </w:t>
      </w:r>
      <w:hyperlink w:history="true" w:anchor="_bookmark159">
        <w:r>
          <w:rPr>
            <w:vertAlign w:val="superscript"/>
          </w:rPr>
          <w:t>[26]</w:t>
        </w:r>
      </w:hyperlink>
      <w:r>
        <w:rPr>
          <w:vertAlign w:val="superscript"/>
        </w:rPr>
        <w:t>,</w:t>
      </w:r>
      <w:hyperlink w:history="true" w:anchor="_bookmark181">
        <w:r>
          <w:rPr>
            <w:vertAlign w:val="superscript"/>
          </w:rPr>
          <w:t>[48]</w:t>
        </w:r>
      </w:hyperlink>
      <w:r>
        <w:rPr>
          <w:vertAlign w:val="baseline"/>
        </w:rPr>
        <w:t>.</w:t>
      </w:r>
      <w:r>
        <w:rPr>
          <w:spacing w:val="40"/>
          <w:vertAlign w:val="baseline"/>
        </w:rPr>
        <w:t> </w:t>
      </w:r>
      <w:r>
        <w:rPr>
          <w:vertAlign w:val="baseline"/>
        </w:rPr>
        <w:t>In a pseudonymous environment, the</w:t>
      </w:r>
      <w:r>
        <w:rPr>
          <w:spacing w:val="-10"/>
          <w:vertAlign w:val="baseline"/>
        </w:rPr>
        <w:t> </w:t>
      </w:r>
      <w:r>
        <w:rPr>
          <w:vertAlign w:val="baseline"/>
        </w:rPr>
        <w:t>operational</w:t>
      </w:r>
      <w:r>
        <w:rPr>
          <w:spacing w:val="-10"/>
          <w:vertAlign w:val="baseline"/>
        </w:rPr>
        <w:t> </w:t>
      </w:r>
      <w:r>
        <w:rPr>
          <w:vertAlign w:val="baseline"/>
        </w:rPr>
        <w:t>challenge</w:t>
      </w:r>
      <w:r>
        <w:rPr>
          <w:spacing w:val="-10"/>
          <w:vertAlign w:val="baseline"/>
        </w:rPr>
        <w:t> </w:t>
      </w:r>
      <w:r>
        <w:rPr>
          <w:vertAlign w:val="baseline"/>
        </w:rPr>
        <w:t>is</w:t>
      </w:r>
      <w:r>
        <w:rPr>
          <w:spacing w:val="-10"/>
          <w:vertAlign w:val="baseline"/>
        </w:rPr>
        <w:t> </w:t>
      </w:r>
      <w:r>
        <w:rPr>
          <w:vertAlign w:val="baseline"/>
        </w:rPr>
        <w:t>to</w:t>
      </w:r>
      <w:r>
        <w:rPr>
          <w:spacing w:val="-10"/>
          <w:vertAlign w:val="baseline"/>
        </w:rPr>
        <w:t> </w:t>
      </w:r>
      <w:r>
        <w:rPr>
          <w:vertAlign w:val="baseline"/>
        </w:rPr>
        <w:t>allocate</w:t>
      </w:r>
      <w:r>
        <w:rPr>
          <w:spacing w:val="-10"/>
          <w:vertAlign w:val="baseline"/>
        </w:rPr>
        <w:t> </w:t>
      </w:r>
      <w:r>
        <w:rPr>
          <w:vertAlign w:val="baseline"/>
        </w:rPr>
        <w:t>capital</w:t>
      </w:r>
      <w:r>
        <w:rPr>
          <w:spacing w:val="-10"/>
          <w:vertAlign w:val="baseline"/>
        </w:rPr>
        <w:t> </w:t>
      </w:r>
      <w:r>
        <w:rPr>
          <w:vertAlign w:val="baseline"/>
        </w:rPr>
        <w:t>safely:</w:t>
      </w:r>
      <w:r>
        <w:rPr>
          <w:spacing w:val="14"/>
          <w:vertAlign w:val="baseline"/>
        </w:rPr>
        <w:t> </w:t>
      </w:r>
      <w:r>
        <w:rPr>
          <w:vertAlign w:val="baseline"/>
        </w:rPr>
        <w:t>distinguishing</w:t>
      </w:r>
      <w:r>
        <w:rPr>
          <w:spacing w:val="-10"/>
          <w:vertAlign w:val="baseline"/>
        </w:rPr>
        <w:t> </w:t>
      </w:r>
      <w:r>
        <w:rPr>
          <w:vertAlign w:val="baseline"/>
        </w:rPr>
        <w:t>wallets</w:t>
      </w:r>
      <w:r>
        <w:rPr>
          <w:spacing w:val="-10"/>
          <w:vertAlign w:val="baseline"/>
        </w:rPr>
        <w:t> </w:t>
      </w:r>
      <w:r>
        <w:rPr>
          <w:vertAlign w:val="baseline"/>
        </w:rPr>
        <w:t>that</w:t>
      </w:r>
      <w:r>
        <w:rPr>
          <w:spacing w:val="-10"/>
          <w:vertAlign w:val="baseline"/>
        </w:rPr>
        <w:t> </w:t>
      </w:r>
      <w:r>
        <w:rPr>
          <w:vertAlign w:val="baseline"/>
        </w:rPr>
        <w:t>manage</w:t>
      </w:r>
      <w:r>
        <w:rPr>
          <w:spacing w:val="-10"/>
          <w:vertAlign w:val="baseline"/>
        </w:rPr>
        <w:t> </w:t>
      </w:r>
      <w:r>
        <w:rPr>
          <w:vertAlign w:val="baseline"/>
        </w:rPr>
        <w:t>leveraged exposure reliably from those that exhibit repeated losses, liquidations, or adversarial behavior.</w:t>
      </w:r>
    </w:p>
    <w:p>
      <w:pPr>
        <w:pStyle w:val="BodyText"/>
        <w:spacing w:line="396" w:lineRule="auto"/>
        <w:ind w:left="273" w:right="522" w:firstLine="8"/>
        <w:jc w:val="both"/>
      </w:pPr>
      <w:r>
        <w:rPr>
          <w:i/>
        </w:rPr>
        <w:t>분산형 금융(DeFi)은 공공 블록체인에서 자본이 할당되는 방식을 변화시켜 전통적인 금융 중개자 없이 대출, 차입 및 레버리지 거래를 가능하게 했습니다[28],[53]. 그러나 대부분의 신용과 유사한 상호작용은 프로토콜이 오프체인 신원 시스템이나 기존 신용 기록에 의존할 수 없기 때문에 높은 수준의 담보로 유지됩니다[26],[48]. 익명 환경에서 운영 과제는 자본을 안전하게 할당하는 것입니다. 즉, 레버리지 노출을 안정적으로 관리하는 지갑과 반복적인 손실, 청산 또는 적대적인 행동을 보이는 지갑을 구별하는 것입니다.</w:t>
      </w:r>
    </w:p>
    <w:p>
      <w:pPr>
        <w:pStyle w:val="BodyText"/>
        <w:spacing w:line="393" w:lineRule="auto" w:before="20"/>
        <w:ind w:left="282" w:right="522" w:hanging="8"/>
        <w:jc w:val="both"/>
      </w:pPr>
      <w:r>
        <w:rPr/>
        <w:t>This dissertation addresses a concrete research problem within that setting:</w:t>
      </w:r>
      <w:r>
        <w:rPr>
          <w:spacing w:val="40"/>
        </w:rPr>
        <w:t> </w:t>
      </w:r>
      <w:r>
        <w:rPr/>
        <w:t>whether an on-chain reputation score built from ERC-20 </w:t>
      </w:r>
      <w:r>
        <w:rPr>
          <w:rFonts w:ascii="Calibri" w:hAnsi="Calibri"/>
        </w:rPr>
        <w:t>approve</w:t>
      </w:r>
      <w:r>
        <w:rPr/>
        <w:t>/</w:t>
      </w:r>
      <w:r>
        <w:rPr>
          <w:rFonts w:ascii="Calibri" w:hAnsi="Calibri"/>
        </w:rPr>
        <w:t>permit </w:t>
      </w:r>
      <w:r>
        <w:rPr/>
        <w:t>allowances—implemented as </w:t>
      </w:r>
      <w:r>
        <w:rPr>
          <w:b/>
        </w:rPr>
        <w:t>EndorseR-ank</w:t>
      </w:r>
      <w:r>
        <w:rPr/>
        <w:t>—can reduce computational cost, represent endorsement semantics more faithfully, and yield a</w:t>
      </w:r>
      <w:r>
        <w:rPr>
          <w:spacing w:val="-3"/>
        </w:rPr>
        <w:t> </w:t>
      </w:r>
      <w:r>
        <w:rPr/>
        <w:t>distinct</w:t>
      </w:r>
      <w:r>
        <w:rPr>
          <w:spacing w:val="-3"/>
        </w:rPr>
        <w:t> </w:t>
      </w:r>
      <w:r>
        <w:rPr/>
        <w:t>yet</w:t>
      </w:r>
      <w:r>
        <w:rPr>
          <w:spacing w:val="-3"/>
        </w:rPr>
        <w:t> </w:t>
      </w:r>
      <w:r>
        <w:rPr/>
        <w:t>credible</w:t>
      </w:r>
      <w:r>
        <w:rPr>
          <w:spacing w:val="-3"/>
        </w:rPr>
        <w:t> </w:t>
      </w:r>
      <w:r>
        <w:rPr/>
        <w:t>alignment</w:t>
      </w:r>
      <w:r>
        <w:rPr>
          <w:spacing w:val="-3"/>
        </w:rPr>
        <w:t> </w:t>
      </w:r>
      <w:r>
        <w:rPr/>
        <w:t>profile</w:t>
      </w:r>
      <w:r>
        <w:rPr>
          <w:spacing w:val="-3"/>
        </w:rPr>
        <w:t> </w:t>
      </w:r>
      <w:r>
        <w:rPr/>
        <w:t>compared</w:t>
      </w:r>
      <w:r>
        <w:rPr>
          <w:spacing w:val="-3"/>
        </w:rPr>
        <w:t> </w:t>
      </w:r>
      <w:r>
        <w:rPr/>
        <w:t>with</w:t>
      </w:r>
      <w:r>
        <w:rPr>
          <w:spacing w:val="-3"/>
        </w:rPr>
        <w:t> </w:t>
      </w:r>
      <w:r>
        <w:rPr/>
        <w:t>transfer-based</w:t>
      </w:r>
      <w:r>
        <w:rPr>
          <w:spacing w:val="-3"/>
        </w:rPr>
        <w:t> </w:t>
      </w:r>
      <w:r>
        <w:rPr/>
        <w:t>Adaptive</w:t>
      </w:r>
      <w:r>
        <w:rPr>
          <w:spacing w:val="-3"/>
        </w:rPr>
        <w:t> </w:t>
      </w:r>
      <w:r>
        <w:rPr/>
        <w:t>Weighted</w:t>
      </w:r>
      <w:r>
        <w:rPr>
          <w:spacing w:val="-3"/>
        </w:rPr>
        <w:t> </w:t>
      </w:r>
      <w:r>
        <w:rPr/>
        <w:t>PageR-ank</w:t>
      </w:r>
      <w:r>
        <w:rPr>
          <w:spacing w:val="-8"/>
        </w:rPr>
        <w:t> </w:t>
      </w:r>
      <w:r>
        <w:rPr/>
        <w:t>(AWP)</w:t>
      </w:r>
      <w:r>
        <w:rPr>
          <w:spacing w:val="-8"/>
        </w:rPr>
        <w:t> </w:t>
      </w:r>
      <w:r>
        <w:rPr/>
        <w:t>on</w:t>
      </w:r>
      <w:r>
        <w:rPr>
          <w:spacing w:val="-8"/>
        </w:rPr>
        <w:t> </w:t>
      </w:r>
      <w:r>
        <w:rPr>
          <w:b/>
        </w:rPr>
        <w:t>Arbitrum</w:t>
      </w:r>
      <w:r>
        <w:rPr>
          <w:b/>
          <w:spacing w:val="-8"/>
        </w:rPr>
        <w:t> </w:t>
      </w:r>
      <w:r>
        <w:rPr>
          <w:b/>
        </w:rPr>
        <w:t>One</w:t>
      </w:r>
      <w:r>
        <w:rPr/>
        <w:t>. The</w:t>
      </w:r>
      <w:r>
        <w:rPr>
          <w:spacing w:val="-8"/>
        </w:rPr>
        <w:t> </w:t>
      </w:r>
      <w:r>
        <w:rPr/>
        <w:t>primary</w:t>
      </w:r>
      <w:r>
        <w:rPr>
          <w:spacing w:val="-8"/>
        </w:rPr>
        <w:t> </w:t>
      </w:r>
      <w:r>
        <w:rPr/>
        <w:t>empirical</w:t>
      </w:r>
      <w:r>
        <w:rPr>
          <w:spacing w:val="-8"/>
        </w:rPr>
        <w:t> </w:t>
      </w:r>
      <w:r>
        <w:rPr/>
        <w:t>comparison</w:t>
      </w:r>
      <w:r>
        <w:rPr>
          <w:spacing w:val="-8"/>
        </w:rPr>
        <w:t> </w:t>
      </w:r>
      <w:r>
        <w:rPr/>
        <w:t>is</w:t>
      </w:r>
      <w:r>
        <w:rPr>
          <w:spacing w:val="-8"/>
        </w:rPr>
        <w:t> </w:t>
      </w:r>
      <w:r>
        <w:rPr>
          <w:b/>
        </w:rPr>
        <w:t>EndorseRank</w:t>
      </w:r>
      <w:r>
        <w:rPr>
          <w:b/>
          <w:spacing w:val="-8"/>
        </w:rPr>
        <w:t> </w:t>
      </w:r>
      <w:r>
        <w:rPr>
          <w:b/>
        </w:rPr>
        <w:t>versus</w:t>
      </w:r>
      <w:r>
        <w:rPr>
          <w:b/>
          <w:spacing w:val="-8"/>
        </w:rPr>
        <w:t> </w:t>
      </w:r>
      <w:r>
        <w:rPr>
          <w:b/>
        </w:rPr>
        <w:t>AWP </w:t>
      </w:r>
      <w:r>
        <w:rPr/>
        <w:t>on an identical wallet sample, validated with five proxy families (including GMX V2 perpetual outcomes) under the rank-correlation framework of Do et al.</w:t>
      </w:r>
      <w:hyperlink w:history="true" w:anchor="_bookmark149">
        <w:r>
          <w:rPr>
            <w:vertAlign w:val="superscript"/>
          </w:rPr>
          <w:t>[16]</w:t>
        </w:r>
      </w:hyperlink>
      <w:r>
        <w:rPr>
          <w:vertAlign w:val="baseline"/>
        </w:rPr>
        <w:t>.</w:t>
      </w:r>
    </w:p>
    <w:p>
      <w:pPr>
        <w:pStyle w:val="BodyText"/>
        <w:spacing w:line="393" w:lineRule="auto" w:before="20"/>
        <w:ind w:left="282" w:right="522" w:hanging="8"/>
        <w:jc w:val="both"/>
      </w:pPr>
      <w:r>
        <w:rPr>
          <w:i/>
        </w:rPr>
        <w:t>이 논문은 해당 설정 내에서 구체적인 연구 문제를 다룹니다. 즉, EndorseR-ank로 구현된 ERC-20 승인/허용 허용으로 구축된 온체인 평판 점수가 계산 비용을 줄이고, 보증 의미 체계를 보다 충실하게 표현하며, Arbitrum One의 전송 기반 적응형 가중 PageR-ank(AWP)와 비교하여 뚜렷하면서도 신뢰할 수 있는 정렬 프로필을 생성할 수 있는지 여부입니다. 일차적인 경험적 비교는 동일한 지갑 샘플에 대한 EndorseRank 대 AWP이며 Do 등의 순위 상관 프레임워크에 따라 5개의 프록시 제품군(GMX V2 영구 결과 포함)으로 검증되었습니다.[16]</w:t>
      </w:r>
    </w:p>
    <w:p>
      <w:pPr>
        <w:pStyle w:val="BodyText"/>
        <w:spacing w:line="396" w:lineRule="auto" w:before="13"/>
        <w:ind w:left="282" w:right="558"/>
        <w:jc w:val="both"/>
      </w:pPr>
      <w:r>
        <w:rPr/>
        <w:t>In</w:t>
      </w:r>
      <w:r>
        <w:rPr>
          <w:spacing w:val="-12"/>
        </w:rPr>
        <w:t> </w:t>
      </w:r>
      <w:r>
        <w:rPr/>
        <w:t>this</w:t>
      </w:r>
      <w:r>
        <w:rPr>
          <w:spacing w:val="-12"/>
        </w:rPr>
        <w:t> </w:t>
      </w:r>
      <w:r>
        <w:rPr/>
        <w:t>study,</w:t>
      </w:r>
      <w:r>
        <w:rPr>
          <w:spacing w:val="-11"/>
        </w:rPr>
        <w:t> </w:t>
      </w:r>
      <w:r>
        <w:rPr>
          <w:b/>
        </w:rPr>
        <w:t>on-chain</w:t>
      </w:r>
      <w:r>
        <w:rPr>
          <w:b/>
          <w:spacing w:val="-12"/>
        </w:rPr>
        <w:t> </w:t>
      </w:r>
      <w:r>
        <w:rPr>
          <w:b/>
        </w:rPr>
        <w:t>reputation</w:t>
      </w:r>
      <w:r>
        <w:rPr>
          <w:b/>
          <w:spacing w:val="-12"/>
        </w:rPr>
        <w:t> </w:t>
      </w:r>
      <w:r>
        <w:rPr>
          <w:b/>
        </w:rPr>
        <w:t>score</w:t>
      </w:r>
      <w:r>
        <w:rPr>
          <w:b/>
          <w:spacing w:val="-11"/>
        </w:rPr>
        <w:t> </w:t>
      </w:r>
      <w:r>
        <w:rPr/>
        <w:t>computation</w:t>
      </w:r>
      <w:r>
        <w:rPr>
          <w:spacing w:val="-12"/>
        </w:rPr>
        <w:t> </w:t>
      </w:r>
      <w:r>
        <w:rPr/>
        <w:t>refers</w:t>
      </w:r>
      <w:r>
        <w:rPr>
          <w:spacing w:val="-12"/>
        </w:rPr>
        <w:t> </w:t>
      </w:r>
      <w:r>
        <w:rPr/>
        <w:t>to</w:t>
      </w:r>
      <w:r>
        <w:rPr>
          <w:spacing w:val="-11"/>
        </w:rPr>
        <w:t> </w:t>
      </w:r>
      <w:r>
        <w:rPr/>
        <w:t>deriving</w:t>
      </w:r>
      <w:r>
        <w:rPr>
          <w:spacing w:val="-11"/>
        </w:rPr>
        <w:t> </w:t>
      </w:r>
      <w:r>
        <w:rPr/>
        <w:t>a</w:t>
      </w:r>
      <w:r>
        <w:rPr>
          <w:spacing w:val="-11"/>
        </w:rPr>
        <w:t> </w:t>
      </w:r>
      <w:r>
        <w:rPr/>
        <w:t>quantitative</w:t>
      </w:r>
      <w:r>
        <w:rPr>
          <w:spacing w:val="-11"/>
        </w:rPr>
        <w:t> </w:t>
      </w:r>
      <w:r>
        <w:rPr/>
        <w:t>wallet</w:t>
      </w:r>
      <w:r>
        <w:rPr>
          <w:spacing w:val="-12"/>
        </w:rPr>
        <w:t> </w:t>
      </w:r>
      <w:r>
        <w:rPr/>
        <w:t>score from</w:t>
      </w:r>
      <w:r>
        <w:rPr>
          <w:spacing w:val="-2"/>
        </w:rPr>
        <w:t> </w:t>
      </w:r>
      <w:r>
        <w:rPr/>
        <w:t>observable</w:t>
      </w:r>
      <w:r>
        <w:rPr>
          <w:spacing w:val="-3"/>
        </w:rPr>
        <w:t> </w:t>
      </w:r>
      <w:r>
        <w:rPr/>
        <w:t>on-chain</w:t>
      </w:r>
      <w:r>
        <w:rPr>
          <w:spacing w:val="-2"/>
        </w:rPr>
        <w:t> </w:t>
      </w:r>
      <w:r>
        <w:rPr/>
        <w:t>behavior</w:t>
      </w:r>
      <w:r>
        <w:rPr>
          <w:spacing w:val="-3"/>
        </w:rPr>
        <w:t> </w:t>
      </w:r>
      <w:r>
        <w:rPr/>
        <w:t>and</w:t>
      </w:r>
      <w:r>
        <w:rPr>
          <w:spacing w:val="-2"/>
        </w:rPr>
        <w:t> </w:t>
      </w:r>
      <w:r>
        <w:rPr/>
        <w:t>relationships</w:t>
      </w:r>
      <w:r>
        <w:rPr>
          <w:spacing w:val="-3"/>
        </w:rPr>
        <w:t> </w:t>
      </w:r>
      <w:r>
        <w:rPr/>
        <w:t>without</w:t>
      </w:r>
      <w:r>
        <w:rPr>
          <w:spacing w:val="-2"/>
        </w:rPr>
        <w:t> </w:t>
      </w:r>
      <w:r>
        <w:rPr/>
        <w:t>off-chain</w:t>
      </w:r>
      <w:r>
        <w:rPr>
          <w:spacing w:val="-3"/>
        </w:rPr>
        <w:t> </w:t>
      </w:r>
      <w:r>
        <w:rPr/>
        <w:t>identity</w:t>
      </w:r>
      <w:r>
        <w:rPr>
          <w:spacing w:val="-2"/>
        </w:rPr>
        <w:t> </w:t>
      </w:r>
      <w:hyperlink w:history="true" w:anchor="_bookmark149">
        <w:r>
          <w:rPr>
            <w:vertAlign w:val="superscript"/>
          </w:rPr>
          <w:t>[16]</w:t>
        </w:r>
      </w:hyperlink>
      <w:r>
        <w:rPr>
          <w:vertAlign w:val="baseline"/>
        </w:rPr>
        <w:t>.</w:t>
      </w:r>
      <w:r>
        <w:rPr>
          <w:spacing w:val="23"/>
          <w:vertAlign w:val="baseline"/>
        </w:rPr>
        <w:t> </w:t>
      </w:r>
      <w:r>
        <w:rPr>
          <w:vertAlign w:val="baseline"/>
        </w:rPr>
        <w:t>EndorseRank produces such a score from allowance-based endorsement edges.</w:t>
      </w:r>
      <w:r>
        <w:rPr>
          <w:spacing w:val="40"/>
          <w:vertAlign w:val="baseline"/>
        </w:rPr>
        <w:t> </w:t>
      </w:r>
      <w:r>
        <w:rPr>
          <w:vertAlign w:val="baseline"/>
        </w:rPr>
        <w:t>The remainder of this chapter situates the problem historically and economically, motivates allowance-based reputation, states the</w:t>
      </w:r>
      <w:r>
        <w:rPr>
          <w:spacing w:val="-5"/>
          <w:vertAlign w:val="baseline"/>
        </w:rPr>
        <w:t> </w:t>
      </w:r>
      <w:r>
        <w:rPr>
          <w:vertAlign w:val="baseline"/>
        </w:rPr>
        <w:t>research</w:t>
      </w:r>
      <w:r>
        <w:rPr>
          <w:spacing w:val="-5"/>
          <w:vertAlign w:val="baseline"/>
        </w:rPr>
        <w:t> </w:t>
      </w:r>
      <w:r>
        <w:rPr>
          <w:vertAlign w:val="baseline"/>
        </w:rPr>
        <w:t>problem</w:t>
      </w:r>
      <w:r>
        <w:rPr>
          <w:spacing w:val="-5"/>
          <w:vertAlign w:val="baseline"/>
        </w:rPr>
        <w:t> </w:t>
      </w:r>
      <w:r>
        <w:rPr>
          <w:vertAlign w:val="baseline"/>
        </w:rPr>
        <w:t>and</w:t>
      </w:r>
      <w:r>
        <w:rPr>
          <w:spacing w:val="-5"/>
          <w:vertAlign w:val="baseline"/>
        </w:rPr>
        <w:t> </w:t>
      </w:r>
      <w:r>
        <w:rPr>
          <w:vertAlign w:val="baseline"/>
        </w:rPr>
        <w:t>questions,</w:t>
      </w:r>
      <w:r>
        <w:rPr>
          <w:spacing w:val="-5"/>
          <w:vertAlign w:val="baseline"/>
        </w:rPr>
        <w:t> </w:t>
      </w:r>
      <w:r>
        <w:rPr>
          <w:vertAlign w:val="baseline"/>
        </w:rPr>
        <w:t>defines</w:t>
      </w:r>
      <w:r>
        <w:rPr>
          <w:spacing w:val="-5"/>
          <w:vertAlign w:val="baseline"/>
        </w:rPr>
        <w:t> </w:t>
      </w:r>
      <w:r>
        <w:rPr>
          <w:vertAlign w:val="baseline"/>
        </w:rPr>
        <w:t>key</w:t>
      </w:r>
      <w:r>
        <w:rPr>
          <w:spacing w:val="-5"/>
          <w:vertAlign w:val="baseline"/>
        </w:rPr>
        <w:t> </w:t>
      </w:r>
      <w:r>
        <w:rPr>
          <w:vertAlign w:val="baseline"/>
        </w:rPr>
        <w:t>constructs,</w:t>
      </w:r>
      <w:r>
        <w:rPr>
          <w:spacing w:val="-5"/>
          <w:vertAlign w:val="baseline"/>
        </w:rPr>
        <w:t> </w:t>
      </w:r>
      <w:r>
        <w:rPr>
          <w:vertAlign w:val="baseline"/>
        </w:rPr>
        <w:t>and</w:t>
      </w:r>
      <w:r>
        <w:rPr>
          <w:spacing w:val="-5"/>
          <w:vertAlign w:val="baseline"/>
        </w:rPr>
        <w:t> </w:t>
      </w:r>
      <w:r>
        <w:rPr>
          <w:vertAlign w:val="baseline"/>
        </w:rPr>
        <w:t>outlines</w:t>
      </w:r>
      <w:r>
        <w:rPr>
          <w:spacing w:val="-5"/>
          <w:vertAlign w:val="baseline"/>
        </w:rPr>
        <w:t> </w:t>
      </w:r>
      <w:r>
        <w:rPr>
          <w:vertAlign w:val="baseline"/>
        </w:rPr>
        <w:t>contributions,</w:t>
      </w:r>
      <w:r>
        <w:rPr>
          <w:spacing w:val="-5"/>
          <w:vertAlign w:val="baseline"/>
        </w:rPr>
        <w:t> </w:t>
      </w:r>
      <w:r>
        <w:rPr>
          <w:vertAlign w:val="baseline"/>
        </w:rPr>
        <w:t>scope,</w:t>
      </w:r>
      <w:r>
        <w:rPr>
          <w:spacing w:val="-5"/>
          <w:vertAlign w:val="baseline"/>
        </w:rPr>
        <w:t> </w:t>
      </w:r>
      <w:r>
        <w:rPr>
          <w:vertAlign w:val="baseline"/>
        </w:rPr>
        <w:t>and </w:t>
      </w:r>
      <w:bookmarkStart w:name="Background: DeFi, collateralization, and" w:id="7"/>
      <w:bookmarkEnd w:id="7"/>
      <w:r>
        <w:rPr>
          <w:w w:val="99"/>
          <w:vertAlign w:val="baseline"/>
        </w:rPr>
      </w:r>
      <w:bookmarkStart w:name="_bookmark5" w:id="8"/>
      <w:bookmarkEnd w:id="8"/>
      <w:r>
        <w:rPr>
          <w:vertAlign w:val="baseline"/>
        </w:rPr>
        <w:t>the</w:t>
      </w:r>
      <w:r>
        <w:rPr>
          <w:vertAlign w:val="baseline"/>
        </w:rPr>
        <w:t> dissertation roadmap.</w:t>
      </w:r>
    </w:p>
    <w:p>
      <w:pPr>
        <w:pStyle w:val="BodyText"/>
        <w:spacing w:line="396" w:lineRule="auto" w:before="13"/>
        <w:ind w:left="282" w:right="558"/>
        <w:jc w:val="both"/>
      </w:pPr>
      <w:r>
        <w:rPr>
          <w:i/>
        </w:rPr>
        <w:t>본 연구에서 온체인 평판 점수 계산은 오프체인 신원 없이 관찰 가능한 온체인 행동과 관계로부터 정량적 지갑 점수를 도출하는 것을 의미합니다[16]. EndorseRank는 수당 기반 보증 가장자리에서 이러한 점수를 생성합니다. 이 장의 나머지 부분에서는 문제를 역사적, 경제적으로 파악하고, 수당 기반 평판에 동기를 부여하고, 연구 문제와 질문을 명시하고, 핵심 구성을 정의하고, 기여, 범위 및 논문 로드맵의 개요를 설명합니다.</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783" w:val="left" w:leader="none"/>
        </w:tabs>
        <w:spacing w:line="240" w:lineRule="auto" w:before="112" w:after="0"/>
        <w:ind w:left="783" w:right="0" w:hanging="501"/>
        <w:jc w:val="left"/>
      </w:pPr>
      <w:r>
        <w:rPr/>
        <w:t>Background:</w:t>
      </w:r>
      <w:r>
        <w:rPr>
          <w:spacing w:val="51"/>
        </w:rPr>
        <w:t> </w:t>
      </w:r>
      <w:r>
        <w:rPr/>
        <w:t>DeFi,</w:t>
      </w:r>
      <w:r>
        <w:rPr>
          <w:spacing w:val="20"/>
        </w:rPr>
        <w:t> </w:t>
      </w:r>
      <w:r>
        <w:rPr/>
        <w:t>collateralization,</w:t>
      </w:r>
      <w:r>
        <w:rPr>
          <w:spacing w:val="21"/>
        </w:rPr>
        <w:t> </w:t>
      </w:r>
      <w:r>
        <w:rPr/>
        <w:t>and</w:t>
      </w:r>
      <w:r>
        <w:rPr>
          <w:spacing w:val="21"/>
        </w:rPr>
        <w:t> </w:t>
      </w:r>
      <w:r>
        <w:rPr>
          <w:spacing w:val="-2"/>
        </w:rPr>
        <w:t>pseudonymity</w:t>
      </w:r>
    </w:p>
    <w:p>
      <w:pPr>
        <w:pStyle w:val="Heading2"/>
        <w:numPr>
          <w:ilvl w:val="1"/>
          <w:numId w:val="8"/>
        </w:numPr>
        <w:tabs>
          <w:tab w:pos="783" w:val="left" w:leader="none"/>
        </w:tabs>
        <w:spacing w:line="240" w:lineRule="auto" w:before="112" w:after="0"/>
        <w:ind w:left="783" w:right="0" w:hanging="501"/>
        <w:jc w:val="left"/>
      </w:pPr>
      <w:r>
        <w:rPr>
          <w:i/>
        </w:rPr>
        <w:t>배경: DeFi, 담보 및 가명성</w:t>
      </w:r>
    </w:p>
    <w:p>
      <w:pPr>
        <w:pStyle w:val="BodyText"/>
        <w:spacing w:before="24"/>
        <w:rPr>
          <w:b/>
          <w:sz w:val="28"/>
        </w:rPr>
      </w:pPr>
    </w:p>
    <w:p>
      <w:pPr>
        <w:pStyle w:val="BodyText"/>
        <w:spacing w:line="396" w:lineRule="auto"/>
        <w:ind w:left="282" w:right="563"/>
        <w:jc w:val="both"/>
      </w:pPr>
      <w:r>
        <w:rPr/>
        <w:t>Public blockchains introduced programmable settlement and open participation without a central operator</w:t>
      </w:r>
      <w:r>
        <w:rPr>
          <w:spacing w:val="-15"/>
        </w:rPr>
        <w:t> </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9"/>
          <w:vertAlign w:val="baseline"/>
        </w:rPr>
        <w:t> </w:t>
      </w:r>
      <w:r>
        <w:rPr>
          <w:vertAlign w:val="baseline"/>
        </w:rPr>
        <w:t>Smart</w:t>
      </w:r>
      <w:r>
        <w:rPr>
          <w:spacing w:val="-15"/>
          <w:vertAlign w:val="baseline"/>
        </w:rPr>
        <w:t> </w:t>
      </w:r>
      <w:r>
        <w:rPr>
          <w:vertAlign w:val="baseline"/>
        </w:rPr>
        <w:t>contracts</w:t>
      </w:r>
      <w:r>
        <w:rPr>
          <w:spacing w:val="-15"/>
          <w:vertAlign w:val="baseline"/>
        </w:rPr>
        <w:t> </w:t>
      </w:r>
      <w:r>
        <w:rPr>
          <w:vertAlign w:val="baseline"/>
        </w:rPr>
        <w:t>encode</w:t>
      </w:r>
      <w:r>
        <w:rPr>
          <w:spacing w:val="-15"/>
          <w:vertAlign w:val="baseline"/>
        </w:rPr>
        <w:t> </w:t>
      </w:r>
      <w:r>
        <w:rPr>
          <w:vertAlign w:val="baseline"/>
        </w:rPr>
        <w:t>agreement</w:t>
      </w:r>
      <w:r>
        <w:rPr>
          <w:spacing w:val="-15"/>
          <w:vertAlign w:val="baseline"/>
        </w:rPr>
        <w:t> </w:t>
      </w:r>
      <w:r>
        <w:rPr>
          <w:vertAlign w:val="baseline"/>
        </w:rPr>
        <w:t>terms</w:t>
      </w:r>
      <w:r>
        <w:rPr>
          <w:spacing w:val="-15"/>
          <w:vertAlign w:val="baseline"/>
        </w:rPr>
        <w:t> </w:t>
      </w:r>
      <w:r>
        <w:rPr>
          <w:vertAlign w:val="baseline"/>
        </w:rPr>
        <w:t>as</w:t>
      </w:r>
      <w:r>
        <w:rPr>
          <w:spacing w:val="-15"/>
          <w:vertAlign w:val="baseline"/>
        </w:rPr>
        <w:t> </w:t>
      </w:r>
      <w:r>
        <w:rPr>
          <w:vertAlign w:val="baseline"/>
        </w:rPr>
        <w:t>self-executing</w:t>
      </w:r>
      <w:r>
        <w:rPr>
          <w:spacing w:val="-15"/>
          <w:vertAlign w:val="baseline"/>
        </w:rPr>
        <w:t> </w:t>
      </w:r>
      <w:r>
        <w:rPr>
          <w:vertAlign w:val="baseline"/>
        </w:rPr>
        <w:t>code,</w:t>
      </w:r>
      <w:r>
        <w:rPr>
          <w:spacing w:val="-14"/>
          <w:vertAlign w:val="baseline"/>
        </w:rPr>
        <w:t> </w:t>
      </w:r>
      <w:r>
        <w:rPr>
          <w:vertAlign w:val="baseline"/>
        </w:rPr>
        <w:t>enabling</w:t>
      </w:r>
      <w:r>
        <w:rPr>
          <w:spacing w:val="-15"/>
          <w:vertAlign w:val="baseline"/>
        </w:rPr>
        <w:t> </w:t>
      </w:r>
      <w:r>
        <w:rPr>
          <w:vertAlign w:val="baseline"/>
        </w:rPr>
        <w:t>financial applications</w:t>
      </w:r>
      <w:r>
        <w:rPr>
          <w:spacing w:val="-10"/>
          <w:vertAlign w:val="baseline"/>
        </w:rPr>
        <w:t> </w:t>
      </w:r>
      <w:r>
        <w:rPr>
          <w:vertAlign w:val="baseline"/>
        </w:rPr>
        <w:t>that</w:t>
      </w:r>
      <w:r>
        <w:rPr>
          <w:spacing w:val="-10"/>
          <w:vertAlign w:val="baseline"/>
        </w:rPr>
        <w:t> </w:t>
      </w:r>
      <w:r>
        <w:rPr>
          <w:vertAlign w:val="baseline"/>
        </w:rPr>
        <w:t>settle</w:t>
      </w:r>
      <w:r>
        <w:rPr>
          <w:spacing w:val="-10"/>
          <w:vertAlign w:val="baseline"/>
        </w:rPr>
        <w:t> </w:t>
      </w:r>
      <w:r>
        <w:rPr>
          <w:vertAlign w:val="baseline"/>
        </w:rPr>
        <w:t>on-chain</w:t>
      </w:r>
      <w:r>
        <w:rPr>
          <w:spacing w:val="-10"/>
          <w:vertAlign w:val="baseline"/>
        </w:rPr>
        <w:t> </w:t>
      </w:r>
      <w:r>
        <w:rPr>
          <w:vertAlign w:val="baseline"/>
        </w:rPr>
        <w:t>rather</w:t>
      </w:r>
      <w:r>
        <w:rPr>
          <w:spacing w:val="-10"/>
          <w:vertAlign w:val="baseline"/>
        </w:rPr>
        <w:t> </w:t>
      </w:r>
      <w:r>
        <w:rPr>
          <w:vertAlign w:val="baseline"/>
        </w:rPr>
        <w:t>than</w:t>
      </w:r>
      <w:r>
        <w:rPr>
          <w:spacing w:val="-10"/>
          <w:vertAlign w:val="baseline"/>
        </w:rPr>
        <w:t> </w:t>
      </w:r>
      <w:r>
        <w:rPr>
          <w:vertAlign w:val="baseline"/>
        </w:rPr>
        <w:t>through</w:t>
      </w:r>
      <w:r>
        <w:rPr>
          <w:spacing w:val="-10"/>
          <w:vertAlign w:val="baseline"/>
        </w:rPr>
        <w:t> </w:t>
      </w:r>
      <w:r>
        <w:rPr>
          <w:vertAlign w:val="baseline"/>
        </w:rPr>
        <w:t>custodial</w:t>
      </w:r>
      <w:r>
        <w:rPr>
          <w:spacing w:val="-10"/>
          <w:vertAlign w:val="baseline"/>
        </w:rPr>
        <w:t> </w:t>
      </w:r>
      <w:r>
        <w:rPr>
          <w:vertAlign w:val="baseline"/>
        </w:rPr>
        <w:t>intermediaries</w:t>
      </w:r>
      <w:r>
        <w:rPr>
          <w:spacing w:val="-10"/>
          <w:vertAlign w:val="baseline"/>
        </w:rPr>
        <w:t> </w:t>
      </w:r>
      <w:hyperlink w:history="true" w:anchor="_bookmark142">
        <w:r>
          <w:rPr>
            <w:vertAlign w:val="superscript"/>
          </w:rPr>
          <w:t>[9]</w:t>
        </w:r>
      </w:hyperlink>
      <w:r>
        <w:rPr>
          <w:vertAlign w:val="superscript"/>
        </w:rPr>
        <w:t>,</w:t>
      </w:r>
      <w:hyperlink w:history="true" w:anchor="_bookmark188">
        <w:r>
          <w:rPr>
            <w:vertAlign w:val="superscript"/>
          </w:rPr>
          <w:t>[55]</w:t>
        </w:r>
      </w:hyperlink>
      <w:r>
        <w:rPr>
          <w:vertAlign w:val="baseline"/>
        </w:rPr>
        <w:t>.</w:t>
      </w:r>
      <w:r>
        <w:rPr>
          <w:spacing w:val="12"/>
          <w:vertAlign w:val="baseline"/>
        </w:rPr>
        <w:t> </w:t>
      </w:r>
      <w:r>
        <w:rPr>
          <w:vertAlign w:val="baseline"/>
        </w:rPr>
        <w:t>DeFi</w:t>
      </w:r>
      <w:r>
        <w:rPr>
          <w:spacing w:val="-10"/>
          <w:vertAlign w:val="baseline"/>
        </w:rPr>
        <w:t> </w:t>
      </w:r>
      <w:r>
        <w:rPr>
          <w:vertAlign w:val="baseline"/>
        </w:rPr>
        <w:t>protocols </w:t>
      </w:r>
      <w:r>
        <w:rPr>
          <w:spacing w:val="-2"/>
          <w:vertAlign w:val="baseline"/>
        </w:rPr>
        <w:t>compose</w:t>
      </w:r>
      <w:r>
        <w:rPr>
          <w:spacing w:val="-4"/>
          <w:vertAlign w:val="baseline"/>
        </w:rPr>
        <w:t> </w:t>
      </w:r>
      <w:r>
        <w:rPr>
          <w:spacing w:val="-2"/>
          <w:vertAlign w:val="baseline"/>
        </w:rPr>
        <w:t>these</w:t>
      </w:r>
      <w:r>
        <w:rPr>
          <w:spacing w:val="-3"/>
          <w:vertAlign w:val="baseline"/>
        </w:rPr>
        <w:t> </w:t>
      </w:r>
      <w:r>
        <w:rPr>
          <w:spacing w:val="-2"/>
          <w:vertAlign w:val="baseline"/>
        </w:rPr>
        <w:t>contracts</w:t>
      </w:r>
      <w:r>
        <w:rPr>
          <w:spacing w:val="-3"/>
          <w:vertAlign w:val="baseline"/>
        </w:rPr>
        <w:t> </w:t>
      </w:r>
      <w:r>
        <w:rPr>
          <w:spacing w:val="-2"/>
          <w:vertAlign w:val="baseline"/>
        </w:rPr>
        <w:t>into</w:t>
      </w:r>
      <w:r>
        <w:rPr>
          <w:spacing w:val="-3"/>
          <w:vertAlign w:val="baseline"/>
        </w:rPr>
        <w:t> </w:t>
      </w:r>
      <w:r>
        <w:rPr>
          <w:spacing w:val="-2"/>
          <w:vertAlign w:val="baseline"/>
        </w:rPr>
        <w:t>markets</w:t>
      </w:r>
      <w:r>
        <w:rPr>
          <w:spacing w:val="-3"/>
          <w:vertAlign w:val="baseline"/>
        </w:rPr>
        <w:t> </w:t>
      </w:r>
      <w:r>
        <w:rPr>
          <w:spacing w:val="-2"/>
          <w:vertAlign w:val="baseline"/>
        </w:rPr>
        <w:t>for</w:t>
      </w:r>
      <w:r>
        <w:rPr>
          <w:spacing w:val="-3"/>
          <w:vertAlign w:val="baseline"/>
        </w:rPr>
        <w:t> </w:t>
      </w:r>
      <w:r>
        <w:rPr>
          <w:spacing w:val="-2"/>
          <w:vertAlign w:val="baseline"/>
        </w:rPr>
        <w:t>lending,</w:t>
      </w:r>
      <w:r>
        <w:rPr>
          <w:spacing w:val="-1"/>
          <w:vertAlign w:val="baseline"/>
        </w:rPr>
        <w:t> </w:t>
      </w:r>
      <w:r>
        <w:rPr>
          <w:spacing w:val="-2"/>
          <w:vertAlign w:val="baseline"/>
        </w:rPr>
        <w:t>automated</w:t>
      </w:r>
      <w:r>
        <w:rPr>
          <w:spacing w:val="-3"/>
          <w:vertAlign w:val="baseline"/>
        </w:rPr>
        <w:t> </w:t>
      </w:r>
      <w:r>
        <w:rPr>
          <w:spacing w:val="-2"/>
          <w:vertAlign w:val="baseline"/>
        </w:rPr>
        <w:t>market</w:t>
      </w:r>
      <w:r>
        <w:rPr>
          <w:spacing w:val="-3"/>
          <w:vertAlign w:val="baseline"/>
        </w:rPr>
        <w:t> </w:t>
      </w:r>
      <w:r>
        <w:rPr>
          <w:spacing w:val="-2"/>
          <w:vertAlign w:val="baseline"/>
        </w:rPr>
        <w:t>making,</w:t>
      </w:r>
      <w:r>
        <w:rPr>
          <w:spacing w:val="-1"/>
          <w:vertAlign w:val="baseline"/>
        </w:rPr>
        <w:t> </w:t>
      </w:r>
      <w:r>
        <w:rPr>
          <w:spacing w:val="-2"/>
          <w:vertAlign w:val="baseline"/>
        </w:rPr>
        <w:t>and</w:t>
      </w:r>
      <w:r>
        <w:rPr>
          <w:spacing w:val="-3"/>
          <w:vertAlign w:val="baseline"/>
        </w:rPr>
        <w:t> </w:t>
      </w:r>
      <w:r>
        <w:rPr>
          <w:spacing w:val="-2"/>
          <w:vertAlign w:val="baseline"/>
        </w:rPr>
        <w:t>perpetual</w:t>
      </w:r>
      <w:r>
        <w:rPr>
          <w:spacing w:val="-3"/>
          <w:vertAlign w:val="baseline"/>
        </w:rPr>
        <w:t> </w:t>
      </w:r>
      <w:r>
        <w:rPr>
          <w:spacing w:val="-2"/>
          <w:vertAlign w:val="baseline"/>
        </w:rPr>
        <w:t>futures</w:t>
      </w:r>
    </w:p>
    <w:p>
      <w:pPr>
        <w:pStyle w:val="BodyText"/>
        <w:spacing w:line="396" w:lineRule="auto"/>
        <w:ind w:left="282" w:right="563"/>
        <w:jc w:val="both"/>
      </w:pPr>
      <w:r>
        <w:rPr>
          <w:i/>
        </w:rPr>
        <w:t>퍼블릭 블록체인은 중앙 운영자 없이 프로그래밍 가능한 결제 및 공개 참여를 도입했습니다[46],[60]. 스마트 계약은 계약 조건을 자체 실행 코드로 인코딩하여 관리 중개자를 통하지 않고 온체인에서 결제되는 금융 애플리케이션을 가능하게 합니다[9],[55]. DeFi 프로토콜은 이러한 계약을 대출, 자동화된 시장 조성 및 영구 선물 시장으로 구성합니다.</w:t>
      </w:r>
    </w:p>
    <w:p>
      <w:pPr>
        <w:pStyle w:val="BodyText"/>
        <w:spacing w:line="396" w:lineRule="auto" w:before="5"/>
        <w:ind w:left="282" w:right="524"/>
        <w:jc w:val="both"/>
      </w:pPr>
      <w:hyperlink w:history="true" w:anchor="_bookmark186">
        <w:r>
          <w:rPr>
            <w:vertAlign w:val="superscript"/>
          </w:rPr>
          <w:t>[53]</w:t>
        </w:r>
      </w:hyperlink>
      <w:r>
        <w:rPr>
          <w:vertAlign w:val="superscript"/>
        </w:rPr>
        <w:t>,</w:t>
      </w:r>
      <w:hyperlink w:history="true" w:anchor="_bookmark192">
        <w:r>
          <w:rPr>
            <w:vertAlign w:val="superscript"/>
          </w:rPr>
          <w:t>[59]</w:t>
        </w:r>
      </w:hyperlink>
      <w:r>
        <w:rPr>
          <w:vertAlign w:val="baseline"/>
        </w:rPr>
        <w:t>.</w:t>
      </w:r>
      <w:r>
        <w:rPr>
          <w:spacing w:val="13"/>
          <w:vertAlign w:val="baseline"/>
        </w:rPr>
        <w:t> </w:t>
      </w:r>
      <w:r>
        <w:rPr>
          <w:vertAlign w:val="baseline"/>
        </w:rPr>
        <w:t>On</w:t>
      </w:r>
      <w:r>
        <w:rPr>
          <w:spacing w:val="-12"/>
          <w:vertAlign w:val="baseline"/>
        </w:rPr>
        <w:t> </w:t>
      </w:r>
      <w:r>
        <w:rPr>
          <w:vertAlign w:val="baseline"/>
        </w:rPr>
        <w:t>Arbitrum</w:t>
      </w:r>
      <w:r>
        <w:rPr>
          <w:spacing w:val="-12"/>
          <w:vertAlign w:val="baseline"/>
        </w:rPr>
        <w:t> </w:t>
      </w:r>
      <w:r>
        <w:rPr>
          <w:vertAlign w:val="baseline"/>
        </w:rPr>
        <w:t>One</w:t>
      </w:r>
      <w:r>
        <w:rPr>
          <w:spacing w:val="-12"/>
          <w:vertAlign w:val="baseline"/>
        </w:rPr>
        <w:t> </w:t>
      </w:r>
      <w:r>
        <w:rPr>
          <w:vertAlign w:val="baseline"/>
        </w:rPr>
        <w:t>and</w:t>
      </w:r>
      <w:r>
        <w:rPr>
          <w:spacing w:val="-12"/>
          <w:vertAlign w:val="baseline"/>
        </w:rPr>
        <w:t> </w:t>
      </w:r>
      <w:r>
        <w:rPr>
          <w:vertAlign w:val="baseline"/>
        </w:rPr>
        <w:t>similar</w:t>
      </w:r>
      <w:r>
        <w:rPr>
          <w:spacing w:val="-12"/>
          <w:vertAlign w:val="baseline"/>
        </w:rPr>
        <w:t> </w:t>
      </w:r>
      <w:r>
        <w:rPr>
          <w:vertAlign w:val="baseline"/>
        </w:rPr>
        <w:t>Layer-2</w:t>
      </w:r>
      <w:r>
        <w:rPr>
          <w:spacing w:val="-12"/>
          <w:vertAlign w:val="baseline"/>
        </w:rPr>
        <w:t> </w:t>
      </w:r>
      <w:r>
        <w:rPr>
          <w:vertAlign w:val="baseline"/>
        </w:rPr>
        <w:t>networks,</w:t>
      </w:r>
      <w:r>
        <w:rPr>
          <w:spacing w:val="-11"/>
          <w:vertAlign w:val="baseline"/>
        </w:rPr>
        <w:t> </w:t>
      </w:r>
      <w:r>
        <w:rPr>
          <w:vertAlign w:val="baseline"/>
        </w:rPr>
        <w:t>activity</w:t>
      </w:r>
      <w:r>
        <w:rPr>
          <w:spacing w:val="-12"/>
          <w:vertAlign w:val="baseline"/>
        </w:rPr>
        <w:t> </w:t>
      </w:r>
      <w:r>
        <w:rPr>
          <w:vertAlign w:val="baseline"/>
        </w:rPr>
        <w:t>density</w:t>
      </w:r>
      <w:r>
        <w:rPr>
          <w:spacing w:val="-12"/>
          <w:vertAlign w:val="baseline"/>
        </w:rPr>
        <w:t> </w:t>
      </w:r>
      <w:r>
        <w:rPr>
          <w:vertAlign w:val="baseline"/>
        </w:rPr>
        <w:t>is</w:t>
      </w:r>
      <w:r>
        <w:rPr>
          <w:spacing w:val="-12"/>
          <w:vertAlign w:val="baseline"/>
        </w:rPr>
        <w:t> </w:t>
      </w:r>
      <w:r>
        <w:rPr>
          <w:vertAlign w:val="baseline"/>
        </w:rPr>
        <w:t>high</w:t>
      </w:r>
      <w:r>
        <w:rPr>
          <w:spacing w:val="-12"/>
          <w:vertAlign w:val="baseline"/>
        </w:rPr>
        <w:t> </w:t>
      </w:r>
      <w:r>
        <w:rPr>
          <w:vertAlign w:val="baseline"/>
        </w:rPr>
        <w:t>enough</w:t>
      </w:r>
      <w:r>
        <w:rPr>
          <w:spacing w:val="-12"/>
          <w:vertAlign w:val="baseline"/>
        </w:rPr>
        <w:t> </w:t>
      </w:r>
      <w:r>
        <w:rPr>
          <w:vertAlign w:val="baseline"/>
        </w:rPr>
        <w:t>that</w:t>
      </w:r>
      <w:r>
        <w:rPr>
          <w:spacing w:val="-12"/>
          <w:vertAlign w:val="baseline"/>
        </w:rPr>
        <w:t> </w:t>
      </w:r>
      <w:r>
        <w:rPr>
          <w:vertAlign w:val="baseline"/>
        </w:rPr>
        <w:t>wallet-level behavioral signals—transfers, approvals, and protocol events—can be observed at scale.</w:t>
      </w:r>
    </w:p>
    <w:p>
      <w:pPr>
        <w:pStyle w:val="BodyText"/>
        <w:spacing w:line="396" w:lineRule="auto" w:before="5"/>
        <w:ind w:left="282" w:right="524"/>
        <w:jc w:val="both"/>
      </w:pPr>
      <w:r>
        <w:rPr>
          <w:i/>
        </w:rPr>
        <w:t>[53],[59]. Arbitrum One 및 유사한 레이어 2 네트워크에서는 지갑 수준의 행동 신호(전송, 승인, 프로토콜 이벤트)를 대규모로 관찰할 수 있을 만큼 활동 밀도가 높습니다.</w:t>
      </w:r>
    </w:p>
    <w:p>
      <w:pPr>
        <w:pStyle w:val="BodyText"/>
        <w:spacing w:line="396" w:lineRule="auto" w:before="16"/>
        <w:ind w:left="282" w:right="522"/>
        <w:jc w:val="both"/>
      </w:pPr>
      <w:r>
        <w:rPr/>
        <w:t>Despite this transparency, DeFi credit markets remain structurally over-collateralized.</w:t>
      </w:r>
      <w:r>
        <w:rPr>
          <w:spacing w:val="40"/>
        </w:rPr>
        <w:t> </w:t>
      </w:r>
      <w:r>
        <w:rPr/>
        <w:t>Protocols typically require borrowers or traders to post collateral exceeding the value of their exposure because counterparties are pseudonymous addresses rather than identified legal persons </w:t>
      </w:r>
      <w:hyperlink w:history="true" w:anchor="_bookmark159">
        <w:r>
          <w:rPr>
            <w:vertAlign w:val="superscript"/>
          </w:rPr>
          <w:t>[26]</w:t>
        </w:r>
      </w:hyperlink>
      <w:r>
        <w:rPr>
          <w:vertAlign w:val="superscript"/>
        </w:rPr>
        <w:t>,</w:t>
      </w:r>
      <w:hyperlink w:history="true" w:anchor="_bookmark161">
        <w:r>
          <w:rPr>
            <w:vertAlign w:val="superscript"/>
          </w:rPr>
          <w:t>[28]</w:t>
        </w:r>
      </w:hyperlink>
      <w:r>
        <w:rPr>
          <w:vertAlign w:val="baseline"/>
        </w:rPr>
        <w:t>. Pseudonymity is a design feature of public ledgers:</w:t>
      </w:r>
      <w:r>
        <w:rPr>
          <w:spacing w:val="40"/>
          <w:vertAlign w:val="baseline"/>
        </w:rPr>
        <w:t> </w:t>
      </w:r>
      <w:r>
        <w:rPr>
          <w:vertAlign w:val="baseline"/>
        </w:rPr>
        <w:t>anyone may create addresses at negligible cost,</w:t>
      </w:r>
      <w:r>
        <w:rPr>
          <w:spacing w:val="-7"/>
          <w:vertAlign w:val="baseline"/>
        </w:rPr>
        <w:t> </w:t>
      </w:r>
      <w:r>
        <w:rPr>
          <w:vertAlign w:val="baseline"/>
        </w:rPr>
        <w:t>and</w:t>
      </w:r>
      <w:r>
        <w:rPr>
          <w:spacing w:val="-9"/>
          <w:vertAlign w:val="baseline"/>
        </w:rPr>
        <w:t> </w:t>
      </w:r>
      <w:r>
        <w:rPr>
          <w:vertAlign w:val="baseline"/>
        </w:rPr>
        <w:t>a</w:t>
      </w:r>
      <w:r>
        <w:rPr>
          <w:spacing w:val="-9"/>
          <w:vertAlign w:val="baseline"/>
        </w:rPr>
        <w:t> </w:t>
      </w:r>
      <w:r>
        <w:rPr>
          <w:vertAlign w:val="baseline"/>
        </w:rPr>
        <w:t>single</w:t>
      </w:r>
      <w:r>
        <w:rPr>
          <w:spacing w:val="-9"/>
          <w:vertAlign w:val="baseline"/>
        </w:rPr>
        <w:t> </w:t>
      </w:r>
      <w:r>
        <w:rPr>
          <w:vertAlign w:val="baseline"/>
        </w:rPr>
        <w:t>economic</w:t>
      </w:r>
      <w:r>
        <w:rPr>
          <w:spacing w:val="-9"/>
          <w:vertAlign w:val="baseline"/>
        </w:rPr>
        <w:t> </w:t>
      </w:r>
      <w:r>
        <w:rPr>
          <w:vertAlign w:val="baseline"/>
        </w:rPr>
        <w:t>actor</w:t>
      </w:r>
      <w:r>
        <w:rPr>
          <w:spacing w:val="-9"/>
          <w:vertAlign w:val="baseline"/>
        </w:rPr>
        <w:t> </w:t>
      </w:r>
      <w:r>
        <w:rPr>
          <w:vertAlign w:val="baseline"/>
        </w:rPr>
        <w:t>may</w:t>
      </w:r>
      <w:r>
        <w:rPr>
          <w:spacing w:val="-9"/>
          <w:vertAlign w:val="baseline"/>
        </w:rPr>
        <w:t> </w:t>
      </w:r>
      <w:r>
        <w:rPr>
          <w:vertAlign w:val="baseline"/>
        </w:rPr>
        <w:t>control</w:t>
      </w:r>
      <w:r>
        <w:rPr>
          <w:spacing w:val="-9"/>
          <w:vertAlign w:val="baseline"/>
        </w:rPr>
        <w:t> </w:t>
      </w:r>
      <w:r>
        <w:rPr>
          <w:vertAlign w:val="baseline"/>
        </w:rPr>
        <w:t>many</w:t>
      </w:r>
      <w:r>
        <w:rPr>
          <w:spacing w:val="-9"/>
          <w:vertAlign w:val="baseline"/>
        </w:rPr>
        <w:t> </w:t>
      </w:r>
      <w:r>
        <w:rPr>
          <w:vertAlign w:val="baseline"/>
        </w:rPr>
        <w:t>wallets</w:t>
      </w:r>
      <w:r>
        <w:rPr>
          <w:spacing w:val="-9"/>
          <w:vertAlign w:val="baseline"/>
        </w:rPr>
        <w:t> </w:t>
      </w:r>
      <w:hyperlink w:history="true" w:anchor="_bookmark150">
        <w:r>
          <w:rPr>
            <w:vertAlign w:val="superscript"/>
          </w:rPr>
          <w:t>[17]</w:t>
        </w:r>
      </w:hyperlink>
      <w:r>
        <w:rPr>
          <w:vertAlign w:val="baseline"/>
        </w:rPr>
        <w:t>.</w:t>
      </w:r>
      <w:r>
        <w:rPr>
          <w:spacing w:val="15"/>
          <w:vertAlign w:val="baseline"/>
        </w:rPr>
        <w:t> </w:t>
      </w:r>
      <w:r>
        <w:rPr>
          <w:vertAlign w:val="baseline"/>
        </w:rPr>
        <w:t>Traditional</w:t>
      </w:r>
      <w:r>
        <w:rPr>
          <w:spacing w:val="-9"/>
          <w:vertAlign w:val="baseline"/>
        </w:rPr>
        <w:t> </w:t>
      </w:r>
      <w:r>
        <w:rPr>
          <w:vertAlign w:val="baseline"/>
        </w:rPr>
        <w:t>credit</w:t>
      </w:r>
      <w:r>
        <w:rPr>
          <w:spacing w:val="-9"/>
          <w:vertAlign w:val="baseline"/>
        </w:rPr>
        <w:t> </w:t>
      </w:r>
      <w:r>
        <w:rPr>
          <w:vertAlign w:val="baseline"/>
        </w:rPr>
        <w:t>scoring</w:t>
      </w:r>
      <w:r>
        <w:rPr>
          <w:spacing w:val="-9"/>
          <w:vertAlign w:val="baseline"/>
        </w:rPr>
        <w:t> </w:t>
      </w:r>
      <w:r>
        <w:rPr>
          <w:vertAlign w:val="baseline"/>
        </w:rPr>
        <w:t>depends on identity-linked histories that do not transfer cleanly to this setting </w:t>
      </w:r>
      <w:hyperlink w:history="true" w:anchor="_bookmark181">
        <w:r>
          <w:rPr>
            <w:vertAlign w:val="superscript"/>
          </w:rPr>
          <w:t>[48]</w:t>
        </w:r>
      </w:hyperlink>
      <w:r>
        <w:rPr>
          <w:vertAlign w:val="baseline"/>
        </w:rPr>
        <w:t>.</w:t>
      </w:r>
      <w:r>
        <w:rPr>
          <w:spacing w:val="40"/>
          <w:vertAlign w:val="baseline"/>
        </w:rPr>
        <w:t> </w:t>
      </w:r>
      <w:r>
        <w:rPr>
          <w:vertAlign w:val="baseline"/>
        </w:rPr>
        <w:t>Consequently, risk management defaults to collateral buffers, liquidation engines, and protocol-level parameters rather than individualized reputation.</w:t>
      </w:r>
    </w:p>
    <w:p>
      <w:pPr>
        <w:pStyle w:val="BodyText"/>
        <w:spacing w:line="396" w:lineRule="auto" w:before="16"/>
        <w:ind w:left="282" w:right="522"/>
        <w:jc w:val="both"/>
      </w:pPr>
      <w:r>
        <w:rPr>
          <w:i/>
        </w:rPr>
        <w:t>이러한 투명성에도 불구하고 DeFi 신용 시장은 구조적으로 과잉 담보 상태를 유지하고 있습니다. 프로토콜은 일반적으로 거래 상대방이 식별된 법인이 아닌 가명 주소이기 때문에 차용자 또는 거래자가 노출 가치를 초과하는 담보를 게시하도록 요구합니다[26],[28]. 가명성은 공공 장부의 설계 특징입니다. 누구나 무시할 수 있는 비용으로 주소를 만들 수 있으며, 단일 경제 주체가 많은 지갑을 관리할 수 있습니다[17]. 전통적인 신용 점수는 이 설정으로 완전히 전환되지 않는 신원 연결 기록에 따라 달라집니다[48]. 결과적으로 위험 관리는 개별화된 평판보다는 담보 버퍼, 청산 엔진 및 프로토콜 수준 매개변수를 기본으로 합니다.</w:t>
      </w:r>
    </w:p>
    <w:p>
      <w:pPr>
        <w:pStyle w:val="BodyText"/>
        <w:spacing w:line="396" w:lineRule="auto" w:before="23"/>
        <w:ind w:left="282" w:right="524"/>
        <w:jc w:val="both"/>
      </w:pPr>
      <w:r>
        <w:rPr/>
        <w:t>Collateralization protects protocols but imposes capital inefficiency.</w:t>
      </w:r>
      <w:r>
        <w:rPr>
          <w:spacing w:val="33"/>
        </w:rPr>
        <w:t> </w:t>
      </w:r>
      <w:r>
        <w:rPr/>
        <w:t>Traders and borrowers must lock</w:t>
      </w:r>
      <w:r>
        <w:rPr>
          <w:spacing w:val="-8"/>
        </w:rPr>
        <w:t> </w:t>
      </w:r>
      <w:r>
        <w:rPr/>
        <w:t>assets</w:t>
      </w:r>
      <w:r>
        <w:rPr>
          <w:spacing w:val="-8"/>
        </w:rPr>
        <w:t> </w:t>
      </w:r>
      <w:r>
        <w:rPr/>
        <w:t>that</w:t>
      </w:r>
      <w:r>
        <w:rPr>
          <w:spacing w:val="-8"/>
        </w:rPr>
        <w:t> </w:t>
      </w:r>
      <w:r>
        <w:rPr/>
        <w:t>could</w:t>
      </w:r>
      <w:r>
        <w:rPr>
          <w:spacing w:val="-8"/>
        </w:rPr>
        <w:t> </w:t>
      </w:r>
      <w:r>
        <w:rPr/>
        <w:t>otherwise</w:t>
      </w:r>
      <w:r>
        <w:rPr>
          <w:spacing w:val="-8"/>
        </w:rPr>
        <w:t> </w:t>
      </w:r>
      <w:r>
        <w:rPr/>
        <w:t>be</w:t>
      </w:r>
      <w:r>
        <w:rPr>
          <w:spacing w:val="-8"/>
        </w:rPr>
        <w:t> </w:t>
      </w:r>
      <w:r>
        <w:rPr/>
        <w:t>deployed</w:t>
      </w:r>
      <w:r>
        <w:rPr>
          <w:spacing w:val="-8"/>
        </w:rPr>
        <w:t> </w:t>
      </w:r>
      <w:r>
        <w:rPr/>
        <w:t>elsewhere;</w:t>
      </w:r>
      <w:r>
        <w:rPr>
          <w:spacing w:val="-8"/>
        </w:rPr>
        <w:t> </w:t>
      </w:r>
      <w:r>
        <w:rPr/>
        <w:t>protocols</w:t>
      </w:r>
      <w:r>
        <w:rPr>
          <w:spacing w:val="-8"/>
        </w:rPr>
        <w:t> </w:t>
      </w:r>
      <w:r>
        <w:rPr/>
        <w:t>forgo</w:t>
      </w:r>
      <w:r>
        <w:rPr>
          <w:spacing w:val="-8"/>
        </w:rPr>
        <w:t> </w:t>
      </w:r>
      <w:r>
        <w:rPr/>
        <w:t>under-collateralized</w:t>
      </w:r>
      <w:r>
        <w:rPr>
          <w:spacing w:val="-8"/>
        </w:rPr>
        <w:t> </w:t>
      </w:r>
      <w:r>
        <w:rPr/>
        <w:t>prod-ucts</w:t>
      </w:r>
      <w:r>
        <w:rPr>
          <w:spacing w:val="-10"/>
        </w:rPr>
        <w:t> </w:t>
      </w:r>
      <w:r>
        <w:rPr/>
        <w:t>that</w:t>
      </w:r>
      <w:r>
        <w:rPr>
          <w:spacing w:val="-10"/>
        </w:rPr>
        <w:t> </w:t>
      </w:r>
      <w:r>
        <w:rPr/>
        <w:t>traditional</w:t>
      </w:r>
      <w:r>
        <w:rPr>
          <w:spacing w:val="-10"/>
        </w:rPr>
        <w:t> </w:t>
      </w:r>
      <w:r>
        <w:rPr/>
        <w:t>finance</w:t>
      </w:r>
      <w:r>
        <w:rPr>
          <w:spacing w:val="-10"/>
        </w:rPr>
        <w:t> </w:t>
      </w:r>
      <w:r>
        <w:rPr/>
        <w:t>offers</w:t>
      </w:r>
      <w:r>
        <w:rPr>
          <w:spacing w:val="-10"/>
        </w:rPr>
        <w:t> </w:t>
      </w:r>
      <w:r>
        <w:rPr/>
        <w:t>to</w:t>
      </w:r>
      <w:r>
        <w:rPr>
          <w:spacing w:val="-10"/>
        </w:rPr>
        <w:t> </w:t>
      </w:r>
      <w:r>
        <w:rPr/>
        <w:t>borrowers</w:t>
      </w:r>
      <w:r>
        <w:rPr>
          <w:spacing w:val="-10"/>
        </w:rPr>
        <w:t> </w:t>
      </w:r>
      <w:r>
        <w:rPr/>
        <w:t>with</w:t>
      </w:r>
      <w:r>
        <w:rPr>
          <w:spacing w:val="-10"/>
        </w:rPr>
        <w:t> </w:t>
      </w:r>
      <w:r>
        <w:rPr/>
        <w:t>established</w:t>
      </w:r>
      <w:r>
        <w:rPr>
          <w:spacing w:val="-10"/>
        </w:rPr>
        <w:t> </w:t>
      </w:r>
      <w:r>
        <w:rPr/>
        <w:t>credit.</w:t>
      </w:r>
      <w:r>
        <w:rPr>
          <w:spacing w:val="14"/>
        </w:rPr>
        <w:t> </w:t>
      </w:r>
      <w:r>
        <w:rPr/>
        <w:t>Researchers</w:t>
      </w:r>
      <w:r>
        <w:rPr>
          <w:spacing w:val="-10"/>
        </w:rPr>
        <w:t> </w:t>
      </w:r>
      <w:r>
        <w:rPr/>
        <w:t>have</w:t>
      </w:r>
      <w:r>
        <w:rPr>
          <w:spacing w:val="-10"/>
        </w:rPr>
        <w:t> </w:t>
      </w:r>
      <w:r>
        <w:rPr/>
        <w:t>therefore explored</w:t>
      </w:r>
      <w:r>
        <w:rPr>
          <w:spacing w:val="-15"/>
        </w:rPr>
        <w:t> </w:t>
      </w:r>
      <w:r>
        <w:rPr/>
        <w:t>on-chain</w:t>
      </w:r>
      <w:r>
        <w:rPr>
          <w:spacing w:val="-15"/>
        </w:rPr>
        <w:t> </w:t>
      </w:r>
      <w:r>
        <w:rPr/>
        <w:t>signals</w:t>
      </w:r>
      <w:r>
        <w:rPr>
          <w:spacing w:val="-15"/>
        </w:rPr>
        <w:t> </w:t>
      </w:r>
      <w:r>
        <w:rPr/>
        <w:t>as</w:t>
      </w:r>
      <w:r>
        <w:rPr>
          <w:spacing w:val="-15"/>
        </w:rPr>
        <w:t> </w:t>
      </w:r>
      <w:r>
        <w:rPr/>
        <w:t>substitutes</w:t>
      </w:r>
      <w:r>
        <w:rPr>
          <w:spacing w:val="-15"/>
        </w:rPr>
        <w:t> </w:t>
      </w:r>
      <w:r>
        <w:rPr/>
        <w:t>for</w:t>
      </w:r>
      <w:r>
        <w:rPr>
          <w:spacing w:val="-15"/>
        </w:rPr>
        <w:t> </w:t>
      </w:r>
      <w:r>
        <w:rPr/>
        <w:t>off-chain</w:t>
      </w:r>
      <w:r>
        <w:rPr>
          <w:spacing w:val="-15"/>
        </w:rPr>
        <w:t> </w:t>
      </w:r>
      <w:r>
        <w:rPr/>
        <w:t>identity:</w:t>
      </w:r>
      <w:r>
        <w:rPr>
          <w:spacing w:val="-15"/>
        </w:rPr>
        <w:t> </w:t>
      </w:r>
      <w:r>
        <w:rPr/>
        <w:t>transfer-graph</w:t>
      </w:r>
      <w:r>
        <w:rPr>
          <w:spacing w:val="-15"/>
        </w:rPr>
        <w:t> </w:t>
      </w:r>
      <w:r>
        <w:rPr/>
        <w:t>centrality</w:t>
      </w:r>
      <w:r>
        <w:rPr>
          <w:spacing w:val="-15"/>
        </w:rPr>
        <w:t> </w:t>
      </w:r>
      <w:hyperlink w:history="true" w:anchor="_bookmark149">
        <w:r>
          <w:rPr>
            <w:vertAlign w:val="superscript"/>
          </w:rPr>
          <w:t>[16]</w:t>
        </w:r>
      </w:hyperlink>
      <w:r>
        <w:rPr>
          <w:vertAlign w:val="baseline"/>
        </w:rPr>
        <w:t>,</w:t>
      </w:r>
      <w:r>
        <w:rPr>
          <w:spacing w:val="-15"/>
          <w:vertAlign w:val="baseline"/>
        </w:rPr>
        <w:t> </w:t>
      </w:r>
      <w:r>
        <w:rPr>
          <w:vertAlign w:val="baseline"/>
        </w:rPr>
        <w:t>network </w:t>
      </w:r>
      <w:r>
        <w:rPr>
          <w:spacing w:val="-2"/>
          <w:vertAlign w:val="baseline"/>
        </w:rPr>
        <w:t>risk</w:t>
      </w:r>
      <w:r>
        <w:rPr>
          <w:spacing w:val="-3"/>
          <w:vertAlign w:val="baseline"/>
        </w:rPr>
        <w:t> </w:t>
      </w:r>
      <w:r>
        <w:rPr>
          <w:spacing w:val="-2"/>
          <w:vertAlign w:val="baseline"/>
        </w:rPr>
        <w:t>propagation</w:t>
      </w:r>
      <w:r>
        <w:rPr>
          <w:spacing w:val="-3"/>
          <w:vertAlign w:val="baseline"/>
        </w:rPr>
        <w:t> </w:t>
      </w:r>
      <w:hyperlink w:history="true" w:anchor="_bookmark177">
        <w:r>
          <w:rPr>
            <w:spacing w:val="-2"/>
            <w:vertAlign w:val="superscript"/>
          </w:rPr>
          <w:t>[44]</w:t>
        </w:r>
      </w:hyperlink>
      <w:r>
        <w:rPr>
          <w:spacing w:val="-2"/>
          <w:vertAlign w:val="baseline"/>
        </w:rPr>
        <w:t>, prospect-theory</w:t>
      </w:r>
      <w:r>
        <w:rPr>
          <w:spacing w:val="-3"/>
          <w:vertAlign w:val="baseline"/>
        </w:rPr>
        <w:t> </w:t>
      </w:r>
      <w:r>
        <w:rPr>
          <w:spacing w:val="-2"/>
          <w:vertAlign w:val="baseline"/>
        </w:rPr>
        <w:t>and</w:t>
      </w:r>
      <w:r>
        <w:rPr>
          <w:spacing w:val="-3"/>
          <w:vertAlign w:val="baseline"/>
        </w:rPr>
        <w:t> </w:t>
      </w:r>
      <w:r>
        <w:rPr>
          <w:spacing w:val="-2"/>
          <w:vertAlign w:val="baseline"/>
        </w:rPr>
        <w:t>blockchain-based</w:t>
      </w:r>
      <w:r>
        <w:rPr>
          <w:spacing w:val="-3"/>
          <w:vertAlign w:val="baseline"/>
        </w:rPr>
        <w:t> </w:t>
      </w:r>
      <w:r>
        <w:rPr>
          <w:spacing w:val="-2"/>
          <w:vertAlign w:val="baseline"/>
        </w:rPr>
        <w:t>credit</w:t>
      </w:r>
      <w:r>
        <w:rPr>
          <w:spacing w:val="-3"/>
          <w:vertAlign w:val="baseline"/>
        </w:rPr>
        <w:t> </w:t>
      </w:r>
      <w:r>
        <w:rPr>
          <w:spacing w:val="-2"/>
          <w:vertAlign w:val="baseline"/>
        </w:rPr>
        <w:t>models</w:t>
      </w:r>
      <w:r>
        <w:rPr>
          <w:spacing w:val="-3"/>
          <w:vertAlign w:val="baseline"/>
        </w:rPr>
        <w:t> </w:t>
      </w:r>
      <w:hyperlink w:history="true" w:anchor="_bookmark162">
        <w:r>
          <w:rPr>
            <w:spacing w:val="-2"/>
            <w:vertAlign w:val="superscript"/>
          </w:rPr>
          <w:t>[29]</w:t>
        </w:r>
      </w:hyperlink>
      <w:r>
        <w:rPr>
          <w:spacing w:val="-2"/>
          <w:vertAlign w:val="baseline"/>
        </w:rPr>
        <w:t>, and</w:t>
      </w:r>
      <w:r>
        <w:rPr>
          <w:spacing w:val="-3"/>
          <w:vertAlign w:val="baseline"/>
        </w:rPr>
        <w:t> </w:t>
      </w:r>
      <w:r>
        <w:rPr>
          <w:spacing w:val="-2"/>
          <w:vertAlign w:val="baseline"/>
        </w:rPr>
        <w:t>machine-learning </w:t>
      </w:r>
      <w:r>
        <w:rPr>
          <w:vertAlign w:val="baseline"/>
        </w:rPr>
        <w:t>pipelines on lending protocols </w:t>
      </w:r>
      <w:hyperlink w:history="true" w:anchor="_bookmark172">
        <w:r>
          <w:rPr>
            <w:vertAlign w:val="superscript"/>
          </w:rPr>
          <w:t>[39]</w:t>
        </w:r>
      </w:hyperlink>
      <w:r>
        <w:rPr>
          <w:vertAlign w:val="baseline"/>
        </w:rPr>
        <w:t>.</w:t>
      </w:r>
      <w:r>
        <w:rPr>
          <w:spacing w:val="40"/>
          <w:vertAlign w:val="baseline"/>
        </w:rPr>
        <w:t> </w:t>
      </w:r>
      <w:r>
        <w:rPr>
          <w:vertAlign w:val="baseline"/>
        </w:rPr>
        <w:t>These approaches share a premise: public ledger data encode economically meaningful relationships that can inform risk assessment without deanonymizing </w:t>
      </w:r>
      <w:r>
        <w:rPr>
          <w:spacing w:val="-2"/>
          <w:vertAlign w:val="baseline"/>
        </w:rPr>
        <w:t>users.</w:t>
      </w:r>
    </w:p>
    <w:p>
      <w:pPr>
        <w:pStyle w:val="BodyText"/>
        <w:spacing w:line="396" w:lineRule="auto" w:before="23"/>
        <w:ind w:left="282" w:right="524"/>
        <w:jc w:val="both"/>
      </w:pPr>
      <w:r>
        <w:rPr>
          <w:i/>
        </w:rPr>
        <w:t>담보는 프로토콜을 보호하지만 자본 비효율성을 초래합니다. 거래자와 차용자는 다른 곳에 배치될 수 있는 자산을 잠가야 하며, 프로토콜에서는 기존 금융이 신용이 확립된 차용자에게 제공하는 과소 담보 상품을 포기합니다. 따라서 연구자들은 전송 그래프 중심성[16], 네트워크 위험 전파[44], 전망 이론 및 블록체인 기반 신용 모델[29], 대출 프로토콜에 대한 기계 학습 파이프라인[39] 등 오프체인 신원을 대체할 수 있는 온체인 신호를 조사했습니다. 이러한 접근 방식은 전제를 공유합니다. 공개 원장 데이터는 사용자를 익명화하지 않고도 위험 평가를 알릴 수 있는 경제적으로 의미 있는 관계를 인코딩합니다.</w:t>
      </w:r>
    </w:p>
    <w:p>
      <w:pPr>
        <w:pStyle w:val="BodyText"/>
        <w:spacing w:line="396" w:lineRule="auto" w:before="22"/>
        <w:ind w:left="282" w:right="522"/>
        <w:jc w:val="both"/>
      </w:pPr>
      <w:r>
        <w:rPr/>
        <w:t>Graph</w:t>
      </w:r>
      <w:r>
        <w:rPr>
          <w:spacing w:val="-15"/>
        </w:rPr>
        <w:t> </w:t>
      </w:r>
      <w:r>
        <w:rPr/>
        <w:t>ranking</w:t>
      </w:r>
      <w:r>
        <w:rPr>
          <w:spacing w:val="-15"/>
        </w:rPr>
        <w:t> </w:t>
      </w:r>
      <w:r>
        <w:rPr/>
        <w:t>methods</w:t>
      </w:r>
      <w:r>
        <w:rPr>
          <w:spacing w:val="-15"/>
        </w:rPr>
        <w:t> </w:t>
      </w:r>
      <w:r>
        <w:rPr/>
        <w:t>are</w:t>
      </w:r>
      <w:r>
        <w:rPr>
          <w:spacing w:val="-15"/>
        </w:rPr>
        <w:t> </w:t>
      </w:r>
      <w:r>
        <w:rPr/>
        <w:t>a</w:t>
      </w:r>
      <w:r>
        <w:rPr>
          <w:spacing w:val="-15"/>
        </w:rPr>
        <w:t> </w:t>
      </w:r>
      <w:r>
        <w:rPr/>
        <w:t>natural</w:t>
      </w:r>
      <w:r>
        <w:rPr>
          <w:spacing w:val="-15"/>
        </w:rPr>
        <w:t> </w:t>
      </w:r>
      <w:r>
        <w:rPr/>
        <w:t>fit</w:t>
      </w:r>
      <w:r>
        <w:rPr>
          <w:spacing w:val="-15"/>
        </w:rPr>
        <w:t> </w:t>
      </w:r>
      <w:r>
        <w:rPr/>
        <w:t>for</w:t>
      </w:r>
      <w:r>
        <w:rPr>
          <w:spacing w:val="-15"/>
        </w:rPr>
        <w:t> </w:t>
      </w:r>
      <w:r>
        <w:rPr/>
        <w:t>this</w:t>
      </w:r>
      <w:r>
        <w:rPr>
          <w:spacing w:val="-15"/>
        </w:rPr>
        <w:t> </w:t>
      </w:r>
      <w:r>
        <w:rPr/>
        <w:t>premise.</w:t>
      </w:r>
      <w:r>
        <w:rPr>
          <w:spacing w:val="10"/>
        </w:rPr>
        <w:t> </w:t>
      </w:r>
      <w:r>
        <w:rPr/>
        <w:t>PageRank</w:t>
      </w:r>
      <w:r>
        <w:rPr>
          <w:spacing w:val="-15"/>
        </w:rPr>
        <w:t> </w:t>
      </w:r>
      <w:r>
        <w:rPr/>
        <w:t>and</w:t>
      </w:r>
      <w:r>
        <w:rPr>
          <w:spacing w:val="-15"/>
        </w:rPr>
        <w:t> </w:t>
      </w:r>
      <w:r>
        <w:rPr/>
        <w:t>its</w:t>
      </w:r>
      <w:r>
        <w:rPr>
          <w:spacing w:val="-15"/>
        </w:rPr>
        <w:t> </w:t>
      </w:r>
      <w:r>
        <w:rPr/>
        <w:t>variants</w:t>
      </w:r>
      <w:r>
        <w:rPr>
          <w:spacing w:val="-15"/>
        </w:rPr>
        <w:t> </w:t>
      </w:r>
      <w:r>
        <w:rPr/>
        <w:t>propagate</w:t>
      </w:r>
      <w:r>
        <w:rPr>
          <w:spacing w:val="-15"/>
        </w:rPr>
        <w:t> </w:t>
      </w:r>
      <w:r>
        <w:rPr/>
        <w:t>influ-ence through directed edges, ranking nodes by recursive endorsement from other nodes </w:t>
      </w:r>
      <w:hyperlink w:history="true" w:anchor="_bookmark141">
        <w:r>
          <w:rPr>
            <w:vertAlign w:val="superscript"/>
          </w:rPr>
          <w:t>[8]</w:t>
        </w:r>
      </w:hyperlink>
      <w:r>
        <w:rPr>
          <w:vertAlign w:val="superscript"/>
        </w:rPr>
        <w:t>,</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baseline"/>
        </w:rPr>
        <w:t>. Early web-trust systems such as EigenTrust and TrustRank applied similar ideas to peer-to-peer</w:t>
      </w:r>
    </w:p>
    <w:p>
      <w:pPr>
        <w:pStyle w:val="BodyText"/>
        <w:spacing w:line="396" w:lineRule="auto" w:before="22"/>
        <w:ind w:left="282" w:right="522"/>
        <w:jc w:val="both"/>
      </w:pPr>
      <w:r>
        <w:rPr>
          <w:i/>
        </w:rPr>
        <w:t>그래프 순위 지정 방법은 이 전제에 자연스럽게 들어맞습니다. PageRank 및 그 변형은 방향성 에지를 통해 영향력을 전파하고 다른 노드의 재귀적 승인을 통해 노드 순위를 매깁니다[8],[40],[49]. EigenTrust 및 TrustRank와 같은 초기 웹 신뢰 시스템은 유사한 아이디어를 P2P에 적용했습니다.</w:t>
      </w:r>
    </w:p>
    <w:p>
      <w:pPr>
        <w:pStyle w:val="BodyText"/>
        <w:spacing w:after="0" w:line="396" w:lineRule="auto"/>
        <w:jc w:val="both"/>
        <w:sectPr>
          <w:pgSz w:w="11910" w:h="16840"/>
          <w:pgMar w:header="0" w:footer="2115" w:top="1920" w:bottom="2300" w:left="992" w:right="708"/>
        </w:sectPr>
      </w:pPr>
    </w:p>
    <w:p>
      <w:pPr>
        <w:pStyle w:val="BodyText"/>
        <w:spacing w:line="396" w:lineRule="auto" w:before="92"/>
        <w:ind w:left="276" w:right="563" w:firstLine="5"/>
        <w:jc w:val="both"/>
      </w:pPr>
      <w:r>
        <w:rPr/>
        <w:t>and web spam settings </w:t>
      </w:r>
      <w:hyperlink w:history="true" w:anchor="_bookmark160">
        <w:r>
          <w:rPr>
            <w:vertAlign w:val="superscript"/>
          </w:rPr>
          <w:t>[27]</w:t>
        </w:r>
      </w:hyperlink>
      <w:r>
        <w:rPr>
          <w:vertAlign w:val="superscript"/>
        </w:rPr>
        <w:t>,</w:t>
      </w:r>
      <w:hyperlink w:history="true" w:anchor="_bookmark168">
        <w:r>
          <w:rPr>
            <w:vertAlign w:val="superscript"/>
          </w:rPr>
          <w:t>[35]</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vertAlign w:val="baseline"/>
        </w:rPr>
        <w:t> adapt PageRank to Ethereum transfer graphs with value-weighted,</w:t>
      </w:r>
      <w:r>
        <w:rPr>
          <w:spacing w:val="-15"/>
          <w:vertAlign w:val="baseline"/>
        </w:rPr>
        <w:t> </w:t>
      </w:r>
      <w:r>
        <w:rPr>
          <w:vertAlign w:val="baseline"/>
        </w:rPr>
        <w:t>time-decayed</w:t>
      </w:r>
      <w:r>
        <w:rPr>
          <w:spacing w:val="-15"/>
          <w:vertAlign w:val="baseline"/>
        </w:rPr>
        <w:t> </w:t>
      </w:r>
      <w:r>
        <w:rPr>
          <w:vertAlign w:val="baseline"/>
        </w:rPr>
        <w:t>edges—Adaptive</w:t>
      </w:r>
      <w:r>
        <w:rPr>
          <w:spacing w:val="-15"/>
          <w:vertAlign w:val="baseline"/>
        </w:rPr>
        <w:t> </w:t>
      </w:r>
      <w:r>
        <w:rPr>
          <w:vertAlign w:val="baseline"/>
        </w:rPr>
        <w:t>Weighted</w:t>
      </w:r>
      <w:r>
        <w:rPr>
          <w:spacing w:val="-15"/>
          <w:vertAlign w:val="baseline"/>
        </w:rPr>
        <w:t> </w:t>
      </w:r>
      <w:r>
        <w:rPr>
          <w:vertAlign w:val="baseline"/>
        </w:rPr>
        <w:t>PageRank</w:t>
      </w:r>
      <w:r>
        <w:rPr>
          <w:spacing w:val="-15"/>
          <w:vertAlign w:val="baseline"/>
        </w:rPr>
        <w:t> </w:t>
      </w:r>
      <w:r>
        <w:rPr>
          <w:vertAlign w:val="baseline"/>
        </w:rPr>
        <w:t>(AWP)—and</w:t>
      </w:r>
      <w:r>
        <w:rPr>
          <w:spacing w:val="-15"/>
          <w:vertAlign w:val="baseline"/>
        </w:rPr>
        <w:t> </w:t>
      </w:r>
      <w:r>
        <w:rPr>
          <w:vertAlign w:val="baseline"/>
        </w:rPr>
        <w:t>validate</w:t>
      </w:r>
      <w:r>
        <w:rPr>
          <w:spacing w:val="-15"/>
          <w:vertAlign w:val="baseline"/>
        </w:rPr>
        <w:t> </w:t>
      </w:r>
      <w:r>
        <w:rPr>
          <w:vertAlign w:val="baseline"/>
        </w:rPr>
        <w:t>scores against inbound transfer volume as a domain-intuition proxy for economic importance.</w:t>
      </w:r>
      <w:r>
        <w:rPr>
          <w:spacing w:val="35"/>
          <w:vertAlign w:val="baseline"/>
        </w:rPr>
        <w:t> </w:t>
      </w:r>
      <w:r>
        <w:rPr>
          <w:vertAlign w:val="baseline"/>
        </w:rPr>
        <w:t>That line of work establishes transfer-graph reputation as a credible baseline; it does not, however, model explicit</w:t>
      </w:r>
      <w:r>
        <w:rPr>
          <w:spacing w:val="4"/>
          <w:vertAlign w:val="baseline"/>
        </w:rPr>
        <w:t> </w:t>
      </w:r>
      <w:r>
        <w:rPr>
          <w:vertAlign w:val="baseline"/>
        </w:rPr>
        <w:t>spending</w:t>
      </w:r>
      <w:r>
        <w:rPr>
          <w:spacing w:val="5"/>
          <w:vertAlign w:val="baseline"/>
        </w:rPr>
        <w:t> </w:t>
      </w:r>
      <w:r>
        <w:rPr>
          <w:vertAlign w:val="baseline"/>
        </w:rPr>
        <w:t>authorization,</w:t>
      </w:r>
      <w:r>
        <w:rPr>
          <w:spacing w:val="7"/>
          <w:vertAlign w:val="baseline"/>
        </w:rPr>
        <w:t> </w:t>
      </w:r>
      <w:r>
        <w:rPr>
          <w:vertAlign w:val="baseline"/>
        </w:rPr>
        <w:t>which</w:t>
      </w:r>
      <w:r>
        <w:rPr>
          <w:spacing w:val="5"/>
          <w:vertAlign w:val="baseline"/>
        </w:rPr>
        <w:t> </w:t>
      </w:r>
      <w:r>
        <w:rPr>
          <w:vertAlign w:val="baseline"/>
        </w:rPr>
        <w:t>is</w:t>
      </w:r>
      <w:r>
        <w:rPr>
          <w:spacing w:val="5"/>
          <w:vertAlign w:val="baseline"/>
        </w:rPr>
        <w:t> </w:t>
      </w:r>
      <w:r>
        <w:rPr>
          <w:vertAlign w:val="baseline"/>
        </w:rPr>
        <w:t>a</w:t>
      </w:r>
      <w:r>
        <w:rPr>
          <w:spacing w:val="6"/>
          <w:vertAlign w:val="baseline"/>
        </w:rPr>
        <w:t> </w:t>
      </w:r>
      <w:r>
        <w:rPr>
          <w:vertAlign w:val="baseline"/>
        </w:rPr>
        <w:t>distinct</w:t>
      </w:r>
      <w:r>
        <w:rPr>
          <w:spacing w:val="4"/>
          <w:vertAlign w:val="baseline"/>
        </w:rPr>
        <w:t> </w:t>
      </w:r>
      <w:r>
        <w:rPr>
          <w:vertAlign w:val="baseline"/>
        </w:rPr>
        <w:t>on-chain</w:t>
      </w:r>
      <w:r>
        <w:rPr>
          <w:spacing w:val="5"/>
          <w:vertAlign w:val="baseline"/>
        </w:rPr>
        <w:t> </w:t>
      </w:r>
      <w:r>
        <w:rPr>
          <w:vertAlign w:val="baseline"/>
        </w:rPr>
        <w:t>act</w:t>
      </w:r>
      <w:r>
        <w:rPr>
          <w:spacing w:val="6"/>
          <w:vertAlign w:val="baseline"/>
        </w:rPr>
        <w:t> </w:t>
      </w:r>
      <w:r>
        <w:rPr>
          <w:vertAlign w:val="baseline"/>
        </w:rPr>
        <w:t>recorded</w:t>
      </w:r>
      <w:r>
        <w:rPr>
          <w:spacing w:val="4"/>
          <w:vertAlign w:val="baseline"/>
        </w:rPr>
        <w:t> </w:t>
      </w:r>
      <w:r>
        <w:rPr>
          <w:vertAlign w:val="baseline"/>
        </w:rPr>
        <w:t>by</w:t>
      </w:r>
      <w:r>
        <w:rPr>
          <w:spacing w:val="5"/>
          <w:vertAlign w:val="baseline"/>
        </w:rPr>
        <w:t> </w:t>
      </w:r>
      <w:r>
        <w:rPr>
          <w:vertAlign w:val="baseline"/>
        </w:rPr>
        <w:t>ERC-20</w:t>
      </w:r>
      <w:r>
        <w:rPr>
          <w:spacing w:val="5"/>
          <w:vertAlign w:val="baseline"/>
        </w:rPr>
        <w:t> </w:t>
      </w:r>
      <w:r>
        <w:rPr>
          <w:spacing w:val="-2"/>
          <w:vertAlign w:val="baseline"/>
        </w:rPr>
        <w:t>allowances</w:t>
      </w:r>
    </w:p>
    <w:p>
      <w:pPr>
        <w:pStyle w:val="BodyText"/>
        <w:spacing w:line="396" w:lineRule="auto" w:before="92"/>
        <w:ind w:left="276" w:right="563" w:firstLine="5"/>
        <w:jc w:val="both"/>
      </w:pPr>
      <w:r>
        <w:rPr>
          <w:i/>
        </w:rPr>
        <w:t>및 웹 스팸 설정 [27],[35]. Do 등[16] PageRank를 가치 가중치, 시간 감소 에지(Adaptive Weighted PageRank(AWP))가 있는 이더리움 전송 그래프에 적용하고 경제적 중요성에 대한 도메인 직관 프록시로서 인바운드 전송 볼륨에 대한 점수를 검증합니다. 해당 작업 라인은 신뢰할 수 있는 기준으로 전송 그래프 평판을 설정하지만 ERC-20 수당에 의해 기록된 별개의 온체인 행위인 명시적인 지출 승인을 모델링하지는 않습니다.</w:t>
      </w:r>
    </w:p>
    <w:p>
      <w:pPr>
        <w:spacing w:line="151" w:lineRule="auto" w:before="42"/>
        <w:ind w:left="282" w:right="0" w:firstLine="0"/>
        <w:jc w:val="left"/>
        <w:rPr>
          <w:position w:val="-8"/>
          <w:sz w:val="24"/>
        </w:rPr>
      </w:pPr>
      <w:hyperlink w:history="true" w:anchor="_bookmark151">
        <w:r>
          <w:rPr>
            <w:spacing w:val="-2"/>
            <w:sz w:val="16"/>
          </w:rPr>
          <w:t>[18]</w:t>
        </w:r>
      </w:hyperlink>
      <w:r>
        <w:rPr>
          <w:spacing w:val="-2"/>
          <w:sz w:val="16"/>
        </w:rPr>
        <w:t>,</w:t>
      </w:r>
      <w:hyperlink w:history="true" w:anchor="_bookmark152">
        <w:r>
          <w:rPr>
            <w:spacing w:val="-2"/>
            <w:sz w:val="16"/>
          </w:rPr>
          <w:t>[19]</w:t>
        </w:r>
        <w:bookmarkStart w:name="Motivation for on-chain reputation" w:id="9"/>
        <w:bookmarkEnd w:id="9"/>
        <w:r>
          <w:rPr>
            <w:spacing w:val="9"/>
            <w:sz w:val="16"/>
          </w:rPr>
        </w:r>
        <w:bookmarkStart w:name="_bookmark6" w:id="10"/>
        <w:bookmarkEnd w:id="10"/>
        <w:r>
          <w:rPr>
            <w:spacing w:val="9"/>
            <w:sz w:val="16"/>
          </w:rPr>
        </w:r>
      </w:hyperlink>
      <w:r>
        <w:rPr>
          <w:spacing w:val="-2"/>
          <w:position w:val="-8"/>
          <w:sz w:val="24"/>
        </w:rPr>
        <w:t>.</w:t>
      </w:r>
    </w:p>
    <w:p>
      <w:pPr>
        <w:pStyle w:val="BodyText"/>
        <w:rPr>
          <w:sz w:val="16"/>
        </w:rPr>
      </w:pPr>
    </w:p>
    <w:p>
      <w:pPr>
        <w:pStyle w:val="BodyText"/>
        <w:rPr>
          <w:sz w:val="16"/>
        </w:rPr>
      </w:pPr>
    </w:p>
    <w:p>
      <w:pPr>
        <w:pStyle w:val="BodyText"/>
        <w:spacing w:before="110"/>
        <w:rPr>
          <w:sz w:val="16"/>
        </w:rPr>
      </w:pPr>
    </w:p>
    <w:p>
      <w:pPr>
        <w:pStyle w:val="Heading2"/>
        <w:numPr>
          <w:ilvl w:val="1"/>
          <w:numId w:val="8"/>
        </w:numPr>
        <w:tabs>
          <w:tab w:pos="783" w:val="left" w:leader="none"/>
        </w:tabs>
        <w:spacing w:line="240" w:lineRule="auto" w:before="0" w:after="0"/>
        <w:ind w:left="783" w:right="0" w:hanging="501"/>
        <w:jc w:val="left"/>
      </w:pPr>
      <w:r>
        <w:rPr/>
        <w:t>Motivation</w:t>
      </w:r>
      <w:r>
        <w:rPr>
          <w:spacing w:val="13"/>
        </w:rPr>
        <w:t> </w:t>
      </w:r>
      <w:r>
        <w:rPr/>
        <w:t>for</w:t>
      </w:r>
      <w:r>
        <w:rPr>
          <w:spacing w:val="14"/>
        </w:rPr>
        <w:t> </w:t>
      </w:r>
      <w:r>
        <w:rPr/>
        <w:t>on-chain</w:t>
      </w:r>
      <w:r>
        <w:rPr>
          <w:spacing w:val="14"/>
        </w:rPr>
        <w:t> </w:t>
      </w:r>
      <w:r>
        <w:rPr>
          <w:spacing w:val="-2"/>
        </w:rPr>
        <w:t>reputation</w:t>
      </w:r>
    </w:p>
    <w:p>
      <w:pPr>
        <w:pStyle w:val="Heading2"/>
        <w:numPr>
          <w:ilvl w:val="1"/>
          <w:numId w:val="8"/>
        </w:numPr>
        <w:tabs>
          <w:tab w:pos="783" w:val="left" w:leader="none"/>
        </w:tabs>
        <w:spacing w:line="240" w:lineRule="auto" w:before="0" w:after="0"/>
        <w:ind w:left="783" w:right="0" w:hanging="501"/>
        <w:jc w:val="left"/>
      </w:pPr>
      <w:r>
        <w:rPr>
          <w:i/>
        </w:rPr>
        <w:t>온체인 평판을 위한 동기</w:t>
      </w:r>
    </w:p>
    <w:p>
      <w:pPr>
        <w:pStyle w:val="BodyText"/>
        <w:spacing w:before="24"/>
        <w:rPr>
          <w:b/>
          <w:sz w:val="28"/>
        </w:rPr>
      </w:pPr>
    </w:p>
    <w:p>
      <w:pPr>
        <w:pStyle w:val="BodyText"/>
        <w:ind w:left="282"/>
        <w:jc w:val="both"/>
      </w:pPr>
      <w:r>
        <w:rPr/>
        <w:t>Four</w:t>
      </w:r>
      <w:r>
        <w:rPr>
          <w:spacing w:val="-10"/>
        </w:rPr>
        <w:t> </w:t>
      </w:r>
      <w:r>
        <w:rPr/>
        <w:t>practical</w:t>
      </w:r>
      <w:r>
        <w:rPr>
          <w:spacing w:val="-9"/>
        </w:rPr>
        <w:t> </w:t>
      </w:r>
      <w:r>
        <w:rPr/>
        <w:t>pressures</w:t>
      </w:r>
      <w:r>
        <w:rPr>
          <w:spacing w:val="-10"/>
        </w:rPr>
        <w:t> </w:t>
      </w:r>
      <w:r>
        <w:rPr/>
        <w:t>motivate</w:t>
      </w:r>
      <w:r>
        <w:rPr>
          <w:spacing w:val="-9"/>
        </w:rPr>
        <w:t> </w:t>
      </w:r>
      <w:r>
        <w:rPr/>
        <w:t>on-chain</w:t>
      </w:r>
      <w:r>
        <w:rPr>
          <w:spacing w:val="-9"/>
        </w:rPr>
        <w:t> </w:t>
      </w:r>
      <w:r>
        <w:rPr/>
        <w:t>reputation</w:t>
      </w:r>
      <w:r>
        <w:rPr>
          <w:spacing w:val="-10"/>
        </w:rPr>
        <w:t> </w:t>
      </w:r>
      <w:r>
        <w:rPr/>
        <w:t>research</w:t>
      </w:r>
      <w:r>
        <w:rPr>
          <w:spacing w:val="-9"/>
        </w:rPr>
        <w:t> </w:t>
      </w:r>
      <w:r>
        <w:rPr/>
        <w:t>in</w:t>
      </w:r>
      <w:r>
        <w:rPr>
          <w:spacing w:val="-10"/>
        </w:rPr>
        <w:t> </w:t>
      </w:r>
      <w:r>
        <w:rPr/>
        <w:t>leveraged</w:t>
      </w:r>
      <w:r>
        <w:rPr>
          <w:spacing w:val="-9"/>
        </w:rPr>
        <w:t> </w:t>
      </w:r>
      <w:r>
        <w:rPr>
          <w:spacing w:val="-2"/>
        </w:rPr>
        <w:t>DeFi.</w:t>
      </w:r>
    </w:p>
    <w:p>
      <w:pPr>
        <w:pStyle w:val="BodyText"/>
        <w:ind w:left="282"/>
        <w:jc w:val="both"/>
      </w:pPr>
      <w:r>
        <w:rPr>
          <w:i/>
        </w:rPr>
        <w:t>네 가지 실질적인 압력이 DeFi를 활용한 온체인 평판 연구에 동기를 부여합니다.</w:t>
      </w:r>
    </w:p>
    <w:p>
      <w:pPr>
        <w:pStyle w:val="ListParagraph"/>
        <w:numPr>
          <w:ilvl w:val="0"/>
          <w:numId w:val="9"/>
        </w:numPr>
        <w:tabs>
          <w:tab w:pos="806" w:val="left" w:leader="none"/>
          <w:tab w:pos="808" w:val="left" w:leader="none"/>
        </w:tabs>
        <w:spacing w:line="393" w:lineRule="auto" w:before="240" w:after="0"/>
        <w:ind w:left="808" w:right="523" w:hanging="216"/>
        <w:jc w:val="both"/>
        <w:rPr>
          <w:position w:val="-8"/>
          <w:sz w:val="24"/>
        </w:rPr>
      </w:pPr>
      <w:r>
        <w:rPr>
          <w:b/>
          <w:sz w:val="24"/>
        </w:rPr>
        <w:t>Capital</w:t>
      </w:r>
      <w:r>
        <w:rPr>
          <w:b/>
          <w:spacing w:val="-9"/>
          <w:sz w:val="24"/>
        </w:rPr>
        <w:t> </w:t>
      </w:r>
      <w:r>
        <w:rPr>
          <w:b/>
          <w:sz w:val="24"/>
        </w:rPr>
        <w:t>efficiency: </w:t>
      </w:r>
      <w:r>
        <w:rPr>
          <w:sz w:val="24"/>
        </w:rPr>
        <w:t>protocols</w:t>
      </w:r>
      <w:r>
        <w:rPr>
          <w:spacing w:val="-9"/>
          <w:sz w:val="24"/>
        </w:rPr>
        <w:t> </w:t>
      </w:r>
      <w:r>
        <w:rPr>
          <w:sz w:val="24"/>
        </w:rPr>
        <w:t>seek</w:t>
      </w:r>
      <w:r>
        <w:rPr>
          <w:spacing w:val="-9"/>
          <w:sz w:val="24"/>
        </w:rPr>
        <w:t> </w:t>
      </w:r>
      <w:r>
        <w:rPr>
          <w:sz w:val="24"/>
        </w:rPr>
        <w:t>ordinal</w:t>
      </w:r>
      <w:r>
        <w:rPr>
          <w:spacing w:val="-9"/>
          <w:sz w:val="24"/>
        </w:rPr>
        <w:t> </w:t>
      </w:r>
      <w:r>
        <w:rPr>
          <w:sz w:val="24"/>
        </w:rPr>
        <w:t>signals</w:t>
      </w:r>
      <w:r>
        <w:rPr>
          <w:spacing w:val="-9"/>
          <w:sz w:val="24"/>
        </w:rPr>
        <w:t> </w:t>
      </w:r>
      <w:r>
        <w:rPr>
          <w:sz w:val="24"/>
        </w:rPr>
        <w:t>that</w:t>
      </w:r>
      <w:r>
        <w:rPr>
          <w:spacing w:val="-9"/>
          <w:sz w:val="24"/>
        </w:rPr>
        <w:t> </w:t>
      </w:r>
      <w:r>
        <w:rPr>
          <w:sz w:val="24"/>
        </w:rPr>
        <w:t>could</w:t>
      </w:r>
      <w:r>
        <w:rPr>
          <w:spacing w:val="-9"/>
          <w:sz w:val="24"/>
        </w:rPr>
        <w:t> </w:t>
      </w:r>
      <w:r>
        <w:rPr>
          <w:sz w:val="24"/>
        </w:rPr>
        <w:t>support</w:t>
      </w:r>
      <w:r>
        <w:rPr>
          <w:spacing w:val="-9"/>
          <w:sz w:val="24"/>
        </w:rPr>
        <w:t> </w:t>
      </w:r>
      <w:r>
        <w:rPr>
          <w:sz w:val="24"/>
        </w:rPr>
        <w:t>differentiated</w:t>
      </w:r>
      <w:r>
        <w:rPr>
          <w:spacing w:val="-9"/>
          <w:sz w:val="24"/>
        </w:rPr>
        <w:t> </w:t>
      </w:r>
      <w:r>
        <w:rPr>
          <w:sz w:val="24"/>
        </w:rPr>
        <w:t>service—for</w:t>
      </w:r>
      <w:r>
        <w:rPr>
          <w:spacing w:val="-7"/>
          <w:sz w:val="24"/>
        </w:rPr>
        <w:t> </w:t>
      </w:r>
      <w:r>
        <w:rPr>
          <w:sz w:val="24"/>
        </w:rPr>
        <w:t>example,</w:t>
      </w:r>
      <w:r>
        <w:rPr>
          <w:spacing w:val="-7"/>
          <w:sz w:val="24"/>
        </w:rPr>
        <w:t> </w:t>
      </w:r>
      <w:r>
        <w:rPr>
          <w:sz w:val="24"/>
        </w:rPr>
        <w:t>limit-increase</w:t>
      </w:r>
      <w:r>
        <w:rPr>
          <w:spacing w:val="-7"/>
          <w:sz w:val="24"/>
        </w:rPr>
        <w:t> </w:t>
      </w:r>
      <w:r>
        <w:rPr>
          <w:sz w:val="24"/>
        </w:rPr>
        <w:t>cadence,</w:t>
      </w:r>
      <w:r>
        <w:rPr>
          <w:spacing w:val="-7"/>
          <w:sz w:val="24"/>
        </w:rPr>
        <w:t> </w:t>
      </w:r>
      <w:r>
        <w:rPr>
          <w:sz w:val="24"/>
        </w:rPr>
        <w:t>fee</w:t>
      </w:r>
      <w:r>
        <w:rPr>
          <w:spacing w:val="-7"/>
          <w:sz w:val="24"/>
        </w:rPr>
        <w:t> </w:t>
      </w:r>
      <w:r>
        <w:rPr>
          <w:sz w:val="24"/>
        </w:rPr>
        <w:t>tiers,</w:t>
      </w:r>
      <w:r>
        <w:rPr>
          <w:spacing w:val="-6"/>
          <w:sz w:val="24"/>
        </w:rPr>
        <w:t> </w:t>
      </w:r>
      <w:r>
        <w:rPr>
          <w:sz w:val="24"/>
        </w:rPr>
        <w:t>or</w:t>
      </w:r>
      <w:r>
        <w:rPr>
          <w:spacing w:val="-7"/>
          <w:sz w:val="24"/>
        </w:rPr>
        <w:t> </w:t>
      </w:r>
      <w:r>
        <w:rPr>
          <w:sz w:val="24"/>
        </w:rPr>
        <w:t>monitoring</w:t>
      </w:r>
      <w:r>
        <w:rPr>
          <w:spacing w:val="-7"/>
          <w:sz w:val="24"/>
        </w:rPr>
        <w:t> </w:t>
      </w:r>
      <w:r>
        <w:rPr>
          <w:sz w:val="24"/>
        </w:rPr>
        <w:t>priority—and,</w:t>
      </w:r>
      <w:r>
        <w:rPr>
          <w:spacing w:val="-7"/>
          <w:sz w:val="24"/>
        </w:rPr>
        <w:t> </w:t>
      </w:r>
      <w:r>
        <w:rPr>
          <w:sz w:val="24"/>
        </w:rPr>
        <w:t>only</w:t>
      </w:r>
      <w:r>
        <w:rPr>
          <w:spacing w:val="-7"/>
          <w:sz w:val="24"/>
        </w:rPr>
        <w:t> </w:t>
      </w:r>
      <w:r>
        <w:rPr>
          <w:sz w:val="24"/>
        </w:rPr>
        <w:t>under</w:t>
      </w:r>
      <w:r>
        <w:rPr>
          <w:spacing w:val="-7"/>
          <w:sz w:val="24"/>
        </w:rPr>
        <w:t> </w:t>
      </w:r>
      <w:r>
        <w:rPr>
          <w:sz w:val="24"/>
        </w:rPr>
        <w:t>future controlled experiments, modest collateral differentiation, while preserving on-chain settle-</w:t>
      </w:r>
      <w:r>
        <w:rPr>
          <w:position w:val="-8"/>
          <w:sz w:val="24"/>
        </w:rPr>
        <w:t>ment </w:t>
      </w:r>
      <w:hyperlink w:history="true" w:anchor="_bookmark159">
        <w:r>
          <w:rPr>
            <w:sz w:val="16"/>
          </w:rPr>
          <w:t>[26]</w:t>
        </w:r>
      </w:hyperlink>
      <w:r>
        <w:rPr>
          <w:sz w:val="16"/>
        </w:rPr>
        <w:t>,</w:t>
      </w:r>
      <w:hyperlink w:history="true" w:anchor="_bookmark186">
        <w:r>
          <w:rPr>
            <w:sz w:val="16"/>
          </w:rPr>
          <w:t>[53]</w:t>
        </w:r>
      </w:hyperlink>
      <w:r>
        <w:rPr>
          <w:position w:val="-8"/>
          <w:sz w:val="24"/>
        </w:rPr>
        <w:t>.</w:t>
      </w:r>
    </w:p>
    <w:p>
      <w:pPr>
        <w:pStyle w:val="ListParagraph"/>
        <w:numPr>
          <w:ilvl w:val="0"/>
          <w:numId w:val="9"/>
        </w:numPr>
        <w:tabs>
          <w:tab w:pos="806" w:val="left" w:leader="none"/>
          <w:tab w:pos="808" w:val="left" w:leader="none"/>
        </w:tabs>
        <w:spacing w:line="393" w:lineRule="auto" w:before="240" w:after="0"/>
        <w:ind w:left="808" w:right="523" w:hanging="216"/>
        <w:jc w:val="both"/>
        <w:rPr>
          <w:position w:val="-8"/>
          <w:sz w:val="24"/>
        </w:rPr>
      </w:pPr>
      <w:r>
        <w:rPr>
          <w:i/>
        </w:rPr>
        <w:t>자본 효율성: 프로토콜은 차별화된 서비스(예: 한도 증가 흐름, 수수료 계층 또는 모니터링 우선 순위)를 지원할 수 있는 순서 신호를 찾고, 온체인 결제를 유지하면서 향후 제어 실험에서만 적당한 부차적 차별화를 추구합니다[26],[53].</w:t>
      </w:r>
    </w:p>
    <w:p>
      <w:pPr>
        <w:pStyle w:val="ListParagraph"/>
        <w:numPr>
          <w:ilvl w:val="0"/>
          <w:numId w:val="9"/>
        </w:numPr>
        <w:tabs>
          <w:tab w:pos="797" w:val="left" w:leader="none"/>
          <w:tab w:pos="808" w:val="left" w:leader="none"/>
        </w:tabs>
        <w:spacing w:line="396" w:lineRule="auto" w:before="37" w:after="0"/>
        <w:ind w:left="808" w:right="563" w:hanging="216"/>
        <w:jc w:val="both"/>
        <w:rPr>
          <w:sz w:val="24"/>
        </w:rPr>
      </w:pPr>
      <w:r>
        <w:rPr>
          <w:b/>
          <w:sz w:val="24"/>
        </w:rPr>
        <w:t>Auditability: </w:t>
      </w:r>
      <w:r>
        <w:rPr>
          <w:sz w:val="24"/>
        </w:rPr>
        <w:t>unlike</w:t>
      </w:r>
      <w:r>
        <w:rPr>
          <w:spacing w:val="-7"/>
          <w:sz w:val="24"/>
        </w:rPr>
        <w:t> </w:t>
      </w:r>
      <w:r>
        <w:rPr>
          <w:sz w:val="24"/>
        </w:rPr>
        <w:t>opaque</w:t>
      </w:r>
      <w:r>
        <w:rPr>
          <w:spacing w:val="-7"/>
          <w:sz w:val="24"/>
        </w:rPr>
        <w:t> </w:t>
      </w:r>
      <w:r>
        <w:rPr>
          <w:sz w:val="24"/>
        </w:rPr>
        <w:t>off-chain</w:t>
      </w:r>
      <w:r>
        <w:rPr>
          <w:spacing w:val="-7"/>
          <w:sz w:val="24"/>
        </w:rPr>
        <w:t> </w:t>
      </w:r>
      <w:r>
        <w:rPr>
          <w:sz w:val="24"/>
        </w:rPr>
        <w:t>credit</w:t>
      </w:r>
      <w:r>
        <w:rPr>
          <w:spacing w:val="-7"/>
          <w:sz w:val="24"/>
        </w:rPr>
        <w:t> </w:t>
      </w:r>
      <w:r>
        <w:rPr>
          <w:sz w:val="24"/>
        </w:rPr>
        <w:t>scores,</w:t>
      </w:r>
      <w:r>
        <w:rPr>
          <w:spacing w:val="-7"/>
          <w:sz w:val="24"/>
        </w:rPr>
        <w:t> </w:t>
      </w:r>
      <w:r>
        <w:rPr>
          <w:sz w:val="24"/>
        </w:rPr>
        <w:t>graph-based</w:t>
      </w:r>
      <w:r>
        <w:rPr>
          <w:spacing w:val="-7"/>
          <w:sz w:val="24"/>
        </w:rPr>
        <w:t> </w:t>
      </w:r>
      <w:r>
        <w:rPr>
          <w:sz w:val="24"/>
        </w:rPr>
        <w:t>scores</w:t>
      </w:r>
      <w:r>
        <w:rPr>
          <w:spacing w:val="-7"/>
          <w:sz w:val="24"/>
        </w:rPr>
        <w:t> </w:t>
      </w:r>
      <w:r>
        <w:rPr>
          <w:sz w:val="24"/>
        </w:rPr>
        <w:t>derived</w:t>
      </w:r>
      <w:r>
        <w:rPr>
          <w:spacing w:val="-7"/>
          <w:sz w:val="24"/>
        </w:rPr>
        <w:t> </w:t>
      </w:r>
      <w:r>
        <w:rPr>
          <w:sz w:val="24"/>
        </w:rPr>
        <w:t>from</w:t>
      </w:r>
      <w:r>
        <w:rPr>
          <w:spacing w:val="-7"/>
          <w:sz w:val="24"/>
        </w:rPr>
        <w:t> </w:t>
      </w:r>
      <w:r>
        <w:rPr>
          <w:sz w:val="24"/>
        </w:rPr>
        <w:t>public events</w:t>
      </w:r>
      <w:r>
        <w:rPr>
          <w:spacing w:val="-8"/>
          <w:sz w:val="24"/>
        </w:rPr>
        <w:t> </w:t>
      </w:r>
      <w:r>
        <w:rPr>
          <w:sz w:val="24"/>
        </w:rPr>
        <w:t>can</w:t>
      </w:r>
      <w:r>
        <w:rPr>
          <w:spacing w:val="-8"/>
          <w:sz w:val="24"/>
        </w:rPr>
        <w:t> </w:t>
      </w:r>
      <w:r>
        <w:rPr>
          <w:sz w:val="24"/>
        </w:rPr>
        <w:t>be</w:t>
      </w:r>
      <w:r>
        <w:rPr>
          <w:spacing w:val="-8"/>
          <w:sz w:val="24"/>
        </w:rPr>
        <w:t> </w:t>
      </w:r>
      <w:r>
        <w:rPr>
          <w:sz w:val="24"/>
        </w:rPr>
        <w:t>recomputed</w:t>
      </w:r>
      <w:r>
        <w:rPr>
          <w:spacing w:val="-8"/>
          <w:sz w:val="24"/>
        </w:rPr>
        <w:t> </w:t>
      </w:r>
      <w:r>
        <w:rPr>
          <w:sz w:val="24"/>
        </w:rPr>
        <w:t>and</w:t>
      </w:r>
      <w:r>
        <w:rPr>
          <w:spacing w:val="-8"/>
          <w:sz w:val="24"/>
        </w:rPr>
        <w:t> </w:t>
      </w:r>
      <w:r>
        <w:rPr>
          <w:sz w:val="24"/>
        </w:rPr>
        <w:t>inspected,</w:t>
      </w:r>
      <w:r>
        <w:rPr>
          <w:spacing w:val="-8"/>
          <w:sz w:val="24"/>
        </w:rPr>
        <w:t> </w:t>
      </w:r>
      <w:r>
        <w:rPr>
          <w:sz w:val="24"/>
        </w:rPr>
        <w:t>addressing</w:t>
      </w:r>
      <w:r>
        <w:rPr>
          <w:spacing w:val="-8"/>
          <w:sz w:val="24"/>
        </w:rPr>
        <w:t> </w:t>
      </w:r>
      <w:r>
        <w:rPr>
          <w:sz w:val="24"/>
        </w:rPr>
        <w:t>concerns</w:t>
      </w:r>
      <w:r>
        <w:rPr>
          <w:spacing w:val="-8"/>
          <w:sz w:val="24"/>
        </w:rPr>
        <w:t> </w:t>
      </w:r>
      <w:r>
        <w:rPr>
          <w:sz w:val="24"/>
        </w:rPr>
        <w:t>about</w:t>
      </w:r>
      <w:r>
        <w:rPr>
          <w:spacing w:val="-8"/>
          <w:sz w:val="24"/>
        </w:rPr>
        <w:t> </w:t>
      </w:r>
      <w:r>
        <w:rPr>
          <w:sz w:val="24"/>
        </w:rPr>
        <w:t>black-box</w:t>
      </w:r>
      <w:r>
        <w:rPr>
          <w:spacing w:val="-8"/>
          <w:sz w:val="24"/>
        </w:rPr>
        <w:t> </w:t>
      </w:r>
      <w:r>
        <w:rPr>
          <w:sz w:val="24"/>
        </w:rPr>
        <w:t>decentralized credit scoring </w:t>
      </w:r>
      <w:hyperlink w:history="true" w:anchor="_bookmark181">
        <w:r>
          <w:rPr>
            <w:sz w:val="24"/>
            <w:vertAlign w:val="superscript"/>
          </w:rPr>
          <w:t>[48]</w:t>
        </w:r>
      </w:hyperlink>
      <w:r>
        <w:rPr>
          <w:sz w:val="24"/>
          <w:vertAlign w:val="baseline"/>
        </w:rPr>
        <w:t>.</w:t>
      </w:r>
    </w:p>
    <w:p>
      <w:pPr>
        <w:pStyle w:val="ListParagraph"/>
        <w:numPr>
          <w:ilvl w:val="0"/>
          <w:numId w:val="9"/>
        </w:numPr>
        <w:tabs>
          <w:tab w:pos="797" w:val="left" w:leader="none"/>
          <w:tab w:pos="808" w:val="left" w:leader="none"/>
        </w:tabs>
        <w:spacing w:line="396" w:lineRule="auto" w:before="37" w:after="0"/>
        <w:ind w:left="808" w:right="563" w:hanging="216"/>
        <w:jc w:val="both"/>
        <w:rPr>
          <w:sz w:val="24"/>
        </w:rPr>
      </w:pPr>
      <w:r>
        <w:rPr>
          <w:i/>
        </w:rPr>
        <w:t>감사 가능성: 불투명한 오프체인 신용 점수와 달리 공개 이벤트에서 파생된 그래프 기반 점수를 다시 계산하고 검사할 수 있어 블랙박스 분산형 신용 점수에 대한 우려를 해결할 수 있습니다[48].</w:t>
      </w:r>
    </w:p>
    <w:p>
      <w:pPr>
        <w:pStyle w:val="ListParagraph"/>
        <w:numPr>
          <w:ilvl w:val="0"/>
          <w:numId w:val="9"/>
        </w:numPr>
        <w:tabs>
          <w:tab w:pos="806" w:val="left" w:leader="none"/>
          <w:tab w:pos="808" w:val="left" w:leader="none"/>
        </w:tabs>
        <w:spacing w:line="396" w:lineRule="auto" w:before="40" w:after="0"/>
        <w:ind w:left="808" w:right="522" w:hanging="216"/>
        <w:jc w:val="both"/>
        <w:rPr>
          <w:sz w:val="24"/>
        </w:rPr>
      </w:pPr>
      <w:r>
        <w:rPr>
          <w:b/>
          <w:sz w:val="24"/>
        </w:rPr>
        <w:t>Operational</w:t>
      </w:r>
      <w:r>
        <w:rPr>
          <w:b/>
          <w:spacing w:val="-15"/>
          <w:sz w:val="24"/>
        </w:rPr>
        <w:t> </w:t>
      </w:r>
      <w:r>
        <w:rPr>
          <w:b/>
          <w:sz w:val="24"/>
        </w:rPr>
        <w:t>cost:</w:t>
      </w:r>
      <w:r>
        <w:rPr>
          <w:b/>
          <w:spacing w:val="-2"/>
          <w:sz w:val="24"/>
        </w:rPr>
        <w:t> </w:t>
      </w:r>
      <w:r>
        <w:rPr>
          <w:sz w:val="24"/>
        </w:rPr>
        <w:t>reputation</w:t>
      </w:r>
      <w:r>
        <w:rPr>
          <w:spacing w:val="-15"/>
          <w:sz w:val="24"/>
        </w:rPr>
        <w:t> </w:t>
      </w:r>
      <w:r>
        <w:rPr>
          <w:sz w:val="24"/>
        </w:rPr>
        <w:t>systems</w:t>
      </w:r>
      <w:r>
        <w:rPr>
          <w:spacing w:val="-15"/>
          <w:sz w:val="24"/>
        </w:rPr>
        <w:t> </w:t>
      </w:r>
      <w:r>
        <w:rPr>
          <w:sz w:val="24"/>
        </w:rPr>
        <w:t>that</w:t>
      </w:r>
      <w:r>
        <w:rPr>
          <w:spacing w:val="-15"/>
          <w:sz w:val="24"/>
        </w:rPr>
        <w:t> </w:t>
      </w:r>
      <w:r>
        <w:rPr>
          <w:sz w:val="24"/>
        </w:rPr>
        <w:t>must</w:t>
      </w:r>
      <w:r>
        <w:rPr>
          <w:spacing w:val="-15"/>
          <w:sz w:val="24"/>
        </w:rPr>
        <w:t> </w:t>
      </w:r>
      <w:r>
        <w:rPr>
          <w:sz w:val="24"/>
        </w:rPr>
        <w:t>refresh</w:t>
      </w:r>
      <w:r>
        <w:rPr>
          <w:spacing w:val="-15"/>
          <w:sz w:val="24"/>
        </w:rPr>
        <w:t> </w:t>
      </w:r>
      <w:r>
        <w:rPr>
          <w:sz w:val="24"/>
        </w:rPr>
        <w:t>frequently—for</w:t>
      </w:r>
      <w:r>
        <w:rPr>
          <w:spacing w:val="-15"/>
          <w:sz w:val="24"/>
        </w:rPr>
        <w:t> </w:t>
      </w:r>
      <w:r>
        <w:rPr>
          <w:sz w:val="24"/>
        </w:rPr>
        <w:t>example,</w:t>
      </w:r>
      <w:r>
        <w:rPr>
          <w:spacing w:val="-14"/>
          <w:sz w:val="24"/>
        </w:rPr>
        <w:t> </w:t>
      </w:r>
      <w:r>
        <w:rPr>
          <w:sz w:val="24"/>
        </w:rPr>
        <w:t>before</w:t>
      </w:r>
      <w:r>
        <w:rPr>
          <w:spacing w:val="-15"/>
          <w:sz w:val="24"/>
        </w:rPr>
        <w:t> </w:t>
      </w:r>
      <w:r>
        <w:rPr>
          <w:sz w:val="24"/>
        </w:rPr>
        <w:t>each leverage adjustment—cannot afford expensive historical transfer aggregation on every up-</w:t>
      </w:r>
      <w:r>
        <w:rPr>
          <w:spacing w:val="-2"/>
          <w:sz w:val="24"/>
        </w:rPr>
        <w:t>date.</w:t>
      </w:r>
    </w:p>
    <w:p>
      <w:pPr>
        <w:pStyle w:val="ListParagraph"/>
        <w:numPr>
          <w:ilvl w:val="0"/>
          <w:numId w:val="9"/>
        </w:numPr>
        <w:tabs>
          <w:tab w:pos="806" w:val="left" w:leader="none"/>
          <w:tab w:pos="808" w:val="left" w:leader="none"/>
        </w:tabs>
        <w:spacing w:line="396" w:lineRule="auto" w:before="40" w:after="0"/>
        <w:ind w:left="808" w:right="522" w:hanging="216"/>
        <w:jc w:val="both"/>
        <w:rPr>
          <w:sz w:val="24"/>
        </w:rPr>
      </w:pPr>
      <w:r>
        <w:rPr>
          <w:i/>
        </w:rPr>
        <w:t>운영 비용: 예를 들어 각 레버리지 조정 전과 같이 자주 새로 고쳐야 하는 평판 시스템은 업데이트할 때마다 값비싼 기록 전송 집계를 감당할 수 없습니다.</w:t>
      </w:r>
    </w:p>
    <w:p>
      <w:pPr>
        <w:pStyle w:val="ListParagraph"/>
        <w:numPr>
          <w:ilvl w:val="0"/>
          <w:numId w:val="9"/>
        </w:numPr>
        <w:tabs>
          <w:tab w:pos="799" w:val="left" w:leader="none"/>
          <w:tab w:pos="806" w:val="left" w:leader="none"/>
        </w:tabs>
        <w:spacing w:line="396" w:lineRule="auto" w:before="40" w:after="0"/>
        <w:ind w:left="799" w:right="522" w:hanging="207"/>
        <w:jc w:val="both"/>
        <w:rPr>
          <w:sz w:val="24"/>
        </w:rPr>
      </w:pPr>
      <w:r>
        <w:rPr>
          <w:b/>
          <w:sz w:val="24"/>
        </w:rPr>
        <w:t>Standardization:</w:t>
      </w:r>
      <w:r>
        <w:rPr>
          <w:b/>
          <w:spacing w:val="16"/>
          <w:sz w:val="24"/>
        </w:rPr>
        <w:t> </w:t>
      </w:r>
      <w:r>
        <w:rPr>
          <w:sz w:val="24"/>
        </w:rPr>
        <w:t>Equity</w:t>
      </w:r>
      <w:r>
        <w:rPr>
          <w:spacing w:val="-10"/>
          <w:sz w:val="24"/>
        </w:rPr>
        <w:t> </w:t>
      </w:r>
      <w:r>
        <w:rPr>
          <w:sz w:val="24"/>
        </w:rPr>
        <w:t>markets</w:t>
      </w:r>
      <w:r>
        <w:rPr>
          <w:spacing w:val="-10"/>
          <w:sz w:val="24"/>
        </w:rPr>
        <w:t> </w:t>
      </w:r>
      <w:r>
        <w:rPr>
          <w:sz w:val="24"/>
        </w:rPr>
        <w:t>long</w:t>
      </w:r>
      <w:r>
        <w:rPr>
          <w:spacing w:val="-10"/>
          <w:sz w:val="24"/>
        </w:rPr>
        <w:t> </w:t>
      </w:r>
      <w:r>
        <w:rPr>
          <w:sz w:val="24"/>
        </w:rPr>
        <w:t>used</w:t>
      </w:r>
      <w:r>
        <w:rPr>
          <w:spacing w:val="-10"/>
          <w:sz w:val="24"/>
        </w:rPr>
        <w:t> </w:t>
      </w:r>
      <w:r>
        <w:rPr>
          <w:sz w:val="24"/>
        </w:rPr>
        <w:t>price–earnings</w:t>
      </w:r>
      <w:r>
        <w:rPr>
          <w:spacing w:val="-10"/>
          <w:sz w:val="24"/>
        </w:rPr>
        <w:t> </w:t>
      </w:r>
      <w:r>
        <w:rPr>
          <w:sz w:val="24"/>
        </w:rPr>
        <w:t>and</w:t>
      </w:r>
      <w:r>
        <w:rPr>
          <w:spacing w:val="-10"/>
          <w:sz w:val="24"/>
        </w:rPr>
        <w:t> </w:t>
      </w:r>
      <w:r>
        <w:rPr>
          <w:sz w:val="24"/>
        </w:rPr>
        <w:t>price–book</w:t>
      </w:r>
      <w:r>
        <w:rPr>
          <w:spacing w:val="-10"/>
          <w:sz w:val="24"/>
        </w:rPr>
        <w:t> </w:t>
      </w:r>
      <w:r>
        <w:rPr>
          <w:sz w:val="24"/>
        </w:rPr>
        <w:t>ratios</w:t>
      </w:r>
      <w:r>
        <w:rPr>
          <w:spacing w:val="-10"/>
          <w:sz w:val="24"/>
        </w:rPr>
        <w:t> </w:t>
      </w:r>
      <w:r>
        <w:rPr>
          <w:sz w:val="24"/>
        </w:rPr>
        <w:t>not</w:t>
      </w:r>
      <w:r>
        <w:rPr>
          <w:spacing w:val="-10"/>
          <w:sz w:val="24"/>
        </w:rPr>
        <w:t> </w:t>
      </w:r>
      <w:r>
        <w:rPr>
          <w:sz w:val="24"/>
        </w:rPr>
        <w:t>as</w:t>
      </w:r>
      <w:r>
        <w:rPr>
          <w:spacing w:val="-10"/>
          <w:sz w:val="24"/>
        </w:rPr>
        <w:t> </w:t>
      </w:r>
      <w:r>
        <w:rPr>
          <w:sz w:val="24"/>
        </w:rPr>
        <w:t>per-fect return predictors but as a shared vocabulary for screening and communication </w:t>
      </w:r>
      <w:hyperlink w:history="true" w:anchor="_bookmark139">
        <w:r>
          <w:rPr>
            <w:sz w:val="24"/>
            <w:vertAlign w:val="superscript"/>
          </w:rPr>
          <w:t>[6]</w:t>
        </w:r>
      </w:hyperlink>
      <w:r>
        <w:rPr>
          <w:sz w:val="24"/>
          <w:vertAlign w:val="superscript"/>
        </w:rPr>
        <w:t>,</w:t>
      </w:r>
      <w:hyperlink w:history="true" w:anchor="_bookmark153">
        <w:r>
          <w:rPr>
            <w:sz w:val="24"/>
            <w:vertAlign w:val="superscript"/>
          </w:rPr>
          <w:t>[20]</w:t>
        </w:r>
      </w:hyperlink>
      <w:r>
        <w:rPr>
          <w:sz w:val="24"/>
          <w:vertAlign w:val="superscript"/>
        </w:rPr>
        <w:t>,</w:t>
      </w:r>
      <w:hyperlink w:history="true" w:anchor="_bookmark157">
        <w:r>
          <w:rPr>
            <w:sz w:val="24"/>
            <w:vertAlign w:val="superscript"/>
          </w:rPr>
          <w:t>[24]</w:t>
        </w:r>
      </w:hyperlink>
      <w:r>
        <w:rPr>
          <w:sz w:val="24"/>
          <w:vertAlign w:val="baseline"/>
        </w:rPr>
        <w:t>. Pseudonymous DeFi lacks an analogous ordinal language for wallet-level counterparty dif-ferentiation </w:t>
      </w:r>
      <w:hyperlink w:history="true" w:anchor="_bookmark134">
        <w:r>
          <w:rPr>
            <w:sz w:val="24"/>
            <w:vertAlign w:val="superscript"/>
          </w:rPr>
          <w:t>[1]</w:t>
        </w:r>
      </w:hyperlink>
      <w:r>
        <w:rPr>
          <w:sz w:val="24"/>
          <w:vertAlign w:val="baseline"/>
        </w:rPr>
        <w:t>.</w:t>
      </w:r>
      <w:r>
        <w:rPr>
          <w:spacing w:val="40"/>
          <w:sz w:val="24"/>
          <w:vertAlign w:val="baseline"/>
        </w:rPr>
        <w:t> </w:t>
      </w:r>
      <w:r>
        <w:rPr>
          <w:sz w:val="24"/>
          <w:vertAlign w:val="baseline"/>
        </w:rPr>
        <w:t>Chapter </w:t>
      </w:r>
      <w:hyperlink w:history="true" w:anchor="_bookmark114">
        <w:r>
          <w:rPr>
            <w:sz w:val="24"/>
            <w:vertAlign w:val="baseline"/>
          </w:rPr>
          <w:t>5</w:t>
        </w:r>
      </w:hyperlink>
      <w:r>
        <w:rPr>
          <w:sz w:val="24"/>
          <w:vertAlign w:val="baseline"/>
        </w:rPr>
        <w:t> develops industry adoption scenarios in which EndorseRank and AWP</w:t>
      </w:r>
      <w:r>
        <w:rPr>
          <w:spacing w:val="-10"/>
          <w:sz w:val="24"/>
          <w:vertAlign w:val="baseline"/>
        </w:rPr>
        <w:t> </w:t>
      </w:r>
      <w:r>
        <w:rPr>
          <w:sz w:val="24"/>
          <w:vertAlign w:val="baseline"/>
        </w:rPr>
        <w:t>play</w:t>
      </w:r>
      <w:r>
        <w:rPr>
          <w:spacing w:val="-10"/>
          <w:sz w:val="24"/>
          <w:vertAlign w:val="baseline"/>
        </w:rPr>
        <w:t> </w:t>
      </w:r>
      <w:r>
        <w:rPr>
          <w:sz w:val="24"/>
          <w:vertAlign w:val="baseline"/>
        </w:rPr>
        <w:t>that</w:t>
      </w:r>
      <w:r>
        <w:rPr>
          <w:spacing w:val="-10"/>
          <w:sz w:val="24"/>
          <w:vertAlign w:val="baseline"/>
        </w:rPr>
        <w:t> </w:t>
      </w:r>
      <w:r>
        <w:rPr>
          <w:sz w:val="24"/>
          <w:vertAlign w:val="baseline"/>
        </w:rPr>
        <w:t>infrastructural</w:t>
      </w:r>
      <w:r>
        <w:rPr>
          <w:spacing w:val="-10"/>
          <w:sz w:val="24"/>
          <w:vertAlign w:val="baseline"/>
        </w:rPr>
        <w:t> </w:t>
      </w:r>
      <w:r>
        <w:rPr>
          <w:sz w:val="24"/>
          <w:vertAlign w:val="baseline"/>
        </w:rPr>
        <w:t>role—supporting</w:t>
      </w:r>
      <w:r>
        <w:rPr>
          <w:spacing w:val="-10"/>
          <w:sz w:val="24"/>
          <w:vertAlign w:val="baseline"/>
        </w:rPr>
        <w:t> </w:t>
      </w:r>
      <w:r>
        <w:rPr>
          <w:sz w:val="24"/>
          <w:vertAlign w:val="baseline"/>
        </w:rPr>
        <w:t>fees,</w:t>
      </w:r>
      <w:r>
        <w:rPr>
          <w:spacing w:val="-10"/>
          <w:sz w:val="24"/>
          <w:vertAlign w:val="baseline"/>
        </w:rPr>
        <w:t> </w:t>
      </w:r>
      <w:r>
        <w:rPr>
          <w:sz w:val="24"/>
          <w:vertAlign w:val="baseline"/>
        </w:rPr>
        <w:t>utilization,</w:t>
      </w:r>
      <w:r>
        <w:rPr>
          <w:spacing w:val="-10"/>
          <w:sz w:val="24"/>
          <w:vertAlign w:val="baseline"/>
        </w:rPr>
        <w:t> </w:t>
      </w:r>
      <w:r>
        <w:rPr>
          <w:sz w:val="24"/>
          <w:vertAlign w:val="baseline"/>
        </w:rPr>
        <w:t>and</w:t>
      </w:r>
      <w:r>
        <w:rPr>
          <w:spacing w:val="-10"/>
          <w:sz w:val="24"/>
          <w:vertAlign w:val="baseline"/>
        </w:rPr>
        <w:t> </w:t>
      </w:r>
      <w:r>
        <w:rPr>
          <w:sz w:val="24"/>
          <w:vertAlign w:val="baseline"/>
        </w:rPr>
        <w:t>monitoring</w:t>
      </w:r>
      <w:r>
        <w:rPr>
          <w:spacing w:val="-10"/>
          <w:sz w:val="24"/>
          <w:vertAlign w:val="baseline"/>
        </w:rPr>
        <w:t> </w:t>
      </w:r>
      <w:r>
        <w:rPr>
          <w:sz w:val="24"/>
          <w:vertAlign w:val="baseline"/>
        </w:rPr>
        <w:t>efficiency—without substituting for collateral or claiming to forecast trading profit (Section </w:t>
      </w:r>
      <w:hyperlink w:history="true" w:anchor="_bookmark118">
        <w:r>
          <w:rPr>
            <w:sz w:val="24"/>
            <w:vertAlign w:val="baseline"/>
          </w:rPr>
          <w:t>5.4</w:t>
        </w:r>
      </w:hyperlink>
      <w:r>
        <w:rPr>
          <w:sz w:val="24"/>
          <w:vertAlign w:val="baseline"/>
        </w:rPr>
        <w:t>).</w:t>
      </w:r>
    </w:p>
    <w:p>
      <w:pPr>
        <w:pStyle w:val="ListParagraph"/>
        <w:numPr>
          <w:ilvl w:val="0"/>
          <w:numId w:val="9"/>
        </w:numPr>
        <w:tabs>
          <w:tab w:pos="799" w:val="left" w:leader="none"/>
          <w:tab w:pos="806" w:val="left" w:leader="none"/>
        </w:tabs>
        <w:spacing w:line="396" w:lineRule="auto" w:before="40" w:after="0"/>
        <w:ind w:left="799" w:right="522" w:hanging="207"/>
        <w:jc w:val="both"/>
        <w:rPr>
          <w:sz w:val="24"/>
        </w:rPr>
      </w:pPr>
      <w:r>
        <w:rPr>
          <w:i/>
        </w:rPr>
        <w:t>표준화: 주식 시장은 오랫동안 주가 수익 및 주가 장부 비율을 완벽한 수익률 예측 변수가 아니라 선별 및 커뮤니케이션을 위한 공유 어휘로 사용해 왔습니다[6],[20],[24]. 가명 DeFi에는 지갑 수준 거래상대방 구별을 위한 유사한 서수 언어가 부족합니다[1]. 5장에서는 담보를 대체하거나 거래 수익 예측을 주장하지 않고 EndorseRank 및 AWP가 수수료, 활용도 지원, 효율성 모니터링과 같은 인프라 역할을 수행하는 업계 채택 시나리오를 개발합니다(섹션 5.4).</w:t>
      </w:r>
    </w:p>
    <w:p>
      <w:pPr>
        <w:pStyle w:val="BodyText"/>
        <w:spacing w:before="62"/>
        <w:ind w:left="274"/>
        <w:jc w:val="both"/>
      </w:pPr>
      <w:r>
        <w:rPr>
          <w:spacing w:val="-2"/>
        </w:rPr>
        <w:t>Transfer-based</w:t>
      </w:r>
      <w:r>
        <w:rPr>
          <w:spacing w:val="-19"/>
        </w:rPr>
        <w:t> </w:t>
      </w:r>
      <w:r>
        <w:rPr>
          <w:spacing w:val="-2"/>
        </w:rPr>
        <w:t>AWP</w:t>
      </w:r>
      <w:r>
        <w:rPr>
          <w:spacing w:val="-19"/>
        </w:rPr>
        <w:t> </w:t>
      </w:r>
      <w:r>
        <w:rPr>
          <w:spacing w:val="-2"/>
        </w:rPr>
        <w:t>addresses</w:t>
      </w:r>
      <w:r>
        <w:rPr>
          <w:spacing w:val="-18"/>
        </w:rPr>
        <w:t> </w:t>
      </w:r>
      <w:r>
        <w:rPr>
          <w:spacing w:val="-2"/>
        </w:rPr>
        <w:t>the</w:t>
      </w:r>
      <w:r>
        <w:rPr>
          <w:spacing w:val="-18"/>
        </w:rPr>
        <w:t> </w:t>
      </w:r>
      <w:r>
        <w:rPr>
          <w:spacing w:val="-2"/>
        </w:rPr>
        <w:t>first</w:t>
      </w:r>
      <w:r>
        <w:rPr>
          <w:spacing w:val="-18"/>
        </w:rPr>
        <w:t> </w:t>
      </w:r>
      <w:r>
        <w:rPr>
          <w:spacing w:val="-2"/>
        </w:rPr>
        <w:t>two</w:t>
      </w:r>
      <w:r>
        <w:rPr>
          <w:spacing w:val="-18"/>
        </w:rPr>
        <w:t> </w:t>
      </w:r>
      <w:r>
        <w:rPr>
          <w:spacing w:val="-2"/>
        </w:rPr>
        <w:t>pressures</w:t>
      </w:r>
      <w:r>
        <w:rPr>
          <w:spacing w:val="-19"/>
        </w:rPr>
        <w:t> </w:t>
      </w:r>
      <w:r>
        <w:rPr>
          <w:spacing w:val="-2"/>
        </w:rPr>
        <w:t>but</w:t>
      </w:r>
      <w:r>
        <w:rPr>
          <w:spacing w:val="-18"/>
        </w:rPr>
        <w:t> </w:t>
      </w:r>
      <w:r>
        <w:rPr>
          <w:spacing w:val="-2"/>
        </w:rPr>
        <w:t>is</w:t>
      </w:r>
      <w:r>
        <w:rPr>
          <w:spacing w:val="-18"/>
        </w:rPr>
        <w:t> </w:t>
      </w:r>
      <w:r>
        <w:rPr>
          <w:spacing w:val="-2"/>
        </w:rPr>
        <w:t>costly</w:t>
      </w:r>
      <w:r>
        <w:rPr>
          <w:spacing w:val="-18"/>
        </w:rPr>
        <w:t> </w:t>
      </w:r>
      <w:r>
        <w:rPr>
          <w:spacing w:val="-2"/>
        </w:rPr>
        <w:t>on</w:t>
      </w:r>
      <w:r>
        <w:rPr>
          <w:spacing w:val="-18"/>
        </w:rPr>
        <w:t> </w:t>
      </w:r>
      <w:r>
        <w:rPr>
          <w:spacing w:val="-2"/>
        </w:rPr>
        <w:t>the</w:t>
      </w:r>
      <w:r>
        <w:rPr>
          <w:spacing w:val="-18"/>
        </w:rPr>
        <w:t> </w:t>
      </w:r>
      <w:r>
        <w:rPr>
          <w:spacing w:val="-2"/>
        </w:rPr>
        <w:t>third.</w:t>
      </w:r>
      <w:r>
        <w:rPr>
          <w:spacing w:val="16"/>
        </w:rPr>
        <w:t> </w:t>
      </w:r>
      <w:r>
        <w:rPr>
          <w:spacing w:val="-2"/>
        </w:rPr>
        <w:t>Constructing</w:t>
      </w:r>
      <w:r>
        <w:rPr>
          <w:spacing w:val="-18"/>
        </w:rPr>
        <w:t> </w:t>
      </w:r>
      <w:r>
        <w:rPr>
          <w:rFonts w:ascii="Calibri"/>
          <w:i/>
          <w:spacing w:val="-2"/>
        </w:rPr>
        <w:t>G</w:t>
      </w:r>
      <w:r>
        <w:rPr>
          <w:spacing w:val="-2"/>
          <w:vertAlign w:val="subscript"/>
        </w:rPr>
        <w:t>transfer</w:t>
      </w:r>
    </w:p>
    <w:p>
      <w:pPr>
        <w:pStyle w:val="BodyText"/>
        <w:spacing w:before="62"/>
        <w:ind w:left="274"/>
        <w:jc w:val="both"/>
      </w:pPr>
      <w:r>
        <w:rPr>
          <w:i/>
        </w:rPr>
        <w:t>전송 기반 AWP는 처음 두 가지 문제를 해결하지만 세 번째 문제는 비용이 많이 듭니다. Gtransfer 구성 중</w:t>
      </w:r>
    </w:p>
    <w:p>
      <w:pPr>
        <w:pStyle w:val="BodyText"/>
        <w:spacing w:after="0"/>
        <w:jc w:val="both"/>
        <w:sectPr>
          <w:pgSz w:w="11910" w:h="16840"/>
          <w:pgMar w:header="0" w:footer="2115" w:top="1820" w:bottom="2300" w:left="992" w:right="708"/>
        </w:sectPr>
      </w:pPr>
    </w:p>
    <w:p>
      <w:pPr>
        <w:pStyle w:val="BodyText"/>
        <w:spacing w:line="384" w:lineRule="auto" w:before="72"/>
        <w:ind w:left="282" w:right="559"/>
        <w:jc w:val="both"/>
      </w:pPr>
      <w:r>
        <w:rPr/>
        <w:t>requires aggregating transfer history, applying logistic time-decay, and running PageRank on a dense edge set </w:t>
      </w:r>
      <w:hyperlink w:history="true" w:anchor="_bookmark149">
        <w:r>
          <w:rPr>
            <w:vertAlign w:val="superscript"/>
          </w:rPr>
          <w:t>[16]</w:t>
        </w:r>
      </w:hyperlink>
      <w:r>
        <w:rPr>
          <w:vertAlign w:val="baseline"/>
        </w:rPr>
        <w:t>.</w:t>
      </w:r>
      <w:r>
        <w:rPr>
          <w:spacing w:val="40"/>
          <w:vertAlign w:val="baseline"/>
        </w:rPr>
        <w:t> </w:t>
      </w:r>
      <w:r>
        <w:rPr>
          <w:vertAlign w:val="baseline"/>
        </w:rPr>
        <w:t>On the matched cohort studied here (</w:t>
      </w:r>
      <w:r>
        <w:rPr>
          <w:rFonts w:ascii="Calibri" w:hAnsi="Calibri"/>
          <w:i/>
          <w:vertAlign w:val="baseline"/>
        </w:rPr>
        <w:t>n </w:t>
      </w:r>
      <w:r>
        <w:rPr>
          <w:rFonts w:ascii="Calibri" w:hAnsi="Calibri"/>
          <w:vertAlign w:val="baseline"/>
        </w:rPr>
        <w:t>= 5</w:t>
      </w:r>
      <w:r>
        <w:rPr>
          <w:rFonts w:ascii="Calibri" w:hAnsi="Calibri"/>
          <w:i/>
          <w:vertAlign w:val="baseline"/>
        </w:rPr>
        <w:t>,</w:t>
      </w:r>
      <w:r>
        <w:rPr>
          <w:rFonts w:ascii="Calibri" w:hAnsi="Calibri"/>
          <w:vertAlign w:val="baseline"/>
        </w:rPr>
        <w:t>521 </w:t>
      </w:r>
      <w:r>
        <w:rPr>
          <w:vertAlign w:val="baseline"/>
        </w:rPr>
        <w:t>wallets),</w:t>
      </w:r>
      <w:hyperlink w:history="true" w:anchor="_bookmark8">
        <w:r>
          <w:rPr>
            <w:vertAlign w:val="superscript"/>
          </w:rPr>
          <w:t>1</w:t>
        </w:r>
      </w:hyperlink>
      <w:r>
        <w:rPr>
          <w:vertAlign w:val="baseline"/>
        </w:rPr>
        <w:t> the AWP subgraph </w:t>
      </w:r>
      <w:r>
        <w:rPr>
          <w:spacing w:val="-2"/>
          <w:vertAlign w:val="baseline"/>
        </w:rPr>
        <w:t>contains</w:t>
      </w:r>
      <w:r>
        <w:rPr>
          <w:spacing w:val="-12"/>
          <w:vertAlign w:val="baseline"/>
        </w:rPr>
        <w:t> </w:t>
      </w:r>
      <w:r>
        <w:rPr>
          <w:rFonts w:ascii="Calibri" w:hAnsi="Calibri"/>
          <w:spacing w:val="-2"/>
          <w:vertAlign w:val="baseline"/>
        </w:rPr>
        <w:t>137</w:t>
      </w:r>
      <w:r>
        <w:rPr>
          <w:rFonts w:ascii="Calibri" w:hAnsi="Calibri"/>
          <w:i/>
          <w:spacing w:val="-2"/>
          <w:vertAlign w:val="baseline"/>
        </w:rPr>
        <w:t>,</w:t>
      </w:r>
      <w:r>
        <w:rPr>
          <w:rFonts w:ascii="Calibri" w:hAnsi="Calibri"/>
          <w:spacing w:val="-2"/>
          <w:vertAlign w:val="baseline"/>
        </w:rPr>
        <w:t>087</w:t>
      </w:r>
      <w:r>
        <w:rPr>
          <w:rFonts w:ascii="Calibri" w:hAnsi="Calibri"/>
          <w:spacing w:val="-6"/>
          <w:vertAlign w:val="baseline"/>
        </w:rPr>
        <w:t> </w:t>
      </w:r>
      <w:r>
        <w:rPr>
          <w:spacing w:val="-2"/>
          <w:vertAlign w:val="baseline"/>
        </w:rPr>
        <w:t>edges</w:t>
      </w:r>
      <w:r>
        <w:rPr>
          <w:spacing w:val="-13"/>
          <w:vertAlign w:val="baseline"/>
        </w:rPr>
        <w:t> </w:t>
      </w:r>
      <w:r>
        <w:rPr>
          <w:spacing w:val="-2"/>
          <w:vertAlign w:val="baseline"/>
        </w:rPr>
        <w:t>and</w:t>
      </w:r>
      <w:r>
        <w:rPr>
          <w:spacing w:val="-12"/>
          <w:vertAlign w:val="baseline"/>
        </w:rPr>
        <w:t> </w:t>
      </w:r>
      <w:r>
        <w:rPr>
          <w:spacing w:val="-2"/>
          <w:vertAlign w:val="baseline"/>
        </w:rPr>
        <w:t>requires</w:t>
      </w:r>
      <w:r>
        <w:rPr>
          <w:spacing w:val="-12"/>
          <w:vertAlign w:val="baseline"/>
        </w:rPr>
        <w:t> </w:t>
      </w:r>
      <w:r>
        <w:rPr>
          <w:rFonts w:ascii="Calibri" w:hAnsi="Calibri"/>
          <w:spacing w:val="-2"/>
          <w:vertAlign w:val="baseline"/>
        </w:rPr>
        <w:t>18</w:t>
      </w:r>
      <w:r>
        <w:rPr>
          <w:rFonts w:ascii="Calibri" w:hAnsi="Calibri"/>
          <w:i/>
          <w:spacing w:val="-2"/>
          <w:vertAlign w:val="baseline"/>
        </w:rPr>
        <w:t>.</w:t>
      </w:r>
      <w:r>
        <w:rPr>
          <w:rFonts w:ascii="Calibri" w:hAnsi="Calibri"/>
          <w:spacing w:val="-2"/>
          <w:vertAlign w:val="baseline"/>
        </w:rPr>
        <w:t>711</w:t>
      </w:r>
      <w:r>
        <w:rPr>
          <w:rFonts w:ascii="Calibri" w:hAnsi="Calibri"/>
          <w:spacing w:val="-10"/>
          <w:vertAlign w:val="baseline"/>
        </w:rPr>
        <w:t> </w:t>
      </w:r>
      <w:r>
        <w:rPr>
          <w:spacing w:val="-2"/>
          <w:vertAlign w:val="baseline"/>
        </w:rPr>
        <w:t>s</w:t>
      </w:r>
      <w:r>
        <w:rPr>
          <w:spacing w:val="-13"/>
          <w:vertAlign w:val="baseline"/>
        </w:rPr>
        <w:t> </w:t>
      </w:r>
      <w:r>
        <w:rPr>
          <w:spacing w:val="-2"/>
          <w:vertAlign w:val="baseline"/>
        </w:rPr>
        <w:t>of</w:t>
      </w:r>
      <w:r>
        <w:rPr>
          <w:spacing w:val="-12"/>
          <w:vertAlign w:val="baseline"/>
        </w:rPr>
        <w:t> </w:t>
      </w:r>
      <w:r>
        <w:rPr>
          <w:spacing w:val="-2"/>
          <w:vertAlign w:val="baseline"/>
        </w:rPr>
        <w:t>PageRank</w:t>
      </w:r>
      <w:r>
        <w:rPr>
          <w:spacing w:val="-12"/>
          <w:vertAlign w:val="baseline"/>
        </w:rPr>
        <w:t> </w:t>
      </w:r>
      <w:r>
        <w:rPr>
          <w:spacing w:val="-2"/>
          <w:vertAlign w:val="baseline"/>
        </w:rPr>
        <w:t>wall-clock</w:t>
      </w:r>
      <w:r>
        <w:rPr>
          <w:spacing w:val="-12"/>
          <w:vertAlign w:val="baseline"/>
        </w:rPr>
        <w:t> </w:t>
      </w:r>
      <w:r>
        <w:rPr>
          <w:spacing w:val="-2"/>
          <w:vertAlign w:val="baseline"/>
        </w:rPr>
        <w:t>time.</w:t>
      </w:r>
      <w:r>
        <w:rPr>
          <w:spacing w:val="21"/>
          <w:vertAlign w:val="baseline"/>
        </w:rPr>
        <w:t> </w:t>
      </w:r>
      <w:r>
        <w:rPr>
          <w:spacing w:val="-2"/>
          <w:vertAlign w:val="baseline"/>
        </w:rPr>
        <w:t>Allowance</w:t>
      </w:r>
      <w:r>
        <w:rPr>
          <w:spacing w:val="-12"/>
          <w:vertAlign w:val="baseline"/>
        </w:rPr>
        <w:t> </w:t>
      </w:r>
      <w:r>
        <w:rPr>
          <w:spacing w:val="-2"/>
          <w:vertAlign w:val="baseline"/>
        </w:rPr>
        <w:t>graphs</w:t>
      </w:r>
      <w:r>
        <w:rPr>
          <w:spacing w:val="-13"/>
          <w:vertAlign w:val="baseline"/>
        </w:rPr>
        <w:t> </w:t>
      </w:r>
      <w:r>
        <w:rPr>
          <w:spacing w:val="-2"/>
          <w:vertAlign w:val="baseline"/>
        </w:rPr>
        <w:t>offer </w:t>
      </w:r>
      <w:r>
        <w:rPr>
          <w:vertAlign w:val="baseline"/>
        </w:rPr>
        <w:t>a structurally different alternative.</w:t>
      </w:r>
      <w:r>
        <w:rPr>
          <w:spacing w:val="40"/>
          <w:vertAlign w:val="baseline"/>
        </w:rPr>
        <w:t> </w:t>
      </w:r>
      <w:r>
        <w:rPr>
          <w:vertAlign w:val="baseline"/>
        </w:rPr>
        <w:t>An ERC-20 </w:t>
      </w:r>
      <w:r>
        <w:rPr>
          <w:rFonts w:ascii="Calibri" w:hAnsi="Calibri"/>
          <w:vertAlign w:val="baseline"/>
        </w:rPr>
        <w:t>approve</w:t>
      </w:r>
      <w:r>
        <w:rPr>
          <w:rFonts w:ascii="Calibri" w:hAnsi="Calibri"/>
          <w:spacing w:val="18"/>
          <w:vertAlign w:val="baseline"/>
        </w:rPr>
        <w:t> </w:t>
      </w:r>
      <w:r>
        <w:rPr>
          <w:vertAlign w:val="baseline"/>
        </w:rPr>
        <w:t>or EIP-2612 </w:t>
      </w:r>
      <w:r>
        <w:rPr>
          <w:rFonts w:ascii="Calibri" w:hAnsi="Calibri"/>
          <w:vertAlign w:val="baseline"/>
        </w:rPr>
        <w:t>permit</w:t>
      </w:r>
      <w:r>
        <w:rPr>
          <w:rFonts w:ascii="Calibri" w:hAnsi="Calibri"/>
          <w:spacing w:val="18"/>
          <w:vertAlign w:val="baseline"/>
        </w:rPr>
        <w:t> </w:t>
      </w:r>
      <w:r>
        <w:rPr>
          <w:vertAlign w:val="baseline"/>
        </w:rPr>
        <w:t>records how much</w:t>
      </w:r>
      <w:r>
        <w:rPr>
          <w:spacing w:val="80"/>
          <w:vertAlign w:val="baseline"/>
        </w:rPr>
        <w:t> </w:t>
      </w:r>
      <w:r>
        <w:rPr>
          <w:vertAlign w:val="baseline"/>
        </w:rPr>
        <w:t>a token owner authorizes a spender to transfer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40"/>
          <w:vertAlign w:val="baseline"/>
        </w:rPr>
        <w:t> </w:t>
      </w:r>
      <w:r>
        <w:rPr>
          <w:vertAlign w:val="baseline"/>
        </w:rPr>
        <w:t>The latest allowance per owner–spender pair</w:t>
      </w:r>
      <w:r>
        <w:rPr>
          <w:spacing w:val="-13"/>
          <w:vertAlign w:val="baseline"/>
        </w:rPr>
        <w:t> </w:t>
      </w:r>
      <w:r>
        <w:rPr>
          <w:vertAlign w:val="baseline"/>
        </w:rPr>
        <w:t>is</w:t>
      </w:r>
      <w:r>
        <w:rPr>
          <w:spacing w:val="-13"/>
          <w:vertAlign w:val="baseline"/>
        </w:rPr>
        <w:t> </w:t>
      </w:r>
      <w:r>
        <w:rPr>
          <w:vertAlign w:val="baseline"/>
        </w:rPr>
        <w:t>a</w:t>
      </w:r>
      <w:r>
        <w:rPr>
          <w:spacing w:val="-13"/>
          <w:vertAlign w:val="baseline"/>
        </w:rPr>
        <w:t> </w:t>
      </w:r>
      <w:r>
        <w:rPr>
          <w:vertAlign w:val="baseline"/>
        </w:rPr>
        <w:t>snapshot</w:t>
      </w:r>
      <w:r>
        <w:rPr>
          <w:spacing w:val="-13"/>
          <w:vertAlign w:val="baseline"/>
        </w:rPr>
        <w:t> </w:t>
      </w:r>
      <w:r>
        <w:rPr>
          <w:vertAlign w:val="baseline"/>
        </w:rPr>
        <w:t>of</w:t>
      </w:r>
      <w:r>
        <w:rPr>
          <w:spacing w:val="-13"/>
          <w:vertAlign w:val="baseline"/>
        </w:rPr>
        <w:t> </w:t>
      </w:r>
      <w:r>
        <w:rPr>
          <w:vertAlign w:val="baseline"/>
        </w:rPr>
        <w:t>current</w:t>
      </w:r>
      <w:r>
        <w:rPr>
          <w:spacing w:val="-13"/>
          <w:vertAlign w:val="baseline"/>
        </w:rPr>
        <w:t> </w:t>
      </w:r>
      <w:r>
        <w:rPr>
          <w:vertAlign w:val="baseline"/>
        </w:rPr>
        <w:t>authorization</w:t>
      </w:r>
      <w:r>
        <w:rPr>
          <w:spacing w:val="-13"/>
          <w:vertAlign w:val="baseline"/>
        </w:rPr>
        <w:t> </w:t>
      </w:r>
      <w:r>
        <w:rPr>
          <w:vertAlign w:val="baseline"/>
        </w:rPr>
        <w:t>intent:</w:t>
      </w:r>
      <w:r>
        <w:rPr>
          <w:spacing w:val="7"/>
          <w:vertAlign w:val="baseline"/>
        </w:rPr>
        <w:t> </w:t>
      </w:r>
      <w:r>
        <w:rPr>
          <w:vertAlign w:val="baseline"/>
        </w:rPr>
        <w:t>newer</w:t>
      </w:r>
      <w:r>
        <w:rPr>
          <w:spacing w:val="-13"/>
          <w:vertAlign w:val="baseline"/>
        </w:rPr>
        <w:t> </w:t>
      </w:r>
      <w:r>
        <w:rPr>
          <w:vertAlign w:val="baseline"/>
        </w:rPr>
        <w:t>approvals</w:t>
      </w:r>
      <w:r>
        <w:rPr>
          <w:spacing w:val="-13"/>
          <w:vertAlign w:val="baseline"/>
        </w:rPr>
        <w:t> </w:t>
      </w:r>
      <w:r>
        <w:rPr>
          <w:vertAlign w:val="baseline"/>
        </w:rPr>
        <w:t>override</w:t>
      </w:r>
      <w:r>
        <w:rPr>
          <w:spacing w:val="-13"/>
          <w:vertAlign w:val="baseline"/>
        </w:rPr>
        <w:t> </w:t>
      </w:r>
      <w:r>
        <w:rPr>
          <w:vertAlign w:val="baseline"/>
        </w:rPr>
        <w:t>older</w:t>
      </w:r>
      <w:r>
        <w:rPr>
          <w:spacing w:val="-13"/>
          <w:vertAlign w:val="baseline"/>
        </w:rPr>
        <w:t> </w:t>
      </w:r>
      <w:r>
        <w:rPr>
          <w:vertAlign w:val="baseline"/>
        </w:rPr>
        <w:t>ones,</w:t>
      </w:r>
      <w:r>
        <w:rPr>
          <w:spacing w:val="-12"/>
          <w:vertAlign w:val="baseline"/>
        </w:rPr>
        <w:t> </w:t>
      </w:r>
      <w:r>
        <w:rPr>
          <w:vertAlign w:val="baseline"/>
        </w:rPr>
        <w:t>so</w:t>
      </w:r>
      <w:r>
        <w:rPr>
          <w:spacing w:val="-13"/>
          <w:vertAlign w:val="baseline"/>
        </w:rPr>
        <w:t> </w:t>
      </w:r>
      <w:r>
        <w:rPr>
          <w:spacing w:val="-2"/>
          <w:vertAlign w:val="baseline"/>
        </w:rPr>
        <w:t>temporal</w:t>
      </w:r>
    </w:p>
    <w:p>
      <w:pPr>
        <w:pStyle w:val="BodyText"/>
        <w:spacing w:line="384" w:lineRule="auto" w:before="72"/>
        <w:ind w:left="282" w:right="559"/>
        <w:jc w:val="both"/>
      </w:pPr>
      <w:r>
        <w:rPr>
          <w:i/>
        </w:rPr>
        <w:t>전송 기록을 집계하고, 로지스틱 시간 감소를 적용하고, 조밀한 에지 세트에서 PageRank를 실행해야 합니다[16]. 여기에서 연구된 일치 코호트(n = 5,521개 지갑)1에서 AWP 하위 그래프에는 137,087개의 모서리가 포함되어 있으며 18.711초의 PageRank 벽시계 시간이 필요합니다. 허용량 그래프는 구조적으로 다른 대안을 제공합니다. ERC-20 승인 또는 EIP-2612 허가는 토큰 소유자가 지출자에게 전송하도록 승인한 금액을 기록합니다[18],[19]. 소유자-소비자 쌍당 최신 허용량은 현재 승인 의도의 스냅샷입니다. 새로운 승인이 이전 승인보다 우선하므로 일시적입니다.</w:t>
      </w:r>
    </w:p>
    <w:p>
      <w:pPr>
        <w:pStyle w:val="BodyText"/>
        <w:spacing w:line="345" w:lineRule="auto" w:before="4"/>
        <w:ind w:left="282" w:right="564"/>
        <w:jc w:val="both"/>
      </w:pPr>
      <w:r>
        <w:rPr/>
        <w:t>decay is unnecessary.</w:t>
      </w:r>
      <w:r>
        <w:rPr>
          <w:spacing w:val="40"/>
        </w:rPr>
        <w:t> </w:t>
      </w:r>
      <w:r>
        <w:rPr/>
        <w:t>The resulting endorsement graph </w:t>
      </w:r>
      <w:r>
        <w:rPr>
          <w:rFonts w:ascii="Calibri" w:hAnsi="Calibri"/>
          <w:i/>
        </w:rPr>
        <w:t>G</w:t>
      </w:r>
      <w:r>
        <w:rPr>
          <w:vertAlign w:val="subscript"/>
        </w:rPr>
        <w:t>approve</w:t>
      </w:r>
      <w:r>
        <w:rPr>
          <w:vertAlign w:val="baseline"/>
        </w:rPr>
        <w:t> is sparse—</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edges on the same cohort—and PageRank completes in </w:t>
      </w:r>
      <w:r>
        <w:rPr>
          <w:rFonts w:ascii="Calibri" w:hAnsi="Calibri"/>
          <w:vertAlign w:val="baseline"/>
        </w:rPr>
        <w:t>2</w:t>
      </w:r>
      <w:r>
        <w:rPr>
          <w:rFonts w:ascii="Calibri" w:hAnsi="Calibri"/>
          <w:i/>
          <w:vertAlign w:val="baseline"/>
        </w:rPr>
        <w:t>.</w:t>
      </w:r>
      <w:r>
        <w:rPr>
          <w:rFonts w:ascii="Calibri" w:hAnsi="Calibri"/>
          <w:vertAlign w:val="baseline"/>
        </w:rPr>
        <w:t>105</w:t>
      </w:r>
      <w:r>
        <w:rPr>
          <w:rFonts w:ascii="Calibri" w:hAnsi="Calibri"/>
          <w:spacing w:val="-11"/>
          <w:vertAlign w:val="baseline"/>
        </w:rPr>
        <w:t> </w:t>
      </w:r>
      <w:r>
        <w:rPr>
          <w:vertAlign w:val="baseline"/>
        </w:rPr>
        <w:t>s, approximately </w:t>
      </w:r>
      <w:r>
        <w:rPr>
          <w:rFonts w:ascii="Calibri" w:hAnsi="Calibri"/>
          <w:vertAlign w:val="baseline"/>
        </w:rPr>
        <w:t>8</w:t>
      </w:r>
      <w:r>
        <w:rPr>
          <w:rFonts w:ascii="Calibri" w:hAnsi="Calibri"/>
          <w:i/>
          <w:vertAlign w:val="baseline"/>
        </w:rPr>
        <w:t>.</w:t>
      </w:r>
      <w:r>
        <w:rPr>
          <w:rFonts w:ascii="Calibri" w:hAnsi="Calibri"/>
          <w:vertAlign w:val="baseline"/>
        </w:rPr>
        <w:t>9</w:t>
      </w:r>
      <w:r>
        <w:rPr>
          <w:rFonts w:ascii="Lucida Sans Unicode" w:hAnsi="Lucida Sans Unicode"/>
          <w:vertAlign w:val="baseline"/>
        </w:rPr>
        <w:t>×</w:t>
      </w:r>
      <w:r>
        <w:rPr>
          <w:rFonts w:ascii="Lucida Sans Unicode" w:hAnsi="Lucida Sans Unicode"/>
          <w:spacing w:val="-11"/>
          <w:vertAlign w:val="baseline"/>
        </w:rPr>
        <w:t> </w:t>
      </w:r>
      <w:r>
        <w:rPr>
          <w:vertAlign w:val="baseline"/>
        </w:rPr>
        <w:t>faster than AWP.</w:t>
      </w:r>
    </w:p>
    <w:p>
      <w:pPr>
        <w:pStyle w:val="BodyText"/>
        <w:spacing w:line="345" w:lineRule="auto" w:before="4"/>
        <w:ind w:left="282" w:right="564"/>
        <w:jc w:val="both"/>
      </w:pPr>
      <w:r>
        <w:rPr>
          <w:i/>
        </w:rPr>
        <w:t>부패는 불필요합니다. 결과 보증 그래프 Gapprove는 희박하며(동일한 코호트에서 14,727개의 가장자리) PageRank는 AWP보다 약 8.9배 빠른 2.105초 만에 완료됩니다.</w:t>
      </w:r>
    </w:p>
    <w:p>
      <w:pPr>
        <w:pStyle w:val="BodyText"/>
        <w:spacing w:line="254" w:lineRule="exact"/>
        <w:ind w:left="282"/>
        <w:jc w:val="both"/>
      </w:pPr>
      <w:r>
        <w:rPr/>
        <w:t>Beyond</w:t>
      </w:r>
      <w:r>
        <w:rPr>
          <w:spacing w:val="15"/>
        </w:rPr>
        <w:t> </w:t>
      </w:r>
      <w:r>
        <w:rPr/>
        <w:t>efficiency,</w:t>
      </w:r>
      <w:r>
        <w:rPr>
          <w:spacing w:val="21"/>
        </w:rPr>
        <w:t> </w:t>
      </w:r>
      <w:r>
        <w:rPr/>
        <w:t>allowances</w:t>
      </w:r>
      <w:r>
        <w:rPr>
          <w:spacing w:val="15"/>
        </w:rPr>
        <w:t> </w:t>
      </w:r>
      <w:r>
        <w:rPr/>
        <w:t>carry</w:t>
      </w:r>
      <w:r>
        <w:rPr>
          <w:spacing w:val="16"/>
        </w:rPr>
        <w:t> </w:t>
      </w:r>
      <w:r>
        <w:rPr/>
        <w:t>distinct</w:t>
      </w:r>
      <w:r>
        <w:rPr>
          <w:spacing w:val="16"/>
        </w:rPr>
        <w:t> </w:t>
      </w:r>
      <w:r>
        <w:rPr/>
        <w:t>semantics.</w:t>
      </w:r>
      <w:r>
        <w:rPr>
          <w:spacing w:val="79"/>
        </w:rPr>
        <w:t> </w:t>
      </w:r>
      <w:r>
        <w:rPr/>
        <w:t>A</w:t>
      </w:r>
      <w:r>
        <w:rPr>
          <w:spacing w:val="15"/>
        </w:rPr>
        <w:t> </w:t>
      </w:r>
      <w:r>
        <w:rPr/>
        <w:t>transfer</w:t>
      </w:r>
      <w:r>
        <w:rPr>
          <w:spacing w:val="16"/>
        </w:rPr>
        <w:t> </w:t>
      </w:r>
      <w:r>
        <w:rPr/>
        <w:t>may</w:t>
      </w:r>
      <w:r>
        <w:rPr>
          <w:spacing w:val="15"/>
        </w:rPr>
        <w:t> </w:t>
      </w:r>
      <w:r>
        <w:rPr/>
        <w:t>reflect</w:t>
      </w:r>
      <w:r>
        <w:rPr>
          <w:spacing w:val="16"/>
        </w:rPr>
        <w:t> </w:t>
      </w:r>
      <w:r>
        <w:rPr/>
        <w:t>routing,</w:t>
      </w:r>
      <w:r>
        <w:rPr>
          <w:spacing w:val="21"/>
        </w:rPr>
        <w:t> </w:t>
      </w:r>
      <w:r>
        <w:rPr>
          <w:spacing w:val="-2"/>
        </w:rPr>
        <w:t>market</w:t>
      </w:r>
    </w:p>
    <w:p>
      <w:pPr>
        <w:pStyle w:val="BodyText"/>
        <w:spacing w:line="254" w:lineRule="exact"/>
        <w:ind w:left="282"/>
        <w:jc w:val="both"/>
      </w:pPr>
      <w:r>
        <w:rPr>
          <w:i/>
        </w:rPr>
        <w:t>효율성 외에도 허용량은 뚜렷한 의미를 갖습니다. 전송에는 라우팅, 시장이 반영될 수 있습니다.</w:t>
      </w:r>
    </w:p>
    <w:p>
      <w:pPr>
        <w:pStyle w:val="BodyText"/>
        <w:spacing w:line="396" w:lineRule="auto" w:before="180"/>
        <w:ind w:left="282" w:right="563"/>
        <w:jc w:val="both"/>
      </w:pPr>
      <w:r>
        <w:rPr/>
        <w:t>making, or</w:t>
      </w:r>
      <w:r>
        <w:rPr>
          <w:spacing w:val="-1"/>
        </w:rPr>
        <w:t> </w:t>
      </w:r>
      <w:r>
        <w:rPr/>
        <w:t>passive</w:t>
      </w:r>
      <w:r>
        <w:rPr>
          <w:spacing w:val="-1"/>
        </w:rPr>
        <w:t> </w:t>
      </w:r>
      <w:r>
        <w:rPr/>
        <w:t>receipt; an</w:t>
      </w:r>
      <w:r>
        <w:rPr>
          <w:spacing w:val="-1"/>
        </w:rPr>
        <w:t> </w:t>
      </w:r>
      <w:r>
        <w:rPr/>
        <w:t>allowance</w:t>
      </w:r>
      <w:r>
        <w:rPr>
          <w:spacing w:val="-1"/>
        </w:rPr>
        <w:t> </w:t>
      </w:r>
      <w:r>
        <w:rPr/>
        <w:t>is</w:t>
      </w:r>
      <w:r>
        <w:rPr>
          <w:spacing w:val="-2"/>
        </w:rPr>
        <w:t> </w:t>
      </w:r>
      <w:r>
        <w:rPr/>
        <w:t>an</w:t>
      </w:r>
      <w:r>
        <w:rPr>
          <w:spacing w:val="-1"/>
        </w:rPr>
        <w:t> </w:t>
      </w:r>
      <w:r>
        <w:rPr/>
        <w:t>explicit</w:t>
      </w:r>
      <w:r>
        <w:rPr>
          <w:spacing w:val="-1"/>
        </w:rPr>
        <w:t> </w:t>
      </w:r>
      <w:r>
        <w:rPr/>
        <w:t>delegation</w:t>
      </w:r>
      <w:r>
        <w:rPr>
          <w:spacing w:val="-1"/>
        </w:rPr>
        <w:t> </w:t>
      </w:r>
      <w:r>
        <w:rPr/>
        <w:t>of</w:t>
      </w:r>
      <w:r>
        <w:rPr>
          <w:spacing w:val="-1"/>
        </w:rPr>
        <w:t> </w:t>
      </w:r>
      <w:r>
        <w:rPr/>
        <w:t>spending</w:t>
      </w:r>
      <w:r>
        <w:rPr>
          <w:spacing w:val="-1"/>
        </w:rPr>
        <w:t> </w:t>
      </w:r>
      <w:r>
        <w:rPr/>
        <w:t>authority.</w:t>
      </w:r>
      <w:r>
        <w:rPr>
          <w:spacing w:val="28"/>
        </w:rPr>
        <w:t> </w:t>
      </w:r>
      <w:r>
        <w:rPr/>
        <w:t>Treating allowances as endorsement edges aligns PageRank’s citation metaphor </w:t>
      </w:r>
      <w:hyperlink w:history="true" w:anchor="_bookmark182">
        <w:r>
          <w:rPr>
            <w:vertAlign w:val="superscript"/>
          </w:rPr>
          <w:t>[49]</w:t>
        </w:r>
      </w:hyperlink>
      <w:r>
        <w:rPr>
          <w:vertAlign w:val="baseline"/>
        </w:rPr>
        <w:t> with a trust-like act that protocols already rely on for token interactions.</w:t>
      </w:r>
      <w:r>
        <w:rPr>
          <w:spacing w:val="40"/>
          <w:vertAlign w:val="baseline"/>
        </w:rPr>
        <w:t> </w:t>
      </w:r>
      <w:r>
        <w:rPr>
          <w:vertAlign w:val="baseline"/>
        </w:rPr>
        <w:t>Whether that semantic difference produces rankings that are merely different, or differently aligned with economically relevant outcomes, is an empirical question.</w:t>
      </w:r>
      <w:r>
        <w:rPr>
          <w:spacing w:val="40"/>
          <w:vertAlign w:val="baseline"/>
        </w:rPr>
        <w:t> </w:t>
      </w:r>
      <w:r>
        <w:rPr>
          <w:vertAlign w:val="baseline"/>
        </w:rPr>
        <w:t>This dissertation answers that question on Arbitrum One using GMX V2 perpetual trading outcomes as a dense validation frame </w:t>
      </w:r>
      <w:hyperlink w:history="true" w:anchor="_bookmark156">
        <w:r>
          <w:rPr>
            <w:vertAlign w:val="superscript"/>
          </w:rPr>
          <w:t>[23]</w:t>
        </w:r>
      </w:hyperlink>
      <w:r>
        <w:rPr>
          <w:vertAlign w:val="baseline"/>
        </w:rPr>
        <w:t>, because under-collateralized lending </w:t>
      </w:r>
      <w:bookmarkStart w:name="Research problem" w:id="11"/>
      <w:bookmarkEnd w:id="11"/>
      <w:r>
        <w:rPr>
          <w:w w:val="99"/>
          <w:vertAlign w:val="baseline"/>
        </w:rPr>
      </w:r>
      <w:bookmarkStart w:name="_bookmark7" w:id="12"/>
      <w:bookmarkEnd w:id="12"/>
      <w:r>
        <w:rPr>
          <w:vertAlign w:val="baseline"/>
        </w:rPr>
        <w:t>default</w:t>
      </w:r>
      <w:r>
        <w:rPr>
          <w:vertAlign w:val="baseline"/>
        </w:rPr>
        <w:t> labels remain sparse on this chain.</w:t>
      </w:r>
    </w:p>
    <w:p>
      <w:pPr>
        <w:pStyle w:val="BodyText"/>
        <w:spacing w:line="396" w:lineRule="auto" w:before="180"/>
        <w:ind w:left="282" w:right="563"/>
        <w:jc w:val="both"/>
      </w:pPr>
      <w:r>
        <w:rPr>
          <w:i/>
        </w:rPr>
        <w:t>만들기 또는 수동적 수령, 수당은 지출 권한을 명시적으로 위임하는 것입니다. 허용량을 보증 가장자리로 취급하는 것은 PageRank의 인용 비유[49]를 프로토콜이 이미 토큰 상호 작용에 의존하고 있는 신뢰와 유사한 행위와 일치시킵니다. 의미론적 차이가 단순히 다른 순위를 생성하는지, 아니면 경제적으로 관련된 결과와 다르게 정렬되는지는 경험적인 질문입니다. 이 논문은 GMX V2 무기한 거래 결과를 조밀한 검증 프레임으로 사용하는 Arbitrum One에 대한 질문에 답합니다[23]. 왜냐하면 과소담보 대출 기본 라벨이 이 체인에서 드물기 때문입니다.</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Research</w:t>
      </w:r>
      <w:r>
        <w:rPr>
          <w:spacing w:val="16"/>
        </w:rPr>
        <w:t> </w:t>
      </w:r>
      <w:r>
        <w:rPr>
          <w:spacing w:val="-2"/>
        </w:rPr>
        <w:t>problem</w:t>
      </w:r>
    </w:p>
    <w:p>
      <w:pPr>
        <w:pStyle w:val="Heading2"/>
        <w:numPr>
          <w:ilvl w:val="1"/>
          <w:numId w:val="8"/>
        </w:numPr>
        <w:tabs>
          <w:tab w:pos="783" w:val="left" w:leader="none"/>
        </w:tabs>
        <w:spacing w:line="240" w:lineRule="auto" w:before="0" w:after="0"/>
        <w:ind w:left="783" w:right="0" w:hanging="501"/>
        <w:jc w:val="left"/>
      </w:pPr>
      <w:r>
        <w:rPr>
          <w:i/>
        </w:rPr>
        <w:t>연구문제</w:t>
      </w:r>
    </w:p>
    <w:p>
      <w:pPr>
        <w:pStyle w:val="BodyText"/>
        <w:spacing w:before="24"/>
        <w:rPr>
          <w:b/>
          <w:sz w:val="28"/>
        </w:rPr>
      </w:pPr>
    </w:p>
    <w:p>
      <w:pPr>
        <w:pStyle w:val="BodyText"/>
        <w:spacing w:line="396" w:lineRule="auto"/>
        <w:ind w:left="282" w:right="523"/>
        <w:jc w:val="both"/>
      </w:pPr>
      <w:r>
        <w:rPr/>
        <w:t>Existing Adaptive Weighted PageRank (AWP) methods infer trust from transfer volume and lo-gistic time-decay over transaction history </w:t>
      </w:r>
      <w:hyperlink w:history="true" w:anchor="_bookmark149">
        <w:r>
          <w:rPr>
            <w:vertAlign w:val="superscript"/>
          </w:rPr>
          <w:t>[16]</w:t>
        </w:r>
      </w:hyperlink>
      <w:r>
        <w:rPr>
          <w:vertAlign w:val="baseline"/>
        </w:rPr>
        <w:t>.</w:t>
      </w:r>
      <w:r>
        <w:rPr>
          <w:spacing w:val="40"/>
          <w:vertAlign w:val="baseline"/>
        </w:rPr>
        <w:t> </w:t>
      </w:r>
      <w:r>
        <w:rPr>
          <w:vertAlign w:val="baseline"/>
        </w:rPr>
        <w:t>While economically interpretable, they (i) require expensive</w:t>
      </w:r>
      <w:r>
        <w:rPr>
          <w:spacing w:val="-6"/>
          <w:vertAlign w:val="baseline"/>
        </w:rPr>
        <w:t> </w:t>
      </w:r>
      <w:r>
        <w:rPr>
          <w:vertAlign w:val="baseline"/>
        </w:rPr>
        <w:t>historical</w:t>
      </w:r>
      <w:r>
        <w:rPr>
          <w:spacing w:val="-5"/>
          <w:vertAlign w:val="baseline"/>
        </w:rPr>
        <w:t> </w:t>
      </w:r>
      <w:r>
        <w:rPr>
          <w:vertAlign w:val="baseline"/>
        </w:rPr>
        <w:t>transfer</w:t>
      </w:r>
      <w:r>
        <w:rPr>
          <w:spacing w:val="-6"/>
          <w:vertAlign w:val="baseline"/>
        </w:rPr>
        <w:t> </w:t>
      </w:r>
      <w:r>
        <w:rPr>
          <w:vertAlign w:val="baseline"/>
        </w:rPr>
        <w:t>aggregation,</w:t>
      </w:r>
      <w:r>
        <w:rPr>
          <w:spacing w:val="-5"/>
          <w:vertAlign w:val="baseline"/>
        </w:rPr>
        <w:t> </w:t>
      </w:r>
      <w:r>
        <w:rPr>
          <w:vertAlign w:val="baseline"/>
        </w:rPr>
        <w:t>(ii)</w:t>
      </w:r>
      <w:r>
        <w:rPr>
          <w:spacing w:val="-5"/>
          <w:vertAlign w:val="baseline"/>
        </w:rPr>
        <w:t> </w:t>
      </w:r>
      <w:r>
        <w:rPr>
          <w:vertAlign w:val="baseline"/>
        </w:rPr>
        <w:t>treat</w:t>
      </w:r>
      <w:r>
        <w:rPr>
          <w:spacing w:val="-6"/>
          <w:vertAlign w:val="baseline"/>
        </w:rPr>
        <w:t> </w:t>
      </w:r>
      <w:r>
        <w:rPr>
          <w:vertAlign w:val="baseline"/>
        </w:rPr>
        <w:t>inbound</w:t>
      </w:r>
      <w:r>
        <w:rPr>
          <w:spacing w:val="-5"/>
          <w:vertAlign w:val="baseline"/>
        </w:rPr>
        <w:t> </w:t>
      </w:r>
      <w:r>
        <w:rPr>
          <w:vertAlign w:val="baseline"/>
        </w:rPr>
        <w:t>transfer</w:t>
      </w:r>
      <w:r>
        <w:rPr>
          <w:spacing w:val="-6"/>
          <w:vertAlign w:val="baseline"/>
        </w:rPr>
        <w:t> </w:t>
      </w:r>
      <w:r>
        <w:rPr>
          <w:vertAlign w:val="baseline"/>
        </w:rPr>
        <w:t>volume</w:t>
      </w:r>
      <w:r>
        <w:rPr>
          <w:spacing w:val="-5"/>
          <w:vertAlign w:val="baseline"/>
        </w:rPr>
        <w:t> </w:t>
      </w:r>
      <w:r>
        <w:rPr>
          <w:vertAlign w:val="baseline"/>
        </w:rPr>
        <w:t>as</w:t>
      </w:r>
      <w:r>
        <w:rPr>
          <w:spacing w:val="-6"/>
          <w:vertAlign w:val="baseline"/>
        </w:rPr>
        <w:t> </w:t>
      </w:r>
      <w:r>
        <w:rPr>
          <w:vertAlign w:val="baseline"/>
        </w:rPr>
        <w:t>a</w:t>
      </w:r>
      <w:r>
        <w:rPr>
          <w:spacing w:val="-6"/>
          <w:vertAlign w:val="baseline"/>
        </w:rPr>
        <w:t> </w:t>
      </w:r>
      <w:r>
        <w:rPr>
          <w:vertAlign w:val="baseline"/>
        </w:rPr>
        <w:t>proxy</w:t>
      </w:r>
      <w:r>
        <w:rPr>
          <w:spacing w:val="-5"/>
          <w:vertAlign w:val="baseline"/>
        </w:rPr>
        <w:t> </w:t>
      </w:r>
      <w:r>
        <w:rPr>
          <w:vertAlign w:val="baseline"/>
        </w:rPr>
        <w:t>for</w:t>
      </w:r>
      <w:r>
        <w:rPr>
          <w:spacing w:val="-6"/>
          <w:vertAlign w:val="baseline"/>
        </w:rPr>
        <w:t> </w:t>
      </w:r>
      <w:r>
        <w:rPr>
          <w:vertAlign w:val="baseline"/>
        </w:rPr>
        <w:t>a</w:t>
      </w:r>
      <w:r>
        <w:rPr>
          <w:spacing w:val="-5"/>
          <w:vertAlign w:val="baseline"/>
        </w:rPr>
        <w:t> </w:t>
      </w:r>
      <w:r>
        <w:rPr>
          <w:vertAlign w:val="baseline"/>
        </w:rPr>
        <w:t>“valu-able</w:t>
      </w:r>
      <w:r>
        <w:rPr>
          <w:spacing w:val="-3"/>
          <w:vertAlign w:val="baseline"/>
        </w:rPr>
        <w:t> </w:t>
      </w:r>
      <w:r>
        <w:rPr>
          <w:vertAlign w:val="baseline"/>
        </w:rPr>
        <w:t>wallet,”</w:t>
      </w:r>
      <w:r>
        <w:rPr>
          <w:spacing w:val="-3"/>
          <w:vertAlign w:val="baseline"/>
        </w:rPr>
        <w:t> </w:t>
      </w:r>
      <w:r>
        <w:rPr>
          <w:vertAlign w:val="baseline"/>
        </w:rPr>
        <w:t>and</w:t>
      </w:r>
      <w:r>
        <w:rPr>
          <w:spacing w:val="-3"/>
          <w:vertAlign w:val="baseline"/>
        </w:rPr>
        <w:t> </w:t>
      </w:r>
      <w:r>
        <w:rPr>
          <w:vertAlign w:val="baseline"/>
        </w:rPr>
        <w:t>(iii)</w:t>
      </w:r>
      <w:r>
        <w:rPr>
          <w:spacing w:val="-3"/>
          <w:vertAlign w:val="baseline"/>
        </w:rPr>
        <w:t> </w:t>
      </w:r>
      <w:r>
        <w:rPr>
          <w:vertAlign w:val="baseline"/>
        </w:rPr>
        <w:t>do</w:t>
      </w:r>
      <w:r>
        <w:rPr>
          <w:spacing w:val="-3"/>
          <w:vertAlign w:val="baseline"/>
        </w:rPr>
        <w:t> </w:t>
      </w:r>
      <w:r>
        <w:rPr>
          <w:vertAlign w:val="baseline"/>
        </w:rPr>
        <w:t>not</w:t>
      </w:r>
      <w:r>
        <w:rPr>
          <w:spacing w:val="-3"/>
          <w:vertAlign w:val="baseline"/>
        </w:rPr>
        <w:t> </w:t>
      </w:r>
      <w:r>
        <w:rPr>
          <w:vertAlign w:val="baseline"/>
        </w:rPr>
        <w:t>model</w:t>
      </w:r>
      <w:r>
        <w:rPr>
          <w:spacing w:val="-3"/>
          <w:vertAlign w:val="baseline"/>
        </w:rPr>
        <w:t> </w:t>
      </w:r>
      <w:r>
        <w:rPr>
          <w:vertAlign w:val="baseline"/>
        </w:rPr>
        <w:t>explicit</w:t>
      </w:r>
      <w:r>
        <w:rPr>
          <w:spacing w:val="-3"/>
          <w:vertAlign w:val="baseline"/>
        </w:rPr>
        <w:t> </w:t>
      </w:r>
      <w:r>
        <w:rPr>
          <w:vertAlign w:val="baseline"/>
        </w:rPr>
        <w:t>spending</w:t>
      </w:r>
      <w:r>
        <w:rPr>
          <w:spacing w:val="-3"/>
          <w:vertAlign w:val="baseline"/>
        </w:rPr>
        <w:t> </w:t>
      </w:r>
      <w:r>
        <w:rPr>
          <w:vertAlign w:val="baseline"/>
        </w:rPr>
        <w:t>authorization. EndorseRank</w:t>
      </w:r>
      <w:r>
        <w:rPr>
          <w:spacing w:val="-3"/>
          <w:vertAlign w:val="baseline"/>
        </w:rPr>
        <w:t> </w:t>
      </w:r>
      <w:r>
        <w:rPr>
          <w:vertAlign w:val="baseline"/>
        </w:rPr>
        <w:t>instead</w:t>
      </w:r>
      <w:r>
        <w:rPr>
          <w:spacing w:val="-3"/>
          <w:vertAlign w:val="baseline"/>
        </w:rPr>
        <w:t> </w:t>
      </w:r>
      <w:r>
        <w:rPr>
          <w:vertAlign w:val="baseline"/>
        </w:rPr>
        <w:t>uses</w:t>
      </w:r>
      <w:r>
        <w:rPr>
          <w:spacing w:val="-3"/>
          <w:vertAlign w:val="baseline"/>
        </w:rPr>
        <w:t> </w:t>
      </w:r>
      <w:r>
        <w:rPr>
          <w:vertAlign w:val="baseline"/>
        </w:rPr>
        <w:t>the latest allowance per owner–spender pair as edge strength on a directed endorsement graph, yield-ing</w:t>
      </w:r>
      <w:r>
        <w:rPr>
          <w:spacing w:val="15"/>
          <w:vertAlign w:val="baseline"/>
        </w:rPr>
        <w:t> </w:t>
      </w:r>
      <w:r>
        <w:rPr>
          <w:vertAlign w:val="baseline"/>
        </w:rPr>
        <w:t>a</w:t>
      </w:r>
      <w:r>
        <w:rPr>
          <w:spacing w:val="17"/>
          <w:vertAlign w:val="baseline"/>
        </w:rPr>
        <w:t> </w:t>
      </w:r>
      <w:r>
        <w:rPr>
          <w:vertAlign w:val="baseline"/>
        </w:rPr>
        <w:t>sparser</w:t>
      </w:r>
      <w:r>
        <w:rPr>
          <w:spacing w:val="16"/>
          <w:vertAlign w:val="baseline"/>
        </w:rPr>
        <w:t> </w:t>
      </w:r>
      <w:r>
        <w:rPr>
          <w:vertAlign w:val="baseline"/>
        </w:rPr>
        <w:t>graph</w:t>
      </w:r>
      <w:r>
        <w:rPr>
          <w:spacing w:val="17"/>
          <w:vertAlign w:val="baseline"/>
        </w:rPr>
        <w:t> </w:t>
      </w:r>
      <w:r>
        <w:rPr>
          <w:vertAlign w:val="baseline"/>
        </w:rPr>
        <w:t>and</w:t>
      </w:r>
      <w:r>
        <w:rPr>
          <w:spacing w:val="16"/>
          <w:vertAlign w:val="baseline"/>
        </w:rPr>
        <w:t> </w:t>
      </w:r>
      <w:r>
        <w:rPr>
          <w:vertAlign w:val="baseline"/>
        </w:rPr>
        <w:t>a</w:t>
      </w:r>
      <w:r>
        <w:rPr>
          <w:spacing w:val="17"/>
          <w:vertAlign w:val="baseline"/>
        </w:rPr>
        <w:t> </w:t>
      </w:r>
      <w:r>
        <w:rPr>
          <w:vertAlign w:val="baseline"/>
        </w:rPr>
        <w:t>semantically</w:t>
      </w:r>
      <w:r>
        <w:rPr>
          <w:spacing w:val="16"/>
          <w:vertAlign w:val="baseline"/>
        </w:rPr>
        <w:t> </w:t>
      </w:r>
      <w:r>
        <w:rPr>
          <w:vertAlign w:val="baseline"/>
        </w:rPr>
        <w:t>distinct</w:t>
      </w:r>
      <w:r>
        <w:rPr>
          <w:spacing w:val="16"/>
          <w:vertAlign w:val="baseline"/>
        </w:rPr>
        <w:t> </w:t>
      </w:r>
      <w:r>
        <w:rPr>
          <w:vertAlign w:val="baseline"/>
        </w:rPr>
        <w:t>trust</w:t>
      </w:r>
      <w:r>
        <w:rPr>
          <w:spacing w:val="17"/>
          <w:vertAlign w:val="baseline"/>
        </w:rPr>
        <w:t> </w:t>
      </w:r>
      <w:r>
        <w:rPr>
          <w:vertAlign w:val="baseline"/>
        </w:rPr>
        <w:t>signal</w:t>
      </w:r>
      <w:r>
        <w:rPr>
          <w:spacing w:val="16"/>
          <w:vertAlign w:val="baseline"/>
        </w:rPr>
        <w:t> </w:t>
      </w:r>
      <w:r>
        <w:rPr>
          <w:vertAlign w:val="baseline"/>
        </w:rPr>
        <w:t>without</w:t>
      </w:r>
      <w:r>
        <w:rPr>
          <w:spacing w:val="17"/>
          <w:vertAlign w:val="baseline"/>
        </w:rPr>
        <w:t> </w:t>
      </w:r>
      <w:r>
        <w:rPr>
          <w:vertAlign w:val="baseline"/>
        </w:rPr>
        <w:t>temporal</w:t>
      </w:r>
      <w:r>
        <w:rPr>
          <w:spacing w:val="16"/>
          <w:vertAlign w:val="baseline"/>
        </w:rPr>
        <w:t> </w:t>
      </w:r>
      <w:r>
        <w:rPr>
          <w:vertAlign w:val="baseline"/>
        </w:rPr>
        <w:t>decay</w:t>
      </w:r>
      <w:r>
        <w:rPr>
          <w:spacing w:val="17"/>
          <w:vertAlign w:val="baseline"/>
        </w:rPr>
        <w:t> </w:t>
      </w:r>
      <w:r>
        <w:rPr>
          <w:spacing w:val="-2"/>
          <w:vertAlign w:val="baseline"/>
        </w:rPr>
        <w:t>weighting—</w:t>
      </w:r>
    </w:p>
    <w:p>
      <w:pPr>
        <w:pStyle w:val="BodyText"/>
        <w:spacing w:line="396" w:lineRule="auto"/>
        <w:ind w:left="282" w:right="523"/>
        <w:jc w:val="both"/>
      </w:pPr>
      <w:r>
        <w:rPr>
          <w:i/>
        </w:rPr>
        <w:t>기존 Adaptive Weighted PageRank(AWP) 방법은 전송량과 거래 내역에 대한 로지스틱 시간 감소로부터 신뢰를 추론합니다[16]. 경제적으로 해석 가능하지만 (i) 비용이 많이 드는 과거 이체 집계가 필요하고, (ii) 인바운드 이체 볼륨을 "가치 있는 지갑"의 프록시로 취급하며, (iii) 명시적인 지출 승인을 모델링하지 않습니다. EndorseRank 대신 소유자-소비자 쌍당 최신 허용량을 방향성 보증 그래프의 에지 강도로 사용하여 시간적 붕괴 가중치 없이 희박한 그래프와 의미상으로 구별되는 신뢰 신호를 생성합니다.</w:t>
      </w:r>
    </w:p>
    <w:p>
      <w:pPr>
        <w:pStyle w:val="BodyText"/>
        <w:spacing w:before="100"/>
        <w:rPr>
          <w:sz w:val="20"/>
        </w:rPr>
      </w:pPr>
      <w:r>
        <w:rPr>
          <w:sz w:val="20"/>
        </w:rPr>
        <mc:AlternateContent>
          <mc:Choice Requires="wps">
            <w:drawing>
              <wp:anchor distT="0" distB="0" distL="0" distR="0" allowOverlap="1" layoutInCell="1" locked="0" behindDoc="1" simplePos="0" relativeHeight="487590912">
                <wp:simplePos x="0" y="0"/>
                <wp:positionH relativeFrom="page">
                  <wp:posOffset>809244</wp:posOffset>
                </wp:positionH>
                <wp:positionV relativeFrom="paragraph">
                  <wp:posOffset>225281</wp:posOffset>
                </wp:positionV>
                <wp:extent cx="237680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7.738676pt;width:187.15pt;height:.1pt;mso-position-horizontal-relative:page;mso-position-vertical-relative:paragraph;z-index:-15725568;mso-wrap-distance-left:0;mso-wrap-distance-right:0" id="docshape8" coordorigin="1274,355" coordsize="3743,0" path="m1274,355l5017,355e" filled="false" stroked="true" strokeweight=".3985pt" strokecolor="#000000">
                <v:path arrowok="t"/>
                <v:stroke dashstyle="solid"/>
                <w10:wrap type="topAndBottom"/>
              </v:shape>
            </w:pict>
          </mc:Fallback>
        </mc:AlternateContent>
      </w:r>
    </w:p>
    <w:p>
      <w:pPr>
        <w:spacing w:line="247" w:lineRule="auto" w:before="18"/>
        <w:ind w:left="354" w:right="564" w:hanging="73"/>
        <w:jc w:val="both"/>
        <w:rPr>
          <w:sz w:val="20"/>
        </w:rPr>
      </w:pPr>
      <w:r>
        <w:rPr>
          <w:position w:val="7"/>
          <w:sz w:val="14"/>
        </w:rPr>
        <w:t>1</w:t>
      </w:r>
      <w:bookmarkStart w:name="_bookmark8" w:id="13"/>
      <w:bookmarkEnd w:id="13"/>
      <w:r>
        <w:rPr>
          <w:spacing w:val="3"/>
          <w:position w:val="7"/>
          <w:sz w:val="14"/>
        </w:rPr>
      </w:r>
      <w:r>
        <w:rPr>
          <w:sz w:val="20"/>
        </w:rPr>
        <w:t>The matched cohort is the intersection of wallets with at least three GMX V2 </w:t>
      </w:r>
      <w:r>
        <w:rPr>
          <w:rFonts w:ascii="Cambria"/>
          <w:sz w:val="20"/>
        </w:rPr>
        <w:t>PositionDecrease </w:t>
      </w:r>
      <w:r>
        <w:rPr>
          <w:sz w:val="20"/>
        </w:rPr>
        <w:t>closes in the observation</w:t>
      </w:r>
      <w:r>
        <w:rPr>
          <w:spacing w:val="-2"/>
          <w:sz w:val="20"/>
        </w:rPr>
        <w:t> </w:t>
      </w:r>
      <w:r>
        <w:rPr>
          <w:sz w:val="20"/>
        </w:rPr>
        <w:t>window</w:t>
      </w:r>
      <w:r>
        <w:rPr>
          <w:spacing w:val="-2"/>
          <w:sz w:val="20"/>
        </w:rPr>
        <w:t> </w:t>
      </w:r>
      <w:r>
        <w:rPr>
          <w:sz w:val="20"/>
        </w:rPr>
        <w:t>and</w:t>
      </w:r>
      <w:r>
        <w:rPr>
          <w:spacing w:val="-2"/>
          <w:sz w:val="20"/>
        </w:rPr>
        <w:t> </w:t>
      </w:r>
      <w:r>
        <w:rPr>
          <w:sz w:val="20"/>
        </w:rPr>
        <w:t>non-zero</w:t>
      </w:r>
      <w:r>
        <w:rPr>
          <w:spacing w:val="-2"/>
          <w:sz w:val="20"/>
        </w:rPr>
        <w:t> </w:t>
      </w:r>
      <w:r>
        <w:rPr>
          <w:sz w:val="20"/>
        </w:rPr>
        <w:t>connectivity</w:t>
      </w:r>
      <w:r>
        <w:rPr>
          <w:spacing w:val="-2"/>
          <w:sz w:val="20"/>
        </w:rPr>
        <w:t> </w:t>
      </w:r>
      <w:r>
        <w:rPr>
          <w:sz w:val="20"/>
        </w:rPr>
        <w:t>in</w:t>
      </w:r>
      <w:r>
        <w:rPr>
          <w:spacing w:val="-2"/>
          <w:sz w:val="20"/>
        </w:rPr>
        <w:t> </w:t>
      </w:r>
      <w:r>
        <w:rPr>
          <w:sz w:val="20"/>
        </w:rPr>
        <w:t>the</w:t>
      </w:r>
      <w:r>
        <w:rPr>
          <w:spacing w:val="-2"/>
          <w:sz w:val="20"/>
        </w:rPr>
        <w:t> </w:t>
      </w:r>
      <w:r>
        <w:rPr>
          <w:sz w:val="20"/>
        </w:rPr>
        <w:t>reputation</w:t>
      </w:r>
      <w:r>
        <w:rPr>
          <w:spacing w:val="-2"/>
          <w:sz w:val="20"/>
        </w:rPr>
        <w:t> </w:t>
      </w:r>
      <w:r>
        <w:rPr>
          <w:sz w:val="20"/>
        </w:rPr>
        <w:t>subgraphs.</w:t>
      </w:r>
      <w:r>
        <w:rPr>
          <w:spacing w:val="17"/>
          <w:sz w:val="20"/>
        </w:rPr>
        <w:t> </w:t>
      </w:r>
      <w:r>
        <w:rPr>
          <w:sz w:val="20"/>
        </w:rPr>
        <w:t>Runtime</w:t>
      </w:r>
      <w:r>
        <w:rPr>
          <w:spacing w:val="-2"/>
          <w:sz w:val="20"/>
        </w:rPr>
        <w:t> </w:t>
      </w:r>
      <w:r>
        <w:rPr>
          <w:sz w:val="20"/>
        </w:rPr>
        <w:t>scaling</w:t>
      </w:r>
      <w:r>
        <w:rPr>
          <w:spacing w:val="-2"/>
          <w:sz w:val="20"/>
        </w:rPr>
        <w:t> </w:t>
      </w:r>
      <w:r>
        <w:rPr>
          <w:sz w:val="20"/>
        </w:rPr>
        <w:t>uses</w:t>
      </w:r>
      <w:r>
        <w:rPr>
          <w:spacing w:val="-2"/>
          <w:sz w:val="20"/>
        </w:rPr>
        <w:t> </w:t>
      </w:r>
      <w:r>
        <w:rPr>
          <w:sz w:val="20"/>
        </w:rPr>
        <w:t>a</w:t>
      </w:r>
      <w:r>
        <w:rPr>
          <w:spacing w:val="-2"/>
          <w:sz w:val="20"/>
        </w:rPr>
        <w:t> </w:t>
      </w:r>
      <w:r>
        <w:rPr>
          <w:sz w:val="20"/>
        </w:rPr>
        <w:t>larger</w:t>
      </w:r>
      <w:r>
        <w:rPr>
          <w:spacing w:val="-2"/>
          <w:sz w:val="20"/>
        </w:rPr>
        <w:t> </w:t>
      </w:r>
      <w:r>
        <w:rPr>
          <w:sz w:val="20"/>
        </w:rPr>
        <w:t>expanded </w:t>
      </w:r>
      <w:r>
        <w:rPr>
          <w:w w:val="110"/>
          <w:sz w:val="20"/>
        </w:rPr>
        <w:t>wallet pool (</w:t>
      </w:r>
      <w:r>
        <w:rPr>
          <w:rFonts w:ascii="Calibri"/>
          <w:i/>
          <w:w w:val="110"/>
          <w:sz w:val="20"/>
        </w:rPr>
        <w:t>N</w:t>
      </w:r>
      <w:r>
        <w:rPr>
          <w:rFonts w:ascii="Calibri"/>
          <w:i/>
          <w:spacing w:val="33"/>
          <w:w w:val="125"/>
          <w:sz w:val="20"/>
        </w:rPr>
        <w:t> </w:t>
      </w:r>
      <w:r>
        <w:rPr>
          <w:rFonts w:ascii="Calibri"/>
          <w:w w:val="125"/>
          <w:sz w:val="20"/>
        </w:rPr>
        <w:t>= </w:t>
      </w:r>
      <w:r>
        <w:rPr>
          <w:rFonts w:ascii="Calibri"/>
          <w:w w:val="110"/>
          <w:sz w:val="20"/>
        </w:rPr>
        <w:t>31</w:t>
      </w:r>
      <w:r>
        <w:rPr>
          <w:rFonts w:ascii="Calibri"/>
          <w:i/>
          <w:w w:val="110"/>
          <w:sz w:val="20"/>
        </w:rPr>
        <w:t>,</w:t>
      </w:r>
      <w:r>
        <w:rPr>
          <w:rFonts w:ascii="Calibri"/>
          <w:w w:val="110"/>
          <w:sz w:val="20"/>
        </w:rPr>
        <w:t>612</w:t>
      </w:r>
      <w:r>
        <w:rPr>
          <w:w w:val="110"/>
          <w:sz w:val="20"/>
        </w:rPr>
        <w:t>).</w:t>
      </w:r>
    </w:p>
    <w:p>
      <w:pPr>
        <w:spacing w:line="247" w:lineRule="auto" w:before="18"/>
        <w:ind w:left="354" w:right="564" w:hanging="73"/>
        <w:jc w:val="both"/>
        <w:rPr>
          <w:sz w:val="20"/>
        </w:rPr>
      </w:pPr>
      <w:r>
        <w:rPr>
          <w:i/>
        </w:rPr>
        <w:t>1일치하는 코호트는 관찰 창에서 3개 이상의 GMX V2 PositionDecrease가 닫히고 평판 하위 그래프에서 연결성이 0이 아닌 지갑의 교차점입니다. 런타임 확장은 더 큰 확장 지갑 풀(N = 31,612)을 사용합니다.</w:t>
      </w:r>
    </w:p>
    <w:p>
      <w:pPr>
        <w:spacing w:after="0" w:line="247" w:lineRule="auto"/>
        <w:jc w:val="both"/>
        <w:rPr>
          <w:sz w:val="20"/>
        </w:rPr>
        <w:sectPr>
          <w:pgSz w:w="11910" w:h="16840"/>
          <w:pgMar w:header="0" w:footer="2115" w:top="1840" w:bottom="2300" w:left="992" w:right="708"/>
        </w:sectPr>
      </w:pPr>
    </w:p>
    <w:p>
      <w:pPr>
        <w:pStyle w:val="BodyText"/>
        <w:spacing w:line="396" w:lineRule="auto" w:before="72"/>
        <w:ind w:left="282" w:right="524"/>
        <w:jc w:val="both"/>
      </w:pPr>
      <w:r>
        <w:rPr/>
        <w:t>integrating</w:t>
      </w:r>
      <w:r>
        <w:rPr>
          <w:spacing w:val="-5"/>
        </w:rPr>
        <w:t> </w:t>
      </w:r>
      <w:r>
        <w:rPr/>
        <w:t>ERC-20</w:t>
      </w:r>
      <w:r>
        <w:rPr>
          <w:spacing w:val="-5"/>
        </w:rPr>
        <w:t> </w:t>
      </w:r>
      <w:r>
        <w:rPr/>
        <w:t>allowance</w:t>
      </w:r>
      <w:r>
        <w:rPr>
          <w:spacing w:val="-5"/>
        </w:rPr>
        <w:t> </w:t>
      </w:r>
      <w:r>
        <w:rPr/>
        <w:t>edges</w:t>
      </w:r>
      <w:r>
        <w:rPr>
          <w:spacing w:val="-5"/>
        </w:rPr>
        <w:t> </w:t>
      </w:r>
      <w:r>
        <w:rPr/>
        <w:t>into</w:t>
      </w:r>
      <w:r>
        <w:rPr>
          <w:spacing w:val="-5"/>
        </w:rPr>
        <w:t> </w:t>
      </w:r>
      <w:r>
        <w:rPr/>
        <w:t>PageRank</w:t>
      </w:r>
      <w:r>
        <w:rPr>
          <w:spacing w:val="-5"/>
        </w:rPr>
        <w:t> </w:t>
      </w:r>
      <w:r>
        <w:rPr/>
        <w:t>for</w:t>
      </w:r>
      <w:r>
        <w:rPr>
          <w:spacing w:val="-5"/>
        </w:rPr>
        <w:t> </w:t>
      </w:r>
      <w:r>
        <w:rPr/>
        <w:t>enhanced</w:t>
      </w:r>
      <w:r>
        <w:rPr>
          <w:spacing w:val="-5"/>
        </w:rPr>
        <w:t> </w:t>
      </w:r>
      <w:r>
        <w:rPr/>
        <w:t>on-chain</w:t>
      </w:r>
      <w:r>
        <w:rPr>
          <w:spacing w:val="-5"/>
        </w:rPr>
        <w:t> </w:t>
      </w:r>
      <w:r>
        <w:rPr/>
        <w:t>wallet</w:t>
      </w:r>
      <w:r>
        <w:rPr>
          <w:spacing w:val="-5"/>
        </w:rPr>
        <w:t> </w:t>
      </w:r>
      <w:r>
        <w:rPr/>
        <w:t>reputation</w:t>
      </w:r>
      <w:r>
        <w:rPr>
          <w:spacing w:val="-5"/>
        </w:rPr>
        <w:t> </w:t>
      </w:r>
      <w:r>
        <w:rPr/>
        <w:t>scor-</w:t>
      </w:r>
      <w:r>
        <w:rPr>
          <w:spacing w:val="-4"/>
        </w:rPr>
        <w:t>ing.</w:t>
      </w:r>
    </w:p>
    <w:p>
      <w:pPr>
        <w:pStyle w:val="BodyText"/>
        <w:spacing w:line="396" w:lineRule="auto" w:before="72"/>
        <w:ind w:left="282" w:right="524"/>
        <w:jc w:val="both"/>
      </w:pPr>
      <w:r>
        <w:rPr>
          <w:i/>
        </w:rPr>
        <w:t>향상된 온체인 지갑 평판 점수 계산을 위해 ERC-20 허용 가장자리를 PageRank에 통합합니다.</w:t>
      </w:r>
    </w:p>
    <w:p>
      <w:pPr>
        <w:pStyle w:val="BodyText"/>
        <w:spacing w:line="396" w:lineRule="auto" w:before="16"/>
        <w:ind w:left="282" w:right="522" w:hanging="8"/>
        <w:jc w:val="both"/>
      </w:pPr>
      <w:r>
        <w:rPr/>
        <w:t>The</w:t>
      </w:r>
      <w:r>
        <w:rPr>
          <w:spacing w:val="-2"/>
        </w:rPr>
        <w:t> </w:t>
      </w:r>
      <w:r>
        <w:rPr/>
        <w:t>research</w:t>
      </w:r>
      <w:r>
        <w:rPr>
          <w:spacing w:val="-2"/>
        </w:rPr>
        <w:t> </w:t>
      </w:r>
      <w:r>
        <w:rPr/>
        <w:t>problem</w:t>
      </w:r>
      <w:r>
        <w:rPr>
          <w:spacing w:val="-2"/>
        </w:rPr>
        <w:t> </w:t>
      </w:r>
      <w:r>
        <w:rPr/>
        <w:t>is</w:t>
      </w:r>
      <w:r>
        <w:rPr>
          <w:spacing w:val="-2"/>
        </w:rPr>
        <w:t> </w:t>
      </w:r>
      <w:r>
        <w:rPr/>
        <w:t>therefore</w:t>
      </w:r>
      <w:r>
        <w:rPr>
          <w:spacing w:val="-2"/>
        </w:rPr>
        <w:t> </w:t>
      </w:r>
      <w:r>
        <w:rPr/>
        <w:t>comparative</w:t>
      </w:r>
      <w:r>
        <w:rPr>
          <w:spacing w:val="-2"/>
        </w:rPr>
        <w:t> </w:t>
      </w:r>
      <w:r>
        <w:rPr/>
        <w:t>and</w:t>
      </w:r>
      <w:r>
        <w:rPr>
          <w:spacing w:val="-2"/>
        </w:rPr>
        <w:t> </w:t>
      </w:r>
      <w:r>
        <w:rPr/>
        <w:t>evaluative:</w:t>
      </w:r>
      <w:r>
        <w:rPr>
          <w:spacing w:val="19"/>
        </w:rPr>
        <w:t> </w:t>
      </w:r>
      <w:r>
        <w:rPr/>
        <w:t>on</w:t>
      </w:r>
      <w:r>
        <w:rPr>
          <w:spacing w:val="-2"/>
        </w:rPr>
        <w:t> </w:t>
      </w:r>
      <w:r>
        <w:rPr/>
        <w:t>an</w:t>
      </w:r>
      <w:r>
        <w:rPr>
          <w:spacing w:val="-2"/>
        </w:rPr>
        <w:t> </w:t>
      </w:r>
      <w:r>
        <w:rPr/>
        <w:t>identical</w:t>
      </w:r>
      <w:r>
        <w:rPr>
          <w:spacing w:val="-2"/>
        </w:rPr>
        <w:t> </w:t>
      </w:r>
      <w:r>
        <w:rPr/>
        <w:t>Arbitrum</w:t>
      </w:r>
      <w:r>
        <w:rPr>
          <w:spacing w:val="-2"/>
        </w:rPr>
        <w:t> </w:t>
      </w:r>
      <w:r>
        <w:rPr/>
        <w:t>One</w:t>
      </w:r>
      <w:r>
        <w:rPr>
          <w:spacing w:val="-2"/>
        </w:rPr>
        <w:t> </w:t>
      </w:r>
      <w:r>
        <w:rPr/>
        <w:t>wal-let sample with GMX V2 perpetual activity, does EndorseRank produce wallet orderings that are construct-distinct from AWP, align credibly with domain-intuition proxies (including allowance-specific and trading-success families), and do so at substantially lower computational cost?</w:t>
      </w:r>
      <w:r>
        <w:rPr>
          <w:spacing w:val="40"/>
        </w:rPr>
        <w:t> </w:t>
      </w:r>
      <w:r>
        <w:rPr/>
        <w:t>The primary</w:t>
      </w:r>
      <w:r>
        <w:rPr>
          <w:spacing w:val="-15"/>
        </w:rPr>
        <w:t> </w:t>
      </w:r>
      <w:r>
        <w:rPr/>
        <w:t>comparison</w:t>
      </w:r>
      <w:r>
        <w:rPr>
          <w:spacing w:val="-15"/>
        </w:rPr>
        <w:t> </w:t>
      </w:r>
      <w:r>
        <w:rPr/>
        <w:t>is</w:t>
      </w:r>
      <w:r>
        <w:rPr>
          <w:spacing w:val="-15"/>
        </w:rPr>
        <w:t> </w:t>
      </w:r>
      <w:r>
        <w:rPr/>
        <w:t>EndorseRank</w:t>
      </w:r>
      <w:r>
        <w:rPr>
          <w:spacing w:val="-15"/>
        </w:rPr>
        <w:t> </w:t>
      </w:r>
      <w:r>
        <w:rPr/>
        <w:t>versus</w:t>
      </w:r>
      <w:r>
        <w:rPr>
          <w:spacing w:val="-15"/>
        </w:rPr>
        <w:t> </w:t>
      </w:r>
      <w:r>
        <w:rPr/>
        <w:t>AWP;</w:t>
      </w:r>
      <w:r>
        <w:rPr>
          <w:spacing w:val="-15"/>
        </w:rPr>
        <w:t> </w:t>
      </w:r>
      <w:r>
        <w:rPr/>
        <w:t>a</w:t>
      </w:r>
      <w:r>
        <w:rPr>
          <w:spacing w:val="-15"/>
        </w:rPr>
        <w:t> </w:t>
      </w:r>
      <w:r>
        <w:rPr/>
        <w:t>supplementary</w:t>
      </w:r>
      <w:r>
        <w:rPr>
          <w:spacing w:val="-15"/>
        </w:rPr>
        <w:t> </w:t>
      </w:r>
      <w:r>
        <w:rPr/>
        <w:t>outcome-native</w:t>
      </w:r>
      <w:r>
        <w:rPr>
          <w:spacing w:val="-15"/>
        </w:rPr>
        <w:t> </w:t>
      </w:r>
      <w:r>
        <w:rPr/>
        <w:t>reference</w:t>
      </w:r>
      <w:r>
        <w:rPr>
          <w:spacing w:val="-15"/>
        </w:rPr>
        <w:t> </w:t>
      </w:r>
      <w:r>
        <w:rPr/>
        <w:t>(GF-PR) is introduced later to bound interpretation of trading-outcome proxies, not to replace either social method.</w:t>
      </w:r>
    </w:p>
    <w:p>
      <w:pPr>
        <w:pStyle w:val="BodyText"/>
        <w:spacing w:line="396" w:lineRule="auto" w:before="16"/>
        <w:ind w:left="282" w:right="522" w:hanging="8"/>
        <w:jc w:val="both"/>
      </w:pPr>
      <w:r>
        <w:rPr>
          <w:i/>
        </w:rPr>
        <w:t>따라서 연구 문제는 비교 및 ​​평가적입니다. GMX V2 영구 활동이 포함된 동일한 Arbitrum One 지갑 샘플에서 EndorseRank는 AWP와 구조적으로 구별되는 지갑 주문을 생성하고 도메인 직관 프록시(수당별 및 거래 성공 제품군 포함)와 확실하게 일치하며 상당히 낮은 계산 비용으로 그렇게 합니까? 기본 비교는 EndorseRank 대 AWP이며, 사회적 방법을 대체하는 것이 아니라 거래 결과 프록시의 제한된 해석을 위해 나중에 추가 결과 기반 참조(GF-PR)가 도입됩니다.</w:t>
      </w:r>
    </w:p>
    <w:p>
      <w:pPr>
        <w:pStyle w:val="BodyText"/>
        <w:spacing w:line="396" w:lineRule="auto" w:before="22"/>
        <w:ind w:left="282" w:right="525" w:hanging="8"/>
        <w:jc w:val="both"/>
      </w:pPr>
      <w:r>
        <w:rPr/>
        <w:t>Table </w:t>
      </w:r>
      <w:hyperlink w:history="true" w:anchor="_bookmark9">
        <w:r>
          <w:rPr/>
          <w:t>1.1</w:t>
        </w:r>
      </w:hyperlink>
      <w:r>
        <w:rPr/>
        <w:t> summarizes the primary comparison.</w:t>
      </w:r>
      <w:r>
        <w:rPr>
          <w:spacing w:val="40"/>
        </w:rPr>
        <w:t> </w:t>
      </w:r>
      <w:r>
        <w:rPr/>
        <w:t>Table </w:t>
      </w:r>
      <w:hyperlink w:history="true" w:anchor="_bookmark13">
        <w:r>
          <w:rPr/>
          <w:t>1.3</w:t>
        </w:r>
      </w:hyperlink>
      <w:r>
        <w:rPr/>
        <w:t> summarizes hypotheses (H1–H3), re-search</w:t>
      </w:r>
      <w:r>
        <w:rPr>
          <w:spacing w:val="-15"/>
        </w:rPr>
        <w:t> </w:t>
      </w:r>
      <w:r>
        <w:rPr/>
        <w:t>questions</w:t>
      </w:r>
      <w:r>
        <w:rPr>
          <w:spacing w:val="-15"/>
        </w:rPr>
        <w:t> </w:t>
      </w:r>
      <w:r>
        <w:rPr/>
        <w:t>(RQ1–RQ4),</w:t>
      </w:r>
      <w:r>
        <w:rPr>
          <w:spacing w:val="-15"/>
        </w:rPr>
        <w:t> </w:t>
      </w:r>
      <w:r>
        <w:rPr/>
        <w:t>supplementary</w:t>
      </w:r>
      <w:r>
        <w:rPr>
          <w:spacing w:val="-15"/>
        </w:rPr>
        <w:t> </w:t>
      </w:r>
      <w:r>
        <w:rPr/>
        <w:t>question</w:t>
      </w:r>
      <w:r>
        <w:rPr>
          <w:spacing w:val="-15"/>
        </w:rPr>
        <w:t> </w:t>
      </w:r>
      <w:r>
        <w:rPr/>
        <w:t>SRQ1,</w:t>
      </w:r>
      <w:r>
        <w:rPr>
          <w:spacing w:val="-15"/>
        </w:rPr>
        <w:t> </w:t>
      </w:r>
      <w:r>
        <w:rPr/>
        <w:t>and</w:t>
      </w:r>
      <w:r>
        <w:rPr>
          <w:spacing w:val="-15"/>
        </w:rPr>
        <w:t> </w:t>
      </w:r>
      <w:r>
        <w:rPr/>
        <w:t>Chapter</w:t>
      </w:r>
      <w:r>
        <w:rPr>
          <w:spacing w:val="-15"/>
        </w:rPr>
        <w:t> </w:t>
      </w:r>
      <w:r>
        <w:rPr/>
        <w:t>4</w:t>
      </w:r>
      <w:r>
        <w:rPr>
          <w:spacing w:val="-15"/>
        </w:rPr>
        <w:t> </w:t>
      </w:r>
      <w:r>
        <w:rPr/>
        <w:t>empirical</w:t>
      </w:r>
      <w:r>
        <w:rPr>
          <w:spacing w:val="-15"/>
        </w:rPr>
        <w:t> </w:t>
      </w:r>
      <w:r>
        <w:rPr/>
        <w:t>claims</w:t>
      </w:r>
      <w:r>
        <w:rPr>
          <w:spacing w:val="-15"/>
        </w:rPr>
        <w:t> </w:t>
      </w:r>
      <w:r>
        <w:rPr/>
        <w:t>(C1–C4, SC1).</w:t>
      </w:r>
    </w:p>
    <w:p>
      <w:pPr>
        <w:pStyle w:val="BodyText"/>
        <w:spacing w:line="396" w:lineRule="auto" w:before="22"/>
        <w:ind w:left="282" w:right="525" w:hanging="8"/>
        <w:jc w:val="both"/>
      </w:pPr>
      <w:r>
        <w:rPr>
          <w:i/>
        </w:rPr>
        <w:t>표 1.1에는 주요 비교가 요약되어 있습니다. 표 1.3에는 가설(H1~H3), 연구 질문(RQ1~RQ4), 보충 질문 SRQ1, 4장의 경험적 주장(C1~C4, SC1)이 요약되어 있습니다.</w:t>
      </w:r>
    </w:p>
    <w:p>
      <w:pPr>
        <w:pStyle w:val="BodyText"/>
        <w:spacing w:before="58"/>
        <w:ind w:left="374"/>
        <w:jc w:val="both"/>
      </w:pPr>
      <w:bookmarkStart w:name="_bookmark9" w:id="14"/>
      <w:bookmarkEnd w:id="14"/>
      <w:r>
        <w:rPr/>
      </w:r>
      <w:r>
        <w:rPr/>
        <w:t>Table</w:t>
      </w:r>
      <w:r>
        <w:rPr>
          <w:spacing w:val="-4"/>
        </w:rPr>
        <w:t> </w:t>
      </w:r>
      <w:r>
        <w:rPr/>
        <w:t>1.1:</w:t>
      </w:r>
      <w:r>
        <w:rPr>
          <w:spacing w:val="15"/>
        </w:rPr>
        <w:t> </w:t>
      </w:r>
      <w:r>
        <w:rPr/>
        <w:t>Primary</w:t>
      </w:r>
      <w:r>
        <w:rPr>
          <w:spacing w:val="-4"/>
        </w:rPr>
        <w:t> </w:t>
      </w:r>
      <w:r>
        <w:rPr/>
        <w:t>comparison:</w:t>
      </w:r>
      <w:r>
        <w:rPr>
          <w:spacing w:val="15"/>
        </w:rPr>
        <w:t> </w:t>
      </w:r>
      <w:r>
        <w:rPr/>
        <w:t>EndorseRank</w:t>
      </w:r>
      <w:r>
        <w:rPr>
          <w:spacing w:val="-4"/>
        </w:rPr>
        <w:t> </w:t>
      </w:r>
      <w:r>
        <w:rPr/>
        <w:t>versus</w:t>
      </w:r>
      <w:r>
        <w:rPr>
          <w:spacing w:val="-4"/>
        </w:rPr>
        <w:t> </w:t>
      </w:r>
      <w:r>
        <w:rPr/>
        <w:t>AWP</w:t>
      </w:r>
      <w:r>
        <w:rPr>
          <w:spacing w:val="-4"/>
        </w:rPr>
        <w:t> </w:t>
      </w:r>
      <w:r>
        <w:rPr/>
        <w:t>(matched</w:t>
      </w:r>
      <w:r>
        <w:rPr>
          <w:spacing w:val="-4"/>
        </w:rPr>
        <w:t> </w:t>
      </w:r>
      <w:r>
        <w:rPr/>
        <w:t>wallet</w:t>
      </w:r>
      <w:r>
        <w:rPr>
          <w:spacing w:val="-4"/>
        </w:rPr>
        <w:t> </w:t>
      </w:r>
      <w:r>
        <w:rPr/>
        <w:t>cohort,</w:t>
      </w:r>
      <w:r>
        <w:rPr>
          <w:spacing w:val="-4"/>
        </w:rPr>
        <w:t> </w:t>
      </w:r>
      <w:r>
        <w:rPr>
          <w:rFonts w:ascii="Calibri"/>
          <w:i/>
        </w:rPr>
        <w:t>n</w:t>
      </w:r>
      <w:r>
        <w:rPr>
          <w:rFonts w:ascii="Calibri"/>
          <w:i/>
          <w:spacing w:val="8"/>
        </w:rPr>
        <w:t> </w:t>
      </w:r>
      <w:r>
        <w:rPr>
          <w:rFonts w:ascii="Calibri"/>
        </w:rPr>
        <w:t>=</w:t>
      </w:r>
      <w:r>
        <w:rPr>
          <w:rFonts w:ascii="Calibri"/>
          <w:spacing w:val="8"/>
        </w:rPr>
        <w:t> </w:t>
      </w:r>
      <w:r>
        <w:rPr>
          <w:rFonts w:ascii="Calibri"/>
          <w:spacing w:val="-2"/>
        </w:rPr>
        <w:t>5</w:t>
      </w:r>
      <w:r>
        <w:rPr>
          <w:rFonts w:ascii="Calibri"/>
          <w:i/>
          <w:spacing w:val="-2"/>
        </w:rPr>
        <w:t>,</w:t>
      </w:r>
      <w:r>
        <w:rPr>
          <w:rFonts w:ascii="Calibri"/>
          <w:spacing w:val="-2"/>
        </w:rPr>
        <w:t>521</w:t>
      </w:r>
      <w:r>
        <w:rPr>
          <w:spacing w:val="-2"/>
        </w:rPr>
        <w:t>).</w:t>
      </w:r>
    </w:p>
    <w:p>
      <w:pPr>
        <w:pStyle w:val="BodyText"/>
        <w:spacing w:before="58"/>
        <w:ind w:left="374"/>
        <w:jc w:val="both"/>
      </w:pPr>
      <w:r>
        <w:rPr>
          <w:i/>
        </w:rPr>
        <w:t>표 1.1: 1차 비교: EndorseRank 대 AWP(일치하는 지갑 집단, n = 5,521).</w:t>
      </w:r>
    </w:p>
    <w:p>
      <w:pPr>
        <w:pStyle w:val="BodyText"/>
        <w:rPr>
          <w:sz w:val="18"/>
        </w:rPr>
      </w:pPr>
      <w:r>
        <w:rPr>
          <w:sz w:val="18"/>
        </w:rPr>
        <mc:AlternateContent>
          <mc:Choice Requires="wps">
            <w:drawing>
              <wp:anchor distT="0" distB="0" distL="0" distR="0" allowOverlap="1" layoutInCell="1" locked="0" behindDoc="1" simplePos="0" relativeHeight="487591424">
                <wp:simplePos x="0" y="0"/>
                <wp:positionH relativeFrom="page">
                  <wp:posOffset>854671</wp:posOffset>
                </wp:positionH>
                <wp:positionV relativeFrom="paragraph">
                  <wp:posOffset>146732</wp:posOffset>
                </wp:positionV>
                <wp:extent cx="585089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1.553765pt;width:460.7pt;height:.1pt;mso-position-horizontal-relative:page;mso-position-vertical-relative:paragraph;z-index:-15725056;mso-wrap-distance-left:0;mso-wrap-distance-right:0" id="docshape9" coordorigin="1346,231" coordsize="9214,0" path="m1346,231l10560,231e" filled="false" stroked="true" strokeweight=".9564pt" strokecolor="#000000">
                <v:path arrowok="t"/>
                <v:stroke dashstyle="solid"/>
                <w10:wrap type="topAndBottom"/>
              </v:shape>
            </w:pict>
          </mc:Fallback>
        </mc:AlternateContent>
      </w:r>
    </w:p>
    <w:p>
      <w:pPr>
        <w:tabs>
          <w:tab w:pos="2247" w:val="left" w:leader="none"/>
          <w:tab w:pos="5006" w:val="left" w:leader="none"/>
        </w:tabs>
        <w:spacing w:before="54"/>
        <w:ind w:left="423" w:right="0" w:firstLine="0"/>
        <w:jc w:val="left"/>
        <w:rPr>
          <w:sz w:val="22"/>
        </w:rPr>
      </w:pPr>
      <w:r>
        <w:rPr>
          <w:spacing w:val="-2"/>
          <w:sz w:val="22"/>
        </w:rPr>
        <w:t>Method</w:t>
      </w:r>
      <w:r>
        <w:rPr>
          <w:sz w:val="22"/>
        </w:rPr>
        <w:tab/>
        <w:t>Input</w:t>
      </w:r>
      <w:r>
        <w:rPr>
          <w:spacing w:val="-6"/>
          <w:sz w:val="22"/>
        </w:rPr>
        <w:t> </w:t>
      </w:r>
      <w:r>
        <w:rPr>
          <w:spacing w:val="-2"/>
          <w:sz w:val="22"/>
        </w:rPr>
        <w:t>graph</w:t>
      </w:r>
      <w:r>
        <w:rPr>
          <w:sz w:val="22"/>
        </w:rPr>
        <w:tab/>
      </w:r>
      <w:r>
        <w:rPr>
          <w:spacing w:val="-4"/>
          <w:sz w:val="22"/>
        </w:rPr>
        <w:t>Role</w:t>
      </w:r>
    </w:p>
    <w:p>
      <w:pPr>
        <w:tabs>
          <w:tab w:pos="2247" w:val="left" w:leader="none"/>
          <w:tab w:pos="5006" w:val="left" w:leader="none"/>
        </w:tabs>
        <w:spacing w:before="54"/>
        <w:ind w:left="423" w:right="0" w:firstLine="0"/>
        <w:jc w:val="left"/>
        <w:rPr>
          <w:sz w:val="22"/>
        </w:rPr>
      </w:pPr>
      <w:r>
        <w:rPr>
          <w:i/>
        </w:rPr>
        <w:t>방법</w:t>
        <w:tab/>
        <w:t>입력 그래프</w:t>
        <w:tab/>
        <w:t>역할</w:t>
      </w:r>
    </w:p>
    <w:p>
      <w:pPr>
        <w:spacing w:after="0"/>
        <w:jc w:val="left"/>
        <w:rPr>
          <w:sz w:val="22"/>
        </w:rPr>
        <w:sectPr>
          <w:pgSz w:w="11910" w:h="16840"/>
          <w:pgMar w:header="0" w:footer="2115" w:top="1840" w:bottom="2300" w:left="992" w:right="708"/>
        </w:sectPr>
      </w:pPr>
    </w:p>
    <w:p>
      <w:pPr>
        <w:tabs>
          <w:tab w:pos="2247" w:val="left" w:leader="none"/>
          <w:tab w:pos="2981" w:val="left" w:leader="none"/>
          <w:tab w:pos="3897" w:val="left" w:leader="none"/>
        </w:tabs>
        <w:spacing w:line="256" w:lineRule="auto" w:before="142"/>
        <w:ind w:left="423" w:right="0" w:firstLine="0"/>
        <w:jc w:val="center"/>
        <w:rPr>
          <w:position w:val="3"/>
          <w:sz w:val="22"/>
        </w:rPr>
      </w:pPr>
      <w:r>
        <w:rPr>
          <w:position w:val="3"/>
          <w:sz w:val="22"/>
        </w:rPr>
        <mc:AlternateContent>
          <mc:Choice Requires="wps">
            <w:drawing>
              <wp:anchor distT="0" distB="0" distL="0" distR="0" allowOverlap="1" layoutInCell="1" locked="0" behindDoc="0" simplePos="0" relativeHeight="15733248">
                <wp:simplePos x="0" y="0"/>
                <wp:positionH relativeFrom="page">
                  <wp:posOffset>854671</wp:posOffset>
                </wp:positionH>
                <wp:positionV relativeFrom="paragraph">
                  <wp:posOffset>52246</wp:posOffset>
                </wp:positionV>
                <wp:extent cx="58508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67.296997pt,4.113874pt" to="527.978997pt,4.113874pt" stroked="true" strokeweight=".5978pt" strokecolor="#000000">
                <v:stroke dashstyle="solid"/>
                <w10:wrap type="none"/>
              </v:line>
            </w:pict>
          </mc:Fallback>
        </mc:AlternateContent>
      </w:r>
      <w:r>
        <w:rPr>
          <w:spacing w:val="-2"/>
          <w:sz w:val="22"/>
        </w:rPr>
        <w:t>EndorseRank</w:t>
      </w:r>
      <w:r>
        <w:rPr>
          <w:sz w:val="22"/>
        </w:rPr>
        <w:tab/>
      </w:r>
      <w:r>
        <w:rPr>
          <w:spacing w:val="-2"/>
          <w:sz w:val="22"/>
        </w:rPr>
        <w:t>Latest</w:t>
      </w:r>
      <w:r>
        <w:rPr>
          <w:sz w:val="22"/>
        </w:rPr>
        <w:tab/>
      </w:r>
      <w:r>
        <w:rPr>
          <w:spacing w:val="-2"/>
          <w:sz w:val="22"/>
        </w:rPr>
        <w:t>ERC-20</w:t>
      </w:r>
      <w:r>
        <w:rPr>
          <w:sz w:val="22"/>
        </w:rPr>
        <w:tab/>
      </w:r>
      <w:r>
        <w:rPr>
          <w:spacing w:val="-2"/>
          <w:sz w:val="22"/>
        </w:rPr>
        <w:t>allowances </w:t>
      </w:r>
      <w:r>
        <w:rPr>
          <w:spacing w:val="-2"/>
          <w:position w:val="3"/>
          <w:sz w:val="22"/>
        </w:rPr>
        <w:t>(</w:t>
      </w:r>
      <w:r>
        <w:rPr>
          <w:rFonts w:ascii="Calibri"/>
          <w:i/>
          <w:spacing w:val="-2"/>
          <w:position w:val="3"/>
          <w:sz w:val="22"/>
        </w:rPr>
        <w:t>G</w:t>
      </w:r>
      <w:r>
        <w:rPr>
          <w:spacing w:val="-2"/>
          <w:sz w:val="16"/>
        </w:rPr>
        <w:t>approve</w:t>
      </w:r>
      <w:r>
        <w:rPr>
          <w:spacing w:val="-2"/>
          <w:position w:val="3"/>
          <w:sz w:val="22"/>
        </w:rPr>
        <w:t>)</w:t>
      </w:r>
    </w:p>
    <w:p>
      <w:pPr>
        <w:tabs>
          <w:tab w:pos="2247" w:val="left" w:leader="none"/>
          <w:tab w:pos="2981" w:val="left" w:leader="none"/>
          <w:tab w:pos="3897" w:val="left" w:leader="none"/>
        </w:tabs>
        <w:spacing w:line="256" w:lineRule="auto" w:before="142"/>
        <w:ind w:left="423" w:right="0" w:firstLine="0"/>
        <w:jc w:val="center"/>
        <w:rPr>
          <w:position w:val="3"/>
          <w:sz w:val="22"/>
        </w:rPr>
      </w:pPr>
      <w:r>
        <w:rPr>
          <w:i/>
        </w:rPr>
        <w:t>EndorseRank</w:t>
        <w:tab/>
        <w:t>최신</w:t>
        <w:tab/>
        <w:t>ERC-20</w:t>
        <w:tab/>
        <w:t>수당(Gapprove)</w:t>
      </w:r>
    </w:p>
    <w:p>
      <w:pPr>
        <w:tabs>
          <w:tab w:pos="2247" w:val="left" w:leader="none"/>
          <w:tab w:pos="4115" w:val="left" w:leader="none"/>
        </w:tabs>
        <w:spacing w:line="231" w:lineRule="exact" w:before="0"/>
        <w:ind w:left="423" w:right="0" w:firstLine="0"/>
        <w:jc w:val="center"/>
        <w:rPr>
          <w:sz w:val="22"/>
        </w:rPr>
      </w:pPr>
      <w:r>
        <w:rPr>
          <w:spacing w:val="-5"/>
          <w:sz w:val="22"/>
        </w:rPr>
        <w:t>AWP</w:t>
      </w:r>
      <w:r>
        <w:rPr>
          <w:sz w:val="22"/>
        </w:rPr>
        <w:tab/>
      </w:r>
      <w:r>
        <w:rPr>
          <w:spacing w:val="-4"/>
          <w:sz w:val="22"/>
        </w:rPr>
        <w:t>Time-</w:t>
      </w:r>
      <w:r>
        <w:rPr>
          <w:spacing w:val="-2"/>
          <w:sz w:val="22"/>
        </w:rPr>
        <w:t>decayed</w:t>
      </w:r>
      <w:r>
        <w:rPr>
          <w:sz w:val="22"/>
        </w:rPr>
        <w:tab/>
      </w:r>
      <w:r>
        <w:rPr>
          <w:spacing w:val="-2"/>
          <w:sz w:val="22"/>
        </w:rPr>
        <w:t>transfers</w:t>
      </w:r>
    </w:p>
    <w:p>
      <w:pPr>
        <w:tabs>
          <w:tab w:pos="2247" w:val="left" w:leader="none"/>
          <w:tab w:pos="4115" w:val="left" w:leader="none"/>
        </w:tabs>
        <w:spacing w:line="231" w:lineRule="exact" w:before="0"/>
        <w:ind w:left="423" w:right="0" w:firstLine="0"/>
        <w:jc w:val="center"/>
        <w:rPr>
          <w:sz w:val="22"/>
        </w:rPr>
      </w:pPr>
      <w:r>
        <w:rPr>
          <w:i/>
        </w:rPr>
        <w:t>AWP</w:t>
        <w:tab/>
        <w:t>시간이 쇠퇴한</w:t>
        <w:tab/>
        <w:t>환승</w:t>
      </w:r>
    </w:p>
    <w:p>
      <w:pPr>
        <w:spacing w:before="9"/>
        <w:ind w:left="426" w:right="0" w:firstLine="0"/>
        <w:jc w:val="center"/>
        <w:rPr>
          <w:position w:val="4"/>
          <w:sz w:val="22"/>
        </w:rPr>
      </w:pPr>
      <w:r>
        <w:rPr>
          <w:spacing w:val="-2"/>
          <w:position w:val="4"/>
          <w:sz w:val="22"/>
        </w:rPr>
        <w:t>(</w:t>
      </w:r>
      <w:r>
        <w:rPr>
          <w:rFonts w:ascii="Calibri"/>
          <w:i/>
          <w:spacing w:val="-2"/>
          <w:position w:val="4"/>
          <w:sz w:val="22"/>
        </w:rPr>
        <w:t>G</w:t>
      </w:r>
      <w:r>
        <w:rPr>
          <w:spacing w:val="-2"/>
          <w:sz w:val="16"/>
        </w:rPr>
        <w:t>transfer</w:t>
      </w:r>
      <w:r>
        <w:rPr>
          <w:spacing w:val="-2"/>
          <w:position w:val="4"/>
          <w:sz w:val="22"/>
        </w:rPr>
        <w:t>)</w:t>
      </w:r>
    </w:p>
    <w:p>
      <w:pPr>
        <w:spacing w:before="9"/>
        <w:ind w:left="426" w:right="0" w:firstLine="0"/>
        <w:jc w:val="center"/>
        <w:rPr>
          <w:position w:val="4"/>
          <w:sz w:val="22"/>
        </w:rPr>
      </w:pPr>
      <w:r>
        <w:rPr>
          <w:i/>
        </w:rPr>
        <w:t>(지트랜스퍼)</w:t>
      </w:r>
    </w:p>
    <w:p>
      <w:pPr>
        <w:spacing w:line="256" w:lineRule="auto" w:before="142"/>
        <w:ind w:left="99" w:right="669" w:firstLine="0"/>
        <w:jc w:val="left"/>
        <w:rPr>
          <w:sz w:val="22"/>
        </w:rPr>
      </w:pPr>
      <w:r>
        <w:rPr/>
        <w:br w:type="column"/>
      </w:r>
      <w:r>
        <w:rPr>
          <w:sz w:val="22"/>
        </w:rPr>
        <w:t>Primary construct:</w:t>
      </w:r>
      <w:r>
        <w:rPr>
          <w:spacing w:val="32"/>
          <w:sz w:val="22"/>
        </w:rPr>
        <w:t> </w:t>
      </w:r>
      <w:r>
        <w:rPr>
          <w:sz w:val="22"/>
        </w:rPr>
        <w:t>allowance delegation; target </w:t>
      </w:r>
      <w:r>
        <w:rPr>
          <w:sz w:val="22"/>
        </w:rPr>
        <w:t>of this dissertation</w:t>
      </w:r>
    </w:p>
    <w:p>
      <w:pPr>
        <w:spacing w:line="256" w:lineRule="auto" w:before="142"/>
        <w:ind w:left="99" w:right="669" w:firstLine="0"/>
        <w:jc w:val="left"/>
        <w:rPr>
          <w:sz w:val="22"/>
        </w:rPr>
      </w:pPr>
      <w:r>
        <w:rPr>
          <w:i/>
        </w:rPr>
        <w:t>기본 구성: 수당 위임, 본 논문의 대상</w:t>
      </w:r>
    </w:p>
    <w:p>
      <w:pPr>
        <w:spacing w:line="256" w:lineRule="auto" w:before="0"/>
        <w:ind w:left="99" w:right="669" w:firstLine="0"/>
        <w:jc w:val="left"/>
        <w:rPr>
          <w:sz w:val="22"/>
        </w:rPr>
      </w:pPr>
      <w:r>
        <w:rPr>
          <w:sz w:val="22"/>
        </w:rPr>
        <w:t>Primary</w:t>
      </w:r>
      <w:r>
        <w:rPr>
          <w:spacing w:val="-14"/>
          <w:sz w:val="22"/>
        </w:rPr>
        <w:t> </w:t>
      </w:r>
      <w:r>
        <w:rPr>
          <w:sz w:val="22"/>
        </w:rPr>
        <w:t>baseline: Do</w:t>
      </w:r>
      <w:r>
        <w:rPr>
          <w:spacing w:val="-14"/>
          <w:sz w:val="22"/>
        </w:rPr>
        <w:t> </w:t>
      </w:r>
      <w:r>
        <w:rPr>
          <w:sz w:val="22"/>
        </w:rPr>
        <w:t>et</w:t>
      </w:r>
      <w:r>
        <w:rPr>
          <w:spacing w:val="-14"/>
          <w:sz w:val="22"/>
        </w:rPr>
        <w:t> </w:t>
      </w:r>
      <w:r>
        <w:rPr>
          <w:sz w:val="22"/>
        </w:rPr>
        <w:t>al.</w:t>
      </w:r>
      <w:r>
        <w:rPr>
          <w:spacing w:val="-14"/>
          <w:sz w:val="22"/>
        </w:rPr>
        <w:t> </w:t>
      </w:r>
      <w:r>
        <w:rPr>
          <w:sz w:val="22"/>
        </w:rPr>
        <w:t>transfer-graph</w:t>
      </w:r>
      <w:r>
        <w:rPr>
          <w:spacing w:val="-13"/>
          <w:sz w:val="22"/>
        </w:rPr>
        <w:t> </w:t>
      </w:r>
      <w:r>
        <w:rPr>
          <w:sz w:val="22"/>
        </w:rPr>
        <w:t>reproduc-</w:t>
      </w:r>
      <w:r>
        <w:rPr>
          <w:spacing w:val="-4"/>
          <w:sz w:val="22"/>
        </w:rPr>
        <w:t>tion</w:t>
      </w:r>
    </w:p>
    <w:p>
      <w:pPr>
        <w:spacing w:line="256" w:lineRule="auto" w:before="0"/>
        <w:ind w:left="99" w:right="669" w:firstLine="0"/>
        <w:jc w:val="left"/>
        <w:rPr>
          <w:sz w:val="22"/>
        </w:rPr>
      </w:pPr>
      <w:r>
        <w:rPr>
          <w:i/>
        </w:rPr>
        <w:t>1차 기준: Do et al. 전송 그래프 재현</w:t>
      </w:r>
    </w:p>
    <w:p>
      <w:pPr>
        <w:spacing w:after="0" w:line="256" w:lineRule="auto"/>
        <w:jc w:val="left"/>
        <w:rPr>
          <w:sz w:val="22"/>
        </w:rPr>
        <w:sectPr>
          <w:type w:val="continuous"/>
          <w:pgSz w:w="11910" w:h="16840"/>
          <w:pgMar w:header="0" w:footer="2115" w:top="1920" w:bottom="280" w:left="992" w:right="708"/>
          <w:cols w:num="2" w:equalWidth="0">
            <w:col w:w="4867" w:space="40"/>
            <w:col w:w="5303"/>
          </w:cols>
        </w:sectPr>
      </w:pPr>
    </w:p>
    <w:p>
      <w:pPr>
        <w:pStyle w:val="BodyText"/>
        <w:spacing w:before="6"/>
        <w:rPr>
          <w:sz w:val="5"/>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1" name="Group 11"/>
                <wp:cNvGraphicFramePr>
                  <a:graphicFrameLocks/>
                </wp:cNvGraphicFramePr>
                <a:graphic>
                  <a:graphicData uri="http://schemas.microsoft.com/office/word/2010/wordprocessingGroup">
                    <wpg:wgp>
                      <wpg:cNvPr id="11" name="Group 11"/>
                      <wpg:cNvGrpSpPr/>
                      <wpg:grpSpPr>
                        <a:xfrm>
                          <a:off x="0" y="0"/>
                          <a:ext cx="5850890" cy="12700"/>
                          <a:chExt cx="5850890" cy="12700"/>
                        </a:xfrm>
                      </wpg:grpSpPr>
                      <wps:wsp>
                        <wps:cNvPr id="12" name="Graphic 12"/>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0" coordorigin="0,0" coordsize="9214,20">
                <v:line style="position:absolute" from="0,10" to="9214,10" stroked="true" strokeweight=".9564pt" strokecolor="#000000">
                  <v:stroke dashstyle="solid"/>
                </v:line>
              </v:group>
            </w:pict>
          </mc:Fallback>
        </mc:AlternateContent>
      </w:r>
      <w:r>
        <w:rPr>
          <w:sz w:val="2"/>
        </w:rPr>
      </w:r>
    </w:p>
    <w:p>
      <w:pPr>
        <w:pStyle w:val="BodyText"/>
        <w:spacing w:before="157"/>
      </w:pPr>
    </w:p>
    <w:p>
      <w:pPr>
        <w:pStyle w:val="BodyText"/>
        <w:ind w:left="274"/>
      </w:pPr>
      <w:r>
        <w:rPr/>
        <w:t>To</w:t>
      </w:r>
      <w:r>
        <w:rPr>
          <w:spacing w:val="-11"/>
        </w:rPr>
        <w:t> </w:t>
      </w:r>
      <w:r>
        <w:rPr/>
        <w:t>avoid</w:t>
      </w:r>
      <w:r>
        <w:rPr>
          <w:spacing w:val="-10"/>
        </w:rPr>
        <w:t> </w:t>
      </w:r>
      <w:r>
        <w:rPr/>
        <w:t>ambiguity,</w:t>
      </w:r>
      <w:r>
        <w:rPr>
          <w:spacing w:val="-10"/>
        </w:rPr>
        <w:t> </w:t>
      </w:r>
      <w:r>
        <w:rPr/>
        <w:t>the</w:t>
      </w:r>
      <w:r>
        <w:rPr>
          <w:spacing w:val="-10"/>
        </w:rPr>
        <w:t> </w:t>
      </w:r>
      <w:r>
        <w:rPr/>
        <w:t>key</w:t>
      </w:r>
      <w:r>
        <w:rPr>
          <w:spacing w:val="-10"/>
        </w:rPr>
        <w:t> </w:t>
      </w:r>
      <w:r>
        <w:rPr/>
        <w:t>concepts</w:t>
      </w:r>
      <w:r>
        <w:rPr>
          <w:spacing w:val="-10"/>
        </w:rPr>
        <w:t> </w:t>
      </w:r>
      <w:r>
        <w:rPr/>
        <w:t>used</w:t>
      </w:r>
      <w:r>
        <w:rPr>
          <w:spacing w:val="-10"/>
        </w:rPr>
        <w:t> </w:t>
      </w:r>
      <w:r>
        <w:rPr/>
        <w:t>throughout</w:t>
      </w:r>
      <w:r>
        <w:rPr>
          <w:spacing w:val="-11"/>
        </w:rPr>
        <w:t> </w:t>
      </w:r>
      <w:r>
        <w:rPr/>
        <w:t>this</w:t>
      </w:r>
      <w:r>
        <w:rPr>
          <w:spacing w:val="-10"/>
        </w:rPr>
        <w:t> </w:t>
      </w:r>
      <w:r>
        <w:rPr/>
        <w:t>dissertation</w:t>
      </w:r>
      <w:r>
        <w:rPr>
          <w:spacing w:val="-10"/>
        </w:rPr>
        <w:t> </w:t>
      </w:r>
      <w:r>
        <w:rPr/>
        <w:t>are</w:t>
      </w:r>
      <w:r>
        <w:rPr>
          <w:spacing w:val="-10"/>
        </w:rPr>
        <w:t> </w:t>
      </w:r>
      <w:r>
        <w:rPr/>
        <w:t>defined</w:t>
      </w:r>
      <w:r>
        <w:rPr>
          <w:spacing w:val="-10"/>
        </w:rPr>
        <w:t> </w:t>
      </w:r>
      <w:r>
        <w:rPr/>
        <w:t>as</w:t>
      </w:r>
      <w:r>
        <w:rPr>
          <w:spacing w:val="-10"/>
        </w:rPr>
        <w:t> </w:t>
      </w:r>
      <w:r>
        <w:rPr>
          <w:spacing w:val="-2"/>
        </w:rPr>
        <w:t>follows:</w:t>
      </w:r>
    </w:p>
    <w:p>
      <w:pPr>
        <w:pStyle w:val="BodyText"/>
        <w:ind w:left="274"/>
      </w:pPr>
      <w:r>
        <w:rPr>
          <w:i/>
        </w:rPr>
        <w:t>모호함을 피하기 위해 이 논문 전체에 사용된 주요 개념은 다음과 같이 정의됩니다.</w:t>
      </w:r>
    </w:p>
    <w:p>
      <w:pPr>
        <w:pStyle w:val="BodyText"/>
        <w:spacing w:before="15"/>
      </w:pPr>
    </w:p>
    <w:p>
      <w:pPr>
        <w:pStyle w:val="ListParagraph"/>
        <w:numPr>
          <w:ilvl w:val="0"/>
          <w:numId w:val="10"/>
        </w:numPr>
        <w:tabs>
          <w:tab w:pos="806" w:val="left" w:leader="none"/>
          <w:tab w:pos="808" w:val="left" w:leader="none"/>
        </w:tabs>
        <w:spacing w:line="396" w:lineRule="auto" w:before="1" w:after="0"/>
        <w:ind w:left="808" w:right="524" w:hanging="216"/>
        <w:jc w:val="both"/>
        <w:rPr>
          <w:sz w:val="24"/>
        </w:rPr>
      </w:pPr>
      <w:r>
        <w:rPr>
          <w:b/>
          <w:sz w:val="24"/>
        </w:rPr>
        <w:t>DeFi</w:t>
      </w:r>
      <w:r>
        <w:rPr>
          <w:b/>
          <w:spacing w:val="-2"/>
          <w:sz w:val="24"/>
        </w:rPr>
        <w:t> </w:t>
      </w:r>
      <w:r>
        <w:rPr>
          <w:b/>
          <w:sz w:val="24"/>
        </w:rPr>
        <w:t>(Decentralized</w:t>
      </w:r>
      <w:r>
        <w:rPr>
          <w:b/>
          <w:spacing w:val="-2"/>
          <w:sz w:val="24"/>
        </w:rPr>
        <w:t> </w:t>
      </w:r>
      <w:r>
        <w:rPr>
          <w:b/>
          <w:sz w:val="24"/>
        </w:rPr>
        <w:t>Finance): </w:t>
      </w:r>
      <w:r>
        <w:rPr>
          <w:sz w:val="24"/>
        </w:rPr>
        <w:t>Financial</w:t>
      </w:r>
      <w:r>
        <w:rPr>
          <w:spacing w:val="-2"/>
          <w:sz w:val="24"/>
        </w:rPr>
        <w:t> </w:t>
      </w:r>
      <w:r>
        <w:rPr>
          <w:sz w:val="24"/>
        </w:rPr>
        <w:t>services—including</w:t>
      </w:r>
      <w:r>
        <w:rPr>
          <w:spacing w:val="-2"/>
          <w:sz w:val="24"/>
        </w:rPr>
        <w:t> </w:t>
      </w:r>
      <w:r>
        <w:rPr>
          <w:sz w:val="24"/>
        </w:rPr>
        <w:t>lending, borrowing, and</w:t>
      </w:r>
      <w:r>
        <w:rPr>
          <w:spacing w:val="-2"/>
          <w:sz w:val="24"/>
        </w:rPr>
        <w:t> </w:t>
      </w:r>
      <w:r>
        <w:rPr>
          <w:sz w:val="24"/>
        </w:rPr>
        <w:t>per-petual trading—implemented via smart contracts on public blockchains, typically without a central operator controlling custody or settlement </w:t>
      </w:r>
      <w:hyperlink w:history="true" w:anchor="_bookmark161">
        <w:r>
          <w:rPr>
            <w:sz w:val="24"/>
            <w:vertAlign w:val="superscript"/>
          </w:rPr>
          <w:t>[28]</w:t>
        </w:r>
      </w:hyperlink>
      <w:r>
        <w:rPr>
          <w:sz w:val="24"/>
          <w:vertAlign w:val="superscript"/>
        </w:rPr>
        <w:t>,</w:t>
      </w:r>
      <w:hyperlink w:history="true" w:anchor="_bookmark186">
        <w:r>
          <w:rPr>
            <w:sz w:val="24"/>
            <w:vertAlign w:val="superscript"/>
          </w:rPr>
          <w:t>[53]</w:t>
        </w:r>
      </w:hyperlink>
      <w:r>
        <w:rPr>
          <w:sz w:val="24"/>
          <w:vertAlign w:val="baseline"/>
        </w:rPr>
        <w:t>.</w:t>
      </w:r>
      <w:r>
        <w:rPr>
          <w:spacing w:val="40"/>
          <w:sz w:val="24"/>
          <w:vertAlign w:val="baseline"/>
        </w:rPr>
        <w:t> </w:t>
      </w:r>
      <w:r>
        <w:rPr>
          <w:sz w:val="24"/>
          <w:vertAlign w:val="baseline"/>
        </w:rPr>
        <w:t>DeFi protocols compose open in-terfaces so that positions, liquidations, and token movements are observable on-chain.</w:t>
      </w:r>
    </w:p>
    <w:p>
      <w:pPr>
        <w:pStyle w:val="ListParagraph"/>
        <w:numPr>
          <w:ilvl w:val="0"/>
          <w:numId w:val="10"/>
        </w:numPr>
        <w:tabs>
          <w:tab w:pos="806" w:val="left" w:leader="none"/>
          <w:tab w:pos="808" w:val="left" w:leader="none"/>
        </w:tabs>
        <w:spacing w:line="396" w:lineRule="auto" w:before="1" w:after="0"/>
        <w:ind w:left="808" w:right="524" w:hanging="216"/>
        <w:jc w:val="both"/>
        <w:rPr>
          <w:sz w:val="24"/>
        </w:rPr>
      </w:pPr>
      <w:r>
        <w:rPr>
          <w:i/>
        </w:rPr>
        <w:t>DeFi(분산형 금융): 일반적으로 보관 또는 결제를 제어하는 ​​중앙 운영자 없이 공용 블록체인의 스마트 계약을 통해 구현되는 대출, 차입 및 영구 거래를 포함한 금융 서비스입니다[28],[53]. DeFi 프로토콜은 위치, 청산 및 토큰 이동을 온체인에서 관찰할 수 있도록 개방형 인터페이스를 구성합니다.</w:t>
      </w:r>
    </w:p>
    <w:p>
      <w:pPr>
        <w:pStyle w:val="ListParagraph"/>
        <w:numPr>
          <w:ilvl w:val="0"/>
          <w:numId w:val="10"/>
        </w:numPr>
        <w:tabs>
          <w:tab w:pos="806" w:val="left" w:leader="none"/>
          <w:tab w:pos="808" w:val="left" w:leader="none"/>
        </w:tabs>
        <w:spacing w:line="396" w:lineRule="auto" w:before="41" w:after="0"/>
        <w:ind w:left="808" w:right="524" w:hanging="216"/>
        <w:jc w:val="both"/>
        <w:rPr>
          <w:sz w:val="24"/>
        </w:rPr>
      </w:pPr>
      <w:r>
        <w:rPr>
          <w:b/>
          <w:sz w:val="24"/>
        </w:rPr>
        <w:t>Smart</w:t>
      </w:r>
      <w:r>
        <w:rPr>
          <w:b/>
          <w:spacing w:val="-12"/>
          <w:sz w:val="24"/>
        </w:rPr>
        <w:t> </w:t>
      </w:r>
      <w:r>
        <w:rPr>
          <w:b/>
          <w:sz w:val="24"/>
        </w:rPr>
        <w:t>contract:</w:t>
      </w:r>
      <w:r>
        <w:rPr>
          <w:b/>
          <w:spacing w:val="9"/>
          <w:sz w:val="24"/>
        </w:rPr>
        <w:t> </w:t>
      </w:r>
      <w:r>
        <w:rPr>
          <w:sz w:val="24"/>
        </w:rPr>
        <w:t>Self-executing</w:t>
      </w:r>
      <w:r>
        <w:rPr>
          <w:spacing w:val="-12"/>
          <w:sz w:val="24"/>
        </w:rPr>
        <w:t> </w:t>
      </w:r>
      <w:r>
        <w:rPr>
          <w:sz w:val="24"/>
        </w:rPr>
        <w:t>program</w:t>
      </w:r>
      <w:r>
        <w:rPr>
          <w:spacing w:val="-12"/>
          <w:sz w:val="24"/>
        </w:rPr>
        <w:t> </w:t>
      </w:r>
      <w:r>
        <w:rPr>
          <w:sz w:val="24"/>
        </w:rPr>
        <w:t>code</w:t>
      </w:r>
      <w:r>
        <w:rPr>
          <w:spacing w:val="-12"/>
          <w:sz w:val="24"/>
        </w:rPr>
        <w:t> </w:t>
      </w:r>
      <w:r>
        <w:rPr>
          <w:sz w:val="24"/>
        </w:rPr>
        <w:t>deployed</w:t>
      </w:r>
      <w:r>
        <w:rPr>
          <w:spacing w:val="-12"/>
          <w:sz w:val="24"/>
        </w:rPr>
        <w:t> </w:t>
      </w:r>
      <w:r>
        <w:rPr>
          <w:sz w:val="24"/>
        </w:rPr>
        <w:t>on</w:t>
      </w:r>
      <w:r>
        <w:rPr>
          <w:spacing w:val="-12"/>
          <w:sz w:val="24"/>
        </w:rPr>
        <w:t> </w:t>
      </w:r>
      <w:r>
        <w:rPr>
          <w:sz w:val="24"/>
        </w:rPr>
        <w:t>a</w:t>
      </w:r>
      <w:r>
        <w:rPr>
          <w:spacing w:val="-12"/>
          <w:sz w:val="24"/>
        </w:rPr>
        <w:t> </w:t>
      </w:r>
      <w:r>
        <w:rPr>
          <w:sz w:val="24"/>
        </w:rPr>
        <w:t>blockchain</w:t>
      </w:r>
      <w:r>
        <w:rPr>
          <w:spacing w:val="-12"/>
          <w:sz w:val="24"/>
        </w:rPr>
        <w:t> </w:t>
      </w:r>
      <w:r>
        <w:rPr>
          <w:sz w:val="24"/>
        </w:rPr>
        <w:t>that</w:t>
      </w:r>
      <w:r>
        <w:rPr>
          <w:spacing w:val="-12"/>
          <w:sz w:val="24"/>
        </w:rPr>
        <w:t> </w:t>
      </w:r>
      <w:r>
        <w:rPr>
          <w:sz w:val="24"/>
        </w:rPr>
        <w:t>enforces</w:t>
      </w:r>
      <w:r>
        <w:rPr>
          <w:spacing w:val="-12"/>
          <w:sz w:val="24"/>
        </w:rPr>
        <w:t> </w:t>
      </w:r>
      <w:r>
        <w:rPr>
          <w:sz w:val="24"/>
        </w:rPr>
        <w:t>agree-ment terms without a trusted intermediary </w:t>
      </w:r>
      <w:hyperlink w:history="true" w:anchor="_bookmark142">
        <w:r>
          <w:rPr>
            <w:sz w:val="24"/>
            <w:vertAlign w:val="superscript"/>
          </w:rPr>
          <w:t>[9]</w:t>
        </w:r>
      </w:hyperlink>
      <w:r>
        <w:rPr>
          <w:sz w:val="24"/>
          <w:vertAlign w:val="superscript"/>
        </w:rPr>
        <w:t>,</w:t>
      </w:r>
      <w:hyperlink w:history="true" w:anchor="_bookmark188">
        <w:r>
          <w:rPr>
            <w:sz w:val="24"/>
            <w:vertAlign w:val="superscript"/>
          </w:rPr>
          <w:t>[55]</w:t>
        </w:r>
      </w:hyperlink>
      <w:r>
        <w:rPr>
          <w:sz w:val="24"/>
          <w:vertAlign w:val="baseline"/>
        </w:rPr>
        <w:t>.</w:t>
      </w:r>
      <w:r>
        <w:rPr>
          <w:spacing w:val="30"/>
          <w:sz w:val="24"/>
          <w:vertAlign w:val="baseline"/>
        </w:rPr>
        <w:t> </w:t>
      </w:r>
      <w:r>
        <w:rPr>
          <w:sz w:val="24"/>
          <w:vertAlign w:val="baseline"/>
        </w:rPr>
        <w:t>In this dissertation, smart contracts are the source of ERC-20 allowance logs, transfer logs, and GMX V2 position events.</w:t>
      </w:r>
    </w:p>
    <w:p>
      <w:pPr>
        <w:pStyle w:val="ListParagraph"/>
        <w:numPr>
          <w:ilvl w:val="0"/>
          <w:numId w:val="10"/>
        </w:numPr>
        <w:tabs>
          <w:tab w:pos="806" w:val="left" w:leader="none"/>
          <w:tab w:pos="808" w:val="left" w:leader="none"/>
        </w:tabs>
        <w:spacing w:line="396" w:lineRule="auto" w:before="41" w:after="0"/>
        <w:ind w:left="808" w:right="524" w:hanging="216"/>
        <w:jc w:val="both"/>
        <w:rPr>
          <w:sz w:val="24"/>
        </w:rPr>
      </w:pPr>
      <w:r>
        <w:rPr>
          <w:i/>
        </w:rPr>
        <w:t>스마트 계약: 신뢰할 수 있는 중개자 없이 계약 조건을 시행하는 블록체인에 배포된 자체 실행 프로그램 코드입니다[9],[55]. 본 논문에서 스마트 계약은 ERC-20 수당 로그, 전송 로그 및 GMX V2 위치 이벤트의 소스입니다.</w:t>
      </w:r>
    </w:p>
    <w:p>
      <w:pPr>
        <w:pStyle w:val="ListParagraph"/>
        <w:numPr>
          <w:ilvl w:val="0"/>
          <w:numId w:val="10"/>
        </w:numPr>
        <w:tabs>
          <w:tab w:pos="795" w:val="left" w:leader="none"/>
        </w:tabs>
        <w:spacing w:line="240" w:lineRule="auto" w:before="40" w:after="0"/>
        <w:ind w:left="795" w:right="0" w:hanging="202"/>
        <w:jc w:val="both"/>
        <w:rPr>
          <w:sz w:val="24"/>
        </w:rPr>
      </w:pPr>
      <w:r>
        <w:rPr>
          <w:b/>
          <w:sz w:val="24"/>
        </w:rPr>
        <w:t>Wallet</w:t>
      </w:r>
      <w:r>
        <w:rPr>
          <w:b/>
          <w:spacing w:val="-11"/>
          <w:sz w:val="24"/>
        </w:rPr>
        <w:t> </w:t>
      </w:r>
      <w:r>
        <w:rPr>
          <w:b/>
          <w:sz w:val="24"/>
        </w:rPr>
        <w:t>/</w:t>
      </w:r>
      <w:r>
        <w:rPr>
          <w:b/>
          <w:spacing w:val="-10"/>
          <w:sz w:val="24"/>
        </w:rPr>
        <w:t> </w:t>
      </w:r>
      <w:r>
        <w:rPr>
          <w:b/>
          <w:sz w:val="24"/>
        </w:rPr>
        <w:t>Address:</w:t>
      </w:r>
      <w:r>
        <w:rPr>
          <w:b/>
          <w:spacing w:val="7"/>
          <w:sz w:val="24"/>
        </w:rPr>
        <w:t> </w:t>
      </w:r>
      <w:r>
        <w:rPr>
          <w:sz w:val="24"/>
        </w:rPr>
        <w:t>A</w:t>
      </w:r>
      <w:r>
        <w:rPr>
          <w:spacing w:val="-10"/>
          <w:sz w:val="24"/>
        </w:rPr>
        <w:t> </w:t>
      </w:r>
      <w:r>
        <w:rPr>
          <w:sz w:val="24"/>
        </w:rPr>
        <w:t>blockchain</w:t>
      </w:r>
      <w:r>
        <w:rPr>
          <w:spacing w:val="-10"/>
          <w:sz w:val="24"/>
        </w:rPr>
        <w:t> </w:t>
      </w:r>
      <w:r>
        <w:rPr>
          <w:sz w:val="24"/>
        </w:rPr>
        <w:t>account</w:t>
      </w:r>
      <w:r>
        <w:rPr>
          <w:spacing w:val="-10"/>
          <w:sz w:val="24"/>
        </w:rPr>
        <w:t> </w:t>
      </w:r>
      <w:r>
        <w:rPr>
          <w:sz w:val="24"/>
        </w:rPr>
        <w:t>that</w:t>
      </w:r>
      <w:r>
        <w:rPr>
          <w:spacing w:val="-10"/>
          <w:sz w:val="24"/>
        </w:rPr>
        <w:t> </w:t>
      </w:r>
      <w:r>
        <w:rPr>
          <w:sz w:val="24"/>
        </w:rPr>
        <w:t>holds</w:t>
      </w:r>
      <w:r>
        <w:rPr>
          <w:spacing w:val="-10"/>
          <w:sz w:val="24"/>
        </w:rPr>
        <w:t> </w:t>
      </w:r>
      <w:r>
        <w:rPr>
          <w:sz w:val="24"/>
        </w:rPr>
        <w:t>assets</w:t>
      </w:r>
      <w:r>
        <w:rPr>
          <w:spacing w:val="-10"/>
          <w:sz w:val="24"/>
        </w:rPr>
        <w:t> </w:t>
      </w:r>
      <w:r>
        <w:rPr>
          <w:sz w:val="24"/>
        </w:rPr>
        <w:t>and</w:t>
      </w:r>
      <w:r>
        <w:rPr>
          <w:spacing w:val="-10"/>
          <w:sz w:val="24"/>
        </w:rPr>
        <w:t> </w:t>
      </w:r>
      <w:r>
        <w:rPr>
          <w:sz w:val="24"/>
        </w:rPr>
        <w:t>interacts</w:t>
      </w:r>
      <w:r>
        <w:rPr>
          <w:spacing w:val="-10"/>
          <w:sz w:val="24"/>
        </w:rPr>
        <w:t> </w:t>
      </w:r>
      <w:r>
        <w:rPr>
          <w:sz w:val="24"/>
        </w:rPr>
        <w:t>with</w:t>
      </w:r>
      <w:r>
        <w:rPr>
          <w:spacing w:val="-10"/>
          <w:sz w:val="24"/>
        </w:rPr>
        <w:t> </w:t>
      </w:r>
      <w:r>
        <w:rPr>
          <w:sz w:val="24"/>
        </w:rPr>
        <w:t>smart</w:t>
      </w:r>
      <w:r>
        <w:rPr>
          <w:spacing w:val="-10"/>
          <w:sz w:val="24"/>
        </w:rPr>
        <w:t> </w:t>
      </w:r>
      <w:r>
        <w:rPr>
          <w:spacing w:val="-2"/>
          <w:sz w:val="24"/>
        </w:rPr>
        <w:t>contracts;</w:t>
      </w:r>
    </w:p>
    <w:p>
      <w:pPr>
        <w:pStyle w:val="ListParagraph"/>
        <w:numPr>
          <w:ilvl w:val="0"/>
          <w:numId w:val="10"/>
        </w:numPr>
        <w:tabs>
          <w:tab w:pos="795" w:val="left" w:leader="none"/>
        </w:tabs>
        <w:spacing w:line="240" w:lineRule="auto" w:before="40" w:after="0"/>
        <w:ind w:left="795" w:right="0" w:hanging="202"/>
        <w:jc w:val="both"/>
        <w:rPr>
          <w:sz w:val="24"/>
        </w:rPr>
      </w:pPr>
      <w:r>
        <w:rPr>
          <w:i/>
        </w:rPr>
        <w:t>지갑/주소: 자산을 보유하고 스마트 계약과 상호 작용하는 블록체인 계정입니다.</w:t>
      </w:r>
    </w:p>
    <w:p>
      <w:pPr>
        <w:pStyle w:val="ListParagraph"/>
        <w:spacing w:after="0" w:line="240" w:lineRule="auto"/>
        <w:jc w:val="both"/>
        <w:rPr>
          <w:sz w:val="24"/>
        </w:rPr>
        <w:sectPr>
          <w:type w:val="continuous"/>
          <w:pgSz w:w="11910" w:h="16840"/>
          <w:pgMar w:header="0" w:footer="2115" w:top="1920" w:bottom="280" w:left="992" w:right="708"/>
        </w:sectPr>
      </w:pPr>
    </w:p>
    <w:p>
      <w:pPr>
        <w:pStyle w:val="BodyText"/>
        <w:spacing w:line="396" w:lineRule="auto" w:before="92"/>
        <w:ind w:left="808" w:right="564"/>
        <w:jc w:val="both"/>
      </w:pPr>
      <w:r>
        <w:rPr/>
        <w:t>the unit of analysis for reputation scoring </w:t>
      </w:r>
      <w:hyperlink w:history="true" w:anchor="_bookmark142">
        <w:r>
          <w:rPr>
            <w:vertAlign w:val="superscript"/>
          </w:rPr>
          <w:t>[9]</w:t>
        </w:r>
      </w:hyperlink>
      <w:r>
        <w:rPr>
          <w:vertAlign w:val="superscript"/>
        </w:rPr>
        <w:t>,</w:t>
      </w:r>
      <w:hyperlink w:history="true" w:anchor="_bookmark151">
        <w:r>
          <w:rPr>
            <w:vertAlign w:val="superscript"/>
          </w:rPr>
          <w:t>[18]</w:t>
        </w:r>
      </w:hyperlink>
      <w:r>
        <w:rPr>
          <w:vertAlign w:val="baseline"/>
        </w:rPr>
        <w:t>.</w:t>
      </w:r>
      <w:r>
        <w:rPr>
          <w:spacing w:val="40"/>
          <w:vertAlign w:val="baseline"/>
        </w:rPr>
        <w:t> </w:t>
      </w:r>
      <w:r>
        <w:rPr>
          <w:vertAlign w:val="baseline"/>
        </w:rPr>
        <w:t>A wallet is identified by its address;</w:t>
      </w:r>
      <w:r>
        <w:rPr>
          <w:spacing w:val="34"/>
          <w:vertAlign w:val="baseline"/>
        </w:rPr>
        <w:t> </w:t>
      </w:r>
      <w:r>
        <w:rPr>
          <w:vertAlign w:val="baseline"/>
        </w:rPr>
        <w:t>no off-chain identity is assumed or recovered.</w:t>
      </w:r>
    </w:p>
    <w:p>
      <w:pPr>
        <w:pStyle w:val="BodyText"/>
        <w:spacing w:line="396" w:lineRule="auto" w:before="92"/>
        <w:ind w:left="808" w:right="564"/>
        <w:jc w:val="both"/>
      </w:pPr>
      <w:r>
        <w:rPr>
          <w:i/>
        </w:rPr>
        <w:t>평판 점수 분석 단위[9],[18]. 지갑은 주소로 식별되며, 오프체인 신원은 가정되거나 복구되지 않습니다.</w:t>
      </w:r>
    </w:p>
    <w:p>
      <w:pPr>
        <w:pStyle w:val="ListParagraph"/>
        <w:numPr>
          <w:ilvl w:val="0"/>
          <w:numId w:val="10"/>
        </w:numPr>
        <w:tabs>
          <w:tab w:pos="806" w:val="left" w:leader="none"/>
          <w:tab w:pos="808" w:val="left" w:leader="none"/>
        </w:tabs>
        <w:spacing w:line="396" w:lineRule="auto" w:before="39" w:after="0"/>
        <w:ind w:left="808" w:right="524" w:hanging="216"/>
        <w:jc w:val="both"/>
        <w:rPr>
          <w:sz w:val="24"/>
        </w:rPr>
      </w:pPr>
      <w:r>
        <w:rPr>
          <w:b/>
          <w:sz w:val="24"/>
        </w:rPr>
        <w:t>On-chain reputation score:</w:t>
      </w:r>
      <w:r>
        <w:rPr>
          <w:b/>
          <w:spacing w:val="37"/>
          <w:sz w:val="24"/>
        </w:rPr>
        <w:t> </w:t>
      </w:r>
      <w:r>
        <w:rPr>
          <w:sz w:val="24"/>
        </w:rPr>
        <w:t>A numerical indicator derived from on-chain signals that rep-resents</w:t>
      </w:r>
      <w:r>
        <w:rPr>
          <w:spacing w:val="-2"/>
          <w:sz w:val="24"/>
        </w:rPr>
        <w:t> </w:t>
      </w:r>
      <w:r>
        <w:rPr>
          <w:sz w:val="24"/>
        </w:rPr>
        <w:t>a</w:t>
      </w:r>
      <w:r>
        <w:rPr>
          <w:spacing w:val="-2"/>
          <w:sz w:val="24"/>
        </w:rPr>
        <w:t> </w:t>
      </w:r>
      <w:r>
        <w:rPr>
          <w:sz w:val="24"/>
        </w:rPr>
        <w:t>wallet’s</w:t>
      </w:r>
      <w:r>
        <w:rPr>
          <w:spacing w:val="-2"/>
          <w:sz w:val="24"/>
        </w:rPr>
        <w:t> </w:t>
      </w:r>
      <w:r>
        <w:rPr>
          <w:sz w:val="24"/>
        </w:rPr>
        <w:t>relative</w:t>
      </w:r>
      <w:r>
        <w:rPr>
          <w:spacing w:val="-2"/>
          <w:sz w:val="24"/>
        </w:rPr>
        <w:t> </w:t>
      </w:r>
      <w:r>
        <w:rPr>
          <w:sz w:val="24"/>
        </w:rPr>
        <w:t>standing</w:t>
      </w:r>
      <w:r>
        <w:rPr>
          <w:spacing w:val="-2"/>
          <w:sz w:val="24"/>
        </w:rPr>
        <w:t> </w:t>
      </w:r>
      <w:r>
        <w:rPr>
          <w:sz w:val="24"/>
        </w:rPr>
        <w:t>for</w:t>
      </w:r>
      <w:r>
        <w:rPr>
          <w:spacing w:val="-2"/>
          <w:sz w:val="24"/>
        </w:rPr>
        <w:t> </w:t>
      </w:r>
      <w:r>
        <w:rPr>
          <w:sz w:val="24"/>
        </w:rPr>
        <w:t>financial</w:t>
      </w:r>
      <w:r>
        <w:rPr>
          <w:spacing w:val="-2"/>
          <w:sz w:val="24"/>
        </w:rPr>
        <w:t> </w:t>
      </w:r>
      <w:r>
        <w:rPr>
          <w:sz w:val="24"/>
        </w:rPr>
        <w:t>interactions</w:t>
      </w:r>
      <w:r>
        <w:rPr>
          <w:spacing w:val="-2"/>
          <w:sz w:val="24"/>
        </w:rPr>
        <w:t> </w:t>
      </w:r>
      <w:r>
        <w:rPr>
          <w:sz w:val="24"/>
        </w:rPr>
        <w:t>under</w:t>
      </w:r>
      <w:r>
        <w:rPr>
          <w:spacing w:val="-2"/>
          <w:sz w:val="24"/>
        </w:rPr>
        <w:t> </w:t>
      </w:r>
      <w:r>
        <w:rPr>
          <w:sz w:val="24"/>
        </w:rPr>
        <w:t>pseudonymity</w:t>
      </w:r>
      <w:r>
        <w:rPr>
          <w:spacing w:val="-2"/>
          <w:sz w:val="24"/>
        </w:rPr>
        <w:t> </w:t>
      </w:r>
      <w:hyperlink w:history="true" w:anchor="_bookmark149">
        <w:r>
          <w:rPr>
            <w:sz w:val="24"/>
            <w:vertAlign w:val="superscript"/>
          </w:rPr>
          <w:t>[16]</w:t>
        </w:r>
      </w:hyperlink>
      <w:r>
        <w:rPr>
          <w:sz w:val="24"/>
          <w:vertAlign w:val="baseline"/>
        </w:rPr>
        <w:t>. Scores are ordinal for ranking purposes; absolute magnitudes are not interpreted as credit limits.</w:t>
      </w:r>
    </w:p>
    <w:p>
      <w:pPr>
        <w:pStyle w:val="ListParagraph"/>
        <w:numPr>
          <w:ilvl w:val="0"/>
          <w:numId w:val="10"/>
        </w:numPr>
        <w:tabs>
          <w:tab w:pos="806" w:val="left" w:leader="none"/>
          <w:tab w:pos="808" w:val="left" w:leader="none"/>
        </w:tabs>
        <w:spacing w:line="396" w:lineRule="auto" w:before="39" w:after="0"/>
        <w:ind w:left="808" w:right="524" w:hanging="216"/>
        <w:jc w:val="both"/>
        <w:rPr>
          <w:sz w:val="24"/>
        </w:rPr>
      </w:pPr>
      <w:r>
        <w:rPr>
          <w:i/>
        </w:rPr>
        <w:t>온체인 평판 점수: 가명하에 금융 상호 작용에 대한 지갑의 상대적 지위를 나타내는 온체인 신호에서 파생된 수치 지표입니다[16]. 점수는 순위 지정을 위해 순서대로 표시되며 절대 크기는 신용 한도로 해석되지 않습니다.</w:t>
      </w:r>
    </w:p>
    <w:p>
      <w:pPr>
        <w:pStyle w:val="ListParagraph"/>
        <w:numPr>
          <w:ilvl w:val="0"/>
          <w:numId w:val="10"/>
        </w:numPr>
        <w:tabs>
          <w:tab w:pos="806" w:val="left" w:leader="none"/>
          <w:tab w:pos="808" w:val="left" w:leader="none"/>
        </w:tabs>
        <w:spacing w:line="396" w:lineRule="auto" w:before="40" w:after="0"/>
        <w:ind w:left="808" w:right="564" w:hanging="216"/>
        <w:jc w:val="both"/>
        <w:rPr>
          <w:sz w:val="24"/>
        </w:rPr>
      </w:pPr>
      <w:r>
        <w:rPr>
          <w:b/>
          <w:sz w:val="24"/>
        </w:rPr>
        <w:t>On-chain</w:t>
      </w:r>
      <w:r>
        <w:rPr>
          <w:b/>
          <w:spacing w:val="-13"/>
          <w:sz w:val="24"/>
        </w:rPr>
        <w:t> </w:t>
      </w:r>
      <w:r>
        <w:rPr>
          <w:b/>
          <w:sz w:val="24"/>
        </w:rPr>
        <w:t>credit</w:t>
      </w:r>
      <w:r>
        <w:rPr>
          <w:b/>
          <w:spacing w:val="-13"/>
          <w:sz w:val="24"/>
        </w:rPr>
        <w:t> </w:t>
      </w:r>
      <w:r>
        <w:rPr>
          <w:b/>
          <w:sz w:val="24"/>
        </w:rPr>
        <w:t>risk:</w:t>
      </w:r>
      <w:r>
        <w:rPr>
          <w:b/>
          <w:spacing w:val="9"/>
          <w:sz w:val="24"/>
        </w:rPr>
        <w:t> </w:t>
      </w:r>
      <w:r>
        <w:rPr>
          <w:sz w:val="24"/>
        </w:rPr>
        <w:t>Observable</w:t>
      </w:r>
      <w:r>
        <w:rPr>
          <w:spacing w:val="-13"/>
          <w:sz w:val="24"/>
        </w:rPr>
        <w:t> </w:t>
      </w:r>
      <w:r>
        <w:rPr>
          <w:sz w:val="24"/>
        </w:rPr>
        <w:t>adverse</w:t>
      </w:r>
      <w:r>
        <w:rPr>
          <w:spacing w:val="-13"/>
          <w:sz w:val="24"/>
        </w:rPr>
        <w:t> </w:t>
      </w:r>
      <w:r>
        <w:rPr>
          <w:sz w:val="24"/>
        </w:rPr>
        <w:t>outcomes</w:t>
      </w:r>
      <w:r>
        <w:rPr>
          <w:spacing w:val="-13"/>
          <w:sz w:val="24"/>
        </w:rPr>
        <w:t> </w:t>
      </w:r>
      <w:r>
        <w:rPr>
          <w:sz w:val="24"/>
        </w:rPr>
        <w:t>such</w:t>
      </w:r>
      <w:r>
        <w:rPr>
          <w:spacing w:val="-13"/>
          <w:sz w:val="24"/>
        </w:rPr>
        <w:t> </w:t>
      </w:r>
      <w:r>
        <w:rPr>
          <w:sz w:val="24"/>
        </w:rPr>
        <w:t>as</w:t>
      </w:r>
      <w:r>
        <w:rPr>
          <w:spacing w:val="-13"/>
          <w:sz w:val="24"/>
        </w:rPr>
        <w:t> </w:t>
      </w:r>
      <w:r>
        <w:rPr>
          <w:sz w:val="24"/>
        </w:rPr>
        <w:t>position</w:t>
      </w:r>
      <w:r>
        <w:rPr>
          <w:spacing w:val="-13"/>
          <w:sz w:val="24"/>
        </w:rPr>
        <w:t> </w:t>
      </w:r>
      <w:r>
        <w:rPr>
          <w:sz w:val="24"/>
        </w:rPr>
        <w:t>liquidation</w:t>
      </w:r>
      <w:r>
        <w:rPr>
          <w:spacing w:val="-13"/>
          <w:sz w:val="24"/>
        </w:rPr>
        <w:t> </w:t>
      </w:r>
      <w:r>
        <w:rPr>
          <w:sz w:val="24"/>
        </w:rPr>
        <w:t>or</w:t>
      </w:r>
      <w:r>
        <w:rPr>
          <w:spacing w:val="-13"/>
          <w:sz w:val="24"/>
        </w:rPr>
        <w:t> </w:t>
      </w:r>
      <w:r>
        <w:rPr>
          <w:sz w:val="24"/>
        </w:rPr>
        <w:t>repeated trading</w:t>
      </w:r>
      <w:r>
        <w:rPr>
          <w:spacing w:val="-11"/>
          <w:sz w:val="24"/>
        </w:rPr>
        <w:t> </w:t>
      </w:r>
      <w:r>
        <w:rPr>
          <w:sz w:val="24"/>
        </w:rPr>
        <w:t>losses</w:t>
      </w:r>
      <w:r>
        <w:rPr>
          <w:spacing w:val="-11"/>
          <w:sz w:val="24"/>
        </w:rPr>
        <w:t> </w:t>
      </w:r>
      <w:r>
        <w:rPr>
          <w:sz w:val="24"/>
        </w:rPr>
        <w:t>on</w:t>
      </w:r>
      <w:r>
        <w:rPr>
          <w:spacing w:val="-11"/>
          <w:sz w:val="24"/>
        </w:rPr>
        <w:t> </w:t>
      </w:r>
      <w:r>
        <w:rPr>
          <w:sz w:val="24"/>
        </w:rPr>
        <w:t>public</w:t>
      </w:r>
      <w:r>
        <w:rPr>
          <w:spacing w:val="-11"/>
          <w:sz w:val="24"/>
        </w:rPr>
        <w:t> </w:t>
      </w:r>
      <w:r>
        <w:rPr>
          <w:sz w:val="24"/>
        </w:rPr>
        <w:t>blockchains</w:t>
      </w:r>
      <w:r>
        <w:rPr>
          <w:spacing w:val="-11"/>
          <w:sz w:val="24"/>
        </w:rPr>
        <w:t> </w:t>
      </w:r>
      <w:hyperlink w:history="true" w:anchor="_bookmark177">
        <w:r>
          <w:rPr>
            <w:sz w:val="24"/>
            <w:vertAlign w:val="superscript"/>
          </w:rPr>
          <w:t>[44]</w:t>
        </w:r>
      </w:hyperlink>
      <w:r>
        <w:rPr>
          <w:sz w:val="24"/>
          <w:vertAlign w:val="baseline"/>
        </w:rPr>
        <w:t>.</w:t>
      </w:r>
      <w:r>
        <w:rPr>
          <w:spacing w:val="11"/>
          <w:sz w:val="24"/>
          <w:vertAlign w:val="baseline"/>
        </w:rPr>
        <w:t> </w:t>
      </w:r>
      <w:r>
        <w:rPr>
          <w:sz w:val="24"/>
          <w:vertAlign w:val="baseline"/>
        </w:rPr>
        <w:t>This</w:t>
      </w:r>
      <w:r>
        <w:rPr>
          <w:spacing w:val="-11"/>
          <w:sz w:val="24"/>
          <w:vertAlign w:val="baseline"/>
        </w:rPr>
        <w:t> </w:t>
      </w:r>
      <w:r>
        <w:rPr>
          <w:sz w:val="24"/>
          <w:vertAlign w:val="baseline"/>
        </w:rPr>
        <w:t>dissertation</w:t>
      </w:r>
      <w:r>
        <w:rPr>
          <w:spacing w:val="-11"/>
          <w:sz w:val="24"/>
          <w:vertAlign w:val="baseline"/>
        </w:rPr>
        <w:t> </w:t>
      </w:r>
      <w:r>
        <w:rPr>
          <w:sz w:val="24"/>
          <w:vertAlign w:val="baseline"/>
        </w:rPr>
        <w:t>uses</w:t>
      </w:r>
      <w:r>
        <w:rPr>
          <w:spacing w:val="-11"/>
          <w:sz w:val="24"/>
          <w:vertAlign w:val="baseline"/>
        </w:rPr>
        <w:t> </w:t>
      </w:r>
      <w:r>
        <w:rPr>
          <w:sz w:val="24"/>
          <w:vertAlign w:val="baseline"/>
        </w:rPr>
        <w:t>GMX</w:t>
      </w:r>
      <w:r>
        <w:rPr>
          <w:spacing w:val="-11"/>
          <w:sz w:val="24"/>
          <w:vertAlign w:val="baseline"/>
        </w:rPr>
        <w:t> </w:t>
      </w:r>
      <w:r>
        <w:rPr>
          <w:sz w:val="24"/>
          <w:vertAlign w:val="baseline"/>
        </w:rPr>
        <w:t>V2</w:t>
      </w:r>
      <w:r>
        <w:rPr>
          <w:spacing w:val="-11"/>
          <w:sz w:val="24"/>
          <w:vertAlign w:val="baseline"/>
        </w:rPr>
        <w:t> </w:t>
      </w:r>
      <w:r>
        <w:rPr>
          <w:sz w:val="24"/>
          <w:vertAlign w:val="baseline"/>
        </w:rPr>
        <w:t>perpetual</w:t>
      </w:r>
      <w:r>
        <w:rPr>
          <w:spacing w:val="-11"/>
          <w:sz w:val="24"/>
          <w:vertAlign w:val="baseline"/>
        </w:rPr>
        <w:t> </w:t>
      </w:r>
      <w:r>
        <w:rPr>
          <w:sz w:val="24"/>
          <w:vertAlign w:val="baseline"/>
        </w:rPr>
        <w:t>outcomes as domain-intuition proxies for risk-relevant behavior, not as loan-repayment ground truth.</w:t>
      </w:r>
    </w:p>
    <w:p>
      <w:pPr>
        <w:pStyle w:val="ListParagraph"/>
        <w:numPr>
          <w:ilvl w:val="0"/>
          <w:numId w:val="10"/>
        </w:numPr>
        <w:tabs>
          <w:tab w:pos="806" w:val="left" w:leader="none"/>
          <w:tab w:pos="808" w:val="left" w:leader="none"/>
        </w:tabs>
        <w:spacing w:line="396" w:lineRule="auto" w:before="40" w:after="0"/>
        <w:ind w:left="808" w:right="564" w:hanging="216"/>
        <w:jc w:val="both"/>
        <w:rPr>
          <w:sz w:val="24"/>
        </w:rPr>
      </w:pPr>
      <w:r>
        <w:rPr>
          <w:i/>
        </w:rPr>
        <w:t>온체인 신용 위험: 퍼블릭 블록체인에서 포지션 청산이나 반복적인 거래 손실과 같은 관찰 가능한 불리한 결과가 발생합니다[44]. 이 논문은 GMX V2 영구 결과를 대출 상환 근거가 아닌 위험 관련 행동에 대한 도메인 직관 프록시로 사용합니다.</w:t>
      </w:r>
    </w:p>
    <w:p>
      <w:pPr>
        <w:pStyle w:val="ListParagraph"/>
        <w:numPr>
          <w:ilvl w:val="0"/>
          <w:numId w:val="10"/>
        </w:numPr>
        <w:tabs>
          <w:tab w:pos="799" w:val="left" w:leader="none"/>
          <w:tab w:pos="806" w:val="left" w:leader="none"/>
        </w:tabs>
        <w:spacing w:line="396" w:lineRule="auto" w:before="40" w:after="0"/>
        <w:ind w:left="799" w:right="555" w:hanging="207"/>
        <w:jc w:val="both"/>
        <w:rPr>
          <w:sz w:val="24"/>
        </w:rPr>
      </w:pPr>
      <w:r>
        <w:rPr>
          <w:b/>
          <w:sz w:val="24"/>
        </w:rPr>
        <w:t>GMX</w:t>
      </w:r>
      <w:r>
        <w:rPr>
          <w:b/>
          <w:spacing w:val="40"/>
          <w:sz w:val="24"/>
        </w:rPr>
        <w:t> </w:t>
      </w:r>
      <w:r>
        <w:rPr>
          <w:b/>
          <w:sz w:val="24"/>
        </w:rPr>
        <w:t>V2</w:t>
      </w:r>
      <w:r>
        <w:rPr>
          <w:b/>
          <w:spacing w:val="40"/>
          <w:sz w:val="24"/>
        </w:rPr>
        <w:t> </w:t>
      </w:r>
      <w:r>
        <w:rPr>
          <w:b/>
          <w:sz w:val="24"/>
        </w:rPr>
        <w:t>perpetual</w:t>
      </w:r>
      <w:r>
        <w:rPr>
          <w:b/>
          <w:spacing w:val="40"/>
          <w:sz w:val="24"/>
        </w:rPr>
        <w:t> </w:t>
      </w:r>
      <w:r>
        <w:rPr>
          <w:b/>
          <w:sz w:val="24"/>
        </w:rPr>
        <w:t>swap</w:t>
      </w:r>
      <w:r>
        <w:rPr>
          <w:b/>
          <w:spacing w:val="40"/>
          <w:sz w:val="24"/>
        </w:rPr>
        <w:t> </w:t>
      </w:r>
      <w:r>
        <w:rPr>
          <w:b/>
          <w:sz w:val="24"/>
        </w:rPr>
        <w:t>position:</w:t>
      </w:r>
      <w:r>
        <w:rPr>
          <w:b/>
          <w:spacing w:val="80"/>
          <w:sz w:val="24"/>
        </w:rPr>
        <w:t> </w:t>
      </w:r>
      <w:r>
        <w:rPr>
          <w:sz w:val="24"/>
        </w:rPr>
        <w:t>A</w:t>
      </w:r>
      <w:r>
        <w:rPr>
          <w:spacing w:val="40"/>
          <w:sz w:val="24"/>
        </w:rPr>
        <w:t> </w:t>
      </w:r>
      <w:r>
        <w:rPr>
          <w:sz w:val="24"/>
        </w:rPr>
        <w:t>collateralized</w:t>
      </w:r>
      <w:r>
        <w:rPr>
          <w:spacing w:val="40"/>
          <w:sz w:val="24"/>
        </w:rPr>
        <w:t> </w:t>
      </w:r>
      <w:r>
        <w:rPr>
          <w:sz w:val="24"/>
        </w:rPr>
        <w:t>long</w:t>
      </w:r>
      <w:r>
        <w:rPr>
          <w:spacing w:val="40"/>
          <w:sz w:val="24"/>
        </w:rPr>
        <w:t> </w:t>
      </w:r>
      <w:r>
        <w:rPr>
          <w:sz w:val="24"/>
        </w:rPr>
        <w:t>or</w:t>
      </w:r>
      <w:r>
        <w:rPr>
          <w:spacing w:val="40"/>
          <w:sz w:val="24"/>
        </w:rPr>
        <w:t> </w:t>
      </w:r>
      <w:r>
        <w:rPr>
          <w:sz w:val="24"/>
        </w:rPr>
        <w:t>short</w:t>
      </w:r>
      <w:r>
        <w:rPr>
          <w:spacing w:val="40"/>
          <w:sz w:val="24"/>
        </w:rPr>
        <w:t> </w:t>
      </w:r>
      <w:r>
        <w:rPr>
          <w:sz w:val="24"/>
        </w:rPr>
        <w:t>exposure</w:t>
      </w:r>
      <w:r>
        <w:rPr>
          <w:spacing w:val="40"/>
          <w:sz w:val="24"/>
        </w:rPr>
        <w:t> </w:t>
      </w:r>
      <w:r>
        <w:rPr>
          <w:sz w:val="24"/>
        </w:rPr>
        <w:t>on</w:t>
      </w:r>
      <w:r>
        <w:rPr>
          <w:spacing w:val="40"/>
          <w:sz w:val="24"/>
        </w:rPr>
        <w:t> </w:t>
      </w:r>
      <w:r>
        <w:rPr>
          <w:sz w:val="24"/>
        </w:rPr>
        <w:t>GMX V2,</w:t>
      </w:r>
      <w:r>
        <w:rPr>
          <w:spacing w:val="40"/>
          <w:sz w:val="24"/>
        </w:rPr>
        <w:t> </w:t>
      </w:r>
      <w:r>
        <w:rPr>
          <w:sz w:val="24"/>
        </w:rPr>
        <w:t>opened via </w:t>
      </w:r>
      <w:r>
        <w:rPr>
          <w:b/>
          <w:sz w:val="24"/>
        </w:rPr>
        <w:t>PositionIncrease </w:t>
      </w:r>
      <w:r>
        <w:rPr>
          <w:sz w:val="24"/>
        </w:rPr>
        <w:t>and closed via </w:t>
      </w:r>
      <w:r>
        <w:rPr>
          <w:b/>
          <w:sz w:val="24"/>
        </w:rPr>
        <w:t>PositionDecrease </w:t>
      </w:r>
      <w:r>
        <w:rPr>
          <w:sz w:val="24"/>
        </w:rPr>
        <w:t>events on Arbitrum</w:t>
      </w:r>
      <w:r>
        <w:rPr>
          <w:spacing w:val="40"/>
          <w:sz w:val="24"/>
        </w:rPr>
        <w:t> </w:t>
      </w:r>
      <w:r>
        <w:rPr>
          <w:sz w:val="24"/>
        </w:rPr>
        <w:t>One </w:t>
      </w:r>
      <w:hyperlink w:history="true" w:anchor="_bookmark156">
        <w:r>
          <w:rPr>
            <w:sz w:val="24"/>
            <w:vertAlign w:val="superscript"/>
          </w:rPr>
          <w:t>[23]</w:t>
        </w:r>
      </w:hyperlink>
      <w:r>
        <w:rPr>
          <w:sz w:val="24"/>
          <w:vertAlign w:val="superscript"/>
        </w:rPr>
        <w:t>,</w:t>
      </w:r>
      <w:hyperlink w:history="true" w:anchor="_bookmark186">
        <w:r>
          <w:rPr>
            <w:sz w:val="24"/>
            <w:vertAlign w:val="superscript"/>
          </w:rPr>
          <w:t>[53]</w:t>
        </w:r>
      </w:hyperlink>
      <w:r>
        <w:rPr>
          <w:sz w:val="24"/>
          <w:vertAlign w:val="baseline"/>
        </w:rPr>
        <w:t>.</w:t>
      </w:r>
      <w:r>
        <w:rPr>
          <w:spacing w:val="40"/>
          <w:sz w:val="24"/>
          <w:vertAlign w:val="baseline"/>
        </w:rPr>
        <w:t> </w:t>
      </w:r>
      <w:r>
        <w:rPr>
          <w:sz w:val="24"/>
          <w:vertAlign w:val="baseline"/>
        </w:rPr>
        <w:t>Realized profit-and-loss from closes supplies trading-success and inverse-risk </w:t>
      </w:r>
      <w:r>
        <w:rPr>
          <w:spacing w:val="-2"/>
          <w:sz w:val="24"/>
          <w:vertAlign w:val="baseline"/>
        </w:rPr>
        <w:t>proxies.</w:t>
      </w:r>
    </w:p>
    <w:p>
      <w:pPr>
        <w:pStyle w:val="ListParagraph"/>
        <w:numPr>
          <w:ilvl w:val="0"/>
          <w:numId w:val="10"/>
        </w:numPr>
        <w:tabs>
          <w:tab w:pos="799" w:val="left" w:leader="none"/>
          <w:tab w:pos="806" w:val="left" w:leader="none"/>
        </w:tabs>
        <w:spacing w:line="396" w:lineRule="auto" w:before="40" w:after="0"/>
        <w:ind w:left="799" w:right="555" w:hanging="207"/>
        <w:jc w:val="both"/>
        <w:rPr>
          <w:sz w:val="24"/>
        </w:rPr>
      </w:pPr>
      <w:r>
        <w:rPr>
          <w:i/>
        </w:rPr>
        <w:t>GMX V2 영구 스왑 포지션: GMX V2에 담보로 제공되는 장기 또는 단기 노출, PositionIncrease를 통해 개시되고 Arbitrum One의 PositionDecrease 이벤트를 통해 청산됩니다[23],[53]. 마감 공급 거래 성공 및 역위험 프록시를 통해 실현된 손익입니다.</w:t>
      </w:r>
    </w:p>
    <w:p>
      <w:pPr>
        <w:pStyle w:val="ListParagraph"/>
        <w:numPr>
          <w:ilvl w:val="0"/>
          <w:numId w:val="10"/>
        </w:numPr>
        <w:tabs>
          <w:tab w:pos="799" w:val="left" w:leader="none"/>
          <w:tab w:pos="806" w:val="left" w:leader="none"/>
        </w:tabs>
        <w:spacing w:line="396" w:lineRule="auto" w:before="41" w:after="0"/>
        <w:ind w:left="799" w:right="563" w:hanging="207"/>
        <w:jc w:val="both"/>
        <w:rPr>
          <w:sz w:val="24"/>
        </w:rPr>
      </w:pPr>
      <w:r>
        <w:rPr>
          <w:b/>
          <w:spacing w:val="-2"/>
          <w:sz w:val="24"/>
        </w:rPr>
        <w:t>PageRank:</w:t>
      </w:r>
      <w:r>
        <w:rPr>
          <w:b/>
          <w:spacing w:val="30"/>
          <w:sz w:val="24"/>
        </w:rPr>
        <w:t> </w:t>
      </w:r>
      <w:r>
        <w:rPr>
          <w:spacing w:val="-2"/>
          <w:sz w:val="24"/>
        </w:rPr>
        <w:t>A</w:t>
      </w:r>
      <w:r>
        <w:rPr>
          <w:spacing w:val="-11"/>
          <w:sz w:val="24"/>
        </w:rPr>
        <w:t> </w:t>
      </w:r>
      <w:r>
        <w:rPr>
          <w:spacing w:val="-2"/>
          <w:sz w:val="24"/>
        </w:rPr>
        <w:t>graph</w:t>
      </w:r>
      <w:r>
        <w:rPr>
          <w:spacing w:val="-10"/>
          <w:sz w:val="24"/>
        </w:rPr>
        <w:t> </w:t>
      </w:r>
      <w:r>
        <w:rPr>
          <w:spacing w:val="-2"/>
          <w:sz w:val="24"/>
        </w:rPr>
        <w:t>ranking</w:t>
      </w:r>
      <w:r>
        <w:rPr>
          <w:spacing w:val="-10"/>
          <w:sz w:val="24"/>
        </w:rPr>
        <w:t> </w:t>
      </w:r>
      <w:r>
        <w:rPr>
          <w:spacing w:val="-2"/>
          <w:sz w:val="24"/>
        </w:rPr>
        <w:t>method</w:t>
      </w:r>
      <w:r>
        <w:rPr>
          <w:spacing w:val="-10"/>
          <w:sz w:val="24"/>
        </w:rPr>
        <w:t> </w:t>
      </w:r>
      <w:r>
        <w:rPr>
          <w:spacing w:val="-2"/>
          <w:sz w:val="24"/>
        </w:rPr>
        <w:t>that</w:t>
      </w:r>
      <w:r>
        <w:rPr>
          <w:spacing w:val="-10"/>
          <w:sz w:val="24"/>
        </w:rPr>
        <w:t> </w:t>
      </w:r>
      <w:r>
        <w:rPr>
          <w:spacing w:val="-2"/>
          <w:sz w:val="24"/>
        </w:rPr>
        <w:t>propagates</w:t>
      </w:r>
      <w:r>
        <w:rPr>
          <w:spacing w:val="-10"/>
          <w:sz w:val="24"/>
        </w:rPr>
        <w:t> </w:t>
      </w:r>
      <w:r>
        <w:rPr>
          <w:spacing w:val="-2"/>
          <w:sz w:val="24"/>
        </w:rPr>
        <w:t>influence</w:t>
      </w:r>
      <w:r>
        <w:rPr>
          <w:spacing w:val="-10"/>
          <w:sz w:val="24"/>
        </w:rPr>
        <w:t> </w:t>
      </w:r>
      <w:r>
        <w:rPr>
          <w:spacing w:val="-2"/>
          <w:sz w:val="24"/>
        </w:rPr>
        <w:t>through</w:t>
      </w:r>
      <w:r>
        <w:rPr>
          <w:spacing w:val="-10"/>
          <w:sz w:val="24"/>
        </w:rPr>
        <w:t> </w:t>
      </w:r>
      <w:r>
        <w:rPr>
          <w:spacing w:val="-2"/>
          <w:sz w:val="24"/>
        </w:rPr>
        <w:t>directed</w:t>
      </w:r>
      <w:r>
        <w:rPr>
          <w:spacing w:val="-10"/>
          <w:sz w:val="24"/>
        </w:rPr>
        <w:t> </w:t>
      </w:r>
      <w:r>
        <w:rPr>
          <w:spacing w:val="-2"/>
          <w:sz w:val="24"/>
        </w:rPr>
        <w:t>edges</w:t>
      </w:r>
      <w:r>
        <w:rPr>
          <w:spacing w:val="-10"/>
          <w:sz w:val="24"/>
        </w:rPr>
        <w:t> </w:t>
      </w:r>
      <w:r>
        <w:rPr>
          <w:spacing w:val="-2"/>
          <w:sz w:val="24"/>
        </w:rPr>
        <w:t>under</w:t>
      </w:r>
      <w:r>
        <w:rPr>
          <w:spacing w:val="-10"/>
          <w:sz w:val="24"/>
        </w:rPr>
        <w:t> </w:t>
      </w:r>
      <w:r>
        <w:rPr>
          <w:spacing w:val="-2"/>
          <w:sz w:val="24"/>
        </w:rPr>
        <w:t>a </w:t>
      </w:r>
      <w:r>
        <w:rPr>
          <w:sz w:val="24"/>
        </w:rPr>
        <w:t>damping</w:t>
      </w:r>
      <w:r>
        <w:rPr>
          <w:spacing w:val="-15"/>
          <w:sz w:val="24"/>
        </w:rPr>
        <w:t> </w:t>
      </w:r>
      <w:r>
        <w:rPr>
          <w:sz w:val="24"/>
        </w:rPr>
        <w:t>factor</w:t>
      </w:r>
      <w:r>
        <w:rPr>
          <w:spacing w:val="-15"/>
          <w:sz w:val="24"/>
        </w:rPr>
        <w:t> </w:t>
      </w:r>
      <w:hyperlink w:history="true" w:anchor="_bookmark141">
        <w:r>
          <w:rPr>
            <w:sz w:val="24"/>
            <w:vertAlign w:val="superscript"/>
          </w:rPr>
          <w:t>[8]</w:t>
        </w:r>
      </w:hyperlink>
      <w:r>
        <w:rPr>
          <w:sz w:val="24"/>
          <w:vertAlign w:val="superscript"/>
        </w:rPr>
        <w:t>,</w:t>
      </w:r>
      <w:hyperlink w:history="true" w:anchor="_bookmark173">
        <w:r>
          <w:rPr>
            <w:sz w:val="24"/>
            <w:vertAlign w:val="superscript"/>
          </w:rPr>
          <w:t>[40]</w:t>
        </w:r>
      </w:hyperlink>
      <w:r>
        <w:rPr>
          <w:sz w:val="24"/>
          <w:vertAlign w:val="superscript"/>
        </w:rPr>
        <w:t>,</w:t>
      </w:r>
      <w:hyperlink w:history="true" w:anchor="_bookmark182">
        <w:r>
          <w:rPr>
            <w:sz w:val="24"/>
            <w:vertAlign w:val="superscript"/>
          </w:rPr>
          <w:t>[49]</w:t>
        </w:r>
      </w:hyperlink>
      <w:r>
        <w:rPr>
          <w:sz w:val="24"/>
          <w:vertAlign w:val="baseline"/>
        </w:rPr>
        <w:t>.</w:t>
      </w:r>
      <w:r>
        <w:rPr>
          <w:spacing w:val="-15"/>
          <w:sz w:val="24"/>
          <w:vertAlign w:val="baseline"/>
        </w:rPr>
        <w:t> </w:t>
      </w:r>
      <w:r>
        <w:rPr>
          <w:b/>
          <w:sz w:val="24"/>
          <w:vertAlign w:val="baseline"/>
        </w:rPr>
        <w:t>EndorseRank</w:t>
      </w:r>
      <w:r>
        <w:rPr>
          <w:b/>
          <w:spacing w:val="-15"/>
          <w:sz w:val="24"/>
          <w:vertAlign w:val="baseline"/>
        </w:rPr>
        <w:t> </w:t>
      </w:r>
      <w:r>
        <w:rPr>
          <w:sz w:val="24"/>
          <w:vertAlign w:val="baseline"/>
        </w:rPr>
        <w:t>applies</w:t>
      </w:r>
      <w:r>
        <w:rPr>
          <w:spacing w:val="-15"/>
          <w:sz w:val="24"/>
          <w:vertAlign w:val="baseline"/>
        </w:rPr>
        <w:t> </w:t>
      </w:r>
      <w:r>
        <w:rPr>
          <w:sz w:val="24"/>
          <w:vertAlign w:val="baseline"/>
        </w:rPr>
        <w:t>PageRank</w:t>
      </w:r>
      <w:r>
        <w:rPr>
          <w:spacing w:val="-15"/>
          <w:sz w:val="24"/>
          <w:vertAlign w:val="baseline"/>
        </w:rPr>
        <w:t> </w:t>
      </w:r>
      <w:r>
        <w:rPr>
          <w:sz w:val="24"/>
          <w:vertAlign w:val="baseline"/>
        </w:rPr>
        <w:t>to</w:t>
      </w:r>
      <w:r>
        <w:rPr>
          <w:spacing w:val="-15"/>
          <w:sz w:val="24"/>
          <w:vertAlign w:val="baseline"/>
        </w:rPr>
        <w:t> </w:t>
      </w:r>
      <w:r>
        <w:rPr>
          <w:sz w:val="24"/>
          <w:vertAlign w:val="baseline"/>
        </w:rPr>
        <w:t>a</w:t>
      </w:r>
      <w:r>
        <w:rPr>
          <w:spacing w:val="-15"/>
          <w:sz w:val="24"/>
          <w:vertAlign w:val="baseline"/>
        </w:rPr>
        <w:t> </w:t>
      </w:r>
      <w:r>
        <w:rPr>
          <w:sz w:val="24"/>
          <w:vertAlign w:val="baseline"/>
        </w:rPr>
        <w:t>latest-allowance</w:t>
      </w:r>
      <w:r>
        <w:rPr>
          <w:spacing w:val="-15"/>
          <w:sz w:val="24"/>
          <w:vertAlign w:val="baseline"/>
        </w:rPr>
        <w:t> </w:t>
      </w:r>
      <w:r>
        <w:rPr>
          <w:sz w:val="24"/>
          <w:vertAlign w:val="baseline"/>
        </w:rPr>
        <w:t>endorsement graph: edge</w:t>
      </w:r>
      <w:r>
        <w:rPr>
          <w:spacing w:val="-5"/>
          <w:sz w:val="24"/>
          <w:vertAlign w:val="baseline"/>
        </w:rPr>
        <w:t> </w:t>
      </w:r>
      <w:r>
        <w:rPr>
          <w:sz w:val="24"/>
          <w:vertAlign w:val="baseline"/>
        </w:rPr>
        <w:t>strength</w:t>
      </w:r>
      <w:r>
        <w:rPr>
          <w:spacing w:val="-5"/>
          <w:sz w:val="24"/>
          <w:vertAlign w:val="baseline"/>
        </w:rPr>
        <w:t> </w:t>
      </w:r>
      <w:r>
        <w:rPr>
          <w:sz w:val="24"/>
          <w:vertAlign w:val="baseline"/>
        </w:rPr>
        <w:t>equals</w:t>
      </w:r>
      <w:r>
        <w:rPr>
          <w:spacing w:val="-5"/>
          <w:sz w:val="24"/>
          <w:vertAlign w:val="baseline"/>
        </w:rPr>
        <w:t> </w:t>
      </w:r>
      <w:r>
        <w:rPr>
          <w:sz w:val="24"/>
          <w:vertAlign w:val="baseline"/>
        </w:rPr>
        <w:t>the</w:t>
      </w:r>
      <w:r>
        <w:rPr>
          <w:spacing w:val="-5"/>
          <w:sz w:val="24"/>
          <w:vertAlign w:val="baseline"/>
        </w:rPr>
        <w:t> </w:t>
      </w:r>
      <w:r>
        <w:rPr>
          <w:sz w:val="24"/>
          <w:vertAlign w:val="baseline"/>
        </w:rPr>
        <w:t>current</w:t>
      </w:r>
      <w:r>
        <w:rPr>
          <w:spacing w:val="-5"/>
          <w:sz w:val="24"/>
          <w:vertAlign w:val="baseline"/>
        </w:rPr>
        <w:t> </w:t>
      </w:r>
      <w:r>
        <w:rPr>
          <w:sz w:val="24"/>
          <w:vertAlign w:val="baseline"/>
        </w:rPr>
        <w:t>allowance</w:t>
      </w:r>
      <w:r>
        <w:rPr>
          <w:spacing w:val="-5"/>
          <w:sz w:val="24"/>
          <w:vertAlign w:val="baseline"/>
        </w:rPr>
        <w:t> </w:t>
      </w:r>
      <w:r>
        <w:rPr>
          <w:sz w:val="24"/>
          <w:vertAlign w:val="baseline"/>
        </w:rPr>
        <w:t>per</w:t>
      </w:r>
      <w:r>
        <w:rPr>
          <w:spacing w:val="-5"/>
          <w:sz w:val="24"/>
          <w:vertAlign w:val="baseline"/>
        </w:rPr>
        <w:t> </w:t>
      </w:r>
      <w:r>
        <w:rPr>
          <w:sz w:val="24"/>
          <w:vertAlign w:val="baseline"/>
        </w:rPr>
        <w:t>owner–spender</w:t>
      </w:r>
      <w:r>
        <w:rPr>
          <w:spacing w:val="-5"/>
          <w:sz w:val="24"/>
          <w:vertAlign w:val="baseline"/>
        </w:rPr>
        <w:t> </w:t>
      </w:r>
      <w:r>
        <w:rPr>
          <w:sz w:val="24"/>
          <w:vertAlign w:val="baseline"/>
        </w:rPr>
        <w:t>pair,</w:t>
      </w:r>
      <w:r>
        <w:rPr>
          <w:spacing w:val="-5"/>
          <w:sz w:val="24"/>
          <w:vertAlign w:val="baseline"/>
        </w:rPr>
        <w:t> </w:t>
      </w:r>
      <w:r>
        <w:rPr>
          <w:sz w:val="24"/>
          <w:vertAlign w:val="baseline"/>
        </w:rPr>
        <w:t>with</w:t>
      </w:r>
      <w:r>
        <w:rPr>
          <w:spacing w:val="-5"/>
          <w:sz w:val="24"/>
          <w:vertAlign w:val="baseline"/>
        </w:rPr>
        <w:t> </w:t>
      </w:r>
      <w:r>
        <w:rPr>
          <w:sz w:val="24"/>
          <w:vertAlign w:val="baseline"/>
        </w:rPr>
        <w:t>no</w:t>
      </w:r>
      <w:r>
        <w:rPr>
          <w:spacing w:val="-5"/>
          <w:sz w:val="24"/>
          <w:vertAlign w:val="baseline"/>
        </w:rPr>
        <w:t> </w:t>
      </w:r>
      <w:r>
        <w:rPr>
          <w:sz w:val="24"/>
          <w:vertAlign w:val="baseline"/>
        </w:rPr>
        <w:t>temporal </w:t>
      </w:r>
      <w:r>
        <w:rPr>
          <w:spacing w:val="-2"/>
          <w:sz w:val="24"/>
          <w:vertAlign w:val="baseline"/>
        </w:rPr>
        <w:t>decay.</w:t>
      </w:r>
      <w:r>
        <w:rPr>
          <w:spacing w:val="19"/>
          <w:sz w:val="24"/>
          <w:vertAlign w:val="baseline"/>
        </w:rPr>
        <w:t> </w:t>
      </w:r>
      <w:r>
        <w:rPr>
          <w:b/>
          <w:spacing w:val="-2"/>
          <w:sz w:val="24"/>
          <w:vertAlign w:val="baseline"/>
        </w:rPr>
        <w:t>Adaptive</w:t>
      </w:r>
      <w:r>
        <w:rPr>
          <w:b/>
          <w:spacing w:val="-13"/>
          <w:sz w:val="24"/>
          <w:vertAlign w:val="baseline"/>
        </w:rPr>
        <w:t> </w:t>
      </w:r>
      <w:r>
        <w:rPr>
          <w:b/>
          <w:spacing w:val="-2"/>
          <w:sz w:val="24"/>
          <w:vertAlign w:val="baseline"/>
        </w:rPr>
        <w:t>Weighted</w:t>
      </w:r>
      <w:r>
        <w:rPr>
          <w:b/>
          <w:spacing w:val="-13"/>
          <w:sz w:val="24"/>
          <w:vertAlign w:val="baseline"/>
        </w:rPr>
        <w:t> </w:t>
      </w:r>
      <w:r>
        <w:rPr>
          <w:b/>
          <w:spacing w:val="-2"/>
          <w:sz w:val="24"/>
          <w:vertAlign w:val="baseline"/>
        </w:rPr>
        <w:t>PageRank</w:t>
      </w:r>
      <w:r>
        <w:rPr>
          <w:b/>
          <w:spacing w:val="-13"/>
          <w:sz w:val="24"/>
          <w:vertAlign w:val="baseline"/>
        </w:rPr>
        <w:t> </w:t>
      </w:r>
      <w:r>
        <w:rPr>
          <w:b/>
          <w:spacing w:val="-2"/>
          <w:sz w:val="24"/>
          <w:vertAlign w:val="baseline"/>
        </w:rPr>
        <w:t>(AWP)</w:t>
      </w:r>
      <w:r>
        <w:rPr>
          <w:b/>
          <w:spacing w:val="-13"/>
          <w:sz w:val="24"/>
          <w:vertAlign w:val="baseline"/>
        </w:rPr>
        <w:t> </w:t>
      </w:r>
      <w:r>
        <w:rPr>
          <w:spacing w:val="-2"/>
          <w:sz w:val="24"/>
          <w:vertAlign w:val="baseline"/>
        </w:rPr>
        <w:t>applies</w:t>
      </w:r>
      <w:r>
        <w:rPr>
          <w:spacing w:val="-13"/>
          <w:sz w:val="24"/>
          <w:vertAlign w:val="baseline"/>
        </w:rPr>
        <w:t> </w:t>
      </w:r>
      <w:r>
        <w:rPr>
          <w:spacing w:val="-2"/>
          <w:sz w:val="24"/>
          <w:vertAlign w:val="baseline"/>
        </w:rPr>
        <w:t>PageRank</w:t>
      </w:r>
      <w:r>
        <w:rPr>
          <w:spacing w:val="-13"/>
          <w:sz w:val="24"/>
          <w:vertAlign w:val="baseline"/>
        </w:rPr>
        <w:t> </w:t>
      </w:r>
      <w:r>
        <w:rPr>
          <w:spacing w:val="-2"/>
          <w:sz w:val="24"/>
          <w:vertAlign w:val="baseline"/>
        </w:rPr>
        <w:t>to</w:t>
      </w:r>
      <w:r>
        <w:rPr>
          <w:spacing w:val="-13"/>
          <w:sz w:val="24"/>
          <w:vertAlign w:val="baseline"/>
        </w:rPr>
        <w:t> </w:t>
      </w:r>
      <w:r>
        <w:rPr>
          <w:spacing w:val="-2"/>
          <w:sz w:val="24"/>
          <w:vertAlign w:val="baseline"/>
        </w:rPr>
        <w:t>transfer</w:t>
      </w:r>
      <w:r>
        <w:rPr>
          <w:spacing w:val="-13"/>
          <w:sz w:val="24"/>
          <w:vertAlign w:val="baseline"/>
        </w:rPr>
        <w:t> </w:t>
      </w:r>
      <w:r>
        <w:rPr>
          <w:spacing w:val="-2"/>
          <w:sz w:val="24"/>
          <w:vertAlign w:val="baseline"/>
        </w:rPr>
        <w:t>graphs</w:t>
      </w:r>
      <w:r>
        <w:rPr>
          <w:spacing w:val="-13"/>
          <w:sz w:val="24"/>
          <w:vertAlign w:val="baseline"/>
        </w:rPr>
        <w:t> </w:t>
      </w:r>
      <w:r>
        <w:rPr>
          <w:spacing w:val="-2"/>
          <w:sz w:val="24"/>
          <w:vertAlign w:val="baseline"/>
        </w:rPr>
        <w:t>with</w:t>
      </w:r>
      <w:r>
        <w:rPr>
          <w:spacing w:val="-13"/>
          <w:sz w:val="24"/>
          <w:vertAlign w:val="baseline"/>
        </w:rPr>
        <w:t> </w:t>
      </w:r>
      <w:r>
        <w:rPr>
          <w:spacing w:val="-2"/>
          <w:sz w:val="24"/>
          <w:vertAlign w:val="baseline"/>
        </w:rPr>
        <w:t>edge </w:t>
      </w:r>
      <w:r>
        <w:rPr>
          <w:sz w:val="24"/>
          <w:vertAlign w:val="baseline"/>
        </w:rPr>
        <w:t>weights given by transfer value and logistic time-decay </w:t>
      </w:r>
      <w:hyperlink w:history="true" w:anchor="_bookmark149">
        <w:r>
          <w:rPr>
            <w:sz w:val="24"/>
            <w:vertAlign w:val="superscript"/>
          </w:rPr>
          <w:t>[16]</w:t>
        </w:r>
      </w:hyperlink>
      <w:r>
        <w:rPr>
          <w:sz w:val="24"/>
          <w:vertAlign w:val="baseline"/>
        </w:rPr>
        <w:t>.</w:t>
      </w:r>
    </w:p>
    <w:p>
      <w:pPr>
        <w:pStyle w:val="ListParagraph"/>
        <w:numPr>
          <w:ilvl w:val="0"/>
          <w:numId w:val="10"/>
        </w:numPr>
        <w:tabs>
          <w:tab w:pos="799" w:val="left" w:leader="none"/>
          <w:tab w:pos="806" w:val="left" w:leader="none"/>
        </w:tabs>
        <w:spacing w:line="396" w:lineRule="auto" w:before="41" w:after="0"/>
        <w:ind w:left="799" w:right="563" w:hanging="207"/>
        <w:jc w:val="both"/>
        <w:rPr>
          <w:sz w:val="24"/>
        </w:rPr>
      </w:pPr>
      <w:r>
        <w:rPr>
          <w:i/>
        </w:rPr>
        <w:t>PageRank: 감쇠 인자 [8],[40],[49] 하에서 방향성 간선을 통해 영향을 전파하는 그래프 순위 지정 방법. EndorseRank는 최신 허용 보증 그래프에 PageRank를 적용합니다. 가장자리 강도는 일시적인 붕괴 없이 소유자-소비자 쌍당 현재 허용량과 동일합니다. Adaptive Weighted PageRank(AWP)는 PageRank를 적용하여 전송 값과 로지스틱 시간 감소에 의해 주어진 간선 가중치를 사용하여 그래프를 전송합니다[16].</w:t>
      </w:r>
    </w:p>
    <w:p>
      <w:pPr>
        <w:pStyle w:val="ListParagraph"/>
        <w:numPr>
          <w:ilvl w:val="0"/>
          <w:numId w:val="10"/>
        </w:numPr>
        <w:tabs>
          <w:tab w:pos="806" w:val="left" w:leader="none"/>
          <w:tab w:pos="808" w:val="left" w:leader="none"/>
        </w:tabs>
        <w:spacing w:line="381" w:lineRule="auto" w:before="42" w:after="0"/>
        <w:ind w:left="808" w:right="560" w:hanging="216"/>
        <w:jc w:val="both"/>
        <w:rPr>
          <w:sz w:val="24"/>
        </w:rPr>
      </w:pPr>
      <w:r>
        <w:rPr>
          <w:b/>
          <w:sz w:val="24"/>
        </w:rPr>
        <w:t>ERC-20 allowance / Approve / Permit:</w:t>
      </w:r>
      <w:r>
        <w:rPr>
          <w:b/>
          <w:spacing w:val="36"/>
          <w:sz w:val="24"/>
        </w:rPr>
        <w:t> </w:t>
      </w:r>
      <w:r>
        <w:rPr>
          <w:sz w:val="24"/>
        </w:rPr>
        <w:t>Mechanisms recording how much a token owner permits a spender to transfer on the owner’s behalf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w:t>
      </w:r>
      <w:r>
        <w:rPr>
          <w:spacing w:val="40"/>
          <w:sz w:val="24"/>
          <w:vertAlign w:val="baseline"/>
        </w:rPr>
        <w:t> </w:t>
      </w:r>
      <w:r>
        <w:rPr>
          <w:rFonts w:ascii="Calibri" w:hAnsi="Calibri"/>
          <w:sz w:val="24"/>
          <w:vertAlign w:val="baseline"/>
        </w:rPr>
        <w:t>Approve </w:t>
      </w:r>
      <w:r>
        <w:rPr>
          <w:sz w:val="24"/>
          <w:vertAlign w:val="baseline"/>
        </w:rPr>
        <w:t>is a standard on-chain call;</w:t>
      </w:r>
      <w:r>
        <w:rPr>
          <w:spacing w:val="-3"/>
          <w:sz w:val="24"/>
          <w:vertAlign w:val="baseline"/>
        </w:rPr>
        <w:t> </w:t>
      </w:r>
      <w:r>
        <w:rPr>
          <w:sz w:val="24"/>
          <w:vertAlign w:val="baseline"/>
        </w:rPr>
        <w:t>EIP-2612</w:t>
      </w:r>
      <w:r>
        <w:rPr>
          <w:spacing w:val="-5"/>
          <w:sz w:val="24"/>
          <w:vertAlign w:val="baseline"/>
        </w:rPr>
        <w:t> </w:t>
      </w:r>
      <w:r>
        <w:rPr>
          <w:rFonts w:ascii="Calibri" w:hAnsi="Calibri"/>
          <w:sz w:val="24"/>
          <w:vertAlign w:val="baseline"/>
        </w:rPr>
        <w:t>permit </w:t>
      </w:r>
      <w:r>
        <w:rPr>
          <w:sz w:val="24"/>
          <w:vertAlign w:val="baseline"/>
        </w:rPr>
        <w:t>authorizes</w:t>
      </w:r>
      <w:r>
        <w:rPr>
          <w:spacing w:val="-6"/>
          <w:sz w:val="24"/>
          <w:vertAlign w:val="baseline"/>
        </w:rPr>
        <w:t> </w:t>
      </w:r>
      <w:r>
        <w:rPr>
          <w:sz w:val="24"/>
          <w:vertAlign w:val="baseline"/>
        </w:rPr>
        <w:t>the</w:t>
      </w:r>
      <w:r>
        <w:rPr>
          <w:spacing w:val="-6"/>
          <w:sz w:val="24"/>
          <w:vertAlign w:val="baseline"/>
        </w:rPr>
        <w:t> </w:t>
      </w:r>
      <w:r>
        <w:rPr>
          <w:sz w:val="24"/>
          <w:vertAlign w:val="baseline"/>
        </w:rPr>
        <w:t>same</w:t>
      </w:r>
      <w:r>
        <w:rPr>
          <w:spacing w:val="-5"/>
          <w:sz w:val="24"/>
          <w:vertAlign w:val="baseline"/>
        </w:rPr>
        <w:t> </w:t>
      </w:r>
      <w:r>
        <w:rPr>
          <w:sz w:val="24"/>
          <w:vertAlign w:val="baseline"/>
        </w:rPr>
        <w:t>state</w:t>
      </w:r>
      <w:r>
        <w:rPr>
          <w:spacing w:val="-6"/>
          <w:sz w:val="24"/>
          <w:vertAlign w:val="baseline"/>
        </w:rPr>
        <w:t> </w:t>
      </w:r>
      <w:r>
        <w:rPr>
          <w:sz w:val="24"/>
          <w:vertAlign w:val="baseline"/>
        </w:rPr>
        <w:t>change</w:t>
      </w:r>
      <w:r>
        <w:rPr>
          <w:spacing w:val="-5"/>
          <w:sz w:val="24"/>
          <w:vertAlign w:val="baseline"/>
        </w:rPr>
        <w:t> </w:t>
      </w:r>
      <w:r>
        <w:rPr>
          <w:sz w:val="24"/>
          <w:vertAlign w:val="baseline"/>
        </w:rPr>
        <w:t>via</w:t>
      </w:r>
      <w:r>
        <w:rPr>
          <w:spacing w:val="-6"/>
          <w:sz w:val="24"/>
          <w:vertAlign w:val="baseline"/>
        </w:rPr>
        <w:t> </w:t>
      </w:r>
      <w:r>
        <w:rPr>
          <w:sz w:val="24"/>
          <w:vertAlign w:val="baseline"/>
        </w:rPr>
        <w:t>signature.</w:t>
      </w:r>
      <w:r>
        <w:rPr>
          <w:spacing w:val="20"/>
          <w:sz w:val="24"/>
          <w:vertAlign w:val="baseline"/>
        </w:rPr>
        <w:t> </w:t>
      </w:r>
      <w:r>
        <w:rPr>
          <w:sz w:val="24"/>
          <w:vertAlign w:val="baseline"/>
        </w:rPr>
        <w:t>EndorseRank</w:t>
      </w:r>
      <w:r>
        <w:rPr>
          <w:spacing w:val="-5"/>
          <w:sz w:val="24"/>
          <w:vertAlign w:val="baseline"/>
        </w:rPr>
        <w:t> </w:t>
      </w:r>
      <w:r>
        <w:rPr>
          <w:sz w:val="24"/>
          <w:vertAlign w:val="baseline"/>
        </w:rPr>
        <w:t>uses</w:t>
      </w:r>
      <w:r>
        <w:rPr>
          <w:spacing w:val="-6"/>
          <w:sz w:val="24"/>
          <w:vertAlign w:val="baseline"/>
        </w:rPr>
        <w:t> </w:t>
      </w:r>
      <w:r>
        <w:rPr>
          <w:sz w:val="24"/>
          <w:vertAlign w:val="baseline"/>
        </w:rPr>
        <w:t>the latest non-zero allowance snapshot per owner–spender pair.</w:t>
      </w:r>
    </w:p>
    <w:p>
      <w:pPr>
        <w:pStyle w:val="ListParagraph"/>
        <w:numPr>
          <w:ilvl w:val="0"/>
          <w:numId w:val="10"/>
        </w:numPr>
        <w:tabs>
          <w:tab w:pos="806" w:val="left" w:leader="none"/>
          <w:tab w:pos="808" w:val="left" w:leader="none"/>
        </w:tabs>
        <w:spacing w:line="381" w:lineRule="auto" w:before="42" w:after="0"/>
        <w:ind w:left="808" w:right="560" w:hanging="216"/>
        <w:jc w:val="both"/>
        <w:rPr>
          <w:sz w:val="24"/>
        </w:rPr>
      </w:pPr>
      <w:r>
        <w:rPr>
          <w:i/>
        </w:rPr>
        <w:t>ERC-20 허용/승인/허가: 토큰 소유자가 소유자를 대신하여 지출자가 이체하도록 허용하는 금액을 기록하는 메커니즘입니다[18],[19]. 승인은 표준 온체인 호출이며, EIP-2612 허가는 서명을 통해 동일한 상태 변경을 승인합니다. EndorseRank 소유자-소비자 쌍별로 0이 아닌 최신 허용량 스냅샷을 사용합니다.</w:t>
      </w:r>
    </w:p>
    <w:p>
      <w:pPr>
        <w:pStyle w:val="ListParagraph"/>
        <w:numPr>
          <w:ilvl w:val="0"/>
          <w:numId w:val="10"/>
        </w:numPr>
        <w:tabs>
          <w:tab w:pos="799" w:val="left" w:leader="none"/>
          <w:tab w:pos="806" w:val="left" w:leader="none"/>
        </w:tabs>
        <w:spacing w:line="340" w:lineRule="auto" w:before="53" w:after="0"/>
        <w:ind w:left="799" w:right="524" w:hanging="207"/>
        <w:jc w:val="both"/>
        <w:rPr>
          <w:sz w:val="24"/>
        </w:rPr>
      </w:pPr>
      <w:r>
        <w:rPr>
          <w:b/>
          <w:sz w:val="24"/>
        </w:rPr>
        <w:t>Endorsement</w:t>
      </w:r>
      <w:r>
        <w:rPr>
          <w:b/>
          <w:spacing w:val="-15"/>
          <w:sz w:val="24"/>
        </w:rPr>
        <w:t> </w:t>
      </w:r>
      <w:r>
        <w:rPr>
          <w:b/>
          <w:sz w:val="24"/>
        </w:rPr>
        <w:t>graph:</w:t>
      </w:r>
      <w:r>
        <w:rPr>
          <w:b/>
          <w:spacing w:val="-15"/>
          <w:sz w:val="24"/>
        </w:rPr>
        <w:t> </w:t>
      </w:r>
      <w:r>
        <w:rPr>
          <w:sz w:val="24"/>
        </w:rPr>
        <w:t>A</w:t>
      </w:r>
      <w:r>
        <w:rPr>
          <w:spacing w:val="-15"/>
          <w:sz w:val="24"/>
        </w:rPr>
        <w:t> </w:t>
      </w:r>
      <w:r>
        <w:rPr>
          <w:sz w:val="24"/>
        </w:rPr>
        <w:t>directed</w:t>
      </w:r>
      <w:r>
        <w:rPr>
          <w:spacing w:val="-15"/>
          <w:sz w:val="24"/>
        </w:rPr>
        <w:t> </w:t>
      </w:r>
      <w:r>
        <w:rPr>
          <w:sz w:val="24"/>
        </w:rPr>
        <w:t>graph</w:t>
      </w:r>
      <w:r>
        <w:rPr>
          <w:spacing w:val="-15"/>
          <w:sz w:val="24"/>
        </w:rPr>
        <w:t> </w:t>
      </w:r>
      <w:r>
        <w:rPr>
          <w:sz w:val="24"/>
        </w:rPr>
        <w:t>in</w:t>
      </w:r>
      <w:r>
        <w:rPr>
          <w:spacing w:val="-15"/>
          <w:sz w:val="24"/>
        </w:rPr>
        <w:t> </w:t>
      </w:r>
      <w:r>
        <w:rPr>
          <w:sz w:val="24"/>
        </w:rPr>
        <w:t>which</w:t>
      </w:r>
      <w:r>
        <w:rPr>
          <w:spacing w:val="-15"/>
          <w:sz w:val="24"/>
        </w:rPr>
        <w:t> </w:t>
      </w:r>
      <w:r>
        <w:rPr>
          <w:sz w:val="24"/>
        </w:rPr>
        <w:t>edges</w:t>
      </w:r>
      <w:r>
        <w:rPr>
          <w:spacing w:val="-15"/>
          <w:sz w:val="24"/>
        </w:rPr>
        <w:t> </w:t>
      </w:r>
      <w:r>
        <w:rPr>
          <w:sz w:val="24"/>
        </w:rPr>
        <w:t>represent</w:t>
      </w:r>
      <w:r>
        <w:rPr>
          <w:spacing w:val="-15"/>
          <w:sz w:val="24"/>
        </w:rPr>
        <w:t> </w:t>
      </w:r>
      <w:r>
        <w:rPr>
          <w:sz w:val="24"/>
        </w:rPr>
        <w:t>explicit</w:t>
      </w:r>
      <w:r>
        <w:rPr>
          <w:spacing w:val="-15"/>
          <w:sz w:val="24"/>
        </w:rPr>
        <w:t> </w:t>
      </w:r>
      <w:r>
        <w:rPr>
          <w:sz w:val="24"/>
        </w:rPr>
        <w:t>delegation</w:t>
      </w:r>
      <w:r>
        <w:rPr>
          <w:spacing w:val="-15"/>
          <w:sz w:val="24"/>
        </w:rPr>
        <w:t> </w:t>
      </w:r>
      <w:r>
        <w:rPr>
          <w:sz w:val="24"/>
        </w:rPr>
        <w:t>of</w:t>
      </w:r>
      <w:r>
        <w:rPr>
          <w:spacing w:val="-15"/>
          <w:sz w:val="24"/>
        </w:rPr>
        <w:t> </w:t>
      </w:r>
      <w:r>
        <w:rPr>
          <w:sz w:val="24"/>
        </w:rPr>
        <w:t>spend-ing authority rather than mere asset transfers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 In EndorseRank, an edge </w:t>
      </w:r>
      <w:r>
        <w:rPr>
          <w:rFonts w:ascii="Calibri" w:hAnsi="Calibri"/>
          <w:i/>
          <w:sz w:val="24"/>
          <w:vertAlign w:val="baseline"/>
        </w:rPr>
        <w:t>u </w:t>
      </w:r>
      <w:r>
        <w:rPr>
          <w:rFonts w:ascii="Lucida Sans Unicode" w:hAnsi="Lucida Sans Unicode"/>
          <w:sz w:val="24"/>
          <w:vertAlign w:val="baseline"/>
        </w:rPr>
        <w:t>→</w:t>
      </w:r>
      <w:r>
        <w:rPr>
          <w:rFonts w:ascii="Lucida Sans Unicode" w:hAnsi="Lucida Sans Unicode"/>
          <w:spacing w:val="-6"/>
          <w:sz w:val="24"/>
          <w:vertAlign w:val="baseline"/>
        </w:rPr>
        <w:t> </w:t>
      </w:r>
      <w:r>
        <w:rPr>
          <w:rFonts w:ascii="Calibri" w:hAnsi="Calibri"/>
          <w:i/>
          <w:sz w:val="24"/>
          <w:vertAlign w:val="baseline"/>
        </w:rPr>
        <w:t>v </w:t>
      </w:r>
      <w:r>
        <w:rPr>
          <w:sz w:val="24"/>
          <w:vertAlign w:val="baseline"/>
        </w:rPr>
        <w:t>means wallet</w:t>
      </w:r>
      <w:r>
        <w:rPr>
          <w:spacing w:val="-3"/>
          <w:sz w:val="24"/>
          <w:vertAlign w:val="baseline"/>
        </w:rPr>
        <w:t> </w:t>
      </w:r>
      <w:r>
        <w:rPr>
          <w:rFonts w:ascii="Calibri" w:hAnsi="Calibri"/>
          <w:i/>
          <w:sz w:val="24"/>
          <w:vertAlign w:val="baseline"/>
        </w:rPr>
        <w:t>u </w:t>
      </w:r>
      <w:r>
        <w:rPr>
          <w:sz w:val="24"/>
          <w:vertAlign w:val="baseline"/>
        </w:rPr>
        <w:t>currently</w:t>
      </w:r>
      <w:r>
        <w:rPr>
          <w:spacing w:val="-3"/>
          <w:sz w:val="24"/>
          <w:vertAlign w:val="baseline"/>
        </w:rPr>
        <w:t> </w:t>
      </w:r>
      <w:r>
        <w:rPr>
          <w:sz w:val="24"/>
          <w:vertAlign w:val="baseline"/>
        </w:rPr>
        <w:t>authorizes</w:t>
      </w:r>
      <w:r>
        <w:rPr>
          <w:spacing w:val="-3"/>
          <w:sz w:val="24"/>
          <w:vertAlign w:val="baseline"/>
        </w:rPr>
        <w:t> </w:t>
      </w:r>
      <w:r>
        <w:rPr>
          <w:sz w:val="24"/>
          <w:vertAlign w:val="baseline"/>
        </w:rPr>
        <w:t>wallet</w:t>
      </w:r>
      <w:r>
        <w:rPr>
          <w:spacing w:val="-3"/>
          <w:sz w:val="24"/>
          <w:vertAlign w:val="baseline"/>
        </w:rPr>
        <w:t> </w:t>
      </w:r>
      <w:r>
        <w:rPr>
          <w:sz w:val="24"/>
          <w:vertAlign w:val="baseline"/>
        </w:rPr>
        <w:t>or</w:t>
      </w:r>
      <w:r>
        <w:rPr>
          <w:spacing w:val="-3"/>
          <w:sz w:val="24"/>
          <w:vertAlign w:val="baseline"/>
        </w:rPr>
        <w:t> </w:t>
      </w:r>
      <w:r>
        <w:rPr>
          <w:sz w:val="24"/>
          <w:vertAlign w:val="baseline"/>
        </w:rPr>
        <w:t>contract</w:t>
      </w:r>
      <w:r>
        <w:rPr>
          <w:spacing w:val="-3"/>
          <w:sz w:val="24"/>
          <w:vertAlign w:val="baseline"/>
        </w:rPr>
        <w:t> </w:t>
      </w:r>
      <w:r>
        <w:rPr>
          <w:rFonts w:ascii="Calibri" w:hAnsi="Calibri"/>
          <w:i/>
          <w:sz w:val="24"/>
          <w:vertAlign w:val="baseline"/>
        </w:rPr>
        <w:t>v </w:t>
      </w:r>
      <w:r>
        <w:rPr>
          <w:sz w:val="24"/>
          <w:vertAlign w:val="baseline"/>
        </w:rPr>
        <w:t>to</w:t>
      </w:r>
      <w:r>
        <w:rPr>
          <w:spacing w:val="-3"/>
          <w:sz w:val="24"/>
          <w:vertAlign w:val="baseline"/>
        </w:rPr>
        <w:t> </w:t>
      </w:r>
      <w:r>
        <w:rPr>
          <w:sz w:val="24"/>
          <w:vertAlign w:val="baseline"/>
        </w:rPr>
        <w:t>spend</w:t>
      </w:r>
      <w:r>
        <w:rPr>
          <w:spacing w:val="-3"/>
          <w:sz w:val="24"/>
          <w:vertAlign w:val="baseline"/>
        </w:rPr>
        <w:t> </w:t>
      </w:r>
      <w:r>
        <w:rPr>
          <w:sz w:val="24"/>
          <w:vertAlign w:val="baseline"/>
        </w:rPr>
        <w:t>tokens</w:t>
      </w:r>
      <w:r>
        <w:rPr>
          <w:spacing w:val="-3"/>
          <w:sz w:val="24"/>
          <w:vertAlign w:val="baseline"/>
        </w:rPr>
        <w:t> </w:t>
      </w:r>
      <w:r>
        <w:rPr>
          <w:sz w:val="24"/>
          <w:vertAlign w:val="baseline"/>
        </w:rPr>
        <w:t>owned</w:t>
      </w:r>
      <w:r>
        <w:rPr>
          <w:spacing w:val="-3"/>
          <w:sz w:val="24"/>
          <w:vertAlign w:val="baseline"/>
        </w:rPr>
        <w:t> </w:t>
      </w:r>
      <w:r>
        <w:rPr>
          <w:sz w:val="24"/>
          <w:vertAlign w:val="baseline"/>
        </w:rPr>
        <w:t>by</w:t>
      </w:r>
      <w:r>
        <w:rPr>
          <w:spacing w:val="-2"/>
          <w:sz w:val="24"/>
          <w:vertAlign w:val="baseline"/>
        </w:rPr>
        <w:t> </w:t>
      </w:r>
      <w:r>
        <w:rPr>
          <w:rFonts w:ascii="Calibri" w:hAnsi="Calibri"/>
          <w:i/>
          <w:sz w:val="24"/>
          <w:vertAlign w:val="baseline"/>
        </w:rPr>
        <w:t>u</w:t>
      </w:r>
      <w:r>
        <w:rPr>
          <w:sz w:val="24"/>
          <w:vertAlign w:val="baseline"/>
        </w:rPr>
        <w:t>;</w:t>
      </w:r>
      <w:r>
        <w:rPr>
          <w:spacing w:val="-2"/>
          <w:sz w:val="24"/>
          <w:vertAlign w:val="baseline"/>
        </w:rPr>
        <w:t> </w:t>
      </w:r>
      <w:r>
        <w:rPr>
          <w:sz w:val="24"/>
          <w:vertAlign w:val="baseline"/>
        </w:rPr>
        <w:t>transfer-graph</w:t>
      </w:r>
    </w:p>
    <w:p>
      <w:pPr>
        <w:pStyle w:val="ListParagraph"/>
        <w:numPr>
          <w:ilvl w:val="0"/>
          <w:numId w:val="10"/>
        </w:numPr>
        <w:tabs>
          <w:tab w:pos="799" w:val="left" w:leader="none"/>
          <w:tab w:pos="806" w:val="left" w:leader="none"/>
        </w:tabs>
        <w:spacing w:line="340" w:lineRule="auto" w:before="53" w:after="0"/>
        <w:ind w:left="799" w:right="524" w:hanging="207"/>
        <w:jc w:val="both"/>
        <w:rPr>
          <w:sz w:val="24"/>
        </w:rPr>
      </w:pPr>
      <w:r>
        <w:rPr>
          <w:i/>
        </w:rPr>
        <w:t>보증 그래프: 가장자리가 단순한 자산 이전이 아닌 지출 권한의 명시적인 위임을 나타내는 방향성 그래프입니다[18],[19]. EndorseRank에서 에지 u → v는 지갑 u가 현재 지갑을 승인하거나 v가 소유한 토큰을 사용하도록 계약함을 의미합니다.</w:t>
      </w:r>
    </w:p>
    <w:p>
      <w:pPr>
        <w:pStyle w:val="BodyText"/>
        <w:spacing w:before="38"/>
        <w:ind w:left="799"/>
        <w:jc w:val="both"/>
      </w:pPr>
      <w:r>
        <w:rPr/>
        <w:t>AWP</w:t>
      </w:r>
      <w:r>
        <w:rPr>
          <w:spacing w:val="-14"/>
        </w:rPr>
        <w:t> </w:t>
      </w:r>
      <w:r>
        <w:rPr/>
        <w:t>provides</w:t>
      </w:r>
      <w:r>
        <w:rPr>
          <w:spacing w:val="-14"/>
        </w:rPr>
        <w:t> </w:t>
      </w:r>
      <w:r>
        <w:rPr/>
        <w:t>the</w:t>
      </w:r>
      <w:r>
        <w:rPr>
          <w:spacing w:val="-13"/>
        </w:rPr>
        <w:t> </w:t>
      </w:r>
      <w:r>
        <w:rPr/>
        <w:t>contrasting</w:t>
      </w:r>
      <w:r>
        <w:rPr>
          <w:spacing w:val="-14"/>
        </w:rPr>
        <w:t> </w:t>
      </w:r>
      <w:r>
        <w:rPr/>
        <w:t>baseline</w:t>
      </w:r>
      <w:r>
        <w:rPr>
          <w:spacing w:val="-13"/>
        </w:rPr>
        <w:t> </w:t>
      </w:r>
      <w:hyperlink w:history="true" w:anchor="_bookmark149">
        <w:r>
          <w:rPr>
            <w:spacing w:val="-2"/>
            <w:vertAlign w:val="superscript"/>
          </w:rPr>
          <w:t>[16]</w:t>
        </w:r>
      </w:hyperlink>
      <w:r>
        <w:rPr>
          <w:spacing w:val="-2"/>
          <w:vertAlign w:val="baseline"/>
        </w:rPr>
        <w:t>.</w:t>
      </w:r>
    </w:p>
    <w:p>
      <w:pPr>
        <w:pStyle w:val="BodyText"/>
        <w:spacing w:before="38"/>
        <w:ind w:left="799"/>
        <w:jc w:val="both"/>
      </w:pPr>
      <w:r>
        <w:rPr>
          <w:i/>
        </w:rPr>
        <w:t>AWP는 대조 기준선을 제공합니다[16].</w:t>
      </w:r>
    </w:p>
    <w:p>
      <w:pPr>
        <w:pStyle w:val="ListParagraph"/>
        <w:numPr>
          <w:ilvl w:val="0"/>
          <w:numId w:val="10"/>
        </w:numPr>
        <w:tabs>
          <w:tab w:pos="807" w:val="left" w:leader="none"/>
        </w:tabs>
        <w:spacing w:line="240" w:lineRule="auto" w:before="217" w:after="0"/>
        <w:ind w:left="807" w:right="0" w:hanging="214"/>
        <w:jc w:val="left"/>
        <w:rPr>
          <w:sz w:val="24"/>
        </w:rPr>
      </w:pPr>
      <w:r>
        <w:rPr>
          <w:b/>
          <w:sz w:val="24"/>
        </w:rPr>
        <w:t>Domain</w:t>
      </w:r>
      <w:r>
        <w:rPr>
          <w:b/>
          <w:spacing w:val="15"/>
          <w:sz w:val="24"/>
        </w:rPr>
        <w:t> </w:t>
      </w:r>
      <w:r>
        <w:rPr>
          <w:b/>
          <w:sz w:val="24"/>
        </w:rPr>
        <w:t>alignment:</w:t>
      </w:r>
      <w:r>
        <w:rPr>
          <w:b/>
          <w:spacing w:val="56"/>
          <w:sz w:val="24"/>
        </w:rPr>
        <w:t> </w:t>
      </w:r>
      <w:r>
        <w:rPr>
          <w:sz w:val="24"/>
        </w:rPr>
        <w:t>The</w:t>
      </w:r>
      <w:r>
        <w:rPr>
          <w:spacing w:val="16"/>
          <w:sz w:val="24"/>
        </w:rPr>
        <w:t> </w:t>
      </w:r>
      <w:r>
        <w:rPr>
          <w:sz w:val="24"/>
        </w:rPr>
        <w:t>degree</w:t>
      </w:r>
      <w:r>
        <w:rPr>
          <w:spacing w:val="15"/>
          <w:sz w:val="24"/>
        </w:rPr>
        <w:t> </w:t>
      </w:r>
      <w:r>
        <w:rPr>
          <w:sz w:val="24"/>
        </w:rPr>
        <w:t>to</w:t>
      </w:r>
      <w:r>
        <w:rPr>
          <w:spacing w:val="16"/>
          <w:sz w:val="24"/>
        </w:rPr>
        <w:t> </w:t>
      </w:r>
      <w:r>
        <w:rPr>
          <w:sz w:val="24"/>
        </w:rPr>
        <w:t>which</w:t>
      </w:r>
      <w:r>
        <w:rPr>
          <w:spacing w:val="16"/>
          <w:sz w:val="24"/>
        </w:rPr>
        <w:t> </w:t>
      </w:r>
      <w:r>
        <w:rPr>
          <w:sz w:val="24"/>
        </w:rPr>
        <w:t>a</w:t>
      </w:r>
      <w:r>
        <w:rPr>
          <w:spacing w:val="16"/>
          <w:sz w:val="24"/>
        </w:rPr>
        <w:t> </w:t>
      </w:r>
      <w:r>
        <w:rPr>
          <w:sz w:val="24"/>
        </w:rPr>
        <w:t>reputation</w:t>
      </w:r>
      <w:r>
        <w:rPr>
          <w:spacing w:val="16"/>
          <w:sz w:val="24"/>
        </w:rPr>
        <w:t> </w:t>
      </w:r>
      <w:r>
        <w:rPr>
          <w:sz w:val="24"/>
        </w:rPr>
        <w:t>ranking</w:t>
      </w:r>
      <w:r>
        <w:rPr>
          <w:spacing w:val="15"/>
          <w:sz w:val="24"/>
        </w:rPr>
        <w:t> </w:t>
      </w:r>
      <w:r>
        <w:rPr>
          <w:sz w:val="24"/>
        </w:rPr>
        <w:t>agrees</w:t>
      </w:r>
      <w:r>
        <w:rPr>
          <w:spacing w:val="16"/>
          <w:sz w:val="24"/>
        </w:rPr>
        <w:t> </w:t>
      </w:r>
      <w:r>
        <w:rPr>
          <w:sz w:val="24"/>
        </w:rPr>
        <w:t>with</w:t>
      </w:r>
      <w:r>
        <w:rPr>
          <w:spacing w:val="16"/>
          <w:sz w:val="24"/>
        </w:rPr>
        <w:t> </w:t>
      </w:r>
      <w:r>
        <w:rPr>
          <w:sz w:val="24"/>
        </w:rPr>
        <w:t>an</w:t>
      </w:r>
      <w:r>
        <w:rPr>
          <w:spacing w:val="16"/>
          <w:sz w:val="24"/>
        </w:rPr>
        <w:t> </w:t>
      </w:r>
      <w:r>
        <w:rPr>
          <w:spacing w:val="-2"/>
          <w:sz w:val="24"/>
        </w:rPr>
        <w:t>observable</w:t>
      </w:r>
    </w:p>
    <w:p>
      <w:pPr>
        <w:pStyle w:val="ListParagraph"/>
        <w:numPr>
          <w:ilvl w:val="0"/>
          <w:numId w:val="10"/>
        </w:numPr>
        <w:tabs>
          <w:tab w:pos="807" w:val="left" w:leader="none"/>
        </w:tabs>
        <w:spacing w:line="240" w:lineRule="auto" w:before="217" w:after="0"/>
        <w:ind w:left="807" w:right="0" w:hanging="214"/>
        <w:jc w:val="left"/>
        <w:rPr>
          <w:sz w:val="24"/>
        </w:rPr>
      </w:pPr>
      <w:r>
        <w:rPr>
          <w:i/>
        </w:rPr>
        <w:t>도메인 정렬: 평판 순위가 관찰 가능한 순위와 일치하는 정도</w:t>
      </w:r>
    </w:p>
    <w:p>
      <w:pPr>
        <w:pStyle w:val="ListParagraph"/>
        <w:spacing w:after="0" w:line="240" w:lineRule="auto"/>
        <w:jc w:val="left"/>
        <w:rPr>
          <w:sz w:val="24"/>
        </w:rPr>
        <w:sectPr>
          <w:pgSz w:w="11910" w:h="16840"/>
          <w:pgMar w:header="0" w:footer="2115" w:top="1820" w:bottom="2300" w:left="992" w:right="708"/>
        </w:sectPr>
      </w:pPr>
    </w:p>
    <w:p>
      <w:pPr>
        <w:pStyle w:val="BodyText"/>
        <w:spacing w:line="386" w:lineRule="auto" w:before="88"/>
        <w:ind w:left="799" w:right="557" w:firstLine="8"/>
        <w:jc w:val="both"/>
      </w:pPr>
      <w:r>
        <w:rPr/>
        <w:t>proxy ranking, assessed by Spearman’s </w:t>
      </w:r>
      <w:r>
        <w:rPr>
          <w:rFonts w:ascii="Calibri" w:hAnsi="Calibri"/>
          <w:i/>
        </w:rPr>
        <w:t>ρ </w:t>
      </w:r>
      <w:r>
        <w:rPr/>
        <w:t>and Kendall’s </w:t>
      </w:r>
      <w:r>
        <w:rPr>
          <w:rFonts w:ascii="Calibri" w:hAnsi="Calibri"/>
          <w:i/>
        </w:rPr>
        <w:t>τ </w:t>
      </w:r>
      <w:hyperlink w:history="true" w:anchor="_bookmark147">
        <w:r>
          <w:rPr>
            <w:vertAlign w:val="superscript"/>
          </w:rPr>
          <w:t>[14]</w:t>
        </w:r>
      </w:hyperlink>
      <w:r>
        <w:rPr>
          <w:vertAlign w:val="superscript"/>
        </w:rPr>
        <w:t>,</w:t>
      </w:r>
      <w:hyperlink w:history="true" w:anchor="_bookmark149">
        <w:r>
          <w:rPr>
            <w:vertAlign w:val="superscript"/>
          </w:rPr>
          <w:t>[16]</w:t>
        </w:r>
      </w:hyperlink>
      <w:r>
        <w:rPr>
          <w:vertAlign w:val="superscript"/>
        </w:rPr>
        <w:t>,</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w:t>
      </w:r>
      <w:r>
        <w:rPr>
          <w:spacing w:val="40"/>
          <w:vertAlign w:val="baseline"/>
        </w:rPr>
        <w:t> </w:t>
      </w:r>
      <w:r>
        <w:rPr>
          <w:vertAlign w:val="baseline"/>
        </w:rPr>
        <w:t>Alignment is construct-specific: a</w:t>
      </w:r>
      <w:r>
        <w:rPr>
          <w:spacing w:val="-7"/>
          <w:vertAlign w:val="baseline"/>
        </w:rPr>
        <w:t> </w:t>
      </w:r>
      <w:r>
        <w:rPr>
          <w:vertAlign w:val="baseline"/>
        </w:rPr>
        <w:t>method</w:t>
      </w:r>
      <w:r>
        <w:rPr>
          <w:spacing w:val="-7"/>
          <w:vertAlign w:val="baseline"/>
        </w:rPr>
        <w:t> </w:t>
      </w:r>
      <w:r>
        <w:rPr>
          <w:vertAlign w:val="baseline"/>
        </w:rPr>
        <w:t>may</w:t>
      </w:r>
      <w:r>
        <w:rPr>
          <w:spacing w:val="-7"/>
          <w:vertAlign w:val="baseline"/>
        </w:rPr>
        <w:t> </w:t>
      </w:r>
      <w:r>
        <w:rPr>
          <w:vertAlign w:val="baseline"/>
        </w:rPr>
        <w:t>align</w:t>
      </w:r>
      <w:r>
        <w:rPr>
          <w:spacing w:val="-7"/>
          <w:vertAlign w:val="baseline"/>
        </w:rPr>
        <w:t> </w:t>
      </w:r>
      <w:r>
        <w:rPr>
          <w:vertAlign w:val="baseline"/>
        </w:rPr>
        <w:t>strongly</w:t>
      </w:r>
      <w:r>
        <w:rPr>
          <w:spacing w:val="-7"/>
          <w:vertAlign w:val="baseline"/>
        </w:rPr>
        <w:t> </w:t>
      </w:r>
      <w:r>
        <w:rPr>
          <w:vertAlign w:val="baseline"/>
        </w:rPr>
        <w:t>with</w:t>
      </w:r>
      <w:r>
        <w:rPr>
          <w:spacing w:val="-7"/>
          <w:vertAlign w:val="baseline"/>
        </w:rPr>
        <w:t> </w:t>
      </w:r>
      <w:r>
        <w:rPr>
          <w:vertAlign w:val="baseline"/>
        </w:rPr>
        <w:t>its</w:t>
      </w:r>
      <w:r>
        <w:rPr>
          <w:spacing w:val="-7"/>
          <w:vertAlign w:val="baseline"/>
        </w:rPr>
        <w:t> </w:t>
      </w:r>
      <w:r>
        <w:rPr>
          <w:vertAlign w:val="baseline"/>
        </w:rPr>
        <w:t>primary</w:t>
      </w:r>
      <w:r>
        <w:rPr>
          <w:spacing w:val="-7"/>
          <w:vertAlign w:val="baseline"/>
        </w:rPr>
        <w:t> </w:t>
      </w:r>
      <w:r>
        <w:rPr>
          <w:vertAlign w:val="baseline"/>
        </w:rPr>
        <w:t>graph</w:t>
      </w:r>
      <w:r>
        <w:rPr>
          <w:spacing w:val="-7"/>
          <w:vertAlign w:val="baseline"/>
        </w:rPr>
        <w:t> </w:t>
      </w:r>
      <w:r>
        <w:rPr>
          <w:vertAlign w:val="baseline"/>
        </w:rPr>
        <w:t>construct</w:t>
      </w:r>
      <w:r>
        <w:rPr>
          <w:spacing w:val="-7"/>
          <w:vertAlign w:val="baseline"/>
        </w:rPr>
        <w:t> </w:t>
      </w:r>
      <w:r>
        <w:rPr>
          <w:vertAlign w:val="baseline"/>
        </w:rPr>
        <w:t>and</w:t>
      </w:r>
      <w:r>
        <w:rPr>
          <w:spacing w:val="-7"/>
          <w:vertAlign w:val="baseline"/>
        </w:rPr>
        <w:t> </w:t>
      </w:r>
      <w:r>
        <w:rPr>
          <w:vertAlign w:val="baseline"/>
        </w:rPr>
        <w:t>weakly with an orthogonal outcome family.</w:t>
      </w:r>
    </w:p>
    <w:p>
      <w:pPr>
        <w:pStyle w:val="BodyText"/>
        <w:spacing w:line="386" w:lineRule="auto" w:before="88"/>
        <w:ind w:left="799" w:right="557" w:firstLine="8"/>
        <w:jc w:val="both"/>
      </w:pPr>
      <w:r>
        <w:rPr>
          <w:i/>
        </w:rPr>
        <w:t>Spearman의 ρ 및 Kendall의 τ [14],[16],[36],[54]로 평가된 프록시 순위. 정렬은 구성에 따라 다릅니다. 방법은 기본 그래프 구성과 강하게 정렬되고 직교 결과 계열과 약하게 정렬될 수 있습니다.</w:t>
      </w:r>
    </w:p>
    <w:p>
      <w:pPr>
        <w:pStyle w:val="BodyText"/>
        <w:spacing w:before="171"/>
      </w:pPr>
    </w:p>
    <w:p>
      <w:pPr>
        <w:pStyle w:val="Heading2"/>
        <w:numPr>
          <w:ilvl w:val="1"/>
          <w:numId w:val="8"/>
        </w:numPr>
        <w:tabs>
          <w:tab w:pos="783" w:val="left" w:leader="none"/>
        </w:tabs>
        <w:spacing w:line="240" w:lineRule="auto" w:before="0" w:after="0"/>
        <w:ind w:left="783" w:right="0" w:hanging="501"/>
        <w:jc w:val="left"/>
      </w:pPr>
      <w:bookmarkStart w:name="Supplementary extension (GF-PR)" w:id="15"/>
      <w:bookmarkEnd w:id="15"/>
      <w:r>
        <w:rPr>
          <w:b w:val="0"/>
        </w:rPr>
      </w:r>
      <w:bookmarkStart w:name="_bookmark10" w:id="16"/>
      <w:bookmarkEnd w:id="16"/>
      <w:r>
        <w:rPr>
          <w:b w:val="0"/>
        </w:rPr>
      </w:r>
      <w:r>
        <w:rPr/>
        <w:t>Supplementary</w:t>
      </w:r>
      <w:r>
        <w:rPr>
          <w:spacing w:val="32"/>
        </w:rPr>
        <w:t> </w:t>
      </w:r>
      <w:r>
        <w:rPr/>
        <w:t>extension</w:t>
      </w:r>
      <w:r>
        <w:rPr>
          <w:spacing w:val="32"/>
        </w:rPr>
        <w:t> </w:t>
      </w:r>
      <w:r>
        <w:rPr/>
        <w:t>(GF-</w:t>
      </w:r>
      <w:r>
        <w:rPr>
          <w:spacing w:val="-5"/>
        </w:rPr>
        <w:t>PR)</w:t>
      </w:r>
    </w:p>
    <w:p>
      <w:pPr>
        <w:pStyle w:val="Heading2"/>
        <w:numPr>
          <w:ilvl w:val="1"/>
          <w:numId w:val="8"/>
        </w:numPr>
        <w:tabs>
          <w:tab w:pos="783" w:val="left" w:leader="none"/>
        </w:tabs>
        <w:spacing w:line="240" w:lineRule="auto" w:before="0" w:after="0"/>
        <w:ind w:left="783" w:right="0" w:hanging="501"/>
        <w:jc w:val="left"/>
      </w:pPr>
      <w:r>
        <w:rPr>
          <w:i/>
        </w:rPr>
        <w:t>보충 확장(GF-PR)</w:t>
      </w:r>
    </w:p>
    <w:p>
      <w:pPr>
        <w:pStyle w:val="BodyText"/>
        <w:spacing w:before="24"/>
        <w:rPr>
          <w:b/>
          <w:sz w:val="28"/>
        </w:rPr>
      </w:pPr>
    </w:p>
    <w:p>
      <w:pPr>
        <w:pStyle w:val="BodyText"/>
        <w:spacing w:line="396" w:lineRule="auto"/>
        <w:ind w:left="282" w:right="524"/>
        <w:jc w:val="both"/>
      </w:pPr>
      <w:r>
        <w:rPr/>
        <w:t>During</w:t>
      </w:r>
      <w:r>
        <w:rPr>
          <w:spacing w:val="-11"/>
        </w:rPr>
        <w:t> </w:t>
      </w:r>
      <w:r>
        <w:rPr/>
        <w:t>empirical</w:t>
      </w:r>
      <w:r>
        <w:rPr>
          <w:spacing w:val="-11"/>
        </w:rPr>
        <w:t> </w:t>
      </w:r>
      <w:r>
        <w:rPr/>
        <w:t>analysis,</w:t>
      </w:r>
      <w:r>
        <w:rPr>
          <w:spacing w:val="-11"/>
        </w:rPr>
        <w:t> </w:t>
      </w:r>
      <w:r>
        <w:rPr>
          <w:b/>
        </w:rPr>
        <w:t>GF-PR</w:t>
      </w:r>
      <w:r>
        <w:rPr>
          <w:b/>
          <w:spacing w:val="-9"/>
        </w:rPr>
        <w:t> </w:t>
      </w:r>
      <w:r>
        <w:rPr/>
        <w:t>(GainFlow</w:t>
      </w:r>
      <w:r>
        <w:rPr>
          <w:spacing w:val="-11"/>
        </w:rPr>
        <w:t> </w:t>
      </w:r>
      <w:r>
        <w:rPr/>
        <w:t>PageRank)</w:t>
      </w:r>
      <w:r>
        <w:rPr>
          <w:spacing w:val="-11"/>
        </w:rPr>
        <w:t> </w:t>
      </w:r>
      <w:r>
        <w:rPr/>
        <w:t>was</w:t>
      </w:r>
      <w:r>
        <w:rPr>
          <w:spacing w:val="-11"/>
        </w:rPr>
        <w:t> </w:t>
      </w:r>
      <w:r>
        <w:rPr/>
        <w:t>added</w:t>
      </w:r>
      <w:r>
        <w:rPr>
          <w:spacing w:val="-11"/>
        </w:rPr>
        <w:t> </w:t>
      </w:r>
      <w:r>
        <w:rPr/>
        <w:t>as</w:t>
      </w:r>
      <w:r>
        <w:rPr>
          <w:spacing w:val="-11"/>
        </w:rPr>
        <w:t> </w:t>
      </w:r>
      <w:r>
        <w:rPr/>
        <w:t>a</w:t>
      </w:r>
      <w:r>
        <w:rPr>
          <w:spacing w:val="-11"/>
        </w:rPr>
        <w:t> </w:t>
      </w:r>
      <w:r>
        <w:rPr/>
        <w:t>supplementary</w:t>
      </w:r>
      <w:r>
        <w:rPr>
          <w:spacing w:val="-11"/>
        </w:rPr>
        <w:t> </w:t>
      </w:r>
      <w:r>
        <w:rPr/>
        <w:t>outcome-native</w:t>
      </w:r>
      <w:r>
        <w:rPr>
          <w:spacing w:val="-8"/>
        </w:rPr>
        <w:t> </w:t>
      </w:r>
      <w:r>
        <w:rPr/>
        <w:t>reference</w:t>
      </w:r>
      <w:r>
        <w:rPr>
          <w:spacing w:val="-8"/>
        </w:rPr>
        <w:t> </w:t>
      </w:r>
      <w:r>
        <w:rPr/>
        <w:t>(Section</w:t>
      </w:r>
      <w:r>
        <w:rPr>
          <w:spacing w:val="-8"/>
        </w:rPr>
        <w:t> </w:t>
      </w:r>
      <w:hyperlink w:history="true" w:anchor="_bookmark32">
        <w:r>
          <w:rPr/>
          <w:t>2.9</w:t>
        </w:r>
      </w:hyperlink>
      <w:r>
        <w:rPr/>
        <w:t>).</w:t>
      </w:r>
      <w:r>
        <w:rPr>
          <w:spacing w:val="12"/>
        </w:rPr>
        <w:t> </w:t>
      </w:r>
      <w:r>
        <w:rPr/>
        <w:t>GF-PR</w:t>
      </w:r>
      <w:r>
        <w:rPr>
          <w:spacing w:val="-8"/>
        </w:rPr>
        <w:t> </w:t>
      </w:r>
      <w:r>
        <w:rPr/>
        <w:t>builds</w:t>
      </w:r>
      <w:r>
        <w:rPr>
          <w:spacing w:val="-8"/>
        </w:rPr>
        <w:t> </w:t>
      </w:r>
      <w:r>
        <w:rPr/>
        <w:t>a</w:t>
      </w:r>
      <w:r>
        <w:rPr>
          <w:spacing w:val="-8"/>
        </w:rPr>
        <w:t> </w:t>
      </w:r>
      <w:r>
        <w:rPr/>
        <w:t>directed</w:t>
      </w:r>
      <w:r>
        <w:rPr>
          <w:spacing w:val="-8"/>
        </w:rPr>
        <w:t> </w:t>
      </w:r>
      <w:r>
        <w:rPr/>
        <w:t>star</w:t>
      </w:r>
      <w:r>
        <w:rPr>
          <w:spacing w:val="-8"/>
        </w:rPr>
        <w:t> </w:t>
      </w:r>
      <w:r>
        <w:rPr/>
        <w:t>graph</w:t>
      </w:r>
      <w:r>
        <w:rPr>
          <w:spacing w:val="-8"/>
        </w:rPr>
        <w:t> </w:t>
      </w:r>
      <w:r>
        <w:rPr/>
        <w:t>from</w:t>
      </w:r>
      <w:r>
        <w:rPr>
          <w:spacing w:val="-8"/>
        </w:rPr>
        <w:t> </w:t>
      </w:r>
      <w:r>
        <w:rPr/>
        <w:t>the</w:t>
      </w:r>
      <w:r>
        <w:rPr>
          <w:spacing w:val="-8"/>
        </w:rPr>
        <w:t> </w:t>
      </w:r>
      <w:r>
        <w:rPr/>
        <w:t>same</w:t>
      </w:r>
      <w:r>
        <w:rPr>
          <w:spacing w:val="-8"/>
        </w:rPr>
        <w:t> </w:t>
      </w:r>
      <w:r>
        <w:rPr/>
        <w:t>GMX</w:t>
      </w:r>
      <w:r>
        <w:rPr>
          <w:spacing w:val="-8"/>
        </w:rPr>
        <w:t> </w:t>
      </w:r>
      <w:r>
        <w:rPr/>
        <w:t>profit-and-loss</w:t>
      </w:r>
      <w:r>
        <w:rPr>
          <w:spacing w:val="-13"/>
        </w:rPr>
        <w:t> </w:t>
      </w:r>
      <w:r>
        <w:rPr/>
        <w:t>stream</w:t>
      </w:r>
      <w:r>
        <w:rPr>
          <w:spacing w:val="-13"/>
        </w:rPr>
        <w:t> </w:t>
      </w:r>
      <w:r>
        <w:rPr/>
        <w:t>used</w:t>
      </w:r>
      <w:r>
        <w:rPr>
          <w:spacing w:val="-13"/>
        </w:rPr>
        <w:t> </w:t>
      </w:r>
      <w:r>
        <w:rPr/>
        <w:t>to</w:t>
      </w:r>
      <w:r>
        <w:rPr>
          <w:spacing w:val="-13"/>
        </w:rPr>
        <w:t> </w:t>
      </w:r>
      <w:r>
        <w:rPr/>
        <w:t>define</w:t>
      </w:r>
      <w:r>
        <w:rPr>
          <w:spacing w:val="-13"/>
        </w:rPr>
        <w:t> </w:t>
      </w:r>
      <w:r>
        <w:rPr/>
        <w:t>validation</w:t>
      </w:r>
      <w:r>
        <w:rPr>
          <w:spacing w:val="-13"/>
        </w:rPr>
        <w:t> </w:t>
      </w:r>
      <w:r>
        <w:rPr/>
        <w:t>proxies.</w:t>
      </w:r>
      <w:r>
        <w:rPr>
          <w:spacing w:val="13"/>
        </w:rPr>
        <w:t> </w:t>
      </w:r>
      <w:r>
        <w:rPr/>
        <w:t>It</w:t>
      </w:r>
      <w:r>
        <w:rPr>
          <w:spacing w:val="-13"/>
        </w:rPr>
        <w:t> </w:t>
      </w:r>
      <w:r>
        <w:rPr/>
        <w:t>ranks</w:t>
      </w:r>
      <w:r>
        <w:rPr>
          <w:spacing w:val="-13"/>
        </w:rPr>
        <w:t> </w:t>
      </w:r>
      <w:r>
        <w:rPr/>
        <w:t>wallets</w:t>
      </w:r>
      <w:r>
        <w:rPr>
          <w:spacing w:val="-13"/>
        </w:rPr>
        <w:t> </w:t>
      </w:r>
      <w:r>
        <w:rPr/>
        <w:t>on</w:t>
      </w:r>
      <w:r>
        <w:rPr>
          <w:spacing w:val="-13"/>
        </w:rPr>
        <w:t> </w:t>
      </w:r>
      <w:r>
        <w:rPr/>
        <w:t>synthetic</w:t>
      </w:r>
      <w:r>
        <w:rPr>
          <w:spacing w:val="-13"/>
        </w:rPr>
        <w:t> </w:t>
      </w:r>
      <w:r>
        <w:rPr/>
        <w:t>POOL/SINK</w:t>
      </w:r>
      <w:r>
        <w:rPr>
          <w:spacing w:val="-13"/>
        </w:rPr>
        <w:t> </w:t>
      </w:r>
      <w:r>
        <w:rPr/>
        <w:t>flow</w:t>
      </w:r>
      <w:r>
        <w:rPr>
          <w:spacing w:val="-13"/>
        </w:rPr>
        <w:t> </w:t>
      </w:r>
      <w:r>
        <w:rPr/>
        <w:t>rather than</w:t>
      </w:r>
      <w:r>
        <w:rPr>
          <w:spacing w:val="-8"/>
        </w:rPr>
        <w:t> </w:t>
      </w:r>
      <w:r>
        <w:rPr/>
        <w:t>social</w:t>
      </w:r>
      <w:r>
        <w:rPr>
          <w:spacing w:val="-8"/>
        </w:rPr>
        <w:t> </w:t>
      </w:r>
      <w:r>
        <w:rPr/>
        <w:t>wallet-to-wallet</w:t>
      </w:r>
      <w:r>
        <w:rPr>
          <w:spacing w:val="-8"/>
        </w:rPr>
        <w:t> </w:t>
      </w:r>
      <w:r>
        <w:rPr/>
        <w:t>edges,</w:t>
      </w:r>
      <w:r>
        <w:rPr>
          <w:spacing w:val="-7"/>
        </w:rPr>
        <w:t> </w:t>
      </w:r>
      <w:r>
        <w:rPr/>
        <w:t>setting</w:t>
      </w:r>
      <w:r>
        <w:rPr>
          <w:spacing w:val="-8"/>
        </w:rPr>
        <w:t> </w:t>
      </w:r>
      <w:r>
        <w:rPr/>
        <w:t>an</w:t>
      </w:r>
      <w:r>
        <w:rPr>
          <w:spacing w:val="-8"/>
        </w:rPr>
        <w:t> </w:t>
      </w:r>
      <w:r>
        <w:rPr/>
        <w:t>upper</w:t>
      </w:r>
      <w:r>
        <w:rPr>
          <w:spacing w:val="-8"/>
        </w:rPr>
        <w:t> </w:t>
      </w:r>
      <w:r>
        <w:rPr/>
        <w:t>bound</w:t>
      </w:r>
      <w:r>
        <w:rPr>
          <w:spacing w:val="-8"/>
        </w:rPr>
        <w:t> </w:t>
      </w:r>
      <w:r>
        <w:rPr/>
        <w:t>on</w:t>
      </w:r>
      <w:r>
        <w:rPr>
          <w:spacing w:val="-8"/>
        </w:rPr>
        <w:t> </w:t>
      </w:r>
      <w:r>
        <w:rPr/>
        <w:t>trading-outcome</w:t>
      </w:r>
      <w:r>
        <w:rPr>
          <w:spacing w:val="-8"/>
        </w:rPr>
        <w:t> </w:t>
      </w:r>
      <w:r>
        <w:rPr/>
        <w:t>proxy</w:t>
      </w:r>
      <w:r>
        <w:rPr>
          <w:spacing w:val="-8"/>
        </w:rPr>
        <w:t> </w:t>
      </w:r>
      <w:r>
        <w:rPr/>
        <w:t>alignment</w:t>
      </w:r>
      <w:r>
        <w:rPr>
          <w:spacing w:val="-8"/>
        </w:rPr>
        <w:t> </w:t>
      </w:r>
      <w:r>
        <w:rPr/>
        <w:t>for diagnostic interpretation—not a deployable social reputation score.</w:t>
      </w:r>
    </w:p>
    <w:p>
      <w:pPr>
        <w:pStyle w:val="BodyText"/>
        <w:spacing w:line="396" w:lineRule="auto"/>
        <w:ind w:left="282" w:right="524"/>
        <w:jc w:val="both"/>
      </w:pPr>
      <w:r>
        <w:rPr>
          <w:i/>
        </w:rPr>
        <w:t>실증적 분석 중에 GF-PR(GainFlow PageRank)이 보충 결과 기본 참조로 추가되었습니다(섹션 2.9). GF-PR은 검증 프록시를 정의하는 데 사용된 것과 동일한 GMX 손익 흐름에서 방향성 별 그래프를 구축합니다. 이는 소셜 지갑 간 가장자리가 아닌 합성 POOL/SINK 흐름에 따라 지갑 순위를 매기고 배포 가능한 소셜 평판 점수가 아닌 진단 해석을 위한 거래 결과 프록시 정렬의 상한선을 설정합니다.</w:t>
      </w:r>
    </w:p>
    <w:p>
      <w:pPr>
        <w:pStyle w:val="BodyText"/>
        <w:spacing w:line="252" w:lineRule="auto" w:before="82"/>
        <w:ind w:left="282" w:right="557" w:hanging="8"/>
        <w:jc w:val="both"/>
      </w:pPr>
      <w:bookmarkStart w:name="_bookmark11" w:id="17"/>
      <w:bookmarkEnd w:id="17"/>
      <w:r>
        <w:rPr/>
      </w:r>
      <w:r>
        <w:rPr/>
        <w:t>Table 1.2:</w:t>
      </w:r>
      <w:r>
        <w:rPr>
          <w:spacing w:val="40"/>
        </w:rPr>
        <w:t> </w:t>
      </w:r>
      <w:r>
        <w:rPr/>
        <w:t>Supplementary extension added during empirical work (not part of the primary EndorseRank–AWP research question).</w:t>
      </w:r>
    </w:p>
    <w:p>
      <w:pPr>
        <w:pStyle w:val="BodyText"/>
        <w:spacing w:line="252" w:lineRule="auto" w:before="82"/>
        <w:ind w:left="282" w:right="557" w:hanging="8"/>
        <w:jc w:val="both"/>
      </w:pPr>
      <w:r>
        <w:rPr>
          <w:i/>
        </w:rPr>
        <w:t>표 1.2: 실증적 작업 중에 추가된 보충 확장(기본 EndorseRank–AWP 연구 질문의 일부가 아님)</w:t>
      </w:r>
    </w:p>
    <w:p>
      <w:pPr>
        <w:pStyle w:val="BodyText"/>
        <w:spacing w:before="10"/>
        <w:rPr>
          <w:sz w:val="17"/>
        </w:rPr>
      </w:pPr>
      <w:r>
        <w:rPr>
          <w:sz w:val="17"/>
        </w:rPr>
        <mc:AlternateContent>
          <mc:Choice Requires="wps">
            <w:drawing>
              <wp:anchor distT="0" distB="0" distL="0" distR="0" allowOverlap="1" layoutInCell="1" locked="0" behindDoc="1" simplePos="0" relativeHeight="487592960">
                <wp:simplePos x="0" y="0"/>
                <wp:positionH relativeFrom="page">
                  <wp:posOffset>854671</wp:posOffset>
                </wp:positionH>
                <wp:positionV relativeFrom="paragraph">
                  <wp:posOffset>145781</wp:posOffset>
                </wp:positionV>
                <wp:extent cx="585089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1.478825pt;width:460.7pt;height:.1pt;mso-position-horizontal-relative:page;mso-position-vertical-relative:paragraph;z-index:-15723520;mso-wrap-distance-left:0;mso-wrap-distance-right:0" id="docshape11" coordorigin="1346,230" coordsize="9214,0" path="m1346,230l10560,230e" filled="false" stroked="true" strokeweight=".9564pt" strokecolor="#000000">
                <v:path arrowok="t"/>
                <v:stroke dashstyle="solid"/>
                <w10:wrap type="topAndBottom"/>
              </v:shape>
            </w:pict>
          </mc:Fallback>
        </mc:AlternateContent>
      </w:r>
    </w:p>
    <w:p>
      <w:pPr>
        <w:tabs>
          <w:tab w:pos="2247" w:val="left" w:leader="none"/>
          <w:tab w:pos="5006" w:val="left" w:leader="none"/>
        </w:tabs>
        <w:spacing w:before="54"/>
        <w:ind w:left="423" w:right="0" w:firstLine="0"/>
        <w:jc w:val="left"/>
        <w:rPr>
          <w:sz w:val="22"/>
        </w:rPr>
      </w:pPr>
      <w:r>
        <w:rPr>
          <w:spacing w:val="-2"/>
          <w:sz w:val="22"/>
        </w:rPr>
        <w:t>Method</w:t>
      </w:r>
      <w:r>
        <w:rPr>
          <w:sz w:val="22"/>
        </w:rPr>
        <w:tab/>
        <w:t>Input</w:t>
      </w:r>
      <w:r>
        <w:rPr>
          <w:spacing w:val="-6"/>
          <w:sz w:val="22"/>
        </w:rPr>
        <w:t> </w:t>
      </w:r>
      <w:r>
        <w:rPr>
          <w:spacing w:val="-2"/>
          <w:sz w:val="22"/>
        </w:rPr>
        <w:t>graph</w:t>
      </w:r>
      <w:r>
        <w:rPr>
          <w:sz w:val="22"/>
        </w:rPr>
        <w:tab/>
      </w:r>
      <w:r>
        <w:rPr>
          <w:spacing w:val="-4"/>
          <w:sz w:val="22"/>
        </w:rPr>
        <w:t>Role</w:t>
      </w:r>
    </w:p>
    <w:p>
      <w:pPr>
        <w:tabs>
          <w:tab w:pos="2247" w:val="left" w:leader="none"/>
          <w:tab w:pos="5006" w:val="left" w:leader="none"/>
        </w:tabs>
        <w:spacing w:before="54"/>
        <w:ind w:left="423" w:right="0" w:firstLine="0"/>
        <w:jc w:val="left"/>
        <w:rPr>
          <w:sz w:val="22"/>
        </w:rPr>
      </w:pPr>
      <w:r>
        <w:rPr>
          <w:i/>
        </w:rPr>
        <w:t>방법</w:t>
        <w:tab/>
        <w:t>입력 그래프</w:t>
        <w:tab/>
        <w:t>역할</w:t>
      </w:r>
    </w:p>
    <w:p>
      <w:pPr>
        <w:spacing w:after="0"/>
        <w:jc w:val="left"/>
        <w:rPr>
          <w:sz w:val="22"/>
        </w:rPr>
        <w:sectPr>
          <w:pgSz w:w="11910" w:h="16840"/>
          <w:pgMar w:header="0" w:footer="2115" w:top="1820" w:bottom="2300" w:left="992" w:right="708"/>
        </w:sectPr>
      </w:pPr>
    </w:p>
    <w:p>
      <w:pPr>
        <w:tabs>
          <w:tab w:pos="2247" w:val="left" w:leader="none"/>
          <w:tab w:pos="3474" w:val="left" w:leader="none"/>
          <w:tab w:pos="4555" w:val="left" w:leader="none"/>
        </w:tabs>
        <w:spacing w:line="206" w:lineRule="auto" w:before="171"/>
        <w:ind w:left="2239" w:right="0" w:hanging="1816"/>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854671</wp:posOffset>
                </wp:positionH>
                <wp:positionV relativeFrom="paragraph">
                  <wp:posOffset>52233</wp:posOffset>
                </wp:positionV>
                <wp:extent cx="585089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7.296997pt,4.112874pt" to="527.978997pt,4.112874pt" stroked="true" strokeweight=".5978pt" strokecolor="#000000">
                <v:stroke dashstyle="solid"/>
                <w10:wrap type="none"/>
              </v:line>
            </w:pict>
          </mc:Fallback>
        </mc:AlternateContent>
      </w:r>
      <w:r>
        <w:rPr>
          <w:spacing w:val="-2"/>
          <w:sz w:val="22"/>
        </w:rPr>
        <w:t>GF-PR</w:t>
      </w:r>
      <w:r>
        <w:rPr>
          <w:sz w:val="22"/>
        </w:rPr>
        <w:tab/>
        <w:tab/>
      </w:r>
      <w:r>
        <w:rPr>
          <w:spacing w:val="-4"/>
          <w:sz w:val="22"/>
        </w:rPr>
        <w:t>GMX</w:t>
      </w:r>
      <w:r>
        <w:rPr>
          <w:sz w:val="22"/>
        </w:rPr>
        <w:tab/>
      </w:r>
      <w:r>
        <w:rPr>
          <w:spacing w:val="-4"/>
          <w:sz w:val="22"/>
        </w:rPr>
        <w:t>PnL</w:t>
      </w:r>
      <w:r>
        <w:rPr>
          <w:sz w:val="22"/>
        </w:rPr>
        <w:tab/>
      </w:r>
      <w:r>
        <w:rPr>
          <w:spacing w:val="-4"/>
          <w:sz w:val="22"/>
        </w:rPr>
        <w:t>star </w:t>
      </w:r>
      <w:r>
        <w:rPr>
          <w:spacing w:val="-2"/>
          <w:sz w:val="22"/>
        </w:rPr>
        <w:t>(POOL</w:t>
      </w:r>
      <w:r>
        <w:rPr>
          <w:rFonts w:ascii="Lucida Sans Unicode" w:hAnsi="Lucida Sans Unicode"/>
          <w:spacing w:val="-2"/>
          <w:sz w:val="22"/>
        </w:rPr>
        <w:t>→</w:t>
      </w:r>
      <w:r>
        <w:rPr>
          <w:spacing w:val="-2"/>
          <w:sz w:val="22"/>
        </w:rPr>
        <w:t>wallet, wallet</w:t>
      </w:r>
      <w:r>
        <w:rPr>
          <w:rFonts w:ascii="Lucida Sans Unicode" w:hAnsi="Lucida Sans Unicode"/>
          <w:spacing w:val="-2"/>
          <w:sz w:val="22"/>
        </w:rPr>
        <w:t>→</w:t>
      </w:r>
      <w:r>
        <w:rPr>
          <w:spacing w:val="-2"/>
          <w:sz w:val="22"/>
        </w:rPr>
        <w:t>SINK)</w:t>
      </w:r>
    </w:p>
    <w:p>
      <w:pPr>
        <w:tabs>
          <w:tab w:pos="2247" w:val="left" w:leader="none"/>
          <w:tab w:pos="3474" w:val="left" w:leader="none"/>
          <w:tab w:pos="4555" w:val="left" w:leader="none"/>
        </w:tabs>
        <w:spacing w:line="206" w:lineRule="auto" w:before="171"/>
        <w:ind w:left="2239" w:right="0" w:hanging="1816"/>
        <w:jc w:val="left"/>
        <w:rPr>
          <w:sz w:val="22"/>
        </w:rPr>
      </w:pPr>
      <w:r>
        <w:rPr>
          <w:i/>
        </w:rPr>
        <w:t>GF-PR</w:t>
        <w:tab/>
        <w:tab/>
        <w:t>GMX</w:t>
        <w:tab/>
        <w:t>손익</w:t>
        <w:tab/>
        <w:t>스타(POOL→지갑,지갑→SINK)</w:t>
      </w:r>
    </w:p>
    <w:p>
      <w:pPr>
        <w:spacing w:line="256" w:lineRule="auto" w:before="142"/>
        <w:ind w:left="95" w:right="705" w:firstLine="0"/>
        <w:jc w:val="left"/>
        <w:rPr>
          <w:sz w:val="22"/>
        </w:rPr>
      </w:pPr>
      <w:r>
        <w:rPr/>
        <w:br w:type="column"/>
      </w:r>
      <w:r>
        <w:rPr>
          <w:sz w:val="22"/>
        </w:rPr>
        <w:t>Supplementary</w:t>
      </w:r>
      <w:r>
        <w:rPr>
          <w:spacing w:val="-10"/>
          <w:sz w:val="22"/>
        </w:rPr>
        <w:t> </w:t>
      </w:r>
      <w:r>
        <w:rPr>
          <w:sz w:val="22"/>
        </w:rPr>
        <w:t>ceiling</w:t>
      </w:r>
      <w:r>
        <w:rPr>
          <w:spacing w:val="-10"/>
          <w:sz w:val="22"/>
        </w:rPr>
        <w:t> </w:t>
      </w:r>
      <w:r>
        <w:rPr>
          <w:sz w:val="22"/>
        </w:rPr>
        <w:t>reference;</w:t>
      </w:r>
      <w:r>
        <w:rPr>
          <w:spacing w:val="-8"/>
          <w:sz w:val="22"/>
        </w:rPr>
        <w:t> </w:t>
      </w:r>
      <w:r>
        <w:rPr>
          <w:sz w:val="22"/>
        </w:rPr>
        <w:t>construct</w:t>
      </w:r>
      <w:r>
        <w:rPr>
          <w:spacing w:val="-10"/>
          <w:sz w:val="22"/>
        </w:rPr>
        <w:t> </w:t>
      </w:r>
      <w:r>
        <w:rPr>
          <w:sz w:val="22"/>
        </w:rPr>
        <w:t>overlap on trading-outcome proxies expected</w:t>
      </w:r>
    </w:p>
    <w:p>
      <w:pPr>
        <w:spacing w:line="256" w:lineRule="auto" w:before="142"/>
        <w:ind w:left="95" w:right="705" w:firstLine="0"/>
        <w:jc w:val="left"/>
        <w:rPr>
          <w:sz w:val="22"/>
        </w:rPr>
      </w:pPr>
      <w:r>
        <w:rPr>
          <w:i/>
        </w:rPr>
        <w:t>보충적인 상한 참조, 예상되는 거래 결과 프록시에 대한 중복 구성</w:t>
      </w:r>
    </w:p>
    <w:p>
      <w:pPr>
        <w:spacing w:after="0" w:line="256" w:lineRule="auto"/>
        <w:jc w:val="left"/>
        <w:rPr>
          <w:sz w:val="22"/>
        </w:rPr>
        <w:sectPr>
          <w:type w:val="continuous"/>
          <w:pgSz w:w="11910" w:h="16840"/>
          <w:pgMar w:header="0" w:footer="2115" w:top="1920" w:bottom="280" w:left="992" w:right="708"/>
          <w:cols w:num="2" w:equalWidth="0">
            <w:col w:w="4871" w:space="40"/>
            <w:col w:w="5299"/>
          </w:cols>
        </w:sectPr>
      </w:pPr>
    </w:p>
    <w:p>
      <w:pPr>
        <w:pStyle w:val="BodyText"/>
        <w:spacing w:before="7"/>
        <w:rPr>
          <w:sz w:val="4"/>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5" name="Group 15"/>
                <wp:cNvGraphicFramePr>
                  <a:graphicFrameLocks/>
                </wp:cNvGraphicFramePr>
                <a:graphic>
                  <a:graphicData uri="http://schemas.microsoft.com/office/word/2010/wordprocessingGroup">
                    <wpg:wgp>
                      <wpg:cNvPr id="15" name="Group 15"/>
                      <wpg:cNvGrpSpPr/>
                      <wpg:grpSpPr>
                        <a:xfrm>
                          <a:off x="0" y="0"/>
                          <a:ext cx="5850890" cy="12700"/>
                          <a:chExt cx="5850890" cy="12700"/>
                        </a:xfrm>
                      </wpg:grpSpPr>
                      <wps:wsp>
                        <wps:cNvPr id="16" name="Graphic 16"/>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2" coordorigin="0,0" coordsize="9214,20">
                <v:line style="position:absolute" from="0,10" to="9214,10" stroked="true" strokeweight=".9564pt" strokecolor="#000000">
                  <v:stroke dashstyle="solid"/>
                </v:line>
              </v:group>
            </w:pict>
          </mc:Fallback>
        </mc:AlternateContent>
      </w:r>
      <w:r>
        <w:rPr>
          <w:sz w:val="2"/>
        </w:rPr>
      </w:r>
    </w:p>
    <w:p>
      <w:pPr>
        <w:pStyle w:val="BodyText"/>
        <w:rPr>
          <w:sz w:val="28"/>
        </w:rPr>
      </w:pPr>
    </w:p>
    <w:p>
      <w:pPr>
        <w:pStyle w:val="BodyText"/>
        <w:spacing w:before="225"/>
        <w:rPr>
          <w:sz w:val="28"/>
        </w:rPr>
      </w:pPr>
    </w:p>
    <w:p>
      <w:pPr>
        <w:pStyle w:val="Heading2"/>
        <w:numPr>
          <w:ilvl w:val="1"/>
          <w:numId w:val="8"/>
        </w:numPr>
        <w:tabs>
          <w:tab w:pos="783" w:val="left" w:leader="none"/>
        </w:tabs>
        <w:spacing w:line="240" w:lineRule="auto" w:before="1" w:after="0"/>
        <w:ind w:left="783" w:right="0" w:hanging="501"/>
        <w:jc w:val="left"/>
      </w:pPr>
      <w:bookmarkStart w:name="Research questions" w:id="18"/>
      <w:bookmarkEnd w:id="18"/>
      <w:r>
        <w:rPr>
          <w:b w:val="0"/>
        </w:rPr>
      </w:r>
      <w:bookmarkStart w:name="_bookmark12" w:id="19"/>
      <w:bookmarkEnd w:id="19"/>
      <w:r>
        <w:rPr>
          <w:b w:val="0"/>
        </w:rPr>
      </w:r>
      <w:r>
        <w:rPr/>
        <w:t>Research</w:t>
      </w:r>
      <w:r>
        <w:rPr>
          <w:spacing w:val="16"/>
        </w:rPr>
        <w:t> </w:t>
      </w:r>
      <w:r>
        <w:rPr>
          <w:spacing w:val="-2"/>
        </w:rPr>
        <w:t>questions</w:t>
      </w:r>
    </w:p>
    <w:p>
      <w:pPr>
        <w:pStyle w:val="Heading2"/>
        <w:numPr>
          <w:ilvl w:val="1"/>
          <w:numId w:val="8"/>
        </w:numPr>
        <w:tabs>
          <w:tab w:pos="783" w:val="left" w:leader="none"/>
        </w:tabs>
        <w:spacing w:line="240" w:lineRule="auto" w:before="1" w:after="0"/>
        <w:ind w:left="783" w:right="0" w:hanging="501"/>
        <w:jc w:val="left"/>
      </w:pPr>
      <w:r>
        <w:rPr>
          <w:i/>
        </w:rPr>
        <w:t>연구 질문</w:t>
      </w:r>
    </w:p>
    <w:p>
      <w:pPr>
        <w:pStyle w:val="BodyText"/>
        <w:spacing w:before="23"/>
        <w:rPr>
          <w:b/>
          <w:sz w:val="28"/>
        </w:rPr>
      </w:pPr>
    </w:p>
    <w:p>
      <w:pPr>
        <w:pStyle w:val="BodyText"/>
        <w:spacing w:line="391" w:lineRule="auto" w:before="1"/>
        <w:ind w:left="282" w:right="523" w:hanging="8"/>
        <w:jc w:val="both"/>
      </w:pPr>
      <w:r>
        <w:rPr/>
        <w:t>This</w:t>
      </w:r>
      <w:r>
        <w:rPr>
          <w:spacing w:val="-17"/>
        </w:rPr>
        <w:t> </w:t>
      </w:r>
      <w:r>
        <w:rPr/>
        <w:t>study</w:t>
      </w:r>
      <w:r>
        <w:rPr>
          <w:spacing w:val="-15"/>
        </w:rPr>
        <w:t> </w:t>
      </w:r>
      <w:r>
        <w:rPr/>
        <w:t>tests</w:t>
      </w:r>
      <w:r>
        <w:rPr>
          <w:spacing w:val="-15"/>
        </w:rPr>
        <w:t> </w:t>
      </w:r>
      <w:r>
        <w:rPr/>
        <w:t>three</w:t>
      </w:r>
      <w:r>
        <w:rPr>
          <w:spacing w:val="-15"/>
        </w:rPr>
        <w:t> </w:t>
      </w:r>
      <w:r>
        <w:rPr/>
        <w:t>primary</w:t>
      </w:r>
      <w:r>
        <w:rPr>
          <w:spacing w:val="-15"/>
        </w:rPr>
        <w:t> </w:t>
      </w:r>
      <w:r>
        <w:rPr/>
        <w:t>hypotheses:</w:t>
      </w:r>
      <w:r>
        <w:rPr>
          <w:spacing w:val="-7"/>
        </w:rPr>
        <w:t> </w:t>
      </w:r>
      <w:r>
        <w:rPr>
          <w:b/>
        </w:rPr>
        <w:t>H1</w:t>
      </w:r>
      <w:r>
        <w:rPr/>
        <w:t>—EndorseRank</w:t>
      </w:r>
      <w:r>
        <w:rPr>
          <w:spacing w:val="-15"/>
        </w:rPr>
        <w:t> </w:t>
      </w:r>
      <w:r>
        <w:rPr/>
        <w:t>and</w:t>
      </w:r>
      <w:r>
        <w:rPr>
          <w:spacing w:val="-15"/>
        </w:rPr>
        <w:t> </w:t>
      </w:r>
      <w:r>
        <w:rPr/>
        <w:t>AWP</w:t>
      </w:r>
      <w:r>
        <w:rPr>
          <w:spacing w:val="-15"/>
        </w:rPr>
        <w:t> </w:t>
      </w:r>
      <w:r>
        <w:rPr/>
        <w:t>yield</w:t>
      </w:r>
      <w:r>
        <w:rPr>
          <w:spacing w:val="-15"/>
        </w:rPr>
        <w:t> </w:t>
      </w:r>
      <w:r>
        <w:rPr/>
        <w:t>distinct</w:t>
      </w:r>
      <w:r>
        <w:rPr>
          <w:spacing w:val="-15"/>
        </w:rPr>
        <w:t> </w:t>
      </w:r>
      <w:r>
        <w:rPr/>
        <w:t>wallet</w:t>
      </w:r>
      <w:r>
        <w:rPr>
          <w:spacing w:val="-15"/>
        </w:rPr>
        <w:t> </w:t>
      </w:r>
      <w:r>
        <w:rPr/>
        <w:t>order-ings</w:t>
      </w:r>
      <w:r>
        <w:rPr>
          <w:spacing w:val="-9"/>
        </w:rPr>
        <w:t> </w:t>
      </w:r>
      <w:r>
        <w:rPr/>
        <w:t>on</w:t>
      </w:r>
      <w:r>
        <w:rPr>
          <w:spacing w:val="-9"/>
        </w:rPr>
        <w:t> </w:t>
      </w:r>
      <w:r>
        <w:rPr/>
        <w:t>the</w:t>
      </w:r>
      <w:r>
        <w:rPr>
          <w:spacing w:val="-9"/>
        </w:rPr>
        <w:t> </w:t>
      </w:r>
      <w:r>
        <w:rPr/>
        <w:t>same</w:t>
      </w:r>
      <w:r>
        <w:rPr>
          <w:spacing w:val="-9"/>
        </w:rPr>
        <w:t> </w:t>
      </w:r>
      <w:r>
        <w:rPr/>
        <w:t>cohort;</w:t>
      </w:r>
      <w:r>
        <w:rPr>
          <w:spacing w:val="-8"/>
        </w:rPr>
        <w:t> </w:t>
      </w:r>
      <w:r>
        <w:rPr>
          <w:b/>
        </w:rPr>
        <w:t>H2</w:t>
      </w:r>
      <w:r>
        <w:rPr/>
        <w:t>—the</w:t>
      </w:r>
      <w:r>
        <w:rPr>
          <w:spacing w:val="-9"/>
        </w:rPr>
        <w:t> </w:t>
      </w:r>
      <w:r>
        <w:rPr/>
        <w:t>two</w:t>
      </w:r>
      <w:r>
        <w:rPr>
          <w:spacing w:val="-9"/>
        </w:rPr>
        <w:t> </w:t>
      </w:r>
      <w:r>
        <w:rPr/>
        <w:t>social</w:t>
      </w:r>
      <w:r>
        <w:rPr>
          <w:spacing w:val="-9"/>
        </w:rPr>
        <w:t> </w:t>
      </w:r>
      <w:r>
        <w:rPr/>
        <w:t>methods</w:t>
      </w:r>
      <w:r>
        <w:rPr>
          <w:spacing w:val="-9"/>
        </w:rPr>
        <w:t> </w:t>
      </w:r>
      <w:r>
        <w:rPr/>
        <w:t>differ</w:t>
      </w:r>
      <w:r>
        <w:rPr>
          <w:spacing w:val="-9"/>
        </w:rPr>
        <w:t> </w:t>
      </w:r>
      <w:r>
        <w:rPr/>
        <w:t>in</w:t>
      </w:r>
      <w:r>
        <w:rPr>
          <w:spacing w:val="-9"/>
        </w:rPr>
        <w:t> </w:t>
      </w:r>
      <w:r>
        <w:rPr/>
        <w:t>construct-specific</w:t>
      </w:r>
      <w:r>
        <w:rPr>
          <w:spacing w:val="-9"/>
        </w:rPr>
        <w:t> </w:t>
      </w:r>
      <w:r>
        <w:rPr/>
        <w:t>proxy</w:t>
      </w:r>
      <w:r>
        <w:rPr>
          <w:spacing w:val="-9"/>
        </w:rPr>
        <w:t> </w:t>
      </w:r>
      <w:r>
        <w:rPr/>
        <w:t>alignment; and </w:t>
      </w:r>
      <w:r>
        <w:rPr>
          <w:b/>
        </w:rPr>
        <w:t>H3</w:t>
      </w:r>
      <w:r>
        <w:rPr/>
        <w:t>—EndorseRank is computationally more efficient than AWP at equal </w:t>
      </w:r>
      <w:r>
        <w:rPr>
          <w:rFonts w:ascii="Calibri" w:hAnsi="Calibri"/>
          <w:i/>
        </w:rPr>
        <w:t>n</w:t>
      </w:r>
      <w:r>
        <w:rPr/>
        <w:t>.</w:t>
      </w:r>
      <w:r>
        <w:rPr>
          <w:spacing w:val="40"/>
        </w:rPr>
        <w:t> </w:t>
      </w:r>
      <w:r>
        <w:rPr/>
        <w:t>The following research questions guide the empirical evaluation summarized in Table </w:t>
      </w:r>
      <w:hyperlink w:history="true" w:anchor="_bookmark13">
        <w:r>
          <w:rPr/>
          <w:t>1.3</w:t>
        </w:r>
      </w:hyperlink>
      <w:r>
        <w:rPr/>
        <w:t>.</w:t>
      </w:r>
      <w:r>
        <w:rPr>
          <w:spacing w:val="40"/>
        </w:rPr>
        <w:t> </w:t>
      </w:r>
      <w:r>
        <w:rPr/>
        <w:t>RQ1–RQ4 form the primary EndorseRank–AWP comparison; SRQ1 addresses the supplementary GF-PR extension.</w:t>
      </w:r>
    </w:p>
    <w:p>
      <w:pPr>
        <w:pStyle w:val="BodyText"/>
        <w:spacing w:line="391" w:lineRule="auto" w:before="1"/>
        <w:ind w:left="282" w:right="523" w:hanging="8"/>
        <w:jc w:val="both"/>
      </w:pPr>
      <w:r>
        <w:rPr>
          <w:i/>
        </w:rPr>
        <w:t>이 연구는 세 가지 주요 가설을 테스트합니다: H1 - EndorseRank 및 AWP는 동일한 코호트에서 서로 다른 지갑 순서를 생성합니다. H2 - 두 소셜 방법은 구성별 프록시 정렬이 다르며, H3 - EndorseRank은 n이 동일할 때 AWP보다 계산적으로 더 효율적입니다. 다음 연구 질문은 표 1.3에 요약된 실증적 평가를 안내합니다. RQ1–RQ4는 기본 EndorseRank–AWP 비교를 형성하고 SRQ1은 보충 GF-PR 확장을 다룹니다.</w:t>
      </w:r>
    </w:p>
    <w:p>
      <w:pPr>
        <w:pStyle w:val="BodyText"/>
        <w:spacing w:line="396" w:lineRule="auto" w:before="124"/>
        <w:ind w:left="847" w:right="563" w:hanging="661"/>
        <w:jc w:val="both"/>
      </w:pPr>
      <w:r>
        <w:rPr>
          <w:b/>
        </w:rPr>
        <w:t>RQ1.</w:t>
      </w:r>
      <w:r>
        <w:rPr>
          <w:b/>
          <w:spacing w:val="40"/>
        </w:rPr>
        <w:t> </w:t>
      </w:r>
      <w:r>
        <w:rPr/>
        <w:t>Do</w:t>
      </w:r>
      <w:r>
        <w:rPr>
          <w:spacing w:val="-3"/>
        </w:rPr>
        <w:t> </w:t>
      </w:r>
      <w:r>
        <w:rPr/>
        <w:t>EndorseRank</w:t>
      </w:r>
      <w:r>
        <w:rPr>
          <w:spacing w:val="-3"/>
        </w:rPr>
        <w:t> </w:t>
      </w:r>
      <w:r>
        <w:rPr/>
        <w:t>and</w:t>
      </w:r>
      <w:r>
        <w:rPr>
          <w:spacing w:val="-3"/>
        </w:rPr>
        <w:t> </w:t>
      </w:r>
      <w:r>
        <w:rPr/>
        <w:t>AWP</w:t>
      </w:r>
      <w:r>
        <w:rPr>
          <w:spacing w:val="-4"/>
        </w:rPr>
        <w:t> </w:t>
      </w:r>
      <w:r>
        <w:rPr/>
        <w:t>produce</w:t>
      </w:r>
      <w:r>
        <w:rPr>
          <w:spacing w:val="-3"/>
        </w:rPr>
        <w:t> </w:t>
      </w:r>
      <w:r>
        <w:rPr/>
        <w:t>meaningfully</w:t>
      </w:r>
      <w:r>
        <w:rPr>
          <w:spacing w:val="-3"/>
        </w:rPr>
        <w:t> </w:t>
      </w:r>
      <w:r>
        <w:rPr/>
        <w:t>different</w:t>
      </w:r>
      <w:r>
        <w:rPr>
          <w:spacing w:val="-4"/>
        </w:rPr>
        <w:t> </w:t>
      </w:r>
      <w:r>
        <w:rPr/>
        <w:t>wallet</w:t>
      </w:r>
      <w:r>
        <w:rPr>
          <w:spacing w:val="-3"/>
        </w:rPr>
        <w:t> </w:t>
      </w:r>
      <w:r>
        <w:rPr/>
        <w:t>orderings</w:t>
      </w:r>
      <w:r>
        <w:rPr>
          <w:spacing w:val="-3"/>
        </w:rPr>
        <w:t> </w:t>
      </w:r>
      <w:r>
        <w:rPr/>
        <w:t>on</w:t>
      </w:r>
      <w:r>
        <w:rPr>
          <w:spacing w:val="-3"/>
        </w:rPr>
        <w:t> </w:t>
      </w:r>
      <w:r>
        <w:rPr/>
        <w:t>an</w:t>
      </w:r>
      <w:r>
        <w:rPr>
          <w:spacing w:val="-3"/>
        </w:rPr>
        <w:t> </w:t>
      </w:r>
      <w:r>
        <w:rPr/>
        <w:t>identical Arbitrum wallet sample?</w:t>
      </w:r>
    </w:p>
    <w:p>
      <w:pPr>
        <w:pStyle w:val="BodyText"/>
        <w:spacing w:line="396" w:lineRule="auto" w:before="124"/>
        <w:ind w:left="847" w:right="563" w:hanging="661"/>
        <w:jc w:val="both"/>
      </w:pPr>
      <w:r>
        <w:rPr>
          <w:i/>
        </w:rPr>
        <w:t>RQ1. EndorseRank 및 AWP는 동일한 Arbitrum 지갑 샘플에서 의미있게 다른 지갑 주문을 생성합니까?</w:t>
      </w:r>
    </w:p>
    <w:p>
      <w:pPr>
        <w:pStyle w:val="BodyText"/>
        <w:spacing w:after="0" w:line="396" w:lineRule="auto"/>
        <w:jc w:val="both"/>
        <w:sectPr>
          <w:type w:val="continuous"/>
          <w:pgSz w:w="11910" w:h="16840"/>
          <w:pgMar w:header="0" w:footer="2115" w:top="1920" w:bottom="28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ind w:left="774" w:right="1062"/>
        <w:jc w:val="center"/>
      </w:pPr>
      <w:bookmarkStart w:name="_bookmark13" w:id="20"/>
      <w:bookmarkEnd w:id="20"/>
      <w:r>
        <w:rPr/>
      </w:r>
      <w:r>
        <w:rPr/>
        <w:t>Table</w:t>
      </w:r>
      <w:r>
        <w:rPr>
          <w:spacing w:val="-10"/>
        </w:rPr>
        <w:t> </w:t>
      </w:r>
      <w:r>
        <w:rPr/>
        <w:t>1.3:</w:t>
      </w:r>
      <w:r>
        <w:rPr>
          <w:spacing w:val="8"/>
        </w:rPr>
        <w:t> </w:t>
      </w:r>
      <w:r>
        <w:rPr/>
        <w:t>Summary</w:t>
      </w:r>
      <w:r>
        <w:rPr>
          <w:spacing w:val="-10"/>
        </w:rPr>
        <w:t> </w:t>
      </w:r>
      <w:r>
        <w:rPr/>
        <w:t>of</w:t>
      </w:r>
      <w:r>
        <w:rPr>
          <w:spacing w:val="-9"/>
        </w:rPr>
        <w:t> </w:t>
      </w:r>
      <w:r>
        <w:rPr/>
        <w:t>hypotheses,</w:t>
      </w:r>
      <w:r>
        <w:rPr>
          <w:spacing w:val="-10"/>
        </w:rPr>
        <w:t> </w:t>
      </w:r>
      <w:r>
        <w:rPr/>
        <w:t>research</w:t>
      </w:r>
      <w:r>
        <w:rPr>
          <w:spacing w:val="-9"/>
        </w:rPr>
        <w:t> </w:t>
      </w:r>
      <w:r>
        <w:rPr/>
        <w:t>questions,</w:t>
      </w:r>
      <w:r>
        <w:rPr>
          <w:spacing w:val="-10"/>
        </w:rPr>
        <w:t> </w:t>
      </w:r>
      <w:r>
        <w:rPr/>
        <w:t>and</w:t>
      </w:r>
      <w:r>
        <w:rPr>
          <w:spacing w:val="-9"/>
        </w:rPr>
        <w:t> </w:t>
      </w:r>
      <w:r>
        <w:rPr/>
        <w:t>empirical</w:t>
      </w:r>
      <w:r>
        <w:rPr>
          <w:spacing w:val="-9"/>
        </w:rPr>
        <w:t> </w:t>
      </w:r>
      <w:r>
        <w:rPr>
          <w:spacing w:val="-2"/>
        </w:rPr>
        <w:t>claims.</w:t>
      </w:r>
    </w:p>
    <w:p>
      <w:pPr>
        <w:pStyle w:val="BodyText"/>
        <w:ind w:left="774" w:right="1062"/>
        <w:jc w:val="center"/>
      </w:pPr>
      <w:r>
        <w:rPr>
          <w:i/>
        </w:rPr>
        <w:t>표 1.3: 가설, 연구 질문 및 경험적 주장 요약.</w:t>
      </w:r>
    </w:p>
    <w:p>
      <w:pPr>
        <w:pStyle w:val="BodyText"/>
        <w:spacing w:before="1"/>
        <w:rPr>
          <w:sz w:val="19"/>
        </w:rPr>
      </w:pPr>
      <w:r>
        <w:rPr>
          <w:sz w:val="19"/>
        </w:rPr>
        <mc:AlternateContent>
          <mc:Choice Requires="wps">
            <w:drawing>
              <wp:anchor distT="0" distB="0" distL="0" distR="0" allowOverlap="1" layoutInCell="1" locked="0" behindDoc="1" simplePos="0" relativeHeight="487594496">
                <wp:simplePos x="0" y="0"/>
                <wp:positionH relativeFrom="page">
                  <wp:posOffset>854671</wp:posOffset>
                </wp:positionH>
                <wp:positionV relativeFrom="paragraph">
                  <wp:posOffset>155129</wp:posOffset>
                </wp:positionV>
                <wp:extent cx="585089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296997pt;margin-top:12.21489pt;width:460.7pt;height:.1pt;mso-position-horizontal-relative:page;mso-position-vertical-relative:paragraph;z-index:-15721984;mso-wrap-distance-left:0;mso-wrap-distance-right:0" id="docshape13" coordorigin="1346,244" coordsize="9214,0" path="m1346,244l10560,244e" filled="false" stroked="true" strokeweight=".9564pt" strokecolor="#000000">
                <v:path arrowok="t"/>
                <v:stroke dashstyle="solid"/>
                <w10:wrap type="topAndBottom"/>
              </v:shape>
            </w:pict>
          </mc:Fallback>
        </mc:AlternateContent>
      </w:r>
    </w:p>
    <w:p>
      <w:pPr>
        <w:tabs>
          <w:tab w:pos="1685" w:val="left" w:leader="none"/>
          <w:tab w:pos="5755" w:val="left" w:leader="none"/>
        </w:tabs>
        <w:spacing w:before="54"/>
        <w:ind w:left="423" w:right="0" w:firstLine="0"/>
        <w:jc w:val="left"/>
        <w:rPr>
          <w:sz w:val="22"/>
        </w:rPr>
      </w:pPr>
      <w:r>
        <w:rPr>
          <w:spacing w:val="-4"/>
          <w:sz w:val="22"/>
        </w:rPr>
        <w:t>Item</w:t>
      </w:r>
      <w:r>
        <w:rPr>
          <w:sz w:val="22"/>
        </w:rPr>
        <w:tab/>
      </w:r>
      <w:r>
        <w:rPr>
          <w:spacing w:val="-2"/>
          <w:sz w:val="22"/>
        </w:rPr>
        <w:t>Addresses</w:t>
      </w:r>
      <w:r>
        <w:rPr>
          <w:sz w:val="22"/>
        </w:rPr>
        <w:tab/>
        <w:t>Reported</w:t>
      </w:r>
      <w:r>
        <w:rPr>
          <w:spacing w:val="-10"/>
          <w:sz w:val="22"/>
        </w:rPr>
        <w:t> </w:t>
      </w:r>
      <w:r>
        <w:rPr>
          <w:spacing w:val="-5"/>
          <w:sz w:val="22"/>
        </w:rPr>
        <w:t>in</w:t>
      </w:r>
    </w:p>
    <w:p>
      <w:pPr>
        <w:tabs>
          <w:tab w:pos="1685" w:val="left" w:leader="none"/>
          <w:tab w:pos="5755" w:val="left" w:leader="none"/>
        </w:tabs>
        <w:spacing w:before="54"/>
        <w:ind w:left="423" w:right="0" w:firstLine="0"/>
        <w:jc w:val="left"/>
        <w:rPr>
          <w:sz w:val="22"/>
        </w:rPr>
      </w:pPr>
      <w:r>
        <w:rPr>
          <w:i/>
        </w:rPr>
        <w:t>목</w:t>
        <w:tab/>
        <w:t>구애</w:t>
        <w:tab/>
        <w:t>보고된 날짜</w:t>
      </w:r>
    </w:p>
    <w:p>
      <w:pPr>
        <w:spacing w:after="0"/>
        <w:jc w:val="left"/>
        <w:rPr>
          <w:sz w:val="22"/>
        </w:rPr>
        <w:sectPr>
          <w:pgSz w:w="11910" w:h="16840"/>
          <w:pgMar w:header="0" w:footer="2115" w:top="1920" w:bottom="2300" w:left="992" w:right="708"/>
        </w:sectPr>
      </w:pPr>
    </w:p>
    <w:p>
      <w:pPr>
        <w:tabs>
          <w:tab w:pos="1685" w:val="left" w:leader="none"/>
        </w:tabs>
        <w:spacing w:line="256" w:lineRule="auto" w:before="142"/>
        <w:ind w:left="1685" w:right="0" w:hanging="1263"/>
        <w:jc w:val="left"/>
        <w:rPr>
          <w:sz w:val="22"/>
        </w:rPr>
      </w:pPr>
      <w:r>
        <w:rPr>
          <w:sz w:val="22"/>
        </w:rPr>
        <mc:AlternateContent>
          <mc:Choice Requires="wps">
            <w:drawing>
              <wp:anchor distT="0" distB="0" distL="0" distR="0" allowOverlap="1" layoutInCell="1" locked="0" behindDoc="0" simplePos="0" relativeHeight="15736320">
                <wp:simplePos x="0" y="0"/>
                <wp:positionH relativeFrom="page">
                  <wp:posOffset>854671</wp:posOffset>
                </wp:positionH>
                <wp:positionV relativeFrom="paragraph">
                  <wp:posOffset>52233</wp:posOffset>
                </wp:positionV>
                <wp:extent cx="585089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850890" cy="1270"/>
                        </a:xfrm>
                        <a:custGeom>
                          <a:avLst/>
                          <a:gdLst/>
                          <a:ahLst/>
                          <a:cxnLst/>
                          <a:rect l="l" t="t" r="r" b="b"/>
                          <a:pathLst>
                            <a:path w="5850890" h="0">
                              <a:moveTo>
                                <a:pt x="0" y="0"/>
                              </a:moveTo>
                              <a:lnTo>
                                <a:pt x="58506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67.296997pt,4.112874pt" to="527.978997pt,4.112874pt" stroked="true" strokeweight=".5978pt" strokecolor="#000000">
                <v:stroke dashstyle="solid"/>
                <w10:wrap type="none"/>
              </v:line>
            </w:pict>
          </mc:Fallback>
        </mc:AlternateContent>
      </w:r>
      <w:r>
        <w:rPr>
          <w:sz w:val="22"/>
        </w:rPr>
        <w:t>H1 / RQ1</w:t>
        <w:tab/>
      </w:r>
      <w:r>
        <w:rPr>
          <w:spacing w:val="-2"/>
          <w:sz w:val="22"/>
        </w:rPr>
        <w:t>Do</w:t>
      </w:r>
      <w:r>
        <w:rPr>
          <w:spacing w:val="-12"/>
          <w:sz w:val="22"/>
        </w:rPr>
        <w:t> </w:t>
      </w:r>
      <w:r>
        <w:rPr>
          <w:spacing w:val="-2"/>
          <w:sz w:val="22"/>
        </w:rPr>
        <w:t>EndorseRank</w:t>
      </w:r>
      <w:r>
        <w:rPr>
          <w:spacing w:val="-12"/>
          <w:sz w:val="22"/>
        </w:rPr>
        <w:t> </w:t>
      </w:r>
      <w:r>
        <w:rPr>
          <w:spacing w:val="-2"/>
          <w:sz w:val="22"/>
        </w:rPr>
        <w:t>and</w:t>
      </w:r>
      <w:r>
        <w:rPr>
          <w:spacing w:val="-12"/>
          <w:sz w:val="22"/>
        </w:rPr>
        <w:t> </w:t>
      </w:r>
      <w:r>
        <w:rPr>
          <w:spacing w:val="-2"/>
          <w:sz w:val="22"/>
        </w:rPr>
        <w:t>AWP</w:t>
      </w:r>
      <w:r>
        <w:rPr>
          <w:spacing w:val="-11"/>
          <w:sz w:val="22"/>
        </w:rPr>
        <w:t> </w:t>
      </w:r>
      <w:r>
        <w:rPr>
          <w:spacing w:val="-2"/>
          <w:sz w:val="22"/>
        </w:rPr>
        <w:t>yield</w:t>
      </w:r>
      <w:r>
        <w:rPr>
          <w:spacing w:val="-12"/>
          <w:sz w:val="22"/>
        </w:rPr>
        <w:t> </w:t>
      </w:r>
      <w:r>
        <w:rPr>
          <w:spacing w:val="-2"/>
          <w:sz w:val="22"/>
        </w:rPr>
        <w:t>distinct</w:t>
      </w:r>
      <w:r>
        <w:rPr>
          <w:spacing w:val="-11"/>
          <w:sz w:val="22"/>
        </w:rPr>
        <w:t> </w:t>
      </w:r>
      <w:r>
        <w:rPr>
          <w:spacing w:val="-2"/>
          <w:sz w:val="22"/>
        </w:rPr>
        <w:t>wal-</w:t>
      </w:r>
      <w:r>
        <w:rPr>
          <w:sz w:val="22"/>
        </w:rPr>
        <w:t>let orderings?</w:t>
      </w:r>
    </w:p>
    <w:p>
      <w:pPr>
        <w:tabs>
          <w:tab w:pos="1685" w:val="left" w:leader="none"/>
        </w:tabs>
        <w:spacing w:line="256" w:lineRule="auto" w:before="142"/>
        <w:ind w:left="1685" w:right="0" w:hanging="1263"/>
        <w:jc w:val="left"/>
        <w:rPr>
          <w:sz w:val="22"/>
        </w:rPr>
      </w:pPr>
      <w:r>
        <w:rPr>
          <w:i/>
        </w:rPr>
        <w:t>H1 / RQ1</w:t>
        <w:tab/>
        <w:t>EndorseRank와 AWP는 지갑 주문이 서로 다른가요?</w:t>
      </w:r>
    </w:p>
    <w:p>
      <w:pPr>
        <w:tabs>
          <w:tab w:pos="1685" w:val="left" w:leader="none"/>
        </w:tabs>
        <w:spacing w:line="256" w:lineRule="auto" w:before="0"/>
        <w:ind w:left="1678" w:right="29" w:hanging="1255"/>
        <w:jc w:val="left"/>
        <w:rPr>
          <w:sz w:val="22"/>
        </w:rPr>
      </w:pPr>
      <w:r>
        <w:rPr>
          <w:sz w:val="22"/>
        </w:rPr>
        <w:t>H2 / RQ2</w:t>
        <w:tab/>
        <w:tab/>
        <w:t>Which</w:t>
      </w:r>
      <w:r>
        <w:rPr>
          <w:spacing w:val="33"/>
          <w:sz w:val="22"/>
        </w:rPr>
        <w:t> </w:t>
      </w:r>
      <w:r>
        <w:rPr>
          <w:sz w:val="22"/>
        </w:rPr>
        <w:t>social</w:t>
      </w:r>
      <w:r>
        <w:rPr>
          <w:spacing w:val="33"/>
          <w:sz w:val="22"/>
        </w:rPr>
        <w:t> </w:t>
      </w:r>
      <w:r>
        <w:rPr>
          <w:sz w:val="22"/>
        </w:rPr>
        <w:t>method</w:t>
      </w:r>
      <w:r>
        <w:rPr>
          <w:spacing w:val="33"/>
          <w:sz w:val="22"/>
        </w:rPr>
        <w:t> </w:t>
      </w:r>
      <w:r>
        <w:rPr>
          <w:sz w:val="22"/>
        </w:rPr>
        <w:t>aligns</w:t>
      </w:r>
      <w:r>
        <w:rPr>
          <w:spacing w:val="33"/>
          <w:sz w:val="22"/>
        </w:rPr>
        <w:t> </w:t>
      </w:r>
      <w:r>
        <w:rPr>
          <w:sz w:val="22"/>
        </w:rPr>
        <w:t>more</w:t>
      </w:r>
      <w:r>
        <w:rPr>
          <w:spacing w:val="33"/>
          <w:sz w:val="22"/>
        </w:rPr>
        <w:t> </w:t>
      </w:r>
      <w:r>
        <w:rPr>
          <w:sz w:val="22"/>
        </w:rPr>
        <w:t>strongly with which proxy families?</w:t>
      </w:r>
    </w:p>
    <w:p>
      <w:pPr>
        <w:tabs>
          <w:tab w:pos="1685" w:val="left" w:leader="none"/>
        </w:tabs>
        <w:spacing w:line="256" w:lineRule="auto" w:before="0"/>
        <w:ind w:left="1678" w:right="29" w:hanging="1255"/>
        <w:jc w:val="left"/>
        <w:rPr>
          <w:sz w:val="22"/>
        </w:rPr>
      </w:pPr>
      <w:r>
        <w:rPr>
          <w:i/>
        </w:rPr>
        <w:t>H2 / RQ2</w:t>
        <w:tab/>
        <w:tab/>
        <w:t>어떤 사회적 방법이 어떤 프록시 계열과 더 강력하게 일치합니까?</w:t>
      </w:r>
    </w:p>
    <w:p>
      <w:pPr>
        <w:spacing w:before="138"/>
        <w:ind w:left="62" w:right="0" w:firstLine="0"/>
        <w:jc w:val="left"/>
        <w:rPr>
          <w:rFonts w:ascii="Calibri" w:hAnsi="Calibri"/>
          <w:sz w:val="22"/>
        </w:rPr>
      </w:pPr>
      <w:r>
        <w:rPr/>
        <w:br w:type="column"/>
      </w:r>
      <w:r>
        <w:rPr>
          <w:sz w:val="22"/>
        </w:rPr>
        <w:t>§</w:t>
      </w:r>
      <w:hyperlink w:history="true" w:anchor="_bookmark109">
        <w:r>
          <w:rPr>
            <w:sz w:val="22"/>
          </w:rPr>
          <w:t>4.6</w:t>
        </w:r>
      </w:hyperlink>
      <w:r>
        <w:rPr>
          <w:sz w:val="22"/>
        </w:rPr>
        <w:t>;</w:t>
      </w:r>
      <w:r>
        <w:rPr>
          <w:spacing w:val="9"/>
          <w:sz w:val="22"/>
        </w:rPr>
        <w:t> </w:t>
      </w:r>
      <w:r>
        <w:rPr>
          <w:sz w:val="22"/>
        </w:rPr>
        <w:t>inter-method</w:t>
      </w:r>
      <w:r>
        <w:rPr>
          <w:spacing w:val="9"/>
          <w:sz w:val="22"/>
        </w:rPr>
        <w:t> </w:t>
      </w:r>
      <w:r>
        <w:rPr>
          <w:rFonts w:ascii="Calibri" w:hAnsi="Calibri"/>
          <w:i/>
          <w:sz w:val="22"/>
        </w:rPr>
        <w:t>τ</w:t>
      </w:r>
      <w:r>
        <w:rPr>
          <w:rFonts w:ascii="Calibri" w:hAnsi="Calibri"/>
          <w:i/>
          <w:spacing w:val="50"/>
          <w:sz w:val="22"/>
        </w:rPr>
        <w:t> </w:t>
      </w:r>
      <w:r>
        <w:rPr>
          <w:rFonts w:ascii="Calibri" w:hAnsi="Calibri"/>
          <w:sz w:val="22"/>
        </w:rPr>
        <w:t>=</w:t>
      </w:r>
      <w:r>
        <w:rPr>
          <w:rFonts w:ascii="Calibri" w:hAnsi="Calibri"/>
          <w:spacing w:val="21"/>
          <w:sz w:val="22"/>
        </w:rPr>
        <w:t> </w:t>
      </w:r>
      <w:r>
        <w:rPr>
          <w:rFonts w:ascii="Calibri" w:hAnsi="Calibri"/>
          <w:spacing w:val="-4"/>
          <w:sz w:val="22"/>
        </w:rPr>
        <w:t>0</w:t>
      </w:r>
      <w:r>
        <w:rPr>
          <w:rFonts w:ascii="Calibri" w:hAnsi="Calibri"/>
          <w:i/>
          <w:spacing w:val="-4"/>
          <w:sz w:val="22"/>
        </w:rPr>
        <w:t>.</w:t>
      </w:r>
      <w:r>
        <w:rPr>
          <w:rFonts w:ascii="Calibri" w:hAnsi="Calibri"/>
          <w:spacing w:val="-4"/>
          <w:sz w:val="22"/>
        </w:rPr>
        <w:t>316</w:t>
      </w:r>
    </w:p>
    <w:p>
      <w:pPr>
        <w:spacing w:before="138"/>
        <w:ind w:left="62" w:right="0" w:firstLine="0"/>
        <w:jc w:val="left"/>
        <w:rPr>
          <w:rFonts w:ascii="Calibri" w:hAnsi="Calibri"/>
          <w:sz w:val="22"/>
        </w:rPr>
      </w:pPr>
      <w:r>
        <w:rPr>
          <w:i/>
        </w:rPr>
        <w:t>§4.6, 방법 간 τ = 0.316</w:t>
      </w:r>
    </w:p>
    <w:p>
      <w:pPr>
        <w:pStyle w:val="BodyText"/>
        <w:spacing w:before="8"/>
        <w:rPr>
          <w:rFonts w:ascii="Calibri"/>
          <w:sz w:val="22"/>
        </w:rPr>
      </w:pPr>
    </w:p>
    <w:p>
      <w:pPr>
        <w:spacing w:before="1"/>
        <w:ind w:left="62" w:right="0" w:firstLine="0"/>
        <w:jc w:val="left"/>
        <w:rPr>
          <w:sz w:val="22"/>
        </w:rPr>
      </w:pPr>
      <w:r>
        <w:rPr>
          <w:spacing w:val="-2"/>
          <w:sz w:val="22"/>
        </w:rPr>
        <w:t>Tables </w:t>
      </w:r>
      <w:hyperlink w:history="true" w:anchor="_bookmark101">
        <w:r>
          <w:rPr>
            <w:spacing w:val="-2"/>
            <w:sz w:val="22"/>
          </w:rPr>
          <w:t>4.7</w:t>
        </w:r>
      </w:hyperlink>
      <w:r>
        <w:rPr>
          <w:spacing w:val="-2"/>
          <w:sz w:val="22"/>
        </w:rPr>
        <w:t>–</w:t>
      </w:r>
      <w:hyperlink w:history="true" w:anchor="_bookmark108">
        <w:r>
          <w:rPr>
            <w:spacing w:val="-2"/>
            <w:sz w:val="22"/>
          </w:rPr>
          <w:t>4.12</w:t>
        </w:r>
      </w:hyperlink>
      <w:r>
        <w:rPr>
          <w:spacing w:val="-2"/>
          <w:sz w:val="22"/>
        </w:rPr>
        <w:t>;</w:t>
      </w:r>
      <w:r>
        <w:rPr>
          <w:spacing w:val="-1"/>
          <w:sz w:val="22"/>
        </w:rPr>
        <w:t> </w:t>
      </w:r>
      <w:r>
        <w:rPr>
          <w:spacing w:val="-2"/>
          <w:sz w:val="22"/>
        </w:rPr>
        <w:t>Claims C2–</w:t>
      </w:r>
      <w:r>
        <w:rPr>
          <w:spacing w:val="-5"/>
          <w:sz w:val="22"/>
        </w:rPr>
        <w:t>C3</w:t>
      </w:r>
    </w:p>
    <w:p>
      <w:pPr>
        <w:spacing w:before="1"/>
        <w:ind w:left="62" w:right="0" w:firstLine="0"/>
        <w:jc w:val="left"/>
        <w:rPr>
          <w:sz w:val="22"/>
        </w:rPr>
      </w:pPr>
      <w:r>
        <w:rPr>
          <w:i/>
        </w:rPr>
        <w:t>표 4.7~4.12, 청구항 C2~C3</w:t>
      </w:r>
    </w:p>
    <w:p>
      <w:pPr>
        <w:spacing w:after="0"/>
        <w:jc w:val="left"/>
        <w:rPr>
          <w:sz w:val="22"/>
        </w:rPr>
        <w:sectPr>
          <w:type w:val="continuous"/>
          <w:pgSz w:w="11910" w:h="16840"/>
          <w:pgMar w:header="0" w:footer="2115" w:top="1920" w:bottom="280" w:left="992" w:right="708"/>
          <w:cols w:num="2" w:equalWidth="0">
            <w:col w:w="5653" w:space="40"/>
            <w:col w:w="4517"/>
          </w:cols>
        </w:sectPr>
      </w:pPr>
    </w:p>
    <w:p>
      <w:pPr>
        <w:tabs>
          <w:tab w:pos="1685" w:val="left" w:leader="none"/>
        </w:tabs>
        <w:spacing w:line="266" w:lineRule="exact" w:before="0"/>
        <w:ind w:left="423" w:right="0" w:firstLine="0"/>
        <w:jc w:val="left"/>
        <w:rPr>
          <w:sz w:val="22"/>
        </w:rPr>
      </w:pPr>
      <w:r>
        <w:rPr>
          <w:sz w:val="22"/>
        </w:rPr>
        <w:t>H3</w:t>
      </w:r>
      <w:r>
        <w:rPr>
          <w:spacing w:val="-3"/>
          <w:sz w:val="22"/>
        </w:rPr>
        <w:t> </w:t>
      </w:r>
      <w:r>
        <w:rPr>
          <w:sz w:val="22"/>
        </w:rPr>
        <w:t>/</w:t>
      </w:r>
      <w:r>
        <w:rPr>
          <w:spacing w:val="-3"/>
          <w:sz w:val="22"/>
        </w:rPr>
        <w:t> </w:t>
      </w:r>
      <w:r>
        <w:rPr>
          <w:spacing w:val="-5"/>
          <w:sz w:val="22"/>
        </w:rPr>
        <w:t>RQ3</w:t>
      </w:r>
      <w:r>
        <w:rPr>
          <w:sz w:val="22"/>
        </w:rPr>
        <w:tab/>
        <w:t>Is</w:t>
      </w:r>
      <w:r>
        <w:rPr>
          <w:spacing w:val="-7"/>
          <w:sz w:val="22"/>
        </w:rPr>
        <w:t> </w:t>
      </w:r>
      <w:r>
        <w:rPr>
          <w:sz w:val="22"/>
        </w:rPr>
        <w:t>EndorseRank</w:t>
      </w:r>
      <w:r>
        <w:rPr>
          <w:spacing w:val="-7"/>
          <w:sz w:val="22"/>
        </w:rPr>
        <w:t> </w:t>
      </w:r>
      <w:r>
        <w:rPr>
          <w:sz w:val="22"/>
        </w:rPr>
        <w:t>faster</w:t>
      </w:r>
      <w:r>
        <w:rPr>
          <w:spacing w:val="-7"/>
          <w:sz w:val="22"/>
        </w:rPr>
        <w:t> </w:t>
      </w:r>
      <w:r>
        <w:rPr>
          <w:sz w:val="22"/>
        </w:rPr>
        <w:t>than</w:t>
      </w:r>
      <w:r>
        <w:rPr>
          <w:spacing w:val="-7"/>
          <w:sz w:val="22"/>
        </w:rPr>
        <w:t> </w:t>
      </w:r>
      <w:r>
        <w:rPr>
          <w:sz w:val="22"/>
        </w:rPr>
        <w:t>AWP</w:t>
      </w:r>
      <w:r>
        <w:rPr>
          <w:spacing w:val="-7"/>
          <w:sz w:val="22"/>
        </w:rPr>
        <w:t> </w:t>
      </w:r>
      <w:r>
        <w:rPr>
          <w:sz w:val="22"/>
        </w:rPr>
        <w:t>at</w:t>
      </w:r>
      <w:r>
        <w:rPr>
          <w:spacing w:val="-7"/>
          <w:sz w:val="22"/>
        </w:rPr>
        <w:t> </w:t>
      </w:r>
      <w:r>
        <w:rPr>
          <w:sz w:val="22"/>
        </w:rPr>
        <w:t>equal</w:t>
      </w:r>
      <w:r>
        <w:rPr>
          <w:spacing w:val="-7"/>
          <w:sz w:val="22"/>
        </w:rPr>
        <w:t> </w:t>
      </w:r>
      <w:r>
        <w:rPr>
          <w:rFonts w:ascii="Calibri" w:hAnsi="Calibri"/>
          <w:i/>
          <w:sz w:val="22"/>
        </w:rPr>
        <w:t>n</w:t>
      </w:r>
      <w:r>
        <w:rPr>
          <w:sz w:val="22"/>
        </w:rPr>
        <w:t>?</w:t>
      </w:r>
      <w:r>
        <w:rPr>
          <w:spacing w:val="67"/>
          <w:w w:val="150"/>
          <w:sz w:val="22"/>
        </w:rPr>
        <w:t> </w:t>
      </w:r>
      <w:r>
        <w:rPr>
          <w:sz w:val="22"/>
        </w:rPr>
        <w:t>Tables</w:t>
      </w:r>
      <w:r>
        <w:rPr>
          <w:spacing w:val="-7"/>
          <w:sz w:val="22"/>
        </w:rPr>
        <w:t> </w:t>
      </w:r>
      <w:hyperlink w:history="true" w:anchor="_bookmark91">
        <w:r>
          <w:rPr>
            <w:sz w:val="22"/>
          </w:rPr>
          <w:t>4.2</w:t>
        </w:r>
      </w:hyperlink>
      <w:r>
        <w:rPr>
          <w:sz w:val="22"/>
        </w:rPr>
        <w:t>–</w:t>
      </w:r>
      <w:hyperlink w:history="true" w:anchor="_bookmark93">
        <w:r>
          <w:rPr>
            <w:sz w:val="22"/>
          </w:rPr>
          <w:t>4.3</w:t>
        </w:r>
      </w:hyperlink>
      <w:r>
        <w:rPr>
          <w:sz w:val="22"/>
        </w:rPr>
        <w:t>;</w:t>
      </w:r>
      <w:r>
        <w:rPr>
          <w:spacing w:val="-7"/>
          <w:sz w:val="22"/>
        </w:rPr>
        <w:t> </w:t>
      </w:r>
      <w:r>
        <w:rPr>
          <w:sz w:val="22"/>
        </w:rPr>
        <w:t>Claims</w:t>
      </w:r>
      <w:r>
        <w:rPr>
          <w:spacing w:val="-7"/>
          <w:sz w:val="22"/>
        </w:rPr>
        <w:t> </w:t>
      </w:r>
      <w:r>
        <w:rPr>
          <w:sz w:val="22"/>
        </w:rPr>
        <w:t>C1,</w:t>
      </w:r>
      <w:r>
        <w:rPr>
          <w:spacing w:val="-7"/>
          <w:sz w:val="22"/>
        </w:rPr>
        <w:t> </w:t>
      </w:r>
      <w:r>
        <w:rPr>
          <w:spacing w:val="-5"/>
          <w:sz w:val="22"/>
        </w:rPr>
        <w:t>C4</w:t>
      </w:r>
    </w:p>
    <w:p>
      <w:pPr>
        <w:tabs>
          <w:tab w:pos="1685" w:val="left" w:leader="none"/>
        </w:tabs>
        <w:spacing w:line="266" w:lineRule="exact" w:before="0"/>
        <w:ind w:left="423" w:right="0" w:firstLine="0"/>
        <w:jc w:val="left"/>
        <w:rPr>
          <w:sz w:val="22"/>
        </w:rPr>
      </w:pPr>
      <w:r>
        <w:rPr>
          <w:i/>
        </w:rPr>
        <w:t>H3 / RQ3</w:t>
        <w:tab/>
        <w:t>n이 같을 때 EndorseRank가 AWP보다 빠르나요? 표 4.2~4.3, 청구항 C1, C4</w:t>
      </w:r>
    </w:p>
    <w:p>
      <w:pPr>
        <w:spacing w:after="0" w:line="266" w:lineRule="exact"/>
        <w:jc w:val="left"/>
        <w:rPr>
          <w:sz w:val="22"/>
        </w:rPr>
        <w:sectPr>
          <w:type w:val="continuous"/>
          <w:pgSz w:w="11910" w:h="16840"/>
          <w:pgMar w:header="0" w:footer="2115" w:top="1920" w:bottom="280" w:left="992" w:right="708"/>
        </w:sectPr>
      </w:pPr>
    </w:p>
    <w:p>
      <w:pPr>
        <w:tabs>
          <w:tab w:pos="1685" w:val="left" w:leader="none"/>
        </w:tabs>
        <w:spacing w:line="256" w:lineRule="auto" w:before="6"/>
        <w:ind w:left="1685" w:right="36" w:hanging="1263"/>
        <w:jc w:val="left"/>
        <w:rPr>
          <w:sz w:val="22"/>
        </w:rPr>
      </w:pPr>
      <w:r>
        <w:rPr>
          <w:spacing w:val="-4"/>
          <w:sz w:val="22"/>
        </w:rPr>
        <w:t>RQ4</w:t>
      </w:r>
      <w:r>
        <w:rPr>
          <w:sz w:val="22"/>
        </w:rPr>
        <w:tab/>
        <w:t>Transfer</w:t>
      </w:r>
      <w:r>
        <w:rPr>
          <w:spacing w:val="-14"/>
          <w:sz w:val="22"/>
        </w:rPr>
        <w:t> </w:t>
      </w:r>
      <w:r>
        <w:rPr>
          <w:sz w:val="22"/>
        </w:rPr>
        <w:t>vs.</w:t>
      </w:r>
      <w:r>
        <w:rPr>
          <w:spacing w:val="-14"/>
          <w:sz w:val="22"/>
        </w:rPr>
        <w:t> </w:t>
      </w:r>
      <w:r>
        <w:rPr>
          <w:sz w:val="22"/>
        </w:rPr>
        <w:t>trading-success</w:t>
      </w:r>
      <w:r>
        <w:rPr>
          <w:spacing w:val="-14"/>
          <w:sz w:val="22"/>
        </w:rPr>
        <w:t> </w:t>
      </w:r>
      <w:r>
        <w:rPr>
          <w:sz w:val="22"/>
        </w:rPr>
        <w:t>validation</w:t>
      </w:r>
      <w:r>
        <w:rPr>
          <w:spacing w:val="-13"/>
          <w:sz w:val="22"/>
        </w:rPr>
        <w:t> </w:t>
      </w:r>
      <w:r>
        <w:rPr>
          <w:sz w:val="22"/>
        </w:rPr>
        <w:t>frame for social methods</w:t>
      </w:r>
    </w:p>
    <w:p>
      <w:pPr>
        <w:tabs>
          <w:tab w:pos="1685" w:val="left" w:leader="none"/>
        </w:tabs>
        <w:spacing w:line="256" w:lineRule="auto" w:before="6"/>
        <w:ind w:left="1685" w:right="36" w:hanging="1263"/>
        <w:jc w:val="left"/>
        <w:rPr>
          <w:sz w:val="22"/>
        </w:rPr>
      </w:pPr>
      <w:r>
        <w:rPr>
          <w:i/>
        </w:rPr>
        <w:t>RQ4</w:t>
        <w:tab/>
        <w:t>소셜 방식에 대한 이체 및 거래 성공 검증 프레임</w:t>
      </w:r>
    </w:p>
    <w:p>
      <w:pPr>
        <w:tabs>
          <w:tab w:pos="1685" w:val="left" w:leader="none"/>
        </w:tabs>
        <w:spacing w:line="256" w:lineRule="auto" w:before="1"/>
        <w:ind w:left="1685" w:right="0" w:hanging="1263"/>
        <w:jc w:val="left"/>
        <w:rPr>
          <w:sz w:val="22"/>
        </w:rPr>
      </w:pPr>
      <w:r>
        <w:rPr>
          <w:spacing w:val="-4"/>
          <w:sz w:val="22"/>
        </w:rPr>
        <w:t>SRQ1</w:t>
      </w:r>
      <w:r>
        <w:rPr>
          <w:sz w:val="22"/>
        </w:rPr>
        <w:tab/>
        <w:t>What does GF-PR ceiling imply for </w:t>
      </w:r>
      <w:r>
        <w:rPr>
          <w:sz w:val="22"/>
        </w:rPr>
        <w:t>trading-outcome proxy interpretation?</w:t>
      </w:r>
    </w:p>
    <w:p>
      <w:pPr>
        <w:tabs>
          <w:tab w:pos="1685" w:val="left" w:leader="none"/>
        </w:tabs>
        <w:spacing w:line="256" w:lineRule="auto" w:before="1"/>
        <w:ind w:left="1685" w:right="0" w:hanging="1263"/>
        <w:jc w:val="left"/>
        <w:rPr>
          <w:sz w:val="22"/>
        </w:rPr>
      </w:pPr>
      <w:r>
        <w:rPr>
          <w:i/>
        </w:rPr>
        <w:t>SRQ1</w:t>
        <w:tab/>
        <w:t>GF-PR 상한선은 거래 결과 대리 해석에 대해 무엇을 의미합니까?</w:t>
      </w:r>
    </w:p>
    <w:p>
      <w:pPr>
        <w:tabs>
          <w:tab w:pos="1685" w:val="left" w:leader="none"/>
        </w:tabs>
        <w:spacing w:line="256" w:lineRule="auto" w:before="0"/>
        <w:ind w:left="1685" w:right="36" w:hanging="1263"/>
        <w:jc w:val="left"/>
        <w:rPr>
          <w:sz w:val="22"/>
        </w:rPr>
      </w:pPr>
      <w:r>
        <w:rPr>
          <w:spacing w:val="-6"/>
          <w:sz w:val="22"/>
        </w:rPr>
        <w:t>C1</w:t>
      </w:r>
      <w:r>
        <w:rPr>
          <w:sz w:val="22"/>
        </w:rPr>
        <w:tab/>
        <w:t>EndorseRank</w:t>
      </w:r>
      <w:r>
        <w:rPr>
          <w:spacing w:val="38"/>
          <w:sz w:val="22"/>
        </w:rPr>
        <w:t> </w:t>
      </w:r>
      <w:r>
        <w:rPr>
          <w:sz w:val="22"/>
        </w:rPr>
        <w:t>vs.</w:t>
      </w:r>
      <w:r>
        <w:rPr>
          <w:spacing w:val="38"/>
          <w:sz w:val="22"/>
        </w:rPr>
        <w:t> </w:t>
      </w:r>
      <w:r>
        <w:rPr>
          <w:sz w:val="22"/>
        </w:rPr>
        <w:t>AWP</w:t>
      </w:r>
      <w:r>
        <w:rPr>
          <w:spacing w:val="38"/>
          <w:sz w:val="22"/>
        </w:rPr>
        <w:t> </w:t>
      </w:r>
      <w:r>
        <w:rPr>
          <w:sz w:val="22"/>
        </w:rPr>
        <w:t>runtime</w:t>
      </w:r>
      <w:r>
        <w:rPr>
          <w:spacing w:val="38"/>
          <w:sz w:val="22"/>
        </w:rPr>
        <w:t> </w:t>
      </w:r>
      <w:r>
        <w:rPr>
          <w:sz w:val="22"/>
        </w:rPr>
        <w:t>and</w:t>
      </w:r>
      <w:r>
        <w:rPr>
          <w:spacing w:val="38"/>
          <w:sz w:val="22"/>
        </w:rPr>
        <w:t> </w:t>
      </w:r>
      <w:r>
        <w:rPr>
          <w:sz w:val="22"/>
        </w:rPr>
        <w:t>graph </w:t>
      </w:r>
      <w:r>
        <w:rPr>
          <w:spacing w:val="-4"/>
          <w:sz w:val="22"/>
        </w:rPr>
        <w:t>size</w:t>
      </w:r>
    </w:p>
    <w:p>
      <w:pPr>
        <w:tabs>
          <w:tab w:pos="1685" w:val="left" w:leader="none"/>
        </w:tabs>
        <w:spacing w:line="256" w:lineRule="auto" w:before="0"/>
        <w:ind w:left="1685" w:right="36" w:hanging="1263"/>
        <w:jc w:val="left"/>
        <w:rPr>
          <w:sz w:val="22"/>
        </w:rPr>
      </w:pPr>
      <w:r>
        <w:rPr>
          <w:i/>
        </w:rPr>
        <w:t>C1</w:t>
        <w:tab/>
        <w:t>EndorseRank 대 AWP 런타임 및 그래프 크기</w:t>
      </w:r>
    </w:p>
    <w:p>
      <w:pPr>
        <w:tabs>
          <w:tab w:pos="1685" w:val="left" w:leader="none"/>
        </w:tabs>
        <w:spacing w:line="256" w:lineRule="auto" w:before="1"/>
        <w:ind w:left="1685" w:right="36" w:hanging="1263"/>
        <w:jc w:val="left"/>
        <w:rPr>
          <w:sz w:val="22"/>
        </w:rPr>
      </w:pPr>
      <w:r>
        <w:rPr>
          <w:spacing w:val="-6"/>
          <w:sz w:val="22"/>
        </w:rPr>
        <w:t>C2</w:t>
      </w:r>
      <w:r>
        <w:rPr>
          <w:sz w:val="22"/>
        </w:rPr>
        <w:tab/>
        <w:t>Credible</w:t>
      </w:r>
      <w:r>
        <w:rPr>
          <w:spacing w:val="29"/>
          <w:sz w:val="22"/>
        </w:rPr>
        <w:t> </w:t>
      </w:r>
      <w:r>
        <w:rPr>
          <w:sz w:val="22"/>
        </w:rPr>
        <w:t>EndorseRank–AWP</w:t>
      </w:r>
      <w:r>
        <w:rPr>
          <w:spacing w:val="29"/>
          <w:sz w:val="22"/>
        </w:rPr>
        <w:t> </w:t>
      </w:r>
      <w:r>
        <w:rPr>
          <w:sz w:val="22"/>
        </w:rPr>
        <w:t>alignment</w:t>
      </w:r>
      <w:r>
        <w:rPr>
          <w:spacing w:val="29"/>
          <w:sz w:val="22"/>
        </w:rPr>
        <w:t> </w:t>
      </w:r>
      <w:r>
        <w:rPr>
          <w:sz w:val="22"/>
        </w:rPr>
        <w:t>on selected proxies</w:t>
      </w:r>
    </w:p>
    <w:p>
      <w:pPr>
        <w:tabs>
          <w:tab w:pos="1685" w:val="left" w:leader="none"/>
        </w:tabs>
        <w:spacing w:line="256" w:lineRule="auto" w:before="1"/>
        <w:ind w:left="1685" w:right="36" w:hanging="1263"/>
        <w:jc w:val="left"/>
        <w:rPr>
          <w:sz w:val="22"/>
        </w:rPr>
      </w:pPr>
      <w:r>
        <w:rPr>
          <w:i/>
        </w:rPr>
        <w:t>C2</w:t>
        <w:tab/>
        <w:t>선택한 프록시에 대한 신뢰할 수 있는 EndorseRank–AWP 정렬</w:t>
      </w:r>
    </w:p>
    <w:p>
      <w:pPr>
        <w:tabs>
          <w:tab w:pos="1685" w:val="left" w:leader="none"/>
        </w:tabs>
        <w:spacing w:before="1"/>
        <w:ind w:left="423" w:right="0" w:firstLine="0"/>
        <w:jc w:val="left"/>
        <w:rPr>
          <w:sz w:val="22"/>
        </w:rPr>
      </w:pPr>
      <w:r>
        <w:rPr>
          <w:spacing w:val="-5"/>
          <w:sz w:val="22"/>
        </w:rPr>
        <w:t>C3</w:t>
      </w:r>
      <w:r>
        <w:rPr>
          <w:sz w:val="22"/>
        </w:rPr>
        <w:tab/>
        <w:t>Construct-specific</w:t>
      </w:r>
      <w:r>
        <w:rPr>
          <w:spacing w:val="-9"/>
          <w:sz w:val="22"/>
        </w:rPr>
        <w:t> </w:t>
      </w:r>
      <w:r>
        <w:rPr>
          <w:sz w:val="22"/>
        </w:rPr>
        <w:t>winners</w:t>
      </w:r>
      <w:r>
        <w:rPr>
          <w:spacing w:val="-9"/>
          <w:sz w:val="22"/>
        </w:rPr>
        <w:t> </w:t>
      </w:r>
      <w:r>
        <w:rPr>
          <w:sz w:val="22"/>
        </w:rPr>
        <w:t>(EndorseRank</w:t>
      </w:r>
      <w:r>
        <w:rPr>
          <w:spacing w:val="-9"/>
          <w:sz w:val="22"/>
        </w:rPr>
        <w:t> </w:t>
      </w:r>
      <w:r>
        <w:rPr>
          <w:spacing w:val="-5"/>
          <w:sz w:val="22"/>
        </w:rPr>
        <w:t>vs.</w:t>
      </w:r>
    </w:p>
    <w:p>
      <w:pPr>
        <w:tabs>
          <w:tab w:pos="1685" w:val="left" w:leader="none"/>
        </w:tabs>
        <w:spacing w:before="1"/>
        <w:ind w:left="423" w:right="0" w:firstLine="0"/>
        <w:jc w:val="left"/>
        <w:rPr>
          <w:sz w:val="22"/>
        </w:rPr>
      </w:pPr>
      <w:r>
        <w:rPr>
          <w:i/>
        </w:rPr>
        <w:t>C3</w:t>
        <w:tab/>
        <w:t>구조물별 승자(EndorseRank 대</w:t>
      </w:r>
    </w:p>
    <w:p>
      <w:pPr>
        <w:spacing w:before="18"/>
        <w:ind w:left="1678" w:right="0" w:firstLine="0"/>
        <w:jc w:val="left"/>
        <w:rPr>
          <w:sz w:val="22"/>
        </w:rPr>
      </w:pPr>
      <w:r>
        <w:rPr>
          <w:spacing w:val="-4"/>
          <w:sz w:val="22"/>
        </w:rPr>
        <w:t>AWP)</w:t>
      </w:r>
    </w:p>
    <w:p>
      <w:pPr>
        <w:tabs>
          <w:tab w:pos="1685" w:val="left" w:leader="none"/>
        </w:tabs>
        <w:spacing w:line="256" w:lineRule="auto" w:before="18"/>
        <w:ind w:left="1685" w:right="1" w:hanging="1263"/>
        <w:jc w:val="left"/>
        <w:rPr>
          <w:sz w:val="22"/>
        </w:rPr>
      </w:pPr>
      <w:r>
        <w:rPr>
          <w:spacing w:val="-6"/>
          <w:sz w:val="22"/>
        </w:rPr>
        <w:t>C4</w:t>
      </w:r>
      <w:r>
        <w:rPr>
          <w:sz w:val="22"/>
        </w:rPr>
        <w:tab/>
      </w:r>
      <w:r>
        <w:rPr>
          <w:spacing w:val="-2"/>
          <w:sz w:val="22"/>
        </w:rPr>
        <w:t>Efficiency–alignment</w:t>
      </w:r>
      <w:r>
        <w:rPr>
          <w:spacing w:val="-9"/>
          <w:sz w:val="22"/>
        </w:rPr>
        <w:t> </w:t>
      </w:r>
      <w:r>
        <w:rPr>
          <w:spacing w:val="-2"/>
          <w:sz w:val="22"/>
        </w:rPr>
        <w:t>trade-off</w:t>
      </w:r>
      <w:r>
        <w:rPr>
          <w:spacing w:val="-9"/>
          <w:sz w:val="22"/>
        </w:rPr>
        <w:t> </w:t>
      </w:r>
      <w:r>
        <w:rPr>
          <w:spacing w:val="-2"/>
          <w:sz w:val="22"/>
        </w:rPr>
        <w:t>for</w:t>
      </w:r>
      <w:r>
        <w:rPr>
          <w:spacing w:val="-9"/>
          <w:sz w:val="22"/>
        </w:rPr>
        <w:t> </w:t>
      </w:r>
      <w:r>
        <w:rPr>
          <w:spacing w:val="-2"/>
          <w:sz w:val="22"/>
        </w:rPr>
        <w:t>EndorseR-</w:t>
      </w:r>
      <w:r>
        <w:rPr>
          <w:spacing w:val="-4"/>
          <w:sz w:val="22"/>
        </w:rPr>
        <w:t>ank</w:t>
      </w:r>
    </w:p>
    <w:p>
      <w:pPr>
        <w:tabs>
          <w:tab w:pos="1685" w:val="left" w:leader="none"/>
        </w:tabs>
        <w:spacing w:line="256" w:lineRule="auto" w:before="18"/>
        <w:ind w:left="1685" w:right="1" w:hanging="1263"/>
        <w:jc w:val="left"/>
        <w:rPr>
          <w:sz w:val="22"/>
        </w:rPr>
      </w:pPr>
      <w:r>
        <w:rPr>
          <w:i/>
        </w:rPr>
        <w:t>C4</w:t>
        <w:tab/>
        <w:t>EndorseR-ank의 효율성-정렬 절충</w:t>
      </w:r>
    </w:p>
    <w:p>
      <w:pPr>
        <w:tabs>
          <w:tab w:pos="1685" w:val="left" w:leader="none"/>
        </w:tabs>
        <w:spacing w:line="256" w:lineRule="auto" w:before="0"/>
        <w:ind w:left="1685" w:right="1" w:hanging="1263"/>
        <w:jc w:val="left"/>
        <w:rPr>
          <w:sz w:val="22"/>
        </w:rPr>
      </w:pPr>
      <w:r>
        <w:rPr>
          <w:spacing w:val="-4"/>
          <w:sz w:val="22"/>
        </w:rPr>
        <w:t>SC1</w:t>
      </w:r>
      <w:r>
        <w:rPr>
          <w:sz w:val="22"/>
        </w:rPr>
        <w:tab/>
        <w:t>Supplementary</w:t>
      </w:r>
      <w:r>
        <w:rPr>
          <w:spacing w:val="7"/>
          <w:sz w:val="22"/>
        </w:rPr>
        <w:t> </w:t>
      </w:r>
      <w:r>
        <w:rPr>
          <w:sz w:val="22"/>
        </w:rPr>
        <w:t>GF-PR</w:t>
      </w:r>
      <w:r>
        <w:rPr>
          <w:spacing w:val="7"/>
          <w:sz w:val="22"/>
        </w:rPr>
        <w:t> </w:t>
      </w:r>
      <w:r>
        <w:rPr>
          <w:sz w:val="22"/>
        </w:rPr>
        <w:t>construct-overlap</w:t>
      </w:r>
      <w:r>
        <w:rPr>
          <w:spacing w:val="8"/>
          <w:sz w:val="22"/>
        </w:rPr>
        <w:t> </w:t>
      </w:r>
      <w:r>
        <w:rPr>
          <w:sz w:val="22"/>
        </w:rPr>
        <w:t>di-</w:t>
      </w:r>
      <w:r>
        <w:rPr>
          <w:spacing w:val="-2"/>
          <w:sz w:val="22"/>
        </w:rPr>
        <w:t>agnostic</w:t>
      </w:r>
    </w:p>
    <w:p>
      <w:pPr>
        <w:tabs>
          <w:tab w:pos="1685" w:val="left" w:leader="none"/>
        </w:tabs>
        <w:spacing w:line="256" w:lineRule="auto" w:before="0"/>
        <w:ind w:left="1685" w:right="1" w:hanging="1263"/>
        <w:jc w:val="left"/>
        <w:rPr>
          <w:sz w:val="22"/>
        </w:rPr>
      </w:pPr>
      <w:r>
        <w:rPr>
          <w:i/>
        </w:rPr>
        <w:t>SC1</w:t>
        <w:tab/>
        <w:t>보충적인 GF-PR 구조-중복 진단</w:t>
      </w:r>
    </w:p>
    <w:p>
      <w:pPr>
        <w:spacing w:before="6"/>
        <w:ind w:left="61" w:right="0" w:firstLine="0"/>
        <w:jc w:val="left"/>
        <w:rPr>
          <w:sz w:val="22"/>
        </w:rPr>
      </w:pPr>
      <w:r>
        <w:rPr/>
        <w:br w:type="column"/>
      </w:r>
      <w:r>
        <w:rPr>
          <w:spacing w:val="-4"/>
          <w:sz w:val="22"/>
        </w:rPr>
        <w:t>Table </w:t>
      </w:r>
      <w:hyperlink w:history="true" w:anchor="_bookmark101">
        <w:r>
          <w:rPr>
            <w:spacing w:val="-5"/>
            <w:sz w:val="22"/>
          </w:rPr>
          <w:t>4.7</w:t>
        </w:r>
      </w:hyperlink>
    </w:p>
    <w:p>
      <w:pPr>
        <w:spacing w:before="6"/>
        <w:ind w:left="61" w:right="0" w:firstLine="0"/>
        <w:jc w:val="left"/>
        <w:rPr>
          <w:sz w:val="22"/>
        </w:rPr>
      </w:pPr>
      <w:r>
        <w:rPr>
          <w:i/>
        </w:rPr>
        <w:t>표 4.7</w:t>
      </w:r>
    </w:p>
    <w:p>
      <w:pPr>
        <w:pStyle w:val="BodyText"/>
        <w:spacing w:before="36"/>
        <w:rPr>
          <w:sz w:val="22"/>
        </w:rPr>
      </w:pPr>
    </w:p>
    <w:p>
      <w:pPr>
        <w:spacing w:line="513" w:lineRule="auto" w:before="0"/>
        <w:ind w:left="61" w:right="2987" w:firstLine="0"/>
        <w:jc w:val="left"/>
        <w:rPr>
          <w:sz w:val="22"/>
        </w:rPr>
      </w:pPr>
      <w:r>
        <w:rPr>
          <w:sz w:val="22"/>
        </w:rPr>
        <w:t>§</w:t>
      </w:r>
      <w:hyperlink w:history="true" w:anchor="_bookmark112">
        <w:r>
          <w:rPr>
            <w:sz w:val="22"/>
          </w:rPr>
          <w:t>4.7</w:t>
        </w:r>
      </w:hyperlink>
      <w:r>
        <w:rPr>
          <w:sz w:val="22"/>
        </w:rPr>
        <w:t>;</w:t>
      </w:r>
      <w:r>
        <w:rPr>
          <w:spacing w:val="-14"/>
          <w:sz w:val="22"/>
        </w:rPr>
        <w:t> </w:t>
      </w:r>
      <w:r>
        <w:rPr>
          <w:sz w:val="22"/>
        </w:rPr>
        <w:t>Claim</w:t>
      </w:r>
      <w:r>
        <w:rPr>
          <w:spacing w:val="-14"/>
          <w:sz w:val="22"/>
        </w:rPr>
        <w:t> </w:t>
      </w:r>
      <w:r>
        <w:rPr>
          <w:sz w:val="22"/>
        </w:rPr>
        <w:t>SC1 Table </w:t>
      </w:r>
      <w:hyperlink w:history="true" w:anchor="_bookmark91">
        <w:r>
          <w:rPr>
            <w:sz w:val="22"/>
          </w:rPr>
          <w:t>4.2</w:t>
        </w:r>
      </w:hyperlink>
    </w:p>
    <w:p>
      <w:pPr>
        <w:spacing w:line="513" w:lineRule="auto" w:before="0"/>
        <w:ind w:left="61" w:right="2987" w:firstLine="0"/>
        <w:jc w:val="left"/>
        <w:rPr>
          <w:sz w:val="22"/>
        </w:rPr>
      </w:pPr>
      <w:r>
        <w:rPr>
          <w:i/>
        </w:rPr>
        <w:t>§4.7, 청구 SC1 표 4.2</w:t>
      </w:r>
    </w:p>
    <w:p>
      <w:pPr>
        <w:spacing w:before="1"/>
        <w:ind w:left="61" w:right="0" w:firstLine="0"/>
        <w:jc w:val="left"/>
        <w:rPr>
          <w:sz w:val="22"/>
        </w:rPr>
      </w:pPr>
      <w:r>
        <w:rPr>
          <w:spacing w:val="-2"/>
          <w:sz w:val="22"/>
        </w:rPr>
        <w:t>Tables</w:t>
      </w:r>
      <w:r>
        <w:rPr>
          <w:spacing w:val="-11"/>
          <w:sz w:val="22"/>
        </w:rPr>
        <w:t> </w:t>
      </w:r>
      <w:hyperlink w:history="true" w:anchor="_bookmark104">
        <w:r>
          <w:rPr>
            <w:spacing w:val="-2"/>
            <w:sz w:val="22"/>
          </w:rPr>
          <w:t>4.8</w:t>
        </w:r>
      </w:hyperlink>
      <w:r>
        <w:rPr>
          <w:spacing w:val="-2"/>
          <w:sz w:val="22"/>
        </w:rPr>
        <w:t>–</w:t>
      </w:r>
      <w:hyperlink w:history="true" w:anchor="_bookmark108">
        <w:r>
          <w:rPr>
            <w:spacing w:val="-4"/>
            <w:sz w:val="22"/>
          </w:rPr>
          <w:t>4.12</w:t>
        </w:r>
      </w:hyperlink>
    </w:p>
    <w:p>
      <w:pPr>
        <w:spacing w:before="1"/>
        <w:ind w:left="61" w:right="0" w:firstLine="0"/>
        <w:jc w:val="left"/>
        <w:rPr>
          <w:sz w:val="22"/>
        </w:rPr>
      </w:pPr>
      <w:r>
        <w:rPr>
          <w:i/>
        </w:rPr>
        <w:t>표 4.8–4.12</w:t>
      </w:r>
    </w:p>
    <w:p>
      <w:pPr>
        <w:pStyle w:val="BodyText"/>
        <w:spacing w:before="36"/>
        <w:rPr>
          <w:sz w:val="22"/>
        </w:rPr>
      </w:pPr>
    </w:p>
    <w:p>
      <w:pPr>
        <w:spacing w:before="0"/>
        <w:ind w:left="61" w:right="0" w:firstLine="0"/>
        <w:jc w:val="left"/>
        <w:rPr>
          <w:sz w:val="22"/>
        </w:rPr>
      </w:pPr>
      <w:r>
        <w:rPr>
          <w:spacing w:val="-4"/>
          <w:sz w:val="22"/>
        </w:rPr>
        <w:t>Table </w:t>
      </w:r>
      <w:hyperlink w:history="true" w:anchor="_bookmark101">
        <w:r>
          <w:rPr>
            <w:spacing w:val="-5"/>
            <w:sz w:val="22"/>
          </w:rPr>
          <w:t>4.7</w:t>
        </w:r>
      </w:hyperlink>
    </w:p>
    <w:p>
      <w:pPr>
        <w:spacing w:before="0"/>
        <w:ind w:left="61" w:right="0" w:firstLine="0"/>
        <w:jc w:val="left"/>
        <w:rPr>
          <w:sz w:val="22"/>
        </w:rPr>
      </w:pPr>
      <w:r>
        <w:rPr>
          <w:i/>
        </w:rPr>
        <w:t>표 4.7</w:t>
      </w:r>
    </w:p>
    <w:p>
      <w:pPr>
        <w:pStyle w:val="BodyText"/>
        <w:spacing w:before="36"/>
        <w:rPr>
          <w:sz w:val="22"/>
        </w:rPr>
      </w:pPr>
    </w:p>
    <w:p>
      <w:pPr>
        <w:spacing w:before="0"/>
        <w:ind w:left="61" w:right="0" w:firstLine="0"/>
        <w:jc w:val="left"/>
        <w:rPr>
          <w:sz w:val="22"/>
        </w:rPr>
      </w:pPr>
      <w:r>
        <w:rPr>
          <w:spacing w:val="-2"/>
          <w:sz w:val="22"/>
        </w:rPr>
        <w:t>Tables</w:t>
      </w:r>
      <w:r>
        <w:rPr>
          <w:spacing w:val="-11"/>
          <w:sz w:val="22"/>
        </w:rPr>
        <w:t> </w:t>
      </w:r>
      <w:hyperlink w:history="true" w:anchor="_bookmark91">
        <w:r>
          <w:rPr>
            <w:spacing w:val="-2"/>
            <w:sz w:val="22"/>
          </w:rPr>
          <w:t>4.2</w:t>
        </w:r>
      </w:hyperlink>
      <w:r>
        <w:rPr>
          <w:spacing w:val="-2"/>
          <w:sz w:val="22"/>
        </w:rPr>
        <w:t>–</w:t>
      </w:r>
      <w:hyperlink w:history="true" w:anchor="_bookmark93">
        <w:r>
          <w:rPr>
            <w:spacing w:val="-5"/>
            <w:sz w:val="22"/>
          </w:rPr>
          <w:t>4.3</w:t>
        </w:r>
      </w:hyperlink>
    </w:p>
    <w:p>
      <w:pPr>
        <w:spacing w:before="0"/>
        <w:ind w:left="61" w:right="0" w:firstLine="0"/>
        <w:jc w:val="left"/>
        <w:rPr>
          <w:sz w:val="22"/>
        </w:rPr>
      </w:pPr>
      <w:r>
        <w:rPr>
          <w:i/>
        </w:rPr>
        <w:t>표 4.2~4.3</w:t>
      </w:r>
    </w:p>
    <w:p>
      <w:pPr>
        <w:pStyle w:val="BodyText"/>
        <w:spacing w:before="36"/>
        <w:rPr>
          <w:sz w:val="22"/>
        </w:rPr>
      </w:pPr>
    </w:p>
    <w:p>
      <w:pPr>
        <w:spacing w:before="0"/>
        <w:ind w:left="61" w:right="0" w:firstLine="0"/>
        <w:jc w:val="left"/>
        <w:rPr>
          <w:sz w:val="22"/>
        </w:rPr>
      </w:pPr>
      <w:r>
        <w:rPr>
          <w:spacing w:val="-4"/>
          <w:sz w:val="22"/>
        </w:rPr>
        <w:t>§</w:t>
      </w:r>
      <w:hyperlink w:history="true" w:anchor="_bookmark112">
        <w:r>
          <w:rPr>
            <w:spacing w:val="-4"/>
            <w:sz w:val="22"/>
          </w:rPr>
          <w:t>4.7</w:t>
        </w:r>
      </w:hyperlink>
    </w:p>
    <w:p>
      <w:pPr>
        <w:spacing w:after="0"/>
        <w:jc w:val="left"/>
        <w:rPr>
          <w:sz w:val="22"/>
        </w:rPr>
        <w:sectPr>
          <w:type w:val="continuous"/>
          <w:pgSz w:w="11910" w:h="16840"/>
          <w:pgMar w:header="0" w:footer="2115" w:top="1920" w:bottom="280" w:left="992" w:right="708"/>
          <w:cols w:num="2" w:equalWidth="0">
            <w:col w:w="5655" w:space="40"/>
            <w:col w:w="4515"/>
          </w:cols>
        </w:sectPr>
      </w:pPr>
    </w:p>
    <w:p>
      <w:pPr>
        <w:pStyle w:val="BodyText"/>
        <w:rPr>
          <w:sz w:val="6"/>
        </w:rPr>
      </w:pPr>
    </w:p>
    <w:p>
      <w:pPr>
        <w:spacing w:line="20" w:lineRule="exact"/>
        <w:ind w:left="353" w:right="0" w:firstLine="0"/>
        <w:rPr>
          <w:sz w:val="2"/>
        </w:rPr>
      </w:pPr>
      <w:r>
        <w:rPr>
          <w:sz w:val="2"/>
        </w:rPr>
        <mc:AlternateContent>
          <mc:Choice Requires="wps">
            <w:drawing>
              <wp:inline distT="0" distB="0" distL="0" distR="0">
                <wp:extent cx="5850890" cy="12700"/>
                <wp:effectExtent l="9525" t="0" r="0" b="6350"/>
                <wp:docPr id="19" name="Group 19"/>
                <wp:cNvGraphicFramePr>
                  <a:graphicFrameLocks/>
                </wp:cNvGraphicFramePr>
                <a:graphic>
                  <a:graphicData uri="http://schemas.microsoft.com/office/word/2010/wordprocessingGroup">
                    <wpg:wgp>
                      <wpg:cNvPr id="19" name="Group 19"/>
                      <wpg:cNvGrpSpPr/>
                      <wpg:grpSpPr>
                        <a:xfrm>
                          <a:off x="0" y="0"/>
                          <a:ext cx="5850890" cy="12700"/>
                          <a:chExt cx="5850890" cy="12700"/>
                        </a:xfrm>
                      </wpg:grpSpPr>
                      <wps:wsp>
                        <wps:cNvPr id="20" name="Graphic 20"/>
                        <wps:cNvSpPr/>
                        <wps:spPr>
                          <a:xfrm>
                            <a:off x="0" y="6073"/>
                            <a:ext cx="5850890" cy="1270"/>
                          </a:xfrm>
                          <a:custGeom>
                            <a:avLst/>
                            <a:gdLst/>
                            <a:ahLst/>
                            <a:cxnLst/>
                            <a:rect l="l" t="t" r="r" b="b"/>
                            <a:pathLst>
                              <a:path w="5850890" h="0">
                                <a:moveTo>
                                  <a:pt x="0" y="0"/>
                                </a:moveTo>
                                <a:lnTo>
                                  <a:pt x="5850661"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7pt;height:1pt;mso-position-horizontal-relative:char;mso-position-vertical-relative:line" id="docshapegroup14" coordorigin="0,0" coordsize="9214,20">
                <v:line style="position:absolute" from="0,10" to="9214,10" stroked="true" strokeweight=".9564pt" strokecolor="#000000">
                  <v:stroke dashstyle="solid"/>
                </v:line>
              </v:group>
            </w:pict>
          </mc:Fallback>
        </mc:AlternateContent>
      </w:r>
      <w:r>
        <w:rPr>
          <w:sz w:val="2"/>
        </w:rPr>
      </w:r>
    </w:p>
    <w:p>
      <w:pPr>
        <w:spacing w:after="0" w:line="20" w:lineRule="exact"/>
        <w:rPr>
          <w:sz w:val="2"/>
        </w:rPr>
        <w:sectPr>
          <w:type w:val="continuous"/>
          <w:pgSz w:w="11910" w:h="16840"/>
          <w:pgMar w:header="0" w:footer="2115" w:top="1920" w:bottom="280" w:left="992" w:right="708"/>
        </w:sectPr>
      </w:pPr>
    </w:p>
    <w:p>
      <w:pPr>
        <w:pStyle w:val="BodyText"/>
        <w:spacing w:line="393" w:lineRule="auto" w:before="72"/>
        <w:ind w:left="856" w:right="564" w:hanging="670"/>
        <w:jc w:val="both"/>
      </w:pPr>
      <w:r>
        <w:rPr>
          <w:b/>
        </w:rPr>
        <w:t>RQ2.</w:t>
      </w:r>
      <w:r>
        <w:rPr>
          <w:b/>
          <w:spacing w:val="40"/>
        </w:rPr>
        <w:t> </w:t>
      </w:r>
      <w:r>
        <w:rPr/>
        <w:t>Between</w:t>
      </w:r>
      <w:r>
        <w:rPr>
          <w:spacing w:val="-13"/>
        </w:rPr>
        <w:t> </w:t>
      </w:r>
      <w:r>
        <w:rPr/>
        <w:t>EndorseRank</w:t>
      </w:r>
      <w:r>
        <w:rPr>
          <w:spacing w:val="-13"/>
        </w:rPr>
        <w:t> </w:t>
      </w:r>
      <w:r>
        <w:rPr/>
        <w:t>and</w:t>
      </w:r>
      <w:r>
        <w:rPr>
          <w:spacing w:val="-13"/>
        </w:rPr>
        <w:t> </w:t>
      </w:r>
      <w:r>
        <w:rPr/>
        <w:t>AWP,</w:t>
      </w:r>
      <w:r>
        <w:rPr>
          <w:spacing w:val="-13"/>
        </w:rPr>
        <w:t> </w:t>
      </w:r>
      <w:r>
        <w:rPr/>
        <w:t>which</w:t>
      </w:r>
      <w:r>
        <w:rPr>
          <w:spacing w:val="-13"/>
        </w:rPr>
        <w:t> </w:t>
      </w:r>
      <w:r>
        <w:rPr/>
        <w:t>social</w:t>
      </w:r>
      <w:r>
        <w:rPr>
          <w:spacing w:val="-13"/>
        </w:rPr>
        <w:t> </w:t>
      </w:r>
      <w:r>
        <w:rPr/>
        <w:t>method</w:t>
      </w:r>
      <w:r>
        <w:rPr>
          <w:spacing w:val="-13"/>
        </w:rPr>
        <w:t> </w:t>
      </w:r>
      <w:r>
        <w:rPr/>
        <w:t>aligns</w:t>
      </w:r>
      <w:r>
        <w:rPr>
          <w:spacing w:val="-13"/>
        </w:rPr>
        <w:t> </w:t>
      </w:r>
      <w:r>
        <w:rPr/>
        <w:t>more</w:t>
      </w:r>
      <w:r>
        <w:rPr>
          <w:spacing w:val="-13"/>
        </w:rPr>
        <w:t> </w:t>
      </w:r>
      <w:r>
        <w:rPr/>
        <w:t>strongly</w:t>
      </w:r>
      <w:r>
        <w:rPr>
          <w:spacing w:val="-13"/>
        </w:rPr>
        <w:t> </w:t>
      </w:r>
      <w:r>
        <w:rPr/>
        <w:t>with</w:t>
      </w:r>
      <w:r>
        <w:rPr>
          <w:spacing w:val="-13"/>
        </w:rPr>
        <w:t> </w:t>
      </w:r>
      <w:r>
        <w:rPr/>
        <w:t>each</w:t>
      </w:r>
      <w:r>
        <w:rPr>
          <w:spacing w:val="-13"/>
        </w:rPr>
        <w:t> </w:t>
      </w:r>
      <w:r>
        <w:rPr/>
        <w:t>of</w:t>
      </w:r>
      <w:r>
        <w:rPr>
          <w:spacing w:val="-13"/>
        </w:rPr>
        <w:t> </w:t>
      </w:r>
      <w:r>
        <w:rPr/>
        <w:t>the five proxy families (Spearman’s </w:t>
      </w:r>
      <w:r>
        <w:rPr>
          <w:rFonts w:ascii="Calibri" w:hAnsi="Calibri"/>
          <w:i/>
        </w:rPr>
        <w:t>ρ</w:t>
      </w:r>
      <w:r>
        <w:rPr/>
        <w:t>, Kendall’s </w:t>
      </w:r>
      <w:r>
        <w:rPr>
          <w:rFonts w:ascii="Calibri" w:hAnsi="Calibri"/>
          <w:i/>
        </w:rPr>
        <w:t>τ</w:t>
      </w:r>
      <w:r>
        <w:rPr>
          <w:rFonts w:ascii="Calibri" w:hAnsi="Calibri"/>
          <w:i/>
          <w:spacing w:val="-20"/>
        </w:rPr>
        <w:t> </w:t>
      </w:r>
      <w:r>
        <w:rPr/>
        <w:t>)?</w:t>
      </w:r>
    </w:p>
    <w:p>
      <w:pPr>
        <w:pStyle w:val="BodyText"/>
        <w:spacing w:line="393" w:lineRule="auto" w:before="72"/>
        <w:ind w:left="856" w:right="564" w:hanging="670"/>
        <w:jc w:val="both"/>
      </w:pPr>
      <w:r>
        <w:rPr>
          <w:i/>
        </w:rPr>
        <w:t>RQ2. EndorseRank와 AWP 사이에서 어떤 소셜 방식이 5개의 프록시 계열(Spearman의 ρ, Kendall의 τ) 각각과 더 강력하게 일치합니까?</w:t>
      </w:r>
    </w:p>
    <w:p>
      <w:pPr>
        <w:pStyle w:val="BodyText"/>
        <w:spacing w:line="396" w:lineRule="auto" w:before="17"/>
        <w:ind w:left="856" w:right="523" w:hanging="670"/>
        <w:jc w:val="both"/>
      </w:pPr>
      <w:r>
        <w:rPr>
          <w:b/>
        </w:rPr>
        <w:t>RQ3.</w:t>
      </w:r>
      <w:r>
        <w:rPr>
          <w:b/>
          <w:spacing w:val="54"/>
        </w:rPr>
        <w:t> </w:t>
      </w:r>
      <w:r>
        <w:rPr/>
        <w:t>Is</w:t>
      </w:r>
      <w:r>
        <w:rPr>
          <w:spacing w:val="-15"/>
        </w:rPr>
        <w:t> </w:t>
      </w:r>
      <w:r>
        <w:rPr/>
        <w:t>EndorseRank</w:t>
      </w:r>
      <w:r>
        <w:rPr>
          <w:spacing w:val="-15"/>
        </w:rPr>
        <w:t> </w:t>
      </w:r>
      <w:r>
        <w:rPr/>
        <w:t>computationally</w:t>
      </w:r>
      <w:r>
        <w:rPr>
          <w:spacing w:val="-15"/>
        </w:rPr>
        <w:t> </w:t>
      </w:r>
      <w:r>
        <w:rPr/>
        <w:t>more</w:t>
      </w:r>
      <w:r>
        <w:rPr>
          <w:spacing w:val="-15"/>
        </w:rPr>
        <w:t> </w:t>
      </w:r>
      <w:r>
        <w:rPr/>
        <w:t>efficient</w:t>
      </w:r>
      <w:r>
        <w:rPr>
          <w:spacing w:val="-15"/>
        </w:rPr>
        <w:t> </w:t>
      </w:r>
      <w:r>
        <w:rPr/>
        <w:t>than</w:t>
      </w:r>
      <w:r>
        <w:rPr>
          <w:spacing w:val="-15"/>
        </w:rPr>
        <w:t> </w:t>
      </w:r>
      <w:r>
        <w:rPr/>
        <w:t>AWP</w:t>
      </w:r>
      <w:r>
        <w:rPr>
          <w:spacing w:val="-15"/>
        </w:rPr>
        <w:t> </w:t>
      </w:r>
      <w:r>
        <w:rPr/>
        <w:t>on</w:t>
      </w:r>
      <w:r>
        <w:rPr>
          <w:spacing w:val="-15"/>
        </w:rPr>
        <w:t> </w:t>
      </w:r>
      <w:r>
        <w:rPr/>
        <w:t>the</w:t>
      </w:r>
      <w:r>
        <w:rPr>
          <w:spacing w:val="-15"/>
        </w:rPr>
        <w:t> </w:t>
      </w:r>
      <w:r>
        <w:rPr/>
        <w:t>same</w:t>
      </w:r>
      <w:r>
        <w:rPr>
          <w:spacing w:val="-15"/>
        </w:rPr>
        <w:t> </w:t>
      </w:r>
      <w:r>
        <w:rPr/>
        <w:t>matched</w:t>
      </w:r>
      <w:r>
        <w:rPr>
          <w:spacing w:val="-15"/>
        </w:rPr>
        <w:t> </w:t>
      </w:r>
      <w:r>
        <w:rPr/>
        <w:t>sample</w:t>
      </w:r>
      <w:r>
        <w:rPr>
          <w:spacing w:val="-15"/>
        </w:rPr>
        <w:t> </w:t>
      </w:r>
      <w:r>
        <w:rPr/>
        <w:t>(run-time, memory, iterations)?</w:t>
      </w:r>
    </w:p>
    <w:p>
      <w:pPr>
        <w:pStyle w:val="BodyText"/>
        <w:spacing w:line="396" w:lineRule="auto" w:before="17"/>
        <w:ind w:left="856" w:right="523" w:hanging="670"/>
        <w:jc w:val="both"/>
      </w:pPr>
      <w:r>
        <w:rPr>
          <w:i/>
        </w:rPr>
        <w:t>RQ3. 동일한 일치 샘플(런타임, 메모리, 반복)에서 EndorseRank가 AWP보다 계산적으로 더 효율적인가요?</w:t>
      </w:r>
    </w:p>
    <w:p>
      <w:pPr>
        <w:pStyle w:val="BodyText"/>
        <w:spacing w:line="396" w:lineRule="auto" w:before="38"/>
        <w:ind w:left="847" w:right="556" w:hanging="661"/>
        <w:jc w:val="both"/>
      </w:pPr>
      <w:r>
        <w:rPr>
          <w:b/>
        </w:rPr>
        <w:t>RQ4.</w:t>
      </w:r>
      <w:r>
        <w:rPr>
          <w:b/>
          <w:spacing w:val="62"/>
        </w:rPr>
        <w:t> </w:t>
      </w:r>
      <w:r>
        <w:rPr/>
        <w:t>For</w:t>
      </w:r>
      <w:r>
        <w:rPr>
          <w:spacing w:val="-12"/>
        </w:rPr>
        <w:t> </w:t>
      </w:r>
      <w:r>
        <w:rPr/>
        <w:t>social</w:t>
      </w:r>
      <w:r>
        <w:rPr>
          <w:spacing w:val="-12"/>
        </w:rPr>
        <w:t> </w:t>
      </w:r>
      <w:r>
        <w:rPr/>
        <w:t>reputation</w:t>
      </w:r>
      <w:r>
        <w:rPr>
          <w:spacing w:val="-12"/>
        </w:rPr>
        <w:t> </w:t>
      </w:r>
      <w:r>
        <w:rPr/>
        <w:t>methods,</w:t>
      </w:r>
      <w:r>
        <w:rPr>
          <w:spacing w:val="-10"/>
        </w:rPr>
        <w:t> </w:t>
      </w:r>
      <w:r>
        <w:rPr/>
        <w:t>which</w:t>
      </w:r>
      <w:r>
        <w:rPr>
          <w:spacing w:val="-12"/>
        </w:rPr>
        <w:t> </w:t>
      </w:r>
      <w:r>
        <w:rPr/>
        <w:t>validation</w:t>
      </w:r>
      <w:r>
        <w:rPr>
          <w:spacing w:val="-12"/>
        </w:rPr>
        <w:t> </w:t>
      </w:r>
      <w:r>
        <w:rPr/>
        <w:t>frame</w:t>
      </w:r>
      <w:r>
        <w:rPr>
          <w:spacing w:val="-12"/>
        </w:rPr>
        <w:t> </w:t>
      </w:r>
      <w:r>
        <w:rPr/>
        <w:t>yields</w:t>
      </w:r>
      <w:r>
        <w:rPr>
          <w:spacing w:val="-12"/>
        </w:rPr>
        <w:t> </w:t>
      </w:r>
      <w:r>
        <w:rPr/>
        <w:t>stronger</w:t>
      </w:r>
      <w:r>
        <w:rPr>
          <w:spacing w:val="-12"/>
        </w:rPr>
        <w:t> </w:t>
      </w:r>
      <w:r>
        <w:rPr/>
        <w:t>rank</w:t>
      </w:r>
      <w:r>
        <w:rPr>
          <w:spacing w:val="-12"/>
        </w:rPr>
        <w:t> </w:t>
      </w:r>
      <w:r>
        <w:rPr/>
        <w:t>alignment</w:t>
      </w:r>
      <w:r>
        <w:rPr>
          <w:spacing w:val="-12"/>
        </w:rPr>
        <w:t> </w:t>
      </w:r>
      <w:r>
        <w:rPr/>
        <w:t>on</w:t>
      </w:r>
      <w:r>
        <w:rPr>
          <w:spacing w:val="-12"/>
        </w:rPr>
        <w:t> </w:t>
      </w:r>
      <w:r>
        <w:rPr/>
        <w:t>this chain: Do</w:t>
      </w:r>
      <w:r>
        <w:rPr>
          <w:spacing w:val="-5"/>
        </w:rPr>
        <w:t> </w:t>
      </w:r>
      <w:r>
        <w:rPr/>
        <w:t>et</w:t>
      </w:r>
      <w:r>
        <w:rPr>
          <w:spacing w:val="-5"/>
        </w:rPr>
        <w:t> </w:t>
      </w:r>
      <w:r>
        <w:rPr/>
        <w:t>al.</w:t>
      </w:r>
      <w:r>
        <w:rPr>
          <w:spacing w:val="-5"/>
        </w:rPr>
        <w:t> </w:t>
      </w:r>
      <w:r>
        <w:rPr/>
        <w:t>transfer</w:t>
      </w:r>
      <w:r>
        <w:rPr>
          <w:spacing w:val="-5"/>
        </w:rPr>
        <w:t> </w:t>
      </w:r>
      <w:r>
        <w:rPr/>
        <w:t>proxies</w:t>
      </w:r>
      <w:r>
        <w:rPr>
          <w:spacing w:val="-5"/>
        </w:rPr>
        <w:t> </w:t>
      </w:r>
      <w:r>
        <w:rPr/>
        <w:t>(in-degree/in-value)</w:t>
      </w:r>
      <w:r>
        <w:rPr>
          <w:spacing w:val="-5"/>
        </w:rPr>
        <w:t> </w:t>
      </w:r>
      <w:r>
        <w:rPr/>
        <w:t>or</w:t>
      </w:r>
      <w:r>
        <w:rPr>
          <w:spacing w:val="-5"/>
        </w:rPr>
        <w:t> </w:t>
      </w:r>
      <w:r>
        <w:rPr/>
        <w:t>trading-success</w:t>
      </w:r>
      <w:r>
        <w:rPr>
          <w:spacing w:val="-5"/>
        </w:rPr>
        <w:t> </w:t>
      </w:r>
      <w:r>
        <w:rPr/>
        <w:t>proxies</w:t>
      </w:r>
      <w:r>
        <w:rPr>
          <w:spacing w:val="-5"/>
        </w:rPr>
        <w:t> </w:t>
      </w:r>
      <w:r>
        <w:rPr/>
        <w:t>(from</w:t>
      </w:r>
      <w:r>
        <w:rPr>
          <w:spacing w:val="-5"/>
        </w:rPr>
        <w:t> </w:t>
      </w:r>
      <w:r>
        <w:rPr/>
        <w:t>GMX V2 perpetual closes)?</w:t>
      </w:r>
    </w:p>
    <w:p>
      <w:pPr>
        <w:pStyle w:val="BodyText"/>
        <w:spacing w:line="396" w:lineRule="auto" w:before="38"/>
        <w:ind w:left="847" w:right="556" w:hanging="661"/>
        <w:jc w:val="both"/>
      </w:pPr>
      <w:r>
        <w:rPr>
          <w:i/>
        </w:rPr>
        <w:t>RQ4. 사회적 평판 방법의 경우 검증 프레임이 이 체인에서 더 강력한 순위 정렬을 생성합니다: Do et al. 이체 프록시(정도/가치) 또는 거래 성공 프록시(GMX V2 영구 청산부터)?</w:t>
      </w:r>
    </w:p>
    <w:p>
      <w:pPr>
        <w:pStyle w:val="BodyText"/>
        <w:spacing w:line="396" w:lineRule="auto" w:before="40"/>
        <w:ind w:left="856" w:right="524" w:hanging="803"/>
        <w:jc w:val="both"/>
      </w:pPr>
      <w:r>
        <w:rPr>
          <w:b/>
        </w:rPr>
        <w:t>SRQ1.</w:t>
      </w:r>
      <w:r>
        <w:rPr>
          <w:b/>
          <w:spacing w:val="40"/>
        </w:rPr>
        <w:t> </w:t>
      </w:r>
      <w:r>
        <w:rPr/>
        <w:t>What</w:t>
      </w:r>
      <w:r>
        <w:rPr>
          <w:spacing w:val="-1"/>
        </w:rPr>
        <w:t> </w:t>
      </w:r>
      <w:r>
        <w:rPr/>
        <w:t>does</w:t>
      </w:r>
      <w:r>
        <w:rPr>
          <w:spacing w:val="-1"/>
        </w:rPr>
        <w:t> </w:t>
      </w:r>
      <w:r>
        <w:rPr/>
        <w:t>the</w:t>
      </w:r>
      <w:r>
        <w:rPr>
          <w:spacing w:val="-1"/>
        </w:rPr>
        <w:t> </w:t>
      </w:r>
      <w:r>
        <w:rPr/>
        <w:t>supplementary</w:t>
      </w:r>
      <w:r>
        <w:rPr>
          <w:spacing w:val="-1"/>
        </w:rPr>
        <w:t> </w:t>
      </w:r>
      <w:r>
        <w:rPr/>
        <w:t>GF-PR</w:t>
      </w:r>
      <w:r>
        <w:rPr>
          <w:spacing w:val="-1"/>
        </w:rPr>
        <w:t> </w:t>
      </w:r>
      <w:r>
        <w:rPr/>
        <w:t>outcome-native</w:t>
      </w:r>
      <w:r>
        <w:rPr>
          <w:spacing w:val="-1"/>
        </w:rPr>
        <w:t> </w:t>
      </w:r>
      <w:r>
        <w:rPr/>
        <w:t>ceiling</w:t>
      </w:r>
      <w:r>
        <w:rPr>
          <w:spacing w:val="-1"/>
        </w:rPr>
        <w:t> </w:t>
      </w:r>
      <w:r>
        <w:rPr/>
        <w:t>imply</w:t>
      </w:r>
      <w:r>
        <w:rPr>
          <w:spacing w:val="-1"/>
        </w:rPr>
        <w:t> </w:t>
      </w:r>
      <w:r>
        <w:rPr/>
        <w:t>for</w:t>
      </w:r>
      <w:r>
        <w:rPr>
          <w:spacing w:val="-1"/>
        </w:rPr>
        <w:t> </w:t>
      </w:r>
      <w:r>
        <w:rPr/>
        <w:t>interpreting</w:t>
      </w:r>
      <w:r>
        <w:rPr>
          <w:spacing w:val="-1"/>
        </w:rPr>
        <w:t> </w:t>
      </w:r>
      <w:r>
        <w:rPr/>
        <w:t>trading-outcome proxy alignment of EndorseRank and AWP?</w:t>
      </w:r>
    </w:p>
    <w:p>
      <w:pPr>
        <w:pStyle w:val="BodyText"/>
        <w:spacing w:line="396" w:lineRule="auto" w:before="40"/>
        <w:ind w:left="856" w:right="524" w:hanging="803"/>
        <w:jc w:val="both"/>
      </w:pPr>
      <w:r>
        <w:rPr>
          <w:i/>
        </w:rPr>
        <w:t>SRQ1. EndorseRank 및 AWP의 거래 결과 대리 정렬을 해석하는 데 보충적인 GF-PR 결과 기본 상한은 무엇을 의미합니까?</w:t>
      </w:r>
    </w:p>
    <w:p>
      <w:pPr>
        <w:pStyle w:val="BodyText"/>
        <w:spacing w:line="393" w:lineRule="auto" w:before="122"/>
        <w:ind w:left="282" w:right="524"/>
        <w:jc w:val="both"/>
      </w:pPr>
      <w:r>
        <w:rPr/>
        <w:t>RQ1</w:t>
      </w:r>
      <w:r>
        <w:rPr>
          <w:spacing w:val="-5"/>
        </w:rPr>
        <w:t> </w:t>
      </w:r>
      <w:r>
        <w:rPr/>
        <w:t>tests</w:t>
      </w:r>
      <w:r>
        <w:rPr>
          <w:spacing w:val="-5"/>
        </w:rPr>
        <w:t> </w:t>
      </w:r>
      <w:r>
        <w:rPr/>
        <w:t>whether</w:t>
      </w:r>
      <w:r>
        <w:rPr>
          <w:spacing w:val="-5"/>
        </w:rPr>
        <w:t> </w:t>
      </w:r>
      <w:r>
        <w:rPr/>
        <w:t>allowance</w:t>
      </w:r>
      <w:r>
        <w:rPr>
          <w:spacing w:val="-5"/>
        </w:rPr>
        <w:t> </w:t>
      </w:r>
      <w:r>
        <w:rPr/>
        <w:t>and</w:t>
      </w:r>
      <w:r>
        <w:rPr>
          <w:spacing w:val="-5"/>
        </w:rPr>
        <w:t> </w:t>
      </w:r>
      <w:r>
        <w:rPr/>
        <w:t>transfer</w:t>
      </w:r>
      <w:r>
        <w:rPr>
          <w:spacing w:val="-5"/>
        </w:rPr>
        <w:t> </w:t>
      </w:r>
      <w:r>
        <w:rPr/>
        <w:t>graphs</w:t>
      </w:r>
      <w:r>
        <w:rPr>
          <w:spacing w:val="-5"/>
        </w:rPr>
        <w:t> </w:t>
      </w:r>
      <w:r>
        <w:rPr/>
        <w:t>induce</w:t>
      </w:r>
      <w:r>
        <w:rPr>
          <w:spacing w:val="-5"/>
        </w:rPr>
        <w:t> </w:t>
      </w:r>
      <w:r>
        <w:rPr/>
        <w:t>distinct</w:t>
      </w:r>
      <w:r>
        <w:rPr>
          <w:spacing w:val="-5"/>
        </w:rPr>
        <w:t> </w:t>
      </w:r>
      <w:r>
        <w:rPr/>
        <w:t>centrality</w:t>
      </w:r>
      <w:r>
        <w:rPr>
          <w:spacing w:val="-5"/>
        </w:rPr>
        <w:t> </w:t>
      </w:r>
      <w:r>
        <w:rPr/>
        <w:t>structures,</w:t>
      </w:r>
      <w:r>
        <w:rPr>
          <w:spacing w:val="-4"/>
        </w:rPr>
        <w:t> </w:t>
      </w:r>
      <w:r>
        <w:rPr/>
        <w:t>operational-ized</w:t>
      </w:r>
      <w:r>
        <w:rPr>
          <w:spacing w:val="-15"/>
        </w:rPr>
        <w:t> </w:t>
      </w:r>
      <w:r>
        <w:rPr/>
        <w:t>by</w:t>
      </w:r>
      <w:r>
        <w:rPr>
          <w:spacing w:val="-14"/>
        </w:rPr>
        <w:t> </w:t>
      </w:r>
      <w:r>
        <w:rPr/>
        <w:t>inter-method</w:t>
      </w:r>
      <w:r>
        <w:rPr>
          <w:spacing w:val="-15"/>
        </w:rPr>
        <w:t> </w:t>
      </w:r>
      <w:r>
        <w:rPr/>
        <w:t>Kendall</w:t>
      </w:r>
      <w:r>
        <w:rPr>
          <w:spacing w:val="-15"/>
        </w:rPr>
        <w:t> </w:t>
      </w:r>
      <w:r>
        <w:rPr>
          <w:rFonts w:ascii="Calibri" w:hAnsi="Calibri"/>
          <w:i/>
        </w:rPr>
        <w:t>τ</w:t>
      </w:r>
      <w:r>
        <w:rPr>
          <w:rFonts w:ascii="Calibri" w:hAnsi="Calibri"/>
          <w:i/>
          <w:spacing w:val="18"/>
        </w:rPr>
        <w:t> </w:t>
      </w:r>
      <w:r>
        <w:rPr/>
        <w:t>between</w:t>
      </w:r>
      <w:r>
        <w:rPr>
          <w:spacing w:val="-15"/>
        </w:rPr>
        <w:t> </w:t>
      </w:r>
      <w:r>
        <w:rPr/>
        <w:t>score</w:t>
      </w:r>
      <w:r>
        <w:rPr>
          <w:spacing w:val="-14"/>
        </w:rPr>
        <w:t> </w:t>
      </w:r>
      <w:r>
        <w:rPr/>
        <w:t>vectors.</w:t>
      </w:r>
      <w:r>
        <w:rPr>
          <w:spacing w:val="13"/>
        </w:rPr>
        <w:t> </w:t>
      </w:r>
      <w:r>
        <w:rPr/>
        <w:t>RQ2</w:t>
      </w:r>
      <w:r>
        <w:rPr>
          <w:spacing w:val="-14"/>
        </w:rPr>
        <w:t> </w:t>
      </w:r>
      <w:r>
        <w:rPr/>
        <w:t>evaluates</w:t>
      </w:r>
      <w:r>
        <w:rPr>
          <w:spacing w:val="-15"/>
        </w:rPr>
        <w:t> </w:t>
      </w:r>
      <w:r>
        <w:rPr/>
        <w:t>construct-specific</w:t>
      </w:r>
      <w:r>
        <w:rPr>
          <w:spacing w:val="-14"/>
        </w:rPr>
        <w:t> </w:t>
      </w:r>
      <w:r>
        <w:rPr/>
        <w:t>alignment across transfer, allowance, inverse-risk, Sybil-adjusted stability, and trading-success proxy fami-lies.</w:t>
      </w:r>
      <w:r>
        <w:rPr>
          <w:spacing w:val="40"/>
        </w:rPr>
        <w:t> </w:t>
      </w:r>
      <w:r>
        <w:rPr/>
        <w:t>RQ3 compares PageRank wall-clock time, memory, and iterations on identical wallet sets, including</w:t>
      </w:r>
      <w:r>
        <w:rPr>
          <w:spacing w:val="-9"/>
        </w:rPr>
        <w:t> </w:t>
      </w:r>
      <w:r>
        <w:rPr/>
        <w:t>scaling</w:t>
      </w:r>
      <w:r>
        <w:rPr>
          <w:spacing w:val="-9"/>
        </w:rPr>
        <w:t> </w:t>
      </w:r>
      <w:r>
        <w:rPr/>
        <w:t>on</w:t>
      </w:r>
      <w:r>
        <w:rPr>
          <w:spacing w:val="-9"/>
        </w:rPr>
        <w:t> </w:t>
      </w:r>
      <w:r>
        <w:rPr/>
        <w:t>an</w:t>
      </w:r>
      <w:r>
        <w:rPr>
          <w:spacing w:val="-8"/>
        </w:rPr>
        <w:t> </w:t>
      </w:r>
      <w:r>
        <w:rPr/>
        <w:t>expanded</w:t>
      </w:r>
      <w:r>
        <w:rPr>
          <w:spacing w:val="-9"/>
        </w:rPr>
        <w:t> </w:t>
      </w:r>
      <w:r>
        <w:rPr/>
        <w:t>wallet</w:t>
      </w:r>
      <w:r>
        <w:rPr>
          <w:spacing w:val="-9"/>
        </w:rPr>
        <w:t> </w:t>
      </w:r>
      <w:r>
        <w:rPr/>
        <w:t>pool.</w:t>
      </w:r>
      <w:r>
        <w:rPr>
          <w:spacing w:val="11"/>
        </w:rPr>
        <w:t> </w:t>
      </w:r>
      <w:r>
        <w:rPr/>
        <w:t>RQ4</w:t>
      </w:r>
      <w:r>
        <w:rPr>
          <w:spacing w:val="-9"/>
        </w:rPr>
        <w:t> </w:t>
      </w:r>
      <w:r>
        <w:rPr/>
        <w:t>asks</w:t>
      </w:r>
      <w:r>
        <w:rPr>
          <w:spacing w:val="-9"/>
        </w:rPr>
        <w:t> </w:t>
      </w:r>
      <w:r>
        <w:rPr/>
        <w:t>which</w:t>
      </w:r>
      <w:r>
        <w:rPr>
          <w:spacing w:val="-9"/>
        </w:rPr>
        <w:t> </w:t>
      </w:r>
      <w:r>
        <w:rPr/>
        <w:t>validation</w:t>
      </w:r>
      <w:r>
        <w:rPr>
          <w:spacing w:val="-8"/>
        </w:rPr>
        <w:t> </w:t>
      </w:r>
      <w:r>
        <w:rPr/>
        <w:t>frame—transfer</w:t>
      </w:r>
      <w:r>
        <w:rPr>
          <w:spacing w:val="-9"/>
        </w:rPr>
        <w:t> </w:t>
      </w:r>
      <w:r>
        <w:rPr/>
        <w:t>central-ity or trading success—is more informative for social reputation methods on this sample.</w:t>
      </w:r>
      <w:r>
        <w:rPr>
          <w:spacing w:val="40"/>
        </w:rPr>
        <w:t> </w:t>
      </w:r>
      <w:r>
        <w:rPr/>
        <w:t>SRQ1 uses</w:t>
      </w:r>
      <w:r>
        <w:rPr>
          <w:spacing w:val="-6"/>
        </w:rPr>
        <w:t> </w:t>
      </w:r>
      <w:r>
        <w:rPr/>
        <w:t>GF-PR</w:t>
      </w:r>
      <w:r>
        <w:rPr>
          <w:spacing w:val="-6"/>
        </w:rPr>
        <w:t> </w:t>
      </w:r>
      <w:r>
        <w:rPr/>
        <w:t>only</w:t>
      </w:r>
      <w:r>
        <w:rPr>
          <w:spacing w:val="-6"/>
        </w:rPr>
        <w:t> </w:t>
      </w:r>
      <w:r>
        <w:rPr/>
        <w:t>to</w:t>
      </w:r>
      <w:r>
        <w:rPr>
          <w:spacing w:val="-6"/>
        </w:rPr>
        <w:t> </w:t>
      </w:r>
      <w:r>
        <w:rPr/>
        <w:t>bound</w:t>
      </w:r>
      <w:r>
        <w:rPr>
          <w:spacing w:val="-6"/>
        </w:rPr>
        <w:t> </w:t>
      </w:r>
      <w:r>
        <w:rPr/>
        <w:t>how</w:t>
      </w:r>
      <w:r>
        <w:rPr>
          <w:spacing w:val="-6"/>
        </w:rPr>
        <w:t> </w:t>
      </w:r>
      <w:r>
        <w:rPr/>
        <w:t>high</w:t>
      </w:r>
      <w:r>
        <w:rPr>
          <w:spacing w:val="-6"/>
        </w:rPr>
        <w:t> </w:t>
      </w:r>
      <w:r>
        <w:rPr/>
        <w:t>trading-outcome</w:t>
      </w:r>
      <w:r>
        <w:rPr>
          <w:spacing w:val="-6"/>
        </w:rPr>
        <w:t> </w:t>
      </w:r>
      <w:r>
        <w:rPr/>
        <w:t>alignment</w:t>
      </w:r>
      <w:r>
        <w:rPr>
          <w:spacing w:val="-6"/>
        </w:rPr>
        <w:t> </w:t>
      </w:r>
      <w:r>
        <w:rPr/>
        <w:t>can</w:t>
      </w:r>
      <w:r>
        <w:rPr>
          <w:spacing w:val="-6"/>
        </w:rPr>
        <w:t> </w:t>
      </w:r>
      <w:r>
        <w:rPr/>
        <w:t>rise</w:t>
      </w:r>
      <w:r>
        <w:rPr>
          <w:spacing w:val="-6"/>
        </w:rPr>
        <w:t> </w:t>
      </w:r>
      <w:r>
        <w:rPr/>
        <w:t>when</w:t>
      </w:r>
      <w:r>
        <w:rPr>
          <w:spacing w:val="-6"/>
        </w:rPr>
        <w:t> </w:t>
      </w:r>
      <w:r>
        <w:rPr/>
        <w:t>ranking</w:t>
      </w:r>
      <w:r>
        <w:rPr>
          <w:spacing w:val="-6"/>
        </w:rPr>
        <w:t> </w:t>
      </w:r>
      <w:r>
        <w:rPr/>
        <w:t>directly</w:t>
      </w:r>
      <w:r>
        <w:rPr>
          <w:spacing w:val="-6"/>
        </w:rPr>
        <w:t> </w:t>
      </w:r>
      <w:r>
        <w:rPr/>
        <w:t>on </w:t>
      </w:r>
      <w:bookmarkStart w:name="Contributions" w:id="21"/>
      <w:bookmarkEnd w:id="21"/>
      <w:r>
        <w:rPr>
          <w:w w:val="99"/>
        </w:rPr>
      </w:r>
      <w:bookmarkStart w:name="_bookmark14" w:id="22"/>
      <w:bookmarkEnd w:id="22"/>
      <w:r>
        <w:rPr/>
        <w:t>outcome</w:t>
      </w:r>
      <w:r>
        <w:rPr/>
        <w:t> flow, clarifying construct overlap </w:t>
      </w:r>
      <w:hyperlink w:history="true" w:anchor="_bookmark147">
        <w:r>
          <w:rPr>
            <w:vertAlign w:val="superscript"/>
          </w:rPr>
          <w:t>[14]</w:t>
        </w:r>
      </w:hyperlink>
      <w:r>
        <w:rPr>
          <w:vertAlign w:val="baseline"/>
        </w:rPr>
        <w:t>.</w:t>
      </w:r>
    </w:p>
    <w:p>
      <w:pPr>
        <w:pStyle w:val="BodyText"/>
        <w:spacing w:line="393" w:lineRule="auto" w:before="122"/>
        <w:ind w:left="282" w:right="524"/>
        <w:jc w:val="both"/>
      </w:pPr>
      <w:r>
        <w:rPr>
          <w:i/>
        </w:rPr>
        <w:t>RQ1은 허용 및 이전 그래프가 점수 벡터 간의 방법 간 Kendall τ에 의해 조작화된 별개의 중심성 구조를 유도하는지 여부를 테스트합니다. RQ2는 이전, 허용, 역위험, Sybil 조정 안정성 및 거래 성공 대용군 전반에 걸쳐 구성별 정렬을 평가합니다. RQ3은 확장된 지갑 풀의 확장을 포함하여 PageRank 벽시계 시간, 메모리 및 동일한 지갑 세트의 반복을 비교합니다. RQ4는 이 샘플의 사회적 평판 방법에 대해 어떤 검증 프레임(이전 중심성 또는 거래 성공)이 더 많은 정보를 제공하는지 묻습니다. SRQ1은 GF-PR을 사용하여 결과 흐름에 직접 순위를 매길 때 거래 결과 정렬이 얼마나 높아질 수 있는지 제한하고 구성 중복을 명확히 합니다[14].</w:t>
      </w:r>
    </w:p>
    <w:p>
      <w:pPr>
        <w:pStyle w:val="BodyText"/>
        <w:spacing w:before="161"/>
      </w:pPr>
    </w:p>
    <w:p>
      <w:pPr>
        <w:pStyle w:val="Heading2"/>
        <w:numPr>
          <w:ilvl w:val="1"/>
          <w:numId w:val="8"/>
        </w:numPr>
        <w:tabs>
          <w:tab w:pos="783" w:val="left" w:leader="none"/>
        </w:tabs>
        <w:spacing w:line="240" w:lineRule="auto" w:before="0" w:after="0"/>
        <w:ind w:left="783" w:right="0" w:hanging="501"/>
        <w:jc w:val="left"/>
      </w:pPr>
      <w:r>
        <w:rPr>
          <w:spacing w:val="-2"/>
        </w:rPr>
        <w:t>Contributions</w:t>
      </w:r>
    </w:p>
    <w:p>
      <w:pPr>
        <w:pStyle w:val="Heading2"/>
        <w:numPr>
          <w:ilvl w:val="1"/>
          <w:numId w:val="8"/>
        </w:numPr>
        <w:tabs>
          <w:tab w:pos="783" w:val="left" w:leader="none"/>
        </w:tabs>
        <w:spacing w:line="240" w:lineRule="auto" w:before="0" w:after="0"/>
        <w:ind w:left="783" w:right="0" w:hanging="501"/>
        <w:jc w:val="left"/>
      </w:pPr>
      <w:r>
        <w:rPr>
          <w:i/>
        </w:rPr>
        <w:t>기여</w:t>
      </w:r>
    </w:p>
    <w:p>
      <w:pPr>
        <w:pStyle w:val="BodyText"/>
        <w:spacing w:before="24"/>
        <w:rPr>
          <w:b/>
          <w:sz w:val="28"/>
        </w:rPr>
      </w:pPr>
    </w:p>
    <w:p>
      <w:pPr>
        <w:pStyle w:val="BodyText"/>
        <w:spacing w:line="396" w:lineRule="auto"/>
        <w:ind w:left="282" w:right="525" w:hanging="8"/>
        <w:jc w:val="both"/>
      </w:pPr>
      <w:r>
        <w:rPr/>
        <w:t>This dissertation makes four contributions to on-chain reputation research and DeFi risk assess-</w:t>
      </w:r>
      <w:r>
        <w:rPr>
          <w:spacing w:val="-2"/>
        </w:rPr>
        <w:t>ment.</w:t>
      </w:r>
    </w:p>
    <w:p>
      <w:pPr>
        <w:pStyle w:val="BodyText"/>
        <w:spacing w:line="396" w:lineRule="auto"/>
        <w:ind w:left="282" w:right="525" w:hanging="8"/>
        <w:jc w:val="both"/>
      </w:pPr>
      <w:r>
        <w:rPr>
          <w:i/>
        </w:rPr>
        <w:t>이 논문은 온체인 평판 연구 및 DeFi 위험 평가에 네 가지 기여를 합니다.</w:t>
      </w:r>
    </w:p>
    <w:p>
      <w:pPr>
        <w:pStyle w:val="ListParagraph"/>
        <w:numPr>
          <w:ilvl w:val="0"/>
          <w:numId w:val="11"/>
        </w:numPr>
        <w:tabs>
          <w:tab w:pos="806" w:val="left" w:leader="none"/>
          <w:tab w:pos="808" w:val="left" w:leader="none"/>
        </w:tabs>
        <w:spacing w:line="388" w:lineRule="auto" w:before="62" w:after="0"/>
        <w:ind w:left="808" w:right="524" w:hanging="216"/>
        <w:jc w:val="both"/>
        <w:rPr>
          <w:sz w:val="24"/>
        </w:rPr>
      </w:pPr>
      <w:r>
        <w:rPr>
          <w:b/>
          <w:sz w:val="24"/>
        </w:rPr>
        <w:t>EndorseRank: </w:t>
      </w:r>
      <w:r>
        <w:rPr>
          <w:sz w:val="24"/>
        </w:rPr>
        <w:t>An</w:t>
      </w:r>
      <w:r>
        <w:rPr>
          <w:spacing w:val="-6"/>
          <w:sz w:val="24"/>
        </w:rPr>
        <w:t> </w:t>
      </w:r>
      <w:r>
        <w:rPr>
          <w:sz w:val="24"/>
        </w:rPr>
        <w:t>allowance-based</w:t>
      </w:r>
      <w:r>
        <w:rPr>
          <w:spacing w:val="-6"/>
          <w:sz w:val="24"/>
        </w:rPr>
        <w:t> </w:t>
      </w:r>
      <w:r>
        <w:rPr>
          <w:sz w:val="24"/>
        </w:rPr>
        <w:t>endorsement</w:t>
      </w:r>
      <w:r>
        <w:rPr>
          <w:spacing w:val="-6"/>
          <w:sz w:val="24"/>
        </w:rPr>
        <w:t> </w:t>
      </w:r>
      <w:r>
        <w:rPr>
          <w:sz w:val="24"/>
        </w:rPr>
        <w:t>graph</w:t>
      </w:r>
      <w:r>
        <w:rPr>
          <w:spacing w:val="-6"/>
          <w:sz w:val="24"/>
        </w:rPr>
        <w:t> </w:t>
      </w:r>
      <w:r>
        <w:rPr>
          <w:sz w:val="24"/>
        </w:rPr>
        <w:t>model</w:t>
      </w:r>
      <w:r>
        <w:rPr>
          <w:spacing w:val="-6"/>
          <w:sz w:val="24"/>
        </w:rPr>
        <w:t> </w:t>
      </w:r>
      <w:r>
        <w:rPr>
          <w:sz w:val="24"/>
        </w:rPr>
        <w:t>that</w:t>
      </w:r>
      <w:r>
        <w:rPr>
          <w:spacing w:val="-6"/>
          <w:sz w:val="24"/>
        </w:rPr>
        <w:t> </w:t>
      </w:r>
      <w:r>
        <w:rPr>
          <w:sz w:val="24"/>
        </w:rPr>
        <w:t>applies</w:t>
      </w:r>
      <w:r>
        <w:rPr>
          <w:spacing w:val="-6"/>
          <w:sz w:val="24"/>
        </w:rPr>
        <w:t> </w:t>
      </w:r>
      <w:r>
        <w:rPr>
          <w:sz w:val="24"/>
        </w:rPr>
        <w:t>PageRank</w:t>
      </w:r>
      <w:r>
        <w:rPr>
          <w:spacing w:val="-6"/>
          <w:sz w:val="24"/>
        </w:rPr>
        <w:t> </w:t>
      </w:r>
      <w:r>
        <w:rPr>
          <w:sz w:val="24"/>
        </w:rPr>
        <w:t>to</w:t>
      </w:r>
      <w:r>
        <w:rPr>
          <w:spacing w:val="-6"/>
          <w:sz w:val="24"/>
        </w:rPr>
        <w:t> </w:t>
      </w:r>
      <w:r>
        <w:rPr>
          <w:sz w:val="24"/>
        </w:rPr>
        <w:t>lat-est ERC-20 </w:t>
      </w:r>
      <w:r>
        <w:rPr>
          <w:rFonts w:ascii="Calibri" w:hAnsi="Calibri"/>
          <w:sz w:val="24"/>
        </w:rPr>
        <w:t>approve</w:t>
      </w:r>
      <w:r>
        <w:rPr>
          <w:sz w:val="24"/>
        </w:rPr>
        <w:t>/</w:t>
      </w:r>
      <w:r>
        <w:rPr>
          <w:rFonts w:ascii="Calibri" w:hAnsi="Calibri"/>
          <w:sz w:val="24"/>
        </w:rPr>
        <w:t>permit </w:t>
      </w:r>
      <w:r>
        <w:rPr>
          <w:sz w:val="24"/>
        </w:rPr>
        <w:t>edges.</w:t>
      </w:r>
      <w:r>
        <w:rPr>
          <w:spacing w:val="40"/>
          <w:sz w:val="24"/>
        </w:rPr>
        <w:t> </w:t>
      </w:r>
      <w:r>
        <w:rPr>
          <w:sz w:val="24"/>
        </w:rPr>
        <w:t>The model treats current spending authorization as en-dorsement strength, eliminates temporal decay by relying on allowance override semantics, and produces a sparse graph suitable for frequent refresh.</w:t>
      </w:r>
    </w:p>
    <w:p>
      <w:pPr>
        <w:pStyle w:val="ListParagraph"/>
        <w:numPr>
          <w:ilvl w:val="0"/>
          <w:numId w:val="11"/>
        </w:numPr>
        <w:tabs>
          <w:tab w:pos="806" w:val="left" w:leader="none"/>
          <w:tab w:pos="808" w:val="left" w:leader="none"/>
        </w:tabs>
        <w:spacing w:line="388" w:lineRule="auto" w:before="62" w:after="0"/>
        <w:ind w:left="808" w:right="524" w:hanging="216"/>
        <w:jc w:val="both"/>
        <w:rPr>
          <w:sz w:val="24"/>
        </w:rPr>
      </w:pPr>
      <w:r>
        <w:rPr>
          <w:i/>
        </w:rPr>
        <w:t>EndorseRank: 최신 ERC-20 승인/허용 에지에 PageRank를 적용하는 허용 기반 보증 그래프 모델입니다. 모델은 현재 지출 승인을 보증 강도로 취급하고, 허용 재정의 의미론에 의존하여 일시적인 부패를 제거하고, 빈번한 새로 고침에 적합한 희소 그래프를 생성합니다.</w:t>
      </w:r>
    </w:p>
    <w:p>
      <w:pPr>
        <w:pStyle w:val="ListParagraph"/>
        <w:numPr>
          <w:ilvl w:val="0"/>
          <w:numId w:val="11"/>
        </w:numPr>
        <w:tabs>
          <w:tab w:pos="807" w:val="left" w:leader="none"/>
        </w:tabs>
        <w:spacing w:line="240" w:lineRule="auto" w:before="46" w:after="0"/>
        <w:ind w:left="807" w:right="0" w:hanging="214"/>
        <w:jc w:val="both"/>
        <w:rPr>
          <w:sz w:val="24"/>
        </w:rPr>
      </w:pPr>
      <w:r>
        <w:rPr>
          <w:b/>
          <w:spacing w:val="-2"/>
          <w:sz w:val="24"/>
        </w:rPr>
        <w:t>Five-proxy</w:t>
      </w:r>
      <w:r>
        <w:rPr>
          <w:b/>
          <w:spacing w:val="-7"/>
          <w:sz w:val="24"/>
        </w:rPr>
        <w:t> </w:t>
      </w:r>
      <w:r>
        <w:rPr>
          <w:b/>
          <w:spacing w:val="-2"/>
          <w:sz w:val="24"/>
        </w:rPr>
        <w:t>domain</w:t>
      </w:r>
      <w:r>
        <w:rPr>
          <w:b/>
          <w:spacing w:val="-5"/>
          <w:sz w:val="24"/>
        </w:rPr>
        <w:t> </w:t>
      </w:r>
      <w:r>
        <w:rPr>
          <w:b/>
          <w:spacing w:val="-2"/>
          <w:sz w:val="24"/>
        </w:rPr>
        <w:t>alignment</w:t>
      </w:r>
      <w:r>
        <w:rPr>
          <w:b/>
          <w:spacing w:val="-7"/>
          <w:sz w:val="24"/>
        </w:rPr>
        <w:t> </w:t>
      </w:r>
      <w:r>
        <w:rPr>
          <w:b/>
          <w:spacing w:val="-2"/>
          <w:sz w:val="24"/>
        </w:rPr>
        <w:t>evaluation:</w:t>
      </w:r>
      <w:r>
        <w:rPr>
          <w:b/>
          <w:spacing w:val="18"/>
          <w:sz w:val="24"/>
        </w:rPr>
        <w:t> </w:t>
      </w:r>
      <w:r>
        <w:rPr>
          <w:spacing w:val="-2"/>
          <w:sz w:val="24"/>
        </w:rPr>
        <w:t>Compares</w:t>
      </w:r>
      <w:r>
        <w:rPr>
          <w:spacing w:val="-6"/>
          <w:sz w:val="24"/>
        </w:rPr>
        <w:t> </w:t>
      </w:r>
      <w:r>
        <w:rPr>
          <w:spacing w:val="-2"/>
          <w:sz w:val="24"/>
        </w:rPr>
        <w:t>EndorseRank</w:t>
      </w:r>
      <w:r>
        <w:rPr>
          <w:spacing w:val="-6"/>
          <w:sz w:val="24"/>
        </w:rPr>
        <w:t> </w:t>
      </w:r>
      <w:r>
        <w:rPr>
          <w:spacing w:val="-2"/>
          <w:sz w:val="24"/>
        </w:rPr>
        <w:t>and</w:t>
      </w:r>
      <w:r>
        <w:rPr>
          <w:spacing w:val="-6"/>
          <w:sz w:val="24"/>
        </w:rPr>
        <w:t> </w:t>
      </w:r>
      <w:r>
        <w:rPr>
          <w:spacing w:val="-2"/>
          <w:sz w:val="24"/>
        </w:rPr>
        <w:t>AWP</w:t>
      </w:r>
      <w:r>
        <w:rPr>
          <w:spacing w:val="-7"/>
          <w:sz w:val="24"/>
        </w:rPr>
        <w:t> </w:t>
      </w:r>
      <w:r>
        <w:rPr>
          <w:spacing w:val="-2"/>
          <w:sz w:val="24"/>
        </w:rPr>
        <w:t>on</w:t>
      </w:r>
      <w:r>
        <w:rPr>
          <w:spacing w:val="-6"/>
          <w:sz w:val="24"/>
        </w:rPr>
        <w:t> </w:t>
      </w:r>
      <w:r>
        <w:rPr>
          <w:spacing w:val="-2"/>
          <w:sz w:val="24"/>
        </w:rPr>
        <w:t>leveraged</w:t>
      </w:r>
    </w:p>
    <w:p>
      <w:pPr>
        <w:pStyle w:val="ListParagraph"/>
        <w:numPr>
          <w:ilvl w:val="0"/>
          <w:numId w:val="11"/>
        </w:numPr>
        <w:tabs>
          <w:tab w:pos="807" w:val="left" w:leader="none"/>
        </w:tabs>
        <w:spacing w:line="240" w:lineRule="auto" w:before="46" w:after="0"/>
        <w:ind w:left="807" w:right="0" w:hanging="214"/>
        <w:jc w:val="both"/>
        <w:rPr>
          <w:sz w:val="24"/>
        </w:rPr>
      </w:pPr>
      <w:r>
        <w:rPr>
          <w:i/>
        </w:rPr>
        <w:t>5개 프록시 도메인 정렬 평가: 활용에 대한 EndorseRank 및 AWP 비교</w:t>
      </w:r>
    </w:p>
    <w:p>
      <w:pPr>
        <w:pStyle w:val="ListParagraph"/>
        <w:spacing w:after="0" w:line="240" w:lineRule="auto"/>
        <w:jc w:val="both"/>
        <w:rPr>
          <w:sz w:val="24"/>
        </w:rPr>
        <w:sectPr>
          <w:pgSz w:w="11910" w:h="16840"/>
          <w:pgMar w:header="0" w:footer="2115" w:top="1840" w:bottom="2300" w:left="992" w:right="708"/>
        </w:sectPr>
      </w:pPr>
    </w:p>
    <w:p>
      <w:pPr>
        <w:pStyle w:val="BodyText"/>
        <w:spacing w:line="388" w:lineRule="auto" w:before="92"/>
        <w:ind w:left="799" w:right="558" w:firstLine="8"/>
        <w:jc w:val="both"/>
      </w:pPr>
      <w:r>
        <w:rPr>
          <w:spacing w:val="-2"/>
        </w:rPr>
        <w:t>DeFi</w:t>
      </w:r>
      <w:r>
        <w:rPr>
          <w:spacing w:val="-10"/>
        </w:rPr>
        <w:t> </w:t>
      </w:r>
      <w:r>
        <w:rPr>
          <w:spacing w:val="-2"/>
        </w:rPr>
        <w:t>activity.</w:t>
      </w:r>
      <w:r>
        <w:rPr>
          <w:spacing w:val="27"/>
        </w:rPr>
        <w:t> </w:t>
      </w:r>
      <w:r>
        <w:rPr>
          <w:spacing w:val="-2"/>
        </w:rPr>
        <w:t>Proxies</w:t>
      </w:r>
      <w:r>
        <w:rPr>
          <w:spacing w:val="-10"/>
        </w:rPr>
        <w:t> </w:t>
      </w:r>
      <w:r>
        <w:rPr>
          <w:spacing w:val="-2"/>
        </w:rPr>
        <w:t>span</w:t>
      </w:r>
      <w:r>
        <w:rPr>
          <w:spacing w:val="-10"/>
        </w:rPr>
        <w:t> </w:t>
      </w:r>
      <w:r>
        <w:rPr>
          <w:spacing w:val="-2"/>
        </w:rPr>
        <w:t>transfer</w:t>
      </w:r>
      <w:r>
        <w:rPr>
          <w:spacing w:val="-10"/>
        </w:rPr>
        <w:t> </w:t>
      </w:r>
      <w:r>
        <w:rPr>
          <w:spacing w:val="-2"/>
        </w:rPr>
        <w:t>centrality</w:t>
      </w:r>
      <w:r>
        <w:rPr>
          <w:spacing w:val="-10"/>
        </w:rPr>
        <w:t> </w:t>
      </w:r>
      <w:hyperlink w:history="true" w:anchor="_bookmark149">
        <w:r>
          <w:rPr>
            <w:spacing w:val="-2"/>
            <w:vertAlign w:val="superscript"/>
          </w:rPr>
          <w:t>[16]</w:t>
        </w:r>
      </w:hyperlink>
      <w:r>
        <w:rPr>
          <w:spacing w:val="-2"/>
          <w:vertAlign w:val="baseline"/>
        </w:rPr>
        <w:t>,</w:t>
      </w:r>
      <w:r>
        <w:rPr>
          <w:spacing w:val="-7"/>
          <w:vertAlign w:val="baseline"/>
        </w:rPr>
        <w:t> </w:t>
      </w:r>
      <w:r>
        <w:rPr>
          <w:spacing w:val="-2"/>
          <w:vertAlign w:val="baseline"/>
        </w:rPr>
        <w:t>allowance</w:t>
      </w:r>
      <w:r>
        <w:rPr>
          <w:spacing w:val="-10"/>
          <w:vertAlign w:val="baseline"/>
        </w:rPr>
        <w:t> </w:t>
      </w:r>
      <w:r>
        <w:rPr>
          <w:spacing w:val="-2"/>
          <w:vertAlign w:val="baseline"/>
        </w:rPr>
        <w:t>delegation,</w:t>
      </w:r>
      <w:r>
        <w:rPr>
          <w:spacing w:val="-7"/>
          <w:vertAlign w:val="baseline"/>
        </w:rPr>
        <w:t> </w:t>
      </w:r>
      <w:r>
        <w:rPr>
          <w:spacing w:val="-2"/>
          <w:vertAlign w:val="baseline"/>
        </w:rPr>
        <w:t>GMX</w:t>
      </w:r>
      <w:r>
        <w:rPr>
          <w:spacing w:val="-10"/>
          <w:vertAlign w:val="baseline"/>
        </w:rPr>
        <w:t> </w:t>
      </w:r>
      <w:r>
        <w:rPr>
          <w:spacing w:val="-2"/>
          <w:vertAlign w:val="baseline"/>
        </w:rPr>
        <w:t>V2</w:t>
      </w:r>
      <w:r>
        <w:rPr>
          <w:spacing w:val="-10"/>
          <w:vertAlign w:val="baseline"/>
        </w:rPr>
        <w:t> </w:t>
      </w:r>
      <w:r>
        <w:rPr>
          <w:spacing w:val="-2"/>
          <w:vertAlign w:val="baseline"/>
        </w:rPr>
        <w:t>inverse</w:t>
      </w:r>
      <w:r>
        <w:rPr>
          <w:spacing w:val="-10"/>
          <w:vertAlign w:val="baseline"/>
        </w:rPr>
        <w:t> </w:t>
      </w:r>
      <w:r>
        <w:rPr>
          <w:spacing w:val="-2"/>
          <w:vertAlign w:val="baseline"/>
        </w:rPr>
        <w:t>risk </w:t>
      </w:r>
      <w:r>
        <w:rPr>
          <w:vertAlign w:val="baseline"/>
        </w:rPr>
        <w:t>and</w:t>
      </w:r>
      <w:r>
        <w:rPr>
          <w:spacing w:val="-6"/>
          <w:vertAlign w:val="baseline"/>
        </w:rPr>
        <w:t> </w:t>
      </w:r>
      <w:r>
        <w:rPr>
          <w:vertAlign w:val="baseline"/>
        </w:rPr>
        <w:t>trading</w:t>
      </w:r>
      <w:r>
        <w:rPr>
          <w:spacing w:val="-5"/>
          <w:vertAlign w:val="baseline"/>
        </w:rPr>
        <w:t> </w:t>
      </w:r>
      <w:r>
        <w:rPr>
          <w:vertAlign w:val="baseline"/>
        </w:rPr>
        <w:t>success</w:t>
      </w:r>
      <w:r>
        <w:rPr>
          <w:spacing w:val="-5"/>
          <w:vertAlign w:val="baseline"/>
        </w:rPr>
        <w:t> </w:t>
      </w:r>
      <w:hyperlink w:history="true" w:anchor="_bookmark156">
        <w:r>
          <w:rPr>
            <w:vertAlign w:val="superscript"/>
          </w:rPr>
          <w:t>[23]</w:t>
        </w:r>
      </w:hyperlink>
      <w:r>
        <w:rPr>
          <w:vertAlign w:val="baseline"/>
        </w:rPr>
        <w:t>,</w:t>
      </w:r>
      <w:r>
        <w:rPr>
          <w:spacing w:val="-5"/>
          <w:vertAlign w:val="baseline"/>
        </w:rPr>
        <w:t> </w:t>
      </w:r>
      <w:r>
        <w:rPr>
          <w:vertAlign w:val="baseline"/>
        </w:rPr>
        <w:t>and</w:t>
      </w:r>
      <w:r>
        <w:rPr>
          <w:spacing w:val="-5"/>
          <w:vertAlign w:val="baseline"/>
        </w:rPr>
        <w:t> </w:t>
      </w:r>
      <w:r>
        <w:rPr>
          <w:vertAlign w:val="baseline"/>
        </w:rPr>
        <w:t>Sybil-adjusted</w:t>
      </w:r>
      <w:r>
        <w:rPr>
          <w:spacing w:val="-5"/>
          <w:vertAlign w:val="baseline"/>
        </w:rPr>
        <w:t> </w:t>
      </w:r>
      <w:r>
        <w:rPr>
          <w:vertAlign w:val="baseline"/>
        </w:rPr>
        <w:t>stability. Alignment</w:t>
      </w:r>
      <w:r>
        <w:rPr>
          <w:spacing w:val="-5"/>
          <w:vertAlign w:val="baseline"/>
        </w:rPr>
        <w:t> </w:t>
      </w:r>
      <w:r>
        <w:rPr>
          <w:vertAlign w:val="baseline"/>
        </w:rPr>
        <w:t>is</w:t>
      </w:r>
      <w:r>
        <w:rPr>
          <w:spacing w:val="-5"/>
          <w:vertAlign w:val="baseline"/>
        </w:rPr>
        <w:t> </w:t>
      </w:r>
      <w:r>
        <w:rPr>
          <w:vertAlign w:val="baseline"/>
        </w:rPr>
        <w:t>reported</w:t>
      </w:r>
      <w:r>
        <w:rPr>
          <w:spacing w:val="-6"/>
          <w:vertAlign w:val="baseline"/>
        </w:rPr>
        <w:t> </w:t>
      </w:r>
      <w:r>
        <w:rPr>
          <w:vertAlign w:val="baseline"/>
        </w:rPr>
        <w:t>with</w:t>
      </w:r>
      <w:r>
        <w:rPr>
          <w:spacing w:val="-5"/>
          <w:vertAlign w:val="baseline"/>
        </w:rPr>
        <w:t> </w:t>
      </w:r>
      <w:r>
        <w:rPr>
          <w:vertAlign w:val="baseline"/>
        </w:rPr>
        <w:t>Spearman’s </w:t>
      </w:r>
      <w:r>
        <w:rPr>
          <w:rFonts w:ascii="Calibri" w:hAnsi="Calibri"/>
          <w:i/>
          <w:vertAlign w:val="baseline"/>
        </w:rPr>
        <w:t>ρ</w:t>
      </w:r>
      <w:r>
        <w:rPr>
          <w:rFonts w:ascii="Calibri" w:hAnsi="Calibri"/>
          <w:i/>
          <w:spacing w:val="-7"/>
          <w:vertAlign w:val="baseline"/>
        </w:rPr>
        <w:t> </w:t>
      </w:r>
      <w:r>
        <w:rPr>
          <w:vertAlign w:val="baseline"/>
        </w:rPr>
        <w:t>and</w:t>
      </w:r>
      <w:r>
        <w:rPr>
          <w:spacing w:val="-12"/>
          <w:vertAlign w:val="baseline"/>
        </w:rPr>
        <w:t> </w:t>
      </w:r>
      <w:r>
        <w:rPr>
          <w:vertAlign w:val="baseline"/>
        </w:rPr>
        <w:t>Kendall’s</w:t>
      </w:r>
      <w:r>
        <w:rPr>
          <w:spacing w:val="-12"/>
          <w:vertAlign w:val="baseline"/>
        </w:rPr>
        <w:t> </w:t>
      </w:r>
      <w:r>
        <w:rPr>
          <w:rFonts w:ascii="Calibri" w:hAnsi="Calibri"/>
          <w:i/>
          <w:vertAlign w:val="baseline"/>
        </w:rPr>
        <w:t>τ</w:t>
      </w:r>
      <w:r>
        <w:rPr>
          <w:rFonts w:ascii="Calibri" w:hAnsi="Calibri"/>
          <w:i/>
          <w:spacing w:val="19"/>
          <w:vertAlign w:val="baseline"/>
        </w:rPr>
        <w:t> </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w:t>
      </w:r>
      <w:r>
        <w:rPr>
          <w:spacing w:val="-10"/>
          <w:vertAlign w:val="baseline"/>
        </w:rPr>
        <w:t> </w:t>
      </w:r>
      <w:r>
        <w:rPr>
          <w:vertAlign w:val="baseline"/>
        </w:rPr>
        <w:t>enabling</w:t>
      </w:r>
      <w:r>
        <w:rPr>
          <w:spacing w:val="-12"/>
          <w:vertAlign w:val="baseline"/>
        </w:rPr>
        <w:t> </w:t>
      </w:r>
      <w:r>
        <w:rPr>
          <w:vertAlign w:val="baseline"/>
        </w:rPr>
        <w:t>construct-specific</w:t>
      </w:r>
      <w:r>
        <w:rPr>
          <w:spacing w:val="-12"/>
          <w:vertAlign w:val="baseline"/>
        </w:rPr>
        <w:t> </w:t>
      </w:r>
      <w:r>
        <w:rPr>
          <w:vertAlign w:val="baseline"/>
        </w:rPr>
        <w:t>interpretation</w:t>
      </w:r>
      <w:r>
        <w:rPr>
          <w:spacing w:val="-12"/>
          <w:vertAlign w:val="baseline"/>
        </w:rPr>
        <w:t> </w:t>
      </w:r>
      <w:r>
        <w:rPr>
          <w:vertAlign w:val="baseline"/>
        </w:rPr>
        <w:t>rather</w:t>
      </w:r>
      <w:r>
        <w:rPr>
          <w:spacing w:val="-12"/>
          <w:vertAlign w:val="baseline"/>
        </w:rPr>
        <w:t> </w:t>
      </w:r>
      <w:r>
        <w:rPr>
          <w:vertAlign w:val="baseline"/>
        </w:rPr>
        <w:t>than</w:t>
      </w:r>
      <w:r>
        <w:rPr>
          <w:spacing w:val="-12"/>
          <w:vertAlign w:val="baseline"/>
        </w:rPr>
        <w:t> </w:t>
      </w:r>
      <w:r>
        <w:rPr>
          <w:vertAlign w:val="baseline"/>
        </w:rPr>
        <w:t>a</w:t>
      </w:r>
      <w:r>
        <w:rPr>
          <w:spacing w:val="-12"/>
          <w:vertAlign w:val="baseline"/>
        </w:rPr>
        <w:t> </w:t>
      </w:r>
      <w:r>
        <w:rPr>
          <w:vertAlign w:val="baseline"/>
        </w:rPr>
        <w:t>single</w:t>
      </w:r>
      <w:r>
        <w:rPr>
          <w:spacing w:val="-12"/>
          <w:vertAlign w:val="baseline"/>
        </w:rPr>
        <w:t> </w:t>
      </w:r>
      <w:r>
        <w:rPr>
          <w:vertAlign w:val="baseline"/>
        </w:rPr>
        <w:t>global </w:t>
      </w:r>
      <w:r>
        <w:rPr>
          <w:spacing w:val="-2"/>
          <w:vertAlign w:val="baseline"/>
        </w:rPr>
        <w:t>winner.</w:t>
      </w:r>
    </w:p>
    <w:p>
      <w:pPr>
        <w:pStyle w:val="BodyText"/>
        <w:spacing w:line="388" w:lineRule="auto" w:before="92"/>
        <w:ind w:left="799" w:right="558" w:firstLine="8"/>
        <w:jc w:val="both"/>
      </w:pPr>
      <w:r>
        <w:rPr>
          <w:i/>
        </w:rPr>
        <w:t>DeFi 활동. 프록시는 전송 중심성[16], 허용 위임, GMX V2 역위험 및 거래 성공[23] 및 Sybil 조정 안정성을 포괄합니다. 정렬은 Spearman의 ρ 및 Kendall의 τ[36],[54]로 보고되므로 단일 전역 승자가 아닌 구성별 해석이 가능합니다.</w:t>
      </w:r>
    </w:p>
    <w:p>
      <w:pPr>
        <w:pStyle w:val="ListParagraph"/>
        <w:numPr>
          <w:ilvl w:val="0"/>
          <w:numId w:val="11"/>
        </w:numPr>
        <w:tabs>
          <w:tab w:pos="806" w:val="left" w:leader="none"/>
          <w:tab w:pos="808" w:val="left" w:leader="none"/>
        </w:tabs>
        <w:spacing w:line="396" w:lineRule="auto" w:before="47" w:after="0"/>
        <w:ind w:left="808" w:right="523" w:hanging="216"/>
        <w:jc w:val="both"/>
        <w:rPr>
          <w:sz w:val="24"/>
        </w:rPr>
      </w:pPr>
      <w:r>
        <w:rPr>
          <w:b/>
          <w:sz w:val="24"/>
        </w:rPr>
        <w:t>Open reproducible evaluation pipeline:</w:t>
      </w:r>
      <w:r>
        <w:rPr>
          <w:b/>
          <w:spacing w:val="40"/>
          <w:sz w:val="24"/>
        </w:rPr>
        <w:t> </w:t>
      </w:r>
      <w:r>
        <w:rPr>
          <w:sz w:val="24"/>
        </w:rPr>
        <w:t>Links BigQuery extraction, graph construction, PageRank scoring, proxy computation, and LaTeX result tables to a machine-readable sum-mary (Appendix </w:t>
      </w:r>
      <w:hyperlink w:history="true" w:anchor="_bookmark198">
        <w:r>
          <w:rPr>
            <w:sz w:val="24"/>
          </w:rPr>
          <w:t>8.1</w:t>
        </w:r>
      </w:hyperlink>
      <w:r>
        <w:rPr>
          <w:sz w:val="24"/>
        </w:rPr>
        <w:t>).</w:t>
      </w:r>
      <w:r>
        <w:rPr>
          <w:spacing w:val="40"/>
          <w:sz w:val="24"/>
        </w:rPr>
        <w:t> </w:t>
      </w:r>
      <w:r>
        <w:rPr>
          <w:sz w:val="24"/>
        </w:rPr>
        <w:t>The pipeline supports independent verification of claims C1–C4 and </w:t>
      </w:r>
      <w:r>
        <w:rPr>
          <w:spacing w:val="-4"/>
          <w:sz w:val="24"/>
        </w:rPr>
        <w:t>SC1.</w:t>
      </w:r>
    </w:p>
    <w:p>
      <w:pPr>
        <w:pStyle w:val="ListParagraph"/>
        <w:numPr>
          <w:ilvl w:val="0"/>
          <w:numId w:val="11"/>
        </w:numPr>
        <w:tabs>
          <w:tab w:pos="806" w:val="left" w:leader="none"/>
          <w:tab w:pos="808" w:val="left" w:leader="none"/>
        </w:tabs>
        <w:spacing w:line="396" w:lineRule="auto" w:before="47" w:after="0"/>
        <w:ind w:left="808" w:right="523" w:hanging="216"/>
        <w:jc w:val="both"/>
        <w:rPr>
          <w:sz w:val="24"/>
        </w:rPr>
      </w:pPr>
      <w:r>
        <w:rPr>
          <w:i/>
        </w:rPr>
        <w:t>재현 가능한 공개 평가 파이프라인: BigQuery 추출, 그래프 구성, PageRank 채점, 프록시 계산 및 LaTeX 결과 테이블을 기계가 읽을 수 있는 요약에 연결합니다(부록 8.1). 파이프라인은 클레임 C1~C4 및 SC1에 대한 독립적인 검증을 지원합니다.</w:t>
      </w:r>
    </w:p>
    <w:p>
      <w:pPr>
        <w:pStyle w:val="ListParagraph"/>
        <w:numPr>
          <w:ilvl w:val="0"/>
          <w:numId w:val="11"/>
        </w:numPr>
        <w:tabs>
          <w:tab w:pos="806" w:val="left" w:leader="none"/>
          <w:tab w:pos="808" w:val="left" w:leader="none"/>
        </w:tabs>
        <w:spacing w:line="388" w:lineRule="auto" w:before="41" w:after="0"/>
        <w:ind w:left="808" w:right="524" w:hanging="216"/>
        <w:jc w:val="both"/>
        <w:rPr>
          <w:sz w:val="24"/>
        </w:rPr>
      </w:pPr>
      <w:r>
        <w:rPr>
          <w:b/>
          <w:sz w:val="24"/>
        </w:rPr>
        <w:t>GF-PR ceiling analysis:</w:t>
      </w:r>
      <w:r>
        <w:rPr>
          <w:b/>
          <w:spacing w:val="40"/>
          <w:sz w:val="24"/>
        </w:rPr>
        <w:t> </w:t>
      </w:r>
      <w:r>
        <w:rPr>
          <w:sz w:val="24"/>
        </w:rPr>
        <w:t>Clarifies construct overlap on trading-outcome proxies for the matched wallet cohort (</w:t>
      </w:r>
      <w:r>
        <w:rPr>
          <w:rFonts w:ascii="Calibri" w:hAnsi="Calibri"/>
          <w:i/>
          <w:sz w:val="24"/>
        </w:rPr>
        <w:t>n</w:t>
      </w:r>
      <w:r>
        <w:rPr>
          <w:rFonts w:ascii="Calibri" w:hAnsi="Calibri"/>
          <w:i/>
          <w:spacing w:val="40"/>
          <w:w w:val="125"/>
          <w:sz w:val="24"/>
        </w:rPr>
        <w:t> </w:t>
      </w:r>
      <w:r>
        <w:rPr>
          <w:rFonts w:ascii="Calibri" w:hAnsi="Calibri"/>
          <w:w w:val="125"/>
          <w:sz w:val="24"/>
        </w:rPr>
        <w:t>=</w:t>
      </w:r>
      <w:r>
        <w:rPr>
          <w:rFonts w:ascii="Calibri" w:hAnsi="Calibri"/>
          <w:spacing w:val="40"/>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40"/>
          <w:sz w:val="24"/>
        </w:rPr>
        <w:t> </w:t>
      </w:r>
      <w:r>
        <w:rPr>
          <w:sz w:val="24"/>
        </w:rPr>
        <w:t>Added as a supplementary contribution during em-pirical work; GF-PR is not proposed as a deployable social reputation method and bounds interpretation of high </w:t>
      </w:r>
      <w:r>
        <w:rPr>
          <w:rFonts w:ascii="Calibri" w:hAnsi="Calibri"/>
          <w:i/>
          <w:sz w:val="24"/>
        </w:rPr>
        <w:t>τ</w:t>
      </w:r>
      <w:r>
        <w:rPr>
          <w:rFonts w:ascii="Calibri" w:hAnsi="Calibri"/>
          <w:i/>
          <w:spacing w:val="40"/>
          <w:sz w:val="24"/>
        </w:rPr>
        <w:t> </w:t>
      </w:r>
      <w:r>
        <w:rPr>
          <w:sz w:val="24"/>
        </w:rPr>
        <w:t>on outcome-native families (Claim SC1).</w:t>
      </w:r>
    </w:p>
    <w:p>
      <w:pPr>
        <w:pStyle w:val="ListParagraph"/>
        <w:numPr>
          <w:ilvl w:val="0"/>
          <w:numId w:val="11"/>
        </w:numPr>
        <w:tabs>
          <w:tab w:pos="806" w:val="left" w:leader="none"/>
          <w:tab w:pos="808" w:val="left" w:leader="none"/>
        </w:tabs>
        <w:spacing w:line="388" w:lineRule="auto" w:before="41" w:after="0"/>
        <w:ind w:left="808" w:right="524" w:hanging="216"/>
        <w:jc w:val="both"/>
        <w:rPr>
          <w:sz w:val="24"/>
        </w:rPr>
      </w:pPr>
      <w:r>
        <w:rPr>
          <w:i/>
        </w:rPr>
        <w:t>GF-PR 상한 분석: 일치하는 지갑 코호트(n = 5,521)에 대한 거래 결과 프록시의 구성 중복을 명확히 합니다. 경험적 작업 중 보충 기여로 추가된 GF-PR은 배포 가능한 사회적 평판 방법 및 결과 기반 가족에 대한 높은 τ의 해석 범위로 제안되지 않습니다(청구 SC1).</w:t>
      </w:r>
    </w:p>
    <w:p>
      <w:pPr>
        <w:pStyle w:val="BodyText"/>
        <w:spacing w:line="345" w:lineRule="auto" w:before="37"/>
        <w:ind w:left="282" w:right="564"/>
      </w:pPr>
      <w:r>
        <w:rPr/>
        <w:t>Empirically, the primary comparison yields inter-method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316</w:t>
      </w:r>
      <w:r>
        <w:rPr/>
        <w:t>, EndorseRank allowance </w:t>
      </w:r>
      <w:r>
        <w:rPr>
          <w:rFonts w:ascii="Calibri" w:hAnsi="Calibri"/>
          <w:i/>
        </w:rPr>
        <w:t>τ</w:t>
      </w:r>
      <w:r>
        <w:rPr>
          <w:rFonts w:ascii="Calibri" w:hAnsi="Calibri"/>
          <w:i/>
          <w:spacing w:val="40"/>
        </w:rPr>
        <w:t> </w:t>
      </w:r>
      <w:r>
        <w:rPr>
          <w:rFonts w:ascii="Calibri" w:hAnsi="Calibri"/>
        </w:rPr>
        <w:t>= 0</w:t>
      </w:r>
      <w:r>
        <w:rPr>
          <w:rFonts w:ascii="Calibri" w:hAnsi="Calibri"/>
          <w:i/>
        </w:rPr>
        <w:t>.</w:t>
      </w:r>
      <w:r>
        <w:rPr>
          <w:rFonts w:ascii="Calibri" w:hAnsi="Calibri"/>
        </w:rPr>
        <w:t>355</w:t>
      </w:r>
      <w:r>
        <w:rPr/>
        <w:t>,</w:t>
      </w:r>
      <w:r>
        <w:rPr>
          <w:spacing w:val="-3"/>
        </w:rPr>
        <w:t> </w:t>
      </w:r>
      <w:r>
        <w:rPr/>
        <w:t>AWP</w:t>
      </w:r>
      <w:r>
        <w:rPr>
          <w:spacing w:val="1"/>
        </w:rPr>
        <w:t> </w:t>
      </w:r>
      <w:r>
        <w:rPr/>
        <w:t>transfer</w:t>
      </w:r>
      <w:r>
        <w:rPr>
          <w:spacing w:val="2"/>
        </w:rPr>
        <w:t> </w:t>
      </w:r>
      <w:r>
        <w:rPr>
          <w:rFonts w:ascii="Calibri" w:hAnsi="Calibri"/>
          <w:i/>
        </w:rPr>
        <w:t>τ</w:t>
      </w:r>
      <w:r>
        <w:rPr>
          <w:rFonts w:ascii="Calibri" w:hAnsi="Calibri"/>
          <w:i/>
          <w:spacing w:val="47"/>
        </w:rPr>
        <w:t> </w:t>
      </w:r>
      <w:r>
        <w:rPr>
          <w:rFonts w:ascii="Calibri" w:hAnsi="Calibri"/>
        </w:rPr>
        <w:t>=</w:t>
      </w:r>
      <w:r>
        <w:rPr>
          <w:rFonts w:ascii="Calibri" w:hAnsi="Calibri"/>
          <w:spacing w:val="21"/>
        </w:rPr>
        <w:t> </w:t>
      </w:r>
      <w:r>
        <w:rPr>
          <w:rFonts w:ascii="Calibri" w:hAnsi="Calibri"/>
        </w:rPr>
        <w:t>0</w:t>
      </w:r>
      <w:r>
        <w:rPr>
          <w:rFonts w:ascii="Calibri" w:hAnsi="Calibri"/>
          <w:i/>
        </w:rPr>
        <w:t>.</w:t>
      </w:r>
      <w:r>
        <w:rPr>
          <w:rFonts w:ascii="Calibri" w:hAnsi="Calibri"/>
        </w:rPr>
        <w:t>534</w:t>
      </w:r>
      <w:r>
        <w:rPr/>
        <w:t>,</w:t>
      </w:r>
      <w:r>
        <w:rPr>
          <w:spacing w:val="3"/>
        </w:rPr>
        <w:t> </w:t>
      </w:r>
      <w:r>
        <w:rPr/>
        <w:t>and</w:t>
      </w:r>
      <w:r>
        <w:rPr>
          <w:spacing w:val="1"/>
        </w:rPr>
        <w:t> </w:t>
      </w:r>
      <w:r>
        <w:rPr/>
        <w:t>an</w:t>
      </w:r>
      <w:r>
        <w:rPr>
          <w:spacing w:val="1"/>
        </w:rPr>
        <w:t> </w:t>
      </w:r>
      <w:r>
        <w:rPr/>
        <w:t>efficiency</w:t>
      </w:r>
      <w:r>
        <w:rPr>
          <w:spacing w:val="2"/>
        </w:rPr>
        <w:t> </w:t>
      </w:r>
      <w:r>
        <w:rPr/>
        <w:t>advantage</w:t>
      </w:r>
      <w:r>
        <w:rPr>
          <w:spacing w:val="1"/>
        </w:rPr>
        <w:t> </w:t>
      </w:r>
      <w:r>
        <w:rPr/>
        <w:t>of</w:t>
      </w:r>
      <w:r>
        <w:rPr>
          <w:spacing w:val="1"/>
        </w:rPr>
        <w:t> </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
        </w:rPr>
        <w:t> </w:t>
      </w:r>
      <w:r>
        <w:rPr/>
        <w:t>versus</w:t>
      </w:r>
      <w:r>
        <w:rPr>
          <w:spacing w:val="2"/>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2"/>
        </w:rPr>
        <w:t> </w:t>
      </w:r>
      <w:r>
        <w:rPr/>
        <w:t>(</w:t>
      </w:r>
      <w:r>
        <w:rPr>
          <w:rFonts w:ascii="Lucida Sans Unicode" w:hAnsi="Lucida Sans Unicode"/>
        </w:rPr>
        <w:t>≈ </w:t>
      </w:r>
      <w:r>
        <w:rPr>
          <w:rFonts w:ascii="Calibri" w:hAnsi="Calibri"/>
          <w:spacing w:val="-2"/>
        </w:rPr>
        <w:t>8</w:t>
      </w:r>
      <w:r>
        <w:rPr>
          <w:rFonts w:ascii="Calibri" w:hAnsi="Calibri"/>
          <w:i/>
          <w:spacing w:val="-2"/>
        </w:rPr>
        <w:t>.</w:t>
      </w:r>
      <w:r>
        <w:rPr>
          <w:rFonts w:ascii="Calibri" w:hAnsi="Calibri"/>
          <w:spacing w:val="-2"/>
        </w:rPr>
        <w:t>9</w:t>
      </w:r>
      <w:r>
        <w:rPr>
          <w:rFonts w:ascii="Lucida Sans Unicode" w:hAnsi="Lucida Sans Unicode"/>
          <w:spacing w:val="-2"/>
        </w:rPr>
        <w:t>×</w:t>
      </w:r>
      <w:r>
        <w:rPr>
          <w:spacing w:val="-2"/>
        </w:rPr>
        <w:t>)</w:t>
      </w:r>
    </w:p>
    <w:p>
      <w:pPr>
        <w:pStyle w:val="BodyText"/>
        <w:spacing w:line="345" w:lineRule="auto" w:before="37"/>
        <w:ind w:left="282" w:right="564"/>
      </w:pPr>
      <w:r>
        <w:rPr>
          <w:i/>
        </w:rPr>
        <w:t>경험적으로, 1차 비교는 방법 간 τ = 0.316, EndorseRank 허용량 τ = 0.355, AWP 전송 τ = 0.534, 그리고 18.711초에 비해 2.105초의 효율성 이점(약 8.9×)을 산출합니다.</w:t>
      </w:r>
    </w:p>
    <w:p>
      <w:pPr>
        <w:pStyle w:val="BodyText"/>
        <w:spacing w:line="294" w:lineRule="exact"/>
        <w:ind w:left="282"/>
      </w:pPr>
      <w:r>
        <w:rPr>
          <w:w w:val="105"/>
        </w:rPr>
        <w:t>on</w:t>
      </w:r>
      <w:r>
        <w:rPr>
          <w:spacing w:val="-16"/>
          <w:w w:val="105"/>
        </w:rPr>
        <w:t> </w:t>
      </w:r>
      <w:r>
        <w:rPr>
          <w:w w:val="105"/>
        </w:rPr>
        <w:t>the</w:t>
      </w:r>
      <w:r>
        <w:rPr>
          <w:spacing w:val="-16"/>
          <w:w w:val="105"/>
        </w:rPr>
        <w:t> </w:t>
      </w:r>
      <w:r>
        <w:rPr>
          <w:w w:val="105"/>
        </w:rPr>
        <w:t>matched</w:t>
      </w:r>
      <w:r>
        <w:rPr>
          <w:spacing w:val="-16"/>
          <w:w w:val="105"/>
        </w:rPr>
        <w:t> </w:t>
      </w:r>
      <w:r>
        <w:rPr>
          <w:w w:val="105"/>
        </w:rPr>
        <w:t>cohort,</w:t>
      </w:r>
      <w:r>
        <w:rPr>
          <w:spacing w:val="-15"/>
          <w:w w:val="105"/>
        </w:rPr>
        <w:t> </w:t>
      </w:r>
      <w:r>
        <w:rPr>
          <w:w w:val="105"/>
        </w:rPr>
        <w:t>with</w:t>
      </w:r>
      <w:r>
        <w:rPr>
          <w:spacing w:val="-14"/>
          <w:w w:val="105"/>
        </w:rPr>
        <w:t> </w:t>
      </w:r>
      <w:r>
        <w:rPr>
          <w:w w:val="105"/>
        </w:rPr>
        <w:t>pool</w:t>
      </w:r>
      <w:r>
        <w:rPr>
          <w:spacing w:val="-12"/>
          <w:w w:val="105"/>
        </w:rPr>
        <w:t> </w:t>
      </w:r>
      <w:r>
        <w:rPr>
          <w:w w:val="105"/>
        </w:rPr>
        <w:t>scaling</w:t>
      </w:r>
      <w:r>
        <w:rPr>
          <w:spacing w:val="-12"/>
          <w:w w:val="105"/>
        </w:rPr>
        <w:t> </w:t>
      </w:r>
      <w:r>
        <w:rPr>
          <w:w w:val="105"/>
        </w:rPr>
        <w:t>of</w:t>
      </w:r>
      <w:r>
        <w:rPr>
          <w:spacing w:val="-12"/>
          <w:w w:val="105"/>
        </w:rPr>
        <w:t> </w:t>
      </w:r>
      <w:r>
        <w:rPr>
          <w:rFonts w:ascii="Lucida Sans Unicode" w:hAnsi="Lucida Sans Unicode"/>
          <w:w w:val="105"/>
        </w:rPr>
        <w:t>≈</w:t>
      </w:r>
      <w:r>
        <w:rPr>
          <w:rFonts w:ascii="Lucida Sans Unicode" w:hAnsi="Lucida Sans Unicode"/>
          <w:spacing w:val="-17"/>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2"/>
          <w:w w:val="105"/>
        </w:rPr>
        <w:t> </w:t>
      </w:r>
      <w:r>
        <w:rPr>
          <w:rFonts w:ascii="Calibri" w:hAnsi="Calibri"/>
          <w:i/>
          <w:w w:val="105"/>
        </w:rPr>
        <w:t>n</w:t>
      </w:r>
      <w:r>
        <w:rPr>
          <w:rFonts w:ascii="Calibri" w:hAnsi="Calibri"/>
          <w:i/>
          <w:spacing w:val="-5"/>
          <w:w w:val="125"/>
        </w:rPr>
        <w:t> </w:t>
      </w:r>
      <w:r>
        <w:rPr>
          <w:rFonts w:ascii="Calibri" w:hAnsi="Calibri"/>
          <w:w w:val="125"/>
        </w:rPr>
        <w:t>=</w:t>
      </w:r>
      <w:r>
        <w:rPr>
          <w:rFonts w:ascii="Calibri" w:hAnsi="Calibri"/>
          <w:spacing w:val="-5"/>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6"/>
          <w:w w:val="105"/>
        </w:rPr>
        <w:t> </w:t>
      </w:r>
      <w:r>
        <w:rPr>
          <w:w w:val="105"/>
        </w:rPr>
        <w:t>and</w:t>
      </w:r>
      <w:r>
        <w:rPr>
          <w:spacing w:val="-12"/>
          <w:w w:val="105"/>
        </w:rPr>
        <w:t> </w:t>
      </w:r>
      <w:r>
        <w:rPr>
          <w:rFonts w:ascii="Lucida Sans Unicode" w:hAnsi="Lucida Sans Unicode"/>
          <w:w w:val="105"/>
        </w:rPr>
        <w:t>≈</w:t>
      </w:r>
      <w:r>
        <w:rPr>
          <w:rFonts w:ascii="Lucida Sans Unicode" w:hAnsi="Lucida Sans Unicode"/>
          <w:spacing w:val="-17"/>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2"/>
          <w:w w:val="105"/>
        </w:rPr>
        <w:t> </w:t>
      </w:r>
      <w:r>
        <w:rPr>
          <w:rFonts w:ascii="Calibri" w:hAnsi="Calibri"/>
          <w:i/>
          <w:w w:val="105"/>
        </w:rPr>
        <w:t>N</w:t>
      </w:r>
      <w:r>
        <w:rPr>
          <w:rFonts w:ascii="Calibri" w:hAnsi="Calibri"/>
          <w:i/>
          <w:spacing w:val="14"/>
          <w:w w:val="125"/>
        </w:rPr>
        <w:t> </w:t>
      </w:r>
      <w:r>
        <w:rPr>
          <w:rFonts w:ascii="Calibri" w:hAnsi="Calibri"/>
          <w:w w:val="125"/>
        </w:rPr>
        <w:t>=</w:t>
      </w:r>
      <w:r>
        <w:rPr>
          <w:rFonts w:ascii="Calibri" w:hAnsi="Calibri"/>
          <w:spacing w:val="-6"/>
          <w:w w:val="125"/>
        </w:rPr>
        <w:t> </w:t>
      </w:r>
      <w:r>
        <w:rPr>
          <w:rFonts w:ascii="Calibri" w:hAnsi="Calibri"/>
          <w:spacing w:val="-2"/>
          <w:w w:val="105"/>
        </w:rPr>
        <w:t>31</w:t>
      </w:r>
      <w:r>
        <w:rPr>
          <w:rFonts w:ascii="Calibri" w:hAnsi="Calibri"/>
          <w:i/>
          <w:spacing w:val="-2"/>
          <w:w w:val="105"/>
        </w:rPr>
        <w:t>,</w:t>
      </w:r>
      <w:r>
        <w:rPr>
          <w:rFonts w:ascii="Calibri" w:hAnsi="Calibri"/>
          <w:spacing w:val="-2"/>
          <w:w w:val="105"/>
        </w:rPr>
        <w:t>612</w:t>
      </w:r>
      <w:r>
        <w:rPr>
          <w:spacing w:val="-2"/>
          <w:w w:val="105"/>
        </w:rPr>
        <w:t>.</w:t>
      </w:r>
    </w:p>
    <w:p>
      <w:pPr>
        <w:pStyle w:val="BodyText"/>
        <w:spacing w:line="294" w:lineRule="exact"/>
        <w:ind w:left="282"/>
      </w:pPr>
      <w:r>
        <w:rPr>
          <w:i/>
        </w:rPr>
        <w:t>일치하는 코호트에서 풀 스케일링은 n = 10,000에서 10.4×, N = 31,612에서 9.4×입니다.</w:t>
      </w:r>
    </w:p>
    <w:p>
      <w:pPr>
        <w:pStyle w:val="BodyText"/>
        <w:spacing w:line="396" w:lineRule="auto" w:before="127"/>
        <w:ind w:left="282" w:right="524" w:hanging="8"/>
      </w:pPr>
      <w:r>
        <w:rPr/>
        <w:t>These results support an efficiency–alignment trade-off rather than universal dominance of either </w:t>
      </w:r>
      <w:bookmarkStart w:name="Scope and limitations" w:id="23"/>
      <w:bookmarkEnd w:id="23"/>
      <w:r>
        <w:rPr>
          <w:w w:val="99"/>
        </w:rPr>
      </w:r>
      <w:bookmarkStart w:name="_bookmark15" w:id="24"/>
      <w:bookmarkEnd w:id="24"/>
      <w:r>
        <w:rPr/>
        <w:t>social</w:t>
      </w:r>
      <w:r>
        <w:rPr/>
        <w:t> method.</w:t>
      </w:r>
    </w:p>
    <w:p>
      <w:pPr>
        <w:pStyle w:val="BodyText"/>
        <w:spacing w:line="396" w:lineRule="auto" w:before="127"/>
        <w:ind w:left="282" w:right="524" w:hanging="8"/>
      </w:pPr>
      <w:r>
        <w:rPr>
          <w:i/>
        </w:rPr>
        <w:t>이러한 결과는 두 가지 사회적 방법 모두의 보편적인 지배보다는 효율성-조정 균형을 뒷받침합니다.</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r>
        <w:rPr/>
        <w:t>Scope</w:t>
      </w:r>
      <w:r>
        <w:rPr>
          <w:spacing w:val="11"/>
        </w:rPr>
        <w:t> </w:t>
      </w:r>
      <w:r>
        <w:rPr/>
        <w:t>and</w:t>
      </w:r>
      <w:r>
        <w:rPr>
          <w:spacing w:val="12"/>
        </w:rPr>
        <w:t> </w:t>
      </w:r>
      <w:r>
        <w:rPr>
          <w:spacing w:val="-2"/>
        </w:rPr>
        <w:t>limitations</w:t>
      </w:r>
    </w:p>
    <w:p>
      <w:pPr>
        <w:pStyle w:val="Heading2"/>
        <w:numPr>
          <w:ilvl w:val="1"/>
          <w:numId w:val="8"/>
        </w:numPr>
        <w:tabs>
          <w:tab w:pos="783" w:val="left" w:leader="none"/>
        </w:tabs>
        <w:spacing w:line="240" w:lineRule="auto" w:before="0" w:after="0"/>
        <w:ind w:left="783" w:right="0" w:hanging="501"/>
        <w:jc w:val="left"/>
      </w:pPr>
      <w:r>
        <w:rPr>
          <w:i/>
        </w:rPr>
        <w:t>범위 및 제한 사항</w:t>
      </w:r>
    </w:p>
    <w:p>
      <w:pPr>
        <w:pStyle w:val="BodyText"/>
        <w:spacing w:before="24"/>
        <w:rPr>
          <w:b/>
          <w:sz w:val="28"/>
        </w:rPr>
      </w:pPr>
    </w:p>
    <w:p>
      <w:pPr>
        <w:pStyle w:val="BodyText"/>
        <w:spacing w:line="384" w:lineRule="auto"/>
        <w:ind w:left="270" w:right="524" w:firstLine="4"/>
        <w:jc w:val="both"/>
      </w:pPr>
      <w:r>
        <w:rPr/>
        <w:t>This dissertation focuses on Arbitrum One and GMX V2 perpetual trading over the observation window 2025-12-01 to 2026-05-31.</w:t>
      </w:r>
      <w:r>
        <w:rPr>
          <w:spacing w:val="40"/>
        </w:rPr>
        <w:t> </w:t>
      </w:r>
      <w:r>
        <w:rPr/>
        <w:t>The primary empirical sample is a matched wallet cohort of </w:t>
      </w:r>
      <w:r>
        <w:rPr>
          <w:rFonts w:ascii="Calibri"/>
          <w:i/>
          <w:w w:val="110"/>
        </w:rPr>
        <w:t>n</w:t>
      </w:r>
      <w:r>
        <w:rPr>
          <w:rFonts w:ascii="Calibri"/>
          <w:i/>
          <w:spacing w:val="-15"/>
          <w:w w:val="110"/>
        </w:rPr>
        <w:t> </w:t>
      </w:r>
      <w:r>
        <w:rPr>
          <w:rFonts w:ascii="Calibri"/>
          <w:w w:val="110"/>
        </w:rPr>
        <w:t>=</w:t>
      </w:r>
      <w:r>
        <w:rPr>
          <w:rFonts w:ascii="Calibri"/>
          <w:spacing w:val="-15"/>
          <w:w w:val="110"/>
        </w:rPr>
        <w:t> </w:t>
      </w:r>
      <w:r>
        <w:rPr>
          <w:rFonts w:ascii="Calibri"/>
          <w:w w:val="110"/>
        </w:rPr>
        <w:t>5</w:t>
      </w:r>
      <w:r>
        <w:rPr>
          <w:rFonts w:ascii="Calibri"/>
          <w:i/>
          <w:w w:val="110"/>
        </w:rPr>
        <w:t>,</w:t>
      </w:r>
      <w:r>
        <w:rPr>
          <w:rFonts w:ascii="Calibri"/>
          <w:w w:val="110"/>
        </w:rPr>
        <w:t>521</w:t>
      </w:r>
      <w:r>
        <w:rPr>
          <w:rFonts w:ascii="Calibri"/>
          <w:spacing w:val="-15"/>
          <w:w w:val="110"/>
        </w:rPr>
        <w:t> </w:t>
      </w:r>
      <w:r>
        <w:rPr>
          <w:w w:val="110"/>
        </w:rPr>
        <w:t>addresses</w:t>
      </w:r>
      <w:r>
        <w:rPr>
          <w:spacing w:val="-17"/>
          <w:w w:val="110"/>
        </w:rPr>
        <w:t> </w:t>
      </w:r>
      <w:r>
        <w:rPr>
          <w:w w:val="110"/>
        </w:rPr>
        <w:t>with</w:t>
      </w:r>
      <w:r>
        <w:rPr>
          <w:spacing w:val="-16"/>
          <w:w w:val="110"/>
        </w:rPr>
        <w:t> </w:t>
      </w:r>
      <w:r>
        <w:rPr>
          <w:w w:val="110"/>
        </w:rPr>
        <w:t>at</w:t>
      </w:r>
      <w:r>
        <w:rPr>
          <w:spacing w:val="-17"/>
          <w:w w:val="110"/>
        </w:rPr>
        <w:t> </w:t>
      </w:r>
      <w:r>
        <w:rPr>
          <w:w w:val="110"/>
        </w:rPr>
        <w:t>least</w:t>
      </w:r>
      <w:r>
        <w:rPr>
          <w:spacing w:val="-16"/>
          <w:w w:val="110"/>
        </w:rPr>
        <w:t> </w:t>
      </w:r>
      <w:r>
        <w:rPr>
          <w:w w:val="110"/>
        </w:rPr>
        <w:t>three</w:t>
      </w:r>
      <w:r>
        <w:rPr>
          <w:spacing w:val="-17"/>
          <w:w w:val="110"/>
        </w:rPr>
        <w:t> </w:t>
      </w:r>
      <w:r>
        <w:rPr>
          <w:w w:val="110"/>
        </w:rPr>
        <w:t>GMX</w:t>
      </w:r>
      <w:r>
        <w:rPr>
          <w:spacing w:val="-16"/>
          <w:w w:val="110"/>
        </w:rPr>
        <w:t> </w:t>
      </w:r>
      <w:r>
        <w:rPr>
          <w:rFonts w:ascii="Calibri"/>
          <w:w w:val="110"/>
        </w:rPr>
        <w:t>PositionDecrease</w:t>
      </w:r>
      <w:r>
        <w:rPr>
          <w:rFonts w:ascii="Calibri"/>
          <w:spacing w:val="-15"/>
          <w:w w:val="110"/>
        </w:rPr>
        <w:t> </w:t>
      </w:r>
      <w:r>
        <w:rPr>
          <w:w w:val="110"/>
        </w:rPr>
        <w:t>events</w:t>
      </w:r>
      <w:r>
        <w:rPr>
          <w:spacing w:val="-17"/>
          <w:w w:val="110"/>
        </w:rPr>
        <w:t> </w:t>
      </w:r>
      <w:r>
        <w:rPr>
          <w:w w:val="110"/>
        </w:rPr>
        <w:t>and</w:t>
      </w:r>
      <w:r>
        <w:rPr>
          <w:spacing w:val="-16"/>
          <w:w w:val="110"/>
        </w:rPr>
        <w:t> </w:t>
      </w:r>
      <w:r>
        <w:rPr>
          <w:w w:val="110"/>
        </w:rPr>
        <w:t>non-zero</w:t>
      </w:r>
      <w:r>
        <w:rPr>
          <w:spacing w:val="-17"/>
          <w:w w:val="110"/>
        </w:rPr>
        <w:t> </w:t>
      </w:r>
      <w:r>
        <w:rPr>
          <w:w w:val="110"/>
        </w:rPr>
        <w:t>reputa-</w:t>
      </w:r>
      <w:r>
        <w:rPr/>
        <w:t>tion subgraph connectivity, comprising </w:t>
      </w:r>
      <w:r>
        <w:rPr>
          <w:rFonts w:ascii="Calibri"/>
        </w:rPr>
        <w:t>365</w:t>
      </w:r>
      <w:r>
        <w:rPr>
          <w:rFonts w:ascii="Calibri"/>
          <w:i/>
        </w:rPr>
        <w:t>,</w:t>
      </w:r>
      <w:r>
        <w:rPr>
          <w:rFonts w:ascii="Calibri"/>
        </w:rPr>
        <w:t>488 </w:t>
      </w:r>
      <w:r>
        <w:rPr/>
        <w:t>decoded closes, </w:t>
      </w:r>
      <w:r>
        <w:rPr>
          <w:rFonts w:ascii="Calibri"/>
        </w:rPr>
        <w:t>14</w:t>
      </w:r>
      <w:r>
        <w:rPr>
          <w:rFonts w:ascii="Calibri"/>
          <w:i/>
        </w:rPr>
        <w:t>,</w:t>
      </w:r>
      <w:r>
        <w:rPr>
          <w:rFonts w:ascii="Calibri"/>
        </w:rPr>
        <w:t>727 </w:t>
      </w:r>
      <w:r>
        <w:rPr/>
        <w:t>EndorseRank edges, and </w:t>
      </w:r>
      <w:r>
        <w:rPr>
          <w:rFonts w:ascii="Calibri"/>
        </w:rPr>
        <w:t>137</w:t>
      </w:r>
      <w:r>
        <w:rPr>
          <w:rFonts w:ascii="Calibri"/>
          <w:i/>
        </w:rPr>
        <w:t>,</w:t>
      </w:r>
      <w:r>
        <w:rPr>
          <w:rFonts w:ascii="Calibri"/>
        </w:rPr>
        <w:t>087 </w:t>
      </w:r>
      <w:r>
        <w:rPr/>
        <w:t>AWP edges. Runtime scaling is reported on an expanded wallet pool (</w:t>
      </w:r>
      <w:r>
        <w:rPr>
          <w:rFonts w:ascii="Calibri"/>
          <w:i/>
        </w:rPr>
        <w:t>N</w:t>
      </w:r>
      <w:r>
        <w:rPr>
          <w:rFonts w:ascii="Calibri"/>
          <w:i/>
          <w:spacing w:val="40"/>
        </w:rPr>
        <w:t> </w:t>
      </w:r>
      <w:r>
        <w:rPr>
          <w:rFonts w:ascii="Calibri"/>
        </w:rPr>
        <w:t>= 31</w:t>
      </w:r>
      <w:r>
        <w:rPr>
          <w:rFonts w:ascii="Calibri"/>
          <w:i/>
        </w:rPr>
        <w:t>,</w:t>
      </w:r>
      <w:r>
        <w:rPr>
          <w:rFonts w:ascii="Calibri"/>
        </w:rPr>
        <w:t>612</w:t>
      </w:r>
      <w:r>
        <w:rPr/>
        <w:t>). Ro-bustness checks examine damping sensitivity, top-token subgraphs, and sample-size sensitivity.</w:t>
      </w:r>
    </w:p>
    <w:p>
      <w:pPr>
        <w:pStyle w:val="BodyText"/>
        <w:spacing w:line="384" w:lineRule="auto"/>
        <w:ind w:left="270" w:right="524" w:firstLine="4"/>
        <w:jc w:val="both"/>
      </w:pPr>
      <w:r>
        <w:rPr>
          <w:i/>
        </w:rPr>
        <w:t>이 논문은 2025년 12월 1일부터 2026년 5월 31일까지 관찰 기간 동안의 Arbitrum One 및 GMX V2 영구 거래에 중점을 둡니다. 주요 경험적 샘플은 3개 이상의 GMX PositionDecrease 이벤트 및 0이 아닌 평판 하위 그래프 연결을 갖춘 n = 5,521개 주소의 일치하는 지갑 코호트로, 365,488개의 디코딩된 닫기, 14,727개의 EndorseRank 에지 및 137,087 AWP 에지로 구성됩니다. 런타임 스케일링은 확장된 지갑 풀(N = 31,612)에 보고됩니다. 견고성 검사는 감쇠 민감도, 최상위 토큰 하위 그래프 및 표본 크기 민감도를 검사합니다.</w:t>
      </w:r>
    </w:p>
    <w:p>
      <w:pPr>
        <w:pStyle w:val="BodyText"/>
        <w:spacing w:before="22"/>
        <w:ind w:left="282"/>
        <w:jc w:val="both"/>
      </w:pPr>
      <w:r>
        <w:rPr/>
        <w:t>Unsecured</w:t>
      </w:r>
      <w:r>
        <w:rPr>
          <w:spacing w:val="-14"/>
        </w:rPr>
        <w:t> </w:t>
      </w:r>
      <w:r>
        <w:rPr/>
        <w:t>lending</w:t>
      </w:r>
      <w:r>
        <w:rPr>
          <w:spacing w:val="-13"/>
        </w:rPr>
        <w:t> </w:t>
      </w:r>
      <w:r>
        <w:rPr/>
        <w:t>default</w:t>
      </w:r>
      <w:r>
        <w:rPr>
          <w:spacing w:val="-13"/>
        </w:rPr>
        <w:t> </w:t>
      </w:r>
      <w:r>
        <w:rPr/>
        <w:t>labels</w:t>
      </w:r>
      <w:r>
        <w:rPr>
          <w:spacing w:val="-13"/>
        </w:rPr>
        <w:t> </w:t>
      </w:r>
      <w:r>
        <w:rPr/>
        <w:t>are</w:t>
      </w:r>
      <w:r>
        <w:rPr>
          <w:spacing w:val="-13"/>
        </w:rPr>
        <w:t> </w:t>
      </w:r>
      <w:r>
        <w:rPr/>
        <w:t>out</w:t>
      </w:r>
      <w:r>
        <w:rPr>
          <w:spacing w:val="-13"/>
        </w:rPr>
        <w:t> </w:t>
      </w:r>
      <w:r>
        <w:rPr/>
        <w:t>of</w:t>
      </w:r>
      <w:r>
        <w:rPr>
          <w:spacing w:val="-13"/>
        </w:rPr>
        <w:t> </w:t>
      </w:r>
      <w:r>
        <w:rPr/>
        <w:t>scope:</w:t>
      </w:r>
      <w:r>
        <w:rPr>
          <w:spacing w:val="6"/>
        </w:rPr>
        <w:t> </w:t>
      </w:r>
      <w:r>
        <w:rPr/>
        <w:t>under-collateralized</w:t>
      </w:r>
      <w:r>
        <w:rPr>
          <w:spacing w:val="-13"/>
        </w:rPr>
        <w:t> </w:t>
      </w:r>
      <w:r>
        <w:rPr/>
        <w:t>credit</w:t>
      </w:r>
      <w:r>
        <w:rPr>
          <w:spacing w:val="-13"/>
        </w:rPr>
        <w:t> </w:t>
      </w:r>
      <w:r>
        <w:rPr/>
        <w:t>events</w:t>
      </w:r>
      <w:r>
        <w:rPr>
          <w:spacing w:val="-13"/>
        </w:rPr>
        <w:t> </w:t>
      </w:r>
      <w:r>
        <w:rPr/>
        <w:t>are</w:t>
      </w:r>
      <w:r>
        <w:rPr>
          <w:spacing w:val="-13"/>
        </w:rPr>
        <w:t> </w:t>
      </w:r>
      <w:r>
        <w:rPr/>
        <w:t>too</w:t>
      </w:r>
      <w:r>
        <w:rPr>
          <w:spacing w:val="-13"/>
        </w:rPr>
        <w:t> </w:t>
      </w:r>
      <w:r>
        <w:rPr>
          <w:spacing w:val="-2"/>
        </w:rPr>
        <w:t>sparse</w:t>
      </w:r>
    </w:p>
    <w:p>
      <w:pPr>
        <w:pStyle w:val="BodyText"/>
        <w:spacing w:before="22"/>
        <w:ind w:left="282"/>
        <w:jc w:val="both"/>
      </w:pPr>
      <w:r>
        <w:rPr>
          <w:i/>
        </w:rPr>
        <w:t>무담보 대출 기본 라벨은 범위를 벗어납니다. 담보가 부족한 신용 이벤트가 너무 희박합니다.</w:t>
      </w:r>
    </w:p>
    <w:p>
      <w:pPr>
        <w:pStyle w:val="BodyText"/>
        <w:spacing w:after="0"/>
        <w:jc w:val="both"/>
        <w:sectPr>
          <w:pgSz w:w="11910" w:h="16840"/>
          <w:pgMar w:header="0" w:footer="2115" w:top="1820" w:bottom="2300" w:left="992" w:right="708"/>
        </w:sectPr>
      </w:pPr>
    </w:p>
    <w:p>
      <w:pPr>
        <w:pStyle w:val="BodyText"/>
        <w:spacing w:line="396" w:lineRule="auto" w:before="72"/>
        <w:ind w:left="282" w:right="561"/>
        <w:jc w:val="both"/>
      </w:pPr>
      <w:r>
        <w:rPr/>
        <w:t>on this chain for reliable ground-truth validation.</w:t>
      </w:r>
      <w:r>
        <w:rPr>
          <w:spacing w:val="30"/>
        </w:rPr>
        <w:t> </w:t>
      </w:r>
      <w:r>
        <w:rPr/>
        <w:t>Constructs and ethics are defined in Chapters </w:t>
      </w:r>
      <w:hyperlink w:history="true" w:anchor="_bookmark4">
        <w:r>
          <w:rPr/>
          <w:t>1</w:t>
        </w:r>
      </w:hyperlink>
      <w:r>
        <w:rPr/>
        <w:t> and</w:t>
      </w:r>
      <w:r>
        <w:rPr>
          <w:spacing w:val="-15"/>
        </w:rPr>
        <w:t> </w:t>
      </w:r>
      <w:hyperlink w:history="true" w:anchor="_bookmark48">
        <w:r>
          <w:rPr/>
          <w:t>3</w:t>
        </w:r>
      </w:hyperlink>
      <w:r>
        <w:rPr/>
        <w:t>.</w:t>
      </w:r>
      <w:r>
        <w:rPr>
          <w:spacing w:val="7"/>
        </w:rPr>
        <w:t> </w:t>
      </w:r>
      <w:r>
        <w:rPr/>
        <w:t>Among</w:t>
      </w:r>
      <w:r>
        <w:rPr>
          <w:spacing w:val="-15"/>
        </w:rPr>
        <w:t> </w:t>
      </w:r>
      <w:r>
        <w:rPr/>
        <w:t>social</w:t>
      </w:r>
      <w:r>
        <w:rPr>
          <w:spacing w:val="-15"/>
        </w:rPr>
        <w:t> </w:t>
      </w:r>
      <w:r>
        <w:rPr/>
        <w:t>methods,</w:t>
      </w:r>
      <w:r>
        <w:rPr>
          <w:spacing w:val="-14"/>
        </w:rPr>
        <w:t> </w:t>
      </w:r>
      <w:r>
        <w:rPr/>
        <w:t>transfer</w:t>
      </w:r>
      <w:r>
        <w:rPr>
          <w:spacing w:val="-15"/>
        </w:rPr>
        <w:t> </w:t>
      </w:r>
      <w:r>
        <w:rPr/>
        <w:t>proxies</w:t>
      </w:r>
      <w:r>
        <w:rPr>
          <w:spacing w:val="-15"/>
        </w:rPr>
        <w:t> </w:t>
      </w:r>
      <w:r>
        <w:rPr/>
        <w:t>align</w:t>
      </w:r>
      <w:r>
        <w:rPr>
          <w:spacing w:val="-15"/>
        </w:rPr>
        <w:t> </w:t>
      </w:r>
      <w:r>
        <w:rPr/>
        <w:t>more</w:t>
      </w:r>
      <w:r>
        <w:rPr>
          <w:spacing w:val="-15"/>
        </w:rPr>
        <w:t> </w:t>
      </w:r>
      <w:r>
        <w:rPr/>
        <w:t>strongly</w:t>
      </w:r>
      <w:r>
        <w:rPr>
          <w:spacing w:val="-15"/>
        </w:rPr>
        <w:t> </w:t>
      </w:r>
      <w:r>
        <w:rPr/>
        <w:t>than</w:t>
      </w:r>
      <w:r>
        <w:rPr>
          <w:spacing w:val="-15"/>
        </w:rPr>
        <w:t> </w:t>
      </w:r>
      <w:r>
        <w:rPr/>
        <w:t>trading-success</w:t>
      </w:r>
      <w:r>
        <w:rPr>
          <w:spacing w:val="-15"/>
        </w:rPr>
        <w:t> </w:t>
      </w:r>
      <w:r>
        <w:rPr/>
        <w:t>proxies</w:t>
      </w:r>
      <w:r>
        <w:rPr>
          <w:spacing w:val="-15"/>
        </w:rPr>
        <w:t> </w:t>
      </w:r>
      <w:r>
        <w:rPr/>
        <w:t>on this sample (RQ4); this does not diminish EndorseRank’s allowance-specific validity or runtime advantage.</w:t>
      </w:r>
      <w:r>
        <w:rPr>
          <w:spacing w:val="40"/>
        </w:rPr>
        <w:t> </w:t>
      </w:r>
      <w:r>
        <w:rPr/>
        <w:t>GF-PR results are reported as supplementary diagnostics (SRQ1), not as a third peer reputation</w:t>
      </w:r>
      <w:r>
        <w:rPr>
          <w:spacing w:val="-13"/>
        </w:rPr>
        <w:t> </w:t>
      </w:r>
      <w:r>
        <w:rPr/>
        <w:t>method.</w:t>
      </w:r>
      <w:r>
        <w:rPr>
          <w:spacing w:val="10"/>
        </w:rPr>
        <w:t> </w:t>
      </w:r>
      <w:r>
        <w:rPr/>
        <w:t>Extended</w:t>
      </w:r>
      <w:r>
        <w:rPr>
          <w:spacing w:val="-13"/>
        </w:rPr>
        <w:t> </w:t>
      </w:r>
      <w:r>
        <w:rPr/>
        <w:t>baselines</w:t>
      </w:r>
      <w:r>
        <w:rPr>
          <w:spacing w:val="-13"/>
        </w:rPr>
        <w:t> </w:t>
      </w:r>
      <w:r>
        <w:rPr/>
        <w:t>archived</w:t>
      </w:r>
      <w:r>
        <w:rPr>
          <w:spacing w:val="-13"/>
        </w:rPr>
        <w:t> </w:t>
      </w:r>
      <w:r>
        <w:rPr/>
        <w:t>for</w:t>
      </w:r>
      <w:r>
        <w:rPr>
          <w:spacing w:val="-13"/>
        </w:rPr>
        <w:t> </w:t>
      </w:r>
      <w:r>
        <w:rPr/>
        <w:t>future</w:t>
      </w:r>
      <w:r>
        <w:rPr>
          <w:spacing w:val="-13"/>
        </w:rPr>
        <w:t> </w:t>
      </w:r>
      <w:r>
        <w:rPr/>
        <w:t>comparison</w:t>
      </w:r>
      <w:r>
        <w:rPr>
          <w:spacing w:val="-13"/>
        </w:rPr>
        <w:t> </w:t>
      </w:r>
      <w:r>
        <w:rPr/>
        <w:t>are</w:t>
      </w:r>
      <w:r>
        <w:rPr>
          <w:spacing w:val="-13"/>
        </w:rPr>
        <w:t> </w:t>
      </w:r>
      <w:r>
        <w:rPr/>
        <w:t>excluded</w:t>
      </w:r>
      <w:r>
        <w:rPr>
          <w:spacing w:val="-13"/>
        </w:rPr>
        <w:t> </w:t>
      </w:r>
      <w:r>
        <w:rPr/>
        <w:t>from</w:t>
      </w:r>
      <w:r>
        <w:rPr>
          <w:spacing w:val="-13"/>
        </w:rPr>
        <w:t> </w:t>
      </w:r>
      <w:r>
        <w:rPr/>
        <w:t>the</w:t>
      </w:r>
      <w:r>
        <w:rPr>
          <w:spacing w:val="-13"/>
        </w:rPr>
        <w:t> </w:t>
      </w:r>
      <w:r>
        <w:rPr/>
        <w:t>main narrative (Appendix </w:t>
      </w:r>
      <w:hyperlink w:history="true" w:anchor="_bookmark198">
        <w:r>
          <w:rPr/>
          <w:t>8.1</w:t>
        </w:r>
      </w:hyperlink>
      <w:r>
        <w:rPr/>
        <w:t>).</w:t>
      </w:r>
    </w:p>
    <w:p>
      <w:pPr>
        <w:pStyle w:val="BodyText"/>
        <w:spacing w:line="396" w:lineRule="auto" w:before="72"/>
        <w:ind w:left="282" w:right="561"/>
        <w:jc w:val="both"/>
      </w:pPr>
      <w:r>
        <w:rPr>
          <w:i/>
        </w:rPr>
        <w:t>신뢰할 수 있는 실측 검증을 위해 이 체인에 있습니다. 구조와 윤리는 1장과 3장에서 정의됩니다. 사회적 방법 중에서 전송 프록시는 이 샘플(RQ4)의 거래 성공 프록시보다 더 강력하게 정렬됩니다. 이는 EndorseRank의 허용량별 유효성 또는 런타임 이점을 감소시키지 않습니다. GF-PR 결과는 제3의 동료 평판 방법이 아닌 보충 진단(SRQ1)으로 보고됩니다. 향후 비교를 위해 보관된 확장 기준선은 주요 설명에서 제외됩니다(부록 8.1).</w:t>
      </w:r>
    </w:p>
    <w:p>
      <w:pPr>
        <w:pStyle w:val="BodyText"/>
        <w:spacing w:line="396" w:lineRule="auto" w:before="21"/>
        <w:ind w:left="273" w:right="520" w:firstLine="8"/>
        <w:jc w:val="both"/>
      </w:pPr>
      <w:r>
        <w:rPr/>
        <w:t>Generalization</w:t>
      </w:r>
      <w:r>
        <w:rPr>
          <w:spacing w:val="-15"/>
        </w:rPr>
        <w:t> </w:t>
      </w:r>
      <w:r>
        <w:rPr/>
        <w:t>beyond</w:t>
      </w:r>
      <w:r>
        <w:rPr>
          <w:spacing w:val="-15"/>
        </w:rPr>
        <w:t> </w:t>
      </w:r>
      <w:r>
        <w:rPr/>
        <w:t>Arbitrum</w:t>
      </w:r>
      <w:r>
        <w:rPr>
          <w:spacing w:val="-15"/>
        </w:rPr>
        <w:t> </w:t>
      </w:r>
      <w:r>
        <w:rPr/>
        <w:t>One,</w:t>
      </w:r>
      <w:r>
        <w:rPr>
          <w:spacing w:val="-14"/>
        </w:rPr>
        <w:t> </w:t>
      </w:r>
      <w:r>
        <w:rPr/>
        <w:t>GMX</w:t>
      </w:r>
      <w:r>
        <w:rPr>
          <w:spacing w:val="-15"/>
        </w:rPr>
        <w:t> </w:t>
      </w:r>
      <w:r>
        <w:rPr/>
        <w:t>V2,</w:t>
      </w:r>
      <w:r>
        <w:rPr>
          <w:spacing w:val="-13"/>
        </w:rPr>
        <w:t> </w:t>
      </w:r>
      <w:r>
        <w:rPr/>
        <w:t>and</w:t>
      </w:r>
      <w:r>
        <w:rPr>
          <w:spacing w:val="-15"/>
        </w:rPr>
        <w:t> </w:t>
      </w:r>
      <w:r>
        <w:rPr/>
        <w:t>the</w:t>
      </w:r>
      <w:r>
        <w:rPr>
          <w:spacing w:val="-15"/>
        </w:rPr>
        <w:t> </w:t>
      </w:r>
      <w:r>
        <w:rPr/>
        <w:t>six-month</w:t>
      </w:r>
      <w:r>
        <w:rPr>
          <w:spacing w:val="-15"/>
        </w:rPr>
        <w:t> </w:t>
      </w:r>
      <w:r>
        <w:rPr/>
        <w:t>window</w:t>
      </w:r>
      <w:r>
        <w:rPr>
          <w:spacing w:val="-15"/>
        </w:rPr>
        <w:t> </w:t>
      </w:r>
      <w:r>
        <w:rPr/>
        <w:t>is</w:t>
      </w:r>
      <w:r>
        <w:rPr>
          <w:spacing w:val="-15"/>
        </w:rPr>
        <w:t> </w:t>
      </w:r>
      <w:r>
        <w:rPr/>
        <w:t>not</w:t>
      </w:r>
      <w:r>
        <w:rPr>
          <w:spacing w:val="-15"/>
        </w:rPr>
        <w:t> </w:t>
      </w:r>
      <w:r>
        <w:rPr/>
        <w:t>claimed.</w:t>
      </w:r>
      <w:r>
        <w:rPr>
          <w:spacing w:val="7"/>
        </w:rPr>
        <w:t> </w:t>
      </w:r>
      <w:r>
        <w:rPr/>
        <w:t>Token-</w:t>
      </w:r>
      <w:r>
        <w:rPr>
          <w:spacing w:val="-2"/>
        </w:rPr>
        <w:t>decimal</w:t>
      </w:r>
      <w:r>
        <w:rPr>
          <w:spacing w:val="-4"/>
        </w:rPr>
        <w:t> </w:t>
      </w:r>
      <w:r>
        <w:rPr>
          <w:spacing w:val="-2"/>
        </w:rPr>
        <w:t>normalization, price</w:t>
      </w:r>
      <w:r>
        <w:rPr>
          <w:spacing w:val="-4"/>
        </w:rPr>
        <w:t> </w:t>
      </w:r>
      <w:r>
        <w:rPr>
          <w:spacing w:val="-2"/>
        </w:rPr>
        <w:t>oracles, and</w:t>
      </w:r>
      <w:r>
        <w:rPr>
          <w:spacing w:val="-4"/>
        </w:rPr>
        <w:t> </w:t>
      </w:r>
      <w:r>
        <w:rPr>
          <w:spacing w:val="-2"/>
        </w:rPr>
        <w:t>permit-versus-approve</w:t>
      </w:r>
      <w:r>
        <w:rPr>
          <w:spacing w:val="-4"/>
        </w:rPr>
        <w:t> </w:t>
      </w:r>
      <w:r>
        <w:rPr>
          <w:spacing w:val="-2"/>
        </w:rPr>
        <w:t>coverage</w:t>
      </w:r>
      <w:r>
        <w:rPr>
          <w:spacing w:val="-4"/>
        </w:rPr>
        <w:t> </w:t>
      </w:r>
      <w:r>
        <w:rPr>
          <w:spacing w:val="-2"/>
        </w:rPr>
        <w:t>may</w:t>
      </w:r>
      <w:r>
        <w:rPr>
          <w:spacing w:val="-4"/>
        </w:rPr>
        <w:t> </w:t>
      </w:r>
      <w:r>
        <w:rPr>
          <w:spacing w:val="-2"/>
        </w:rPr>
        <w:t>affect</w:t>
      </w:r>
      <w:r>
        <w:rPr>
          <w:spacing w:val="-4"/>
        </w:rPr>
        <w:t> </w:t>
      </w:r>
      <w:r>
        <w:rPr>
          <w:spacing w:val="-2"/>
        </w:rPr>
        <w:t>edge</w:t>
      </w:r>
      <w:r>
        <w:rPr>
          <w:spacing w:val="-4"/>
        </w:rPr>
        <w:t> </w:t>
      </w:r>
      <w:r>
        <w:rPr>
          <w:spacing w:val="-2"/>
        </w:rPr>
        <w:t>weights. </w:t>
      </w:r>
      <w:r>
        <w:rPr/>
        <w:t>Adversarial</w:t>
      </w:r>
      <w:r>
        <w:rPr>
          <w:spacing w:val="-11"/>
        </w:rPr>
        <w:t> </w:t>
      </w:r>
      <w:r>
        <w:rPr/>
        <w:t>manipulation</w:t>
      </w:r>
      <w:r>
        <w:rPr>
          <w:spacing w:val="-11"/>
        </w:rPr>
        <w:t> </w:t>
      </w:r>
      <w:r>
        <w:rPr/>
        <w:t>of</w:t>
      </w:r>
      <w:r>
        <w:rPr>
          <w:spacing w:val="-11"/>
        </w:rPr>
        <w:t> </w:t>
      </w:r>
      <w:r>
        <w:rPr/>
        <w:t>allowances</w:t>
      </w:r>
      <w:r>
        <w:rPr>
          <w:spacing w:val="-11"/>
        </w:rPr>
        <w:t> </w:t>
      </w:r>
      <w:r>
        <w:rPr/>
        <w:t>or</w:t>
      </w:r>
      <w:r>
        <w:rPr>
          <w:spacing w:val="-11"/>
        </w:rPr>
        <w:t> </w:t>
      </w:r>
      <w:r>
        <w:rPr/>
        <w:t>transfers</w:t>
      </w:r>
      <w:r>
        <w:rPr>
          <w:spacing w:val="-11"/>
        </w:rPr>
        <w:t> </w:t>
      </w:r>
      <w:r>
        <w:rPr/>
        <w:t>remains</w:t>
      </w:r>
      <w:r>
        <w:rPr>
          <w:spacing w:val="-11"/>
        </w:rPr>
        <w:t> </w:t>
      </w:r>
      <w:r>
        <w:rPr/>
        <w:t>a</w:t>
      </w:r>
      <w:r>
        <w:rPr>
          <w:spacing w:val="-11"/>
        </w:rPr>
        <w:t> </w:t>
      </w:r>
      <w:r>
        <w:rPr/>
        <w:t>threat</w:t>
      </w:r>
      <w:r>
        <w:rPr>
          <w:spacing w:val="-11"/>
        </w:rPr>
        <w:t> </w:t>
      </w:r>
      <w:r>
        <w:rPr/>
        <w:t>discussed</w:t>
      </w:r>
      <w:r>
        <w:rPr>
          <w:spacing w:val="-11"/>
        </w:rPr>
        <w:t> </w:t>
      </w:r>
      <w:r>
        <w:rPr/>
        <w:t>in</w:t>
      </w:r>
      <w:r>
        <w:rPr>
          <w:spacing w:val="-11"/>
        </w:rPr>
        <w:t> </w:t>
      </w:r>
      <w:r>
        <w:rPr/>
        <w:t>Chapter</w:t>
      </w:r>
      <w:r>
        <w:rPr>
          <w:spacing w:val="-11"/>
        </w:rPr>
        <w:t> </w:t>
      </w:r>
      <w:hyperlink w:history="true" w:anchor="_bookmark114">
        <w:r>
          <w:rPr/>
          <w:t>5</w:t>
        </w:r>
      </w:hyperlink>
      <w:r>
        <w:rPr/>
        <w:t>;</w:t>
      </w:r>
      <w:r>
        <w:rPr>
          <w:spacing w:val="-9"/>
        </w:rPr>
        <w:t> </w:t>
      </w:r>
      <w:r>
        <w:rPr/>
        <w:t>Sybil-</w:t>
      </w:r>
      <w:bookmarkStart w:name="Dissertation roadmap" w:id="25"/>
      <w:bookmarkEnd w:id="25"/>
      <w:r>
        <w:rPr>
          <w:w w:val="99"/>
        </w:rPr>
      </w:r>
      <w:bookmarkStart w:name="_bookmark16" w:id="26"/>
      <w:bookmarkEnd w:id="26"/>
      <w:r>
        <w:rPr/>
        <w:t>adjusted</w:t>
      </w:r>
      <w:r>
        <w:rPr/>
        <w:t> proxies partially address but do not eliminate that risk </w:t>
      </w:r>
      <w:hyperlink w:history="true" w:anchor="_bookmark150">
        <w:r>
          <w:rPr>
            <w:vertAlign w:val="superscript"/>
          </w:rPr>
          <w:t>[17]</w:t>
        </w:r>
      </w:hyperlink>
      <w:r>
        <w:rPr>
          <w:vertAlign w:val="baseline"/>
        </w:rPr>
        <w:t>.</w:t>
      </w:r>
    </w:p>
    <w:p>
      <w:pPr>
        <w:pStyle w:val="BodyText"/>
        <w:spacing w:line="396" w:lineRule="auto" w:before="21"/>
        <w:ind w:left="273" w:right="520" w:firstLine="8"/>
        <w:jc w:val="both"/>
      </w:pPr>
      <w:r>
        <w:rPr>
          <w:i/>
        </w:rPr>
        <w:t>Arbitrum One, GMX V2 및 6개월 기간 이후의 일반화는 주장되지 않습니다. 토큰 소수점 정규화, 가격 오라클, 허가 대 승인 적용 범위가 에지 가중치에 영향을 미칠 수 있습니다. 수당이나 이전에 대한 적대적인 조작은 5장에서 논의된 위협으로 남아 있으며, Sybil 조정 프록시는 해당 위험을 부분적으로 해결하지만 제거하지는 않습니다[17].</w:t>
      </w:r>
    </w:p>
    <w:p>
      <w:pPr>
        <w:pStyle w:val="BodyText"/>
        <w:spacing w:before="162"/>
      </w:pPr>
    </w:p>
    <w:p>
      <w:pPr>
        <w:pStyle w:val="Heading2"/>
        <w:numPr>
          <w:ilvl w:val="1"/>
          <w:numId w:val="8"/>
        </w:numPr>
        <w:tabs>
          <w:tab w:pos="783" w:val="left" w:leader="none"/>
        </w:tabs>
        <w:spacing w:line="240" w:lineRule="auto" w:before="0" w:after="0"/>
        <w:ind w:left="783" w:right="0" w:hanging="501"/>
        <w:jc w:val="left"/>
      </w:pPr>
      <w:r>
        <w:rPr/>
        <w:t>Dissertation</w:t>
      </w:r>
      <w:r>
        <w:rPr>
          <w:spacing w:val="18"/>
        </w:rPr>
        <w:t> </w:t>
      </w:r>
      <w:r>
        <w:rPr>
          <w:spacing w:val="-2"/>
        </w:rPr>
        <w:t>roadmap</w:t>
      </w:r>
    </w:p>
    <w:p>
      <w:pPr>
        <w:pStyle w:val="Heading2"/>
        <w:numPr>
          <w:ilvl w:val="1"/>
          <w:numId w:val="8"/>
        </w:numPr>
        <w:tabs>
          <w:tab w:pos="783" w:val="left" w:leader="none"/>
        </w:tabs>
        <w:spacing w:line="240" w:lineRule="auto" w:before="0" w:after="0"/>
        <w:ind w:left="783" w:right="0" w:hanging="501"/>
        <w:jc w:val="left"/>
      </w:pPr>
      <w:r>
        <w:rPr>
          <w:i/>
        </w:rPr>
        <w:t>논문 로드맵</w:t>
      </w:r>
    </w:p>
    <w:p>
      <w:pPr>
        <w:pStyle w:val="BodyText"/>
        <w:spacing w:before="24"/>
        <w:rPr>
          <w:b/>
          <w:sz w:val="28"/>
        </w:rPr>
      </w:pPr>
    </w:p>
    <w:p>
      <w:pPr>
        <w:pStyle w:val="BodyText"/>
        <w:ind w:left="274"/>
        <w:jc w:val="both"/>
      </w:pPr>
      <w:r>
        <w:rPr/>
        <w:t>The</w:t>
      </w:r>
      <w:r>
        <w:rPr>
          <w:spacing w:val="-10"/>
        </w:rPr>
        <w:t> </w:t>
      </w:r>
      <w:r>
        <w:rPr/>
        <w:t>dissertation</w:t>
      </w:r>
      <w:r>
        <w:rPr>
          <w:spacing w:val="-9"/>
        </w:rPr>
        <w:t> </w:t>
      </w:r>
      <w:r>
        <w:rPr/>
        <w:t>proceeds</w:t>
      </w:r>
      <w:r>
        <w:rPr>
          <w:spacing w:val="-9"/>
        </w:rPr>
        <w:t> </w:t>
      </w:r>
      <w:r>
        <w:rPr/>
        <w:t>as</w:t>
      </w:r>
      <w:r>
        <w:rPr>
          <w:spacing w:val="-10"/>
        </w:rPr>
        <w:t> </w:t>
      </w:r>
      <w:r>
        <w:rPr>
          <w:spacing w:val="-2"/>
        </w:rPr>
        <w:t>follows.</w:t>
      </w:r>
    </w:p>
    <w:p>
      <w:pPr>
        <w:pStyle w:val="BodyText"/>
        <w:ind w:left="274"/>
        <w:jc w:val="both"/>
      </w:pPr>
      <w:r>
        <w:rPr>
          <w:i/>
        </w:rPr>
        <w:t>논문은 다음과 같이 진행됩니다.</w:t>
      </w:r>
    </w:p>
    <w:p>
      <w:pPr>
        <w:pStyle w:val="BodyText"/>
        <w:spacing w:line="396" w:lineRule="auto" w:before="194"/>
        <w:ind w:left="282" w:right="563"/>
        <w:jc w:val="both"/>
      </w:pPr>
      <w:r>
        <w:rPr/>
        <w:t>Chapter </w:t>
      </w:r>
      <w:hyperlink w:history="true" w:anchor="_bookmark17">
        <w:r>
          <w:rPr/>
          <w:t>2</w:t>
        </w:r>
      </w:hyperlink>
      <w:r>
        <w:rPr/>
        <w:t> reviews graph-based on-chain reputation, ERC-20 allowance semantics, and GMX V2 trading-success</w:t>
      </w:r>
      <w:r>
        <w:rPr>
          <w:spacing w:val="-15"/>
        </w:rPr>
        <w:t> </w:t>
      </w:r>
      <w:r>
        <w:rPr/>
        <w:t>validation.</w:t>
      </w:r>
      <w:r>
        <w:rPr>
          <w:spacing w:val="5"/>
        </w:rPr>
        <w:t> </w:t>
      </w:r>
      <w:r>
        <w:rPr/>
        <w:t>It</w:t>
      </w:r>
      <w:r>
        <w:rPr>
          <w:spacing w:val="-15"/>
        </w:rPr>
        <w:t> </w:t>
      </w:r>
      <w:r>
        <w:rPr/>
        <w:t>develops</w:t>
      </w:r>
      <w:r>
        <w:rPr>
          <w:spacing w:val="-15"/>
        </w:rPr>
        <w:t> </w:t>
      </w:r>
      <w:r>
        <w:rPr/>
        <w:t>the</w:t>
      </w:r>
      <w:r>
        <w:rPr>
          <w:spacing w:val="-15"/>
        </w:rPr>
        <w:t> </w:t>
      </w:r>
      <w:r>
        <w:rPr/>
        <w:t>theoretical</w:t>
      </w:r>
      <w:r>
        <w:rPr>
          <w:spacing w:val="-15"/>
        </w:rPr>
        <w:t> </w:t>
      </w:r>
      <w:r>
        <w:rPr/>
        <w:t>framework—hyperlink</w:t>
      </w:r>
      <w:r>
        <w:rPr>
          <w:spacing w:val="-15"/>
        </w:rPr>
        <w:t> </w:t>
      </w:r>
      <w:r>
        <w:rPr/>
        <w:t>propagation,</w:t>
      </w:r>
      <w:r>
        <w:rPr>
          <w:spacing w:val="-15"/>
        </w:rPr>
        <w:t> </w:t>
      </w:r>
      <w:r>
        <w:rPr/>
        <w:t>domain alignment,</w:t>
      </w:r>
      <w:r>
        <w:rPr>
          <w:spacing w:val="-6"/>
        </w:rPr>
        <w:t> </w:t>
      </w:r>
      <w:r>
        <w:rPr/>
        <w:t>and</w:t>
      </w:r>
      <w:r>
        <w:rPr>
          <w:spacing w:val="-7"/>
        </w:rPr>
        <w:t> </w:t>
      </w:r>
      <w:r>
        <w:rPr/>
        <w:t>computational</w:t>
      </w:r>
      <w:r>
        <w:rPr>
          <w:spacing w:val="-7"/>
        </w:rPr>
        <w:t> </w:t>
      </w:r>
      <w:r>
        <w:rPr/>
        <w:t>complexity—that</w:t>
      </w:r>
      <w:r>
        <w:rPr>
          <w:spacing w:val="-7"/>
        </w:rPr>
        <w:t> </w:t>
      </w:r>
      <w:r>
        <w:rPr/>
        <w:t>motivates</w:t>
      </w:r>
      <w:r>
        <w:rPr>
          <w:spacing w:val="-7"/>
        </w:rPr>
        <w:t> </w:t>
      </w:r>
      <w:r>
        <w:rPr/>
        <w:t>the</w:t>
      </w:r>
      <w:r>
        <w:rPr>
          <w:spacing w:val="-7"/>
        </w:rPr>
        <w:t> </w:t>
      </w:r>
      <w:r>
        <w:rPr/>
        <w:t>primary</w:t>
      </w:r>
      <w:r>
        <w:rPr>
          <w:spacing w:val="-7"/>
        </w:rPr>
        <w:t> </w:t>
      </w:r>
      <w:r>
        <w:rPr/>
        <w:t>EndorseRank</w:t>
      </w:r>
      <w:r>
        <w:rPr>
          <w:spacing w:val="-7"/>
        </w:rPr>
        <w:t> </w:t>
      </w:r>
      <w:r>
        <w:rPr/>
        <w:t>versus</w:t>
      </w:r>
      <w:r>
        <w:rPr>
          <w:spacing w:val="-7"/>
        </w:rPr>
        <w:t> </w:t>
      </w:r>
      <w:r>
        <w:rPr/>
        <w:t>AWP comparison, and situates GF-PR as a supplementary outcome-native ceiling.</w:t>
      </w:r>
    </w:p>
    <w:p>
      <w:pPr>
        <w:pStyle w:val="BodyText"/>
        <w:spacing w:line="396" w:lineRule="auto" w:before="194"/>
        <w:ind w:left="282" w:right="563"/>
        <w:jc w:val="both"/>
      </w:pPr>
      <w:r>
        <w:rPr>
          <w:i/>
        </w:rPr>
        <w:t>2장에서는 그래프 기반 온체인 평판, ERC-20 허용 의미 및 GMX V2 거래 성공 검증을 검토합니다. 이는 기본 EndorseRank 대 AWP 비교에 동기를 부여하고 GF-PR을 보조 결과 기본 상한선으로 지정하는 이론적 프레임워크(하이퍼링크 전파, 도메인 정렬 및 계산 복잡성)를 개발합니다.</w:t>
      </w:r>
    </w:p>
    <w:p>
      <w:pPr>
        <w:pStyle w:val="BodyText"/>
        <w:spacing w:line="396" w:lineRule="auto" w:before="19"/>
        <w:ind w:left="282" w:right="524"/>
        <w:jc w:val="both"/>
      </w:pPr>
      <w:r>
        <w:rPr>
          <w:spacing w:val="-2"/>
        </w:rPr>
        <w:t>Chapter</w:t>
      </w:r>
      <w:r>
        <w:rPr>
          <w:spacing w:val="-7"/>
        </w:rPr>
        <w:t> </w:t>
      </w:r>
      <w:hyperlink w:history="true" w:anchor="_bookmark48">
        <w:r>
          <w:rPr>
            <w:spacing w:val="-2"/>
          </w:rPr>
          <w:t>3</w:t>
        </w:r>
      </w:hyperlink>
      <w:r>
        <w:rPr>
          <w:spacing w:val="-7"/>
        </w:rPr>
        <w:t> </w:t>
      </w:r>
      <w:r>
        <w:rPr>
          <w:spacing w:val="-2"/>
        </w:rPr>
        <w:t>specifies</w:t>
      </w:r>
      <w:r>
        <w:rPr>
          <w:spacing w:val="-7"/>
        </w:rPr>
        <w:t> </w:t>
      </w:r>
      <w:r>
        <w:rPr>
          <w:spacing w:val="-2"/>
        </w:rPr>
        <w:t>data</w:t>
      </w:r>
      <w:r>
        <w:rPr>
          <w:spacing w:val="-7"/>
        </w:rPr>
        <w:t> </w:t>
      </w:r>
      <w:r>
        <w:rPr>
          <w:spacing w:val="-2"/>
        </w:rPr>
        <w:t>sources,</w:t>
      </w:r>
      <w:r>
        <w:rPr>
          <w:spacing w:val="-5"/>
        </w:rPr>
        <w:t> </w:t>
      </w:r>
      <w:r>
        <w:rPr>
          <w:spacing w:val="-2"/>
        </w:rPr>
        <w:t>sampling,</w:t>
      </w:r>
      <w:r>
        <w:rPr>
          <w:spacing w:val="-5"/>
        </w:rPr>
        <w:t> </w:t>
      </w:r>
      <w:r>
        <w:rPr>
          <w:spacing w:val="-2"/>
        </w:rPr>
        <w:t>graph</w:t>
      </w:r>
      <w:r>
        <w:rPr>
          <w:spacing w:val="-7"/>
        </w:rPr>
        <w:t> </w:t>
      </w:r>
      <w:r>
        <w:rPr>
          <w:spacing w:val="-2"/>
        </w:rPr>
        <w:t>construction</w:t>
      </w:r>
      <w:r>
        <w:rPr>
          <w:spacing w:val="-7"/>
        </w:rPr>
        <w:t> </w:t>
      </w:r>
      <w:r>
        <w:rPr>
          <w:spacing w:val="-2"/>
        </w:rPr>
        <w:t>for</w:t>
      </w:r>
      <w:r>
        <w:rPr>
          <w:spacing w:val="-7"/>
        </w:rPr>
        <w:t> </w:t>
      </w:r>
      <w:r>
        <w:rPr>
          <w:spacing w:val="-2"/>
        </w:rPr>
        <w:t>EndorseRank</w:t>
      </w:r>
      <w:r>
        <w:rPr>
          <w:spacing w:val="-7"/>
        </w:rPr>
        <w:t> </w:t>
      </w:r>
      <w:r>
        <w:rPr>
          <w:spacing w:val="-2"/>
        </w:rPr>
        <w:t>and</w:t>
      </w:r>
      <w:r>
        <w:rPr>
          <w:spacing w:val="-7"/>
        </w:rPr>
        <w:t> </w:t>
      </w:r>
      <w:r>
        <w:rPr>
          <w:spacing w:val="-2"/>
        </w:rPr>
        <w:t>AWP,</w:t>
      </w:r>
      <w:r>
        <w:rPr>
          <w:spacing w:val="-7"/>
        </w:rPr>
        <w:t> </w:t>
      </w:r>
      <w:r>
        <w:rPr>
          <w:spacing w:val="-2"/>
        </w:rPr>
        <w:t>the</w:t>
      </w:r>
      <w:r>
        <w:rPr>
          <w:spacing w:val="-7"/>
        </w:rPr>
        <w:t> </w:t>
      </w:r>
      <w:r>
        <w:rPr>
          <w:spacing w:val="-2"/>
        </w:rPr>
        <w:t>five-</w:t>
      </w:r>
      <w:r>
        <w:rPr/>
        <w:t>proxy</w:t>
      </w:r>
      <w:r>
        <w:rPr>
          <w:spacing w:val="-4"/>
        </w:rPr>
        <w:t> </w:t>
      </w:r>
      <w:r>
        <w:rPr/>
        <w:t>evaluation</w:t>
      </w:r>
      <w:r>
        <w:rPr>
          <w:spacing w:val="-3"/>
        </w:rPr>
        <w:t> </w:t>
      </w:r>
      <w:r>
        <w:rPr/>
        <w:t>design,</w:t>
      </w:r>
      <w:r>
        <w:rPr>
          <w:spacing w:val="-2"/>
        </w:rPr>
        <w:t> </w:t>
      </w:r>
      <w:r>
        <w:rPr/>
        <w:t>computational</w:t>
      </w:r>
      <w:r>
        <w:rPr>
          <w:spacing w:val="-3"/>
        </w:rPr>
        <w:t> </w:t>
      </w:r>
      <w:r>
        <w:rPr/>
        <w:t>benchmarks,</w:t>
      </w:r>
      <w:r>
        <w:rPr>
          <w:spacing w:val="-2"/>
        </w:rPr>
        <w:t> </w:t>
      </w:r>
      <w:r>
        <w:rPr/>
        <w:t>robustness</w:t>
      </w:r>
      <w:r>
        <w:rPr>
          <w:spacing w:val="-3"/>
        </w:rPr>
        <w:t> </w:t>
      </w:r>
      <w:r>
        <w:rPr/>
        <w:t>checks,</w:t>
      </w:r>
      <w:r>
        <w:rPr>
          <w:spacing w:val="-2"/>
        </w:rPr>
        <w:t> </w:t>
      </w:r>
      <w:r>
        <w:rPr/>
        <w:t>reproducibility</w:t>
      </w:r>
      <w:r>
        <w:rPr>
          <w:spacing w:val="-3"/>
        </w:rPr>
        <w:t> </w:t>
      </w:r>
      <w:r>
        <w:rPr/>
        <w:t>practices, and</w:t>
      </w:r>
      <w:r>
        <w:rPr>
          <w:spacing w:val="-8"/>
        </w:rPr>
        <w:t> </w:t>
      </w:r>
      <w:r>
        <w:rPr/>
        <w:t>ethics.</w:t>
      </w:r>
      <w:r>
        <w:rPr>
          <w:spacing w:val="15"/>
        </w:rPr>
        <w:t> </w:t>
      </w:r>
      <w:r>
        <w:rPr/>
        <w:t>It</w:t>
      </w:r>
      <w:r>
        <w:rPr>
          <w:spacing w:val="-8"/>
        </w:rPr>
        <w:t> </w:t>
      </w:r>
      <w:r>
        <w:rPr/>
        <w:t>defines</w:t>
      </w:r>
      <w:r>
        <w:rPr>
          <w:spacing w:val="-8"/>
        </w:rPr>
        <w:t> </w:t>
      </w:r>
      <w:r>
        <w:rPr/>
        <w:t>the</w:t>
      </w:r>
      <w:r>
        <w:rPr>
          <w:spacing w:val="-8"/>
        </w:rPr>
        <w:t> </w:t>
      </w:r>
      <w:r>
        <w:rPr/>
        <w:t>matched</w:t>
      </w:r>
      <w:r>
        <w:rPr>
          <w:spacing w:val="-8"/>
        </w:rPr>
        <w:t> </w:t>
      </w:r>
      <w:r>
        <w:rPr/>
        <w:t>wallet</w:t>
      </w:r>
      <w:r>
        <w:rPr>
          <w:spacing w:val="-8"/>
        </w:rPr>
        <w:t> </w:t>
      </w:r>
      <w:r>
        <w:rPr/>
        <w:t>cohort,</w:t>
      </w:r>
      <w:r>
        <w:rPr>
          <w:spacing w:val="-7"/>
        </w:rPr>
        <w:t> </w:t>
      </w:r>
      <w:r>
        <w:rPr/>
        <w:t>the</w:t>
      </w:r>
      <w:r>
        <w:rPr>
          <w:spacing w:val="-8"/>
        </w:rPr>
        <w:t> </w:t>
      </w:r>
      <w:r>
        <w:rPr/>
        <w:t>expanded</w:t>
      </w:r>
      <w:r>
        <w:rPr>
          <w:spacing w:val="-8"/>
        </w:rPr>
        <w:t> </w:t>
      </w:r>
      <w:r>
        <w:rPr/>
        <w:t>wallet</w:t>
      </w:r>
      <w:r>
        <w:rPr>
          <w:spacing w:val="-8"/>
        </w:rPr>
        <w:t> </w:t>
      </w:r>
      <w:r>
        <w:rPr/>
        <w:t>pool</w:t>
      </w:r>
      <w:r>
        <w:rPr>
          <w:spacing w:val="-8"/>
        </w:rPr>
        <w:t> </w:t>
      </w:r>
      <w:r>
        <w:rPr/>
        <w:t>used</w:t>
      </w:r>
      <w:r>
        <w:rPr>
          <w:spacing w:val="-8"/>
        </w:rPr>
        <w:t> </w:t>
      </w:r>
      <w:r>
        <w:rPr/>
        <w:t>for</w:t>
      </w:r>
      <w:r>
        <w:rPr>
          <w:spacing w:val="-8"/>
        </w:rPr>
        <w:t> </w:t>
      </w:r>
      <w:r>
        <w:rPr/>
        <w:t>scaling,</w:t>
      </w:r>
      <w:r>
        <w:rPr>
          <w:spacing w:val="-7"/>
        </w:rPr>
        <w:t> </w:t>
      </w:r>
      <w:r>
        <w:rPr/>
        <w:t>and</w:t>
      </w:r>
      <w:r>
        <w:rPr>
          <w:spacing w:val="-8"/>
        </w:rPr>
        <w:t> </w:t>
      </w:r>
      <w:r>
        <w:rPr/>
        <w:t>the operational procedures that produce the Chapter </w:t>
      </w:r>
      <w:hyperlink w:history="true" w:anchor="_bookmark84">
        <w:r>
          <w:rPr/>
          <w:t>4</w:t>
        </w:r>
      </w:hyperlink>
      <w:r>
        <w:rPr/>
        <w:t> tables.</w:t>
      </w:r>
    </w:p>
    <w:p>
      <w:pPr>
        <w:pStyle w:val="BodyText"/>
        <w:spacing w:line="396" w:lineRule="auto" w:before="19"/>
        <w:ind w:left="282" w:right="524"/>
        <w:jc w:val="both"/>
      </w:pPr>
      <w:r>
        <w:rPr>
          <w:i/>
        </w:rPr>
        <w:t>3장에서는 EndorseRank 및 AWP에 대한 데이터 소스, 샘플링, 그래프 구성, 5대 프록시 평가 설계, 계산 벤치마크, 견고성 검사, 재현성 관행 및 윤리를 명시합니다. 이는 일치하는 지갑 코호트, 확장에 사용되는 확장된 지갑 풀 및 Chapter 4 테이블을 생성하는 운영 절차를 정의합니다.</w:t>
      </w:r>
    </w:p>
    <w:p>
      <w:pPr>
        <w:pStyle w:val="BodyText"/>
        <w:spacing w:line="396" w:lineRule="auto" w:before="18"/>
        <w:ind w:left="274" w:right="522" w:firstLine="7"/>
        <w:jc w:val="both"/>
      </w:pPr>
      <w:r>
        <w:rPr/>
        <w:t>Chapter </w:t>
      </w:r>
      <w:hyperlink w:history="true" w:anchor="_bookmark84">
        <w:r>
          <w:rPr/>
          <w:t>4</w:t>
        </w:r>
      </w:hyperlink>
      <w:r>
        <w:rPr/>
        <w:t> reports empirical results:</w:t>
      </w:r>
      <w:r>
        <w:rPr>
          <w:spacing w:val="40"/>
        </w:rPr>
        <w:t> </w:t>
      </w:r>
      <w:r>
        <w:rPr/>
        <w:t>cohort characteristics, runtime and scaling benchmarks (Claim C1), robustness checks, social-method alignment across five proxy families (Claims C2–C3), rank divergence (H1/RQ1), and the supplementary GF-PR ceiling analysis (SRQ1/SC1). Primary claims C1–C4 and supplementary claim SC1 are stated explicitly.</w:t>
      </w:r>
    </w:p>
    <w:p>
      <w:pPr>
        <w:pStyle w:val="BodyText"/>
        <w:spacing w:line="396" w:lineRule="auto" w:before="18"/>
        <w:ind w:left="274" w:right="522" w:firstLine="7"/>
        <w:jc w:val="both"/>
      </w:pPr>
      <w:r>
        <w:rPr>
          <w:i/>
        </w:rPr>
        <w:t>4장에서는 코호트 특성, 런타임 및 확장성 벤치마크(청구 C1), 견고성 검사, 5개 프록시 계열(청구 C2-C3) 간의 사회적 방법 정렬, 순위 차이(H1/RQ1) 및 보충 GF-PR 상한선 분석(SRQ1/SC1) 등 실증적 결과를 보고합니다. 기본항 C1-C4와 보충항 SC1이 명시적으로 기술되어 있습니다.</w:t>
      </w:r>
    </w:p>
    <w:p>
      <w:pPr>
        <w:pStyle w:val="BodyText"/>
        <w:spacing w:before="18"/>
        <w:ind w:left="282"/>
        <w:jc w:val="both"/>
      </w:pPr>
      <w:r>
        <w:rPr/>
        <w:t>Chapter</w:t>
      </w:r>
      <w:r>
        <w:rPr>
          <w:spacing w:val="-10"/>
        </w:rPr>
        <w:t> </w:t>
      </w:r>
      <w:hyperlink w:history="true" w:anchor="_bookmark114">
        <w:r>
          <w:rPr/>
          <w:t>5</w:t>
        </w:r>
      </w:hyperlink>
      <w:r>
        <w:rPr>
          <w:spacing w:val="-11"/>
        </w:rPr>
        <w:t> </w:t>
      </w:r>
      <w:r>
        <w:rPr/>
        <w:t>interprets</w:t>
      </w:r>
      <w:r>
        <w:rPr>
          <w:spacing w:val="-11"/>
        </w:rPr>
        <w:t> </w:t>
      </w:r>
      <w:r>
        <w:rPr/>
        <w:t>findings</w:t>
      </w:r>
      <w:r>
        <w:rPr>
          <w:spacing w:val="-10"/>
        </w:rPr>
        <w:t> </w:t>
      </w:r>
      <w:r>
        <w:rPr/>
        <w:t>by</w:t>
      </w:r>
      <w:r>
        <w:rPr>
          <w:spacing w:val="-10"/>
        </w:rPr>
        <w:t> </w:t>
      </w:r>
      <w:r>
        <w:rPr/>
        <w:t>research</w:t>
      </w:r>
      <w:r>
        <w:rPr>
          <w:spacing w:val="-11"/>
        </w:rPr>
        <w:t> </w:t>
      </w:r>
      <w:r>
        <w:rPr/>
        <w:t>question,</w:t>
      </w:r>
      <w:r>
        <w:rPr>
          <w:spacing w:val="-10"/>
        </w:rPr>
        <w:t> </w:t>
      </w:r>
      <w:r>
        <w:rPr/>
        <w:t>develops</w:t>
      </w:r>
      <w:r>
        <w:rPr>
          <w:spacing w:val="-11"/>
        </w:rPr>
        <w:t> </w:t>
      </w:r>
      <w:r>
        <w:rPr/>
        <w:t>theoretical</w:t>
      </w:r>
      <w:r>
        <w:rPr>
          <w:spacing w:val="-10"/>
        </w:rPr>
        <w:t> </w:t>
      </w:r>
      <w:r>
        <w:rPr/>
        <w:t>and</w:t>
      </w:r>
      <w:r>
        <w:rPr>
          <w:spacing w:val="-10"/>
        </w:rPr>
        <w:t> </w:t>
      </w:r>
      <w:r>
        <w:rPr/>
        <w:t>practical</w:t>
      </w:r>
      <w:r>
        <w:rPr>
          <w:spacing w:val="-10"/>
        </w:rPr>
        <w:t> </w:t>
      </w:r>
      <w:r>
        <w:rPr>
          <w:spacing w:val="-2"/>
        </w:rPr>
        <w:t>implications,</w:t>
      </w:r>
    </w:p>
    <w:p>
      <w:pPr>
        <w:pStyle w:val="BodyText"/>
        <w:spacing w:before="18"/>
        <w:ind w:left="282"/>
        <w:jc w:val="both"/>
      </w:pPr>
      <w:r>
        <w:rPr>
          <w:i/>
        </w:rPr>
        <w:t>5장에서는 연구 질문별 결과를 해석하고 이론적, 실무적 함의를 전개하며,</w:t>
      </w:r>
    </w:p>
    <w:p>
      <w:pPr>
        <w:pStyle w:val="BodyText"/>
        <w:spacing w:after="0"/>
        <w:jc w:val="both"/>
        <w:sectPr>
          <w:pgSz w:w="11910" w:h="16840"/>
          <w:pgMar w:header="0" w:footer="2115" w:top="1840" w:bottom="2300" w:left="992" w:right="708"/>
        </w:sectPr>
      </w:pPr>
    </w:p>
    <w:p>
      <w:pPr>
        <w:pStyle w:val="BodyText"/>
        <w:spacing w:line="396" w:lineRule="auto" w:before="72"/>
        <w:ind w:left="282" w:right="524"/>
        <w:jc w:val="both"/>
      </w:pPr>
      <w:r>
        <w:rPr/>
        <w:t>formulates</w:t>
      </w:r>
      <w:r>
        <w:rPr>
          <w:spacing w:val="-8"/>
        </w:rPr>
        <w:t> </w:t>
      </w:r>
      <w:r>
        <w:rPr/>
        <w:t>a</w:t>
      </w:r>
      <w:r>
        <w:rPr>
          <w:spacing w:val="-8"/>
        </w:rPr>
        <w:t> </w:t>
      </w:r>
      <w:r>
        <w:rPr/>
        <w:t>Sybil</w:t>
      </w:r>
      <w:r>
        <w:rPr>
          <w:spacing w:val="-8"/>
        </w:rPr>
        <w:t> </w:t>
      </w:r>
      <w:r>
        <w:rPr/>
        <w:t>attack</w:t>
      </w:r>
      <w:r>
        <w:rPr>
          <w:spacing w:val="-8"/>
        </w:rPr>
        <w:t> </w:t>
      </w:r>
      <w:r>
        <w:rPr/>
        <w:t>cost</w:t>
      </w:r>
      <w:r>
        <w:rPr>
          <w:spacing w:val="-8"/>
        </w:rPr>
        <w:t> </w:t>
      </w:r>
      <w:r>
        <w:rPr/>
        <w:t>model</w:t>
      </w:r>
      <w:r>
        <w:rPr>
          <w:spacing w:val="-8"/>
        </w:rPr>
        <w:t> </w:t>
      </w:r>
      <w:r>
        <w:rPr/>
        <w:t>on</w:t>
      </w:r>
      <w:r>
        <w:rPr>
          <w:spacing w:val="-8"/>
        </w:rPr>
        <w:t> </w:t>
      </w:r>
      <w:r>
        <w:rPr/>
        <w:t>allowance</w:t>
      </w:r>
      <w:r>
        <w:rPr>
          <w:spacing w:val="-8"/>
        </w:rPr>
        <w:t> </w:t>
      </w:r>
      <w:r>
        <w:rPr/>
        <w:t>graphs,</w:t>
      </w:r>
      <w:r>
        <w:rPr>
          <w:spacing w:val="-8"/>
        </w:rPr>
        <w:t> </w:t>
      </w:r>
      <w:r>
        <w:rPr/>
        <w:t>discusses</w:t>
      </w:r>
      <w:r>
        <w:rPr>
          <w:spacing w:val="-8"/>
        </w:rPr>
        <w:t> </w:t>
      </w:r>
      <w:r>
        <w:rPr/>
        <w:t>regulatory</w:t>
      </w:r>
      <w:r>
        <w:rPr>
          <w:spacing w:val="-8"/>
        </w:rPr>
        <w:t> </w:t>
      </w:r>
      <w:r>
        <w:rPr/>
        <w:t>and</w:t>
      </w:r>
      <w:r>
        <w:rPr>
          <w:spacing w:val="-8"/>
        </w:rPr>
        <w:t> </w:t>
      </w:r>
      <w:r>
        <w:rPr/>
        <w:t>ethical</w:t>
      </w:r>
      <w:r>
        <w:rPr>
          <w:spacing w:val="-8"/>
        </w:rPr>
        <w:t> </w:t>
      </w:r>
      <w:r>
        <w:rPr/>
        <w:t>consid-erations, and evaluates threats to validity and limitations.</w:t>
      </w:r>
    </w:p>
    <w:p>
      <w:pPr>
        <w:pStyle w:val="BodyText"/>
        <w:spacing w:line="396" w:lineRule="auto" w:before="72"/>
        <w:ind w:left="282" w:right="524"/>
        <w:jc w:val="both"/>
      </w:pPr>
      <w:r>
        <w:rPr>
          <w:i/>
        </w:rPr>
        <w:t>허용량 그래프에 대한 Sybil 공격 비용 모델을 공식화하고 규제 및 윤리적 고려 사항을 논의하며 타당성에 대한 위협과 한계를 평가합니다.</w:t>
      </w:r>
    </w:p>
    <w:p>
      <w:pPr>
        <w:pStyle w:val="BodyText"/>
        <w:spacing w:line="396" w:lineRule="auto" w:before="16"/>
        <w:ind w:left="282" w:right="523"/>
        <w:jc w:val="both"/>
      </w:pPr>
      <w:r>
        <w:rPr/>
        <w:t>Chapter</w:t>
      </w:r>
      <w:r>
        <w:rPr>
          <w:spacing w:val="-2"/>
        </w:rPr>
        <w:t> </w:t>
      </w:r>
      <w:hyperlink w:history="true" w:anchor="_bookmark128">
        <w:r>
          <w:rPr/>
          <w:t>6</w:t>
        </w:r>
      </w:hyperlink>
      <w:r>
        <w:rPr>
          <w:spacing w:val="-2"/>
        </w:rPr>
        <w:t> </w:t>
      </w:r>
      <w:r>
        <w:rPr/>
        <w:t>synthesizes</w:t>
      </w:r>
      <w:r>
        <w:rPr>
          <w:spacing w:val="-2"/>
        </w:rPr>
        <w:t> </w:t>
      </w:r>
      <w:r>
        <w:rPr/>
        <w:t>the</w:t>
      </w:r>
      <w:r>
        <w:rPr>
          <w:spacing w:val="-2"/>
        </w:rPr>
        <w:t> </w:t>
      </w:r>
      <w:r>
        <w:rPr/>
        <w:t>contribution</w:t>
      </w:r>
      <w:r>
        <w:rPr>
          <w:spacing w:val="-2"/>
        </w:rPr>
        <w:t> </w:t>
      </w:r>
      <w:r>
        <w:rPr/>
        <w:t>to</w:t>
      </w:r>
      <w:r>
        <w:rPr>
          <w:spacing w:val="-2"/>
        </w:rPr>
        <w:t> </w:t>
      </w:r>
      <w:r>
        <w:rPr/>
        <w:t>knowledge,</w:t>
      </w:r>
      <w:r>
        <w:rPr>
          <w:spacing w:val="-2"/>
        </w:rPr>
        <w:t> </w:t>
      </w:r>
      <w:r>
        <w:rPr/>
        <w:t>summarizes</w:t>
      </w:r>
      <w:r>
        <w:rPr>
          <w:spacing w:val="-2"/>
        </w:rPr>
        <w:t> </w:t>
      </w:r>
      <w:r>
        <w:rPr/>
        <w:t>findings</w:t>
      </w:r>
      <w:r>
        <w:rPr>
          <w:spacing w:val="-2"/>
        </w:rPr>
        <w:t> </w:t>
      </w:r>
      <w:r>
        <w:rPr/>
        <w:t>against</w:t>
      </w:r>
      <w:r>
        <w:rPr>
          <w:spacing w:val="-2"/>
        </w:rPr>
        <w:t> </w:t>
      </w:r>
      <w:r>
        <w:rPr/>
        <w:t>RQ1–RQ4</w:t>
      </w:r>
      <w:r>
        <w:rPr>
          <w:spacing w:val="-2"/>
        </w:rPr>
        <w:t> </w:t>
      </w:r>
      <w:r>
        <w:rPr/>
        <w:t>and SRQ1,</w:t>
      </w:r>
      <w:r>
        <w:rPr>
          <w:spacing w:val="-6"/>
        </w:rPr>
        <w:t> </w:t>
      </w:r>
      <w:r>
        <w:rPr/>
        <w:t>and</w:t>
      </w:r>
      <w:r>
        <w:rPr>
          <w:spacing w:val="-6"/>
        </w:rPr>
        <w:t> </w:t>
      </w:r>
      <w:r>
        <w:rPr/>
        <w:t>outlines</w:t>
      </w:r>
      <w:r>
        <w:rPr>
          <w:spacing w:val="-6"/>
        </w:rPr>
        <w:t> </w:t>
      </w:r>
      <w:r>
        <w:rPr/>
        <w:t>future</w:t>
      </w:r>
      <w:r>
        <w:rPr>
          <w:spacing w:val="-6"/>
        </w:rPr>
        <w:t> </w:t>
      </w:r>
      <w:r>
        <w:rPr/>
        <w:t>work</w:t>
      </w:r>
      <w:r>
        <w:rPr>
          <w:spacing w:val="-6"/>
        </w:rPr>
        <w:t> </w:t>
      </w:r>
      <w:r>
        <w:rPr/>
        <w:t>on</w:t>
      </w:r>
      <w:r>
        <w:rPr>
          <w:spacing w:val="-6"/>
        </w:rPr>
        <w:t> </w:t>
      </w:r>
      <w:r>
        <w:rPr/>
        <w:t>cross-protocol</w:t>
      </w:r>
      <w:r>
        <w:rPr>
          <w:spacing w:val="-6"/>
        </w:rPr>
        <w:t> </w:t>
      </w:r>
      <w:r>
        <w:rPr/>
        <w:t>validation,</w:t>
      </w:r>
      <w:r>
        <w:rPr>
          <w:spacing w:val="-6"/>
        </w:rPr>
        <w:t> </w:t>
      </w:r>
      <w:r>
        <w:rPr/>
        <w:t>adversarial</w:t>
      </w:r>
      <w:r>
        <w:rPr>
          <w:spacing w:val="-6"/>
        </w:rPr>
        <w:t> </w:t>
      </w:r>
      <w:r>
        <w:rPr/>
        <w:t>robustness,</w:t>
      </w:r>
      <w:r>
        <w:rPr>
          <w:spacing w:val="-6"/>
        </w:rPr>
        <w:t> </w:t>
      </w:r>
      <w:r>
        <w:rPr/>
        <w:t>hybrid</w:t>
      </w:r>
      <w:r>
        <w:rPr>
          <w:spacing w:val="-6"/>
        </w:rPr>
        <w:t> </w:t>
      </w:r>
      <w:r>
        <w:rPr/>
        <w:t>meth-ods, and live oracle integration.</w:t>
      </w:r>
    </w:p>
    <w:p>
      <w:pPr>
        <w:pStyle w:val="BodyText"/>
        <w:spacing w:line="396" w:lineRule="auto" w:before="16"/>
        <w:ind w:left="282" w:right="523"/>
        <w:jc w:val="both"/>
      </w:pPr>
      <w:r>
        <w:rPr>
          <w:i/>
        </w:rPr>
        <w:t>6장에서는 지식에 대한 기여를 종합하고 RQ1-RQ4 및 SRQ1에 대한 조사 결과를 요약하며 프로토콜 간 검증, 적대적 견고성, 하이브리드 방법 및 라이브 오라클 통합에 대한 향후 작업의 개요를 설명합니다.</w:t>
      </w:r>
    </w:p>
    <w:p>
      <w:pPr>
        <w:pStyle w:val="BodyText"/>
        <w:spacing w:after="0" w:line="39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Literature Review and Theoretical Framew" w:id="27"/>
      <w:bookmarkEnd w:id="27"/>
      <w:r>
        <w:rPr>
          <w:b w:val="0"/>
        </w:rPr>
      </w:r>
      <w:bookmarkStart w:name="_bookmark17" w:id="28"/>
      <w:bookmarkEnd w:id="28"/>
      <w:r>
        <w:rPr>
          <w:b w:val="0"/>
        </w:rPr>
      </w:r>
      <w:r>
        <w:rPr/>
        <w:t>Literature</w:t>
      </w:r>
      <w:r>
        <w:rPr>
          <w:spacing w:val="7"/>
        </w:rPr>
        <w:t> </w:t>
      </w:r>
      <w:r>
        <w:rPr/>
        <w:t>Review</w:t>
      </w:r>
      <w:r>
        <w:rPr>
          <w:spacing w:val="8"/>
        </w:rPr>
        <w:t> </w:t>
      </w:r>
      <w:r>
        <w:rPr/>
        <w:t>and</w:t>
      </w:r>
      <w:r>
        <w:rPr>
          <w:spacing w:val="8"/>
        </w:rPr>
        <w:t> </w:t>
      </w:r>
      <w:r>
        <w:rPr/>
        <w:t>Theoretical</w:t>
      </w:r>
      <w:r>
        <w:rPr>
          <w:spacing w:val="7"/>
        </w:rPr>
        <w:t> </w:t>
      </w:r>
      <w:r>
        <w:rPr>
          <w:spacing w:val="-2"/>
        </w:rPr>
        <w:t>Framework</w:t>
      </w:r>
    </w:p>
    <w:p>
      <w:pPr>
        <w:pStyle w:val="Heading1"/>
        <w:numPr>
          <w:ilvl w:val="0"/>
          <w:numId w:val="8"/>
        </w:numPr>
        <w:tabs>
          <w:tab w:pos="625" w:val="left" w:leader="none"/>
        </w:tabs>
        <w:spacing w:line="240" w:lineRule="auto" w:before="0" w:after="0"/>
        <w:ind w:left="625" w:right="0" w:hanging="343"/>
        <w:jc w:val="both"/>
      </w:pPr>
      <w:r>
        <w:rPr>
          <w:i/>
        </w:rPr>
        <w:t>문헌 검토 및 이론적 틀</w:t>
      </w:r>
    </w:p>
    <w:p>
      <w:pPr>
        <w:pStyle w:val="BodyText"/>
        <w:spacing w:before="28"/>
        <w:rPr>
          <w:b/>
          <w:sz w:val="34"/>
        </w:rPr>
      </w:pPr>
    </w:p>
    <w:p>
      <w:pPr>
        <w:pStyle w:val="BodyText"/>
        <w:spacing w:line="396" w:lineRule="auto"/>
        <w:ind w:left="273" w:right="521" w:firstLine="1"/>
        <w:jc w:val="both"/>
      </w:pPr>
      <w:r>
        <w:rPr/>
        <w:t>This chapter reviews the conceptual and technical foundations required to interpret EndorseRank, Adaptive Weighted PageRank (AWP), and the supplementary outcome-native reference GF-PR. It begins with blockchain and DeFi primitives for readers who may not specialize in distributed ledgers, then develops graph ranking theory, reputation-system lineage, ERC-20 allowance semantics, GMX V2 trading-success validation, and rank-correlation statistics.</w:t>
      </w:r>
      <w:r>
        <w:rPr>
          <w:spacing w:val="40"/>
        </w:rPr>
        <w:t> </w:t>
      </w:r>
      <w:r>
        <w:rPr/>
        <w:t>A theoretical framework—hyperlink–citation</w:t>
      </w:r>
      <w:r>
        <w:rPr>
          <w:spacing w:val="-4"/>
        </w:rPr>
        <w:t> </w:t>
      </w:r>
      <w:r>
        <w:rPr/>
        <w:t>propagation,</w:t>
      </w:r>
      <w:r>
        <w:rPr>
          <w:spacing w:val="-4"/>
        </w:rPr>
        <w:t> </w:t>
      </w:r>
      <w:r>
        <w:rPr/>
        <w:t>domain</w:t>
      </w:r>
      <w:r>
        <w:rPr>
          <w:spacing w:val="-4"/>
        </w:rPr>
        <w:t> </w:t>
      </w:r>
      <w:r>
        <w:rPr/>
        <w:t>alignment,</w:t>
      </w:r>
      <w:r>
        <w:rPr>
          <w:spacing w:val="-4"/>
        </w:rPr>
        <w:t> </w:t>
      </w:r>
      <w:r>
        <w:rPr/>
        <w:t>and</w:t>
      </w:r>
      <w:r>
        <w:rPr>
          <w:spacing w:val="-4"/>
        </w:rPr>
        <w:t> </w:t>
      </w:r>
      <w:r>
        <w:rPr/>
        <w:t>computational</w:t>
      </w:r>
      <w:r>
        <w:rPr>
          <w:spacing w:val="-4"/>
        </w:rPr>
        <w:t> </w:t>
      </w:r>
      <w:r>
        <w:rPr/>
        <w:t>complexity—motivates</w:t>
      </w:r>
      <w:r>
        <w:rPr>
          <w:spacing w:val="-11"/>
        </w:rPr>
        <w:t> </w:t>
      </w:r>
      <w:r>
        <w:rPr/>
        <w:t>the</w:t>
      </w:r>
      <w:r>
        <w:rPr>
          <w:spacing w:val="-11"/>
        </w:rPr>
        <w:t> </w:t>
      </w:r>
      <w:r>
        <w:rPr/>
        <w:t>primary</w:t>
      </w:r>
      <w:r>
        <w:rPr>
          <w:spacing w:val="-11"/>
        </w:rPr>
        <w:t> </w:t>
      </w:r>
      <w:r>
        <w:rPr/>
        <w:t>EndorseRank</w:t>
      </w:r>
      <w:r>
        <w:rPr>
          <w:spacing w:val="-11"/>
        </w:rPr>
        <w:t> </w:t>
      </w:r>
      <w:r>
        <w:rPr/>
        <w:t>versus</w:t>
      </w:r>
      <w:r>
        <w:rPr>
          <w:spacing w:val="-11"/>
        </w:rPr>
        <w:t> </w:t>
      </w:r>
      <w:r>
        <w:rPr/>
        <w:t>AWP</w:t>
      </w:r>
      <w:r>
        <w:rPr>
          <w:spacing w:val="-11"/>
        </w:rPr>
        <w:t> </w:t>
      </w:r>
      <w:r>
        <w:rPr/>
        <w:t>comparison.</w:t>
      </w:r>
      <w:r>
        <w:rPr>
          <w:spacing w:val="12"/>
        </w:rPr>
        <w:t> </w:t>
      </w:r>
      <w:r>
        <w:rPr/>
        <w:t>Later</w:t>
      </w:r>
      <w:r>
        <w:rPr>
          <w:spacing w:val="-11"/>
        </w:rPr>
        <w:t> </w:t>
      </w:r>
      <w:r>
        <w:rPr/>
        <w:t>sections</w:t>
      </w:r>
      <w:r>
        <w:rPr>
          <w:spacing w:val="-11"/>
        </w:rPr>
        <w:t> </w:t>
      </w:r>
      <w:r>
        <w:rPr/>
        <w:t>supply</w:t>
      </w:r>
      <w:r>
        <w:rPr>
          <w:spacing w:val="-11"/>
        </w:rPr>
        <w:t> </w:t>
      </w:r>
      <w:r>
        <w:rPr/>
        <w:t>a</w:t>
      </w:r>
      <w:r>
        <w:rPr>
          <w:spacing w:val="-11"/>
        </w:rPr>
        <w:t> </w:t>
      </w:r>
      <w:r>
        <w:rPr/>
        <w:t>terminology guide, worked example, risk taxonomy, perpetual-market laboratory, AWP in depth, method </w:t>
      </w:r>
      <w:bookmarkStart w:name="Blockchain and DeFi foundations" w:id="29"/>
      <w:bookmarkEnd w:id="29"/>
      <w:r>
        <w:rPr>
          <w:w w:val="99"/>
        </w:rPr>
      </w:r>
      <w:bookmarkStart w:name="_bookmark18" w:id="30"/>
      <w:bookmarkEnd w:id="30"/>
      <w:r>
        <w:rPr/>
        <w:t>comparison,</w:t>
      </w:r>
      <w:r>
        <w:rPr/>
        <w:t> and open problems that lead into Chapters </w:t>
      </w:r>
      <w:hyperlink w:history="true" w:anchor="_bookmark48">
        <w:r>
          <w:rPr/>
          <w:t>3</w:t>
        </w:r>
      </w:hyperlink>
      <w:r>
        <w:rPr/>
        <w:t> and </w:t>
      </w:r>
      <w:hyperlink w:history="true" w:anchor="_bookmark84">
        <w:r>
          <w:rPr/>
          <w:t>4</w:t>
        </w:r>
      </w:hyperlink>
      <w:r>
        <w:rPr/>
        <w:t>.</w:t>
      </w:r>
    </w:p>
    <w:p>
      <w:pPr>
        <w:pStyle w:val="BodyText"/>
        <w:spacing w:line="396" w:lineRule="auto"/>
        <w:ind w:left="273" w:right="521" w:firstLine="1"/>
        <w:jc w:val="both"/>
      </w:pPr>
      <w:r>
        <w:rPr>
          <w:i/>
        </w:rPr>
        <w:t>이 장에서는 EndorseRank, Adaptive Weighted PageRank(AWP) 및 보충 결과 기반 참조 GF-PR을 해석하는 데 필요한 개념적, 기술적 기반을 검토합니다. 분산 원장을 전문으로 하지 않는 독자를 위한 블록체인 및 DeFi 기본 요소로 시작한 다음 그래프 순위 이론, 평판 시스템 계보, ERC-20 허용 의미, GMX V2 거래 성공 검증 및 순위 상관 통계를 개발합니다. 이론적 프레임워크(하이퍼링크 인용 전파, 도메인 정렬 및 계산 복잡성)가 기본 EndorseRank 대 AWP 비교의 동기를 부여합니다. 이후 섹션에서는 용어 가이드, 실제 사례, 위험 분류, 영구 시장 실험실, AWP 심층 분석, 방법 비교 및 ​​3장과 4장으로 이어지는 미해결 문제를 제공합니다.</w:t>
      </w:r>
    </w:p>
    <w:p>
      <w:pPr>
        <w:pStyle w:val="BodyText"/>
        <w:spacing w:before="168"/>
      </w:pPr>
    </w:p>
    <w:p>
      <w:pPr>
        <w:pStyle w:val="Heading2"/>
        <w:numPr>
          <w:ilvl w:val="1"/>
          <w:numId w:val="8"/>
        </w:numPr>
        <w:tabs>
          <w:tab w:pos="783" w:val="left" w:leader="none"/>
        </w:tabs>
        <w:spacing w:line="240" w:lineRule="auto" w:before="0" w:after="0"/>
        <w:ind w:left="783" w:right="0" w:hanging="501"/>
        <w:jc w:val="left"/>
      </w:pPr>
      <w:r>
        <w:rPr/>
        <w:t>Blockchain</w:t>
      </w:r>
      <w:r>
        <w:rPr>
          <w:spacing w:val="13"/>
        </w:rPr>
        <w:t> </w:t>
      </w:r>
      <w:r>
        <w:rPr/>
        <w:t>and</w:t>
      </w:r>
      <w:r>
        <w:rPr>
          <w:spacing w:val="13"/>
        </w:rPr>
        <w:t> </w:t>
      </w:r>
      <w:r>
        <w:rPr/>
        <w:t>DeFi</w:t>
      </w:r>
      <w:r>
        <w:rPr>
          <w:spacing w:val="13"/>
        </w:rPr>
        <w:t> </w:t>
      </w:r>
      <w:r>
        <w:rPr>
          <w:spacing w:val="-2"/>
        </w:rPr>
        <w:t>foundations</w:t>
      </w:r>
    </w:p>
    <w:p>
      <w:pPr>
        <w:pStyle w:val="Heading2"/>
        <w:numPr>
          <w:ilvl w:val="1"/>
          <w:numId w:val="8"/>
        </w:numPr>
        <w:tabs>
          <w:tab w:pos="783" w:val="left" w:leader="none"/>
        </w:tabs>
        <w:spacing w:line="240" w:lineRule="auto" w:before="0" w:after="0"/>
        <w:ind w:left="783" w:right="0" w:hanging="501"/>
        <w:jc w:val="left"/>
      </w:pPr>
      <w:r>
        <w:rPr>
          <w:i/>
        </w:rPr>
        <w:t>블록체인 및 DeFi 기반</w:t>
      </w:r>
    </w:p>
    <w:p>
      <w:pPr>
        <w:pStyle w:val="BodyText"/>
        <w:spacing w:before="24"/>
        <w:rPr>
          <w:b/>
          <w:sz w:val="28"/>
        </w:rPr>
      </w:pPr>
    </w:p>
    <w:p>
      <w:pPr>
        <w:pStyle w:val="BodyText"/>
        <w:spacing w:line="396" w:lineRule="auto"/>
        <w:ind w:left="282" w:right="524" w:hanging="9"/>
        <w:jc w:val="both"/>
      </w:pPr>
      <w:r>
        <w:rPr/>
        <w:t>A</w:t>
      </w:r>
      <w:r>
        <w:rPr>
          <w:spacing w:val="-15"/>
        </w:rPr>
        <w:t> </w:t>
      </w:r>
      <w:r>
        <w:rPr/>
        <w:t>blockchain</w:t>
      </w:r>
      <w:r>
        <w:rPr>
          <w:spacing w:val="-15"/>
        </w:rPr>
        <w:t> </w:t>
      </w:r>
      <w:r>
        <w:rPr/>
        <w:t>is</w:t>
      </w:r>
      <w:r>
        <w:rPr>
          <w:spacing w:val="-15"/>
        </w:rPr>
        <w:t> </w:t>
      </w:r>
      <w:r>
        <w:rPr/>
        <w:t>a</w:t>
      </w:r>
      <w:r>
        <w:rPr>
          <w:spacing w:val="-15"/>
        </w:rPr>
        <w:t> </w:t>
      </w:r>
      <w:r>
        <w:rPr/>
        <w:t>replicated</w:t>
      </w:r>
      <w:r>
        <w:rPr>
          <w:spacing w:val="-15"/>
        </w:rPr>
        <w:t> </w:t>
      </w:r>
      <w:r>
        <w:rPr/>
        <w:t>append-only</w:t>
      </w:r>
      <w:r>
        <w:rPr>
          <w:spacing w:val="-15"/>
        </w:rPr>
        <w:t> </w:t>
      </w:r>
      <w:r>
        <w:rPr/>
        <w:t>ledger</w:t>
      </w:r>
      <w:r>
        <w:rPr>
          <w:spacing w:val="-15"/>
        </w:rPr>
        <w:t> </w:t>
      </w:r>
      <w:r>
        <w:rPr/>
        <w:t>in</w:t>
      </w:r>
      <w:r>
        <w:rPr>
          <w:spacing w:val="-15"/>
        </w:rPr>
        <w:t> </w:t>
      </w:r>
      <w:r>
        <w:rPr/>
        <w:t>which</w:t>
      </w:r>
      <w:r>
        <w:rPr>
          <w:spacing w:val="-15"/>
        </w:rPr>
        <w:t> </w:t>
      </w:r>
      <w:r>
        <w:rPr/>
        <w:t>batches</w:t>
      </w:r>
      <w:r>
        <w:rPr>
          <w:spacing w:val="-15"/>
        </w:rPr>
        <w:t> </w:t>
      </w:r>
      <w:r>
        <w:rPr/>
        <w:t>of</w:t>
      </w:r>
      <w:r>
        <w:rPr>
          <w:spacing w:val="-15"/>
        </w:rPr>
        <w:t> </w:t>
      </w:r>
      <w:r>
        <w:rPr/>
        <w:t>transactions</w:t>
      </w:r>
      <w:r>
        <w:rPr>
          <w:spacing w:val="-15"/>
        </w:rPr>
        <w:t> </w:t>
      </w:r>
      <w:r>
        <w:rPr/>
        <w:t>(blocks)</w:t>
      </w:r>
      <w:r>
        <w:rPr>
          <w:spacing w:val="-15"/>
        </w:rPr>
        <w:t> </w:t>
      </w:r>
      <w:r>
        <w:rPr/>
        <w:t>are</w:t>
      </w:r>
      <w:r>
        <w:rPr>
          <w:spacing w:val="-15"/>
        </w:rPr>
        <w:t> </w:t>
      </w:r>
      <w:r>
        <w:rPr/>
        <w:t>linked by cryptographic hashes </w:t>
      </w:r>
      <w:hyperlink w:history="true" w:anchor="_bookmark179">
        <w:r>
          <w:rPr>
            <w:vertAlign w:val="superscript"/>
          </w:rPr>
          <w:t>[46]</w:t>
        </w:r>
      </w:hyperlink>
      <w:r>
        <w:rPr>
          <w:vertAlign w:val="baseline"/>
        </w:rPr>
        <w:t>.</w:t>
      </w:r>
      <w:r>
        <w:rPr>
          <w:spacing w:val="27"/>
          <w:vertAlign w:val="baseline"/>
        </w:rPr>
        <w:t> </w:t>
      </w:r>
      <w:r>
        <w:rPr>
          <w:vertAlign w:val="baseline"/>
        </w:rPr>
        <w:t>Participants agree on a canonical history through a consensus mech-anism; once</w:t>
      </w:r>
      <w:r>
        <w:rPr>
          <w:spacing w:val="-2"/>
          <w:vertAlign w:val="baseline"/>
        </w:rPr>
        <w:t> </w:t>
      </w:r>
      <w:r>
        <w:rPr>
          <w:vertAlign w:val="baseline"/>
        </w:rPr>
        <w:t>confirmed,</w:t>
      </w:r>
      <w:r>
        <w:rPr>
          <w:spacing w:val="-1"/>
          <w:vertAlign w:val="baseline"/>
        </w:rPr>
        <w:t> </w:t>
      </w:r>
      <w:r>
        <w:rPr>
          <w:vertAlign w:val="baseline"/>
        </w:rPr>
        <w:t>entries</w:t>
      </w:r>
      <w:r>
        <w:rPr>
          <w:spacing w:val="-2"/>
          <w:vertAlign w:val="baseline"/>
        </w:rPr>
        <w:t> </w:t>
      </w:r>
      <w:r>
        <w:rPr>
          <w:vertAlign w:val="baseline"/>
        </w:rPr>
        <w:t>are</w:t>
      </w:r>
      <w:r>
        <w:rPr>
          <w:spacing w:val="-2"/>
          <w:vertAlign w:val="baseline"/>
        </w:rPr>
        <w:t> </w:t>
      </w:r>
      <w:r>
        <w:rPr>
          <w:vertAlign w:val="baseline"/>
        </w:rPr>
        <w:t>costly</w:t>
      </w:r>
      <w:r>
        <w:rPr>
          <w:spacing w:val="-2"/>
          <w:vertAlign w:val="baseline"/>
        </w:rPr>
        <w:t> </w:t>
      </w:r>
      <w:r>
        <w:rPr>
          <w:vertAlign w:val="baseline"/>
        </w:rPr>
        <w:t>to</w:t>
      </w:r>
      <w:r>
        <w:rPr>
          <w:spacing w:val="-2"/>
          <w:vertAlign w:val="baseline"/>
        </w:rPr>
        <w:t> </w:t>
      </w:r>
      <w:r>
        <w:rPr>
          <w:vertAlign w:val="baseline"/>
        </w:rPr>
        <w:t>rewrite.</w:t>
      </w:r>
      <w:r>
        <w:rPr>
          <w:spacing w:val="24"/>
          <w:vertAlign w:val="baseline"/>
        </w:rPr>
        <w:t> </w:t>
      </w:r>
      <w:r>
        <w:rPr>
          <w:vertAlign w:val="baseline"/>
        </w:rPr>
        <w:t>This</w:t>
      </w:r>
      <w:r>
        <w:rPr>
          <w:spacing w:val="-2"/>
          <w:vertAlign w:val="baseline"/>
        </w:rPr>
        <w:t> </w:t>
      </w:r>
      <w:r>
        <w:rPr>
          <w:vertAlign w:val="baseline"/>
        </w:rPr>
        <w:t>property</w:t>
      </w:r>
      <w:r>
        <w:rPr>
          <w:spacing w:val="-2"/>
          <w:vertAlign w:val="baseline"/>
        </w:rPr>
        <w:t> </w:t>
      </w:r>
      <w:r>
        <w:rPr>
          <w:vertAlign w:val="baseline"/>
        </w:rPr>
        <w:t>enables</w:t>
      </w:r>
      <w:r>
        <w:rPr>
          <w:spacing w:val="-2"/>
          <w:vertAlign w:val="baseline"/>
        </w:rPr>
        <w:t> </w:t>
      </w:r>
      <w:r>
        <w:rPr>
          <w:i/>
          <w:vertAlign w:val="baseline"/>
        </w:rPr>
        <w:t>trust-minimized </w:t>
      </w:r>
      <w:r>
        <w:rPr>
          <w:vertAlign w:val="baseline"/>
        </w:rPr>
        <w:t>settle-ment: counterparties need not share a legal identity if they can verify the ledger state.</w:t>
      </w:r>
    </w:p>
    <w:p>
      <w:pPr>
        <w:pStyle w:val="BodyText"/>
        <w:spacing w:line="396" w:lineRule="auto"/>
        <w:ind w:left="282" w:right="524" w:hanging="9"/>
        <w:jc w:val="both"/>
      </w:pPr>
      <w:r>
        <w:rPr>
          <w:i/>
        </w:rPr>
        <w:t>블록체인은 일련의 거래(블록)가 암호화 해시로 연결되는 복제된 추가 전용 원장입니다[46]. 참가자들은 합의 메커니즘을 통해 표준 기록에 동의하며, 일단 확인되면 항목을 다시 작성하는 데 비용이 많이 듭니다. 이 속성은 신뢰를 최소화한 결제를 가능하게 합니다. 거래 상대방은 원장 상태를 확인할 수 있으면 법적 신원을 공유할 필요가 없습니다.</w:t>
      </w:r>
    </w:p>
    <w:p>
      <w:pPr>
        <w:pStyle w:val="BodyText"/>
        <w:spacing w:line="396" w:lineRule="auto" w:before="18"/>
        <w:ind w:left="282" w:right="524"/>
        <w:jc w:val="both"/>
      </w:pPr>
      <w:r>
        <w:rPr/>
        <w:t>Bitcoin</w:t>
      </w:r>
      <w:r>
        <w:rPr>
          <w:spacing w:val="-3"/>
        </w:rPr>
        <w:t> </w:t>
      </w:r>
      <w:r>
        <w:rPr/>
        <w:t>demonstrated</w:t>
      </w:r>
      <w:r>
        <w:rPr>
          <w:spacing w:val="-3"/>
        </w:rPr>
        <w:t> </w:t>
      </w:r>
      <w:r>
        <w:rPr/>
        <w:t>peer-to-peer</w:t>
      </w:r>
      <w:r>
        <w:rPr>
          <w:spacing w:val="-3"/>
        </w:rPr>
        <w:t> </w:t>
      </w:r>
      <w:r>
        <w:rPr/>
        <w:t>electronic</w:t>
      </w:r>
      <w:r>
        <w:rPr>
          <w:spacing w:val="-3"/>
        </w:rPr>
        <w:t> </w:t>
      </w:r>
      <w:r>
        <w:rPr/>
        <w:t>cash</w:t>
      </w:r>
      <w:r>
        <w:rPr>
          <w:spacing w:val="-3"/>
        </w:rPr>
        <w:t> </w:t>
      </w:r>
      <w:hyperlink w:history="true" w:anchor="_bookmark179">
        <w:r>
          <w:rPr>
            <w:vertAlign w:val="superscript"/>
          </w:rPr>
          <w:t>[46]</w:t>
        </w:r>
      </w:hyperlink>
      <w:r>
        <w:rPr>
          <w:vertAlign w:val="baseline"/>
        </w:rPr>
        <w:t>. Ethereum</w:t>
      </w:r>
      <w:r>
        <w:rPr>
          <w:spacing w:val="-3"/>
          <w:vertAlign w:val="baseline"/>
        </w:rPr>
        <w:t> </w:t>
      </w:r>
      <w:r>
        <w:rPr>
          <w:vertAlign w:val="baseline"/>
        </w:rPr>
        <w:t>generalized</w:t>
      </w:r>
      <w:r>
        <w:rPr>
          <w:spacing w:val="-3"/>
          <w:vertAlign w:val="baseline"/>
        </w:rPr>
        <w:t> </w:t>
      </w:r>
      <w:r>
        <w:rPr>
          <w:vertAlign w:val="baseline"/>
        </w:rPr>
        <w:t>the</w:t>
      </w:r>
      <w:r>
        <w:rPr>
          <w:spacing w:val="-3"/>
          <w:vertAlign w:val="baseline"/>
        </w:rPr>
        <w:t> </w:t>
      </w:r>
      <w:r>
        <w:rPr>
          <w:vertAlign w:val="baseline"/>
        </w:rPr>
        <w:t>model</w:t>
      </w:r>
      <w:r>
        <w:rPr>
          <w:spacing w:val="-3"/>
          <w:vertAlign w:val="baseline"/>
        </w:rPr>
        <w:t> </w:t>
      </w:r>
      <w:r>
        <w:rPr>
          <w:vertAlign w:val="baseline"/>
        </w:rPr>
        <w:t>to</w:t>
      </w:r>
      <w:r>
        <w:rPr>
          <w:spacing w:val="-3"/>
          <w:vertAlign w:val="baseline"/>
        </w:rPr>
        <w:t> </w:t>
      </w:r>
      <w:r>
        <w:rPr>
          <w:vertAlign w:val="baseline"/>
        </w:rPr>
        <w:t>a</w:t>
      </w:r>
      <w:r>
        <w:rPr>
          <w:spacing w:val="-3"/>
          <w:vertAlign w:val="baseline"/>
        </w:rPr>
        <w:t> </w:t>
      </w:r>
      <w:r>
        <w:rPr>
          <w:vertAlign w:val="baseline"/>
        </w:rPr>
        <w:t>world computer:</w:t>
      </w:r>
      <w:r>
        <w:rPr>
          <w:spacing w:val="40"/>
          <w:vertAlign w:val="baseline"/>
        </w:rPr>
        <w:t> </w:t>
      </w:r>
      <w:r>
        <w:rPr>
          <w:vertAlign w:val="baseline"/>
        </w:rPr>
        <w:t>accounts hold balances and code, and transactions invoke functions that update state according to the Ethereum Virtual Machine (EVM) </w:t>
      </w:r>
      <w:hyperlink w:history="true" w:anchor="_bookmark136">
        <w:r>
          <w:rPr>
            <w:vertAlign w:val="superscript"/>
          </w:rPr>
          <w:t>[3]</w:t>
        </w:r>
      </w:hyperlink>
      <w:r>
        <w:rPr>
          <w:vertAlign w:val="superscript"/>
        </w:rPr>
        <w:t>,</w:t>
      </w:r>
      <w:hyperlink w:history="true" w:anchor="_bookmark142">
        <w:r>
          <w:rPr>
            <w:vertAlign w:val="superscript"/>
          </w:rPr>
          <w:t>[9]</w:t>
        </w:r>
      </w:hyperlink>
      <w:r>
        <w:rPr>
          <w:vertAlign w:val="superscript"/>
        </w:rPr>
        <w:t>,</w:t>
      </w:r>
      <w:hyperlink w:history="true" w:anchor="_bookmark193">
        <w:r>
          <w:rPr>
            <w:vertAlign w:val="superscript"/>
          </w:rPr>
          <w:t>[60]</w:t>
        </w:r>
      </w:hyperlink>
      <w:r>
        <w:rPr>
          <w:vertAlign w:val="baseline"/>
        </w:rPr>
        <w:t>.</w:t>
      </w:r>
      <w:r>
        <w:rPr>
          <w:spacing w:val="30"/>
          <w:vertAlign w:val="baseline"/>
        </w:rPr>
        <w:t> </w:t>
      </w:r>
      <w:r>
        <w:rPr>
          <w:vertAlign w:val="baseline"/>
        </w:rPr>
        <w:t>Smart contracts are programs stored on-chain that execute deterministically when called </w:t>
      </w:r>
      <w:hyperlink w:history="true" w:anchor="_bookmark188">
        <w:r>
          <w:rPr>
            <w:vertAlign w:val="superscript"/>
          </w:rPr>
          <w:t>[55]</w:t>
        </w:r>
      </w:hyperlink>
      <w:r>
        <w:rPr>
          <w:vertAlign w:val="baseline"/>
        </w:rPr>
        <w:t>.</w:t>
      </w:r>
      <w:r>
        <w:rPr>
          <w:spacing w:val="40"/>
          <w:vertAlign w:val="baseline"/>
        </w:rPr>
        <w:t> </w:t>
      </w:r>
      <w:r>
        <w:rPr>
          <w:vertAlign w:val="baseline"/>
        </w:rPr>
        <w:t>Because execution is public and repro-ducible, financial logic—collateral checks, liquidations, fee accrual—can be encoded without a central operator </w:t>
      </w:r>
      <w:hyperlink w:history="true" w:anchor="_bookmark186">
        <w:r>
          <w:rPr>
            <w:vertAlign w:val="superscript"/>
          </w:rPr>
          <w:t>[53]</w:t>
        </w:r>
      </w:hyperlink>
      <w:r>
        <w:rPr>
          <w:vertAlign w:val="baseline"/>
        </w:rPr>
        <w:t>.</w:t>
      </w:r>
    </w:p>
    <w:p>
      <w:pPr>
        <w:pStyle w:val="BodyText"/>
        <w:spacing w:line="396" w:lineRule="auto" w:before="18"/>
        <w:ind w:left="282" w:right="524"/>
        <w:jc w:val="both"/>
      </w:pPr>
      <w:r>
        <w:rPr>
          <w:i/>
        </w:rPr>
        <w:t>비트코인은 P2P 전자 현금을 시연했습니다[46]. Ethereum은 모델을 세계 컴퓨터로 일반화했습니다. 계정은 잔액과 코드를 보유하고 트랜잭션은 EVM(Ethereum Virtual Machine) [3],[9],[60]에 따라 상태를 업데이트하는 기능을 호출합니다. 스마트 계약은 호출 시 결정론적으로 실행되는 온체인에 저장된 프로그램입니다[55]. 실행은 공개적이고 재현 가능하기 때문에 금융 논리(담보 수표, 청산, 수수료 발생)는 중앙 운영자 없이 인코딩될 수 있습니다[53].</w:t>
      </w:r>
    </w:p>
    <w:p>
      <w:pPr>
        <w:pStyle w:val="BodyText"/>
        <w:spacing w:before="21"/>
        <w:ind w:left="282"/>
        <w:jc w:val="both"/>
      </w:pPr>
      <w:r>
        <w:rPr>
          <w:spacing w:val="-2"/>
        </w:rPr>
        <w:t>Decentralized</w:t>
      </w:r>
      <w:r>
        <w:rPr>
          <w:spacing w:val="-3"/>
        </w:rPr>
        <w:t> </w:t>
      </w:r>
      <w:r>
        <w:rPr>
          <w:spacing w:val="-2"/>
        </w:rPr>
        <w:t>Finance (DeFi) refers to the</w:t>
      </w:r>
      <w:r>
        <w:rPr>
          <w:spacing w:val="-3"/>
        </w:rPr>
        <w:t> </w:t>
      </w:r>
      <w:r>
        <w:rPr>
          <w:spacing w:val="-2"/>
        </w:rPr>
        <w:t>ecosystem of such contracts offering</w:t>
      </w:r>
      <w:r>
        <w:rPr>
          <w:spacing w:val="-3"/>
        </w:rPr>
        <w:t> </w:t>
      </w:r>
      <w:r>
        <w:rPr>
          <w:spacing w:val="-2"/>
        </w:rPr>
        <w:t>exchange, lending,</w:t>
      </w:r>
    </w:p>
    <w:p>
      <w:pPr>
        <w:pStyle w:val="BodyText"/>
        <w:spacing w:before="21"/>
        <w:ind w:left="282"/>
        <w:jc w:val="both"/>
      </w:pPr>
      <w:r>
        <w:rPr>
          <w:i/>
        </w:rPr>
        <w:t>탈중앙화 금융(DeFi)은 교환, 대출,</w:t>
      </w:r>
    </w:p>
    <w:p>
      <w:pPr>
        <w:pStyle w:val="BodyText"/>
        <w:spacing w:after="0"/>
        <w:jc w:val="both"/>
        <w:sectPr>
          <w:pgSz w:w="11910" w:h="16840"/>
          <w:pgMar w:header="0" w:footer="2115" w:top="1920" w:bottom="2300" w:left="992" w:right="708"/>
        </w:sectPr>
      </w:pPr>
    </w:p>
    <w:p>
      <w:pPr>
        <w:pStyle w:val="BodyText"/>
        <w:spacing w:line="396" w:lineRule="auto" w:before="92"/>
        <w:ind w:left="274" w:right="563" w:firstLine="7"/>
        <w:jc w:val="both"/>
      </w:pPr>
      <w:r>
        <w:rPr/>
        <w:t>derivatives, and asset management </w:t>
      </w:r>
      <w:hyperlink w:history="true" w:anchor="_bookmark137">
        <w:r>
          <w:rPr>
            <w:vertAlign w:val="superscript"/>
          </w:rPr>
          <w:t>[4]</w:t>
        </w:r>
      </w:hyperlink>
      <w:r>
        <w:rPr>
          <w:vertAlign w:val="superscript"/>
        </w:rPr>
        <w:t>,</w:t>
      </w:r>
      <w:hyperlink w:history="true" w:anchor="_bookmark145">
        <w:r>
          <w:rPr>
            <w:vertAlign w:val="superscript"/>
          </w:rPr>
          <w:t>[12]</w:t>
        </w:r>
      </w:hyperlink>
      <w:r>
        <w:rPr>
          <w:vertAlign w:val="superscript"/>
        </w:rPr>
        <w:t>,</w:t>
      </w:r>
      <w:hyperlink w:history="true" w:anchor="_bookmark161">
        <w:r>
          <w:rPr>
            <w:vertAlign w:val="superscript"/>
          </w:rPr>
          <w:t>[28]</w:t>
        </w:r>
      </w:hyperlink>
      <w:r>
        <w:rPr>
          <w:vertAlign w:val="superscript"/>
        </w:rPr>
        <w:t>,</w:t>
      </w:r>
      <w:hyperlink w:history="true" w:anchor="_bookmark166">
        <w:r>
          <w:rPr>
            <w:vertAlign w:val="superscript"/>
          </w:rPr>
          <w:t>[33]</w:t>
        </w:r>
      </w:hyperlink>
      <w:r>
        <w:rPr>
          <w:vertAlign w:val="superscript"/>
        </w:rPr>
        <w:t>,</w:t>
      </w:r>
      <w:hyperlink w:history="true" w:anchor="_bookmark192">
        <w:r>
          <w:rPr>
            <w:vertAlign w:val="superscript"/>
          </w:rPr>
          <w:t>[59]</w:t>
        </w:r>
      </w:hyperlink>
      <w:r>
        <w:rPr>
          <w:vertAlign w:val="baseline"/>
        </w:rPr>
        <w:t>.</w:t>
      </w:r>
      <w:r>
        <w:rPr>
          <w:spacing w:val="40"/>
          <w:vertAlign w:val="baseline"/>
        </w:rPr>
        <w:t> </w:t>
      </w:r>
      <w:r>
        <w:rPr>
          <w:vertAlign w:val="baseline"/>
        </w:rPr>
        <w:t>Composability—the ability of one protocol</w:t>
      </w:r>
      <w:r>
        <w:rPr>
          <w:spacing w:val="80"/>
          <w:vertAlign w:val="baseline"/>
        </w:rPr>
        <w:t> </w:t>
      </w:r>
      <w:r>
        <w:rPr>
          <w:vertAlign w:val="baseline"/>
        </w:rPr>
        <w:t>to call another—creates powerful products but also systemic risk pathways, including flash-loan attacks</w:t>
      </w:r>
      <w:r>
        <w:rPr>
          <w:spacing w:val="-6"/>
          <w:vertAlign w:val="baseline"/>
        </w:rPr>
        <w:t> </w:t>
      </w:r>
      <w:r>
        <w:rPr>
          <w:vertAlign w:val="baseline"/>
        </w:rPr>
        <w:t>and</w:t>
      </w:r>
      <w:r>
        <w:rPr>
          <w:spacing w:val="-6"/>
          <w:vertAlign w:val="baseline"/>
        </w:rPr>
        <w:t> </w:t>
      </w:r>
      <w:r>
        <w:rPr>
          <w:vertAlign w:val="baseline"/>
        </w:rPr>
        <w:t>oracle</w:t>
      </w:r>
      <w:r>
        <w:rPr>
          <w:spacing w:val="-6"/>
          <w:vertAlign w:val="baseline"/>
        </w:rPr>
        <w:t> </w:t>
      </w:r>
      <w:r>
        <w:rPr>
          <w:vertAlign w:val="baseline"/>
        </w:rPr>
        <w:t>manipulation</w:t>
      </w:r>
      <w:r>
        <w:rPr>
          <w:spacing w:val="-6"/>
          <w:vertAlign w:val="baseline"/>
        </w:rPr>
        <w:t> </w:t>
      </w:r>
      <w:hyperlink w:history="true" w:anchor="_bookmark148">
        <w:r>
          <w:rPr>
            <w:vertAlign w:val="superscript"/>
          </w:rPr>
          <w:t>[15]</w:t>
        </w:r>
      </w:hyperlink>
      <w:r>
        <w:rPr>
          <w:vertAlign w:val="superscript"/>
        </w:rPr>
        <w:t>,</w:t>
      </w:r>
      <w:hyperlink w:history="true" w:anchor="_bookmark184">
        <w:r>
          <w:rPr>
            <w:vertAlign w:val="superscript"/>
          </w:rPr>
          <w:t>[51]</w:t>
        </w:r>
      </w:hyperlink>
      <w:r>
        <w:rPr>
          <w:vertAlign w:val="superscript"/>
        </w:rPr>
        <w:t>,</w:t>
      </w:r>
      <w:hyperlink w:history="true" w:anchor="_bookmark191">
        <w:r>
          <w:rPr>
            <w:vertAlign w:val="superscript"/>
          </w:rPr>
          <w:t>[58]</w:t>
        </w:r>
      </w:hyperlink>
      <w:r>
        <w:rPr>
          <w:vertAlign w:val="baseline"/>
        </w:rPr>
        <w:t>.</w:t>
      </w:r>
      <w:r>
        <w:rPr>
          <w:spacing w:val="17"/>
          <w:vertAlign w:val="baseline"/>
        </w:rPr>
        <w:t> </w:t>
      </w:r>
      <w:r>
        <w:rPr>
          <w:vertAlign w:val="baseline"/>
        </w:rPr>
        <w:t>For</w:t>
      </w:r>
      <w:r>
        <w:rPr>
          <w:spacing w:val="-6"/>
          <w:vertAlign w:val="baseline"/>
        </w:rPr>
        <w:t> </w:t>
      </w:r>
      <w:r>
        <w:rPr>
          <w:vertAlign w:val="baseline"/>
        </w:rPr>
        <w:t>reputation</w:t>
      </w:r>
      <w:r>
        <w:rPr>
          <w:spacing w:val="-6"/>
          <w:vertAlign w:val="baseline"/>
        </w:rPr>
        <w:t> </w:t>
      </w:r>
      <w:r>
        <w:rPr>
          <w:vertAlign w:val="baseline"/>
        </w:rPr>
        <w:t>research,</w:t>
      </w:r>
      <w:r>
        <w:rPr>
          <w:spacing w:val="-5"/>
          <w:vertAlign w:val="baseline"/>
        </w:rPr>
        <w:t> </w:t>
      </w:r>
      <w:r>
        <w:rPr>
          <w:vertAlign w:val="baseline"/>
        </w:rPr>
        <w:t>the</w:t>
      </w:r>
      <w:r>
        <w:rPr>
          <w:spacing w:val="-6"/>
          <w:vertAlign w:val="baseline"/>
        </w:rPr>
        <w:t> </w:t>
      </w:r>
      <w:r>
        <w:rPr>
          <w:vertAlign w:val="baseline"/>
        </w:rPr>
        <w:t>relevant</w:t>
      </w:r>
      <w:r>
        <w:rPr>
          <w:spacing w:val="-6"/>
          <w:vertAlign w:val="baseline"/>
        </w:rPr>
        <w:t> </w:t>
      </w:r>
      <w:r>
        <w:rPr>
          <w:vertAlign w:val="baseline"/>
        </w:rPr>
        <w:t>implication</w:t>
      </w:r>
      <w:r>
        <w:rPr>
          <w:spacing w:val="-6"/>
          <w:vertAlign w:val="baseline"/>
        </w:rPr>
        <w:t> </w:t>
      </w:r>
      <w:r>
        <w:rPr>
          <w:vertAlign w:val="baseline"/>
        </w:rPr>
        <w:t>is</w:t>
      </w:r>
      <w:r>
        <w:rPr>
          <w:spacing w:val="-6"/>
          <w:vertAlign w:val="baseline"/>
        </w:rPr>
        <w:t> </w:t>
      </w:r>
      <w:r>
        <w:rPr>
          <w:vertAlign w:val="baseline"/>
        </w:rPr>
        <w:t>that </w:t>
      </w:r>
      <w:r>
        <w:rPr>
          <w:i/>
          <w:vertAlign w:val="baseline"/>
        </w:rPr>
        <w:t>wallet-level histories </w:t>
      </w:r>
      <w:r>
        <w:rPr>
          <w:vertAlign w:val="baseline"/>
        </w:rPr>
        <w:t>on public chains are rich, machine-readable, and incomplete:</w:t>
      </w:r>
      <w:r>
        <w:rPr>
          <w:spacing w:val="40"/>
          <w:vertAlign w:val="baseline"/>
        </w:rPr>
        <w:t> </w:t>
      </w:r>
      <w:r>
        <w:rPr>
          <w:vertAlign w:val="baseline"/>
        </w:rPr>
        <w:t>they reveal </w:t>
      </w:r>
      <w:bookmarkStart w:name="Pseudonymity and the credit problem" w:id="31"/>
      <w:bookmarkEnd w:id="31"/>
      <w:r>
        <w:rPr>
          <w:vertAlign w:val="baseline"/>
        </w:rPr>
        <w:t>actions,</w:t>
      </w:r>
      <w:r>
        <w:rPr>
          <w:vertAlign w:val="baseline"/>
        </w:rPr>
        <w:t> not legal identities </w:t>
      </w:r>
      <w:hyperlink w:history="true" w:anchor="_bookmark181">
        <w:r>
          <w:rPr>
            <w:vertAlign w:val="superscript"/>
          </w:rPr>
          <w:t>[48]</w:t>
        </w:r>
      </w:hyperlink>
      <w:r>
        <w:rPr>
          <w:vertAlign w:val="baseline"/>
        </w:rPr>
        <w:t>.</w:t>
      </w:r>
    </w:p>
    <w:p>
      <w:pPr>
        <w:pStyle w:val="BodyText"/>
        <w:spacing w:line="396" w:lineRule="auto" w:before="92"/>
        <w:ind w:left="274" w:right="563" w:firstLine="7"/>
        <w:jc w:val="both"/>
      </w:pPr>
      <w:r>
        <w:rPr>
          <w:i/>
        </w:rPr>
        <w:t>파생상품 및 자산관리 [4],[12],[28],[33],[59]. 한 프로토콜이 다른 프로토콜을 호출하는 능력인 결합성(composability)은 강력한 제품을 생성할 뿐만 아니라 플래시론 공격 및 오라클 조작을 포함한 시스템적 위험 경로를 생성합니다[15],[51],[58]. 평판 조사의 경우 퍼블릭 체인의 지갑 수준 기록은 풍부하고 기계 판독이 가능하며 불완전하다는 의미가 있습니다. 즉, 법적 신원이 아닌 행동을 드러냅니다[48].</w:t>
      </w:r>
    </w:p>
    <w:p>
      <w:pPr>
        <w:pStyle w:val="BodyText"/>
        <w:spacing w:before="11"/>
      </w:pPr>
    </w:p>
    <w:p>
      <w:pPr>
        <w:pStyle w:val="Heading4"/>
        <w:numPr>
          <w:ilvl w:val="2"/>
          <w:numId w:val="8"/>
        </w:numPr>
        <w:tabs>
          <w:tab w:pos="879" w:val="left" w:leader="none"/>
        </w:tabs>
        <w:spacing w:line="240" w:lineRule="auto" w:before="0" w:after="0"/>
        <w:ind w:left="879" w:right="0" w:hanging="597"/>
        <w:jc w:val="left"/>
      </w:pPr>
      <w:r>
        <w:rPr/>
        <w:t>Pseudonymity</w:t>
      </w:r>
      <w:r>
        <w:rPr>
          <w:spacing w:val="-10"/>
        </w:rPr>
        <w:t> </w:t>
      </w:r>
      <w:r>
        <w:rPr/>
        <w:t>and</w:t>
      </w:r>
      <w:r>
        <w:rPr>
          <w:spacing w:val="-10"/>
        </w:rPr>
        <w:t> </w:t>
      </w:r>
      <w:r>
        <w:rPr/>
        <w:t>the</w:t>
      </w:r>
      <w:r>
        <w:rPr>
          <w:spacing w:val="-9"/>
        </w:rPr>
        <w:t> </w:t>
      </w:r>
      <w:r>
        <w:rPr/>
        <w:t>credit</w:t>
      </w:r>
      <w:r>
        <w:rPr>
          <w:spacing w:val="-10"/>
        </w:rPr>
        <w:t> </w:t>
      </w:r>
      <w:r>
        <w:rPr>
          <w:spacing w:val="-2"/>
        </w:rPr>
        <w:t>problem</w:t>
      </w:r>
    </w:p>
    <w:p>
      <w:pPr>
        <w:pStyle w:val="Heading4"/>
        <w:numPr>
          <w:ilvl w:val="2"/>
          <w:numId w:val="8"/>
        </w:numPr>
        <w:tabs>
          <w:tab w:pos="879" w:val="left" w:leader="none"/>
        </w:tabs>
        <w:spacing w:line="240" w:lineRule="auto" w:before="0" w:after="0"/>
        <w:ind w:left="879" w:right="0" w:hanging="597"/>
        <w:jc w:val="left"/>
      </w:pPr>
      <w:r>
        <w:rPr>
          <w:i/>
        </w:rPr>
        <w:t>가명과 신용 문제</w:t>
      </w:r>
    </w:p>
    <w:p>
      <w:pPr>
        <w:pStyle w:val="BodyText"/>
        <w:spacing w:before="46"/>
        <w:rPr>
          <w:b/>
        </w:rPr>
      </w:pPr>
    </w:p>
    <w:p>
      <w:pPr>
        <w:pStyle w:val="BodyText"/>
        <w:spacing w:line="396" w:lineRule="auto"/>
        <w:ind w:left="282" w:right="557" w:hanging="8"/>
        <w:jc w:val="both"/>
      </w:pPr>
      <w:r>
        <w:rPr/>
        <w:t>Traditional credit scoring links legal persons to repayment histories.</w:t>
      </w:r>
      <w:r>
        <w:rPr>
          <w:spacing w:val="40"/>
        </w:rPr>
        <w:t> </w:t>
      </w:r>
      <w:r>
        <w:rPr/>
        <w:t>On public blockchains, the unit of analysis is an address (wallet).</w:t>
      </w:r>
      <w:r>
        <w:rPr>
          <w:spacing w:val="40"/>
        </w:rPr>
        <w:t> </w:t>
      </w:r>
      <w:r>
        <w:rPr/>
        <w:t>An address may represent an individual,</w:t>
      </w:r>
      <w:r>
        <w:rPr>
          <w:spacing w:val="11"/>
        </w:rPr>
        <w:t> </w:t>
      </w:r>
      <w:r>
        <w:rPr/>
        <w:t>a fund,</w:t>
      </w:r>
      <w:r>
        <w:rPr>
          <w:spacing w:val="11"/>
        </w:rPr>
        <w:t> </w:t>
      </w:r>
      <w:r>
        <w:rPr/>
        <w:t>a bot,</w:t>
      </w:r>
      <w:r>
        <w:rPr>
          <w:spacing w:val="11"/>
        </w:rPr>
        <w:t> </w:t>
      </w:r>
      <w:r>
        <w:rPr/>
        <w:t>or</w:t>
      </w:r>
      <w:r>
        <w:rPr>
          <w:spacing w:val="80"/>
        </w:rPr>
        <w:t> </w:t>
      </w:r>
      <w:r>
        <w:rPr/>
        <w:t>a smart contract.</w:t>
      </w:r>
      <w:r>
        <w:rPr>
          <w:spacing w:val="40"/>
        </w:rPr>
        <w:t> </w:t>
      </w:r>
      <w:r>
        <w:rPr/>
        <w:t>Multiple addresses may be controlled by one entity </w:t>
      </w:r>
      <w:hyperlink w:history="true" w:anchor="_bookmark150">
        <w:r>
          <w:rPr>
            <w:vertAlign w:val="superscript"/>
          </w:rPr>
          <w:t>[17]</w:t>
        </w:r>
      </w:hyperlink>
      <w:r>
        <w:rPr>
          <w:vertAlign w:val="baseline"/>
        </w:rPr>
        <w:t>.</w:t>
      </w:r>
      <w:r>
        <w:rPr>
          <w:spacing w:val="40"/>
          <w:vertAlign w:val="baseline"/>
        </w:rPr>
        <w:t> </w:t>
      </w:r>
      <w:r>
        <w:rPr>
          <w:vertAlign w:val="baseline"/>
        </w:rPr>
        <w:t>Consequently, DeFi lending markets typically require over-collateralization:</w:t>
      </w:r>
      <w:r>
        <w:rPr>
          <w:spacing w:val="40"/>
          <w:vertAlign w:val="baseline"/>
        </w:rPr>
        <w:t> </w:t>
      </w:r>
      <w:r>
        <w:rPr>
          <w:vertAlign w:val="baseline"/>
        </w:rPr>
        <w:t>borrowers lock assets worth more than the loan, and liquidators seize collateral when health factors fall </w:t>
      </w:r>
      <w:hyperlink w:history="true" w:anchor="_bookmark138">
        <w:r>
          <w:rPr>
            <w:vertAlign w:val="superscript"/>
          </w:rPr>
          <w:t>[5]</w:t>
        </w:r>
      </w:hyperlink>
      <w:r>
        <w:rPr>
          <w:vertAlign w:val="superscript"/>
        </w:rPr>
        <w:t>,</w:t>
      </w:r>
      <w:hyperlink w:history="true" w:anchor="_bookmark186">
        <w:r>
          <w:rPr>
            <w:vertAlign w:val="superscript"/>
          </w:rPr>
          <w:t>[53]</w:t>
        </w:r>
      </w:hyperlink>
      <w:r>
        <w:rPr>
          <w:vertAlign w:val="baseline"/>
        </w:rPr>
        <w:t>.</w:t>
      </w:r>
      <w:r>
        <w:rPr>
          <w:spacing w:val="40"/>
          <w:vertAlign w:val="baseline"/>
        </w:rPr>
        <w:t> </w:t>
      </w:r>
      <w:r>
        <w:rPr>
          <w:vertAlign w:val="baseline"/>
        </w:rPr>
        <w:t>Over-collateralization is robust but capital-inefficient.</w:t>
      </w:r>
      <w:r>
        <w:rPr>
          <w:spacing w:val="34"/>
          <w:vertAlign w:val="baseline"/>
        </w:rPr>
        <w:t> </w:t>
      </w:r>
      <w:r>
        <w:rPr>
          <w:vertAlign w:val="baseline"/>
        </w:rPr>
        <w:t>On-chain reputation scores aim to summarize behavioral reliability so</w:t>
      </w:r>
      <w:r>
        <w:rPr>
          <w:spacing w:val="11"/>
          <w:vertAlign w:val="baseline"/>
        </w:rPr>
        <w:t> </w:t>
      </w:r>
      <w:r>
        <w:rPr>
          <w:vertAlign w:val="baseline"/>
        </w:rPr>
        <w:t>that</w:t>
      </w:r>
      <w:r>
        <w:rPr>
          <w:spacing w:val="11"/>
          <w:vertAlign w:val="baseline"/>
        </w:rPr>
        <w:t> </w:t>
      </w:r>
      <w:r>
        <w:rPr>
          <w:vertAlign w:val="baseline"/>
        </w:rPr>
        <w:t>protocols—or</w:t>
      </w:r>
      <w:r>
        <w:rPr>
          <w:spacing w:val="12"/>
          <w:vertAlign w:val="baseline"/>
        </w:rPr>
        <w:t> </w:t>
      </w:r>
      <w:r>
        <w:rPr>
          <w:vertAlign w:val="baseline"/>
        </w:rPr>
        <w:t>researchers</w:t>
      </w:r>
      <w:r>
        <w:rPr>
          <w:spacing w:val="11"/>
          <w:vertAlign w:val="baseline"/>
        </w:rPr>
        <w:t> </w:t>
      </w:r>
      <w:r>
        <w:rPr>
          <w:vertAlign w:val="baseline"/>
        </w:rPr>
        <w:t>studying</w:t>
      </w:r>
      <w:r>
        <w:rPr>
          <w:spacing w:val="11"/>
          <w:vertAlign w:val="baseline"/>
        </w:rPr>
        <w:t> </w:t>
      </w:r>
      <w:r>
        <w:rPr>
          <w:vertAlign w:val="baseline"/>
        </w:rPr>
        <w:t>them—can</w:t>
      </w:r>
      <w:r>
        <w:rPr>
          <w:spacing w:val="12"/>
          <w:vertAlign w:val="baseline"/>
        </w:rPr>
        <w:t> </w:t>
      </w:r>
      <w:r>
        <w:rPr>
          <w:vertAlign w:val="baseline"/>
        </w:rPr>
        <w:t>reason</w:t>
      </w:r>
      <w:r>
        <w:rPr>
          <w:spacing w:val="11"/>
          <w:vertAlign w:val="baseline"/>
        </w:rPr>
        <w:t> </w:t>
      </w:r>
      <w:r>
        <w:rPr>
          <w:vertAlign w:val="baseline"/>
        </w:rPr>
        <w:t>about</w:t>
      </w:r>
      <w:r>
        <w:rPr>
          <w:spacing w:val="11"/>
          <w:vertAlign w:val="baseline"/>
        </w:rPr>
        <w:t> </w:t>
      </w:r>
      <w:r>
        <w:rPr>
          <w:vertAlign w:val="baseline"/>
        </w:rPr>
        <w:t>risk</w:t>
      </w:r>
      <w:r>
        <w:rPr>
          <w:spacing w:val="12"/>
          <w:vertAlign w:val="baseline"/>
        </w:rPr>
        <w:t> </w:t>
      </w:r>
      <w:r>
        <w:rPr>
          <w:vertAlign w:val="baseline"/>
        </w:rPr>
        <w:t>without</w:t>
      </w:r>
      <w:r>
        <w:rPr>
          <w:spacing w:val="11"/>
          <w:vertAlign w:val="baseline"/>
        </w:rPr>
        <w:t> </w:t>
      </w:r>
      <w:r>
        <w:rPr>
          <w:vertAlign w:val="baseline"/>
        </w:rPr>
        <w:t>off-chain</w:t>
      </w:r>
      <w:r>
        <w:rPr>
          <w:spacing w:val="12"/>
          <w:vertAlign w:val="baseline"/>
        </w:rPr>
        <w:t> </w:t>
      </w:r>
      <w:r>
        <w:rPr>
          <w:spacing w:val="-5"/>
          <w:vertAlign w:val="baseline"/>
        </w:rPr>
        <w:t>KYC</w:t>
      </w:r>
    </w:p>
    <w:p>
      <w:pPr>
        <w:pStyle w:val="BodyText"/>
        <w:spacing w:line="396" w:lineRule="auto"/>
        <w:ind w:left="282" w:right="557" w:hanging="8"/>
        <w:jc w:val="both"/>
      </w:pPr>
      <w:r>
        <w:rPr>
          <w:i/>
        </w:rPr>
        <w:t>전통적인 신용 점수는 법인을 상환 내역과 연결합니다. 퍼블릭 블록체인에서 분석 단위는 주소(지갑)입니다. 주소는 개인, 펀드, 봇 또는 스마트 계약을 나타낼 수 있습니다. 여러 주소는 하나의 개체에 의해 제어될 수 있습니다[17]. 결과적으로 DeFi 대출 시장은 일반적으로 초과 담보를 요구합니다. 차용자는 대출보다 더 많은 가치의 자산을 잠그고 청산인은 건강 요인이 하락할 때 담보를 압수합니다[5],[53]. 과잉 담보는 강력하지만 자본 효율성이 낮습니다. 온체인 평판 점수는 프로토콜(또는 이를 연구하는 연구자)이 오프체인 KYC 없이 위험에 대해 추론할 수 있도록 행동 신뢰성을 요약하는 것을 목표로 합니다.</w:t>
      </w:r>
    </w:p>
    <w:p>
      <w:pPr>
        <w:spacing w:line="153" w:lineRule="auto" w:before="43"/>
        <w:ind w:left="282" w:right="0" w:firstLine="0"/>
        <w:jc w:val="left"/>
        <w:rPr>
          <w:position w:val="-8"/>
          <w:sz w:val="24"/>
        </w:rPr>
      </w:pPr>
      <w:hyperlink w:history="true" w:anchor="_bookmark162">
        <w:r>
          <w:rPr>
            <w:spacing w:val="-2"/>
            <w:sz w:val="16"/>
          </w:rPr>
          <w:t>[29]</w:t>
        </w:r>
      </w:hyperlink>
      <w:r>
        <w:rPr>
          <w:spacing w:val="-2"/>
          <w:sz w:val="16"/>
        </w:rPr>
        <w:t>,</w:t>
      </w:r>
      <w:hyperlink w:history="true" w:anchor="_bookmark172">
        <w:r>
          <w:rPr>
            <w:spacing w:val="-2"/>
            <w:sz w:val="16"/>
          </w:rPr>
          <w:t>[39]</w:t>
        </w:r>
      </w:hyperlink>
      <w:r>
        <w:rPr>
          <w:spacing w:val="-2"/>
          <w:sz w:val="16"/>
        </w:rPr>
        <w:t>,</w:t>
      </w:r>
      <w:hyperlink w:history="true" w:anchor="_bookmark177">
        <w:r>
          <w:rPr>
            <w:spacing w:val="-2"/>
            <w:sz w:val="16"/>
          </w:rPr>
          <w:t>[44]</w:t>
        </w:r>
        <w:bookmarkStart w:name="Ethereum, Layer-2 rollups, and Arbitrum " w:id="32"/>
        <w:bookmarkEnd w:id="32"/>
        <w:r>
          <w:rPr>
            <w:spacing w:val="9"/>
            <w:sz w:val="16"/>
          </w:rPr>
        </w:r>
        <w:bookmarkStart w:name="_bookmark19" w:id="33"/>
        <w:bookmarkEnd w:id="33"/>
        <w:r>
          <w:rPr>
            <w:spacing w:val="9"/>
            <w:sz w:val="16"/>
          </w:rPr>
        </w:r>
      </w:hyperlink>
      <w:r>
        <w:rPr>
          <w:spacing w:val="-2"/>
          <w:position w:val="-8"/>
          <w:sz w:val="24"/>
        </w:rPr>
        <w:t>.</w:t>
      </w:r>
    </w:p>
    <w:p>
      <w:pPr>
        <w:pStyle w:val="BodyText"/>
        <w:rPr>
          <w:sz w:val="16"/>
        </w:rPr>
      </w:pPr>
    </w:p>
    <w:p>
      <w:pPr>
        <w:pStyle w:val="BodyText"/>
        <w:rPr>
          <w:sz w:val="16"/>
        </w:rPr>
      </w:pPr>
    </w:p>
    <w:p>
      <w:pPr>
        <w:pStyle w:val="BodyText"/>
        <w:spacing w:before="109"/>
        <w:rPr>
          <w:sz w:val="16"/>
        </w:rPr>
      </w:pPr>
    </w:p>
    <w:p>
      <w:pPr>
        <w:pStyle w:val="Heading2"/>
        <w:numPr>
          <w:ilvl w:val="1"/>
          <w:numId w:val="8"/>
        </w:numPr>
        <w:tabs>
          <w:tab w:pos="783" w:val="left" w:leader="none"/>
        </w:tabs>
        <w:spacing w:line="240" w:lineRule="auto" w:before="0" w:after="0"/>
        <w:ind w:left="783" w:right="0" w:hanging="501"/>
        <w:jc w:val="left"/>
      </w:pPr>
      <w:r>
        <w:rPr/>
        <w:t>Ethereum,</w:t>
      </w:r>
      <w:r>
        <w:rPr>
          <w:spacing w:val="15"/>
        </w:rPr>
        <w:t> </w:t>
      </w:r>
      <w:r>
        <w:rPr/>
        <w:t>Layer-2</w:t>
      </w:r>
      <w:r>
        <w:rPr>
          <w:spacing w:val="15"/>
        </w:rPr>
        <w:t> </w:t>
      </w:r>
      <w:r>
        <w:rPr/>
        <w:t>rollups,</w:t>
      </w:r>
      <w:r>
        <w:rPr>
          <w:spacing w:val="15"/>
        </w:rPr>
        <w:t> </w:t>
      </w:r>
      <w:r>
        <w:rPr/>
        <w:t>and</w:t>
      </w:r>
      <w:r>
        <w:rPr>
          <w:spacing w:val="15"/>
        </w:rPr>
        <w:t> </w:t>
      </w:r>
      <w:r>
        <w:rPr/>
        <w:t>Arbitrum</w:t>
      </w:r>
      <w:r>
        <w:rPr>
          <w:spacing w:val="15"/>
        </w:rPr>
        <w:t> </w:t>
      </w:r>
      <w:r>
        <w:rPr>
          <w:spacing w:val="-5"/>
        </w:rPr>
        <w:t>One</w:t>
      </w:r>
    </w:p>
    <w:p>
      <w:pPr>
        <w:pStyle w:val="Heading2"/>
        <w:numPr>
          <w:ilvl w:val="1"/>
          <w:numId w:val="8"/>
        </w:numPr>
        <w:tabs>
          <w:tab w:pos="783" w:val="left" w:leader="none"/>
        </w:tabs>
        <w:spacing w:line="240" w:lineRule="auto" w:before="0" w:after="0"/>
        <w:ind w:left="783" w:right="0" w:hanging="501"/>
        <w:jc w:val="left"/>
      </w:pPr>
      <w:r>
        <w:rPr>
          <w:i/>
        </w:rPr>
        <w:t>Ethereum, Layer-2 롤업 및 Arbitrum One</w:t>
      </w:r>
    </w:p>
    <w:p>
      <w:pPr>
        <w:pStyle w:val="BodyText"/>
        <w:spacing w:before="24"/>
        <w:rPr>
          <w:b/>
          <w:sz w:val="28"/>
        </w:rPr>
      </w:pPr>
    </w:p>
    <w:p>
      <w:pPr>
        <w:pStyle w:val="BodyText"/>
        <w:spacing w:line="396" w:lineRule="auto"/>
        <w:ind w:left="282" w:right="560"/>
        <w:jc w:val="both"/>
      </w:pPr>
      <w:r>
        <w:rPr/>
        <w:t>Ethereum mainnet provides security and liquidity but faces throughput and fee constraints under demand </w:t>
      </w:r>
      <w:hyperlink w:history="true" w:anchor="_bookmark140">
        <w:r>
          <w:rPr>
            <w:vertAlign w:val="superscript"/>
          </w:rPr>
          <w:t>[7]</w:t>
        </w:r>
      </w:hyperlink>
      <w:r>
        <w:rPr>
          <w:vertAlign w:val="superscript"/>
        </w:rPr>
        <w:t>,</w:t>
      </w:r>
      <w:hyperlink w:history="true" w:anchor="_bookmark155">
        <w:r>
          <w:rPr>
            <w:vertAlign w:val="superscript"/>
          </w:rPr>
          <w:t>[22]</w:t>
        </w:r>
      </w:hyperlink>
      <w:r>
        <w:rPr>
          <w:vertAlign w:val="baseline"/>
        </w:rPr>
        <w:t>.</w:t>
      </w:r>
      <w:r>
        <w:rPr>
          <w:spacing w:val="25"/>
          <w:vertAlign w:val="baseline"/>
        </w:rPr>
        <w:t> </w:t>
      </w:r>
      <w:r>
        <w:rPr>
          <w:vertAlign w:val="baseline"/>
        </w:rPr>
        <w:t>Layer-2</w:t>
      </w:r>
      <w:r>
        <w:rPr>
          <w:spacing w:val="-1"/>
          <w:vertAlign w:val="baseline"/>
        </w:rPr>
        <w:t> </w:t>
      </w:r>
      <w:r>
        <w:rPr>
          <w:vertAlign w:val="baseline"/>
        </w:rPr>
        <w:t>(L2) protocols execute transactions off</w:t>
      </w:r>
      <w:r>
        <w:rPr>
          <w:spacing w:val="-1"/>
          <w:vertAlign w:val="baseline"/>
        </w:rPr>
        <w:t> </w:t>
      </w:r>
      <w:r>
        <w:rPr>
          <w:vertAlign w:val="baseline"/>
        </w:rPr>
        <w:t>the base layer (or in a compressed form) and periodically post commitments to Ethereum, aiming to inherit security while reducing cost </w:t>
      </w:r>
      <w:hyperlink w:history="true" w:anchor="_bookmark158">
        <w:r>
          <w:rPr>
            <w:vertAlign w:val="superscript"/>
          </w:rPr>
          <w:t>[25]</w:t>
        </w:r>
      </w:hyperlink>
      <w:r>
        <w:rPr>
          <w:vertAlign w:val="superscript"/>
        </w:rPr>
        <w:t>,</w:t>
      </w:r>
      <w:hyperlink w:history="true" w:anchor="_bookmark159">
        <w:r>
          <w:rPr>
            <w:vertAlign w:val="superscript"/>
          </w:rPr>
          <w:t>[26]</w:t>
        </w:r>
      </w:hyperlink>
      <w:r>
        <w:rPr>
          <w:vertAlign w:val="baseline"/>
        </w:rPr>
        <w:t>.</w:t>
      </w:r>
      <w:r>
        <w:rPr>
          <w:spacing w:val="40"/>
          <w:vertAlign w:val="baseline"/>
        </w:rPr>
        <w:t> </w:t>
      </w:r>
      <w:r>
        <w:rPr>
          <w:vertAlign w:val="baseline"/>
        </w:rPr>
        <w:t>Optimistic rollups such as Arbitrum assume correctness unless challenged during a dispute window </w:t>
      </w:r>
      <w:hyperlink w:history="true" w:anchor="_bookmark167">
        <w:r>
          <w:rPr>
            <w:vertAlign w:val="superscript"/>
          </w:rPr>
          <w:t>[34]</w:t>
        </w:r>
      </w:hyperlink>
      <w:r>
        <w:rPr>
          <w:vertAlign w:val="baseline"/>
        </w:rPr>
        <w:t>.</w:t>
      </w:r>
    </w:p>
    <w:p>
      <w:pPr>
        <w:pStyle w:val="BodyText"/>
        <w:spacing w:line="396" w:lineRule="auto"/>
        <w:ind w:left="282" w:right="560"/>
        <w:jc w:val="both"/>
      </w:pPr>
      <w:r>
        <w:rPr>
          <w:i/>
        </w:rPr>
        <w:t>이더리움 메인넷은 보안과 유동성을 제공하지만 수요에 따라 처리량과 수수료 제약에 직면해 있습니다[7],[22]. 레이어 2(L2) 프로토콜은 기본 레이어에서(또는 압축된 형식으로) 트랜잭션을 실행하고 주기적으로 Ethereum에 약속을 게시하여 비용을 줄이면서 보안을 상속하는 것을 목표로 합니다[25],[26]. Arbitrum과 같은 낙관적 롤업은 분쟁 기간 동안 문제가 발생하지 않는 한 정확성을 가정합니다[34].</w:t>
      </w:r>
    </w:p>
    <w:p>
      <w:pPr>
        <w:pStyle w:val="BodyText"/>
        <w:spacing w:line="388" w:lineRule="auto" w:before="20"/>
        <w:ind w:left="282" w:right="524" w:hanging="9"/>
        <w:jc w:val="both"/>
      </w:pPr>
      <w:r>
        <w:rPr>
          <w:spacing w:val="-2"/>
          <w:w w:val="105"/>
        </w:rPr>
        <w:t>Arbitrum</w:t>
      </w:r>
      <w:r>
        <w:rPr>
          <w:spacing w:val="-7"/>
          <w:w w:val="105"/>
        </w:rPr>
        <w:t> </w:t>
      </w:r>
      <w:r>
        <w:rPr>
          <w:spacing w:val="-2"/>
          <w:w w:val="105"/>
        </w:rPr>
        <w:t>One</w:t>
      </w:r>
      <w:r>
        <w:rPr>
          <w:spacing w:val="-7"/>
          <w:w w:val="105"/>
        </w:rPr>
        <w:t> </w:t>
      </w:r>
      <w:r>
        <w:rPr>
          <w:spacing w:val="-2"/>
          <w:w w:val="105"/>
        </w:rPr>
        <w:t>is</w:t>
      </w:r>
      <w:r>
        <w:rPr>
          <w:spacing w:val="-7"/>
          <w:w w:val="105"/>
        </w:rPr>
        <w:t> </w:t>
      </w:r>
      <w:r>
        <w:rPr>
          <w:spacing w:val="-2"/>
          <w:w w:val="105"/>
        </w:rPr>
        <w:t>an</w:t>
      </w:r>
      <w:r>
        <w:rPr>
          <w:spacing w:val="-7"/>
          <w:w w:val="105"/>
        </w:rPr>
        <w:t> </w:t>
      </w:r>
      <w:r>
        <w:rPr>
          <w:spacing w:val="-2"/>
          <w:w w:val="105"/>
        </w:rPr>
        <w:t>EVM-compatible</w:t>
      </w:r>
      <w:r>
        <w:rPr>
          <w:spacing w:val="-7"/>
          <w:w w:val="105"/>
        </w:rPr>
        <w:t> </w:t>
      </w:r>
      <w:r>
        <w:rPr>
          <w:spacing w:val="-2"/>
          <w:w w:val="105"/>
        </w:rPr>
        <w:t>optimistic</w:t>
      </w:r>
      <w:r>
        <w:rPr>
          <w:spacing w:val="-7"/>
          <w:w w:val="105"/>
        </w:rPr>
        <w:t> </w:t>
      </w:r>
      <w:r>
        <w:rPr>
          <w:spacing w:val="-2"/>
          <w:w w:val="105"/>
        </w:rPr>
        <w:t>rollup</w:t>
      </w:r>
      <w:r>
        <w:rPr>
          <w:spacing w:val="-7"/>
          <w:w w:val="105"/>
        </w:rPr>
        <w:t> </w:t>
      </w:r>
      <w:r>
        <w:rPr>
          <w:spacing w:val="-2"/>
          <w:w w:val="105"/>
        </w:rPr>
        <w:t>widely</w:t>
      </w:r>
      <w:r>
        <w:rPr>
          <w:spacing w:val="-7"/>
          <w:w w:val="105"/>
        </w:rPr>
        <w:t> </w:t>
      </w:r>
      <w:r>
        <w:rPr>
          <w:spacing w:val="-2"/>
          <w:w w:val="105"/>
        </w:rPr>
        <w:t>used</w:t>
      </w:r>
      <w:r>
        <w:rPr>
          <w:spacing w:val="-7"/>
          <w:w w:val="105"/>
        </w:rPr>
        <w:t> </w:t>
      </w:r>
      <w:r>
        <w:rPr>
          <w:spacing w:val="-2"/>
          <w:w w:val="105"/>
        </w:rPr>
        <w:t>for</w:t>
      </w:r>
      <w:r>
        <w:rPr>
          <w:spacing w:val="-7"/>
          <w:w w:val="105"/>
        </w:rPr>
        <w:t> </w:t>
      </w:r>
      <w:r>
        <w:rPr>
          <w:spacing w:val="-2"/>
          <w:w w:val="105"/>
        </w:rPr>
        <w:t>DeFi</w:t>
      </w:r>
      <w:r>
        <w:rPr>
          <w:spacing w:val="-7"/>
          <w:w w:val="105"/>
        </w:rPr>
        <w:t> </w:t>
      </w:r>
      <w:r>
        <w:rPr>
          <w:spacing w:val="-2"/>
          <w:w w:val="105"/>
        </w:rPr>
        <w:t>activity,</w:t>
      </w:r>
      <w:r>
        <w:rPr>
          <w:spacing w:val="-4"/>
          <w:w w:val="105"/>
        </w:rPr>
        <w:t> </w:t>
      </w:r>
      <w:r>
        <w:rPr>
          <w:spacing w:val="-2"/>
          <w:w w:val="105"/>
        </w:rPr>
        <w:t>including </w:t>
      </w:r>
      <w:r>
        <w:rPr>
          <w:w w:val="105"/>
        </w:rPr>
        <w:t>GMX</w:t>
      </w:r>
      <w:r>
        <w:rPr>
          <w:spacing w:val="-16"/>
          <w:w w:val="105"/>
        </w:rPr>
        <w:t> </w:t>
      </w:r>
      <w:r>
        <w:rPr>
          <w:w w:val="105"/>
        </w:rPr>
        <w:t>V2</w:t>
      </w:r>
      <w:r>
        <w:rPr>
          <w:spacing w:val="-16"/>
          <w:w w:val="105"/>
        </w:rPr>
        <w:t> </w:t>
      </w:r>
      <w:r>
        <w:rPr>
          <w:w w:val="105"/>
        </w:rPr>
        <w:t>perpetual</w:t>
      </w:r>
      <w:r>
        <w:rPr>
          <w:spacing w:val="-16"/>
          <w:w w:val="105"/>
        </w:rPr>
        <w:t> </w:t>
      </w:r>
      <w:r>
        <w:rPr>
          <w:w w:val="105"/>
        </w:rPr>
        <w:t>markets</w:t>
      </w:r>
      <w:r>
        <w:rPr>
          <w:spacing w:val="-15"/>
          <w:w w:val="105"/>
        </w:rPr>
        <w:t> </w:t>
      </w:r>
      <w:hyperlink w:history="true" w:anchor="_bookmark156">
        <w:r>
          <w:rPr>
            <w:w w:val="105"/>
            <w:vertAlign w:val="superscript"/>
          </w:rPr>
          <w:t>[23]</w:t>
        </w:r>
      </w:hyperlink>
      <w:r>
        <w:rPr>
          <w:w w:val="105"/>
          <w:vertAlign w:val="baseline"/>
        </w:rPr>
        <w:t>.</w:t>
      </w:r>
      <w:r>
        <w:rPr>
          <w:spacing w:val="-7"/>
          <w:w w:val="105"/>
          <w:vertAlign w:val="baseline"/>
        </w:rPr>
        <w:t> </w:t>
      </w:r>
      <w:r>
        <w:rPr>
          <w:w w:val="105"/>
          <w:vertAlign w:val="baseline"/>
        </w:rPr>
        <w:t>For</w:t>
      </w:r>
      <w:r>
        <w:rPr>
          <w:spacing w:val="-15"/>
          <w:w w:val="105"/>
          <w:vertAlign w:val="baseline"/>
        </w:rPr>
        <w:t> </w:t>
      </w:r>
      <w:r>
        <w:rPr>
          <w:w w:val="105"/>
          <w:vertAlign w:val="baseline"/>
        </w:rPr>
        <w:t>this</w:t>
      </w:r>
      <w:r>
        <w:rPr>
          <w:spacing w:val="-16"/>
          <w:w w:val="105"/>
          <w:vertAlign w:val="baseline"/>
        </w:rPr>
        <w:t> </w:t>
      </w:r>
      <w:r>
        <w:rPr>
          <w:w w:val="105"/>
          <w:vertAlign w:val="baseline"/>
        </w:rPr>
        <w:t>dissertation,</w:t>
      </w:r>
      <w:r>
        <w:rPr>
          <w:spacing w:val="-15"/>
          <w:w w:val="105"/>
          <w:vertAlign w:val="baseline"/>
        </w:rPr>
        <w:t> </w:t>
      </w:r>
      <w:r>
        <w:rPr>
          <w:w w:val="105"/>
          <w:vertAlign w:val="baseline"/>
        </w:rPr>
        <w:t>Arbitrum</w:t>
      </w:r>
      <w:r>
        <w:rPr>
          <w:spacing w:val="-16"/>
          <w:w w:val="105"/>
          <w:vertAlign w:val="baseline"/>
        </w:rPr>
        <w:t> </w:t>
      </w:r>
      <w:r>
        <w:rPr>
          <w:w w:val="105"/>
          <w:vertAlign w:val="baseline"/>
        </w:rPr>
        <w:t>One</w:t>
      </w:r>
      <w:r>
        <w:rPr>
          <w:spacing w:val="-16"/>
          <w:w w:val="105"/>
          <w:vertAlign w:val="baseline"/>
        </w:rPr>
        <w:t> </w:t>
      </w:r>
      <w:r>
        <w:rPr>
          <w:w w:val="105"/>
          <w:vertAlign w:val="baseline"/>
        </w:rPr>
        <w:t>is</w:t>
      </w:r>
      <w:r>
        <w:rPr>
          <w:spacing w:val="-16"/>
          <w:w w:val="105"/>
          <w:vertAlign w:val="baseline"/>
        </w:rPr>
        <w:t> </w:t>
      </w:r>
      <w:r>
        <w:rPr>
          <w:w w:val="105"/>
          <w:vertAlign w:val="baseline"/>
        </w:rPr>
        <w:t>the</w:t>
      </w:r>
      <w:r>
        <w:rPr>
          <w:spacing w:val="-15"/>
          <w:w w:val="105"/>
          <w:vertAlign w:val="baseline"/>
        </w:rPr>
        <w:t> </w:t>
      </w:r>
      <w:r>
        <w:rPr>
          <w:w w:val="105"/>
          <w:vertAlign w:val="baseline"/>
        </w:rPr>
        <w:t>empirical</w:t>
      </w:r>
      <w:r>
        <w:rPr>
          <w:spacing w:val="-16"/>
          <w:w w:val="105"/>
          <w:vertAlign w:val="baseline"/>
        </w:rPr>
        <w:t> </w:t>
      </w:r>
      <w:r>
        <w:rPr>
          <w:w w:val="105"/>
          <w:vertAlign w:val="baseline"/>
        </w:rPr>
        <w:t>setting</w:t>
      </w:r>
      <w:r>
        <w:rPr>
          <w:spacing w:val="-16"/>
          <w:w w:val="105"/>
          <w:vertAlign w:val="baseline"/>
        </w:rPr>
        <w:t> </w:t>
      </w:r>
      <w:r>
        <w:rPr>
          <w:w w:val="105"/>
          <w:vertAlign w:val="baseline"/>
        </w:rPr>
        <w:t>be-cause (i) ERC-20 </w:t>
      </w:r>
      <w:r>
        <w:rPr>
          <w:rFonts w:ascii="Calibri"/>
          <w:w w:val="105"/>
          <w:vertAlign w:val="baseline"/>
        </w:rPr>
        <w:t>Approval</w:t>
      </w:r>
      <w:r>
        <w:rPr>
          <w:rFonts w:ascii="Calibri"/>
          <w:w w:val="105"/>
          <w:vertAlign w:val="baseline"/>
        </w:rPr>
        <w:t> </w:t>
      </w:r>
      <w:r>
        <w:rPr>
          <w:w w:val="105"/>
          <w:vertAlign w:val="baseline"/>
        </w:rPr>
        <w:t>and </w:t>
      </w:r>
      <w:r>
        <w:rPr>
          <w:rFonts w:ascii="Calibri"/>
          <w:w w:val="105"/>
          <w:vertAlign w:val="baseline"/>
        </w:rPr>
        <w:t>Transfer</w:t>
      </w:r>
      <w:r>
        <w:rPr>
          <w:rFonts w:ascii="Calibri"/>
          <w:w w:val="105"/>
          <w:vertAlign w:val="baseline"/>
        </w:rPr>
        <w:t> </w:t>
      </w:r>
      <w:r>
        <w:rPr>
          <w:w w:val="105"/>
          <w:vertAlign w:val="baseline"/>
        </w:rPr>
        <w:t>logs are available in public BigQuery datasets, (ii) </w:t>
      </w:r>
      <w:r>
        <w:rPr>
          <w:vertAlign w:val="baseline"/>
        </w:rPr>
        <w:t>GMX V2 emits wallet-attributed </w:t>
      </w:r>
      <w:r>
        <w:rPr>
          <w:rFonts w:ascii="Calibri"/>
          <w:vertAlign w:val="baseline"/>
        </w:rPr>
        <w:t>PositionDecrease</w:t>
      </w:r>
      <w:r>
        <w:rPr>
          <w:rFonts w:ascii="Calibri"/>
          <w:spacing w:val="20"/>
          <w:vertAlign w:val="baseline"/>
        </w:rPr>
        <w:t> </w:t>
      </w:r>
      <w:r>
        <w:rPr>
          <w:vertAlign w:val="baseline"/>
        </w:rPr>
        <w:t>events with realized PnL, and (iii) fee levels</w:t>
      </w:r>
    </w:p>
    <w:p>
      <w:pPr>
        <w:pStyle w:val="BodyText"/>
        <w:spacing w:line="388" w:lineRule="auto" w:before="20"/>
        <w:ind w:left="282" w:right="524" w:hanging="9"/>
        <w:jc w:val="both"/>
      </w:pPr>
      <w:r>
        <w:rPr>
          <w:i/>
        </w:rPr>
        <w:t>Arbitrum One는 GMX V2 영구 시장[23]을 포함하여 DeFi 활동에 널리 사용되는 EVM 호환 낙관적 롤업입니다. 이 논문에서 Arbitrum One는 (i) ERC-20 승인 및 전송 로그가 공개 BigQuery 데이터 세트에서 사용 가능하고, (ii) GMX V2가 실현된 PnL과 함께 지갑 속성 PositionDecrease 이벤트를 발생시키고, (iii) 수수료 수준이 있기 때문에 경험적 설정입니다.</w:t>
      </w:r>
    </w:p>
    <w:p>
      <w:pPr>
        <w:pStyle w:val="BodyText"/>
        <w:spacing w:after="0" w:line="388" w:lineRule="auto"/>
        <w:jc w:val="both"/>
        <w:sectPr>
          <w:pgSz w:w="11910" w:h="16840"/>
          <w:pgMar w:header="0" w:footer="2115" w:top="1820" w:bottom="2300" w:left="992" w:right="708"/>
        </w:sectPr>
      </w:pPr>
    </w:p>
    <w:p>
      <w:pPr>
        <w:pStyle w:val="BodyText"/>
        <w:spacing w:line="396" w:lineRule="auto" w:before="72"/>
        <w:ind w:left="282" w:right="533"/>
        <w:jc w:val="both"/>
      </w:pPr>
      <w:r>
        <w:rPr/>
        <w:t>permit dense retail and professional trading activity within a six-month window.</w:t>
      </w:r>
      <w:r>
        <w:rPr>
          <w:spacing w:val="40"/>
        </w:rPr>
        <w:t> </w:t>
      </w:r>
      <w:r>
        <w:rPr/>
        <w:t>Results should not</w:t>
      </w:r>
      <w:r>
        <w:rPr>
          <w:spacing w:val="-15"/>
        </w:rPr>
        <w:t> </w:t>
      </w:r>
      <w:r>
        <w:rPr/>
        <w:t>be</w:t>
      </w:r>
      <w:r>
        <w:rPr>
          <w:spacing w:val="-15"/>
        </w:rPr>
        <w:t> </w:t>
      </w:r>
      <w:r>
        <w:rPr/>
        <w:t>assumed</w:t>
      </w:r>
      <w:r>
        <w:rPr>
          <w:spacing w:val="-15"/>
        </w:rPr>
        <w:t> </w:t>
      </w:r>
      <w:r>
        <w:rPr/>
        <w:t>to</w:t>
      </w:r>
      <w:r>
        <w:rPr>
          <w:spacing w:val="-15"/>
        </w:rPr>
        <w:t> </w:t>
      </w:r>
      <w:r>
        <w:rPr/>
        <w:t>transfer</w:t>
      </w:r>
      <w:r>
        <w:rPr>
          <w:spacing w:val="-15"/>
        </w:rPr>
        <w:t> </w:t>
      </w:r>
      <w:r>
        <w:rPr/>
        <w:t>automatically</w:t>
      </w:r>
      <w:r>
        <w:rPr>
          <w:spacing w:val="-15"/>
        </w:rPr>
        <w:t> </w:t>
      </w:r>
      <w:r>
        <w:rPr/>
        <w:t>to</w:t>
      </w:r>
      <w:r>
        <w:rPr>
          <w:spacing w:val="-15"/>
        </w:rPr>
        <w:t> </w:t>
      </w:r>
      <w:r>
        <w:rPr/>
        <w:t>other</w:t>
      </w:r>
      <w:r>
        <w:rPr>
          <w:spacing w:val="-15"/>
        </w:rPr>
        <w:t> </w:t>
      </w:r>
      <w:r>
        <w:rPr/>
        <w:t>L2s</w:t>
      </w:r>
      <w:r>
        <w:rPr>
          <w:spacing w:val="-15"/>
        </w:rPr>
        <w:t> </w:t>
      </w:r>
      <w:r>
        <w:rPr/>
        <w:t>or</w:t>
      </w:r>
      <w:r>
        <w:rPr>
          <w:spacing w:val="-15"/>
        </w:rPr>
        <w:t> </w:t>
      </w:r>
      <w:r>
        <w:rPr/>
        <w:t>to</w:t>
      </w:r>
      <w:r>
        <w:rPr>
          <w:spacing w:val="-15"/>
        </w:rPr>
        <w:t> </w:t>
      </w:r>
      <w:r>
        <w:rPr/>
        <w:t>Ethereum</w:t>
      </w:r>
      <w:r>
        <w:rPr>
          <w:spacing w:val="-15"/>
        </w:rPr>
        <w:t> </w:t>
      </w:r>
      <w:r>
        <w:rPr/>
        <w:t>mainnet</w:t>
      </w:r>
      <w:r>
        <w:rPr>
          <w:spacing w:val="-15"/>
        </w:rPr>
        <w:t> </w:t>
      </w:r>
      <w:r>
        <w:rPr/>
        <w:t>without</w:t>
      </w:r>
      <w:r>
        <w:rPr>
          <w:spacing w:val="-15"/>
        </w:rPr>
        <w:t> </w:t>
      </w:r>
      <w:r>
        <w:rPr/>
        <w:t>re-validation, but the methodological template—allowance graph versus transfer graph, proxy families, rank </w:t>
      </w:r>
      <w:bookmarkStart w:name="ERC-20 tokens and the allowance lifecycl" w:id="34"/>
      <w:bookmarkEnd w:id="34"/>
      <w:r>
        <w:rPr>
          <w:w w:val="99"/>
        </w:rPr>
      </w:r>
      <w:bookmarkStart w:name="_bookmark20" w:id="35"/>
      <w:bookmarkEnd w:id="35"/>
      <w:r>
        <w:rPr/>
        <w:t>correlation</w:t>
      </w:r>
      <w:r>
        <w:rPr/>
        <w:t>—is chain-agnostic wherever equivalent logs exist.</w:t>
      </w:r>
    </w:p>
    <w:p>
      <w:pPr>
        <w:pStyle w:val="BodyText"/>
        <w:spacing w:line="396" w:lineRule="auto" w:before="72"/>
        <w:ind w:left="282" w:right="533"/>
        <w:jc w:val="both"/>
      </w:pPr>
      <w:r>
        <w:rPr>
          <w:i/>
        </w:rPr>
        <w:t>6개월 이내에 밀집된 소매 및 전문 거래 활동을 허용합니다. 결과가 재검증 없이 자동으로 다른 L2 또는 이더리움 메인넷으로 전송된다고 가정해서는 안 되지만, 방법론적 템플릿(허용 그래프 대 전송 그래프, 프록시 계열, 순위 상관 관계)은 동등한 로그가 존재하는 모든 곳에서 체인에 구애받지 않습니다.</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ERC-20</w:t>
      </w:r>
      <w:r>
        <w:rPr>
          <w:spacing w:val="14"/>
        </w:rPr>
        <w:t> </w:t>
      </w:r>
      <w:r>
        <w:rPr/>
        <w:t>tokens</w:t>
      </w:r>
      <w:r>
        <w:rPr>
          <w:spacing w:val="15"/>
        </w:rPr>
        <w:t> </w:t>
      </w:r>
      <w:r>
        <w:rPr/>
        <w:t>and</w:t>
      </w:r>
      <w:r>
        <w:rPr>
          <w:spacing w:val="14"/>
        </w:rPr>
        <w:t> </w:t>
      </w:r>
      <w:r>
        <w:rPr/>
        <w:t>the</w:t>
      </w:r>
      <w:r>
        <w:rPr>
          <w:spacing w:val="15"/>
        </w:rPr>
        <w:t> </w:t>
      </w:r>
      <w:r>
        <w:rPr/>
        <w:t>allowance</w:t>
      </w:r>
      <w:r>
        <w:rPr>
          <w:spacing w:val="14"/>
        </w:rPr>
        <w:t> </w:t>
      </w:r>
      <w:r>
        <w:rPr>
          <w:spacing w:val="-2"/>
        </w:rPr>
        <w:t>lifecycle</w:t>
      </w:r>
    </w:p>
    <w:p>
      <w:pPr>
        <w:pStyle w:val="Heading2"/>
        <w:numPr>
          <w:ilvl w:val="1"/>
          <w:numId w:val="8"/>
        </w:numPr>
        <w:tabs>
          <w:tab w:pos="783" w:val="left" w:leader="none"/>
        </w:tabs>
        <w:spacing w:line="240" w:lineRule="auto" w:before="0" w:after="0"/>
        <w:ind w:left="783" w:right="0" w:hanging="501"/>
        <w:jc w:val="left"/>
      </w:pPr>
      <w:r>
        <w:rPr>
          <w:i/>
        </w:rPr>
        <w:t>ERC-20 토큰 및 수당 수명주기</w:t>
      </w:r>
    </w:p>
    <w:p>
      <w:pPr>
        <w:pStyle w:val="BodyText"/>
        <w:spacing w:before="19"/>
        <w:rPr>
          <w:b/>
          <w:sz w:val="28"/>
        </w:rPr>
      </w:pPr>
    </w:p>
    <w:p>
      <w:pPr>
        <w:pStyle w:val="BodyText"/>
        <w:spacing w:line="379" w:lineRule="auto"/>
        <w:ind w:left="282" w:right="558" w:hanging="8"/>
        <w:jc w:val="both"/>
      </w:pPr>
      <w:r>
        <w:rPr/>
        <w:t>The ERC-20 standard defines a common interface for fungible tokens:</w:t>
      </w:r>
      <w:r>
        <w:rPr>
          <w:spacing w:val="40"/>
        </w:rPr>
        <w:t> </w:t>
      </w:r>
      <w:r>
        <w:rPr>
          <w:rFonts w:ascii="Calibri"/>
        </w:rPr>
        <w:t>transfer</w:t>
      </w:r>
      <w:r>
        <w:rPr/>
        <w:t>, </w:t>
      </w:r>
      <w:r>
        <w:rPr>
          <w:rFonts w:ascii="Calibri"/>
        </w:rPr>
        <w:t>approve</w:t>
      </w:r>
      <w:r>
        <w:rPr/>
        <w:t>, </w:t>
      </w:r>
      <w:r>
        <w:rPr>
          <w:rFonts w:ascii="Calibri"/>
        </w:rPr>
        <w:t>tr ansferFrom</w:t>
      </w:r>
      <w:r>
        <w:rPr/>
        <w:t>, </w:t>
      </w:r>
      <w:r>
        <w:rPr>
          <w:rFonts w:ascii="Calibri"/>
        </w:rPr>
        <w:t>allowance</w:t>
      </w:r>
      <w:r>
        <w:rPr/>
        <w:t>, and related events </w:t>
      </w:r>
      <w:hyperlink w:history="true" w:anchor="_bookmark151">
        <w:r>
          <w:rPr>
            <w:vertAlign w:val="superscript"/>
          </w:rPr>
          <w:t>[18]</w:t>
        </w:r>
      </w:hyperlink>
      <w:r>
        <w:rPr>
          <w:vertAlign w:val="baseline"/>
        </w:rPr>
        <w:t>.</w:t>
      </w:r>
      <w:r>
        <w:rPr>
          <w:spacing w:val="40"/>
          <w:vertAlign w:val="baseline"/>
        </w:rPr>
        <w:t> </w:t>
      </w:r>
      <w:r>
        <w:rPr>
          <w:vertAlign w:val="baseline"/>
        </w:rPr>
        <w:t>When an owner calls </w:t>
      </w:r>
      <w:r>
        <w:rPr>
          <w:rFonts w:ascii="Calibri"/>
          <w:vertAlign w:val="baseline"/>
        </w:rPr>
        <w:t>approve(spender,amo</w:t>
      </w:r>
      <w:r>
        <w:rPr>
          <w:rFonts w:ascii="Calibri"/>
          <w:spacing w:val="80"/>
          <w:vertAlign w:val="baseline"/>
        </w:rPr>
        <w:t> </w:t>
      </w:r>
      <w:r>
        <w:rPr>
          <w:rFonts w:ascii="Calibri"/>
          <w:vertAlign w:val="baseline"/>
        </w:rPr>
        <w:t>unt)</w:t>
      </w:r>
      <w:r>
        <w:rPr>
          <w:vertAlign w:val="baseline"/>
        </w:rPr>
        <w:t>, the token contract records that </w:t>
      </w:r>
      <w:r>
        <w:rPr>
          <w:rFonts w:ascii="Calibri"/>
          <w:vertAlign w:val="baseline"/>
        </w:rPr>
        <w:t>spender </w:t>
      </w:r>
      <w:r>
        <w:rPr>
          <w:vertAlign w:val="baseline"/>
        </w:rPr>
        <w:t>may transfer up to </w:t>
      </w:r>
      <w:r>
        <w:rPr>
          <w:rFonts w:ascii="Calibri"/>
          <w:vertAlign w:val="baseline"/>
        </w:rPr>
        <w:t>amount </w:t>
      </w:r>
      <w:r>
        <w:rPr>
          <w:vertAlign w:val="baseline"/>
        </w:rPr>
        <w:t>from the owner.</w:t>
      </w:r>
      <w:r>
        <w:rPr>
          <w:spacing w:val="40"/>
          <w:vertAlign w:val="baseline"/>
        </w:rPr>
        <w:t> </w:t>
      </w:r>
      <w:r>
        <w:rPr>
          <w:vertAlign w:val="baseline"/>
        </w:rPr>
        <w:t>The spender later calls </w:t>
      </w:r>
      <w:r>
        <w:rPr>
          <w:rFonts w:ascii="Calibri"/>
          <w:vertAlign w:val="baseline"/>
        </w:rPr>
        <w:t>transferFrom </w:t>
      </w:r>
      <w:r>
        <w:rPr>
          <w:vertAlign w:val="baseline"/>
        </w:rPr>
        <w:t>to move tokens.</w:t>
      </w:r>
      <w:r>
        <w:rPr>
          <w:spacing w:val="40"/>
          <w:vertAlign w:val="baseline"/>
        </w:rPr>
        <w:t> </w:t>
      </w:r>
      <w:r>
        <w:rPr>
          <w:vertAlign w:val="baseline"/>
        </w:rPr>
        <w:t>EIP-2612 </w:t>
      </w:r>
      <w:r>
        <w:rPr>
          <w:rFonts w:ascii="Calibri"/>
          <w:vertAlign w:val="baseline"/>
        </w:rPr>
        <w:t>permit </w:t>
      </w:r>
      <w:r>
        <w:rPr>
          <w:vertAlign w:val="baseline"/>
        </w:rPr>
        <w:t>allows allowance updates via off-chain</w:t>
      </w:r>
      <w:r>
        <w:rPr>
          <w:spacing w:val="-15"/>
          <w:vertAlign w:val="baseline"/>
        </w:rPr>
        <w:t> </w:t>
      </w:r>
      <w:r>
        <w:rPr>
          <w:vertAlign w:val="baseline"/>
        </w:rPr>
        <w:t>signatures</w:t>
      </w:r>
      <w:r>
        <w:rPr>
          <w:spacing w:val="-15"/>
          <w:vertAlign w:val="baseline"/>
        </w:rPr>
        <w:t> </w:t>
      </w:r>
      <w:r>
        <w:rPr>
          <w:vertAlign w:val="baseline"/>
        </w:rPr>
        <w:t>settled</w:t>
      </w:r>
      <w:r>
        <w:rPr>
          <w:spacing w:val="-15"/>
          <w:vertAlign w:val="baseline"/>
        </w:rPr>
        <w:t> </w:t>
      </w:r>
      <w:r>
        <w:rPr>
          <w:vertAlign w:val="baseline"/>
        </w:rPr>
        <w:t>in</w:t>
      </w:r>
      <w:r>
        <w:rPr>
          <w:spacing w:val="-15"/>
          <w:vertAlign w:val="baseline"/>
        </w:rPr>
        <w:t> </w:t>
      </w:r>
      <w:r>
        <w:rPr>
          <w:vertAlign w:val="baseline"/>
        </w:rPr>
        <w:t>a</w:t>
      </w:r>
      <w:r>
        <w:rPr>
          <w:spacing w:val="-15"/>
          <w:vertAlign w:val="baseline"/>
        </w:rPr>
        <w:t> </w:t>
      </w:r>
      <w:r>
        <w:rPr>
          <w:vertAlign w:val="baseline"/>
        </w:rPr>
        <w:t>single</w:t>
      </w:r>
      <w:r>
        <w:rPr>
          <w:spacing w:val="-15"/>
          <w:vertAlign w:val="baseline"/>
        </w:rPr>
        <w:t> </w:t>
      </w:r>
      <w:r>
        <w:rPr>
          <w:vertAlign w:val="baseline"/>
        </w:rPr>
        <w:t>transaction</w:t>
      </w:r>
      <w:r>
        <w:rPr>
          <w:spacing w:val="-15"/>
          <w:vertAlign w:val="baseline"/>
        </w:rPr>
        <w:t> </w:t>
      </w:r>
      <w:hyperlink w:history="true" w:anchor="_bookmark152">
        <w:r>
          <w:rPr>
            <w:vertAlign w:val="superscript"/>
          </w:rPr>
          <w:t>[19]</w:t>
        </w:r>
      </w:hyperlink>
      <w:r>
        <w:rPr>
          <w:vertAlign w:val="baseline"/>
        </w:rPr>
        <w:t>,</w:t>
      </w:r>
      <w:r>
        <w:rPr>
          <w:spacing w:val="-13"/>
          <w:vertAlign w:val="baseline"/>
        </w:rPr>
        <w:t> </w:t>
      </w:r>
      <w:r>
        <w:rPr>
          <w:vertAlign w:val="baseline"/>
        </w:rPr>
        <w:t>improving</w:t>
      </w:r>
      <w:r>
        <w:rPr>
          <w:spacing w:val="-15"/>
          <w:vertAlign w:val="baseline"/>
        </w:rPr>
        <w:t> </w:t>
      </w:r>
      <w:r>
        <w:rPr>
          <w:vertAlign w:val="baseline"/>
        </w:rPr>
        <w:t>user</w:t>
      </w:r>
      <w:r>
        <w:rPr>
          <w:spacing w:val="-15"/>
          <w:vertAlign w:val="baseline"/>
        </w:rPr>
        <w:t> </w:t>
      </w:r>
      <w:r>
        <w:rPr>
          <w:vertAlign w:val="baseline"/>
        </w:rPr>
        <w:t>experience</w:t>
      </w:r>
      <w:r>
        <w:rPr>
          <w:spacing w:val="-15"/>
          <w:vertAlign w:val="baseline"/>
        </w:rPr>
        <w:t> </w:t>
      </w:r>
      <w:r>
        <w:rPr>
          <w:vertAlign w:val="baseline"/>
        </w:rPr>
        <w:t>without</w:t>
      </w:r>
      <w:r>
        <w:rPr>
          <w:spacing w:val="-15"/>
          <w:vertAlign w:val="baseline"/>
        </w:rPr>
        <w:t> </w:t>
      </w:r>
      <w:r>
        <w:rPr>
          <w:vertAlign w:val="baseline"/>
        </w:rPr>
        <w:t>changing the fundamental authorization semantics.</w:t>
      </w:r>
    </w:p>
    <w:p>
      <w:pPr>
        <w:pStyle w:val="BodyText"/>
        <w:spacing w:line="379" w:lineRule="auto"/>
        <w:ind w:left="282" w:right="558" w:hanging="8"/>
        <w:jc w:val="both"/>
      </w:pPr>
      <w:r>
        <w:rPr>
          <w:i/>
        </w:rPr>
        <w:t>ERC-20 표준은 대체 가능한 토큰에 대한 공통 인터페이스(전송, 승인, 전송, 허용 및 관련 이벤트)를 정의합니다[18]. 소유자가 승인(spender,amo unt)을 호출하면 토큰 계약은 지출자가 소유자로부터 최대 금액을 전송할 수 있다고 기록합니다. 지출자는 나중에 transferFrom을 호출하여 토큰을 이동합니다. EIP-2612 허가는 단일 거래에 정착된 오프체인 서명을 통해 허용 업데이트를 허용하여[19] 기본 인증 의미를 변경하지 않고도 사용자 경험을 향상시킵니다.</w:t>
      </w:r>
    </w:p>
    <w:p>
      <w:pPr>
        <w:pStyle w:val="BodyText"/>
        <w:spacing w:line="396" w:lineRule="auto" w:before="34"/>
        <w:ind w:left="273" w:right="524" w:firstLine="8"/>
        <w:jc w:val="both"/>
      </w:pPr>
      <w:r>
        <w:rPr/>
        <w:t>Figure</w:t>
      </w:r>
      <w:r>
        <w:rPr>
          <w:spacing w:val="-4"/>
        </w:rPr>
        <w:t> </w:t>
      </w:r>
      <w:hyperlink w:history="true" w:anchor="_bookmark22">
        <w:r>
          <w:rPr/>
          <w:t>2.1</w:t>
        </w:r>
      </w:hyperlink>
      <w:r>
        <w:rPr>
          <w:spacing w:val="-4"/>
        </w:rPr>
        <w:t> </w:t>
      </w:r>
      <w:r>
        <w:rPr/>
        <w:t>illustrates</w:t>
      </w:r>
      <w:r>
        <w:rPr>
          <w:spacing w:val="-4"/>
        </w:rPr>
        <w:t> </w:t>
      </w:r>
      <w:r>
        <w:rPr/>
        <w:t>the</w:t>
      </w:r>
      <w:r>
        <w:rPr>
          <w:spacing w:val="-4"/>
        </w:rPr>
        <w:t> </w:t>
      </w:r>
      <w:r>
        <w:rPr/>
        <w:t>lifecycle.</w:t>
      </w:r>
      <w:r>
        <w:rPr>
          <w:spacing w:val="18"/>
        </w:rPr>
        <w:t> </w:t>
      </w:r>
      <w:r>
        <w:rPr/>
        <w:t>Critically,</w:t>
      </w:r>
      <w:r>
        <w:rPr>
          <w:spacing w:val="-4"/>
        </w:rPr>
        <w:t> </w:t>
      </w:r>
      <w:r>
        <w:rPr/>
        <w:t>an</w:t>
      </w:r>
      <w:r>
        <w:rPr>
          <w:spacing w:val="-4"/>
        </w:rPr>
        <w:t> </w:t>
      </w:r>
      <w:r>
        <w:rPr/>
        <w:t>allowance</w:t>
      </w:r>
      <w:r>
        <w:rPr>
          <w:spacing w:val="-4"/>
        </w:rPr>
        <w:t> </w:t>
      </w:r>
      <w:r>
        <w:rPr/>
        <w:t>is</w:t>
      </w:r>
      <w:r>
        <w:rPr>
          <w:spacing w:val="-4"/>
        </w:rPr>
        <w:t> </w:t>
      </w:r>
      <w:r>
        <w:rPr/>
        <w:t>an</w:t>
      </w:r>
      <w:r>
        <w:rPr>
          <w:spacing w:val="-4"/>
        </w:rPr>
        <w:t> </w:t>
      </w:r>
      <w:r>
        <w:rPr>
          <w:i/>
        </w:rPr>
        <w:t>explicit</w:t>
      </w:r>
      <w:r>
        <w:rPr>
          <w:i/>
          <w:spacing w:val="-4"/>
        </w:rPr>
        <w:t> </w:t>
      </w:r>
      <w:r>
        <w:rPr>
          <w:i/>
        </w:rPr>
        <w:t>authorization</w:t>
      </w:r>
      <w:r>
        <w:rPr/>
        <w:t>,</w:t>
      </w:r>
      <w:r>
        <w:rPr>
          <w:spacing w:val="-4"/>
        </w:rPr>
        <w:t> </w:t>
      </w:r>
      <w:r>
        <w:rPr/>
        <w:t>not</w:t>
      </w:r>
      <w:r>
        <w:rPr>
          <w:spacing w:val="-4"/>
        </w:rPr>
        <w:t> </w:t>
      </w:r>
      <w:r>
        <w:rPr/>
        <w:t>a</w:t>
      </w:r>
      <w:r>
        <w:rPr>
          <w:spacing w:val="-4"/>
        </w:rPr>
        <w:t> </w:t>
      </w:r>
      <w:r>
        <w:rPr/>
        <w:t>com-pleted</w:t>
      </w:r>
      <w:r>
        <w:rPr>
          <w:spacing w:val="-2"/>
        </w:rPr>
        <w:t> </w:t>
      </w:r>
      <w:r>
        <w:rPr/>
        <w:t>transfer.</w:t>
      </w:r>
      <w:r>
        <w:rPr>
          <w:spacing w:val="20"/>
        </w:rPr>
        <w:t> </w:t>
      </w:r>
      <w:r>
        <w:rPr/>
        <w:t>Owners</w:t>
      </w:r>
      <w:r>
        <w:rPr>
          <w:spacing w:val="-2"/>
        </w:rPr>
        <w:t> </w:t>
      </w:r>
      <w:r>
        <w:rPr/>
        <w:t>may</w:t>
      </w:r>
      <w:r>
        <w:rPr>
          <w:spacing w:val="-2"/>
        </w:rPr>
        <w:t> </w:t>
      </w:r>
      <w:r>
        <w:rPr/>
        <w:t>set</w:t>
      </w:r>
      <w:r>
        <w:rPr>
          <w:spacing w:val="-2"/>
        </w:rPr>
        <w:t> </w:t>
      </w:r>
      <w:r>
        <w:rPr/>
        <w:t>allowances</w:t>
      </w:r>
      <w:r>
        <w:rPr>
          <w:spacing w:val="-2"/>
        </w:rPr>
        <w:t> </w:t>
      </w:r>
      <w:r>
        <w:rPr/>
        <w:t>to</w:t>
      </w:r>
      <w:r>
        <w:rPr>
          <w:spacing w:val="-2"/>
        </w:rPr>
        <w:t> </w:t>
      </w:r>
      <w:r>
        <w:rPr/>
        <w:t>routers,</w:t>
      </w:r>
      <w:r>
        <w:rPr>
          <w:spacing w:val="-2"/>
        </w:rPr>
        <w:t> </w:t>
      </w:r>
      <w:r>
        <w:rPr/>
        <w:t>vaults,</w:t>
      </w:r>
      <w:r>
        <w:rPr>
          <w:spacing w:val="-2"/>
        </w:rPr>
        <w:t> </w:t>
      </w:r>
      <w:r>
        <w:rPr/>
        <w:t>or</w:t>
      </w:r>
      <w:r>
        <w:rPr>
          <w:spacing w:val="-2"/>
        </w:rPr>
        <w:t> </w:t>
      </w:r>
      <w:r>
        <w:rPr/>
        <w:t>trading</w:t>
      </w:r>
      <w:r>
        <w:rPr>
          <w:spacing w:val="-2"/>
        </w:rPr>
        <w:t> </w:t>
      </w:r>
      <w:r>
        <w:rPr/>
        <w:t>contracts</w:t>
      </w:r>
      <w:r>
        <w:rPr>
          <w:spacing w:val="-2"/>
        </w:rPr>
        <w:t> </w:t>
      </w:r>
      <w:r>
        <w:rPr/>
        <w:t>they</w:t>
      </w:r>
      <w:r>
        <w:rPr>
          <w:spacing w:val="-2"/>
        </w:rPr>
        <w:t> </w:t>
      </w:r>
      <w:r>
        <w:rPr/>
        <w:t>trust</w:t>
      </w:r>
      <w:r>
        <w:rPr>
          <w:spacing w:val="-2"/>
        </w:rPr>
        <w:t> </w:t>
      </w:r>
      <w:r>
        <w:rPr/>
        <w:t>to</w:t>
      </w:r>
      <w:r>
        <w:rPr>
          <w:spacing w:val="-2"/>
        </w:rPr>
        <w:t> </w:t>
      </w:r>
      <w:r>
        <w:rPr/>
        <w:t>act within limits.</w:t>
      </w:r>
      <w:r>
        <w:rPr>
          <w:spacing w:val="40"/>
        </w:rPr>
        <w:t> </w:t>
      </w:r>
      <w:r>
        <w:rPr/>
        <w:t>Revocation (approving zero) and replacement (a new non-zero allowance) update the live authorization state.</w:t>
      </w:r>
      <w:r>
        <w:rPr>
          <w:spacing w:val="40"/>
        </w:rPr>
        <w:t> </w:t>
      </w:r>
      <w:r>
        <w:rPr/>
        <w:t>EndorseRank therefore uses the </w:t>
      </w:r>
      <w:r>
        <w:rPr>
          <w:i/>
        </w:rPr>
        <w:t>latest </w:t>
      </w:r>
      <w:r>
        <w:rPr/>
        <w:t>allowance per owner–spender pair as edge strength: older approvals are superseded rather than decayed continuously.</w:t>
      </w:r>
    </w:p>
    <w:p>
      <w:pPr>
        <w:pStyle w:val="BodyText"/>
        <w:spacing w:line="396" w:lineRule="auto" w:before="34"/>
        <w:ind w:left="273" w:right="524" w:firstLine="8"/>
        <w:jc w:val="both"/>
      </w:pPr>
      <w:r>
        <w:rPr>
          <w:i/>
        </w:rPr>
        <w:t>그림 2.1은 수명주기를 보여줍니다. 비판적으로, 수당은 완전한 양도가 아니라 명시적인 승인입니다. 소유자는 한도 내에서 작동하도록 신뢰하는 라우터, 금고 또는 거래 계약에 허용량을 설정할 수 있습니다. 취소(0 승인) 및 교체(0이 아닌 새로운 허용)는 실시간 인증 상태를 업데이트합니다. EndorseRank 따라서 소유자-소비자 쌍당 최신 허용량을 우위 강점으로 사용합니다. 이전 승인은 지속적으로 쇠퇴하는 대신 대체됩니다.</w:t>
      </w:r>
    </w:p>
    <w:p>
      <w:pPr>
        <w:pStyle w:val="BodyText"/>
        <w:spacing w:line="396" w:lineRule="auto" w:before="19"/>
        <w:ind w:left="282" w:right="533"/>
        <w:jc w:val="both"/>
      </w:pPr>
      <w:r>
        <w:rPr/>
        <w:t>From</w:t>
      </w:r>
      <w:r>
        <w:rPr>
          <w:spacing w:val="-15"/>
        </w:rPr>
        <w:t> </w:t>
      </w:r>
      <w:r>
        <w:rPr/>
        <w:t>a</w:t>
      </w:r>
      <w:r>
        <w:rPr>
          <w:spacing w:val="-15"/>
        </w:rPr>
        <w:t> </w:t>
      </w:r>
      <w:r>
        <w:rPr/>
        <w:t>measurement</w:t>
      </w:r>
      <w:r>
        <w:rPr>
          <w:spacing w:val="-15"/>
        </w:rPr>
        <w:t> </w:t>
      </w:r>
      <w:r>
        <w:rPr/>
        <w:t>perspective,</w:t>
      </w:r>
      <w:r>
        <w:rPr>
          <w:spacing w:val="-15"/>
        </w:rPr>
        <w:t> </w:t>
      </w:r>
      <w:r>
        <w:rPr/>
        <w:t>allowances</w:t>
      </w:r>
      <w:r>
        <w:rPr>
          <w:spacing w:val="-15"/>
        </w:rPr>
        <w:t> </w:t>
      </w:r>
      <w:r>
        <w:rPr/>
        <w:t>are</w:t>
      </w:r>
      <w:r>
        <w:rPr>
          <w:spacing w:val="-15"/>
        </w:rPr>
        <w:t> </w:t>
      </w:r>
      <w:r>
        <w:rPr/>
        <w:t>sparser</w:t>
      </w:r>
      <w:r>
        <w:rPr>
          <w:spacing w:val="-15"/>
        </w:rPr>
        <w:t> </w:t>
      </w:r>
      <w:r>
        <w:rPr/>
        <w:t>than</w:t>
      </w:r>
      <w:r>
        <w:rPr>
          <w:spacing w:val="-15"/>
        </w:rPr>
        <w:t> </w:t>
      </w:r>
      <w:r>
        <w:rPr/>
        <w:t>transfers:</w:t>
      </w:r>
      <w:r>
        <w:rPr>
          <w:spacing w:val="-15"/>
        </w:rPr>
        <w:t> </w:t>
      </w:r>
      <w:r>
        <w:rPr/>
        <w:t>many</w:t>
      </w:r>
      <w:r>
        <w:rPr>
          <w:spacing w:val="-15"/>
        </w:rPr>
        <w:t> </w:t>
      </w:r>
      <w:r>
        <w:rPr/>
        <w:t>transfers</w:t>
      </w:r>
      <w:r>
        <w:rPr>
          <w:spacing w:val="-15"/>
        </w:rPr>
        <w:t> </w:t>
      </w:r>
      <w:r>
        <w:rPr/>
        <w:t>occur</w:t>
      </w:r>
      <w:r>
        <w:rPr>
          <w:spacing w:val="-15"/>
        </w:rPr>
        <w:t> </w:t>
      </w:r>
      <w:r>
        <w:rPr/>
        <w:t>under a single approval, and many wallets never approve third-party spenders.</w:t>
      </w:r>
      <w:r>
        <w:rPr>
          <w:spacing w:val="40"/>
        </w:rPr>
        <w:t> </w:t>
      </w:r>
      <w:r>
        <w:rPr/>
        <w:t>This sparsity is both a computational advantage and a semantic claim—EndorseRank measures authorization networks, </w:t>
      </w:r>
      <w:bookmarkStart w:name="Graph-based on-chain reputation" w:id="36"/>
      <w:bookmarkEnd w:id="36"/>
      <w:r>
        <w:rPr>
          <w:w w:val="99"/>
        </w:rPr>
      </w:r>
      <w:bookmarkStart w:name="_bookmark21" w:id="37"/>
      <w:bookmarkEnd w:id="37"/>
      <w:r>
        <w:rPr/>
        <w:t>not</w:t>
      </w:r>
      <w:r>
        <w:rPr/>
        <w:t> payment networks.</w:t>
      </w:r>
    </w:p>
    <w:p>
      <w:pPr>
        <w:pStyle w:val="BodyText"/>
        <w:spacing w:line="396" w:lineRule="auto" w:before="19"/>
        <w:ind w:left="282" w:right="533"/>
        <w:jc w:val="both"/>
      </w:pPr>
      <w:r>
        <w:rPr>
          <w:i/>
        </w:rPr>
        <w:t>측정 관점에서 볼 때 허용량은 이체보다 적습니다. 단일 승인으로 많은 이체가 발생하고 많은 지갑이 제3자 지출자를 승인하지 않습니다. 이러한 희박성은 계산상의 이점이자 의미론적 주장입니다. EndorseRank는 결제 네트워크가 아닌 승인 네트워크를 측정합니다.</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Graph-based</w:t>
      </w:r>
      <w:r>
        <w:rPr>
          <w:spacing w:val="18"/>
        </w:rPr>
        <w:t> </w:t>
      </w:r>
      <w:r>
        <w:rPr/>
        <w:t>on-chain</w:t>
      </w:r>
      <w:r>
        <w:rPr>
          <w:spacing w:val="19"/>
        </w:rPr>
        <w:t> </w:t>
      </w:r>
      <w:r>
        <w:rPr>
          <w:spacing w:val="-2"/>
        </w:rPr>
        <w:t>reputation</w:t>
      </w:r>
    </w:p>
    <w:p>
      <w:pPr>
        <w:pStyle w:val="Heading2"/>
        <w:numPr>
          <w:ilvl w:val="1"/>
          <w:numId w:val="8"/>
        </w:numPr>
        <w:tabs>
          <w:tab w:pos="783" w:val="left" w:leader="none"/>
        </w:tabs>
        <w:spacing w:line="240" w:lineRule="auto" w:before="0" w:after="0"/>
        <w:ind w:left="783" w:right="0" w:hanging="501"/>
        <w:jc w:val="left"/>
      </w:pPr>
      <w:r>
        <w:rPr>
          <w:i/>
        </w:rPr>
        <w:t>그래프 기반 온체인 평판</w:t>
      </w:r>
    </w:p>
    <w:p>
      <w:pPr>
        <w:pStyle w:val="BodyText"/>
        <w:spacing w:before="24"/>
        <w:rPr>
          <w:b/>
          <w:sz w:val="28"/>
        </w:rPr>
      </w:pPr>
    </w:p>
    <w:p>
      <w:pPr>
        <w:pStyle w:val="BodyText"/>
        <w:spacing w:line="396" w:lineRule="auto"/>
        <w:ind w:left="282" w:right="528"/>
        <w:jc w:val="both"/>
      </w:pPr>
      <w:r>
        <w:rPr/>
        <w:t>PageRank and variants rank nodes by propagated influence through directed edges </w:t>
      </w:r>
      <w:hyperlink w:history="true" w:anchor="_bookmark141">
        <w:r>
          <w:rPr>
            <w:vertAlign w:val="superscript"/>
          </w:rPr>
          <w:t>[8]</w:t>
        </w:r>
      </w:hyperlink>
      <w:r>
        <w:rPr>
          <w:vertAlign w:val="superscript"/>
        </w:rPr>
        <w:t>,</w:t>
      </w:r>
      <w:hyperlink w:history="true" w:anchor="_bookmark182">
        <w:r>
          <w:rPr>
            <w:vertAlign w:val="superscript"/>
          </w:rPr>
          <w:t>[49]</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spacing w:val="-15"/>
          <w:vertAlign w:val="baseline"/>
        </w:rPr>
        <w:t> </w:t>
      </w:r>
      <w:r>
        <w:rPr>
          <w:vertAlign w:val="baseline"/>
        </w:rPr>
        <w:t>apply</w:t>
      </w:r>
      <w:r>
        <w:rPr>
          <w:spacing w:val="-15"/>
          <w:vertAlign w:val="baseline"/>
        </w:rPr>
        <w:t> </w:t>
      </w:r>
      <w:r>
        <w:rPr>
          <w:vertAlign w:val="baseline"/>
        </w:rPr>
        <w:t>Adaptive</w:t>
      </w:r>
      <w:r>
        <w:rPr>
          <w:spacing w:val="-15"/>
          <w:vertAlign w:val="baseline"/>
        </w:rPr>
        <w:t> </w:t>
      </w:r>
      <w:r>
        <w:rPr>
          <w:vertAlign w:val="baseline"/>
        </w:rPr>
        <w:t>Weighted</w:t>
      </w:r>
      <w:r>
        <w:rPr>
          <w:spacing w:val="-15"/>
          <w:vertAlign w:val="baseline"/>
        </w:rPr>
        <w:t> </w:t>
      </w:r>
      <w:r>
        <w:rPr>
          <w:vertAlign w:val="baseline"/>
        </w:rPr>
        <w:t>PageRank</w:t>
      </w:r>
      <w:r>
        <w:rPr>
          <w:spacing w:val="-15"/>
          <w:vertAlign w:val="baseline"/>
        </w:rPr>
        <w:t> </w:t>
      </w:r>
      <w:r>
        <w:rPr>
          <w:vertAlign w:val="baseline"/>
        </w:rPr>
        <w:t>(AWP)</w:t>
      </w:r>
      <w:r>
        <w:rPr>
          <w:spacing w:val="-15"/>
          <w:vertAlign w:val="baseline"/>
        </w:rPr>
        <w:t> </w:t>
      </w:r>
      <w:r>
        <w:rPr>
          <w:vertAlign w:val="baseline"/>
        </w:rPr>
        <w:t>to</w:t>
      </w:r>
      <w:r>
        <w:rPr>
          <w:spacing w:val="-15"/>
          <w:vertAlign w:val="baseline"/>
        </w:rPr>
        <w:t> </w:t>
      </w:r>
      <w:r>
        <w:rPr>
          <w:vertAlign w:val="baseline"/>
        </w:rPr>
        <w:t>Ethereum</w:t>
      </w:r>
      <w:r>
        <w:rPr>
          <w:spacing w:val="-15"/>
          <w:vertAlign w:val="baseline"/>
        </w:rPr>
        <w:t> </w:t>
      </w:r>
      <w:r>
        <w:rPr>
          <w:vertAlign w:val="baseline"/>
        </w:rPr>
        <w:t>transaction</w:t>
      </w:r>
      <w:r>
        <w:rPr>
          <w:spacing w:val="-15"/>
          <w:vertAlign w:val="baseline"/>
        </w:rPr>
        <w:t> </w:t>
      </w:r>
      <w:r>
        <w:rPr>
          <w:vertAlign w:val="baseline"/>
        </w:rPr>
        <w:t>graphs,</w:t>
      </w:r>
      <w:r>
        <w:rPr>
          <w:spacing w:val="-15"/>
          <w:vertAlign w:val="baseline"/>
        </w:rPr>
        <w:t> </w:t>
      </w:r>
      <w:r>
        <w:rPr>
          <w:vertAlign w:val="baseline"/>
        </w:rPr>
        <w:t>weighting</w:t>
      </w:r>
      <w:r>
        <w:rPr>
          <w:spacing w:val="-15"/>
          <w:vertAlign w:val="baseline"/>
        </w:rPr>
        <w:t> </w:t>
      </w:r>
      <w:r>
        <w:rPr>
          <w:vertAlign w:val="baseline"/>
        </w:rPr>
        <w:t>edges by</w:t>
      </w:r>
      <w:r>
        <w:rPr>
          <w:spacing w:val="-1"/>
          <w:vertAlign w:val="baseline"/>
        </w:rPr>
        <w:t> </w:t>
      </w:r>
      <w:r>
        <w:rPr>
          <w:vertAlign w:val="baseline"/>
        </w:rPr>
        <w:t>transfer</w:t>
      </w:r>
      <w:r>
        <w:rPr>
          <w:spacing w:val="1"/>
          <w:vertAlign w:val="baseline"/>
        </w:rPr>
        <w:t> </w:t>
      </w:r>
      <w:r>
        <w:rPr>
          <w:vertAlign w:val="baseline"/>
        </w:rPr>
        <w:t>value and logistic</w:t>
      </w:r>
      <w:r>
        <w:rPr>
          <w:spacing w:val="1"/>
          <w:vertAlign w:val="baseline"/>
        </w:rPr>
        <w:t> </w:t>
      </w:r>
      <w:r>
        <w:rPr>
          <w:vertAlign w:val="baseline"/>
        </w:rPr>
        <w:t>time-decay.</w:t>
      </w:r>
      <w:r>
        <w:rPr>
          <w:spacing w:val="34"/>
          <w:vertAlign w:val="baseline"/>
        </w:rPr>
        <w:t> </w:t>
      </w:r>
      <w:r>
        <w:rPr>
          <w:vertAlign w:val="baseline"/>
        </w:rPr>
        <w:t>They validate</w:t>
      </w:r>
      <w:r>
        <w:rPr>
          <w:spacing w:val="1"/>
          <w:vertAlign w:val="baseline"/>
        </w:rPr>
        <w:t> </w:t>
      </w:r>
      <w:r>
        <w:rPr>
          <w:vertAlign w:val="baseline"/>
        </w:rPr>
        <w:t>scores against </w:t>
      </w:r>
      <w:r>
        <w:rPr>
          <w:b/>
          <w:vertAlign w:val="baseline"/>
        </w:rPr>
        <w:t>in-degree </w:t>
      </w:r>
      <w:r>
        <w:rPr>
          <w:vertAlign w:val="baseline"/>
        </w:rPr>
        <w:t>and</w:t>
      </w:r>
      <w:r>
        <w:rPr>
          <w:spacing w:val="1"/>
          <w:vertAlign w:val="baseline"/>
        </w:rPr>
        <w:t> </w:t>
      </w:r>
      <w:r>
        <w:rPr>
          <w:b/>
          <w:vertAlign w:val="baseline"/>
        </w:rPr>
        <w:t>in-</w:t>
      </w:r>
      <w:r>
        <w:rPr>
          <w:b/>
          <w:spacing w:val="-2"/>
          <w:vertAlign w:val="baseline"/>
        </w:rPr>
        <w:t>value</w:t>
      </w:r>
      <w:r>
        <w:rPr>
          <w:spacing w:val="-2"/>
          <w:vertAlign w:val="baseline"/>
        </w:rPr>
        <w:t>—</w:t>
      </w:r>
    </w:p>
    <w:p>
      <w:pPr>
        <w:pStyle w:val="BodyText"/>
        <w:spacing w:line="396" w:lineRule="auto"/>
        <w:ind w:left="282" w:right="528"/>
        <w:jc w:val="both"/>
      </w:pPr>
      <w:r>
        <w:rPr>
          <w:i/>
        </w:rPr>
        <w:t>PageRank 및 변형은 방향성 에지를 통해 전파된 영향을 기준으로 노드 순위를 지정합니다[8],[49]. Do 등[16] 이더리움 트랜잭션 그래프에 Adaptive Weighted PageRank(AWP)를 적용하여 전송 가치 및 로지스틱 시간 감소에 따라 가중치를 부여합니다. 그들은 정도와 가치에 대해 점수를 검증합니다.</w:t>
      </w:r>
    </w:p>
    <w:p>
      <w:pPr>
        <w:pStyle w:val="BodyText"/>
        <w:spacing w:after="0" w:line="396" w:lineRule="auto"/>
        <w:jc w:val="both"/>
        <w:sectPr>
          <w:pgSz w:w="11910" w:h="16840"/>
          <w:pgMar w:header="0" w:footer="2115" w:top="1840" w:bottom="2300" w:left="992" w:right="708"/>
        </w:sectPr>
      </w:pPr>
    </w:p>
    <w:p>
      <w:pPr>
        <w:spacing w:line="240" w:lineRule="auto"/>
        <w:ind w:left="1158" w:right="0" w:firstLine="0"/>
        <w:rPr>
          <w:sz w:val="20"/>
        </w:rPr>
      </w:pPr>
      <w:r>
        <w:rPr>
          <w:sz w:val="20"/>
        </w:rPr>
        <mc:AlternateContent>
          <mc:Choice Requires="wps">
            <w:drawing>
              <wp:inline distT="0" distB="0" distL="0" distR="0">
                <wp:extent cx="4829175" cy="2147570"/>
                <wp:effectExtent l="9525" t="0" r="0" b="5080"/>
                <wp:docPr id="21" name="Group 21"/>
                <wp:cNvGraphicFramePr>
                  <a:graphicFrameLocks/>
                </wp:cNvGraphicFramePr>
                <a:graphic>
                  <a:graphicData uri="http://schemas.microsoft.com/office/word/2010/wordprocessingGroup">
                    <wpg:wgp>
                      <wpg:cNvPr id="21" name="Group 21"/>
                      <wpg:cNvGrpSpPr/>
                      <wpg:grpSpPr>
                        <a:xfrm>
                          <a:off x="0" y="0"/>
                          <a:ext cx="4829175" cy="2147570"/>
                          <a:chExt cx="4829175" cy="2147570"/>
                        </a:xfrm>
                      </wpg:grpSpPr>
                      <wps:wsp>
                        <wps:cNvPr id="22" name="Graphic 22"/>
                        <wps:cNvSpPr/>
                        <wps:spPr>
                          <a:xfrm>
                            <a:off x="2530" y="2530"/>
                            <a:ext cx="4824095" cy="270510"/>
                          </a:xfrm>
                          <a:custGeom>
                            <a:avLst/>
                            <a:gdLst/>
                            <a:ahLst/>
                            <a:cxnLst/>
                            <a:rect l="l" t="t" r="r" b="b"/>
                            <a:pathLst>
                              <a:path w="4824095" h="270510">
                                <a:moveTo>
                                  <a:pt x="813398" y="0"/>
                                </a:moveTo>
                                <a:lnTo>
                                  <a:pt x="50610" y="0"/>
                                </a:lnTo>
                                <a:lnTo>
                                  <a:pt x="30910" y="3977"/>
                                </a:lnTo>
                                <a:lnTo>
                                  <a:pt x="14823" y="14823"/>
                                </a:lnTo>
                                <a:lnTo>
                                  <a:pt x="3977" y="30910"/>
                                </a:lnTo>
                                <a:lnTo>
                                  <a:pt x="0" y="50610"/>
                                </a:lnTo>
                                <a:lnTo>
                                  <a:pt x="0" y="219392"/>
                                </a:lnTo>
                                <a:lnTo>
                                  <a:pt x="3977" y="239092"/>
                                </a:lnTo>
                                <a:lnTo>
                                  <a:pt x="14823" y="255179"/>
                                </a:lnTo>
                                <a:lnTo>
                                  <a:pt x="30910" y="266025"/>
                                </a:lnTo>
                                <a:lnTo>
                                  <a:pt x="50610" y="270003"/>
                                </a:lnTo>
                                <a:lnTo>
                                  <a:pt x="813398" y="270003"/>
                                </a:lnTo>
                                <a:lnTo>
                                  <a:pt x="833098" y="266025"/>
                                </a:lnTo>
                                <a:lnTo>
                                  <a:pt x="849185" y="255179"/>
                                </a:lnTo>
                                <a:lnTo>
                                  <a:pt x="860031" y="239092"/>
                                </a:lnTo>
                                <a:lnTo>
                                  <a:pt x="864008" y="219392"/>
                                </a:lnTo>
                                <a:lnTo>
                                  <a:pt x="864008" y="50610"/>
                                </a:lnTo>
                                <a:lnTo>
                                  <a:pt x="860031" y="30910"/>
                                </a:lnTo>
                                <a:lnTo>
                                  <a:pt x="849185" y="14823"/>
                                </a:lnTo>
                                <a:lnTo>
                                  <a:pt x="833098" y="3977"/>
                                </a:lnTo>
                                <a:lnTo>
                                  <a:pt x="813398" y="0"/>
                                </a:lnTo>
                                <a:close/>
                              </a:path>
                              <a:path w="4824095" h="270510">
                                <a:moveTo>
                                  <a:pt x="2810313" y="0"/>
                                </a:moveTo>
                                <a:lnTo>
                                  <a:pt x="2013745" y="0"/>
                                </a:lnTo>
                                <a:lnTo>
                                  <a:pt x="1994044" y="3977"/>
                                </a:lnTo>
                                <a:lnTo>
                                  <a:pt x="1977957" y="14823"/>
                                </a:lnTo>
                                <a:lnTo>
                                  <a:pt x="1967111" y="30910"/>
                                </a:lnTo>
                                <a:lnTo>
                                  <a:pt x="1963134" y="50610"/>
                                </a:lnTo>
                                <a:lnTo>
                                  <a:pt x="1963134" y="219392"/>
                                </a:lnTo>
                                <a:lnTo>
                                  <a:pt x="1967111" y="239092"/>
                                </a:lnTo>
                                <a:lnTo>
                                  <a:pt x="1977957" y="255179"/>
                                </a:lnTo>
                                <a:lnTo>
                                  <a:pt x="1994044" y="266025"/>
                                </a:lnTo>
                                <a:lnTo>
                                  <a:pt x="2013745" y="270003"/>
                                </a:lnTo>
                                <a:lnTo>
                                  <a:pt x="2810313" y="270003"/>
                                </a:lnTo>
                                <a:lnTo>
                                  <a:pt x="2830013" y="266025"/>
                                </a:lnTo>
                                <a:lnTo>
                                  <a:pt x="2846100" y="255179"/>
                                </a:lnTo>
                                <a:lnTo>
                                  <a:pt x="2856946" y="239092"/>
                                </a:lnTo>
                                <a:lnTo>
                                  <a:pt x="2860923" y="219392"/>
                                </a:lnTo>
                                <a:lnTo>
                                  <a:pt x="2860923" y="50610"/>
                                </a:lnTo>
                                <a:lnTo>
                                  <a:pt x="2856946" y="30910"/>
                                </a:lnTo>
                                <a:lnTo>
                                  <a:pt x="2846100" y="14823"/>
                                </a:lnTo>
                                <a:lnTo>
                                  <a:pt x="2830013" y="3977"/>
                                </a:lnTo>
                                <a:lnTo>
                                  <a:pt x="2810313" y="0"/>
                                </a:lnTo>
                                <a:close/>
                              </a:path>
                              <a:path w="4824095" h="270510">
                                <a:moveTo>
                                  <a:pt x="4773447" y="0"/>
                                </a:moveTo>
                                <a:lnTo>
                                  <a:pt x="4010660" y="0"/>
                                </a:lnTo>
                                <a:lnTo>
                                  <a:pt x="3990959" y="3977"/>
                                </a:lnTo>
                                <a:lnTo>
                                  <a:pt x="3974872" y="14823"/>
                                </a:lnTo>
                                <a:lnTo>
                                  <a:pt x="3964026" y="30910"/>
                                </a:lnTo>
                                <a:lnTo>
                                  <a:pt x="3960049" y="50610"/>
                                </a:lnTo>
                                <a:lnTo>
                                  <a:pt x="3960049" y="219392"/>
                                </a:lnTo>
                                <a:lnTo>
                                  <a:pt x="3964026" y="239092"/>
                                </a:lnTo>
                                <a:lnTo>
                                  <a:pt x="3974872" y="255179"/>
                                </a:lnTo>
                                <a:lnTo>
                                  <a:pt x="3990959" y="266025"/>
                                </a:lnTo>
                                <a:lnTo>
                                  <a:pt x="4010660" y="270003"/>
                                </a:lnTo>
                                <a:lnTo>
                                  <a:pt x="4773447" y="270003"/>
                                </a:lnTo>
                                <a:lnTo>
                                  <a:pt x="4793147" y="266025"/>
                                </a:lnTo>
                                <a:lnTo>
                                  <a:pt x="4809234" y="255179"/>
                                </a:lnTo>
                                <a:lnTo>
                                  <a:pt x="4820080" y="239092"/>
                                </a:lnTo>
                                <a:lnTo>
                                  <a:pt x="4824058" y="219392"/>
                                </a:lnTo>
                                <a:lnTo>
                                  <a:pt x="4824058" y="50610"/>
                                </a:lnTo>
                                <a:lnTo>
                                  <a:pt x="4820080" y="30910"/>
                                </a:lnTo>
                                <a:lnTo>
                                  <a:pt x="4809234" y="14823"/>
                                </a:lnTo>
                                <a:lnTo>
                                  <a:pt x="4793147" y="3977"/>
                                </a:lnTo>
                                <a:lnTo>
                                  <a:pt x="4773447" y="0"/>
                                </a:lnTo>
                                <a:close/>
                              </a:path>
                            </a:pathLst>
                          </a:custGeom>
                          <a:ln w="5060">
                            <a:solidFill>
                              <a:srgbClr val="000000"/>
                            </a:solidFill>
                            <a:prstDash val="solid"/>
                          </a:ln>
                        </wps:spPr>
                        <wps:bodyPr wrap="square" lIns="0" tIns="0" rIns="0" bIns="0" rtlCol="0">
                          <a:prstTxWarp prst="textNoShape">
                            <a:avLst/>
                          </a:prstTxWarp>
                          <a:noAutofit/>
                        </wps:bodyPr>
                      </wps:wsp>
                      <wps:wsp>
                        <wps:cNvPr id="23" name="Graphic 23"/>
                        <wps:cNvSpPr/>
                        <wps:spPr>
                          <a:xfrm>
                            <a:off x="434534" y="275063"/>
                            <a:ext cx="3960495" cy="1872614"/>
                          </a:xfrm>
                          <a:custGeom>
                            <a:avLst/>
                            <a:gdLst/>
                            <a:ahLst/>
                            <a:cxnLst/>
                            <a:rect l="l" t="t" r="r" b="b"/>
                            <a:pathLst>
                              <a:path w="3960495" h="1872614">
                                <a:moveTo>
                                  <a:pt x="0" y="0"/>
                                </a:moveTo>
                                <a:lnTo>
                                  <a:pt x="0" y="1872022"/>
                                </a:lnTo>
                              </a:path>
                              <a:path w="3960495" h="1872614">
                                <a:moveTo>
                                  <a:pt x="1980024" y="0"/>
                                </a:moveTo>
                                <a:lnTo>
                                  <a:pt x="1980024" y="1872022"/>
                                </a:lnTo>
                              </a:path>
                              <a:path w="3960495" h="1872614">
                                <a:moveTo>
                                  <a:pt x="3960049" y="0"/>
                                </a:moveTo>
                                <a:lnTo>
                                  <a:pt x="3960049" y="1872022"/>
                                </a:lnTo>
                              </a:path>
                            </a:pathLst>
                          </a:custGeom>
                          <a:ln w="5060">
                            <a:solidFill>
                              <a:srgbClr val="7F7F7F"/>
                            </a:solidFill>
                            <a:prstDash val="dash"/>
                          </a:ln>
                        </wps:spPr>
                        <wps:bodyPr wrap="square" lIns="0" tIns="0" rIns="0" bIns="0" rtlCol="0">
                          <a:prstTxWarp prst="textNoShape">
                            <a:avLst/>
                          </a:prstTxWarp>
                          <a:noAutofit/>
                        </wps:bodyPr>
                      </wps:wsp>
                      <wps:wsp>
                        <wps:cNvPr id="24" name="Graphic 24"/>
                        <wps:cNvSpPr/>
                        <wps:spPr>
                          <a:xfrm>
                            <a:off x="434534" y="569536"/>
                            <a:ext cx="1924050" cy="1270"/>
                          </a:xfrm>
                          <a:custGeom>
                            <a:avLst/>
                            <a:gdLst/>
                            <a:ahLst/>
                            <a:cxnLst/>
                            <a:rect l="l" t="t" r="r" b="b"/>
                            <a:pathLst>
                              <a:path w="1924050" h="0">
                                <a:moveTo>
                                  <a:pt x="0" y="0"/>
                                </a:moveTo>
                                <a:lnTo>
                                  <a:pt x="192344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2340902" y="547154"/>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340902" y="547154"/>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27" name="Graphic 27"/>
                        <wps:cNvSpPr/>
                        <wps:spPr>
                          <a:xfrm>
                            <a:off x="2471144" y="1145545"/>
                            <a:ext cx="1924050" cy="1270"/>
                          </a:xfrm>
                          <a:custGeom>
                            <a:avLst/>
                            <a:gdLst/>
                            <a:ahLst/>
                            <a:cxnLst/>
                            <a:rect l="l" t="t" r="r" b="b"/>
                            <a:pathLst>
                              <a:path w="1924050" h="0">
                                <a:moveTo>
                                  <a:pt x="192344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2428973" y="1123163"/>
                            <a:ext cx="59690" cy="45085"/>
                          </a:xfrm>
                          <a:custGeom>
                            <a:avLst/>
                            <a:gdLst/>
                            <a:ahLst/>
                            <a:cxnLst/>
                            <a:rect l="l" t="t" r="r" b="b"/>
                            <a:pathLst>
                              <a:path w="59690" h="45085">
                                <a:moveTo>
                                  <a:pt x="59242" y="44764"/>
                                </a:moveTo>
                                <a:lnTo>
                                  <a:pt x="39640" y="22382"/>
                                </a:lnTo>
                                <a:lnTo>
                                  <a:pt x="59242" y="0"/>
                                </a:lnTo>
                                <a:lnTo>
                                  <a:pt x="0" y="22382"/>
                                </a:lnTo>
                                <a:lnTo>
                                  <a:pt x="59242" y="44764"/>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428973" y="1123163"/>
                            <a:ext cx="59690" cy="45085"/>
                          </a:xfrm>
                          <a:custGeom>
                            <a:avLst/>
                            <a:gdLst/>
                            <a:ahLst/>
                            <a:cxnLst/>
                            <a:rect l="l" t="t" r="r" b="b"/>
                            <a:pathLst>
                              <a:path w="59690" h="45085">
                                <a:moveTo>
                                  <a:pt x="0" y="22382"/>
                                </a:moveTo>
                                <a:lnTo>
                                  <a:pt x="59242" y="44764"/>
                                </a:lnTo>
                                <a:lnTo>
                                  <a:pt x="39640" y="22382"/>
                                </a:lnTo>
                                <a:lnTo>
                                  <a:pt x="59242" y="0"/>
                                </a:lnTo>
                                <a:lnTo>
                                  <a:pt x="0" y="22382"/>
                                </a:lnTo>
                                <a:close/>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434534" y="1721549"/>
                            <a:ext cx="1924050" cy="1270"/>
                          </a:xfrm>
                          <a:custGeom>
                            <a:avLst/>
                            <a:gdLst/>
                            <a:ahLst/>
                            <a:cxnLst/>
                            <a:rect l="l" t="t" r="r" b="b"/>
                            <a:pathLst>
                              <a:path w="1924050" h="0">
                                <a:moveTo>
                                  <a:pt x="0" y="0"/>
                                </a:moveTo>
                                <a:lnTo>
                                  <a:pt x="1923440" y="0"/>
                                </a:lnTo>
                              </a:path>
                            </a:pathLst>
                          </a:custGeom>
                          <a:ln w="10122">
                            <a:solidFill>
                              <a:srgbClr val="000000"/>
                            </a:solidFill>
                            <a:prstDash val="dash"/>
                          </a:ln>
                        </wps:spPr>
                        <wps:bodyPr wrap="square" lIns="0" tIns="0" rIns="0" bIns="0" rtlCol="0">
                          <a:prstTxWarp prst="textNoShape">
                            <a:avLst/>
                          </a:prstTxWarp>
                          <a:noAutofit/>
                        </wps:bodyPr>
                      </wps:wsp>
                      <wps:wsp>
                        <wps:cNvPr id="31" name="Graphic 31"/>
                        <wps:cNvSpPr/>
                        <wps:spPr>
                          <a:xfrm>
                            <a:off x="2340902" y="1699167"/>
                            <a:ext cx="59690" cy="45085"/>
                          </a:xfrm>
                          <a:custGeom>
                            <a:avLst/>
                            <a:gdLst/>
                            <a:ahLst/>
                            <a:cxnLst/>
                            <a:rect l="l" t="t" r="r" b="b"/>
                            <a:pathLst>
                              <a:path w="59690" h="45085">
                                <a:moveTo>
                                  <a:pt x="0" y="0"/>
                                </a:moveTo>
                                <a:lnTo>
                                  <a:pt x="19602" y="22382"/>
                                </a:lnTo>
                                <a:lnTo>
                                  <a:pt x="0" y="44764"/>
                                </a:lnTo>
                                <a:lnTo>
                                  <a:pt x="59242" y="22382"/>
                                </a:lnTo>
                                <a:lnTo>
                                  <a:pt x="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2340902" y="1699167"/>
                            <a:ext cx="59690" cy="45085"/>
                          </a:xfrm>
                          <a:custGeom>
                            <a:avLst/>
                            <a:gdLst/>
                            <a:ahLst/>
                            <a:cxnLst/>
                            <a:rect l="l" t="t" r="r" b="b"/>
                            <a:pathLst>
                              <a:path w="59690" h="45085">
                                <a:moveTo>
                                  <a:pt x="59242" y="22382"/>
                                </a:moveTo>
                                <a:lnTo>
                                  <a:pt x="0" y="0"/>
                                </a:lnTo>
                                <a:lnTo>
                                  <a:pt x="19602" y="22382"/>
                                </a:lnTo>
                                <a:lnTo>
                                  <a:pt x="0" y="44764"/>
                                </a:lnTo>
                                <a:lnTo>
                                  <a:pt x="59242" y="22382"/>
                                </a:lnTo>
                                <a:close/>
                              </a:path>
                            </a:pathLst>
                          </a:custGeom>
                          <a:ln w="10122">
                            <a:solidFill>
                              <a:srgbClr val="000000"/>
                            </a:solidFill>
                            <a:prstDash val="solid"/>
                          </a:ln>
                        </wps:spPr>
                        <wps:bodyPr wrap="square" lIns="0" tIns="0" rIns="0" bIns="0" rtlCol="0">
                          <a:prstTxWarp prst="textNoShape">
                            <a:avLst/>
                          </a:prstTxWarp>
                          <a:noAutofit/>
                        </wps:bodyPr>
                      </wps:wsp>
                      <wps:wsp>
                        <wps:cNvPr id="33" name="Textbox 33"/>
                        <wps:cNvSpPr txBox="1"/>
                        <wps:spPr>
                          <a:xfrm>
                            <a:off x="246028" y="59944"/>
                            <a:ext cx="389890" cy="153670"/>
                          </a:xfrm>
                          <a:prstGeom prst="rect">
                            <a:avLst/>
                          </a:prstGeom>
                        </wps:spPr>
                        <wps:txbx>
                          <w:txbxContent>
                            <w:p>
                              <w:pPr>
                                <w:spacing w:line="242" w:lineRule="exact" w:before="0"/>
                                <w:ind w:left="0" w:right="0" w:firstLine="0"/>
                                <w:jc w:val="left"/>
                                <w:rPr>
                                  <w:sz w:val="22"/>
                                </w:rPr>
                              </w:pPr>
                              <w:bookmarkStart w:name="_bookmark22" w:id="38"/>
                              <w:bookmarkEnd w:id="38"/>
                              <w:r>
                                <w:rPr/>
                              </w:r>
                              <w:r>
                                <w:rPr>
                                  <w:spacing w:val="-2"/>
                                  <w:sz w:val="22"/>
                                </w:rPr>
                                <w:t>Owner</w:t>
                              </w:r>
                            </w:p>
                          </w:txbxContent>
                        </wps:txbx>
                        <wps:bodyPr wrap="square" lIns="0" tIns="0" rIns="0" bIns="0" rtlCol="0">
                          <a:noAutofit/>
                        </wps:bodyPr>
                      </wps:wsp>
                      <wps:wsp>
                        <wps:cNvPr id="34" name="Textbox 34"/>
                        <wps:cNvSpPr txBox="1"/>
                        <wps:spPr>
                          <a:xfrm>
                            <a:off x="2016269" y="61125"/>
                            <a:ext cx="809625" cy="153670"/>
                          </a:xfrm>
                          <a:prstGeom prst="rect">
                            <a:avLst/>
                          </a:prstGeom>
                        </wps:spPr>
                        <wps:txbx>
                          <w:txbxContent>
                            <w:p>
                              <w:pPr>
                                <w:spacing w:line="242" w:lineRule="exact" w:before="0"/>
                                <w:ind w:left="0" w:right="0" w:firstLine="0"/>
                                <w:jc w:val="left"/>
                                <w:rPr>
                                  <w:sz w:val="22"/>
                                </w:rPr>
                              </w:pPr>
                              <w:r>
                                <w:rPr>
                                  <w:sz w:val="22"/>
                                </w:rPr>
                                <w:t>ERC-20</w:t>
                              </w:r>
                              <w:r>
                                <w:rPr>
                                  <w:spacing w:val="-9"/>
                                  <w:sz w:val="22"/>
                                </w:rPr>
                                <w:t> </w:t>
                              </w:r>
                              <w:r>
                                <w:rPr>
                                  <w:spacing w:val="-4"/>
                                  <w:sz w:val="22"/>
                                </w:rPr>
                                <w:t>token</w:t>
                              </w:r>
                            </w:p>
                          </w:txbxContent>
                        </wps:txbx>
                        <wps:bodyPr wrap="square" lIns="0" tIns="0" rIns="0" bIns="0" rtlCol="0">
                          <a:noAutofit/>
                        </wps:bodyPr>
                      </wps:wsp>
                      <wps:wsp>
                        <wps:cNvPr id="35" name="Textbox 35"/>
                        <wps:cNvSpPr txBox="1"/>
                        <wps:spPr>
                          <a:xfrm>
                            <a:off x="4167585" y="47358"/>
                            <a:ext cx="466725" cy="153670"/>
                          </a:xfrm>
                          <a:prstGeom prst="rect">
                            <a:avLst/>
                          </a:prstGeom>
                        </wps:spPr>
                        <wps:txbx>
                          <w:txbxContent>
                            <w:p>
                              <w:pPr>
                                <w:spacing w:line="242" w:lineRule="exact" w:before="0"/>
                                <w:ind w:left="0" w:right="0" w:firstLine="0"/>
                                <w:jc w:val="left"/>
                                <w:rPr>
                                  <w:sz w:val="22"/>
                                </w:rPr>
                              </w:pPr>
                              <w:r>
                                <w:rPr>
                                  <w:spacing w:val="-2"/>
                                  <w:sz w:val="22"/>
                                </w:rPr>
                                <w:t>Spender</w:t>
                              </w:r>
                            </w:p>
                          </w:txbxContent>
                        </wps:txbx>
                        <wps:bodyPr wrap="square" lIns="0" tIns="0" rIns="0" bIns="0" rtlCol="0">
                          <a:noAutofit/>
                        </wps:bodyPr>
                      </wps:wsp>
                      <wps:wsp>
                        <wps:cNvPr id="36" name="Textbox 36"/>
                        <wps:cNvSpPr txBox="1"/>
                        <wps:spPr>
                          <a:xfrm>
                            <a:off x="749964" y="388767"/>
                            <a:ext cx="1369695" cy="429895"/>
                          </a:xfrm>
                          <a:prstGeom prst="rect">
                            <a:avLst/>
                          </a:prstGeom>
                        </wps:spPr>
                        <wps:txbx>
                          <w:txbxContent>
                            <w:p>
                              <w:pPr>
                                <w:spacing w:before="9"/>
                                <w:ind w:left="0" w:right="29" w:firstLine="0"/>
                                <w:jc w:val="center"/>
                                <w:rPr>
                                  <w:rFonts w:ascii="Georgia"/>
                                  <w:sz w:val="16"/>
                                </w:rPr>
                              </w:pPr>
                              <w:r>
                                <w:rPr>
                                  <w:rFonts w:ascii="Georgia"/>
                                  <w:spacing w:val="-2"/>
                                  <w:w w:val="110"/>
                                  <w:sz w:val="16"/>
                                </w:rPr>
                                <w:t>approve(spender,</w:t>
                              </w:r>
                              <w:r>
                                <w:rPr>
                                  <w:rFonts w:ascii="Cambria"/>
                                  <w:spacing w:val="-2"/>
                                  <w:w w:val="110"/>
                                  <w:sz w:val="16"/>
                                </w:rPr>
                                <w:t>a</w:t>
                              </w:r>
                              <w:r>
                                <w:rPr>
                                  <w:rFonts w:ascii="Georgia"/>
                                  <w:spacing w:val="-2"/>
                                  <w:w w:val="110"/>
                                  <w:sz w:val="16"/>
                                </w:rPr>
                                <w:t>)</w:t>
                              </w:r>
                            </w:p>
                            <w:p>
                              <w:pPr>
                                <w:spacing w:line="240" w:lineRule="auto" w:before="78"/>
                                <w:rPr>
                                  <w:rFonts w:ascii="Georgia"/>
                                  <w:sz w:val="16"/>
                                </w:rPr>
                              </w:pPr>
                            </w:p>
                            <w:p>
                              <w:pPr>
                                <w:spacing w:before="0"/>
                                <w:ind w:left="0" w:right="29" w:firstLine="0"/>
                                <w:jc w:val="center"/>
                                <w:rPr>
                                  <w:i/>
                                  <w:sz w:val="16"/>
                                </w:rPr>
                              </w:pPr>
                              <w:r>
                                <w:rPr>
                                  <w:i/>
                                  <w:color w:val="4C4C4C"/>
                                  <w:sz w:val="16"/>
                                </w:rPr>
                                <w:t>emit</w:t>
                              </w:r>
                              <w:r>
                                <w:rPr>
                                  <w:i/>
                                  <w:color w:val="4C4C4C"/>
                                  <w:spacing w:val="-9"/>
                                  <w:sz w:val="16"/>
                                </w:rPr>
                                <w:t> </w:t>
                              </w:r>
                              <w:r>
                                <w:rPr>
                                  <w:rFonts w:ascii="Georgia" w:hAnsi="Georgia"/>
                                  <w:i/>
                                  <w:color w:val="4C4C4C"/>
                                  <w:sz w:val="16"/>
                                </w:rPr>
                                <w:t>Approval</w:t>
                              </w:r>
                              <w:r>
                                <w:rPr>
                                  <w:i/>
                                  <w:color w:val="4C4C4C"/>
                                  <w:sz w:val="16"/>
                                </w:rPr>
                                <w:t>;</w:t>
                              </w:r>
                              <w:r>
                                <w:rPr>
                                  <w:i/>
                                  <w:color w:val="4C4C4C"/>
                                  <w:spacing w:val="-8"/>
                                  <w:sz w:val="16"/>
                                </w:rPr>
                                <w:t> </w:t>
                              </w:r>
                              <w:r>
                                <w:rPr>
                                  <w:i/>
                                  <w:color w:val="4C4C4C"/>
                                  <w:sz w:val="16"/>
                                </w:rPr>
                                <w:t>store</w:t>
                              </w:r>
                              <w:r>
                                <w:rPr>
                                  <w:i/>
                                  <w:color w:val="4C4C4C"/>
                                  <w:spacing w:val="-9"/>
                                  <w:sz w:val="16"/>
                                </w:rPr>
                                <w:t> </w:t>
                              </w:r>
                              <w:r>
                                <w:rPr>
                                  <w:i/>
                                  <w:color w:val="4C4C4C"/>
                                  <w:spacing w:val="-2"/>
                                  <w:sz w:val="16"/>
                                </w:rPr>
                                <w:t>allowance</w:t>
                              </w:r>
                            </w:p>
                          </w:txbxContent>
                        </wps:txbx>
                        <wps:bodyPr wrap="square" lIns="0" tIns="0" rIns="0" bIns="0" rtlCol="0">
                          <a:noAutofit/>
                        </wps:bodyPr>
                      </wps:wsp>
                      <wps:wsp>
                        <wps:cNvPr id="37" name="Textbox 37"/>
                        <wps:cNvSpPr txBox="1"/>
                        <wps:spPr>
                          <a:xfrm>
                            <a:off x="2645503" y="957473"/>
                            <a:ext cx="1530985" cy="431800"/>
                          </a:xfrm>
                          <a:prstGeom prst="rect">
                            <a:avLst/>
                          </a:prstGeom>
                        </wps:spPr>
                        <wps:txbx>
                          <w:txbxContent>
                            <w:p>
                              <w:pPr>
                                <w:spacing w:before="29"/>
                                <w:ind w:left="0" w:right="18" w:firstLine="0"/>
                                <w:jc w:val="center"/>
                                <w:rPr>
                                  <w:rFonts w:ascii="Georgia" w:hAnsi="Georgia"/>
                                  <w:sz w:val="16"/>
                                </w:rPr>
                              </w:pPr>
                              <w:r>
                                <w:rPr>
                                  <w:rFonts w:ascii="Georgia" w:hAnsi="Georgia"/>
                                  <w:w w:val="110"/>
                                  <w:sz w:val="16"/>
                                </w:rPr>
                                <w:t>transferFrom(owner,to,</w:t>
                              </w:r>
                              <w:r>
                                <w:rPr>
                                  <w:rFonts w:ascii="Cambria" w:hAnsi="Cambria"/>
                                  <w:w w:val="110"/>
                                  <w:sz w:val="16"/>
                                </w:rPr>
                                <w:t>v</w:t>
                              </w:r>
                              <w:r>
                                <w:rPr>
                                  <w:rFonts w:ascii="Cambria" w:hAnsi="Cambria"/>
                                  <w:spacing w:val="27"/>
                                  <w:w w:val="110"/>
                                  <w:sz w:val="16"/>
                                </w:rPr>
                                <w:t> </w:t>
                              </w:r>
                              <w:r>
                                <w:rPr>
                                  <w:rFonts w:ascii="Cambria" w:hAnsi="Cambria"/>
                                  <w:w w:val="110"/>
                                  <w:sz w:val="16"/>
                                </w:rPr>
                                <w:t>≤</w:t>
                              </w:r>
                              <w:r>
                                <w:rPr>
                                  <w:rFonts w:ascii="Cambria" w:hAnsi="Cambria"/>
                                  <w:spacing w:val="21"/>
                                  <w:w w:val="110"/>
                                  <w:sz w:val="16"/>
                                </w:rPr>
                                <w:t> </w:t>
                              </w:r>
                              <w:r>
                                <w:rPr>
                                  <w:rFonts w:ascii="Cambria" w:hAnsi="Cambria"/>
                                  <w:spacing w:val="-5"/>
                                  <w:w w:val="110"/>
                                  <w:sz w:val="16"/>
                                </w:rPr>
                                <w:t>a</w:t>
                              </w:r>
                              <w:r>
                                <w:rPr>
                                  <w:rFonts w:ascii="Georgia" w:hAnsi="Georgia"/>
                                  <w:spacing w:val="-5"/>
                                  <w:w w:val="110"/>
                                  <w:sz w:val="16"/>
                                </w:rPr>
                                <w:t>)</w:t>
                              </w:r>
                            </w:p>
                            <w:p>
                              <w:pPr>
                                <w:spacing w:line="240" w:lineRule="auto" w:before="77"/>
                                <w:rPr>
                                  <w:rFonts w:ascii="Georgia"/>
                                  <w:sz w:val="16"/>
                                </w:rPr>
                              </w:pPr>
                            </w:p>
                            <w:p>
                              <w:pPr>
                                <w:spacing w:before="0"/>
                                <w:ind w:left="1" w:right="18" w:firstLine="0"/>
                                <w:jc w:val="center"/>
                                <w:rPr>
                                  <w:i/>
                                  <w:sz w:val="16"/>
                                </w:rPr>
                              </w:pPr>
                              <w:r>
                                <w:rPr>
                                  <w:i/>
                                  <w:color w:val="4C4C4C"/>
                                  <w:sz w:val="16"/>
                                </w:rPr>
                                <w:t>move</w:t>
                              </w:r>
                              <w:r>
                                <w:rPr>
                                  <w:i/>
                                  <w:color w:val="4C4C4C"/>
                                  <w:spacing w:val="-8"/>
                                  <w:sz w:val="16"/>
                                </w:rPr>
                                <w:t> </w:t>
                              </w:r>
                              <w:r>
                                <w:rPr>
                                  <w:i/>
                                  <w:color w:val="4C4C4C"/>
                                  <w:sz w:val="16"/>
                                </w:rPr>
                                <w:t>tokens;</w:t>
                              </w:r>
                              <w:r>
                                <w:rPr>
                                  <w:i/>
                                  <w:color w:val="4C4C4C"/>
                                  <w:spacing w:val="-7"/>
                                  <w:sz w:val="16"/>
                                </w:rPr>
                                <w:t> </w:t>
                              </w:r>
                              <w:r>
                                <w:rPr>
                                  <w:i/>
                                  <w:color w:val="4C4C4C"/>
                                  <w:sz w:val="16"/>
                                </w:rPr>
                                <w:t>reduce</w:t>
                              </w:r>
                              <w:r>
                                <w:rPr>
                                  <w:i/>
                                  <w:color w:val="4C4C4C"/>
                                  <w:spacing w:val="-7"/>
                                  <w:sz w:val="16"/>
                                </w:rPr>
                                <w:t> </w:t>
                              </w:r>
                              <w:r>
                                <w:rPr>
                                  <w:i/>
                                  <w:color w:val="4C4C4C"/>
                                  <w:spacing w:val="-2"/>
                                  <w:sz w:val="16"/>
                                </w:rPr>
                                <w:t>allowance</w:t>
                              </w:r>
                            </w:p>
                          </w:txbxContent>
                        </wps:txbx>
                        <wps:bodyPr wrap="square" lIns="0" tIns="0" rIns="0" bIns="0" rtlCol="0">
                          <a:noAutofit/>
                        </wps:bodyPr>
                      </wps:wsp>
                      <wps:wsp>
                        <wps:cNvPr id="38" name="Textbox 38"/>
                        <wps:cNvSpPr txBox="1"/>
                        <wps:spPr>
                          <a:xfrm>
                            <a:off x="744033" y="1528071"/>
                            <a:ext cx="1374140" cy="160655"/>
                          </a:xfrm>
                          <a:prstGeom prst="rect">
                            <a:avLst/>
                          </a:prstGeom>
                        </wps:spPr>
                        <wps:txbx>
                          <w:txbxContent>
                            <w:p>
                              <w:pPr>
                                <w:spacing w:before="29"/>
                                <w:ind w:left="20" w:right="0" w:firstLine="0"/>
                                <w:jc w:val="left"/>
                                <w:rPr>
                                  <w:sz w:val="16"/>
                                </w:rPr>
                              </w:pPr>
                              <w:r>
                                <w:rPr>
                                  <w:rFonts w:ascii="Georgia"/>
                                  <w:w w:val="105"/>
                                  <w:sz w:val="16"/>
                                </w:rPr>
                                <w:t>approve(spender,</w:t>
                              </w:r>
                              <w:r>
                                <w:rPr>
                                  <w:rFonts w:ascii="Calibri"/>
                                  <w:w w:val="105"/>
                                  <w:sz w:val="16"/>
                                </w:rPr>
                                <w:t>0</w:t>
                              </w:r>
                              <w:r>
                                <w:rPr>
                                  <w:rFonts w:ascii="Georgia"/>
                                  <w:w w:val="105"/>
                                  <w:sz w:val="16"/>
                                </w:rPr>
                                <w:t>)</w:t>
                              </w:r>
                              <w:r>
                                <w:rPr>
                                  <w:rFonts w:ascii="Georgia"/>
                                  <w:spacing w:val="67"/>
                                  <w:w w:val="105"/>
                                  <w:sz w:val="16"/>
                                </w:rPr>
                                <w:t> </w:t>
                              </w:r>
                              <w:r>
                                <w:rPr>
                                  <w:spacing w:val="-2"/>
                                  <w:w w:val="105"/>
                                  <w:sz w:val="16"/>
                                </w:rPr>
                                <w:t>(revoke)</w:t>
                              </w:r>
                            </w:p>
                          </w:txbxContent>
                        </wps:txbx>
                        <wps:bodyPr wrap="square" lIns="0" tIns="0" rIns="0" bIns="0" rtlCol="0">
                          <a:noAutofit/>
                        </wps:bodyPr>
                      </wps:wsp>
                    </wpg:wgp>
                  </a:graphicData>
                </a:graphic>
              </wp:inline>
            </w:drawing>
          </mc:Choice>
          <mc:Fallback>
            <w:pict>
              <v:group style="width:380.25pt;height:169.1pt;mso-position-horizontal-relative:char;mso-position-vertical-relative:line" id="docshapegroup15" coordorigin="0,0" coordsize="7605,3382">
                <v:shape style="position:absolute;left:3;top:3;width:7597;height:426" id="docshape16" coordorigin="4,4" coordsize="7597,426" path="m1285,4l84,4,53,10,27,27,10,53,4,84,4,349,10,381,27,406,53,423,84,429,1285,429,1316,423,1341,406,1358,381,1365,349,1365,84,1358,53,1341,27,1316,10,1285,4xm4430,4l3175,4,3144,10,3119,27,3102,53,3096,84,3096,349,3102,381,3119,406,3144,423,3175,429,4430,429,4461,423,4486,406,4503,381,4509,349,4509,84,4503,53,4486,27,4461,10,4430,4xm7521,4l6320,4,6289,10,6264,27,6247,53,6240,84,6240,349,6247,381,6264,406,6289,423,6320,429,7521,429,7552,423,7578,406,7595,381,7601,349,7601,84,7595,53,7578,27,7552,10,7521,4xe" filled="false" stroked="true" strokeweight=".3985pt" strokecolor="#000000">
                  <v:path arrowok="t"/>
                  <v:stroke dashstyle="solid"/>
                </v:shape>
                <v:shape style="position:absolute;left:684;top:433;width:6237;height:2949" id="docshape17" coordorigin="684,433" coordsize="6237,2949" path="m684,433l684,3381m3802,433l3802,3381m6921,433l6921,3381e" filled="false" stroked="true" strokeweight=".3985pt" strokecolor="#7f7f7f">
                  <v:path arrowok="t"/>
                  <v:stroke dashstyle="dash"/>
                </v:shape>
                <v:line style="position:absolute" from="684,897" to="3713,897" stroked="true" strokeweight=".79701pt" strokecolor="#000000">
                  <v:stroke dashstyle="solid"/>
                </v:line>
                <v:shape style="position:absolute;left:3686;top:861;width:94;height:71" id="docshape18" coordorigin="3686,862" coordsize="94,71" path="m3686,862l3717,897,3686,932,3780,897,3686,862xe" filled="true" fillcolor="#000000" stroked="false">
                  <v:path arrowok="t"/>
                  <v:fill type="solid"/>
                </v:shape>
                <v:shape style="position:absolute;left:3686;top:861;width:94;height:71" id="docshape19" coordorigin="3686,862" coordsize="94,71" path="m3780,897l3686,862,3717,897,3686,932,3780,897xe" filled="false" stroked="true" strokeweight=".79701pt" strokecolor="#000000">
                  <v:path arrowok="t"/>
                  <v:stroke dashstyle="solid"/>
                </v:shape>
                <v:line style="position:absolute" from="6921,1804" to="3892,1804" stroked="true" strokeweight=".79701pt" strokecolor="#000000">
                  <v:stroke dashstyle="solid"/>
                </v:line>
                <v:shape style="position:absolute;left:3825;top:1768;width:94;height:71" id="docshape20" coordorigin="3825,1769" coordsize="94,71" path="m3918,1839l3888,1804,3918,1769,3825,1804,3918,1839xe" filled="true" fillcolor="#000000" stroked="false">
                  <v:path arrowok="t"/>
                  <v:fill type="solid"/>
                </v:shape>
                <v:shape style="position:absolute;left:3825;top:1768;width:94;height:71" id="docshape21" coordorigin="3825,1769" coordsize="94,71" path="m3825,1804l3918,1839,3888,1804,3918,1769,3825,1804xe" filled="false" stroked="true" strokeweight=".79701pt" strokecolor="#000000">
                  <v:path arrowok="t"/>
                  <v:stroke dashstyle="solid"/>
                </v:shape>
                <v:line style="position:absolute" from="684,2711" to="3713,2711" stroked="true" strokeweight=".79701pt" strokecolor="#000000">
                  <v:stroke dashstyle="dash"/>
                </v:line>
                <v:shape style="position:absolute;left:3686;top:2675;width:94;height:71" id="docshape22" coordorigin="3686,2676" coordsize="94,71" path="m3686,2676l3717,2711,3686,2746,3780,2711,3686,2676xe" filled="true" fillcolor="#000000" stroked="false">
                  <v:path arrowok="t"/>
                  <v:fill type="solid"/>
                </v:shape>
                <v:shape style="position:absolute;left:3686;top:2675;width:94;height:71" id="docshape23" coordorigin="3686,2676" coordsize="94,71" path="m3780,2711l3686,2676,3717,2711,3686,2746,3780,2711xe" filled="false" stroked="true" strokeweight=".79701pt" strokecolor="#000000">
                  <v:path arrowok="t"/>
                  <v:stroke dashstyle="solid"/>
                </v:shape>
                <v:shape style="position:absolute;left:387;top:94;width:614;height:242" type="#_x0000_t202" id="docshape24" filled="false" stroked="false">
                  <v:textbox inset="0,0,0,0">
                    <w:txbxContent>
                      <w:p>
                        <w:pPr>
                          <w:spacing w:line="242" w:lineRule="exact" w:before="0"/>
                          <w:ind w:left="0" w:right="0" w:firstLine="0"/>
                          <w:jc w:val="left"/>
                          <w:rPr>
                            <w:sz w:val="22"/>
                          </w:rPr>
                        </w:pPr>
                        <w:bookmarkStart w:name="_bookmark22" w:id="39"/>
                        <w:bookmarkEnd w:id="39"/>
                        <w:r>
                          <w:rPr/>
                        </w:r>
                        <w:r>
                          <w:rPr>
                            <w:spacing w:val="-2"/>
                            <w:sz w:val="22"/>
                          </w:rPr>
                          <w:t>Owner</w:t>
                        </w:r>
                      </w:p>
                    </w:txbxContent>
                  </v:textbox>
                  <w10:wrap type="none"/>
                </v:shape>
                <v:shape style="position:absolute;left:3175;top:96;width:1275;height:242" type="#_x0000_t202" id="docshape25" filled="false" stroked="false">
                  <v:textbox inset="0,0,0,0">
                    <w:txbxContent>
                      <w:p>
                        <w:pPr>
                          <w:spacing w:line="242" w:lineRule="exact" w:before="0"/>
                          <w:ind w:left="0" w:right="0" w:firstLine="0"/>
                          <w:jc w:val="left"/>
                          <w:rPr>
                            <w:sz w:val="22"/>
                          </w:rPr>
                        </w:pPr>
                        <w:r>
                          <w:rPr>
                            <w:sz w:val="22"/>
                          </w:rPr>
                          <w:t>ERC-20</w:t>
                        </w:r>
                        <w:r>
                          <w:rPr>
                            <w:spacing w:val="-9"/>
                            <w:sz w:val="22"/>
                          </w:rPr>
                          <w:t> </w:t>
                        </w:r>
                        <w:r>
                          <w:rPr>
                            <w:spacing w:val="-4"/>
                            <w:sz w:val="22"/>
                          </w:rPr>
                          <w:t>token</w:t>
                        </w:r>
                      </w:p>
                    </w:txbxContent>
                  </v:textbox>
                  <w10:wrap type="none"/>
                </v:shape>
                <v:shape style="position:absolute;left:6563;top:74;width:735;height:242" type="#_x0000_t202" id="docshape26" filled="false" stroked="false">
                  <v:textbox inset="0,0,0,0">
                    <w:txbxContent>
                      <w:p>
                        <w:pPr>
                          <w:spacing w:line="242" w:lineRule="exact" w:before="0"/>
                          <w:ind w:left="0" w:right="0" w:firstLine="0"/>
                          <w:jc w:val="left"/>
                          <w:rPr>
                            <w:sz w:val="22"/>
                          </w:rPr>
                        </w:pPr>
                        <w:r>
                          <w:rPr>
                            <w:spacing w:val="-2"/>
                            <w:sz w:val="22"/>
                          </w:rPr>
                          <w:t>Spender</w:t>
                        </w:r>
                      </w:p>
                    </w:txbxContent>
                  </v:textbox>
                  <w10:wrap type="none"/>
                </v:shape>
                <v:shape style="position:absolute;left:1181;top:612;width:2157;height:677" type="#_x0000_t202" id="docshape27" filled="false" stroked="false">
                  <v:textbox inset="0,0,0,0">
                    <w:txbxContent>
                      <w:p>
                        <w:pPr>
                          <w:spacing w:before="9"/>
                          <w:ind w:left="0" w:right="29" w:firstLine="0"/>
                          <w:jc w:val="center"/>
                          <w:rPr>
                            <w:rFonts w:ascii="Georgia"/>
                            <w:sz w:val="16"/>
                          </w:rPr>
                        </w:pPr>
                        <w:r>
                          <w:rPr>
                            <w:rFonts w:ascii="Georgia"/>
                            <w:spacing w:val="-2"/>
                            <w:w w:val="110"/>
                            <w:sz w:val="16"/>
                          </w:rPr>
                          <w:t>approve(spender,</w:t>
                        </w:r>
                        <w:r>
                          <w:rPr>
                            <w:rFonts w:ascii="Cambria"/>
                            <w:spacing w:val="-2"/>
                            <w:w w:val="110"/>
                            <w:sz w:val="16"/>
                          </w:rPr>
                          <w:t>a</w:t>
                        </w:r>
                        <w:r>
                          <w:rPr>
                            <w:rFonts w:ascii="Georgia"/>
                            <w:spacing w:val="-2"/>
                            <w:w w:val="110"/>
                            <w:sz w:val="16"/>
                          </w:rPr>
                          <w:t>)</w:t>
                        </w:r>
                      </w:p>
                      <w:p>
                        <w:pPr>
                          <w:spacing w:line="240" w:lineRule="auto" w:before="78"/>
                          <w:rPr>
                            <w:rFonts w:ascii="Georgia"/>
                            <w:sz w:val="16"/>
                          </w:rPr>
                        </w:pPr>
                      </w:p>
                      <w:p>
                        <w:pPr>
                          <w:spacing w:before="0"/>
                          <w:ind w:left="0" w:right="29" w:firstLine="0"/>
                          <w:jc w:val="center"/>
                          <w:rPr>
                            <w:i/>
                            <w:sz w:val="16"/>
                          </w:rPr>
                        </w:pPr>
                        <w:r>
                          <w:rPr>
                            <w:i/>
                            <w:color w:val="4C4C4C"/>
                            <w:sz w:val="16"/>
                          </w:rPr>
                          <w:t>emit</w:t>
                        </w:r>
                        <w:r>
                          <w:rPr>
                            <w:i/>
                            <w:color w:val="4C4C4C"/>
                            <w:spacing w:val="-9"/>
                            <w:sz w:val="16"/>
                          </w:rPr>
                          <w:t> </w:t>
                        </w:r>
                        <w:r>
                          <w:rPr>
                            <w:rFonts w:ascii="Georgia" w:hAnsi="Georgia"/>
                            <w:i/>
                            <w:color w:val="4C4C4C"/>
                            <w:sz w:val="16"/>
                          </w:rPr>
                          <w:t>Approval</w:t>
                        </w:r>
                        <w:r>
                          <w:rPr>
                            <w:i/>
                            <w:color w:val="4C4C4C"/>
                            <w:sz w:val="16"/>
                          </w:rPr>
                          <w:t>;</w:t>
                        </w:r>
                        <w:r>
                          <w:rPr>
                            <w:i/>
                            <w:color w:val="4C4C4C"/>
                            <w:spacing w:val="-8"/>
                            <w:sz w:val="16"/>
                          </w:rPr>
                          <w:t> </w:t>
                        </w:r>
                        <w:r>
                          <w:rPr>
                            <w:i/>
                            <w:color w:val="4C4C4C"/>
                            <w:sz w:val="16"/>
                          </w:rPr>
                          <w:t>store</w:t>
                        </w:r>
                        <w:r>
                          <w:rPr>
                            <w:i/>
                            <w:color w:val="4C4C4C"/>
                            <w:spacing w:val="-9"/>
                            <w:sz w:val="16"/>
                          </w:rPr>
                          <w:t> </w:t>
                        </w:r>
                        <w:r>
                          <w:rPr>
                            <w:i/>
                            <w:color w:val="4C4C4C"/>
                            <w:spacing w:val="-2"/>
                            <w:sz w:val="16"/>
                          </w:rPr>
                          <w:t>allowance</w:t>
                        </w:r>
                      </w:p>
                    </w:txbxContent>
                  </v:textbox>
                  <w10:wrap type="none"/>
                </v:shape>
                <v:shape style="position:absolute;left:4166;top:1507;width:2411;height:680" type="#_x0000_t202" id="docshape28" filled="false" stroked="false">
                  <v:textbox inset="0,0,0,0">
                    <w:txbxContent>
                      <w:p>
                        <w:pPr>
                          <w:spacing w:before="29"/>
                          <w:ind w:left="0" w:right="18" w:firstLine="0"/>
                          <w:jc w:val="center"/>
                          <w:rPr>
                            <w:rFonts w:ascii="Georgia" w:hAnsi="Georgia"/>
                            <w:sz w:val="16"/>
                          </w:rPr>
                        </w:pPr>
                        <w:r>
                          <w:rPr>
                            <w:rFonts w:ascii="Georgia" w:hAnsi="Georgia"/>
                            <w:w w:val="110"/>
                            <w:sz w:val="16"/>
                          </w:rPr>
                          <w:t>transferFrom(owner,to,</w:t>
                        </w:r>
                        <w:r>
                          <w:rPr>
                            <w:rFonts w:ascii="Cambria" w:hAnsi="Cambria"/>
                            <w:w w:val="110"/>
                            <w:sz w:val="16"/>
                          </w:rPr>
                          <w:t>v</w:t>
                        </w:r>
                        <w:r>
                          <w:rPr>
                            <w:rFonts w:ascii="Cambria" w:hAnsi="Cambria"/>
                            <w:spacing w:val="27"/>
                            <w:w w:val="110"/>
                            <w:sz w:val="16"/>
                          </w:rPr>
                          <w:t> </w:t>
                        </w:r>
                        <w:r>
                          <w:rPr>
                            <w:rFonts w:ascii="Cambria" w:hAnsi="Cambria"/>
                            <w:w w:val="110"/>
                            <w:sz w:val="16"/>
                          </w:rPr>
                          <w:t>≤</w:t>
                        </w:r>
                        <w:r>
                          <w:rPr>
                            <w:rFonts w:ascii="Cambria" w:hAnsi="Cambria"/>
                            <w:spacing w:val="21"/>
                            <w:w w:val="110"/>
                            <w:sz w:val="16"/>
                          </w:rPr>
                          <w:t> </w:t>
                        </w:r>
                        <w:r>
                          <w:rPr>
                            <w:rFonts w:ascii="Cambria" w:hAnsi="Cambria"/>
                            <w:spacing w:val="-5"/>
                            <w:w w:val="110"/>
                            <w:sz w:val="16"/>
                          </w:rPr>
                          <w:t>a</w:t>
                        </w:r>
                        <w:r>
                          <w:rPr>
                            <w:rFonts w:ascii="Georgia" w:hAnsi="Georgia"/>
                            <w:spacing w:val="-5"/>
                            <w:w w:val="110"/>
                            <w:sz w:val="16"/>
                          </w:rPr>
                          <w:t>)</w:t>
                        </w:r>
                      </w:p>
                      <w:p>
                        <w:pPr>
                          <w:spacing w:line="240" w:lineRule="auto" w:before="77"/>
                          <w:rPr>
                            <w:rFonts w:ascii="Georgia"/>
                            <w:sz w:val="16"/>
                          </w:rPr>
                        </w:pPr>
                      </w:p>
                      <w:p>
                        <w:pPr>
                          <w:spacing w:before="0"/>
                          <w:ind w:left="1" w:right="18" w:firstLine="0"/>
                          <w:jc w:val="center"/>
                          <w:rPr>
                            <w:i/>
                            <w:sz w:val="16"/>
                          </w:rPr>
                        </w:pPr>
                        <w:r>
                          <w:rPr>
                            <w:i/>
                            <w:color w:val="4C4C4C"/>
                            <w:sz w:val="16"/>
                          </w:rPr>
                          <w:t>move</w:t>
                        </w:r>
                        <w:r>
                          <w:rPr>
                            <w:i/>
                            <w:color w:val="4C4C4C"/>
                            <w:spacing w:val="-8"/>
                            <w:sz w:val="16"/>
                          </w:rPr>
                          <w:t> </w:t>
                        </w:r>
                        <w:r>
                          <w:rPr>
                            <w:i/>
                            <w:color w:val="4C4C4C"/>
                            <w:sz w:val="16"/>
                          </w:rPr>
                          <w:t>tokens;</w:t>
                        </w:r>
                        <w:r>
                          <w:rPr>
                            <w:i/>
                            <w:color w:val="4C4C4C"/>
                            <w:spacing w:val="-7"/>
                            <w:sz w:val="16"/>
                          </w:rPr>
                          <w:t> </w:t>
                        </w:r>
                        <w:r>
                          <w:rPr>
                            <w:i/>
                            <w:color w:val="4C4C4C"/>
                            <w:sz w:val="16"/>
                          </w:rPr>
                          <w:t>reduce</w:t>
                        </w:r>
                        <w:r>
                          <w:rPr>
                            <w:i/>
                            <w:color w:val="4C4C4C"/>
                            <w:spacing w:val="-7"/>
                            <w:sz w:val="16"/>
                          </w:rPr>
                          <w:t> </w:t>
                        </w:r>
                        <w:r>
                          <w:rPr>
                            <w:i/>
                            <w:color w:val="4C4C4C"/>
                            <w:spacing w:val="-2"/>
                            <w:sz w:val="16"/>
                          </w:rPr>
                          <w:t>allowance</w:t>
                        </w:r>
                      </w:p>
                    </w:txbxContent>
                  </v:textbox>
                  <w10:wrap type="none"/>
                </v:shape>
                <v:shape style="position:absolute;left:1171;top:2406;width:2164;height:253" type="#_x0000_t202" id="docshape29" filled="false" stroked="false">
                  <v:textbox inset="0,0,0,0">
                    <w:txbxContent>
                      <w:p>
                        <w:pPr>
                          <w:spacing w:before="29"/>
                          <w:ind w:left="20" w:right="0" w:firstLine="0"/>
                          <w:jc w:val="left"/>
                          <w:rPr>
                            <w:sz w:val="16"/>
                          </w:rPr>
                        </w:pPr>
                        <w:r>
                          <w:rPr>
                            <w:rFonts w:ascii="Georgia"/>
                            <w:w w:val="105"/>
                            <w:sz w:val="16"/>
                          </w:rPr>
                          <w:t>approve(spender,</w:t>
                        </w:r>
                        <w:r>
                          <w:rPr>
                            <w:rFonts w:ascii="Calibri"/>
                            <w:w w:val="105"/>
                            <w:sz w:val="16"/>
                          </w:rPr>
                          <w:t>0</w:t>
                        </w:r>
                        <w:r>
                          <w:rPr>
                            <w:rFonts w:ascii="Georgia"/>
                            <w:w w:val="105"/>
                            <w:sz w:val="16"/>
                          </w:rPr>
                          <w:t>)</w:t>
                        </w:r>
                        <w:r>
                          <w:rPr>
                            <w:rFonts w:ascii="Georgia"/>
                            <w:spacing w:val="67"/>
                            <w:w w:val="105"/>
                            <w:sz w:val="16"/>
                          </w:rPr>
                          <w:t> </w:t>
                        </w:r>
                        <w:r>
                          <w:rPr>
                            <w:spacing w:val="-2"/>
                            <w:w w:val="105"/>
                            <w:sz w:val="16"/>
                          </w:rPr>
                          <w:t>(revoke)</w:t>
                        </w:r>
                      </w:p>
                    </w:txbxContent>
                  </v:textbox>
                  <w10:wrap type="none"/>
                </v:shape>
              </v:group>
            </w:pict>
          </mc:Fallback>
        </mc:AlternateContent>
      </w:r>
      <w:r>
        <w:rPr>
          <w:sz w:val="20"/>
        </w:rPr>
      </w:r>
    </w:p>
    <w:p>
      <w:pPr>
        <w:pStyle w:val="BodyText"/>
        <w:spacing w:line="244" w:lineRule="auto" w:before="146"/>
        <w:ind w:left="282" w:right="522"/>
        <w:jc w:val="both"/>
      </w:pPr>
      <w:r>
        <w:rPr/>
        <w:t>Figure</w:t>
      </w:r>
      <w:r>
        <w:rPr>
          <w:spacing w:val="-2"/>
        </w:rPr>
        <w:t> </w:t>
      </w:r>
      <w:r>
        <w:rPr/>
        <w:t>2.1:</w:t>
      </w:r>
      <w:r>
        <w:rPr>
          <w:spacing w:val="30"/>
        </w:rPr>
        <w:t> </w:t>
      </w:r>
      <w:r>
        <w:rPr/>
        <w:t>ERC-20</w:t>
      </w:r>
      <w:r>
        <w:rPr>
          <w:spacing w:val="-2"/>
        </w:rPr>
        <w:t> </w:t>
      </w:r>
      <w:r>
        <w:rPr/>
        <w:t>allowance</w:t>
      </w:r>
      <w:r>
        <w:rPr>
          <w:spacing w:val="-2"/>
        </w:rPr>
        <w:t> </w:t>
      </w:r>
      <w:r>
        <w:rPr/>
        <w:t>lifecycle:</w:t>
      </w:r>
      <w:r>
        <w:rPr>
          <w:spacing w:val="30"/>
        </w:rPr>
        <w:t> </w:t>
      </w:r>
      <w:r>
        <w:rPr/>
        <w:t>approve</w:t>
      </w:r>
      <w:r>
        <w:rPr>
          <w:spacing w:val="-2"/>
        </w:rPr>
        <w:t> </w:t>
      </w:r>
      <w:r>
        <w:rPr/>
        <w:t>(or</w:t>
      </w:r>
      <w:r>
        <w:rPr>
          <w:spacing w:val="-2"/>
        </w:rPr>
        <w:t> </w:t>
      </w:r>
      <w:r>
        <w:rPr/>
        <w:t>permit), optional</w:t>
      </w:r>
      <w:r>
        <w:rPr>
          <w:spacing w:val="-5"/>
        </w:rPr>
        <w:t> </w:t>
      </w:r>
      <w:r>
        <w:rPr>
          <w:rFonts w:ascii="Calibri" w:hAnsi="Calibri"/>
        </w:rPr>
        <w:t>transferFrom</w:t>
      </w:r>
      <w:r>
        <w:rPr/>
        <w:t>, and</w:t>
      </w:r>
      <w:r>
        <w:rPr>
          <w:spacing w:val="-2"/>
        </w:rPr>
        <w:t> </w:t>
      </w:r>
      <w:r>
        <w:rPr/>
        <w:t>revoke. EndorseRank edges reflect the latest live allowance snapshot per owner–spender pair (historical approvals superseded, not time-decayed).</w:t>
      </w:r>
    </w:p>
    <w:p>
      <w:pPr>
        <w:pStyle w:val="BodyText"/>
        <w:spacing w:line="244" w:lineRule="auto" w:before="146"/>
        <w:ind w:left="282" w:right="522"/>
        <w:jc w:val="both"/>
      </w:pPr>
      <w:r>
        <w:rPr>
          <w:i/>
        </w:rPr>
        <w:t>그림 2.1: ERC-20 허용 수명 주기: 승인(또는 허용), 선택적 전송 및 취소. EndorseRank 에지는 소유자-소비자 쌍당 최신 실시간 허용량 스냅샷을 반영합니다(과거 승인은 시간 경과에 따라 대체되지 않고 대체됨).</w:t>
      </w:r>
    </w:p>
    <w:p>
      <w:pPr>
        <w:pStyle w:val="BodyText"/>
        <w:spacing w:before="169"/>
      </w:pPr>
    </w:p>
    <w:p>
      <w:pPr>
        <w:pStyle w:val="BodyText"/>
        <w:spacing w:line="396" w:lineRule="auto"/>
        <w:ind w:left="282" w:right="522"/>
        <w:jc w:val="both"/>
      </w:pPr>
      <w:r>
        <w:rPr/>
        <w:t>count and sum of inbound transfers—as domain-intuition proxies for economic importance.</w:t>
      </w:r>
      <w:r>
        <w:rPr>
          <w:spacing w:val="40"/>
        </w:rPr>
        <w:t> </w:t>
      </w:r>
      <w:r>
        <w:rPr/>
        <w:t>Lin et al.</w:t>
      </w:r>
      <w:hyperlink w:history="true" w:anchor="_bookmark177">
        <w:r>
          <w:rPr>
            <w:vertAlign w:val="superscript"/>
          </w:rPr>
          <w:t>[44]</w:t>
        </w:r>
      </w:hyperlink>
      <w:r>
        <w:rPr>
          <w:vertAlign w:val="baseline"/>
        </w:rPr>
        <w:t> show that transaction connectivity alone can miss risk-relevant structure unless risk sig-nals</w:t>
      </w:r>
      <w:r>
        <w:rPr>
          <w:spacing w:val="-12"/>
          <w:vertAlign w:val="baseline"/>
        </w:rPr>
        <w:t> </w:t>
      </w:r>
      <w:r>
        <w:rPr>
          <w:vertAlign w:val="baseline"/>
        </w:rPr>
        <w:t>propagate</w:t>
      </w:r>
      <w:r>
        <w:rPr>
          <w:spacing w:val="-11"/>
          <w:vertAlign w:val="baseline"/>
        </w:rPr>
        <w:t> </w:t>
      </w:r>
      <w:r>
        <w:rPr>
          <w:vertAlign w:val="baseline"/>
        </w:rPr>
        <w:t>through</w:t>
      </w:r>
      <w:r>
        <w:rPr>
          <w:spacing w:val="-11"/>
          <w:vertAlign w:val="baseline"/>
        </w:rPr>
        <w:t> </w:t>
      </w:r>
      <w:r>
        <w:rPr>
          <w:vertAlign w:val="baseline"/>
        </w:rPr>
        <w:t>the</w:t>
      </w:r>
      <w:r>
        <w:rPr>
          <w:spacing w:val="-11"/>
          <w:vertAlign w:val="baseline"/>
        </w:rPr>
        <w:t> </w:t>
      </w:r>
      <w:r>
        <w:rPr>
          <w:vertAlign w:val="baseline"/>
        </w:rPr>
        <w:t>network,</w:t>
      </w:r>
      <w:r>
        <w:rPr>
          <w:spacing w:val="-11"/>
          <w:vertAlign w:val="baseline"/>
        </w:rPr>
        <w:t> </w:t>
      </w:r>
      <w:r>
        <w:rPr>
          <w:vertAlign w:val="baseline"/>
        </w:rPr>
        <w:t>motivating</w:t>
      </w:r>
      <w:r>
        <w:rPr>
          <w:spacing w:val="-11"/>
          <w:vertAlign w:val="baseline"/>
        </w:rPr>
        <w:t> </w:t>
      </w:r>
      <w:r>
        <w:rPr>
          <w:vertAlign w:val="baseline"/>
        </w:rPr>
        <w:t>refined</w:t>
      </w:r>
      <w:r>
        <w:rPr>
          <w:spacing w:val="-11"/>
          <w:vertAlign w:val="baseline"/>
        </w:rPr>
        <w:t> </w:t>
      </w:r>
      <w:r>
        <w:rPr>
          <w:vertAlign w:val="baseline"/>
        </w:rPr>
        <w:t>graph</w:t>
      </w:r>
      <w:r>
        <w:rPr>
          <w:spacing w:val="-11"/>
          <w:vertAlign w:val="baseline"/>
        </w:rPr>
        <w:t> </w:t>
      </w:r>
      <w:r>
        <w:rPr>
          <w:vertAlign w:val="baseline"/>
        </w:rPr>
        <w:t>semantics</w:t>
      </w:r>
      <w:r>
        <w:rPr>
          <w:spacing w:val="-11"/>
          <w:vertAlign w:val="baseline"/>
        </w:rPr>
        <w:t> </w:t>
      </w:r>
      <w:r>
        <w:rPr>
          <w:vertAlign w:val="baseline"/>
        </w:rPr>
        <w:t>beyond</w:t>
      </w:r>
      <w:r>
        <w:rPr>
          <w:spacing w:val="-11"/>
          <w:vertAlign w:val="baseline"/>
        </w:rPr>
        <w:t> </w:t>
      </w:r>
      <w:r>
        <w:rPr>
          <w:vertAlign w:val="baseline"/>
        </w:rPr>
        <w:t>vanilla</w:t>
      </w:r>
      <w:r>
        <w:rPr>
          <w:spacing w:val="-11"/>
          <w:vertAlign w:val="baseline"/>
        </w:rPr>
        <w:t> </w:t>
      </w:r>
      <w:r>
        <w:rPr>
          <w:vertAlign w:val="baseline"/>
        </w:rPr>
        <w:t>PageRank. Broader DeFi credit-scoring literature includes prospect-theory and blockchain-based models </w:t>
      </w:r>
      <w:hyperlink w:history="true" w:anchor="_bookmark162">
        <w:r>
          <w:rPr>
            <w:vertAlign w:val="superscript"/>
          </w:rPr>
          <w:t>[29]</w:t>
        </w:r>
      </w:hyperlink>
      <w:r>
        <w:rPr>
          <w:vertAlign w:val="baseline"/>
        </w:rPr>
        <w:t> and machine-learning pipelines on lending protocols </w:t>
      </w:r>
      <w:hyperlink w:history="true" w:anchor="_bookmark172">
        <w:r>
          <w:rPr>
            <w:vertAlign w:val="superscript"/>
          </w:rPr>
          <w:t>[39]</w:t>
        </w:r>
      </w:hyperlink>
      <w:r>
        <w:rPr>
          <w:vertAlign w:val="baseline"/>
        </w:rPr>
        <w:t>; Packin and Lev-Aretz</w:t>
      </w:r>
      <w:hyperlink w:history="true" w:anchor="_bookmark181">
        <w:r>
          <w:rPr>
            <w:vertAlign w:val="superscript"/>
          </w:rPr>
          <w:t>[48]</w:t>
        </w:r>
      </w:hyperlink>
      <w:r>
        <w:rPr>
          <w:vertAlign w:val="baseline"/>
        </w:rPr>
        <w:t> emphasize au-ditability</w:t>
      </w:r>
      <w:r>
        <w:rPr>
          <w:spacing w:val="-8"/>
          <w:vertAlign w:val="baseline"/>
        </w:rPr>
        <w:t> </w:t>
      </w:r>
      <w:r>
        <w:rPr>
          <w:vertAlign w:val="baseline"/>
        </w:rPr>
        <w:t>constraints</w:t>
      </w:r>
      <w:r>
        <w:rPr>
          <w:spacing w:val="-8"/>
          <w:vertAlign w:val="baseline"/>
        </w:rPr>
        <w:t> </w:t>
      </w:r>
      <w:r>
        <w:rPr>
          <w:vertAlign w:val="baseline"/>
        </w:rPr>
        <w:t>under</w:t>
      </w:r>
      <w:r>
        <w:rPr>
          <w:spacing w:val="-8"/>
          <w:vertAlign w:val="baseline"/>
        </w:rPr>
        <w:t> </w:t>
      </w:r>
      <w:r>
        <w:rPr>
          <w:vertAlign w:val="baseline"/>
        </w:rPr>
        <w:t>pseudonymity. EndorseRank</w:t>
      </w:r>
      <w:r>
        <w:rPr>
          <w:spacing w:val="-8"/>
          <w:vertAlign w:val="baseline"/>
        </w:rPr>
        <w:t> </w:t>
      </w:r>
      <w:r>
        <w:rPr>
          <w:vertAlign w:val="baseline"/>
        </w:rPr>
        <w:t>stays</w:t>
      </w:r>
      <w:r>
        <w:rPr>
          <w:spacing w:val="-8"/>
          <w:vertAlign w:val="baseline"/>
        </w:rPr>
        <w:t> </w:t>
      </w:r>
      <w:r>
        <w:rPr>
          <w:vertAlign w:val="baseline"/>
        </w:rPr>
        <w:t>within</w:t>
      </w:r>
      <w:r>
        <w:rPr>
          <w:spacing w:val="-8"/>
          <w:vertAlign w:val="baseline"/>
        </w:rPr>
        <w:t> </w:t>
      </w:r>
      <w:r>
        <w:rPr>
          <w:vertAlign w:val="baseline"/>
        </w:rPr>
        <w:t>interpretable</w:t>
      </w:r>
      <w:r>
        <w:rPr>
          <w:spacing w:val="-8"/>
          <w:vertAlign w:val="baseline"/>
        </w:rPr>
        <w:t> </w:t>
      </w:r>
      <w:r>
        <w:rPr>
          <w:vertAlign w:val="baseline"/>
        </w:rPr>
        <w:t>graph</w:t>
      </w:r>
      <w:r>
        <w:rPr>
          <w:spacing w:val="-8"/>
          <w:vertAlign w:val="baseline"/>
        </w:rPr>
        <w:t> </w:t>
      </w:r>
      <w:r>
        <w:rPr>
          <w:vertAlign w:val="baseline"/>
        </w:rPr>
        <w:t>propaga-tion rather than black-box predictive scoring.</w:t>
      </w:r>
    </w:p>
    <w:p>
      <w:pPr>
        <w:pStyle w:val="BodyText"/>
        <w:spacing w:line="396" w:lineRule="auto"/>
        <w:ind w:left="282" w:right="522"/>
        <w:jc w:val="both"/>
      </w:pPr>
      <w:r>
        <w:rPr>
          <w:i/>
        </w:rPr>
        <w:t>경제적 중요성에 대한 도메인 직관 프록시로서 인바운드 전송 수 및 합계. 린 외.[44] 위험 신호가 네트워크를 통해 전파되지 않으면 거래 연결성만으로는 위험 관련 구조를 놓칠 수 있음을 보여 바닐라 PageRank 이상의 세련된 그래프 의미론에 동기를 부여합니다. 더 광범위한 DeFi 신용 점수 문헌에는 전망 이론 및 블록체인 기반 모델[29]과 대출 프로토콜에 대한 기계 학습 파이프라인[39]이 포함됩니다. Packin 및 Lev-Aretz[48]는 가명성 하의 감사 가능성 제약을 강조합니다. EndorseRank는 블랙박스 예측 점수가 아닌 해석 가능한 그래프 전파 범위 내에서 유지됩니다.</w:t>
      </w:r>
    </w:p>
    <w:p>
      <w:pPr>
        <w:pStyle w:val="BodyText"/>
        <w:spacing w:line="396" w:lineRule="auto" w:before="22"/>
        <w:ind w:left="282" w:right="558"/>
        <w:jc w:val="both"/>
      </w:pPr>
      <w:r>
        <w:rPr>
          <w:spacing w:val="-2"/>
        </w:rPr>
        <w:t>Graph-based</w:t>
      </w:r>
      <w:r>
        <w:rPr>
          <w:spacing w:val="-8"/>
        </w:rPr>
        <w:t> </w:t>
      </w:r>
      <w:r>
        <w:rPr>
          <w:spacing w:val="-2"/>
        </w:rPr>
        <w:t>approaches</w:t>
      </w:r>
      <w:r>
        <w:rPr>
          <w:spacing w:val="-8"/>
        </w:rPr>
        <w:t> </w:t>
      </w:r>
      <w:r>
        <w:rPr>
          <w:spacing w:val="-2"/>
        </w:rPr>
        <w:t>are</w:t>
      </w:r>
      <w:r>
        <w:rPr>
          <w:spacing w:val="-7"/>
        </w:rPr>
        <w:t> </w:t>
      </w:r>
      <w:r>
        <w:rPr>
          <w:spacing w:val="-2"/>
        </w:rPr>
        <w:t>attractive</w:t>
      </w:r>
      <w:r>
        <w:rPr>
          <w:spacing w:val="-8"/>
        </w:rPr>
        <w:t> </w:t>
      </w:r>
      <w:r>
        <w:rPr>
          <w:spacing w:val="-2"/>
        </w:rPr>
        <w:t>because</w:t>
      </w:r>
      <w:r>
        <w:rPr>
          <w:spacing w:val="-7"/>
        </w:rPr>
        <w:t> </w:t>
      </w:r>
      <w:r>
        <w:rPr>
          <w:spacing w:val="-2"/>
        </w:rPr>
        <w:t>they</w:t>
      </w:r>
      <w:r>
        <w:rPr>
          <w:spacing w:val="-8"/>
        </w:rPr>
        <w:t> </w:t>
      </w:r>
      <w:r>
        <w:rPr>
          <w:spacing w:val="-2"/>
        </w:rPr>
        <w:t>(i)</w:t>
      </w:r>
      <w:r>
        <w:rPr>
          <w:spacing w:val="-7"/>
        </w:rPr>
        <w:t> </w:t>
      </w:r>
      <w:r>
        <w:rPr>
          <w:spacing w:val="-2"/>
        </w:rPr>
        <w:t>use</w:t>
      </w:r>
      <w:r>
        <w:rPr>
          <w:spacing w:val="-8"/>
        </w:rPr>
        <w:t> </w:t>
      </w:r>
      <w:r>
        <w:rPr>
          <w:spacing w:val="-2"/>
        </w:rPr>
        <w:t>only</w:t>
      </w:r>
      <w:r>
        <w:rPr>
          <w:spacing w:val="-7"/>
        </w:rPr>
        <w:t> </w:t>
      </w:r>
      <w:r>
        <w:rPr>
          <w:spacing w:val="-2"/>
        </w:rPr>
        <w:t>public</w:t>
      </w:r>
      <w:r>
        <w:rPr>
          <w:spacing w:val="-8"/>
        </w:rPr>
        <w:t> </w:t>
      </w:r>
      <w:r>
        <w:rPr>
          <w:spacing w:val="-2"/>
        </w:rPr>
        <w:t>data,</w:t>
      </w:r>
      <w:r>
        <w:rPr>
          <w:spacing w:val="-4"/>
        </w:rPr>
        <w:t> </w:t>
      </w:r>
      <w:r>
        <w:rPr>
          <w:spacing w:val="-2"/>
        </w:rPr>
        <w:t>(ii)</w:t>
      </w:r>
      <w:r>
        <w:rPr>
          <w:spacing w:val="-7"/>
        </w:rPr>
        <w:t> </w:t>
      </w:r>
      <w:r>
        <w:rPr>
          <w:spacing w:val="-2"/>
        </w:rPr>
        <w:t>produce</w:t>
      </w:r>
      <w:r>
        <w:rPr>
          <w:spacing w:val="-8"/>
        </w:rPr>
        <w:t> </w:t>
      </w:r>
      <w:r>
        <w:rPr>
          <w:spacing w:val="-2"/>
        </w:rPr>
        <w:t>continuous </w:t>
      </w:r>
      <w:r>
        <w:rPr/>
        <w:t>scores suitable for ranking, and (iii) admit complexity analysis in terms of edge counts.</w:t>
      </w:r>
      <w:r>
        <w:rPr>
          <w:spacing w:val="32"/>
        </w:rPr>
        <w:t> </w:t>
      </w:r>
      <w:r>
        <w:rPr/>
        <w:t>They are limited by Sybil attacks </w:t>
      </w:r>
      <w:hyperlink w:history="true" w:anchor="_bookmark150">
        <w:r>
          <w:rPr>
            <w:vertAlign w:val="superscript"/>
          </w:rPr>
          <w:t>[17]</w:t>
        </w:r>
      </w:hyperlink>
      <w:r>
        <w:rPr>
          <w:vertAlign w:val="baseline"/>
        </w:rPr>
        <w:t>, wash trading, and the gap between graph centrality and economic </w:t>
      </w:r>
      <w:r>
        <w:rPr>
          <w:spacing w:val="-2"/>
          <w:vertAlign w:val="baseline"/>
        </w:rPr>
        <w:t>default</w:t>
      </w:r>
      <w:r>
        <w:rPr>
          <w:spacing w:val="-12"/>
          <w:vertAlign w:val="baseline"/>
        </w:rPr>
        <w:t> </w:t>
      </w:r>
      <w:r>
        <w:rPr>
          <w:spacing w:val="-2"/>
          <w:vertAlign w:val="baseline"/>
        </w:rPr>
        <w:t>risk.</w:t>
      </w:r>
      <w:r>
        <w:rPr>
          <w:spacing w:val="26"/>
          <w:vertAlign w:val="baseline"/>
        </w:rPr>
        <w:t> </w:t>
      </w:r>
      <w:r>
        <w:rPr>
          <w:spacing w:val="-2"/>
          <w:vertAlign w:val="baseline"/>
        </w:rPr>
        <w:t>This</w:t>
      </w:r>
      <w:r>
        <w:rPr>
          <w:spacing w:val="-12"/>
          <w:vertAlign w:val="baseline"/>
        </w:rPr>
        <w:t> </w:t>
      </w:r>
      <w:r>
        <w:rPr>
          <w:spacing w:val="-2"/>
          <w:vertAlign w:val="baseline"/>
        </w:rPr>
        <w:t>dissertation</w:t>
      </w:r>
      <w:r>
        <w:rPr>
          <w:spacing w:val="-12"/>
          <w:vertAlign w:val="baseline"/>
        </w:rPr>
        <w:t> </w:t>
      </w:r>
      <w:r>
        <w:rPr>
          <w:spacing w:val="-2"/>
          <w:vertAlign w:val="baseline"/>
        </w:rPr>
        <w:t>does</w:t>
      </w:r>
      <w:r>
        <w:rPr>
          <w:spacing w:val="-12"/>
          <w:vertAlign w:val="baseline"/>
        </w:rPr>
        <w:t> </w:t>
      </w:r>
      <w:r>
        <w:rPr>
          <w:spacing w:val="-2"/>
          <w:vertAlign w:val="baseline"/>
        </w:rPr>
        <w:t>not</w:t>
      </w:r>
      <w:r>
        <w:rPr>
          <w:spacing w:val="-12"/>
          <w:vertAlign w:val="baseline"/>
        </w:rPr>
        <w:t> </w:t>
      </w:r>
      <w:r>
        <w:rPr>
          <w:spacing w:val="-2"/>
          <w:vertAlign w:val="baseline"/>
        </w:rPr>
        <w:t>claim</w:t>
      </w:r>
      <w:r>
        <w:rPr>
          <w:spacing w:val="-12"/>
          <w:vertAlign w:val="baseline"/>
        </w:rPr>
        <w:t> </w:t>
      </w:r>
      <w:r>
        <w:rPr>
          <w:spacing w:val="-2"/>
          <w:vertAlign w:val="baseline"/>
        </w:rPr>
        <w:t>that</w:t>
      </w:r>
      <w:r>
        <w:rPr>
          <w:spacing w:val="-12"/>
          <w:vertAlign w:val="baseline"/>
        </w:rPr>
        <w:t> </w:t>
      </w:r>
      <w:r>
        <w:rPr>
          <w:spacing w:val="-2"/>
          <w:vertAlign w:val="baseline"/>
        </w:rPr>
        <w:t>PageRank</w:t>
      </w:r>
      <w:r>
        <w:rPr>
          <w:spacing w:val="-12"/>
          <w:vertAlign w:val="baseline"/>
        </w:rPr>
        <w:t> </w:t>
      </w:r>
      <w:r>
        <w:rPr>
          <w:spacing w:val="-2"/>
          <w:vertAlign w:val="baseline"/>
        </w:rPr>
        <w:t>scores</w:t>
      </w:r>
      <w:r>
        <w:rPr>
          <w:spacing w:val="-12"/>
          <w:vertAlign w:val="baseline"/>
        </w:rPr>
        <w:t> </w:t>
      </w:r>
      <w:r>
        <w:rPr>
          <w:spacing w:val="-2"/>
          <w:vertAlign w:val="baseline"/>
        </w:rPr>
        <w:t>are</w:t>
      </w:r>
      <w:r>
        <w:rPr>
          <w:spacing w:val="-12"/>
          <w:vertAlign w:val="baseline"/>
        </w:rPr>
        <w:t> </w:t>
      </w:r>
      <w:r>
        <w:rPr>
          <w:spacing w:val="-2"/>
          <w:vertAlign w:val="baseline"/>
        </w:rPr>
        <w:t>credit</w:t>
      </w:r>
      <w:r>
        <w:rPr>
          <w:spacing w:val="-12"/>
          <w:vertAlign w:val="baseline"/>
        </w:rPr>
        <w:t> </w:t>
      </w:r>
      <w:r>
        <w:rPr>
          <w:spacing w:val="-2"/>
          <w:vertAlign w:val="baseline"/>
        </w:rPr>
        <w:t>scores</w:t>
      </w:r>
      <w:r>
        <w:rPr>
          <w:spacing w:val="-12"/>
          <w:vertAlign w:val="baseline"/>
        </w:rPr>
        <w:t> </w:t>
      </w:r>
      <w:r>
        <w:rPr>
          <w:spacing w:val="-2"/>
          <w:vertAlign w:val="baseline"/>
        </w:rPr>
        <w:t>in</w:t>
      </w:r>
      <w:r>
        <w:rPr>
          <w:spacing w:val="-12"/>
          <w:vertAlign w:val="baseline"/>
        </w:rPr>
        <w:t> </w:t>
      </w:r>
      <w:r>
        <w:rPr>
          <w:spacing w:val="-2"/>
          <w:vertAlign w:val="baseline"/>
        </w:rPr>
        <w:t>the</w:t>
      </w:r>
      <w:r>
        <w:rPr>
          <w:spacing w:val="-12"/>
          <w:vertAlign w:val="baseline"/>
        </w:rPr>
        <w:t> </w:t>
      </w:r>
      <w:r>
        <w:rPr>
          <w:spacing w:val="-2"/>
          <w:vertAlign w:val="baseline"/>
        </w:rPr>
        <w:t>regulatory </w:t>
      </w:r>
      <w:r>
        <w:rPr>
          <w:vertAlign w:val="baseline"/>
        </w:rPr>
        <w:t>sense; it claims that allowance-based and transfer-based rankings can be compared rigorously on </w:t>
      </w:r>
      <w:bookmarkStart w:name="PageRank formalism" w:id="40"/>
      <w:bookmarkEnd w:id="40"/>
      <w:r>
        <w:rPr>
          <w:w w:val="99"/>
          <w:vertAlign w:val="baseline"/>
        </w:rPr>
      </w:r>
      <w:bookmarkStart w:name="_bookmark23" w:id="41"/>
      <w:bookmarkEnd w:id="41"/>
      <w:r>
        <w:rPr>
          <w:vertAlign w:val="baseline"/>
        </w:rPr>
        <w:t>shared</w:t>
      </w:r>
      <w:r>
        <w:rPr>
          <w:vertAlign w:val="baseline"/>
        </w:rPr>
        <w:t> proxies.</w:t>
      </w:r>
    </w:p>
    <w:p>
      <w:pPr>
        <w:pStyle w:val="BodyText"/>
        <w:spacing w:line="396" w:lineRule="auto" w:before="22"/>
        <w:ind w:left="282" w:right="558"/>
        <w:jc w:val="both"/>
      </w:pPr>
      <w:r>
        <w:rPr>
          <w:i/>
        </w:rPr>
        <w:t>그래프 기반 접근 방식은 (i) 공개 데이터만 사용하고, (ii) 순위에 적합한 연속 점수를 생성하고, (iii) 가장자리 개수 측면에서 복잡성 분석을 허용한다는 점에서 매력적입니다. 이는 Sybil 공격[17], 워시 트레이딩, 그래프 중심성과 경제적 불이행 위험 사이의 격차로 인해 제한됩니다. 이 논문은 PageRank 점수가 규제 측면에서 신용 점수라고 주장하는 것이 아니라, 공유 프록시에서 수당 기반 순위와 이적 기반 순위를 엄격하게 비교할 수 있다고 주장합니다.</w:t>
      </w:r>
    </w:p>
    <w:p>
      <w:pPr>
        <w:pStyle w:val="BodyText"/>
        <w:spacing w:after="0" w:line="396" w:lineRule="auto"/>
        <w:jc w:val="both"/>
        <w:sectPr>
          <w:pgSz w:w="11910" w:h="16840"/>
          <w:pgMar w:header="0" w:footer="2115" w:top="1900" w:bottom="2300" w:left="992" w:right="708"/>
        </w:sectPr>
      </w:pPr>
    </w:p>
    <w:p>
      <w:pPr>
        <w:pStyle w:val="Heading2"/>
        <w:numPr>
          <w:ilvl w:val="1"/>
          <w:numId w:val="8"/>
        </w:numPr>
        <w:tabs>
          <w:tab w:pos="783" w:val="left" w:leader="none"/>
        </w:tabs>
        <w:spacing w:line="240" w:lineRule="auto" w:before="112" w:after="0"/>
        <w:ind w:left="783" w:right="0" w:hanging="501"/>
        <w:jc w:val="left"/>
      </w:pPr>
      <w:r>
        <w:rPr/>
        <w:t>PageRank</w:t>
      </w:r>
      <w:r>
        <w:rPr>
          <w:spacing w:val="18"/>
        </w:rPr>
        <w:t> </w:t>
      </w:r>
      <w:r>
        <w:rPr>
          <w:spacing w:val="-2"/>
        </w:rPr>
        <w:t>formalism</w:t>
      </w:r>
    </w:p>
    <w:p>
      <w:pPr>
        <w:pStyle w:val="Heading2"/>
        <w:numPr>
          <w:ilvl w:val="1"/>
          <w:numId w:val="8"/>
        </w:numPr>
        <w:tabs>
          <w:tab w:pos="783" w:val="left" w:leader="none"/>
        </w:tabs>
        <w:spacing w:line="240" w:lineRule="auto" w:before="112" w:after="0"/>
        <w:ind w:left="783" w:right="0" w:hanging="501"/>
        <w:jc w:val="left"/>
      </w:pPr>
      <w:r>
        <w:rPr>
          <w:i/>
        </w:rPr>
        <w:t>PageRank 형식주의</w:t>
      </w:r>
    </w:p>
    <w:p>
      <w:pPr>
        <w:pStyle w:val="BodyText"/>
        <w:spacing w:before="307"/>
        <w:ind w:left="282"/>
        <w:rPr>
          <w:rFonts w:ascii="Calibri" w:hAnsi="Calibri"/>
          <w:i/>
        </w:rPr>
      </w:pPr>
      <w:r>
        <w:rPr/>
        <w:t>Let</w:t>
      </w:r>
      <w:r>
        <w:rPr>
          <w:spacing w:val="-10"/>
        </w:rPr>
        <w:t> </w:t>
      </w:r>
      <w:r>
        <w:rPr>
          <w:rFonts w:ascii="Calibri" w:hAnsi="Calibri"/>
          <w:i/>
        </w:rPr>
        <w:t>G</w:t>
      </w:r>
      <w:r>
        <w:rPr>
          <w:rFonts w:ascii="Calibri" w:hAnsi="Calibri"/>
          <w:i/>
          <w:spacing w:val="24"/>
        </w:rPr>
        <w:t> </w:t>
      </w:r>
      <w:r>
        <w:rPr>
          <w:rFonts w:ascii="Calibri" w:hAnsi="Calibri"/>
        </w:rPr>
        <w:t>=</w:t>
      </w:r>
      <w:r>
        <w:rPr>
          <w:rFonts w:ascii="Calibri" w:hAnsi="Calibri"/>
          <w:spacing w:val="22"/>
        </w:rPr>
        <w:t> </w:t>
      </w:r>
      <w:r>
        <w:rPr>
          <w:rFonts w:ascii="Calibri" w:hAnsi="Calibri"/>
        </w:rPr>
        <w:t>(</w:t>
      </w:r>
      <w:r>
        <w:rPr>
          <w:rFonts w:ascii="Calibri" w:hAnsi="Calibri"/>
          <w:i/>
        </w:rPr>
        <w:t>V,</w:t>
      </w:r>
      <w:r>
        <w:rPr>
          <w:rFonts w:ascii="Calibri" w:hAnsi="Calibri"/>
          <w:i/>
          <w:spacing w:val="-8"/>
        </w:rPr>
        <w:t> </w:t>
      </w:r>
      <w:r>
        <w:rPr>
          <w:rFonts w:ascii="Calibri" w:hAnsi="Calibri"/>
          <w:i/>
        </w:rPr>
        <w:t>E</w:t>
      </w:r>
      <w:r>
        <w:rPr>
          <w:rFonts w:ascii="Calibri" w:hAnsi="Calibri"/>
        </w:rPr>
        <w:t>)</w:t>
      </w:r>
      <w:r>
        <w:rPr>
          <w:rFonts w:ascii="Calibri" w:hAnsi="Calibri"/>
          <w:spacing w:val="-3"/>
        </w:rPr>
        <w:t> </w:t>
      </w:r>
      <w:r>
        <w:rPr/>
        <w:t>be</w:t>
      </w:r>
      <w:r>
        <w:rPr>
          <w:spacing w:val="-9"/>
        </w:rPr>
        <w:t> </w:t>
      </w:r>
      <w:r>
        <w:rPr/>
        <w:t>a</w:t>
      </w:r>
      <w:r>
        <w:rPr>
          <w:spacing w:val="-10"/>
        </w:rPr>
        <w:t> </w:t>
      </w:r>
      <w:r>
        <w:rPr/>
        <w:t>directed</w:t>
      </w:r>
      <w:r>
        <w:rPr>
          <w:spacing w:val="-8"/>
        </w:rPr>
        <w:t> </w:t>
      </w:r>
      <w:r>
        <w:rPr/>
        <w:t>graph</w:t>
      </w:r>
      <w:r>
        <w:rPr>
          <w:spacing w:val="-9"/>
        </w:rPr>
        <w:t> </w:t>
      </w:r>
      <w:r>
        <w:rPr/>
        <w:t>with</w:t>
      </w:r>
      <w:r>
        <w:rPr>
          <w:spacing w:val="-10"/>
        </w:rPr>
        <w:t> </w:t>
      </w:r>
      <w:r>
        <w:rPr>
          <w:rFonts w:ascii="Lucida Sans Unicode" w:hAnsi="Lucida Sans Unicode"/>
        </w:rPr>
        <w:t>|</w:t>
      </w:r>
      <w:r>
        <w:rPr>
          <w:rFonts w:ascii="Calibri" w:hAnsi="Calibri"/>
          <w:i/>
        </w:rPr>
        <w:t>V</w:t>
      </w:r>
      <w:r>
        <w:rPr>
          <w:rFonts w:ascii="Calibri" w:hAnsi="Calibri"/>
          <w:i/>
          <w:spacing w:val="6"/>
        </w:rPr>
        <w:t> </w:t>
      </w:r>
      <w:r>
        <w:rPr>
          <w:rFonts w:ascii="Lucida Sans Unicode" w:hAnsi="Lucida Sans Unicode"/>
        </w:rPr>
        <w:t>|</w:t>
      </w:r>
      <w:r>
        <w:rPr>
          <w:rFonts w:ascii="Lucida Sans Unicode" w:hAnsi="Lucida Sans Unicode"/>
          <w:spacing w:val="2"/>
        </w:rPr>
        <w:t> </w:t>
      </w:r>
      <w:r>
        <w:rPr>
          <w:rFonts w:ascii="Calibri" w:hAnsi="Calibri"/>
        </w:rPr>
        <w:t>=</w:t>
      </w:r>
      <w:r>
        <w:rPr>
          <w:rFonts w:ascii="Calibri" w:hAnsi="Calibri"/>
          <w:spacing w:val="24"/>
        </w:rPr>
        <w:t> </w:t>
      </w:r>
      <w:r>
        <w:rPr>
          <w:rFonts w:ascii="Calibri" w:hAnsi="Calibri"/>
          <w:i/>
        </w:rPr>
        <w:t>n</w:t>
      </w:r>
      <w:r>
        <w:rPr>
          <w:rFonts w:ascii="Calibri" w:hAnsi="Calibri"/>
          <w:i/>
          <w:spacing w:val="-4"/>
        </w:rPr>
        <w:t> </w:t>
      </w:r>
      <w:r>
        <w:rPr/>
        <w:t>nodes.</w:t>
      </w:r>
      <w:r>
        <w:rPr>
          <w:spacing w:val="27"/>
        </w:rPr>
        <w:t> </w:t>
      </w:r>
      <w:r>
        <w:rPr/>
        <w:t>Write</w:t>
      </w:r>
      <w:r>
        <w:rPr>
          <w:spacing w:val="-9"/>
        </w:rPr>
        <w:t> </w:t>
      </w:r>
      <w:r>
        <w:rPr>
          <w:rFonts w:ascii="Calibri" w:hAnsi="Calibri"/>
          <w:i/>
        </w:rPr>
        <w:t>w</w:t>
      </w:r>
      <w:r>
        <w:rPr>
          <w:rFonts w:ascii="Cambria" w:hAnsi="Cambria"/>
          <w:vertAlign w:val="subscript"/>
        </w:rPr>
        <w:t>ij</w:t>
      </w:r>
      <w:r>
        <w:rPr>
          <w:rFonts w:ascii="Cambria" w:hAnsi="Cambria"/>
          <w:spacing w:val="47"/>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vertAlign w:val="baseline"/>
        </w:rPr>
        <w:t>0</w:t>
      </w:r>
      <w:r>
        <w:rPr>
          <w:rFonts w:ascii="Calibri" w:hAnsi="Calibri"/>
          <w:spacing w:val="-4"/>
          <w:vertAlign w:val="baseline"/>
        </w:rPr>
        <w:t> </w:t>
      </w:r>
      <w:r>
        <w:rPr>
          <w:vertAlign w:val="baseline"/>
        </w:rPr>
        <w:t>for</w:t>
      </w:r>
      <w:r>
        <w:rPr>
          <w:spacing w:val="-9"/>
          <w:vertAlign w:val="baseline"/>
        </w:rPr>
        <w:t> </w:t>
      </w:r>
      <w:r>
        <w:rPr>
          <w:vertAlign w:val="baseline"/>
        </w:rPr>
        <w:t>the</w:t>
      </w:r>
      <w:r>
        <w:rPr>
          <w:spacing w:val="-9"/>
          <w:vertAlign w:val="baseline"/>
        </w:rPr>
        <w:t> </w:t>
      </w:r>
      <w:r>
        <w:rPr>
          <w:vertAlign w:val="baseline"/>
        </w:rPr>
        <w:t>weight</w:t>
      </w:r>
      <w:r>
        <w:rPr>
          <w:spacing w:val="-9"/>
          <w:vertAlign w:val="baseline"/>
        </w:rPr>
        <w:t> </w:t>
      </w:r>
      <w:r>
        <w:rPr>
          <w:vertAlign w:val="baseline"/>
        </w:rPr>
        <w:t>of</w:t>
      </w:r>
      <w:r>
        <w:rPr>
          <w:spacing w:val="-9"/>
          <w:vertAlign w:val="baseline"/>
        </w:rPr>
        <w:t> </w:t>
      </w:r>
      <w:r>
        <w:rPr>
          <w:vertAlign w:val="baseline"/>
        </w:rPr>
        <w:t>edge</w:t>
      </w:r>
      <w:r>
        <w:rPr>
          <w:spacing w:val="-9"/>
          <w:vertAlign w:val="baseline"/>
        </w:rPr>
        <w:t> </w:t>
      </w:r>
      <w:r>
        <w:rPr>
          <w:rFonts w:ascii="Calibri" w:hAnsi="Calibri"/>
          <w:i/>
          <w:vertAlign w:val="baseline"/>
        </w:rPr>
        <w:t>i</w:t>
      </w:r>
      <w:r>
        <w:rPr>
          <w:rFonts w:ascii="Calibri" w:hAnsi="Calibri"/>
          <w:i/>
          <w:spacing w:val="23"/>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Calibri" w:hAnsi="Calibri"/>
          <w:i/>
          <w:spacing w:val="-10"/>
          <w:vertAlign w:val="baseline"/>
        </w:rPr>
        <w:t>j</w:t>
      </w:r>
    </w:p>
    <w:p>
      <w:pPr>
        <w:pStyle w:val="BodyText"/>
        <w:spacing w:before="307"/>
        <w:ind w:left="282"/>
        <w:rPr>
          <w:rFonts w:ascii="Calibri" w:hAnsi="Calibri"/>
          <w:i/>
        </w:rPr>
      </w:pPr>
      <w:r>
        <w:rPr>
          <w:i/>
        </w:rPr>
        <w:t>G = (V, E)를 |V | = n 노드. 간선 i → j의 가중치에 대해 wij ≥ 0이라고 씁니다.</w:t>
      </w:r>
    </w:p>
    <w:p>
      <w:pPr>
        <w:pStyle w:val="BodyText"/>
        <w:spacing w:before="123"/>
        <w:ind w:left="274"/>
      </w:pPr>
      <w:r>
        <w:rPr/>
        <w:t>(influence</w:t>
      </w:r>
      <w:r>
        <w:rPr>
          <w:spacing w:val="-6"/>
        </w:rPr>
        <w:t> </w:t>
      </w:r>
      <w:r>
        <w:rPr/>
        <w:t>from</w:t>
      </w:r>
      <w:r>
        <w:rPr>
          <w:spacing w:val="-5"/>
        </w:rPr>
        <w:t> </w:t>
      </w:r>
      <w:r>
        <w:rPr>
          <w:rFonts w:ascii="Calibri"/>
          <w:i/>
        </w:rPr>
        <w:t>i</w:t>
      </w:r>
      <w:r>
        <w:rPr>
          <w:rFonts w:ascii="Calibri"/>
          <w:i/>
          <w:spacing w:val="1"/>
        </w:rPr>
        <w:t> </w:t>
      </w:r>
      <w:r>
        <w:rPr/>
        <w:t>toward</w:t>
      </w:r>
      <w:r>
        <w:rPr>
          <w:spacing w:val="-5"/>
        </w:rPr>
        <w:t> </w:t>
      </w:r>
      <w:r>
        <w:rPr>
          <w:rFonts w:ascii="Calibri"/>
          <w:i/>
        </w:rPr>
        <w:t>j</w:t>
      </w:r>
      <w:r>
        <w:rPr>
          <w:rFonts w:ascii="Calibri"/>
          <w:i/>
          <w:spacing w:val="15"/>
        </w:rPr>
        <w:t> </w:t>
      </w:r>
      <w:r>
        <w:rPr/>
        <w:t>in</w:t>
      </w:r>
      <w:r>
        <w:rPr>
          <w:spacing w:val="-5"/>
        </w:rPr>
        <w:t> </w:t>
      </w:r>
      <w:r>
        <w:rPr/>
        <w:t>the</w:t>
      </w:r>
      <w:r>
        <w:rPr>
          <w:spacing w:val="-5"/>
        </w:rPr>
        <w:t> </w:t>
      </w:r>
      <w:r>
        <w:rPr/>
        <w:t>endorsement</w:t>
      </w:r>
      <w:r>
        <w:rPr>
          <w:spacing w:val="-4"/>
        </w:rPr>
        <w:t> </w:t>
      </w:r>
      <w:r>
        <w:rPr/>
        <w:t>or</w:t>
      </w:r>
      <w:r>
        <w:rPr>
          <w:spacing w:val="-5"/>
        </w:rPr>
        <w:t> </w:t>
      </w:r>
      <w:r>
        <w:rPr/>
        <w:t>transfer</w:t>
      </w:r>
      <w:r>
        <w:rPr>
          <w:spacing w:val="-5"/>
        </w:rPr>
        <w:t> </w:t>
      </w:r>
      <w:r>
        <w:rPr/>
        <w:t>sense</w:t>
      </w:r>
      <w:r>
        <w:rPr>
          <w:spacing w:val="-5"/>
        </w:rPr>
        <w:t> </w:t>
      </w:r>
      <w:r>
        <w:rPr/>
        <w:t>used</w:t>
      </w:r>
      <w:r>
        <w:rPr>
          <w:spacing w:val="-5"/>
        </w:rPr>
        <w:t> </w:t>
      </w:r>
      <w:r>
        <w:rPr/>
        <w:t>here).</w:t>
      </w:r>
      <w:r>
        <w:rPr>
          <w:spacing w:val="18"/>
        </w:rPr>
        <w:t> </w:t>
      </w:r>
      <w:r>
        <w:rPr/>
        <w:t>Let</w:t>
      </w:r>
      <w:r>
        <w:rPr>
          <w:spacing w:val="-6"/>
        </w:rPr>
        <w:t> </w:t>
      </w:r>
      <w:r>
        <w:rPr>
          <w:rFonts w:ascii="Calibri"/>
          <w:i/>
        </w:rPr>
        <w:t>W</w:t>
      </w:r>
      <w:r>
        <w:rPr>
          <w:rFonts w:ascii="Calibri"/>
          <w:i/>
          <w:spacing w:val="34"/>
        </w:rPr>
        <w:t> </w:t>
      </w:r>
      <w:r>
        <w:rPr/>
        <w:t>be</w:t>
      </w:r>
      <w:r>
        <w:rPr>
          <w:spacing w:val="-5"/>
        </w:rPr>
        <w:t> </w:t>
      </w:r>
      <w:r>
        <w:rPr/>
        <w:t>the</w:t>
      </w:r>
      <w:r>
        <w:rPr>
          <w:spacing w:val="-5"/>
        </w:rPr>
        <w:t> </w:t>
      </w:r>
      <w:r>
        <w:rPr>
          <w:spacing w:val="-2"/>
        </w:rPr>
        <w:t>weighted</w:t>
      </w:r>
    </w:p>
    <w:p>
      <w:pPr>
        <w:pStyle w:val="BodyText"/>
        <w:spacing w:before="123"/>
        <w:ind w:left="274"/>
      </w:pPr>
      <w:r>
        <w:rPr>
          <w:i/>
        </w:rPr>
        <w:t>(여기서 사용된 보증 또는 양도 의미에서 i가 j를 향한 영향) W를 가중이라 하자</w:t>
      </w:r>
    </w:p>
    <w:p>
      <w:pPr>
        <w:pStyle w:val="BodyText"/>
        <w:spacing w:line="456" w:lineRule="exact"/>
        <w:ind w:left="282"/>
      </w:pPr>
      <w:r>
        <w:rPr/>
        <mc:AlternateContent>
          <mc:Choice Requires="wps">
            <w:drawing>
              <wp:anchor distT="0" distB="0" distL="0" distR="0" allowOverlap="1" layoutInCell="1" locked="0" behindDoc="1" simplePos="0" relativeHeight="484004352">
                <wp:simplePos x="0" y="0"/>
                <wp:positionH relativeFrom="page">
                  <wp:posOffset>3653535</wp:posOffset>
                </wp:positionH>
                <wp:positionV relativeFrom="paragraph">
                  <wp:posOffset>210488</wp:posOffset>
                </wp:positionV>
                <wp:extent cx="36830" cy="10160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87.679993pt;margin-top:16.573902pt;width:2.9pt;height:8pt;mso-position-horizontal-relative:page;mso-position-vertical-relative:paragraph;z-index:-19312128" type="#_x0000_t202" id="docshape30"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mc:AlternateContent>
          <mc:Choice Requires="wps">
            <w:drawing>
              <wp:anchor distT="0" distB="0" distL="0" distR="0" allowOverlap="1" layoutInCell="1" locked="0" behindDoc="1" simplePos="0" relativeHeight="484007424">
                <wp:simplePos x="0" y="0"/>
                <wp:positionH relativeFrom="page">
                  <wp:posOffset>4163009</wp:posOffset>
                </wp:positionH>
                <wp:positionV relativeFrom="paragraph">
                  <wp:posOffset>217232</wp:posOffset>
                </wp:positionV>
                <wp:extent cx="43815" cy="1016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3815" cy="101600"/>
                        </a:xfrm>
                        <a:prstGeom prst="rect">
                          <a:avLst/>
                        </a:prstGeom>
                      </wps:spPr>
                      <wps:txbx>
                        <w:txbxContent>
                          <w:p>
                            <w:pPr>
                              <w:spacing w:line="155" w:lineRule="exact" w:before="0"/>
                              <w:ind w:left="0" w:right="0" w:firstLine="0"/>
                              <w:jc w:val="left"/>
                              <w:rPr>
                                <w:rFonts w:ascii="Cambria"/>
                                <w:sz w:val="16"/>
                              </w:rPr>
                            </w:pPr>
                            <w:r>
                              <w:rPr>
                                <w:rFonts w:ascii="Cambria"/>
                                <w:spacing w:val="-10"/>
                                <w:w w:val="160"/>
                                <w:sz w:val="16"/>
                              </w:rPr>
                              <w:t>j</w:t>
                            </w:r>
                          </w:p>
                        </w:txbxContent>
                      </wps:txbx>
                      <wps:bodyPr wrap="square" lIns="0" tIns="0" rIns="0" bIns="0" rtlCol="0">
                        <a:noAutofit/>
                      </wps:bodyPr>
                    </wps:wsp>
                  </a:graphicData>
                </a:graphic>
              </wp:anchor>
            </w:drawing>
          </mc:Choice>
          <mc:Fallback>
            <w:pict>
              <v:shape style="position:absolute;margin-left:327.79599pt;margin-top:17.104902pt;width:3.45pt;height:8pt;mso-position-horizontal-relative:page;mso-position-vertical-relative:paragraph;z-index:-19309056" type="#_x0000_t202" id="docshape31" filled="false" stroked="false">
                <v:textbox inset="0,0,0,0">
                  <w:txbxContent>
                    <w:p>
                      <w:pPr>
                        <w:spacing w:line="155" w:lineRule="exact" w:before="0"/>
                        <w:ind w:left="0" w:right="0" w:firstLine="0"/>
                        <w:jc w:val="left"/>
                        <w:rPr>
                          <w:rFonts w:ascii="Cambria"/>
                          <w:sz w:val="16"/>
                        </w:rPr>
                      </w:pPr>
                      <w:r>
                        <w:rPr>
                          <w:rFonts w:ascii="Cambria"/>
                          <w:spacing w:val="-10"/>
                          <w:w w:val="160"/>
                          <w:sz w:val="16"/>
                        </w:rPr>
                        <w:t>j</w:t>
                      </w:r>
                    </w:p>
                  </w:txbxContent>
                </v:textbox>
                <w10:wrap type="none"/>
              </v:shape>
            </w:pict>
          </mc:Fallback>
        </mc:AlternateContent>
      </w:r>
      <w:r>
        <w:rPr/>
        <w:t>adjacency</w:t>
      </w:r>
      <w:r>
        <w:rPr>
          <w:spacing w:val="14"/>
        </w:rPr>
        <w:t> </w:t>
      </w:r>
      <w:r>
        <w:rPr/>
        <w:t>matrix</w:t>
      </w:r>
      <w:r>
        <w:rPr>
          <w:spacing w:val="14"/>
        </w:rPr>
        <w:t> </w:t>
      </w:r>
      <w:r>
        <w:rPr/>
        <w:t>and</w:t>
      </w:r>
      <w:r>
        <w:rPr>
          <w:spacing w:val="14"/>
        </w:rPr>
        <w:t> </w:t>
      </w:r>
      <w:r>
        <w:rPr/>
        <w:t>define</w:t>
      </w:r>
      <w:r>
        <w:rPr>
          <w:spacing w:val="15"/>
        </w:rPr>
        <w:t> </w:t>
      </w:r>
      <w:r>
        <w:rPr/>
        <w:t>the</w:t>
      </w:r>
      <w:r>
        <w:rPr>
          <w:spacing w:val="14"/>
        </w:rPr>
        <w:t> </w:t>
      </w:r>
      <w:r>
        <w:rPr/>
        <w:t>out-strength</w:t>
      </w:r>
      <w:r>
        <w:rPr>
          <w:spacing w:val="14"/>
        </w:rPr>
        <w:t> </w:t>
      </w:r>
      <w:r>
        <w:rPr>
          <w:rFonts w:ascii="Calibri" w:hAnsi="Calibri"/>
          <w:i/>
        </w:rPr>
        <w:t>d</w:t>
      </w:r>
      <w:r>
        <w:rPr>
          <w:vertAlign w:val="superscript"/>
        </w:rPr>
        <w:t>out</w:t>
      </w:r>
      <w:r>
        <w:rPr>
          <w:spacing w:val="41"/>
          <w:vertAlign w:val="baseline"/>
        </w:rPr>
        <w:t> </w:t>
      </w:r>
      <w:r>
        <w:rPr>
          <w:rFonts w:ascii="Calibri" w:hAnsi="Calibri"/>
          <w:vertAlign w:val="baseline"/>
        </w:rPr>
        <w:t>=</w:t>
      </w:r>
      <w:r>
        <w:rPr>
          <w:rFonts w:ascii="Calibri" w:hAnsi="Calibri"/>
          <w:spacing w:val="35"/>
          <w:vertAlign w:val="baseline"/>
        </w:rPr>
        <w:t> </w:t>
      </w:r>
      <w:r>
        <w:rPr>
          <w:position w:val="18"/>
          <w:vertAlign w:val="baseline"/>
        </w:rPr>
        <w:t>Σ</w:t>
      </w:r>
      <w:r>
        <w:rPr>
          <w:spacing w:val="57"/>
          <w:w w:val="150"/>
          <w:position w:val="18"/>
          <w:vertAlign w:val="baseline"/>
        </w:rPr>
        <w:t> </w:t>
      </w:r>
      <w:r>
        <w:rPr>
          <w:rFonts w:ascii="Calibri" w:hAnsi="Calibri"/>
          <w:i/>
          <w:vertAlign w:val="baseline"/>
        </w:rPr>
        <w:t>w</w:t>
      </w:r>
      <w:r>
        <w:rPr>
          <w:rFonts w:ascii="Cambria" w:hAnsi="Cambria"/>
          <w:vertAlign w:val="subscript"/>
        </w:rPr>
        <w:t>ij</w:t>
      </w:r>
      <w:r>
        <w:rPr>
          <w:vertAlign w:val="baseline"/>
        </w:rPr>
        <w:t>.</w:t>
      </w:r>
      <w:r>
        <w:rPr>
          <w:spacing w:val="48"/>
          <w:vertAlign w:val="baseline"/>
        </w:rPr>
        <w:t> </w:t>
      </w:r>
      <w:r>
        <w:rPr>
          <w:vertAlign w:val="baseline"/>
        </w:rPr>
        <w:t>The</w:t>
      </w:r>
      <w:r>
        <w:rPr>
          <w:spacing w:val="14"/>
          <w:vertAlign w:val="baseline"/>
        </w:rPr>
        <w:t> </w:t>
      </w:r>
      <w:r>
        <w:rPr>
          <w:vertAlign w:val="baseline"/>
        </w:rPr>
        <w:t>row-stochastic</w:t>
      </w:r>
      <w:r>
        <w:rPr>
          <w:spacing w:val="15"/>
          <w:vertAlign w:val="baseline"/>
        </w:rPr>
        <w:t> </w:t>
      </w:r>
      <w:r>
        <w:rPr>
          <w:vertAlign w:val="baseline"/>
        </w:rPr>
        <w:t>transition</w:t>
      </w:r>
      <w:r>
        <w:rPr>
          <w:spacing w:val="14"/>
          <w:vertAlign w:val="baseline"/>
        </w:rPr>
        <w:t> </w:t>
      </w:r>
      <w:r>
        <w:rPr>
          <w:spacing w:val="-2"/>
          <w:vertAlign w:val="baseline"/>
        </w:rPr>
        <w:t>matrix</w:t>
      </w:r>
    </w:p>
    <w:p>
      <w:pPr>
        <w:pStyle w:val="BodyText"/>
        <w:spacing w:line="456" w:lineRule="exact"/>
        <w:ind w:left="282"/>
      </w:pPr>
      <w:r>
        <w:rPr>
          <w:i/>
        </w:rPr>
        <w:t>인접 행렬을 사용하고 아웃강도 dout = Σ wij를 정의합니다. 행 확률론적 전이 행렬</w:t>
      </w:r>
    </w:p>
    <w:p>
      <w:pPr>
        <w:pStyle w:val="BodyText"/>
        <w:spacing w:after="0" w:line="456" w:lineRule="exact"/>
        <w:sectPr>
          <w:pgSz w:w="11910" w:h="16840"/>
          <w:pgMar w:header="0" w:footer="2115" w:top="1920" w:bottom="2300" w:left="992" w:right="708"/>
        </w:sectPr>
      </w:pPr>
    </w:p>
    <w:p>
      <w:pPr>
        <w:spacing w:before="163"/>
        <w:ind w:left="282" w:right="0" w:firstLine="0"/>
        <w:jc w:val="left"/>
        <w:rPr>
          <w:sz w:val="24"/>
        </w:rPr>
      </w:pPr>
      <w:r>
        <w:rPr>
          <w:rFonts w:ascii="Calibri"/>
          <w:i/>
          <w:w w:val="110"/>
          <w:sz w:val="24"/>
        </w:rPr>
        <w:t>P</w:t>
      </w:r>
      <w:r>
        <w:rPr>
          <w:rFonts w:ascii="Calibri"/>
          <w:i/>
          <w:spacing w:val="45"/>
          <w:w w:val="110"/>
          <w:sz w:val="24"/>
        </w:rPr>
        <w:t> </w:t>
      </w:r>
      <w:r>
        <w:rPr>
          <w:spacing w:val="-5"/>
          <w:w w:val="110"/>
          <w:sz w:val="24"/>
        </w:rPr>
        <w:t>is</w:t>
      </w:r>
    </w:p>
    <w:p>
      <w:pPr>
        <w:spacing w:before="163"/>
        <w:ind w:left="282" w:right="0" w:firstLine="0"/>
        <w:jc w:val="left"/>
        <w:rPr>
          <w:sz w:val="24"/>
        </w:rPr>
      </w:pPr>
      <w:r>
        <w:rPr>
          <w:i/>
        </w:rPr>
        <w:t>P는</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58"/>
        <w:rPr>
          <w:sz w:val="16"/>
        </w:rPr>
      </w:pPr>
    </w:p>
    <w:p>
      <w:pPr>
        <w:pStyle w:val="BodyText"/>
        <w:ind w:left="282"/>
        <w:rPr>
          <w:rFonts w:ascii="Calibri"/>
        </w:rPr>
      </w:pPr>
      <w:bookmarkStart w:name="_bookmark24" w:id="42"/>
      <w:bookmarkEnd w:id="42"/>
      <w:r>
        <w:rPr/>
      </w:r>
      <w:r>
        <w:rPr>
          <w:rFonts w:ascii="Calibri"/>
          <w:i/>
          <w:w w:val="140"/>
        </w:rPr>
        <w:t>P</w:t>
      </w:r>
      <w:r>
        <w:rPr>
          <w:rFonts w:ascii="Cambria"/>
          <w:w w:val="140"/>
          <w:vertAlign w:val="subscript"/>
        </w:rPr>
        <w:t>ij</w:t>
      </w:r>
      <w:r>
        <w:rPr>
          <w:rFonts w:ascii="Cambria"/>
          <w:spacing w:val="-10"/>
          <w:w w:val="140"/>
          <w:vertAlign w:val="baseline"/>
        </w:rPr>
        <w:t> </w:t>
      </w:r>
      <w:r>
        <w:rPr>
          <w:rFonts w:ascii="Calibri"/>
          <w:spacing w:val="-10"/>
          <w:w w:val="145"/>
          <w:vertAlign w:val="baseline"/>
        </w:rPr>
        <w:t>=</w:t>
      </w:r>
    </w:p>
    <w:p>
      <w:pPr>
        <w:pStyle w:val="BodyText"/>
        <w:ind w:left="282"/>
        <w:rPr>
          <w:rFonts w:ascii="Calibri"/>
        </w:rPr>
      </w:pPr>
      <w:r>
        <w:rPr>
          <w:i/>
        </w:rPr>
        <w:t>피지 =</w:t>
      </w:r>
    </w:p>
    <w:p>
      <w:pPr>
        <w:spacing w:before="238"/>
        <w:ind w:left="26" w:right="0" w:firstLine="0"/>
        <w:jc w:val="left"/>
        <w:rPr>
          <w:sz w:val="16"/>
        </w:rPr>
      </w:pPr>
      <w:r>
        <w:rPr/>
        <w:br w:type="column"/>
      </w:r>
      <w:r>
        <w:rPr>
          <w:spacing w:val="-21"/>
          <w:position w:val="25"/>
          <w:sz w:val="24"/>
        </w:rPr>
        <w:t>,</w:t>
      </w:r>
      <w:r>
        <w:rPr>
          <w:spacing w:val="-21"/>
          <w:position w:val="4"/>
          <w:sz w:val="24"/>
        </w:rPr>
        <w:t>,</w:t>
      </w:r>
      <w:r>
        <w:rPr>
          <w:spacing w:val="-21"/>
          <w:position w:val="-3"/>
          <w:sz w:val="24"/>
        </w:rPr>
        <w:t></w:t>
      </w:r>
      <w:r>
        <w:rPr>
          <w:rFonts w:ascii="Calibri" w:hAnsi="Calibri"/>
          <w:i/>
          <w:spacing w:val="-21"/>
          <w:position w:val="-8"/>
          <w:sz w:val="24"/>
        </w:rPr>
        <w:t>w</w:t>
      </w:r>
      <w:r>
        <w:rPr>
          <w:rFonts w:ascii="Cambria" w:hAnsi="Cambria"/>
          <w:spacing w:val="-21"/>
          <w:position w:val="-11"/>
          <w:sz w:val="16"/>
        </w:rPr>
        <w:t>ij</w:t>
      </w:r>
      <w:r>
        <w:rPr>
          <w:rFonts w:ascii="Cambria" w:hAnsi="Cambria"/>
          <w:spacing w:val="-10"/>
          <w:w w:val="110"/>
          <w:position w:val="-11"/>
          <w:sz w:val="16"/>
        </w:rPr>
        <w:t> </w:t>
      </w:r>
      <w:r>
        <w:rPr>
          <w:rFonts w:ascii="Calibri" w:hAnsi="Calibri"/>
          <w:spacing w:val="-7"/>
          <w:w w:val="110"/>
          <w:position w:val="-8"/>
          <w:sz w:val="24"/>
        </w:rPr>
        <w:t>/</w:t>
      </w:r>
      <w:r>
        <w:rPr>
          <w:rFonts w:ascii="Calibri" w:hAnsi="Calibri"/>
          <w:i/>
          <w:spacing w:val="-7"/>
          <w:w w:val="110"/>
          <w:position w:val="-8"/>
          <w:sz w:val="24"/>
        </w:rPr>
        <w:t>d</w:t>
      </w:r>
      <w:r>
        <w:rPr>
          <w:spacing w:val="-7"/>
          <w:w w:val="110"/>
          <w:sz w:val="16"/>
        </w:rPr>
        <w:t>out</w:t>
      </w:r>
    </w:p>
    <w:p>
      <w:pPr>
        <w:pStyle w:val="BodyText"/>
      </w:pPr>
      <w:r>
        <w:rPr/>
        <w:br w:type="column"/>
      </w:r>
      <w:r>
        <w:rPr/>
      </w:r>
    </w:p>
    <w:p>
      <w:pPr>
        <w:pStyle w:val="BodyText"/>
        <w:spacing w:before="18"/>
      </w:pPr>
    </w:p>
    <w:p>
      <w:pPr>
        <w:spacing w:before="0"/>
        <w:ind w:left="208"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005376">
                <wp:simplePos x="0" y="0"/>
                <wp:positionH relativeFrom="page">
                  <wp:posOffset>4231081</wp:posOffset>
                </wp:positionH>
                <wp:positionV relativeFrom="paragraph">
                  <wp:posOffset>106858</wp:posOffset>
                </wp:positionV>
                <wp:extent cx="36830" cy="1016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33.156006pt;margin-top:8.414093pt;width:2.9pt;height:8pt;mso-position-horizontal-relative:page;mso-position-vertical-relative:paragraph;z-index:-19311104" type="#_x0000_t202" id="docshape32"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rFonts w:ascii="Calibri"/>
          <w:i/>
          <w:sz w:val="24"/>
        </w:rPr>
        <mc:AlternateContent>
          <mc:Choice Requires="wps">
            <w:drawing>
              <wp:anchor distT="0" distB="0" distL="0" distR="0" allowOverlap="1" layoutInCell="1" locked="0" behindDoc="1" simplePos="0" relativeHeight="484005888">
                <wp:simplePos x="0" y="0"/>
                <wp:positionH relativeFrom="page">
                  <wp:posOffset>3250539</wp:posOffset>
                </wp:positionH>
                <wp:positionV relativeFrom="paragraph">
                  <wp:posOffset>272367</wp:posOffset>
                </wp:positionV>
                <wp:extent cx="1390650" cy="6089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90650" cy="608965"/>
                        </a:xfrm>
                        <a:prstGeom prst="rect">
                          <a:avLst/>
                        </a:prstGeom>
                      </wps:spPr>
                      <wps:txbx>
                        <w:txbxContent>
                          <w:p>
                            <w:pPr>
                              <w:tabs>
                                <w:tab w:pos="1216" w:val="left" w:leader="none"/>
                                <w:tab w:pos="1824" w:val="left" w:leader="none"/>
                              </w:tabs>
                              <w:spacing w:line="412" w:lineRule="exact" w:before="0"/>
                              <w:ind w:left="0" w:right="0" w:firstLine="0"/>
                              <w:jc w:val="left"/>
                              <w:rPr>
                                <w:rFonts w:ascii="Calibri"/>
                                <w:sz w:val="24"/>
                              </w:rPr>
                            </w:pPr>
                            <w:r>
                              <w:rPr>
                                <w:spacing w:val="-173"/>
                                <w:w w:val="335"/>
                                <w:position w:val="17"/>
                                <w:sz w:val="24"/>
                              </w:rPr>
                              <w:t>,</w:t>
                            </w:r>
                            <w:r>
                              <w:rPr>
                                <w:spacing w:val="40"/>
                                <w:w w:val="335"/>
                                <w:position w:val="10"/>
                                <w:sz w:val="24"/>
                              </w:rPr>
                              <w:t>,</w:t>
                            </w:r>
                            <w:r>
                              <w:rPr>
                                <w:rFonts w:ascii="Calibri"/>
                                <w:spacing w:val="40"/>
                                <w:w w:val="91"/>
                                <w:sz w:val="24"/>
                              </w:rPr>
                              <w:t>1/</w:t>
                            </w:r>
                            <w:r>
                              <w:rPr>
                                <w:rFonts w:ascii="Calibri"/>
                                <w:i/>
                                <w:spacing w:val="40"/>
                                <w:w w:val="95"/>
                                <w:sz w:val="24"/>
                              </w:rPr>
                              <w:t>n</w:t>
                            </w:r>
                            <w:r>
                              <w:rPr>
                                <w:rFonts w:ascii="Calibri"/>
                                <w:i/>
                                <w:sz w:val="24"/>
                              </w:rPr>
                              <w:tab/>
                            </w:r>
                            <w:r>
                              <w:rPr>
                                <w:w w:val="105"/>
                                <w:sz w:val="24"/>
                              </w:rPr>
                              <w:t>if</w:t>
                            </w:r>
                            <w:r>
                              <w:rPr>
                                <w:spacing w:val="-13"/>
                                <w:w w:val="105"/>
                                <w:sz w:val="24"/>
                              </w:rPr>
                              <w:t> </w:t>
                            </w:r>
                            <w:r>
                              <w:rPr>
                                <w:rFonts w:ascii="Calibri"/>
                                <w:i/>
                                <w:spacing w:val="-10"/>
                                <w:w w:val="120"/>
                                <w:sz w:val="24"/>
                              </w:rPr>
                              <w:t>d</w:t>
                            </w:r>
                            <w:r>
                              <w:rPr>
                                <w:rFonts w:ascii="Calibri"/>
                                <w:i/>
                                <w:sz w:val="24"/>
                              </w:rPr>
                              <w:tab/>
                            </w:r>
                            <w:r>
                              <w:rPr>
                                <w:rFonts w:ascii="Calibri"/>
                                <w:w w:val="135"/>
                                <w:sz w:val="24"/>
                              </w:rPr>
                              <w:t>=</w:t>
                            </w:r>
                            <w:r>
                              <w:rPr>
                                <w:rFonts w:ascii="Calibri"/>
                                <w:spacing w:val="12"/>
                                <w:w w:val="135"/>
                                <w:sz w:val="24"/>
                              </w:rPr>
                              <w:t> </w:t>
                            </w:r>
                            <w:r>
                              <w:rPr>
                                <w:rFonts w:ascii="Calibri"/>
                                <w:spacing w:val="-26"/>
                                <w:w w:val="110"/>
                                <w:sz w:val="24"/>
                              </w:rPr>
                              <w:t>0</w:t>
                            </w:r>
                          </w:p>
                        </w:txbxContent>
                      </wps:txbx>
                      <wps:bodyPr wrap="square" lIns="0" tIns="0" rIns="0" bIns="0" rtlCol="0">
                        <a:noAutofit/>
                      </wps:bodyPr>
                    </wps:wsp>
                  </a:graphicData>
                </a:graphic>
              </wp:anchor>
            </w:drawing>
          </mc:Choice>
          <mc:Fallback>
            <w:pict>
              <v:shape style="position:absolute;margin-left:255.947998pt;margin-top:21.446268pt;width:109.5pt;height:47.95pt;mso-position-horizontal-relative:page;mso-position-vertical-relative:paragraph;z-index:-19310592" type="#_x0000_t202" id="docshape33" filled="false" stroked="false">
                <v:textbox inset="0,0,0,0">
                  <w:txbxContent>
                    <w:p>
                      <w:pPr>
                        <w:tabs>
                          <w:tab w:pos="1216" w:val="left" w:leader="none"/>
                          <w:tab w:pos="1824" w:val="left" w:leader="none"/>
                        </w:tabs>
                        <w:spacing w:line="412" w:lineRule="exact" w:before="0"/>
                        <w:ind w:left="0" w:right="0" w:firstLine="0"/>
                        <w:jc w:val="left"/>
                        <w:rPr>
                          <w:rFonts w:ascii="Calibri"/>
                          <w:sz w:val="24"/>
                        </w:rPr>
                      </w:pPr>
                      <w:r>
                        <w:rPr>
                          <w:spacing w:val="-173"/>
                          <w:w w:val="335"/>
                          <w:position w:val="17"/>
                          <w:sz w:val="24"/>
                        </w:rPr>
                        <w:t>,</w:t>
                      </w:r>
                      <w:r>
                        <w:rPr>
                          <w:spacing w:val="40"/>
                          <w:w w:val="335"/>
                          <w:position w:val="10"/>
                          <w:sz w:val="24"/>
                        </w:rPr>
                        <w:t>,</w:t>
                      </w:r>
                      <w:r>
                        <w:rPr>
                          <w:rFonts w:ascii="Calibri"/>
                          <w:spacing w:val="40"/>
                          <w:w w:val="91"/>
                          <w:sz w:val="24"/>
                        </w:rPr>
                        <w:t>1/</w:t>
                      </w:r>
                      <w:r>
                        <w:rPr>
                          <w:rFonts w:ascii="Calibri"/>
                          <w:i/>
                          <w:spacing w:val="40"/>
                          <w:w w:val="95"/>
                          <w:sz w:val="24"/>
                        </w:rPr>
                        <w:t>n</w:t>
                      </w:r>
                      <w:r>
                        <w:rPr>
                          <w:rFonts w:ascii="Calibri"/>
                          <w:i/>
                          <w:sz w:val="24"/>
                        </w:rPr>
                        <w:tab/>
                      </w:r>
                      <w:r>
                        <w:rPr>
                          <w:w w:val="105"/>
                          <w:sz w:val="24"/>
                        </w:rPr>
                        <w:t>if</w:t>
                      </w:r>
                      <w:r>
                        <w:rPr>
                          <w:spacing w:val="-13"/>
                          <w:w w:val="105"/>
                          <w:sz w:val="24"/>
                        </w:rPr>
                        <w:t> </w:t>
                      </w:r>
                      <w:r>
                        <w:rPr>
                          <w:rFonts w:ascii="Calibri"/>
                          <w:i/>
                          <w:spacing w:val="-10"/>
                          <w:w w:val="120"/>
                          <w:sz w:val="24"/>
                        </w:rPr>
                        <w:t>d</w:t>
                      </w:r>
                      <w:r>
                        <w:rPr>
                          <w:rFonts w:ascii="Calibri"/>
                          <w:i/>
                          <w:sz w:val="24"/>
                        </w:rPr>
                        <w:tab/>
                      </w:r>
                      <w:r>
                        <w:rPr>
                          <w:rFonts w:ascii="Calibri"/>
                          <w:w w:val="135"/>
                          <w:sz w:val="24"/>
                        </w:rPr>
                        <w:t>=</w:t>
                      </w:r>
                      <w:r>
                        <w:rPr>
                          <w:rFonts w:ascii="Calibri"/>
                          <w:spacing w:val="12"/>
                          <w:w w:val="135"/>
                          <w:sz w:val="24"/>
                        </w:rPr>
                        <w:t> </w:t>
                      </w:r>
                      <w:r>
                        <w:rPr>
                          <w:rFonts w:ascii="Calibri"/>
                          <w:spacing w:val="-26"/>
                          <w:w w:val="110"/>
                          <w:sz w:val="24"/>
                        </w:rPr>
                        <w:t>0</w:t>
                      </w:r>
                    </w:p>
                  </w:txbxContent>
                </v:textbox>
                <w10:wrap type="none"/>
              </v:shape>
            </w:pict>
          </mc:Fallback>
        </mc:AlternateContent>
      </w:r>
      <w:r>
        <w:rPr>
          <w:w w:val="110"/>
          <w:sz w:val="24"/>
        </w:rPr>
        <w:t>if</w:t>
      </w:r>
      <w:r>
        <w:rPr>
          <w:spacing w:val="-15"/>
          <w:w w:val="110"/>
          <w:sz w:val="24"/>
        </w:rPr>
        <w:t> </w:t>
      </w:r>
      <w:r>
        <w:rPr>
          <w:rFonts w:ascii="Calibri"/>
          <w:i/>
          <w:w w:val="110"/>
          <w:sz w:val="24"/>
        </w:rPr>
        <w:t>d</w:t>
      </w:r>
      <w:r>
        <w:rPr>
          <w:w w:val="110"/>
          <w:sz w:val="24"/>
          <w:vertAlign w:val="superscript"/>
        </w:rPr>
        <w:t>out</w:t>
      </w:r>
      <w:r>
        <w:rPr>
          <w:spacing w:val="-1"/>
          <w:w w:val="110"/>
          <w:sz w:val="24"/>
          <w:vertAlign w:val="baseline"/>
        </w:rPr>
        <w:t> </w:t>
      </w:r>
      <w:r>
        <w:rPr>
          <w:rFonts w:ascii="Calibri"/>
          <w:i/>
          <w:w w:val="130"/>
          <w:sz w:val="24"/>
          <w:vertAlign w:val="baseline"/>
        </w:rPr>
        <w:t>&gt;</w:t>
      </w:r>
      <w:r>
        <w:rPr>
          <w:rFonts w:ascii="Calibri"/>
          <w:i/>
          <w:spacing w:val="-13"/>
          <w:w w:val="130"/>
          <w:sz w:val="24"/>
          <w:vertAlign w:val="baseline"/>
        </w:rPr>
        <w:t> </w:t>
      </w:r>
      <w:r>
        <w:rPr>
          <w:rFonts w:ascii="Calibri"/>
          <w:spacing w:val="-5"/>
          <w:w w:val="110"/>
          <w:sz w:val="24"/>
          <w:vertAlign w:val="baseline"/>
        </w:rPr>
        <w:t>0</w:t>
      </w:r>
      <w:r>
        <w:rPr>
          <w:rFonts w:ascii="Calibri"/>
          <w:i/>
          <w:spacing w:val="-5"/>
          <w:w w:val="110"/>
          <w:sz w:val="24"/>
          <w:vertAlign w:val="baseline"/>
        </w:rPr>
        <w:t>,</w:t>
      </w:r>
    </w:p>
    <w:p>
      <w:pPr>
        <w:spacing w:before="0"/>
        <w:ind w:left="208" w:right="0" w:firstLine="0"/>
        <w:jc w:val="left"/>
        <w:rPr>
          <w:rFonts w:ascii="Calibri"/>
          <w:i/>
          <w:sz w:val="24"/>
        </w:rPr>
      </w:pPr>
      <w:r>
        <w:rPr>
          <w:i/>
        </w:rPr>
        <w:t>dout &gt; 0이면</w:t>
      </w:r>
    </w:p>
    <w:p>
      <w:pPr>
        <w:pStyle w:val="BodyText"/>
        <w:rPr>
          <w:rFonts w:ascii="Calibri"/>
          <w:i/>
        </w:rPr>
      </w:pPr>
      <w:r>
        <w:rPr/>
        <w:br w:type="column"/>
      </w:r>
      <w:r>
        <w:rPr>
          <w:rFonts w:ascii="Calibri"/>
          <w:i/>
        </w:rPr>
      </w:r>
    </w:p>
    <w:p>
      <w:pPr>
        <w:pStyle w:val="BodyText"/>
        <w:spacing w:before="212"/>
        <w:rPr>
          <w:rFonts w:ascii="Calibri"/>
          <w:i/>
        </w:rPr>
      </w:pPr>
    </w:p>
    <w:p>
      <w:pPr>
        <w:pStyle w:val="BodyText"/>
        <w:spacing w:before="1"/>
        <w:ind w:left="282"/>
      </w:pPr>
      <w:r>
        <w:rPr>
          <w:spacing w:val="-2"/>
        </w:rPr>
        <w:t>(2.1)</w:t>
      </w:r>
    </w:p>
    <w:p>
      <w:pPr>
        <w:pStyle w:val="BodyText"/>
        <w:spacing w:after="0"/>
        <w:sectPr>
          <w:type w:val="continuous"/>
          <w:pgSz w:w="11910" w:h="16840"/>
          <w:pgMar w:header="0" w:footer="2115" w:top="1920" w:bottom="280" w:left="992" w:right="708"/>
          <w:cols w:num="5" w:equalWidth="0">
            <w:col w:w="725" w:space="2508"/>
            <w:col w:w="827" w:space="40"/>
            <w:col w:w="995" w:space="40"/>
            <w:col w:w="1287" w:space="2492"/>
            <w:col w:w="1296"/>
          </w:cols>
        </w:sectPr>
      </w:pPr>
    </w:p>
    <w:p>
      <w:pPr>
        <w:spacing w:line="164" w:lineRule="exact" w:before="23"/>
        <w:ind w:left="5671" w:right="0" w:firstLine="0"/>
        <w:jc w:val="left"/>
        <w:rPr>
          <w:sz w:val="16"/>
        </w:rPr>
      </w:pPr>
      <w:r>
        <w:rPr>
          <w:sz w:val="16"/>
        </w:rPr>
        <mc:AlternateContent>
          <mc:Choice Requires="wps">
            <w:drawing>
              <wp:anchor distT="0" distB="0" distL="0" distR="0" allowOverlap="1" layoutInCell="1" locked="0" behindDoc="1" simplePos="0" relativeHeight="484004864">
                <wp:simplePos x="0" y="0"/>
                <wp:positionH relativeFrom="page">
                  <wp:posOffset>3735628</wp:posOffset>
                </wp:positionH>
                <wp:positionV relativeFrom="paragraph">
                  <wp:posOffset>-221406</wp:posOffset>
                </wp:positionV>
                <wp:extent cx="36830" cy="1016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94.144012pt;margin-top:-17.433563pt;width:2.9pt;height:8pt;mso-position-horizontal-relative:page;mso-position-vertical-relative:paragraph;z-index:-19311616" type="#_x0000_t202" id="docshape34"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pacing w:val="-5"/>
          <w:sz w:val="16"/>
        </w:rPr>
        <w:t>out</w:t>
      </w:r>
    </w:p>
    <w:p>
      <w:pPr>
        <w:spacing w:line="164" w:lineRule="exact" w:before="23"/>
        <w:ind w:left="5671" w:right="0" w:firstLine="0"/>
        <w:jc w:val="left"/>
        <w:rPr>
          <w:sz w:val="16"/>
        </w:rPr>
      </w:pPr>
      <w:r>
        <w:rPr>
          <w:i/>
        </w:rPr>
        <w:t>밖으로</w:t>
      </w:r>
    </w:p>
    <w:p>
      <w:pPr>
        <w:spacing w:line="167" w:lineRule="exact" w:before="0"/>
        <w:ind w:left="5671" w:right="0" w:firstLine="0"/>
        <w:jc w:val="left"/>
        <w:rPr>
          <w:rFonts w:ascii="Cambria"/>
          <w:sz w:val="16"/>
        </w:rPr>
      </w:pPr>
      <w:r>
        <w:rPr>
          <w:rFonts w:ascii="Cambria"/>
          <w:spacing w:val="-10"/>
          <w:w w:val="130"/>
          <w:sz w:val="16"/>
        </w:rPr>
        <w:t>i</w:t>
      </w:r>
    </w:p>
    <w:p>
      <w:pPr>
        <w:spacing w:line="167" w:lineRule="exact" w:before="0"/>
        <w:ind w:left="5671" w:right="0" w:firstLine="0"/>
        <w:jc w:val="left"/>
        <w:rPr>
          <w:rFonts w:ascii="Cambria"/>
          <w:sz w:val="16"/>
        </w:rPr>
      </w:pPr>
      <w:r>
        <w:rPr>
          <w:i/>
        </w:rPr>
        <w:t>나</w:t>
      </w:r>
    </w:p>
    <w:p>
      <w:pPr>
        <w:pStyle w:val="BodyText"/>
        <w:spacing w:before="23"/>
        <w:rPr>
          <w:rFonts w:ascii="Cambria"/>
          <w:sz w:val="16"/>
        </w:rPr>
      </w:pPr>
    </w:p>
    <w:p>
      <w:pPr>
        <w:pStyle w:val="BodyText"/>
        <w:ind w:left="274"/>
      </w:pPr>
      <w:r>
        <w:rPr/>
        <w:t>(dangling</w:t>
      </w:r>
      <w:r>
        <w:rPr>
          <w:spacing w:val="-11"/>
        </w:rPr>
        <w:t> </w:t>
      </w:r>
      <w:r>
        <w:rPr/>
        <w:t>nodes</w:t>
      </w:r>
      <w:r>
        <w:rPr>
          <w:spacing w:val="-7"/>
        </w:rPr>
        <w:t> </w:t>
      </w:r>
      <w:r>
        <w:rPr/>
        <w:t>distribute</w:t>
      </w:r>
      <w:r>
        <w:rPr>
          <w:spacing w:val="-7"/>
        </w:rPr>
        <w:t> </w:t>
      </w:r>
      <w:r>
        <w:rPr/>
        <w:t>mass</w:t>
      </w:r>
      <w:r>
        <w:rPr>
          <w:spacing w:val="-7"/>
        </w:rPr>
        <w:t> </w:t>
      </w:r>
      <w:r>
        <w:rPr/>
        <w:t>uniformly).</w:t>
      </w:r>
      <w:r>
        <w:rPr>
          <w:spacing w:val="11"/>
        </w:rPr>
        <w:t> </w:t>
      </w:r>
      <w:r>
        <w:rPr/>
        <w:t>The</w:t>
      </w:r>
      <w:r>
        <w:rPr>
          <w:spacing w:val="-6"/>
        </w:rPr>
        <w:t> </w:t>
      </w:r>
      <w:r>
        <w:rPr/>
        <w:t>Google</w:t>
      </w:r>
      <w:r>
        <w:rPr>
          <w:spacing w:val="-7"/>
        </w:rPr>
        <w:t> </w:t>
      </w:r>
      <w:r>
        <w:rPr/>
        <w:t>matrix</w:t>
      </w:r>
      <w:r>
        <w:rPr>
          <w:spacing w:val="-7"/>
        </w:rPr>
        <w:t> </w:t>
      </w:r>
      <w:r>
        <w:rPr/>
        <w:t>with</w:t>
      </w:r>
      <w:r>
        <w:rPr>
          <w:spacing w:val="-7"/>
        </w:rPr>
        <w:t> </w:t>
      </w:r>
      <w:r>
        <w:rPr/>
        <w:t>damping</w:t>
      </w:r>
      <w:r>
        <w:rPr>
          <w:spacing w:val="-7"/>
        </w:rPr>
        <w:t> </w:t>
      </w:r>
      <w:r>
        <w:rPr>
          <w:rFonts w:ascii="Calibri" w:hAnsi="Calibri"/>
          <w:i/>
        </w:rPr>
        <w:t>d</w:t>
      </w:r>
      <w:r>
        <w:rPr>
          <w:rFonts w:ascii="Calibri" w:hAnsi="Calibri"/>
          <w:i/>
          <w:spacing w:val="6"/>
        </w:rPr>
        <w:t> </w:t>
      </w:r>
      <w:r>
        <w:rPr>
          <w:rFonts w:ascii="Lucida Sans Unicode" w:hAnsi="Lucida Sans Unicode"/>
        </w:rPr>
        <w:t>∈</w:t>
      </w:r>
      <w:r>
        <w:rPr>
          <w:rFonts w:ascii="Lucida Sans Unicode" w:hAnsi="Lucida Sans Unicode"/>
          <w:spacing w:val="-17"/>
        </w:rPr>
        <w:t> </w:t>
      </w:r>
      <w:r>
        <w:rPr>
          <w:rFonts w:ascii="Calibri" w:hAnsi="Calibri"/>
        </w:rPr>
        <w:t>(0</w:t>
      </w:r>
      <w:r>
        <w:rPr>
          <w:rFonts w:ascii="Calibri" w:hAnsi="Calibri"/>
          <w:i/>
        </w:rPr>
        <w:t>,</w:t>
      </w:r>
      <w:r>
        <w:rPr>
          <w:rFonts w:ascii="Calibri" w:hAnsi="Calibri"/>
          <w:i/>
          <w:spacing w:val="-15"/>
        </w:rPr>
        <w:t> </w:t>
      </w:r>
      <w:r>
        <w:rPr>
          <w:rFonts w:ascii="Calibri" w:hAnsi="Calibri"/>
        </w:rPr>
        <w:t>1)</w:t>
      </w:r>
      <w:r>
        <w:rPr>
          <w:rFonts w:ascii="Calibri" w:hAnsi="Calibri"/>
          <w:spacing w:val="-1"/>
        </w:rPr>
        <w:t> </w:t>
      </w:r>
      <w:r>
        <w:rPr>
          <w:spacing w:val="-5"/>
        </w:rPr>
        <w:t>is</w:t>
      </w:r>
    </w:p>
    <w:p>
      <w:pPr>
        <w:pStyle w:val="BodyText"/>
        <w:ind w:left="274"/>
      </w:pPr>
      <w:r>
        <w:rPr>
          <w:i/>
        </w:rPr>
        <w:t>(매달린 노드는 질량을 균일하게 분배합니다). 감쇠 d ∈ (0, 1)을 갖는 Google 행렬은 다음과 같습니다.</w:t>
      </w:r>
    </w:p>
    <w:p>
      <w:pPr>
        <w:pStyle w:val="BodyText"/>
        <w:spacing w:before="29"/>
      </w:pPr>
    </w:p>
    <w:p>
      <w:pPr>
        <w:tabs>
          <w:tab w:pos="9196" w:val="left" w:leader="none"/>
        </w:tabs>
        <w:spacing w:line="423" w:lineRule="exact" w:before="0"/>
        <w:ind w:left="3688" w:right="0" w:firstLine="0"/>
        <w:jc w:val="left"/>
        <w:rPr>
          <w:sz w:val="24"/>
        </w:rPr>
      </w:pPr>
      <w:r>
        <w:rPr>
          <w:sz w:val="24"/>
        </w:rPr>
        <mc:AlternateContent>
          <mc:Choice Requires="wps">
            <w:drawing>
              <wp:anchor distT="0" distB="0" distL="0" distR="0" allowOverlap="1" layoutInCell="1" locked="0" behindDoc="1" simplePos="0" relativeHeight="484003840">
                <wp:simplePos x="0" y="0"/>
                <wp:positionH relativeFrom="page">
                  <wp:posOffset>3926966</wp:posOffset>
                </wp:positionH>
                <wp:positionV relativeFrom="paragraph">
                  <wp:posOffset>231226</wp:posOffset>
                </wp:positionV>
                <wp:extent cx="33718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37185" cy="1270"/>
                        </a:xfrm>
                        <a:custGeom>
                          <a:avLst/>
                          <a:gdLst/>
                          <a:ahLst/>
                          <a:cxnLst/>
                          <a:rect l="l" t="t" r="r" b="b"/>
                          <a:pathLst>
                            <a:path w="337185" h="0">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2640" from="309.209991pt,18.206785pt" to="335.756991pt,18.206785pt" stroked="true" strokeweight=".4782pt" strokecolor="#000000">
                <v:stroke dashstyle="solid"/>
                <w10:wrap type="none"/>
              </v:line>
            </w:pict>
          </mc:Fallback>
        </mc:AlternateContent>
      </w:r>
      <w:bookmarkStart w:name="_bookmark25" w:id="43"/>
      <w:bookmarkEnd w:id="43"/>
      <w:r>
        <w:rPr/>
      </w:r>
      <w:r>
        <w:rPr>
          <w:rFonts w:ascii="Calibri" w:hAnsi="Calibri"/>
          <w:i/>
          <w:w w:val="105"/>
          <w:sz w:val="24"/>
        </w:rPr>
        <w:t>G</w:t>
      </w:r>
      <w:r>
        <w:rPr>
          <w:w w:val="105"/>
          <w:sz w:val="24"/>
          <w:vertAlign w:val="subscript"/>
        </w:rPr>
        <w:t>PR</w:t>
      </w:r>
      <w:r>
        <w:rPr>
          <w:spacing w:val="3"/>
          <w:w w:val="125"/>
          <w:sz w:val="24"/>
          <w:vertAlign w:val="baseline"/>
        </w:rPr>
        <w:t> </w:t>
      </w:r>
      <w:r>
        <w:rPr>
          <w:rFonts w:ascii="Calibri" w:hAnsi="Calibri"/>
          <w:w w:val="125"/>
          <w:sz w:val="24"/>
          <w:vertAlign w:val="baseline"/>
        </w:rPr>
        <w:t>=</w:t>
      </w:r>
      <w:r>
        <w:rPr>
          <w:rFonts w:ascii="Calibri" w:hAnsi="Calibri"/>
          <w:spacing w:val="2"/>
          <w:w w:val="125"/>
          <w:sz w:val="24"/>
          <w:vertAlign w:val="baseline"/>
        </w:rPr>
        <w:t> </w:t>
      </w:r>
      <w:r>
        <w:rPr>
          <w:rFonts w:ascii="Calibri" w:hAnsi="Calibri"/>
          <w:i/>
          <w:w w:val="105"/>
          <w:sz w:val="24"/>
          <w:vertAlign w:val="baseline"/>
        </w:rPr>
        <w:t>d</w:t>
      </w:r>
      <w:r>
        <w:rPr>
          <w:rFonts w:ascii="Calibri" w:hAnsi="Calibri"/>
          <w:i/>
          <w:spacing w:val="-17"/>
          <w:w w:val="105"/>
          <w:sz w:val="24"/>
          <w:vertAlign w:val="baseline"/>
        </w:rPr>
        <w:t> </w:t>
      </w:r>
      <w:r>
        <w:rPr>
          <w:rFonts w:ascii="Calibri" w:hAnsi="Calibri"/>
          <w:i/>
          <w:w w:val="105"/>
          <w:sz w:val="24"/>
          <w:vertAlign w:val="baseline"/>
        </w:rPr>
        <w:t>P</w:t>
      </w:r>
      <w:r>
        <w:rPr>
          <w:rFonts w:ascii="Calibri" w:hAnsi="Calibri"/>
          <w:i/>
          <w:spacing w:val="-23"/>
          <w:w w:val="105"/>
          <w:sz w:val="24"/>
          <w:vertAlign w:val="baseline"/>
        </w:rPr>
        <w:t> </w:t>
      </w:r>
      <w:r>
        <w:rPr>
          <w:rFonts w:ascii="Cambria" w:hAnsi="Cambria"/>
          <w:w w:val="105"/>
          <w:sz w:val="24"/>
          <w:vertAlign w:val="superscript"/>
        </w:rPr>
        <w:t>⊤</w:t>
      </w:r>
      <w:r>
        <w:rPr>
          <w:rFonts w:ascii="Cambria" w:hAnsi="Cambria"/>
          <w:spacing w:val="-1"/>
          <w:w w:val="125"/>
          <w:sz w:val="24"/>
          <w:vertAlign w:val="baseline"/>
        </w:rPr>
        <w:t> </w:t>
      </w:r>
      <w:r>
        <w:rPr>
          <w:rFonts w:ascii="Calibri" w:hAnsi="Calibri"/>
          <w:w w:val="125"/>
          <w:sz w:val="24"/>
          <w:vertAlign w:val="baseline"/>
        </w:rPr>
        <w:t>+</w:t>
      </w:r>
      <w:r>
        <w:rPr>
          <w:rFonts w:ascii="Calibri" w:hAnsi="Calibri"/>
          <w:spacing w:val="12"/>
          <w:w w:val="125"/>
          <w:sz w:val="24"/>
          <w:vertAlign w:val="baseline"/>
        </w:rPr>
        <w:t> </w:t>
      </w:r>
      <w:r>
        <w:rPr>
          <w:rFonts w:ascii="Calibri" w:hAnsi="Calibri"/>
          <w:w w:val="105"/>
          <w:position w:val="16"/>
          <w:sz w:val="24"/>
          <w:vertAlign w:val="baseline"/>
        </w:rPr>
        <w:t>1</w:t>
      </w:r>
      <w:r>
        <w:rPr>
          <w:rFonts w:ascii="Calibri" w:hAnsi="Calibri"/>
          <w:spacing w:val="-2"/>
          <w:w w:val="105"/>
          <w:position w:val="16"/>
          <w:sz w:val="24"/>
          <w:vertAlign w:val="baseline"/>
        </w:rPr>
        <w:t> </w:t>
      </w:r>
      <w:r>
        <w:rPr>
          <w:rFonts w:ascii="Lucida Sans Unicode" w:hAnsi="Lucida Sans Unicode"/>
          <w:w w:val="105"/>
          <w:position w:val="16"/>
          <w:sz w:val="24"/>
          <w:vertAlign w:val="baseline"/>
        </w:rPr>
        <w:t>—</w:t>
      </w:r>
      <w:r>
        <w:rPr>
          <w:rFonts w:ascii="Lucida Sans Unicode" w:hAnsi="Lucida Sans Unicode"/>
          <w:spacing w:val="-25"/>
          <w:w w:val="105"/>
          <w:position w:val="16"/>
          <w:sz w:val="24"/>
          <w:vertAlign w:val="baseline"/>
        </w:rPr>
        <w:t> </w:t>
      </w:r>
      <w:r>
        <w:rPr>
          <w:rFonts w:ascii="Calibri" w:hAnsi="Calibri"/>
          <w:i/>
          <w:w w:val="105"/>
          <w:position w:val="16"/>
          <w:sz w:val="24"/>
          <w:vertAlign w:val="baseline"/>
        </w:rPr>
        <w:t>d</w:t>
      </w:r>
      <w:r>
        <w:rPr>
          <w:rFonts w:ascii="Calibri" w:hAnsi="Calibri"/>
          <w:i/>
          <w:spacing w:val="9"/>
          <w:w w:val="105"/>
          <w:position w:val="16"/>
          <w:sz w:val="24"/>
          <w:vertAlign w:val="baseline"/>
        </w:rPr>
        <w:t> </w:t>
      </w:r>
      <w:r>
        <w:rPr>
          <w:b/>
          <w:spacing w:val="-4"/>
          <w:w w:val="105"/>
          <w:sz w:val="24"/>
          <w:vertAlign w:val="baseline"/>
        </w:rPr>
        <w:t>11</w:t>
      </w:r>
      <w:r>
        <w:rPr>
          <w:rFonts w:ascii="Cambria" w:hAnsi="Cambria"/>
          <w:spacing w:val="-4"/>
          <w:w w:val="105"/>
          <w:sz w:val="24"/>
          <w:vertAlign w:val="superscript"/>
        </w:rPr>
        <w:t>⊤</w:t>
      </w:r>
      <w:r>
        <w:rPr>
          <w:rFonts w:ascii="Calibri" w:hAnsi="Calibri"/>
          <w:i/>
          <w:spacing w:val="-4"/>
          <w:w w:val="105"/>
          <w:sz w:val="24"/>
          <w:vertAlign w:val="baseline"/>
        </w:rPr>
        <w:t>,</w:t>
      </w:r>
      <w:r>
        <w:rPr>
          <w:rFonts w:ascii="Calibri" w:hAnsi="Calibri"/>
          <w:i/>
          <w:sz w:val="24"/>
          <w:vertAlign w:val="baseline"/>
        </w:rPr>
        <w:tab/>
      </w:r>
      <w:r>
        <w:rPr>
          <w:spacing w:val="-2"/>
          <w:w w:val="105"/>
          <w:sz w:val="24"/>
          <w:vertAlign w:val="baseline"/>
        </w:rPr>
        <w:t>(2.2)</w:t>
      </w:r>
    </w:p>
    <w:p>
      <w:pPr>
        <w:tabs>
          <w:tab w:pos="9196" w:val="left" w:leader="none"/>
        </w:tabs>
        <w:spacing w:line="423" w:lineRule="exact" w:before="0"/>
        <w:ind w:left="3688" w:right="0" w:firstLine="0"/>
        <w:jc w:val="left"/>
        <w:rPr>
          <w:sz w:val="24"/>
        </w:rPr>
      </w:pPr>
      <w:r>
        <w:rPr>
          <w:i/>
        </w:rPr>
        <w:t>GPR = dP ⊤ + 1 — d 11⊤,</w:t>
        <w:tab/>
        <w:t>(2.2)</w:t>
      </w:r>
    </w:p>
    <w:p>
      <w:pPr>
        <w:spacing w:line="228" w:lineRule="exact" w:before="0"/>
        <w:ind w:left="709" w:right="0" w:firstLine="0"/>
        <w:jc w:val="center"/>
        <w:rPr>
          <w:rFonts w:ascii="Calibri"/>
          <w:i/>
          <w:sz w:val="24"/>
        </w:rPr>
      </w:pPr>
      <w:r>
        <w:rPr>
          <w:rFonts w:ascii="Calibri"/>
          <w:i/>
          <w:spacing w:val="-10"/>
          <w:w w:val="115"/>
          <w:sz w:val="24"/>
        </w:rPr>
        <w:t>n</w:t>
      </w:r>
    </w:p>
    <w:p>
      <w:pPr>
        <w:spacing w:line="228" w:lineRule="exact" w:before="0"/>
        <w:ind w:left="709" w:right="0" w:firstLine="0"/>
        <w:jc w:val="center"/>
        <w:rPr>
          <w:rFonts w:ascii="Calibri"/>
          <w:i/>
          <w:sz w:val="24"/>
        </w:rPr>
      </w:pPr>
      <w:r>
        <w:rPr>
          <w:i/>
        </w:rPr>
        <w:t>N</w:t>
      </w:r>
    </w:p>
    <w:p>
      <w:pPr>
        <w:pStyle w:val="BodyText"/>
        <w:spacing w:before="202"/>
        <w:ind w:left="282"/>
      </w:pPr>
      <w:r>
        <w:rPr/>
        <mc:AlternateContent>
          <mc:Choice Requires="wps">
            <w:drawing>
              <wp:anchor distT="0" distB="0" distL="0" distR="0" allowOverlap="1" layoutInCell="1" locked="0" behindDoc="1" simplePos="0" relativeHeight="484006400">
                <wp:simplePos x="0" y="0"/>
                <wp:positionH relativeFrom="page">
                  <wp:posOffset>3397707</wp:posOffset>
                </wp:positionH>
                <wp:positionV relativeFrom="paragraph">
                  <wp:posOffset>656800</wp:posOffset>
                </wp:positionV>
                <wp:extent cx="219710" cy="56324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67.536011pt;margin-top:51.716591pt;width:17.3pt;height:44.35pt;mso-position-horizontal-relative:page;mso-position-vertical-relative:paragraph;z-index:-19310080" type="#_x0000_t202" id="docshape35" filled="false" stroked="false">
                <v:textbox inset="0,0,0,0">
                  <w:txbxContent>
                    <w:p>
                      <w:pPr>
                        <w:pStyle w:val="BodyText"/>
                        <w:spacing w:line="231" w:lineRule="exact"/>
                      </w:pPr>
                      <w:r>
                        <w:rPr>
                          <w:spacing w:val="-10"/>
                          <w:w w:val="245"/>
                        </w:rPr>
                        <w:t>Σ</w:t>
                      </w:r>
                    </w:p>
                  </w:txbxContent>
                </v:textbox>
                <w10:wrap type="none"/>
              </v:shape>
            </w:pict>
          </mc:Fallback>
        </mc:AlternateContent>
      </w:r>
      <w:r>
        <w:rPr>
          <w:w w:val="110"/>
        </w:rPr>
        <w:t>and</w:t>
      </w:r>
      <w:r>
        <w:rPr>
          <w:spacing w:val="-17"/>
          <w:w w:val="110"/>
        </w:rPr>
        <w:t> </w:t>
      </w:r>
      <w:r>
        <w:rPr>
          <w:w w:val="110"/>
        </w:rPr>
        <w:t>the</w:t>
      </w:r>
      <w:r>
        <w:rPr>
          <w:spacing w:val="-16"/>
          <w:w w:val="110"/>
        </w:rPr>
        <w:t> </w:t>
      </w:r>
      <w:r>
        <w:rPr>
          <w:w w:val="110"/>
        </w:rPr>
        <w:t>PageRank</w:t>
      </w:r>
      <w:r>
        <w:rPr>
          <w:spacing w:val="-17"/>
          <w:w w:val="110"/>
        </w:rPr>
        <w:t> </w:t>
      </w:r>
      <w:r>
        <w:rPr>
          <w:w w:val="110"/>
        </w:rPr>
        <w:t>vector</w:t>
      </w:r>
      <w:r>
        <w:rPr>
          <w:spacing w:val="-16"/>
          <w:w w:val="110"/>
        </w:rPr>
        <w:t> </w:t>
      </w:r>
      <w:r>
        <w:rPr>
          <w:rFonts w:ascii="Calibri" w:hAnsi="Calibri"/>
          <w:b/>
          <w:i/>
          <w:w w:val="110"/>
        </w:rPr>
        <w:t>π</w:t>
      </w:r>
      <w:r>
        <w:rPr>
          <w:rFonts w:ascii="Calibri" w:hAnsi="Calibri"/>
          <w:b/>
          <w:i/>
          <w:spacing w:val="-15"/>
          <w:w w:val="110"/>
        </w:rPr>
        <w:t> </w:t>
      </w:r>
      <w:r>
        <w:rPr>
          <w:w w:val="110"/>
        </w:rPr>
        <w:t>satisfies</w:t>
      </w:r>
      <w:r>
        <w:rPr>
          <w:spacing w:val="-17"/>
          <w:w w:val="110"/>
        </w:rPr>
        <w:t> </w:t>
      </w:r>
      <w:r>
        <w:rPr>
          <w:rFonts w:ascii="Calibri" w:hAnsi="Calibri"/>
          <w:b/>
          <w:i/>
          <w:w w:val="110"/>
        </w:rPr>
        <w:t>π</w:t>
      </w:r>
      <w:r>
        <w:rPr>
          <w:rFonts w:ascii="Calibri" w:hAnsi="Calibri"/>
          <w:b/>
          <w:i/>
          <w:spacing w:val="-11"/>
          <w:w w:val="110"/>
        </w:rPr>
        <w:t> </w:t>
      </w:r>
      <w:r>
        <w:rPr>
          <w:rFonts w:ascii="Calibri" w:hAnsi="Calibri"/>
          <w:w w:val="110"/>
        </w:rPr>
        <w:t>=</w:t>
      </w:r>
      <w:r>
        <w:rPr>
          <w:rFonts w:ascii="Calibri" w:hAnsi="Calibri"/>
          <w:spacing w:val="-15"/>
          <w:w w:val="110"/>
        </w:rPr>
        <w:t> </w:t>
      </w:r>
      <w:r>
        <w:rPr>
          <w:rFonts w:ascii="Calibri" w:hAnsi="Calibri"/>
          <w:i/>
          <w:w w:val="110"/>
        </w:rPr>
        <w:t>G</w:t>
      </w:r>
      <w:r>
        <w:rPr>
          <w:w w:val="110"/>
          <w:vertAlign w:val="subscript"/>
        </w:rPr>
        <w:t>PR</w:t>
      </w:r>
      <w:r>
        <w:rPr>
          <w:rFonts w:ascii="Calibri" w:hAnsi="Calibri"/>
          <w:b/>
          <w:i/>
          <w:w w:val="110"/>
          <w:vertAlign w:val="baseline"/>
        </w:rPr>
        <w:t>π</w:t>
      </w:r>
      <w:r>
        <w:rPr>
          <w:rFonts w:ascii="Calibri" w:hAnsi="Calibri"/>
          <w:b/>
          <w:i/>
          <w:spacing w:val="-15"/>
          <w:w w:val="110"/>
          <w:vertAlign w:val="baseline"/>
        </w:rPr>
        <w:t> </w:t>
      </w:r>
      <w:r>
        <w:rPr>
          <w:w w:val="110"/>
          <w:vertAlign w:val="baseline"/>
        </w:rPr>
        <w:t>with</w:t>
      </w:r>
      <w:r>
        <w:rPr>
          <w:spacing w:val="-16"/>
          <w:w w:val="110"/>
          <w:vertAlign w:val="baseline"/>
        </w:rPr>
        <w:t> </w:t>
      </w:r>
      <w:r>
        <w:rPr>
          <w:rFonts w:ascii="Calibri" w:hAnsi="Calibri"/>
          <w:b/>
          <w:i/>
          <w:w w:val="110"/>
          <w:vertAlign w:val="baseline"/>
        </w:rPr>
        <w:t>π</w:t>
      </w:r>
      <w:r>
        <w:rPr>
          <w:rFonts w:ascii="Calibri" w:hAnsi="Calibri"/>
          <w:b/>
          <w:i/>
          <w:spacing w:val="-9"/>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rFonts w:ascii="Calibri" w:hAnsi="Calibri"/>
          <w:w w:val="110"/>
          <w:vertAlign w:val="baseline"/>
        </w:rPr>
        <w:t>0</w:t>
      </w:r>
      <w:r>
        <w:rPr>
          <w:rFonts w:ascii="Calibri" w:hAnsi="Calibri"/>
          <w:spacing w:val="-14"/>
          <w:w w:val="110"/>
          <w:vertAlign w:val="baseline"/>
        </w:rPr>
        <w:t> </w:t>
      </w:r>
      <w:r>
        <w:rPr>
          <w:w w:val="110"/>
          <w:vertAlign w:val="baseline"/>
        </w:rPr>
        <w:t>and</w:t>
      </w:r>
      <w:r>
        <w:rPr>
          <w:spacing w:val="-16"/>
          <w:w w:val="110"/>
          <w:vertAlign w:val="baseline"/>
        </w:rPr>
        <w:t> </w:t>
      </w:r>
      <w:bookmarkStart w:name="_bookmark26" w:id="44"/>
      <w:bookmarkEnd w:id="44"/>
      <w:r>
        <w:rPr>
          <w:w w:val="110"/>
          <w:position w:val="18"/>
          <w:vertAlign w:val="baseline"/>
        </w:rPr>
        <w:t>Σ</w:t>
      </w:r>
      <w:r>
        <w:rPr>
          <w:rFonts w:ascii="Cambria" w:hAnsi="Cambria"/>
          <w:w w:val="110"/>
          <w:position w:val="-6"/>
          <w:sz w:val="16"/>
          <w:vertAlign w:val="baseline"/>
        </w:rPr>
        <w:t>i</w:t>
      </w:r>
      <w:r>
        <w:rPr>
          <w:rFonts w:ascii="Cambria" w:hAnsi="Cambria"/>
          <w:spacing w:val="-1"/>
          <w:w w:val="110"/>
          <w:position w:val="-6"/>
          <w:sz w:val="16"/>
          <w:vertAlign w:val="baseline"/>
        </w:rPr>
        <w:t> </w:t>
      </w:r>
      <w:r>
        <w:rPr>
          <w:rFonts w:ascii="Calibri" w:hAnsi="Calibri"/>
          <w:i/>
          <w:w w:val="110"/>
          <w:vertAlign w:val="baseline"/>
        </w:rPr>
        <w:t>π</w:t>
      </w:r>
      <w:r>
        <w:rPr>
          <w:rFonts w:ascii="Cambria" w:hAnsi="Cambria"/>
          <w:w w:val="110"/>
          <w:vertAlign w:val="subscript"/>
        </w:rPr>
        <w:t>i</w:t>
      </w:r>
      <w:r>
        <w:rPr>
          <w:rFonts w:ascii="Cambria" w:hAnsi="Cambria"/>
          <w:spacing w:val="1"/>
          <w:w w:val="110"/>
          <w:vertAlign w:val="baseline"/>
        </w:rPr>
        <w:t> </w:t>
      </w:r>
      <w:r>
        <w:rPr>
          <w:rFonts w:ascii="Calibri" w:hAnsi="Calibri"/>
          <w:w w:val="110"/>
          <w:vertAlign w:val="baseline"/>
        </w:rPr>
        <w:t>=</w:t>
      </w:r>
      <w:r>
        <w:rPr>
          <w:rFonts w:ascii="Calibri" w:hAnsi="Calibri"/>
          <w:spacing w:val="-10"/>
          <w:w w:val="110"/>
          <w:vertAlign w:val="baseline"/>
        </w:rPr>
        <w:t> </w:t>
      </w:r>
      <w:r>
        <w:rPr>
          <w:rFonts w:ascii="Calibri" w:hAnsi="Calibri"/>
          <w:w w:val="110"/>
          <w:vertAlign w:val="baseline"/>
        </w:rPr>
        <w:t>1</w:t>
      </w:r>
      <w:r>
        <w:rPr>
          <w:rFonts w:ascii="Calibri" w:hAnsi="Calibri"/>
          <w:spacing w:val="-13"/>
          <w:w w:val="110"/>
          <w:vertAlign w:val="baseline"/>
        </w:rPr>
        <w:t> </w:t>
      </w:r>
      <w:hyperlink w:history="true" w:anchor="_bookmark173">
        <w:r>
          <w:rPr>
            <w:w w:val="110"/>
            <w:vertAlign w:val="superscript"/>
          </w:rPr>
          <w:t>[40]</w:t>
        </w:r>
      </w:hyperlink>
      <w:r>
        <w:rPr>
          <w:w w:val="110"/>
          <w:vertAlign w:val="superscript"/>
        </w:rPr>
        <w:t>,</w:t>
      </w:r>
      <w:hyperlink w:history="true" w:anchor="_bookmark182">
        <w:r>
          <w:rPr>
            <w:w w:val="110"/>
            <w:vertAlign w:val="superscript"/>
          </w:rPr>
          <w:t>[49]</w:t>
        </w:r>
      </w:hyperlink>
      <w:r>
        <w:rPr>
          <w:w w:val="110"/>
          <w:vertAlign w:val="baseline"/>
        </w:rPr>
        <w:t>.</w:t>
      </w:r>
      <w:r>
        <w:rPr>
          <w:spacing w:val="-5"/>
          <w:w w:val="110"/>
          <w:vertAlign w:val="baseline"/>
        </w:rPr>
        <w:t> </w:t>
      </w:r>
      <w:r>
        <w:rPr>
          <w:spacing w:val="-2"/>
          <w:w w:val="105"/>
          <w:vertAlign w:val="baseline"/>
        </w:rPr>
        <w:t>Equivalently,</w:t>
      </w:r>
    </w:p>
    <w:p>
      <w:pPr>
        <w:pStyle w:val="BodyText"/>
        <w:spacing w:before="202"/>
        <w:ind w:left="282"/>
      </w:pPr>
      <w:r>
        <w:rPr>
          <w:i/>
        </w:rPr>
        <w:t>PageRank 벡터 π는 π ≥ 0이고 Σi πi = 1인 π = GPRπ를 충족합니다[40],[49]. 동등하게,</w:t>
      </w:r>
    </w:p>
    <w:p>
      <w:pPr>
        <w:pStyle w:val="BodyText"/>
        <w:spacing w:before="52"/>
        <w:rPr>
          <w:sz w:val="20"/>
        </w:rPr>
      </w:pPr>
    </w:p>
    <w:p>
      <w:pPr>
        <w:pStyle w:val="BodyText"/>
        <w:spacing w:after="0"/>
        <w:rPr>
          <w:sz w:val="20"/>
        </w:rPr>
        <w:sectPr>
          <w:type w:val="continuous"/>
          <w:pgSz w:w="11910" w:h="16840"/>
          <w:pgMar w:header="0" w:footer="2115" w:top="1920" w:bottom="280" w:left="992" w:right="708"/>
        </w:sectPr>
      </w:pPr>
    </w:p>
    <w:p>
      <w:pPr>
        <w:spacing w:before="218"/>
        <w:ind w:left="0" w:right="816" w:firstLine="0"/>
        <w:jc w:val="right"/>
        <w:rPr>
          <w:rFonts w:ascii="Calibri" w:hAnsi="Calibri"/>
          <w:i/>
          <w:sz w:val="24"/>
        </w:rPr>
      </w:pPr>
      <w:r>
        <w:rPr>
          <w:rFonts w:ascii="Calibri" w:hAnsi="Calibri"/>
          <w:i/>
          <w:w w:val="130"/>
          <w:sz w:val="24"/>
        </w:rPr>
        <w:t>π</w:t>
      </w:r>
      <w:r>
        <w:rPr>
          <w:rFonts w:ascii="Cambria" w:hAnsi="Cambria"/>
          <w:w w:val="130"/>
          <w:sz w:val="24"/>
          <w:vertAlign w:val="subscript"/>
        </w:rPr>
        <w:t>j</w:t>
      </w:r>
      <w:r>
        <w:rPr>
          <w:rFonts w:ascii="Cambria" w:hAnsi="Cambria"/>
          <w:spacing w:val="14"/>
          <w:w w:val="130"/>
          <w:sz w:val="24"/>
          <w:vertAlign w:val="baseline"/>
        </w:rPr>
        <w:t> </w:t>
      </w:r>
      <w:r>
        <w:rPr>
          <w:rFonts w:ascii="Calibri" w:hAnsi="Calibri"/>
          <w:w w:val="130"/>
          <w:sz w:val="24"/>
          <w:vertAlign w:val="baseline"/>
        </w:rPr>
        <w:t>=</w:t>
      </w:r>
      <w:r>
        <w:rPr>
          <w:rFonts w:ascii="Calibri" w:hAnsi="Calibri"/>
          <w:spacing w:val="-4"/>
          <w:w w:val="130"/>
          <w:sz w:val="24"/>
          <w:vertAlign w:val="baseline"/>
        </w:rPr>
        <w:t> </w:t>
      </w:r>
      <w:r>
        <w:rPr>
          <w:rFonts w:ascii="Calibri" w:hAnsi="Calibri"/>
          <w:i/>
          <w:spacing w:val="-12"/>
          <w:w w:val="120"/>
          <w:sz w:val="24"/>
          <w:vertAlign w:val="baseline"/>
        </w:rPr>
        <w:t>d</w:t>
      </w:r>
    </w:p>
    <w:p>
      <w:pPr>
        <w:spacing w:before="74"/>
        <w:ind w:left="0" w:right="0" w:firstLine="0"/>
        <w:jc w:val="right"/>
        <w:rPr>
          <w:rFonts w:ascii="Cambria" w:hAnsi="Cambria"/>
          <w:sz w:val="16"/>
        </w:rPr>
      </w:pPr>
      <w:r>
        <w:rPr>
          <w:rFonts w:ascii="Cambria" w:hAnsi="Cambria"/>
          <w:spacing w:val="-2"/>
          <w:w w:val="130"/>
          <w:sz w:val="16"/>
        </w:rPr>
        <w:t>i</w:t>
      </w:r>
      <w:r>
        <w:rPr>
          <w:rFonts w:ascii="Calibri" w:hAnsi="Calibri"/>
          <w:spacing w:val="-2"/>
          <w:w w:val="130"/>
          <w:sz w:val="16"/>
        </w:rPr>
        <w:t>:(</w:t>
      </w:r>
      <w:r>
        <w:rPr>
          <w:rFonts w:ascii="Cambria" w:hAnsi="Cambria"/>
          <w:spacing w:val="-2"/>
          <w:w w:val="130"/>
          <w:sz w:val="16"/>
        </w:rPr>
        <w:t>i→j</w:t>
      </w:r>
      <w:r>
        <w:rPr>
          <w:rFonts w:ascii="Calibri" w:hAnsi="Calibri"/>
          <w:spacing w:val="-2"/>
          <w:w w:val="130"/>
          <w:sz w:val="16"/>
        </w:rPr>
        <w:t>)</w:t>
      </w:r>
      <w:r>
        <w:rPr>
          <w:rFonts w:ascii="Cambria" w:hAnsi="Cambria"/>
          <w:spacing w:val="-2"/>
          <w:w w:val="130"/>
          <w:sz w:val="16"/>
        </w:rPr>
        <w:t>∈E</w:t>
      </w:r>
    </w:p>
    <w:p>
      <w:pPr>
        <w:spacing w:before="74"/>
        <w:ind w:left="0" w:right="0" w:firstLine="0"/>
        <w:jc w:val="right"/>
        <w:rPr>
          <w:rFonts w:ascii="Cambria" w:hAnsi="Cambria"/>
          <w:sz w:val="16"/>
        </w:rPr>
      </w:pPr>
      <w:r>
        <w:rPr>
          <w:i/>
        </w:rPr>
        <w:t>나는:(i→j)∈E</w:t>
      </w:r>
    </w:p>
    <w:p>
      <w:pPr>
        <w:spacing w:line="235" w:lineRule="exact" w:before="52"/>
        <w:ind w:left="223" w:right="0" w:firstLine="0"/>
        <w:jc w:val="center"/>
        <w:rPr>
          <w:rFonts w:ascii="Cambria"/>
          <w:sz w:val="16"/>
        </w:rPr>
      </w:pPr>
      <w:r>
        <w:rPr/>
        <w:br w:type="column"/>
      </w:r>
      <w:r>
        <w:rPr>
          <w:rFonts w:ascii="Calibri"/>
          <w:i/>
          <w:spacing w:val="-5"/>
          <w:w w:val="125"/>
          <w:position w:val="4"/>
          <w:sz w:val="24"/>
          <w:u w:val="single"/>
        </w:rPr>
        <w:t>w</w:t>
      </w:r>
      <w:r>
        <w:rPr>
          <w:rFonts w:ascii="Cambria"/>
          <w:spacing w:val="-5"/>
          <w:w w:val="125"/>
          <w:sz w:val="16"/>
          <w:u w:val="single"/>
        </w:rPr>
        <w:t>ij</w:t>
      </w:r>
    </w:p>
    <w:p>
      <w:pPr>
        <w:spacing w:line="235" w:lineRule="exact" w:before="52"/>
        <w:ind w:left="223" w:right="0" w:firstLine="0"/>
        <w:jc w:val="center"/>
        <w:rPr>
          <w:rFonts w:ascii="Cambria"/>
          <w:sz w:val="16"/>
        </w:rPr>
      </w:pPr>
      <w:r>
        <w:rPr>
          <w:i/>
        </w:rPr>
        <w:t>위지</w:t>
      </w:r>
    </w:p>
    <w:p>
      <w:pPr>
        <w:spacing w:line="253" w:lineRule="exact" w:before="0"/>
        <w:ind w:left="8" w:right="0" w:firstLine="0"/>
        <w:jc w:val="left"/>
        <w:rPr>
          <w:sz w:val="16"/>
        </w:rPr>
      </w:pPr>
      <w:r>
        <w:rPr>
          <w:sz w:val="16"/>
        </w:rPr>
        <mc:AlternateContent>
          <mc:Choice Requires="wps">
            <w:drawing>
              <wp:anchor distT="0" distB="0" distL="0" distR="0" allowOverlap="1" layoutInCell="1" locked="0" behindDoc="1" simplePos="0" relativeHeight="484006912">
                <wp:simplePos x="0" y="0"/>
                <wp:positionH relativeFrom="page">
                  <wp:posOffset>3925036</wp:posOffset>
                </wp:positionH>
                <wp:positionV relativeFrom="paragraph">
                  <wp:posOffset>92171</wp:posOffset>
                </wp:positionV>
                <wp:extent cx="7747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77470" cy="152400"/>
                        </a:xfrm>
                        <a:prstGeom prst="rect">
                          <a:avLst/>
                        </a:prstGeom>
                      </wps:spPr>
                      <wps:txbx>
                        <w:txbxContent>
                          <w:p>
                            <w:pPr>
                              <w:spacing w:line="239" w:lineRule="exact" w:before="0"/>
                              <w:ind w:left="0" w:right="0" w:firstLine="0"/>
                              <w:jc w:val="left"/>
                              <w:rPr>
                                <w:rFonts w:ascii="Calibri"/>
                                <w:i/>
                                <w:sz w:val="24"/>
                              </w:rPr>
                            </w:pPr>
                            <w:r>
                              <w:rPr>
                                <w:rFonts w:ascii="Calibri"/>
                                <w:i/>
                                <w:spacing w:val="-13"/>
                                <w:sz w:val="24"/>
                              </w:rPr>
                              <w:t>d</w:t>
                            </w:r>
                          </w:p>
                        </w:txbxContent>
                      </wps:txbx>
                      <wps:bodyPr wrap="square" lIns="0" tIns="0" rIns="0" bIns="0" rtlCol="0">
                        <a:noAutofit/>
                      </wps:bodyPr>
                    </wps:wsp>
                  </a:graphicData>
                </a:graphic>
              </wp:anchor>
            </w:drawing>
          </mc:Choice>
          <mc:Fallback>
            <w:pict>
              <v:shape style="position:absolute;margin-left:309.058014pt;margin-top:7.257581pt;width:6.1pt;height:12pt;mso-position-horizontal-relative:page;mso-position-vertical-relative:paragraph;z-index:-19309568" type="#_x0000_t202" id="docshape36" filled="false" stroked="false">
                <v:textbox inset="0,0,0,0">
                  <w:txbxContent>
                    <w:p>
                      <w:pPr>
                        <w:spacing w:line="239" w:lineRule="exact" w:before="0"/>
                        <w:ind w:left="0" w:right="0" w:firstLine="0"/>
                        <w:jc w:val="left"/>
                        <w:rPr>
                          <w:rFonts w:ascii="Calibri"/>
                          <w:i/>
                          <w:sz w:val="24"/>
                        </w:rPr>
                      </w:pPr>
                      <w:r>
                        <w:rPr>
                          <w:rFonts w:ascii="Calibri"/>
                          <w:i/>
                          <w:spacing w:val="-13"/>
                          <w:sz w:val="24"/>
                        </w:rPr>
                        <w:t>d</w:t>
                      </w:r>
                    </w:p>
                  </w:txbxContent>
                </v:textbox>
                <w10:wrap type="none"/>
              </v:shape>
            </w:pict>
          </mc:Fallback>
        </mc:AlternateContent>
      </w:r>
      <w:r>
        <w:rPr>
          <w:rFonts w:ascii="Calibri" w:hAnsi="Calibri"/>
          <w:i/>
          <w:w w:val="105"/>
          <w:position w:val="8"/>
          <w:sz w:val="24"/>
        </w:rPr>
        <w:t>π</w:t>
      </w:r>
      <w:r>
        <w:rPr>
          <w:rFonts w:ascii="Cambria" w:hAnsi="Cambria"/>
          <w:w w:val="105"/>
          <w:position w:val="4"/>
          <w:sz w:val="16"/>
        </w:rPr>
        <w:t>i</w:t>
      </w:r>
      <w:r>
        <w:rPr>
          <w:rFonts w:ascii="Cambria" w:hAnsi="Cambria"/>
          <w:spacing w:val="42"/>
          <w:w w:val="105"/>
          <w:position w:val="4"/>
          <w:sz w:val="16"/>
        </w:rPr>
        <w:t>  </w:t>
      </w:r>
      <w:r>
        <w:rPr>
          <w:spacing w:val="-7"/>
          <w:w w:val="105"/>
          <w:sz w:val="16"/>
        </w:rPr>
        <w:t>out</w:t>
      </w:r>
    </w:p>
    <w:p>
      <w:pPr>
        <w:spacing w:line="253" w:lineRule="exact" w:before="0"/>
        <w:ind w:left="8" w:right="0" w:firstLine="0"/>
        <w:jc w:val="left"/>
        <w:rPr>
          <w:sz w:val="16"/>
        </w:rPr>
      </w:pPr>
      <w:r>
        <w:rPr>
          <w:i/>
        </w:rPr>
        <w:t>π 아웃</w:t>
      </w:r>
    </w:p>
    <w:p>
      <w:pPr>
        <w:spacing w:line="167" w:lineRule="exact" w:before="0"/>
        <w:ind w:left="208" w:right="0" w:firstLine="0"/>
        <w:jc w:val="center"/>
        <w:rPr>
          <w:rFonts w:ascii="Cambria"/>
          <w:sz w:val="16"/>
        </w:rPr>
      </w:pPr>
      <w:r>
        <w:rPr>
          <w:rFonts w:ascii="Cambria"/>
          <w:spacing w:val="-10"/>
          <w:w w:val="130"/>
          <w:sz w:val="16"/>
        </w:rPr>
        <w:t>i</w:t>
      </w:r>
    </w:p>
    <w:p>
      <w:pPr>
        <w:spacing w:line="167" w:lineRule="exact" w:before="0"/>
        <w:ind w:left="208" w:right="0" w:firstLine="0"/>
        <w:jc w:val="center"/>
        <w:rPr>
          <w:rFonts w:ascii="Cambria"/>
          <w:sz w:val="16"/>
        </w:rPr>
      </w:pPr>
      <w:r>
        <w:rPr>
          <w:i/>
        </w:rPr>
        <w:t>나</w:t>
      </w:r>
    </w:p>
    <w:p>
      <w:pPr>
        <w:pStyle w:val="BodyText"/>
        <w:spacing w:line="283" w:lineRule="exact" w:before="22"/>
        <w:ind w:right="3506"/>
        <w:jc w:val="center"/>
        <w:rPr>
          <w:rFonts w:ascii="Calibri" w:hAnsi="Calibri"/>
          <w:i/>
        </w:rPr>
      </w:pPr>
      <w:r>
        <w:rPr/>
        <w:br w:type="column"/>
      </w:r>
      <w:r>
        <w:rPr>
          <w:rFonts w:ascii="Calibri" w:hAnsi="Calibri"/>
          <w:w w:val="85"/>
          <w:u w:val="single"/>
        </w:rPr>
        <w:t>1</w:t>
      </w:r>
      <w:r>
        <w:rPr>
          <w:rFonts w:ascii="Calibri" w:hAnsi="Calibri"/>
          <w:spacing w:val="-7"/>
          <w:u w:val="single"/>
        </w:rPr>
        <w:t> </w:t>
      </w:r>
      <w:r>
        <w:rPr>
          <w:rFonts w:ascii="Lucida Sans Unicode" w:hAnsi="Lucida Sans Unicode"/>
          <w:w w:val="85"/>
          <w:u w:val="single"/>
        </w:rPr>
        <w:t>—</w:t>
      </w:r>
      <w:r>
        <w:rPr>
          <w:rFonts w:ascii="Lucida Sans Unicode" w:hAnsi="Lucida Sans Unicode"/>
          <w:spacing w:val="-12"/>
          <w:w w:val="85"/>
          <w:u w:val="single"/>
        </w:rPr>
        <w:t> </w:t>
      </w:r>
      <w:r>
        <w:rPr>
          <w:rFonts w:ascii="Calibri" w:hAnsi="Calibri"/>
          <w:i/>
          <w:spacing w:val="-10"/>
          <w:w w:val="85"/>
          <w:u w:val="single"/>
        </w:rPr>
        <w:t>d</w:t>
      </w:r>
    </w:p>
    <w:p>
      <w:pPr>
        <w:pStyle w:val="BodyText"/>
        <w:spacing w:line="283" w:lineRule="exact" w:before="22"/>
        <w:ind w:right="3506"/>
        <w:jc w:val="center"/>
        <w:rPr>
          <w:rFonts w:ascii="Calibri" w:hAnsi="Calibri"/>
          <w:i/>
        </w:rPr>
      </w:pPr>
      <w:r>
        <w:rPr>
          <w:i/>
        </w:rPr>
        <w:t>1 — 디</w:t>
      </w:r>
    </w:p>
    <w:p>
      <w:pPr>
        <w:tabs>
          <w:tab w:pos="860" w:val="left" w:leader="none"/>
          <w:tab w:pos="3642" w:val="left" w:leader="none"/>
        </w:tabs>
        <w:spacing w:line="142" w:lineRule="exact" w:before="0"/>
        <w:ind w:left="46" w:right="0" w:firstLine="0"/>
        <w:jc w:val="left"/>
        <w:rPr>
          <w:sz w:val="24"/>
        </w:rPr>
      </w:pPr>
      <w:r>
        <w:rPr>
          <w:rFonts w:ascii="Calibri"/>
          <w:spacing w:val="-10"/>
          <w:w w:val="125"/>
          <w:sz w:val="24"/>
        </w:rPr>
        <w:t>+</w:t>
      </w:r>
      <w:r>
        <w:rPr>
          <w:rFonts w:ascii="Calibri"/>
          <w:sz w:val="24"/>
        </w:rPr>
        <w:tab/>
      </w:r>
      <w:r>
        <w:rPr>
          <w:rFonts w:ascii="Calibri"/>
          <w:i/>
          <w:spacing w:val="-10"/>
          <w:w w:val="110"/>
          <w:sz w:val="24"/>
        </w:rPr>
        <w:t>.</w:t>
      </w:r>
      <w:r>
        <w:rPr>
          <w:rFonts w:ascii="Calibri"/>
          <w:i/>
          <w:sz w:val="24"/>
        </w:rPr>
        <w:tab/>
      </w:r>
      <w:r>
        <w:rPr>
          <w:spacing w:val="-2"/>
          <w:w w:val="110"/>
          <w:sz w:val="24"/>
        </w:rPr>
        <w:t>(2.3)</w:t>
      </w:r>
    </w:p>
    <w:p>
      <w:pPr>
        <w:spacing w:line="228" w:lineRule="exact" w:before="0"/>
        <w:ind w:left="0" w:right="3506" w:firstLine="0"/>
        <w:jc w:val="center"/>
        <w:rPr>
          <w:rFonts w:ascii="Calibri"/>
          <w:i/>
          <w:sz w:val="24"/>
        </w:rPr>
      </w:pPr>
      <w:r>
        <w:rPr>
          <w:rFonts w:ascii="Calibri"/>
          <w:i/>
          <w:spacing w:val="-10"/>
          <w:w w:val="115"/>
          <w:sz w:val="24"/>
        </w:rPr>
        <w:t>n</w:t>
      </w:r>
    </w:p>
    <w:p>
      <w:pPr>
        <w:spacing w:line="228" w:lineRule="exact" w:before="0"/>
        <w:ind w:left="0" w:right="3506" w:firstLine="0"/>
        <w:jc w:val="center"/>
        <w:rPr>
          <w:rFonts w:ascii="Calibri"/>
          <w:i/>
          <w:sz w:val="24"/>
        </w:rPr>
      </w:pPr>
      <w:r>
        <w:rPr>
          <w:i/>
        </w:rPr>
        <w:t>N</w:t>
      </w:r>
    </w:p>
    <w:p>
      <w:pPr>
        <w:spacing w:after="0" w:line="228" w:lineRule="exact"/>
        <w:jc w:val="center"/>
        <w:rPr>
          <w:rFonts w:ascii="Calibri"/>
          <w:i/>
          <w:sz w:val="24"/>
        </w:rPr>
        <w:sectPr>
          <w:type w:val="continuous"/>
          <w:pgSz w:w="11910" w:h="16840"/>
          <w:pgMar w:header="0" w:footer="2115" w:top="1920" w:bottom="280" w:left="992" w:right="708"/>
          <w:cols w:num="3" w:equalWidth="0">
            <w:col w:w="4916" w:space="40"/>
            <w:col w:w="559" w:space="39"/>
            <w:col w:w="4656"/>
          </w:cols>
        </w:sectPr>
      </w:pPr>
    </w:p>
    <w:p>
      <w:pPr>
        <w:pStyle w:val="BodyText"/>
        <w:spacing w:before="235"/>
        <w:rPr>
          <w:rFonts w:ascii="Calibri"/>
          <w:i/>
        </w:rPr>
      </w:pPr>
    </w:p>
    <w:p>
      <w:pPr>
        <w:pStyle w:val="Heading4"/>
        <w:numPr>
          <w:ilvl w:val="2"/>
          <w:numId w:val="8"/>
        </w:numPr>
        <w:tabs>
          <w:tab w:pos="879" w:val="left" w:leader="none"/>
        </w:tabs>
        <w:spacing w:line="240" w:lineRule="auto" w:before="0" w:after="0"/>
        <w:ind w:left="879" w:right="0" w:hanging="597"/>
        <w:jc w:val="both"/>
      </w:pPr>
      <w:bookmarkStart w:name="Random-surfer interpretation" w:id="45"/>
      <w:bookmarkEnd w:id="45"/>
      <w:r>
        <w:rPr>
          <w:b w:val="0"/>
        </w:rPr>
      </w:r>
      <w:r>
        <w:rPr>
          <w:spacing w:val="-2"/>
        </w:rPr>
        <w:t>Random-surfer</w:t>
      </w:r>
      <w:r>
        <w:rPr>
          <w:spacing w:val="9"/>
        </w:rPr>
        <w:t> </w:t>
      </w:r>
      <w:r>
        <w:rPr>
          <w:spacing w:val="-2"/>
        </w:rPr>
        <w:t>interpretation</w:t>
      </w:r>
    </w:p>
    <w:p>
      <w:pPr>
        <w:pStyle w:val="Heading4"/>
        <w:numPr>
          <w:ilvl w:val="2"/>
          <w:numId w:val="8"/>
        </w:numPr>
        <w:tabs>
          <w:tab w:pos="879" w:val="left" w:leader="none"/>
        </w:tabs>
        <w:spacing w:line="240" w:lineRule="auto" w:before="0" w:after="0"/>
        <w:ind w:left="879" w:right="0" w:hanging="597"/>
        <w:jc w:val="both"/>
      </w:pPr>
      <w:r>
        <w:rPr>
          <w:i/>
        </w:rPr>
        <w:t>랜덤 서퍼 해석</w:t>
      </w:r>
    </w:p>
    <w:p>
      <w:pPr>
        <w:pStyle w:val="BodyText"/>
        <w:spacing w:line="456" w:lineRule="exact" w:before="182"/>
        <w:ind w:left="282" w:right="558"/>
        <w:jc w:val="both"/>
      </w:pPr>
      <w:r>
        <w:rPr/>
        <w:t>Equation</w:t>
      </w:r>
      <w:r>
        <w:rPr>
          <w:spacing w:val="20"/>
        </w:rPr>
        <w:t> </w:t>
      </w:r>
      <w:r>
        <w:rPr/>
        <w:t>(</w:t>
      </w:r>
      <w:hyperlink w:history="true" w:anchor="_bookmark26">
        <w:r>
          <w:rPr/>
          <w:t>2.3</w:t>
        </w:r>
      </w:hyperlink>
      <w:r>
        <w:rPr/>
        <w:t>)</w:t>
      </w:r>
      <w:r>
        <w:rPr>
          <w:spacing w:val="20"/>
        </w:rPr>
        <w:t> </w:t>
      </w:r>
      <w:r>
        <w:rPr/>
        <w:t>admits</w:t>
      </w:r>
      <w:r>
        <w:rPr>
          <w:spacing w:val="20"/>
        </w:rPr>
        <w:t> </w:t>
      </w:r>
      <w:r>
        <w:rPr/>
        <w:t>a</w:t>
      </w:r>
      <w:r>
        <w:rPr>
          <w:spacing w:val="20"/>
        </w:rPr>
        <w:t> </w:t>
      </w:r>
      <w:r>
        <w:rPr/>
        <w:t>probabilistic</w:t>
      </w:r>
      <w:r>
        <w:rPr>
          <w:spacing w:val="20"/>
        </w:rPr>
        <w:t> </w:t>
      </w:r>
      <w:r>
        <w:rPr/>
        <w:t>reading:</w:t>
      </w:r>
      <w:r>
        <w:rPr>
          <w:spacing w:val="40"/>
        </w:rPr>
        <w:t> </w:t>
      </w:r>
      <w:r>
        <w:rPr/>
        <w:t>a</w:t>
      </w:r>
      <w:r>
        <w:rPr>
          <w:spacing w:val="20"/>
        </w:rPr>
        <w:t> </w:t>
      </w:r>
      <w:r>
        <w:rPr/>
        <w:t>surfer</w:t>
      </w:r>
      <w:r>
        <w:rPr>
          <w:spacing w:val="20"/>
        </w:rPr>
        <w:t> </w:t>
      </w:r>
      <w:r>
        <w:rPr/>
        <w:t>follows</w:t>
      </w:r>
      <w:r>
        <w:rPr>
          <w:spacing w:val="20"/>
        </w:rPr>
        <w:t> </w:t>
      </w:r>
      <w:r>
        <w:rPr/>
        <w:t>outgoing</w:t>
      </w:r>
      <w:r>
        <w:rPr>
          <w:spacing w:val="20"/>
        </w:rPr>
        <w:t> </w:t>
      </w:r>
      <w:r>
        <w:rPr/>
        <w:t>edges</w:t>
      </w:r>
      <w:r>
        <w:rPr>
          <w:spacing w:val="20"/>
        </w:rPr>
        <w:t> </w:t>
      </w:r>
      <w:r>
        <w:rPr/>
        <w:t>with</w:t>
      </w:r>
      <w:r>
        <w:rPr>
          <w:spacing w:val="20"/>
        </w:rPr>
        <w:t> </w:t>
      </w:r>
      <w:r>
        <w:rPr/>
        <w:t>probability </w:t>
      </w:r>
      <w:r>
        <w:rPr>
          <w:rFonts w:ascii="Calibri" w:hAnsi="Calibri"/>
          <w:i/>
        </w:rPr>
        <w:t>d </w:t>
      </w:r>
      <w:r>
        <w:rPr/>
        <w:t>and teleports uniformly with probability </w:t>
      </w:r>
      <w:r>
        <w:rPr>
          <w:rFonts w:ascii="Calibri" w:hAnsi="Calibri"/>
        </w:rPr>
        <w:t>1 </w:t>
      </w:r>
      <w:r>
        <w:rPr>
          <w:rFonts w:ascii="Lucida Sans Unicode" w:hAnsi="Lucida Sans Unicode"/>
        </w:rPr>
        <w:t>—</w:t>
      </w:r>
      <w:r>
        <w:rPr>
          <w:rFonts w:ascii="Lucida Sans Unicode" w:hAnsi="Lucida Sans Unicode"/>
          <w:spacing w:val="-14"/>
        </w:rPr>
        <w:t> </w:t>
      </w:r>
      <w:r>
        <w:rPr>
          <w:rFonts w:ascii="Calibri" w:hAnsi="Calibri"/>
          <w:i/>
        </w:rPr>
        <w:t>d </w:t>
      </w:r>
      <w:r>
        <w:rPr/>
        <w:t>(Figure </w:t>
      </w:r>
      <w:hyperlink w:history="true" w:anchor="_bookmark27">
        <w:r>
          <w:rPr/>
          <w:t>2.2</w:t>
        </w:r>
      </w:hyperlink>
      <w:r>
        <w:rPr/>
        <w:t>).</w:t>
      </w:r>
      <w:r>
        <w:rPr>
          <w:spacing w:val="40"/>
        </w:rPr>
        <w:t> </w:t>
      </w:r>
      <w:r>
        <w:rPr/>
        <w:t>The stationary distribution ranks nodes</w:t>
      </w:r>
      <w:r>
        <w:rPr>
          <w:spacing w:val="-7"/>
        </w:rPr>
        <w:t> </w:t>
      </w:r>
      <w:r>
        <w:rPr/>
        <w:t>by</w:t>
      </w:r>
      <w:r>
        <w:rPr>
          <w:spacing w:val="-7"/>
        </w:rPr>
        <w:t> </w:t>
      </w:r>
      <w:r>
        <w:rPr/>
        <w:t>long-run</w:t>
      </w:r>
      <w:r>
        <w:rPr>
          <w:spacing w:val="-7"/>
        </w:rPr>
        <w:t> </w:t>
      </w:r>
      <w:r>
        <w:rPr/>
        <w:t>visit</w:t>
      </w:r>
      <w:r>
        <w:rPr>
          <w:spacing w:val="-7"/>
        </w:rPr>
        <w:t> </w:t>
      </w:r>
      <w:r>
        <w:rPr/>
        <w:t>frequency. Damping</w:t>
      </w:r>
      <w:r>
        <w:rPr>
          <w:spacing w:val="-7"/>
        </w:rPr>
        <w:t> </w:t>
      </w:r>
      <w:r>
        <w:rPr/>
        <w:t>prevents</w:t>
      </w:r>
      <w:r>
        <w:rPr>
          <w:spacing w:val="-7"/>
        </w:rPr>
        <w:t> </w:t>
      </w:r>
      <w:r>
        <w:rPr/>
        <w:t>sinks</w:t>
      </w:r>
      <w:r>
        <w:rPr>
          <w:spacing w:val="-7"/>
        </w:rPr>
        <w:t> </w:t>
      </w:r>
      <w:r>
        <w:rPr/>
        <w:t>from</w:t>
      </w:r>
      <w:r>
        <w:rPr>
          <w:spacing w:val="-7"/>
        </w:rPr>
        <w:t> </w:t>
      </w:r>
      <w:r>
        <w:rPr/>
        <w:t>trapping</w:t>
      </w:r>
      <w:r>
        <w:rPr>
          <w:spacing w:val="-7"/>
        </w:rPr>
        <w:t> </w:t>
      </w:r>
      <w:r>
        <w:rPr/>
        <w:t>all</w:t>
      </w:r>
      <w:r>
        <w:rPr>
          <w:spacing w:val="-7"/>
        </w:rPr>
        <w:t> </w:t>
      </w:r>
      <w:r>
        <w:rPr/>
        <w:t>mass</w:t>
      </w:r>
      <w:r>
        <w:rPr>
          <w:spacing w:val="-7"/>
        </w:rPr>
        <w:t> </w:t>
      </w:r>
      <w:r>
        <w:rPr/>
        <w:t>and</w:t>
      </w:r>
      <w:r>
        <w:rPr>
          <w:spacing w:val="-7"/>
        </w:rPr>
        <w:t> </w:t>
      </w:r>
      <w:r>
        <w:rPr/>
        <w:t>guarantees </w:t>
      </w:r>
      <w:bookmarkStart w:name="Power iteration and complexity" w:id="46"/>
      <w:bookmarkEnd w:id="46"/>
      <w:r>
        <w:rPr/>
        <w:t>primitivity</w:t>
      </w:r>
      <w:r>
        <w:rPr/>
        <w:t> of </w:t>
      </w:r>
      <w:r>
        <w:rPr>
          <w:rFonts w:ascii="Calibri" w:hAnsi="Calibri"/>
          <w:i/>
        </w:rPr>
        <w:t>G</w:t>
      </w:r>
      <w:r>
        <w:rPr>
          <w:vertAlign w:val="subscript"/>
        </w:rPr>
        <w:t>PR</w:t>
      </w:r>
      <w:r>
        <w:rPr>
          <w:vertAlign w:val="baseline"/>
        </w:rPr>
        <w:t> under mild conditions, so the Perron vector is unique </w:t>
      </w:r>
      <w:hyperlink w:history="true" w:anchor="_bookmark173">
        <w:r>
          <w:rPr>
            <w:vertAlign w:val="superscript"/>
          </w:rPr>
          <w:t>[40]</w:t>
        </w:r>
      </w:hyperlink>
      <w:r>
        <w:rPr>
          <w:vertAlign w:val="baseline"/>
        </w:rPr>
        <w:t>.</w:t>
      </w:r>
    </w:p>
    <w:p>
      <w:pPr>
        <w:pStyle w:val="BodyText"/>
        <w:spacing w:line="456" w:lineRule="exact" w:before="182"/>
        <w:ind w:left="282" w:right="558"/>
        <w:jc w:val="both"/>
      </w:pPr>
      <w:r>
        <w:rPr>
          <w:i/>
        </w:rPr>
        <w:t>방정식 (2.3)은 확률론적 해석을 허용합니다. 서퍼는 확률 d로 나가는 가장자리를 따르고 확률 1 – d로 균일하게 순간이동합니다(그림 2.2). 고정 분포는 장기 방문 빈도를 기준으로 노드 순위를 매깁니다. 감쇠는 흡수원이 모든 질량을 가두는 것을 방지하고 온화한 조건에서 GPR의 원시성을 보장하므로 페론 벡터는 고유합니다[40].</w:t>
      </w:r>
    </w:p>
    <w:p>
      <w:pPr>
        <w:pStyle w:val="BodyText"/>
        <w:spacing w:before="148"/>
      </w:pPr>
    </w:p>
    <w:p>
      <w:pPr>
        <w:pStyle w:val="Heading4"/>
        <w:numPr>
          <w:ilvl w:val="2"/>
          <w:numId w:val="8"/>
        </w:numPr>
        <w:tabs>
          <w:tab w:pos="879" w:val="left" w:leader="none"/>
        </w:tabs>
        <w:spacing w:line="240" w:lineRule="auto" w:before="0" w:after="0"/>
        <w:ind w:left="879" w:right="0" w:hanging="597"/>
        <w:jc w:val="both"/>
      </w:pPr>
      <w:r>
        <w:rPr/>
        <w:t>Power</w:t>
      </w:r>
      <w:r>
        <w:rPr>
          <w:spacing w:val="-11"/>
        </w:rPr>
        <w:t> </w:t>
      </w:r>
      <w:r>
        <w:rPr/>
        <w:t>iteration</w:t>
      </w:r>
      <w:r>
        <w:rPr>
          <w:spacing w:val="-11"/>
        </w:rPr>
        <w:t> </w:t>
      </w:r>
      <w:r>
        <w:rPr/>
        <w:t>and</w:t>
      </w:r>
      <w:r>
        <w:rPr>
          <w:spacing w:val="-11"/>
        </w:rPr>
        <w:t> </w:t>
      </w:r>
      <w:r>
        <w:rPr>
          <w:spacing w:val="-2"/>
        </w:rPr>
        <w:t>complexity</w:t>
      </w:r>
    </w:p>
    <w:p>
      <w:pPr>
        <w:pStyle w:val="Heading4"/>
        <w:numPr>
          <w:ilvl w:val="2"/>
          <w:numId w:val="8"/>
        </w:numPr>
        <w:tabs>
          <w:tab w:pos="879" w:val="left" w:leader="none"/>
        </w:tabs>
        <w:spacing w:line="240" w:lineRule="auto" w:before="0" w:after="0"/>
        <w:ind w:left="879" w:right="0" w:hanging="597"/>
        <w:jc w:val="both"/>
      </w:pPr>
      <w:r>
        <w:rPr>
          <w:i/>
        </w:rPr>
        <w:t>전력 반복 및 복잡성</w:t>
      </w:r>
    </w:p>
    <w:p>
      <w:pPr>
        <w:pStyle w:val="BodyText"/>
        <w:spacing w:before="42"/>
        <w:rPr>
          <w:b/>
        </w:rPr>
      </w:pPr>
    </w:p>
    <w:p>
      <w:pPr>
        <w:pStyle w:val="BodyText"/>
        <w:ind w:left="282"/>
        <w:jc w:val="both"/>
      </w:pPr>
      <w:r>
        <w:rPr/>
        <w:t>In</w:t>
      </w:r>
      <w:r>
        <w:rPr>
          <w:spacing w:val="-2"/>
        </w:rPr>
        <w:t> </w:t>
      </w:r>
      <w:r>
        <w:rPr/>
        <w:t>practice</w:t>
      </w:r>
      <w:r>
        <w:rPr>
          <w:spacing w:val="-2"/>
        </w:rPr>
        <w:t> </w:t>
      </w:r>
      <w:r>
        <w:rPr>
          <w:rFonts w:ascii="Calibri" w:hAnsi="Calibri"/>
          <w:b/>
          <w:i/>
        </w:rPr>
        <w:t>π</w:t>
      </w:r>
      <w:r>
        <w:rPr>
          <w:rFonts w:ascii="Calibri" w:hAnsi="Calibri"/>
          <w:b/>
          <w:i/>
          <w:spacing w:val="13"/>
        </w:rPr>
        <w:t> </w:t>
      </w:r>
      <w:r>
        <w:rPr/>
        <w:t>is</w:t>
      </w:r>
      <w:r>
        <w:rPr>
          <w:spacing w:val="-2"/>
        </w:rPr>
        <w:t> </w:t>
      </w:r>
      <w:r>
        <w:rPr/>
        <w:t>computed</w:t>
      </w:r>
      <w:r>
        <w:rPr>
          <w:spacing w:val="-2"/>
        </w:rPr>
        <w:t> </w:t>
      </w:r>
      <w:r>
        <w:rPr/>
        <w:t>by</w:t>
      </w:r>
      <w:r>
        <w:rPr>
          <w:spacing w:val="-2"/>
        </w:rPr>
        <w:t> </w:t>
      </w:r>
      <w:r>
        <w:rPr/>
        <w:t>power</w:t>
      </w:r>
      <w:r>
        <w:rPr>
          <w:spacing w:val="-2"/>
        </w:rPr>
        <w:t> iteration:</w:t>
      </w:r>
    </w:p>
    <w:p>
      <w:pPr>
        <w:pStyle w:val="BodyText"/>
        <w:ind w:left="282"/>
        <w:jc w:val="both"/>
      </w:pPr>
      <w:r>
        <w:rPr>
          <w:i/>
        </w:rPr>
        <w:t>실제로 π는 거듭제곱 반복으로 계산됩니다.</w:t>
      </w:r>
    </w:p>
    <w:p>
      <w:pPr>
        <w:pStyle w:val="BodyText"/>
        <w:spacing w:before="241"/>
      </w:pPr>
    </w:p>
    <w:p>
      <w:pPr>
        <w:tabs>
          <w:tab w:pos="9196" w:val="left" w:leader="none"/>
        </w:tabs>
        <w:spacing w:before="0"/>
        <w:ind w:left="4092" w:right="0" w:firstLine="0"/>
        <w:jc w:val="left"/>
        <w:rPr>
          <w:sz w:val="24"/>
        </w:rPr>
      </w:pPr>
      <w:r>
        <w:rPr>
          <w:rFonts w:ascii="Calibri" w:hAnsi="Calibri"/>
          <w:b/>
          <w:i/>
          <w:w w:val="120"/>
          <w:sz w:val="24"/>
        </w:rPr>
        <w:t>π</w:t>
      </w:r>
      <w:r>
        <w:rPr>
          <w:rFonts w:ascii="Calibri" w:hAnsi="Calibri"/>
          <w:w w:val="120"/>
          <w:position w:val="10"/>
          <w:sz w:val="16"/>
        </w:rPr>
        <w:t>(</w:t>
      </w:r>
      <w:r>
        <w:rPr>
          <w:rFonts w:ascii="Cambria" w:hAnsi="Cambria"/>
          <w:w w:val="120"/>
          <w:position w:val="10"/>
          <w:sz w:val="16"/>
        </w:rPr>
        <w:t>t</w:t>
      </w:r>
      <w:r>
        <w:rPr>
          <w:rFonts w:ascii="Calibri" w:hAnsi="Calibri"/>
          <w:w w:val="120"/>
          <w:position w:val="10"/>
          <w:sz w:val="16"/>
        </w:rPr>
        <w:t>+1)</w:t>
      </w:r>
      <w:r>
        <w:rPr>
          <w:rFonts w:ascii="Calibri" w:hAnsi="Calibri"/>
          <w:spacing w:val="67"/>
          <w:w w:val="125"/>
          <w:position w:val="10"/>
          <w:sz w:val="16"/>
        </w:rPr>
        <w:t> </w:t>
      </w:r>
      <w:r>
        <w:rPr>
          <w:rFonts w:ascii="Calibri" w:hAnsi="Calibri"/>
          <w:w w:val="125"/>
          <w:sz w:val="24"/>
        </w:rPr>
        <w:t>=</w:t>
      </w:r>
      <w:r>
        <w:rPr>
          <w:rFonts w:ascii="Calibri" w:hAnsi="Calibri"/>
          <w:spacing w:val="30"/>
          <w:w w:val="125"/>
          <w:sz w:val="24"/>
        </w:rPr>
        <w:t> </w:t>
      </w:r>
      <w:r>
        <w:rPr>
          <w:rFonts w:ascii="Calibri" w:hAnsi="Calibri"/>
          <w:i/>
          <w:spacing w:val="-2"/>
          <w:w w:val="120"/>
          <w:sz w:val="24"/>
        </w:rPr>
        <w:t>G</w:t>
      </w:r>
      <w:r>
        <w:rPr>
          <w:spacing w:val="-2"/>
          <w:w w:val="120"/>
          <w:position w:val="-3"/>
          <w:sz w:val="16"/>
        </w:rPr>
        <w:t>PR</w:t>
      </w:r>
      <w:r>
        <w:rPr>
          <w:rFonts w:ascii="Calibri" w:hAnsi="Calibri"/>
          <w:b/>
          <w:i/>
          <w:spacing w:val="-2"/>
          <w:w w:val="120"/>
          <w:sz w:val="24"/>
        </w:rPr>
        <w:t>π</w:t>
      </w:r>
      <w:r>
        <w:rPr>
          <w:rFonts w:ascii="Calibri" w:hAnsi="Calibri"/>
          <w:spacing w:val="-2"/>
          <w:w w:val="120"/>
          <w:position w:val="10"/>
          <w:sz w:val="16"/>
        </w:rPr>
        <w:t>(</w:t>
      </w:r>
      <w:r>
        <w:rPr>
          <w:rFonts w:ascii="Cambria" w:hAnsi="Cambria"/>
          <w:spacing w:val="-2"/>
          <w:w w:val="120"/>
          <w:position w:val="10"/>
          <w:sz w:val="16"/>
        </w:rPr>
        <w:t>t</w:t>
      </w:r>
      <w:r>
        <w:rPr>
          <w:rFonts w:ascii="Calibri" w:hAnsi="Calibri"/>
          <w:spacing w:val="-2"/>
          <w:w w:val="120"/>
          <w:position w:val="10"/>
          <w:sz w:val="16"/>
        </w:rPr>
        <w:t>)</w:t>
      </w:r>
      <w:r>
        <w:rPr>
          <w:rFonts w:ascii="Calibri" w:hAnsi="Calibri"/>
          <w:i/>
          <w:spacing w:val="-2"/>
          <w:w w:val="120"/>
          <w:sz w:val="24"/>
        </w:rPr>
        <w:t>,</w:t>
      </w:r>
      <w:r>
        <w:rPr>
          <w:rFonts w:ascii="Calibri" w:hAnsi="Calibri"/>
          <w:i/>
          <w:sz w:val="24"/>
        </w:rPr>
        <w:tab/>
      </w:r>
      <w:r>
        <w:rPr>
          <w:spacing w:val="-2"/>
          <w:w w:val="120"/>
          <w:sz w:val="24"/>
        </w:rPr>
        <w:t>(2.4)</w:t>
      </w:r>
    </w:p>
    <w:p>
      <w:pPr>
        <w:spacing w:after="0"/>
        <w:jc w:val="left"/>
        <w:rPr>
          <w:sz w:val="24"/>
        </w:rPr>
        <w:sectPr>
          <w:type w:val="continuous"/>
          <w:pgSz w:w="11910" w:h="16840"/>
          <w:pgMar w:header="0" w:footer="2115" w:top="1920" w:bottom="280" w:left="992" w:right="708"/>
        </w:sectPr>
      </w:pPr>
    </w:p>
    <w:p>
      <w:pPr>
        <w:spacing w:line="240" w:lineRule="auto"/>
        <w:ind w:left="2873" w:right="0" w:firstLine="0"/>
        <w:rPr>
          <w:sz w:val="20"/>
        </w:rPr>
      </w:pPr>
      <w:r>
        <w:rPr>
          <w:sz w:val="20"/>
        </w:rPr>
        <mc:AlternateContent>
          <mc:Choice Requires="wps">
            <w:drawing>
              <wp:inline distT="0" distB="0" distL="0" distR="0">
                <wp:extent cx="2651125" cy="1355090"/>
                <wp:effectExtent l="9525" t="0" r="0" b="6984"/>
                <wp:docPr id="47" name="Group 47"/>
                <wp:cNvGraphicFramePr>
                  <a:graphicFrameLocks/>
                </wp:cNvGraphicFramePr>
                <a:graphic>
                  <a:graphicData uri="http://schemas.microsoft.com/office/word/2010/wordprocessingGroup">
                    <wpg:wgp>
                      <wpg:cNvPr id="47" name="Group 47"/>
                      <wpg:cNvGrpSpPr/>
                      <wpg:grpSpPr>
                        <a:xfrm>
                          <a:off x="0" y="0"/>
                          <a:ext cx="2651125" cy="1355090"/>
                          <a:chExt cx="2651125" cy="1355090"/>
                        </a:xfrm>
                      </wpg:grpSpPr>
                      <wps:wsp>
                        <wps:cNvPr id="48" name="Graphic 48"/>
                        <wps:cNvSpPr/>
                        <wps:spPr>
                          <a:xfrm>
                            <a:off x="2530" y="2530"/>
                            <a:ext cx="2646045" cy="1350010"/>
                          </a:xfrm>
                          <a:custGeom>
                            <a:avLst/>
                            <a:gdLst/>
                            <a:ahLst/>
                            <a:cxnLst/>
                            <a:rect l="l" t="t" r="r" b="b"/>
                            <a:pathLst>
                              <a:path w="2646045" h="1350010">
                                <a:moveTo>
                                  <a:pt x="342003" y="675005"/>
                                </a:moveTo>
                                <a:lnTo>
                                  <a:pt x="335894" y="629546"/>
                                </a:lnTo>
                                <a:lnTo>
                                  <a:pt x="318656" y="588697"/>
                                </a:lnTo>
                                <a:lnTo>
                                  <a:pt x="291918" y="554088"/>
                                </a:lnTo>
                                <a:lnTo>
                                  <a:pt x="257309" y="527350"/>
                                </a:lnTo>
                                <a:lnTo>
                                  <a:pt x="216460" y="510112"/>
                                </a:lnTo>
                                <a:lnTo>
                                  <a:pt x="171001" y="504003"/>
                                </a:lnTo>
                                <a:lnTo>
                                  <a:pt x="125542" y="510112"/>
                                </a:lnTo>
                                <a:lnTo>
                                  <a:pt x="84693" y="527350"/>
                                </a:lnTo>
                                <a:lnTo>
                                  <a:pt x="50084" y="554088"/>
                                </a:lnTo>
                                <a:lnTo>
                                  <a:pt x="23346" y="588697"/>
                                </a:lnTo>
                                <a:lnTo>
                                  <a:pt x="6108" y="629546"/>
                                </a:lnTo>
                                <a:lnTo>
                                  <a:pt x="0" y="675005"/>
                                </a:lnTo>
                                <a:lnTo>
                                  <a:pt x="6108" y="720464"/>
                                </a:lnTo>
                                <a:lnTo>
                                  <a:pt x="23346" y="761313"/>
                                </a:lnTo>
                                <a:lnTo>
                                  <a:pt x="50084" y="795922"/>
                                </a:lnTo>
                                <a:lnTo>
                                  <a:pt x="84693" y="822660"/>
                                </a:lnTo>
                                <a:lnTo>
                                  <a:pt x="125542" y="839898"/>
                                </a:lnTo>
                                <a:lnTo>
                                  <a:pt x="171001" y="846007"/>
                                </a:lnTo>
                                <a:lnTo>
                                  <a:pt x="216460" y="839898"/>
                                </a:lnTo>
                                <a:lnTo>
                                  <a:pt x="257309" y="822660"/>
                                </a:lnTo>
                                <a:lnTo>
                                  <a:pt x="291918" y="795922"/>
                                </a:lnTo>
                                <a:lnTo>
                                  <a:pt x="318656" y="761313"/>
                                </a:lnTo>
                                <a:lnTo>
                                  <a:pt x="335894" y="720464"/>
                                </a:lnTo>
                                <a:lnTo>
                                  <a:pt x="342003" y="675005"/>
                                </a:lnTo>
                                <a:close/>
                              </a:path>
                              <a:path w="2646045" h="1350010">
                                <a:moveTo>
                                  <a:pt x="1494016" y="171001"/>
                                </a:moveTo>
                                <a:lnTo>
                                  <a:pt x="1487908" y="125542"/>
                                </a:lnTo>
                                <a:lnTo>
                                  <a:pt x="1470669" y="84693"/>
                                </a:lnTo>
                                <a:lnTo>
                                  <a:pt x="1443931" y="50084"/>
                                </a:lnTo>
                                <a:lnTo>
                                  <a:pt x="1409322" y="23346"/>
                                </a:lnTo>
                                <a:lnTo>
                                  <a:pt x="1368474" y="6108"/>
                                </a:lnTo>
                                <a:lnTo>
                                  <a:pt x="1323014" y="0"/>
                                </a:lnTo>
                                <a:lnTo>
                                  <a:pt x="1277555" y="6108"/>
                                </a:lnTo>
                                <a:lnTo>
                                  <a:pt x="1236706" y="23346"/>
                                </a:lnTo>
                                <a:lnTo>
                                  <a:pt x="1202097" y="50084"/>
                                </a:lnTo>
                                <a:lnTo>
                                  <a:pt x="1175359" y="84693"/>
                                </a:lnTo>
                                <a:lnTo>
                                  <a:pt x="1158121" y="125542"/>
                                </a:lnTo>
                                <a:lnTo>
                                  <a:pt x="1152013" y="171001"/>
                                </a:lnTo>
                                <a:lnTo>
                                  <a:pt x="1158121" y="216460"/>
                                </a:lnTo>
                                <a:lnTo>
                                  <a:pt x="1175359" y="257309"/>
                                </a:lnTo>
                                <a:lnTo>
                                  <a:pt x="1202097" y="291918"/>
                                </a:lnTo>
                                <a:lnTo>
                                  <a:pt x="1236706" y="318656"/>
                                </a:lnTo>
                                <a:lnTo>
                                  <a:pt x="1277555" y="335894"/>
                                </a:lnTo>
                                <a:lnTo>
                                  <a:pt x="1323014" y="342003"/>
                                </a:lnTo>
                                <a:lnTo>
                                  <a:pt x="1368474" y="335894"/>
                                </a:lnTo>
                                <a:lnTo>
                                  <a:pt x="1409322" y="318656"/>
                                </a:lnTo>
                                <a:lnTo>
                                  <a:pt x="1443931" y="291918"/>
                                </a:lnTo>
                                <a:lnTo>
                                  <a:pt x="1470669" y="257309"/>
                                </a:lnTo>
                                <a:lnTo>
                                  <a:pt x="1487908" y="216460"/>
                                </a:lnTo>
                                <a:lnTo>
                                  <a:pt x="1494016" y="171001"/>
                                </a:lnTo>
                                <a:close/>
                              </a:path>
                              <a:path w="2646045" h="1350010">
                                <a:moveTo>
                                  <a:pt x="1494016" y="1179009"/>
                                </a:moveTo>
                                <a:lnTo>
                                  <a:pt x="1487908" y="1133550"/>
                                </a:lnTo>
                                <a:lnTo>
                                  <a:pt x="1470669" y="1092701"/>
                                </a:lnTo>
                                <a:lnTo>
                                  <a:pt x="1443931" y="1058092"/>
                                </a:lnTo>
                                <a:lnTo>
                                  <a:pt x="1409322" y="1031354"/>
                                </a:lnTo>
                                <a:lnTo>
                                  <a:pt x="1368474" y="1014116"/>
                                </a:lnTo>
                                <a:lnTo>
                                  <a:pt x="1323014" y="1008007"/>
                                </a:lnTo>
                                <a:lnTo>
                                  <a:pt x="1277555" y="1014116"/>
                                </a:lnTo>
                                <a:lnTo>
                                  <a:pt x="1236706" y="1031354"/>
                                </a:lnTo>
                                <a:lnTo>
                                  <a:pt x="1202097" y="1058092"/>
                                </a:lnTo>
                                <a:lnTo>
                                  <a:pt x="1175359" y="1092701"/>
                                </a:lnTo>
                                <a:lnTo>
                                  <a:pt x="1158121" y="1133550"/>
                                </a:lnTo>
                                <a:lnTo>
                                  <a:pt x="1152013" y="1179009"/>
                                </a:lnTo>
                                <a:lnTo>
                                  <a:pt x="1158121" y="1224468"/>
                                </a:lnTo>
                                <a:lnTo>
                                  <a:pt x="1175359" y="1265317"/>
                                </a:lnTo>
                                <a:lnTo>
                                  <a:pt x="1202097" y="1299926"/>
                                </a:lnTo>
                                <a:lnTo>
                                  <a:pt x="1236706" y="1326664"/>
                                </a:lnTo>
                                <a:lnTo>
                                  <a:pt x="1277555" y="1343902"/>
                                </a:lnTo>
                                <a:lnTo>
                                  <a:pt x="1323014" y="1350011"/>
                                </a:lnTo>
                                <a:lnTo>
                                  <a:pt x="1368474" y="1343902"/>
                                </a:lnTo>
                                <a:lnTo>
                                  <a:pt x="1409322" y="1326664"/>
                                </a:lnTo>
                                <a:lnTo>
                                  <a:pt x="1443931" y="1299926"/>
                                </a:lnTo>
                                <a:lnTo>
                                  <a:pt x="1470669" y="1265317"/>
                                </a:lnTo>
                                <a:lnTo>
                                  <a:pt x="1487908" y="1224468"/>
                                </a:lnTo>
                                <a:lnTo>
                                  <a:pt x="1494016" y="1179009"/>
                                </a:lnTo>
                                <a:close/>
                              </a:path>
                              <a:path w="2646045" h="1350010">
                                <a:moveTo>
                                  <a:pt x="2646029" y="675005"/>
                                </a:moveTo>
                                <a:lnTo>
                                  <a:pt x="2639921" y="629546"/>
                                </a:lnTo>
                                <a:lnTo>
                                  <a:pt x="2622683" y="588697"/>
                                </a:lnTo>
                                <a:lnTo>
                                  <a:pt x="2595944" y="554088"/>
                                </a:lnTo>
                                <a:lnTo>
                                  <a:pt x="2561336" y="527350"/>
                                </a:lnTo>
                                <a:lnTo>
                                  <a:pt x="2520487" y="510112"/>
                                </a:lnTo>
                                <a:lnTo>
                                  <a:pt x="2475027" y="504003"/>
                                </a:lnTo>
                                <a:lnTo>
                                  <a:pt x="2429568" y="510112"/>
                                </a:lnTo>
                                <a:lnTo>
                                  <a:pt x="2388719" y="527350"/>
                                </a:lnTo>
                                <a:lnTo>
                                  <a:pt x="2354111" y="554088"/>
                                </a:lnTo>
                                <a:lnTo>
                                  <a:pt x="2327372" y="588697"/>
                                </a:lnTo>
                                <a:lnTo>
                                  <a:pt x="2310134" y="629546"/>
                                </a:lnTo>
                                <a:lnTo>
                                  <a:pt x="2304026" y="675005"/>
                                </a:lnTo>
                                <a:lnTo>
                                  <a:pt x="2310134" y="720464"/>
                                </a:lnTo>
                                <a:lnTo>
                                  <a:pt x="2327372" y="761313"/>
                                </a:lnTo>
                                <a:lnTo>
                                  <a:pt x="2354111" y="795922"/>
                                </a:lnTo>
                                <a:lnTo>
                                  <a:pt x="2388719" y="822660"/>
                                </a:lnTo>
                                <a:lnTo>
                                  <a:pt x="2429568" y="839898"/>
                                </a:lnTo>
                                <a:lnTo>
                                  <a:pt x="2475027" y="846007"/>
                                </a:lnTo>
                                <a:lnTo>
                                  <a:pt x="2520487" y="839898"/>
                                </a:lnTo>
                                <a:lnTo>
                                  <a:pt x="2561336" y="822660"/>
                                </a:lnTo>
                                <a:lnTo>
                                  <a:pt x="2595944" y="795922"/>
                                </a:lnTo>
                                <a:lnTo>
                                  <a:pt x="2622683" y="761313"/>
                                </a:lnTo>
                                <a:lnTo>
                                  <a:pt x="2639921" y="720464"/>
                                </a:lnTo>
                                <a:lnTo>
                                  <a:pt x="2646029" y="675005"/>
                                </a:lnTo>
                                <a:close/>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332505" y="265759"/>
                            <a:ext cx="782320" cy="342265"/>
                          </a:xfrm>
                          <a:custGeom>
                            <a:avLst/>
                            <a:gdLst/>
                            <a:ahLst/>
                            <a:cxnLst/>
                            <a:rect l="l" t="t" r="r" b="b"/>
                            <a:pathLst>
                              <a:path w="782320" h="342265">
                                <a:moveTo>
                                  <a:pt x="0" y="342227"/>
                                </a:moveTo>
                                <a:lnTo>
                                  <a:pt x="782228" y="0"/>
                                </a:lnTo>
                              </a:path>
                            </a:pathLst>
                          </a:custGeom>
                          <a:ln w="10122">
                            <a:solidFill>
                              <a:srgbClr val="000000"/>
                            </a:solidFill>
                            <a:prstDash val="solid"/>
                          </a:ln>
                        </wps:spPr>
                        <wps:bodyPr wrap="square" lIns="0" tIns="0" rIns="0" bIns="0" rtlCol="0">
                          <a:prstTxWarp prst="textNoShape">
                            <a:avLst/>
                          </a:prstTxWarp>
                          <a:noAutofit/>
                        </wps:bodyPr>
                      </wps:wsp>
                      <wps:wsp>
                        <wps:cNvPr id="50" name="Graphic 50"/>
                        <wps:cNvSpPr/>
                        <wps:spPr>
                          <a:xfrm>
                            <a:off x="1090123" y="248858"/>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1090123" y="248858"/>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52" name="Graphic 52"/>
                        <wps:cNvSpPr/>
                        <wps:spPr>
                          <a:xfrm>
                            <a:off x="332505" y="747085"/>
                            <a:ext cx="782320" cy="342265"/>
                          </a:xfrm>
                          <a:custGeom>
                            <a:avLst/>
                            <a:gdLst/>
                            <a:ahLst/>
                            <a:cxnLst/>
                            <a:rect l="l" t="t" r="r" b="b"/>
                            <a:pathLst>
                              <a:path w="782320" h="342265">
                                <a:moveTo>
                                  <a:pt x="0" y="0"/>
                                </a:moveTo>
                                <a:lnTo>
                                  <a:pt x="782228" y="342227"/>
                                </a:lnTo>
                              </a:path>
                            </a:pathLst>
                          </a:custGeom>
                          <a:ln w="10122">
                            <a:solidFill>
                              <a:srgbClr val="000000"/>
                            </a:solidFill>
                            <a:prstDash val="solid"/>
                          </a:ln>
                        </wps:spPr>
                        <wps:bodyPr wrap="square" lIns="0" tIns="0" rIns="0" bIns="0" rtlCol="0">
                          <a:prstTxWarp prst="textNoShape">
                            <a:avLst/>
                          </a:prstTxWarp>
                          <a:noAutofit/>
                        </wps:bodyPr>
                      </wps:wsp>
                      <wps:wsp>
                        <wps:cNvPr id="53" name="Graphic 53"/>
                        <wps:cNvSpPr/>
                        <wps:spPr>
                          <a:xfrm>
                            <a:off x="1090123" y="1061965"/>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090123" y="1061965"/>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5" name="Graphic 55"/>
                        <wps:cNvSpPr/>
                        <wps:spPr>
                          <a:xfrm>
                            <a:off x="1484519" y="243081"/>
                            <a:ext cx="782320" cy="342265"/>
                          </a:xfrm>
                          <a:custGeom>
                            <a:avLst/>
                            <a:gdLst/>
                            <a:ahLst/>
                            <a:cxnLst/>
                            <a:rect l="l" t="t" r="r" b="b"/>
                            <a:pathLst>
                              <a:path w="782320" h="342265">
                                <a:moveTo>
                                  <a:pt x="0" y="0"/>
                                </a:moveTo>
                                <a:lnTo>
                                  <a:pt x="782227" y="342226"/>
                                </a:lnTo>
                              </a:path>
                            </a:pathLst>
                          </a:custGeom>
                          <a:ln w="10122">
                            <a:solidFill>
                              <a:srgbClr val="000000"/>
                            </a:solidFill>
                            <a:prstDash val="solid"/>
                          </a:ln>
                        </wps:spPr>
                        <wps:bodyPr wrap="square" lIns="0" tIns="0" rIns="0" bIns="0" rtlCol="0">
                          <a:prstTxWarp prst="textNoShape">
                            <a:avLst/>
                          </a:prstTxWarp>
                          <a:noAutofit/>
                        </wps:bodyPr>
                      </wps:wsp>
                      <wps:wsp>
                        <wps:cNvPr id="56" name="Graphic 56"/>
                        <wps:cNvSpPr/>
                        <wps:spPr>
                          <a:xfrm>
                            <a:off x="2242136" y="557961"/>
                            <a:ext cx="63500" cy="44450"/>
                          </a:xfrm>
                          <a:custGeom>
                            <a:avLst/>
                            <a:gdLst/>
                            <a:ahLst/>
                            <a:cxnLst/>
                            <a:rect l="l" t="t" r="r" b="b"/>
                            <a:pathLst>
                              <a:path w="63500" h="44450">
                                <a:moveTo>
                                  <a:pt x="17941" y="0"/>
                                </a:moveTo>
                                <a:lnTo>
                                  <a:pt x="26928" y="28360"/>
                                </a:lnTo>
                                <a:lnTo>
                                  <a:pt x="0" y="41008"/>
                                </a:lnTo>
                                <a:lnTo>
                                  <a:pt x="63242" y="44248"/>
                                </a:lnTo>
                                <a:lnTo>
                                  <a:pt x="17941"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42136" y="557961"/>
                            <a:ext cx="63500" cy="44450"/>
                          </a:xfrm>
                          <a:custGeom>
                            <a:avLst/>
                            <a:gdLst/>
                            <a:ahLst/>
                            <a:cxnLst/>
                            <a:rect l="l" t="t" r="r" b="b"/>
                            <a:pathLst>
                              <a:path w="63500" h="44450">
                                <a:moveTo>
                                  <a:pt x="63242" y="44248"/>
                                </a:moveTo>
                                <a:lnTo>
                                  <a:pt x="17941" y="0"/>
                                </a:lnTo>
                                <a:lnTo>
                                  <a:pt x="26928" y="28360"/>
                                </a:lnTo>
                                <a:lnTo>
                                  <a:pt x="0" y="41008"/>
                                </a:lnTo>
                                <a:lnTo>
                                  <a:pt x="63242" y="44248"/>
                                </a:lnTo>
                                <a:close/>
                              </a:path>
                            </a:pathLst>
                          </a:custGeom>
                          <a:ln w="10121">
                            <a:solidFill>
                              <a:srgbClr val="000000"/>
                            </a:solidFill>
                            <a:prstDash val="solid"/>
                          </a:ln>
                        </wps:spPr>
                        <wps:bodyPr wrap="square" lIns="0" tIns="0" rIns="0" bIns="0" rtlCol="0">
                          <a:prstTxWarp prst="textNoShape">
                            <a:avLst/>
                          </a:prstTxWarp>
                          <a:noAutofit/>
                        </wps:bodyPr>
                      </wps:wsp>
                      <wps:wsp>
                        <wps:cNvPr id="58" name="Graphic 58"/>
                        <wps:cNvSpPr/>
                        <wps:spPr>
                          <a:xfrm>
                            <a:off x="1484519" y="769763"/>
                            <a:ext cx="782320" cy="342265"/>
                          </a:xfrm>
                          <a:custGeom>
                            <a:avLst/>
                            <a:gdLst/>
                            <a:ahLst/>
                            <a:cxnLst/>
                            <a:rect l="l" t="t" r="r" b="b"/>
                            <a:pathLst>
                              <a:path w="782320" h="342265">
                                <a:moveTo>
                                  <a:pt x="0" y="342226"/>
                                </a:moveTo>
                                <a:lnTo>
                                  <a:pt x="782227" y="0"/>
                                </a:lnTo>
                              </a:path>
                            </a:pathLst>
                          </a:custGeom>
                          <a:ln w="10122">
                            <a:solidFill>
                              <a:srgbClr val="000000"/>
                            </a:solidFill>
                            <a:prstDash val="solid"/>
                          </a:ln>
                        </wps:spPr>
                        <wps:bodyPr wrap="square" lIns="0" tIns="0" rIns="0" bIns="0" rtlCol="0">
                          <a:prstTxWarp prst="textNoShape">
                            <a:avLst/>
                          </a:prstTxWarp>
                          <a:noAutofit/>
                        </wps:bodyPr>
                      </wps:wsp>
                      <wps:wsp>
                        <wps:cNvPr id="59" name="Graphic 59"/>
                        <wps:cNvSpPr/>
                        <wps:spPr>
                          <a:xfrm>
                            <a:off x="2242136" y="752861"/>
                            <a:ext cx="63500" cy="44450"/>
                          </a:xfrm>
                          <a:custGeom>
                            <a:avLst/>
                            <a:gdLst/>
                            <a:ahLst/>
                            <a:cxnLst/>
                            <a:rect l="l" t="t" r="r" b="b"/>
                            <a:pathLst>
                              <a:path w="63500" h="44450">
                                <a:moveTo>
                                  <a:pt x="0" y="3239"/>
                                </a:moveTo>
                                <a:lnTo>
                                  <a:pt x="26928" y="15887"/>
                                </a:lnTo>
                                <a:lnTo>
                                  <a:pt x="17941" y="44248"/>
                                </a:lnTo>
                                <a:lnTo>
                                  <a:pt x="63242" y="0"/>
                                </a:lnTo>
                                <a:lnTo>
                                  <a:pt x="0" y="3239"/>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242136" y="752861"/>
                            <a:ext cx="63500" cy="44450"/>
                          </a:xfrm>
                          <a:custGeom>
                            <a:avLst/>
                            <a:gdLst/>
                            <a:ahLst/>
                            <a:cxnLst/>
                            <a:rect l="l" t="t" r="r" b="b"/>
                            <a:pathLst>
                              <a:path w="63500" h="44450">
                                <a:moveTo>
                                  <a:pt x="63242" y="0"/>
                                </a:moveTo>
                                <a:lnTo>
                                  <a:pt x="0" y="3239"/>
                                </a:lnTo>
                                <a:lnTo>
                                  <a:pt x="26928" y="15887"/>
                                </a:lnTo>
                                <a:lnTo>
                                  <a:pt x="17941" y="44248"/>
                                </a:lnTo>
                                <a:lnTo>
                                  <a:pt x="63242" y="0"/>
                                </a:lnTo>
                                <a:close/>
                              </a:path>
                            </a:pathLst>
                          </a:custGeom>
                          <a:ln w="10121">
                            <a:solidFill>
                              <a:srgbClr val="000000"/>
                            </a:solidFill>
                            <a:prstDash val="solid"/>
                          </a:ln>
                        </wps:spPr>
                        <wps:bodyPr wrap="square" lIns="0" tIns="0" rIns="0" bIns="0" rtlCol="0">
                          <a:prstTxWarp prst="textNoShape">
                            <a:avLst/>
                          </a:prstTxWarp>
                          <a:noAutofit/>
                        </wps:bodyPr>
                      </wps:wsp>
                      <wps:wsp>
                        <wps:cNvPr id="61" name="Graphic 61"/>
                        <wps:cNvSpPr/>
                        <wps:spPr>
                          <a:xfrm>
                            <a:off x="382085" y="750871"/>
                            <a:ext cx="1938655" cy="249554"/>
                          </a:xfrm>
                          <a:custGeom>
                            <a:avLst/>
                            <a:gdLst/>
                            <a:ahLst/>
                            <a:cxnLst/>
                            <a:rect l="l" t="t" r="r" b="b"/>
                            <a:pathLst>
                              <a:path w="1938655" h="249554">
                                <a:moveTo>
                                  <a:pt x="1938201" y="0"/>
                                </a:moveTo>
                                <a:lnTo>
                                  <a:pt x="1886962" y="23406"/>
                                </a:lnTo>
                                <a:lnTo>
                                  <a:pt x="1836135" y="45645"/>
                                </a:lnTo>
                                <a:lnTo>
                                  <a:pt x="1785703" y="66718"/>
                                </a:lnTo>
                                <a:lnTo>
                                  <a:pt x="1735651" y="86626"/>
                                </a:lnTo>
                                <a:lnTo>
                                  <a:pt x="1685960" y="105373"/>
                                </a:lnTo>
                                <a:lnTo>
                                  <a:pt x="1636616" y="122959"/>
                                </a:lnTo>
                                <a:lnTo>
                                  <a:pt x="1587602" y="139388"/>
                                </a:lnTo>
                                <a:lnTo>
                                  <a:pt x="1538901" y="154661"/>
                                </a:lnTo>
                                <a:lnTo>
                                  <a:pt x="1490497" y="168780"/>
                                </a:lnTo>
                                <a:lnTo>
                                  <a:pt x="1442373" y="181748"/>
                                </a:lnTo>
                                <a:lnTo>
                                  <a:pt x="1394513" y="193566"/>
                                </a:lnTo>
                                <a:lnTo>
                                  <a:pt x="1346900" y="204237"/>
                                </a:lnTo>
                                <a:lnTo>
                                  <a:pt x="1299519" y="213762"/>
                                </a:lnTo>
                                <a:lnTo>
                                  <a:pt x="1252353" y="222144"/>
                                </a:lnTo>
                                <a:lnTo>
                                  <a:pt x="1205384" y="229385"/>
                                </a:lnTo>
                                <a:lnTo>
                                  <a:pt x="1158598" y="235487"/>
                                </a:lnTo>
                                <a:lnTo>
                                  <a:pt x="1111977" y="240452"/>
                                </a:lnTo>
                                <a:lnTo>
                                  <a:pt x="1065505" y="244282"/>
                                </a:lnTo>
                                <a:lnTo>
                                  <a:pt x="1019166" y="246979"/>
                                </a:lnTo>
                                <a:lnTo>
                                  <a:pt x="972943" y="248545"/>
                                </a:lnTo>
                                <a:lnTo>
                                  <a:pt x="926819" y="248982"/>
                                </a:lnTo>
                                <a:lnTo>
                                  <a:pt x="880779" y="248293"/>
                                </a:lnTo>
                                <a:lnTo>
                                  <a:pt x="834806" y="246480"/>
                                </a:lnTo>
                                <a:lnTo>
                                  <a:pt x="788883" y="243543"/>
                                </a:lnTo>
                                <a:lnTo>
                                  <a:pt x="742994" y="239487"/>
                                </a:lnTo>
                                <a:lnTo>
                                  <a:pt x="697123" y="234312"/>
                                </a:lnTo>
                                <a:lnTo>
                                  <a:pt x="651253" y="228021"/>
                                </a:lnTo>
                                <a:lnTo>
                                  <a:pt x="605368" y="220616"/>
                                </a:lnTo>
                                <a:lnTo>
                                  <a:pt x="559451" y="212099"/>
                                </a:lnTo>
                                <a:lnTo>
                                  <a:pt x="513486" y="202472"/>
                                </a:lnTo>
                                <a:lnTo>
                                  <a:pt x="467456" y="191737"/>
                                </a:lnTo>
                                <a:lnTo>
                                  <a:pt x="421346" y="179896"/>
                                </a:lnTo>
                                <a:lnTo>
                                  <a:pt x="375138" y="166952"/>
                                </a:lnTo>
                                <a:lnTo>
                                  <a:pt x="328816" y="152906"/>
                                </a:lnTo>
                                <a:lnTo>
                                  <a:pt x="282365" y="137760"/>
                                </a:lnTo>
                                <a:lnTo>
                                  <a:pt x="235766" y="121517"/>
                                </a:lnTo>
                                <a:lnTo>
                                  <a:pt x="189005" y="104179"/>
                                </a:lnTo>
                                <a:lnTo>
                                  <a:pt x="142064" y="85747"/>
                                </a:lnTo>
                                <a:lnTo>
                                  <a:pt x="94927" y="66224"/>
                                </a:lnTo>
                                <a:lnTo>
                                  <a:pt x="47578" y="45612"/>
                                </a:lnTo>
                                <a:lnTo>
                                  <a:pt x="0" y="23912"/>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343866" y="756963"/>
                            <a:ext cx="63500" cy="45720"/>
                          </a:xfrm>
                          <a:custGeom>
                            <a:avLst/>
                            <a:gdLst/>
                            <a:ahLst/>
                            <a:cxnLst/>
                            <a:rect l="l" t="t" r="r" b="b"/>
                            <a:pathLst>
                              <a:path w="63500" h="45720">
                                <a:moveTo>
                                  <a:pt x="44233" y="45320"/>
                                </a:moveTo>
                                <a:lnTo>
                                  <a:pt x="35925" y="16751"/>
                                </a:lnTo>
                                <a:lnTo>
                                  <a:pt x="63150" y="4751"/>
                                </a:lnTo>
                                <a:lnTo>
                                  <a:pt x="0" y="0"/>
                                </a:lnTo>
                                <a:lnTo>
                                  <a:pt x="44233" y="4532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43866" y="756963"/>
                            <a:ext cx="63500" cy="45720"/>
                          </a:xfrm>
                          <a:custGeom>
                            <a:avLst/>
                            <a:gdLst/>
                            <a:ahLst/>
                            <a:cxnLst/>
                            <a:rect l="l" t="t" r="r" b="b"/>
                            <a:pathLst>
                              <a:path w="63500" h="45720">
                                <a:moveTo>
                                  <a:pt x="0" y="0"/>
                                </a:moveTo>
                                <a:lnTo>
                                  <a:pt x="44233" y="45320"/>
                                </a:lnTo>
                                <a:lnTo>
                                  <a:pt x="35925" y="16751"/>
                                </a:lnTo>
                                <a:lnTo>
                                  <a:pt x="63150" y="4751"/>
                                </a:lnTo>
                                <a:lnTo>
                                  <a:pt x="0" y="0"/>
                                </a:lnTo>
                                <a:close/>
                              </a:path>
                            </a:pathLst>
                          </a:custGeom>
                          <a:ln w="10121">
                            <a:solidFill>
                              <a:srgbClr val="000000"/>
                            </a:solidFill>
                            <a:prstDash val="solid"/>
                          </a:ln>
                        </wps:spPr>
                        <wps:bodyPr wrap="square" lIns="0" tIns="0" rIns="0" bIns="0" rtlCol="0">
                          <a:prstTxWarp prst="textNoShape">
                            <a:avLst/>
                          </a:prstTxWarp>
                          <a:noAutofit/>
                        </wps:bodyPr>
                      </wps:wsp>
                      <wps:wsp>
                        <wps:cNvPr id="64" name="Textbox 64"/>
                        <wps:cNvSpPr txBox="1"/>
                        <wps:spPr>
                          <a:xfrm>
                            <a:off x="1256829" y="104260"/>
                            <a:ext cx="158750" cy="164465"/>
                          </a:xfrm>
                          <a:prstGeom prst="rect">
                            <a:avLst/>
                          </a:prstGeom>
                        </wps:spPr>
                        <wps:txbx>
                          <w:txbxContent>
                            <w:p>
                              <w:pPr>
                                <w:spacing w:line="243" w:lineRule="exact" w:before="0"/>
                                <w:ind w:left="20" w:right="0" w:firstLine="0"/>
                                <w:jc w:val="left"/>
                                <w:rPr>
                                  <w:rFonts w:ascii="Calibri"/>
                                  <w:i/>
                                  <w:sz w:val="22"/>
                                </w:rPr>
                              </w:pPr>
                              <w:bookmarkStart w:name="_bookmark27" w:id="47"/>
                              <w:bookmarkEnd w:id="47"/>
                              <w:r>
                                <w:rPr/>
                              </w:r>
                              <w:r>
                                <w:rPr>
                                  <w:rFonts w:ascii="Calibri"/>
                                  <w:i/>
                                  <w:spacing w:val="-10"/>
                                  <w:w w:val="140"/>
                                  <w:sz w:val="22"/>
                                </w:rPr>
                                <w:t>B</w:t>
                              </w:r>
                            </w:p>
                          </w:txbxContent>
                        </wps:txbx>
                        <wps:bodyPr wrap="square" lIns="0" tIns="0" rIns="0" bIns="0" rtlCol="0">
                          <a:noAutofit/>
                        </wps:bodyPr>
                      </wps:wsp>
                      <wps:wsp>
                        <wps:cNvPr id="65" name="Textbox 65"/>
                        <wps:cNvSpPr txBox="1"/>
                        <wps:spPr>
                          <a:xfrm>
                            <a:off x="108876" y="608259"/>
                            <a:ext cx="157480"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0"/>
                                  <w:sz w:val="22"/>
                                </w:rPr>
                                <w:t>A</w:t>
                              </w:r>
                            </w:p>
                          </w:txbxContent>
                        </wps:txbx>
                        <wps:bodyPr wrap="square" lIns="0" tIns="0" rIns="0" bIns="0" rtlCol="0">
                          <a:noAutofit/>
                        </wps:bodyPr>
                      </wps:wsp>
                      <wps:wsp>
                        <wps:cNvPr id="66" name="Textbox 66"/>
                        <wps:cNvSpPr txBox="1"/>
                        <wps:spPr>
                          <a:xfrm>
                            <a:off x="2405582" y="608259"/>
                            <a:ext cx="168275"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5"/>
                                  <w:sz w:val="22"/>
                                </w:rPr>
                                <w:t>D</w:t>
                              </w:r>
                            </w:p>
                          </w:txbxContent>
                        </wps:txbx>
                        <wps:bodyPr wrap="square" lIns="0" tIns="0" rIns="0" bIns="0" rtlCol="0">
                          <a:noAutofit/>
                        </wps:bodyPr>
                      </wps:wsp>
                      <wps:wsp>
                        <wps:cNvPr id="67" name="Textbox 67"/>
                        <wps:cNvSpPr txBox="1"/>
                        <wps:spPr>
                          <a:xfrm>
                            <a:off x="1258378" y="1112271"/>
                            <a:ext cx="152400" cy="164465"/>
                          </a:xfrm>
                          <a:prstGeom prst="rect">
                            <a:avLst/>
                          </a:prstGeom>
                        </wps:spPr>
                        <wps:txbx>
                          <w:txbxContent>
                            <w:p>
                              <w:pPr>
                                <w:spacing w:line="243" w:lineRule="exact" w:before="0"/>
                                <w:ind w:left="20" w:right="0" w:firstLine="0"/>
                                <w:jc w:val="left"/>
                                <w:rPr>
                                  <w:rFonts w:ascii="Calibri"/>
                                  <w:i/>
                                  <w:sz w:val="22"/>
                                </w:rPr>
                              </w:pPr>
                              <w:r>
                                <w:rPr>
                                  <w:rFonts w:ascii="Calibri"/>
                                  <w:i/>
                                  <w:spacing w:val="-10"/>
                                  <w:w w:val="135"/>
                                  <w:sz w:val="22"/>
                                </w:rPr>
                                <w:t>C</w:t>
                              </w:r>
                            </w:p>
                          </w:txbxContent>
                        </wps:txbx>
                        <wps:bodyPr wrap="square" lIns="0" tIns="0" rIns="0" bIns="0" rtlCol="0">
                          <a:noAutofit/>
                        </wps:bodyPr>
                      </wps:wsp>
                    </wpg:wgp>
                  </a:graphicData>
                </a:graphic>
              </wp:inline>
            </w:drawing>
          </mc:Choice>
          <mc:Fallback>
            <w:pict>
              <v:group style="width:208.75pt;height:106.7pt;mso-position-horizontal-relative:char;mso-position-vertical-relative:line" id="docshapegroup37" coordorigin="0,0" coordsize="4175,2134">
                <v:shape style="position:absolute;left:3;top:3;width:4167;height:2126" id="docshape38" coordorigin="4,4" coordsize="4167,2126" path="m543,1067l533,995,506,931,464,877,409,834,345,807,273,798,202,807,137,834,83,877,41,931,14,995,4,1067,14,1139,41,1203,83,1257,137,1300,202,1327,273,1336,345,1327,409,1300,464,1257,506,1203,533,1139,543,1067xm2357,273l2347,202,2320,137,2278,83,2223,41,2159,14,2087,4,2016,14,1952,41,1897,83,1855,137,1828,202,1818,273,1828,345,1855,409,1897,464,1952,506,2016,533,2087,543,2159,533,2223,506,2278,464,2320,409,2347,345,2357,273xm2357,1861l2347,1789,2320,1725,2278,1670,2223,1628,2159,1601,2087,1591,2016,1601,1952,1628,1897,1670,1855,1725,1828,1789,1818,1861,1828,1932,1855,1997,1897,2051,1952,2093,2016,2120,2087,2130,2159,2120,2223,2093,2278,2051,2320,1997,2347,1932,2357,1861xm4171,1067l4161,995,4134,931,4092,877,4038,834,3973,807,3902,798,3830,807,3766,834,3711,877,3669,931,3642,995,3632,1067,3642,1139,3669,1203,3711,1257,3766,1300,3830,1327,3902,1336,3973,1327,4038,1300,4092,1257,4134,1203,4161,1139,4171,1067xe" filled="false" stroked="true" strokeweight=".3985pt" strokecolor="#000000">
                  <v:path arrowok="t"/>
                  <v:stroke dashstyle="solid"/>
                </v:shape>
                <v:line style="position:absolute" from="524,957" to="1755,419" stroked="true" strokeweight=".79701pt" strokecolor="#000000">
                  <v:stroke dashstyle="solid"/>
                </v:line>
                <v:shape style="position:absolute;left:1716;top:391;width:100;height:70" id="docshape39" coordorigin="1717,392" coordsize="100,70" path="m1717,397l1759,417,1745,462,1816,392,1717,397xe" filled="true" fillcolor="#000000" stroked="false">
                  <v:path arrowok="t"/>
                  <v:fill type="solid"/>
                </v:shape>
                <v:shape style="position:absolute;left:1716;top:391;width:100;height:70" id="docshape40" coordorigin="1717,392" coordsize="100,70" path="m1816,392l1717,397,1759,417,1745,462,1816,392xe" filled="false" stroked="true" strokeweight=".796959pt" strokecolor="#000000">
                  <v:path arrowok="t"/>
                  <v:stroke dashstyle="solid"/>
                </v:shape>
                <v:line style="position:absolute" from="524,1177" to="1755,1715" stroked="true" strokeweight=".79701pt" strokecolor="#000000">
                  <v:stroke dashstyle="solid"/>
                </v:line>
                <v:shape style="position:absolute;left:1716;top:1672;width:100;height:70" id="docshape41" coordorigin="1717,1672" coordsize="100,70" path="m1745,1672l1759,1717,1717,1737,1816,1742,1745,1672xe" filled="true" fillcolor="#000000" stroked="false">
                  <v:path arrowok="t"/>
                  <v:fill type="solid"/>
                </v:shape>
                <v:shape style="position:absolute;left:1716;top:1672;width:100;height:70" id="docshape42" coordorigin="1717,1672" coordsize="100,70" path="m1816,1742l1745,1672,1759,1717,1717,1737,1816,1742xe" filled="false" stroked="true" strokeweight=".796959pt" strokecolor="#000000">
                  <v:path arrowok="t"/>
                  <v:stroke dashstyle="solid"/>
                </v:shape>
                <v:line style="position:absolute" from="2338,383" to="3570,922" stroked="true" strokeweight=".79701pt" strokecolor="#000000">
                  <v:stroke dashstyle="solid"/>
                </v:line>
                <v:shape style="position:absolute;left:3530;top:878;width:100;height:70" id="docshape43" coordorigin="3531,879" coordsize="100,70" path="m3559,879l3573,923,3531,943,3631,948,3559,879xe" filled="true" fillcolor="#000000" stroked="false">
                  <v:path arrowok="t"/>
                  <v:fill type="solid"/>
                </v:shape>
                <v:shape style="position:absolute;left:3530;top:878;width:100;height:70" id="docshape44" coordorigin="3531,879" coordsize="100,70" path="m3631,948l3559,879,3573,923,3531,943,3631,948xe" filled="false" stroked="true" strokeweight=".796959pt" strokecolor="#000000">
                  <v:path arrowok="t"/>
                  <v:stroke dashstyle="solid"/>
                </v:shape>
                <v:line style="position:absolute" from="2338,1751" to="3570,1212" stroked="true" strokeweight=".79701pt" strokecolor="#000000">
                  <v:stroke dashstyle="solid"/>
                </v:line>
                <v:shape style="position:absolute;left:3530;top:1185;width:100;height:70" id="docshape45" coordorigin="3531,1186" coordsize="100,70" path="m3531,1191l3573,1211,3559,1255,3631,1186,3531,1191xe" filled="true" fillcolor="#000000" stroked="false">
                  <v:path arrowok="t"/>
                  <v:fill type="solid"/>
                </v:shape>
                <v:shape style="position:absolute;left:3530;top:1185;width:100;height:70" id="docshape46" coordorigin="3531,1186" coordsize="100,70" path="m3631,1186l3531,1191,3573,1211,3559,1255,3631,1186xe" filled="false" stroked="true" strokeweight=".796959pt" strokecolor="#000000">
                  <v:path arrowok="t"/>
                  <v:stroke dashstyle="solid"/>
                </v:shape>
                <v:shape style="position:absolute;left:601;top:1182;width:3053;height:393" id="docshape47" coordorigin="602,1182" coordsize="3053,393" path="m3654,1182l3573,1219,3493,1254,3414,1288,3335,1319,3257,1348,3179,1376,3102,1402,3025,1426,2949,1448,2873,1469,2798,1487,2723,1504,2648,1519,2574,1532,2500,1544,2426,1553,2353,1561,2280,1567,2207,1571,2134,1574,2061,1575,1989,1573,1916,1571,1844,1566,1772,1560,1700,1551,1627,1542,1555,1530,1483,1516,1410,1501,1338,1484,1265,1466,1192,1445,1120,1423,1046,1399,973,1374,899,1347,825,1318,751,1287,677,1254,602,1220e" filled="false" stroked="true" strokeweight=".79701pt" strokecolor="#000000">
                  <v:path arrowok="t"/>
                  <v:stroke dashstyle="dash"/>
                </v:shape>
                <v:shape style="position:absolute;left:541;top:1192;width:100;height:72" id="docshape48" coordorigin="542,1192" coordsize="100,72" path="m611,1263l598,1218,641,1200,542,1192,611,1263xe" filled="true" fillcolor="#000000" stroked="false">
                  <v:path arrowok="t"/>
                  <v:fill type="solid"/>
                </v:shape>
                <v:shape style="position:absolute;left:541;top:1192;width:100;height:72" id="docshape49" coordorigin="542,1192" coordsize="100,72" path="m542,1192l611,1263,598,1218,641,1200,542,1192xe" filled="false" stroked="true" strokeweight=".796998pt" strokecolor="#000000">
                  <v:path arrowok="t"/>
                  <v:stroke dashstyle="solid"/>
                </v:shape>
                <v:shape style="position:absolute;left:1979;top:164;width:250;height:259" type="#_x0000_t202" id="docshape50" filled="false" stroked="false">
                  <v:textbox inset="0,0,0,0">
                    <w:txbxContent>
                      <w:p>
                        <w:pPr>
                          <w:spacing w:line="243" w:lineRule="exact" w:before="0"/>
                          <w:ind w:left="20" w:right="0" w:firstLine="0"/>
                          <w:jc w:val="left"/>
                          <w:rPr>
                            <w:rFonts w:ascii="Calibri"/>
                            <w:i/>
                            <w:sz w:val="22"/>
                          </w:rPr>
                        </w:pPr>
                        <w:bookmarkStart w:name="_bookmark27" w:id="48"/>
                        <w:bookmarkEnd w:id="48"/>
                        <w:r>
                          <w:rPr/>
                        </w:r>
                        <w:r>
                          <w:rPr>
                            <w:rFonts w:ascii="Calibri"/>
                            <w:i/>
                            <w:spacing w:val="-10"/>
                            <w:w w:val="140"/>
                            <w:sz w:val="22"/>
                          </w:rPr>
                          <w:t>B</w:t>
                        </w:r>
                      </w:p>
                    </w:txbxContent>
                  </v:textbox>
                  <w10:wrap type="none"/>
                </v:shape>
                <v:shape style="position:absolute;left:171;top:957;width:248;height:259" type="#_x0000_t202" id="docshape51" filled="false" stroked="false">
                  <v:textbox inset="0,0,0,0">
                    <w:txbxContent>
                      <w:p>
                        <w:pPr>
                          <w:spacing w:line="243" w:lineRule="exact" w:before="0"/>
                          <w:ind w:left="20" w:right="0" w:firstLine="0"/>
                          <w:jc w:val="left"/>
                          <w:rPr>
                            <w:rFonts w:ascii="Calibri"/>
                            <w:i/>
                            <w:sz w:val="22"/>
                          </w:rPr>
                        </w:pPr>
                        <w:r>
                          <w:rPr>
                            <w:rFonts w:ascii="Calibri"/>
                            <w:i/>
                            <w:spacing w:val="-10"/>
                            <w:w w:val="130"/>
                            <w:sz w:val="22"/>
                          </w:rPr>
                          <w:t>A</w:t>
                        </w:r>
                      </w:p>
                    </w:txbxContent>
                  </v:textbox>
                  <w10:wrap type="none"/>
                </v:shape>
                <v:shape style="position:absolute;left:3788;top:957;width:265;height:259" type="#_x0000_t202" id="docshape52" filled="false" stroked="false">
                  <v:textbox inset="0,0,0,0">
                    <w:txbxContent>
                      <w:p>
                        <w:pPr>
                          <w:spacing w:line="243" w:lineRule="exact" w:before="0"/>
                          <w:ind w:left="20" w:right="0" w:firstLine="0"/>
                          <w:jc w:val="left"/>
                          <w:rPr>
                            <w:rFonts w:ascii="Calibri"/>
                            <w:i/>
                            <w:sz w:val="22"/>
                          </w:rPr>
                        </w:pPr>
                        <w:r>
                          <w:rPr>
                            <w:rFonts w:ascii="Calibri"/>
                            <w:i/>
                            <w:spacing w:val="-10"/>
                            <w:w w:val="135"/>
                            <w:sz w:val="22"/>
                          </w:rPr>
                          <w:t>D</w:t>
                        </w:r>
                      </w:p>
                    </w:txbxContent>
                  </v:textbox>
                  <w10:wrap type="none"/>
                </v:shape>
                <v:shape style="position:absolute;left:1981;top:1751;width:240;height:259" type="#_x0000_t202" id="docshape53" filled="false" stroked="false">
                  <v:textbox inset="0,0,0,0">
                    <w:txbxContent>
                      <w:p>
                        <w:pPr>
                          <w:spacing w:line="243" w:lineRule="exact" w:before="0"/>
                          <w:ind w:left="20" w:right="0" w:firstLine="0"/>
                          <w:jc w:val="left"/>
                          <w:rPr>
                            <w:rFonts w:ascii="Calibri"/>
                            <w:i/>
                            <w:sz w:val="22"/>
                          </w:rPr>
                        </w:pPr>
                        <w:r>
                          <w:rPr>
                            <w:rFonts w:ascii="Calibri"/>
                            <w:i/>
                            <w:spacing w:val="-10"/>
                            <w:w w:val="135"/>
                            <w:sz w:val="22"/>
                          </w:rPr>
                          <w:t>C</w:t>
                        </w:r>
                      </w:p>
                    </w:txbxContent>
                  </v:textbox>
                  <w10:wrap type="none"/>
                </v:shape>
              </v:group>
            </w:pict>
          </mc:Fallback>
        </mc:AlternateContent>
      </w:r>
      <w:r>
        <w:rPr>
          <w:sz w:val="20"/>
        </w:rPr>
      </w:r>
    </w:p>
    <w:p>
      <w:pPr>
        <w:pStyle w:val="BodyText"/>
        <w:rPr>
          <w:sz w:val="16"/>
        </w:rPr>
      </w:pPr>
    </w:p>
    <w:p>
      <w:pPr>
        <w:pStyle w:val="BodyText"/>
        <w:spacing w:before="5"/>
        <w:rPr>
          <w:sz w:val="16"/>
        </w:rPr>
      </w:pPr>
    </w:p>
    <w:p>
      <w:pPr>
        <w:spacing w:before="0"/>
        <w:ind w:left="774" w:right="1057" w:firstLine="0"/>
        <w:jc w:val="center"/>
        <w:rPr>
          <w:sz w:val="16"/>
        </w:rPr>
      </w:pPr>
      <w:r>
        <w:rPr>
          <w:sz w:val="16"/>
        </w:rPr>
        <w:t>solid:</w:t>
      </w:r>
      <w:r>
        <w:rPr>
          <w:spacing w:val="14"/>
          <w:sz w:val="16"/>
        </w:rPr>
        <w:t> </w:t>
      </w:r>
      <w:r>
        <w:rPr>
          <w:sz w:val="16"/>
        </w:rPr>
        <w:t>follow edge (prob. </w:t>
      </w:r>
      <w:r>
        <w:rPr>
          <w:rFonts w:ascii="Cambria" w:hAnsi="Cambria"/>
          <w:sz w:val="16"/>
        </w:rPr>
        <w:t>d</w:t>
      </w:r>
      <w:r>
        <w:rPr>
          <w:sz w:val="16"/>
        </w:rPr>
        <w:t>);</w:t>
      </w:r>
      <w:r>
        <w:rPr>
          <w:spacing w:val="-1"/>
          <w:sz w:val="16"/>
        </w:rPr>
        <w:t> </w:t>
      </w:r>
      <w:r>
        <w:rPr>
          <w:sz w:val="16"/>
        </w:rPr>
        <w:t>dashed:</w:t>
      </w:r>
      <w:r>
        <w:rPr>
          <w:spacing w:val="15"/>
          <w:sz w:val="16"/>
        </w:rPr>
        <w:t> </w:t>
      </w:r>
      <w:r>
        <w:rPr>
          <w:sz w:val="16"/>
        </w:rPr>
        <w:t>teleport (prob. </w:t>
      </w:r>
      <w:r>
        <w:rPr>
          <w:rFonts w:ascii="Calibri" w:hAnsi="Calibri"/>
          <w:sz w:val="16"/>
        </w:rPr>
        <w:t>1</w:t>
      </w:r>
      <w:r>
        <w:rPr>
          <w:rFonts w:ascii="Calibri" w:hAnsi="Calibri"/>
          <w:spacing w:val="1"/>
          <w:sz w:val="16"/>
        </w:rPr>
        <w:t> </w:t>
      </w:r>
      <w:r>
        <w:rPr>
          <w:rFonts w:ascii="Cambria" w:hAnsi="Cambria"/>
          <w:sz w:val="16"/>
        </w:rPr>
        <w:t>−</w:t>
      </w:r>
      <w:r>
        <w:rPr>
          <w:rFonts w:ascii="Cambria" w:hAnsi="Cambria"/>
          <w:spacing w:val="3"/>
          <w:sz w:val="16"/>
        </w:rPr>
        <w:t> </w:t>
      </w:r>
      <w:r>
        <w:rPr>
          <w:rFonts w:ascii="Cambria" w:hAnsi="Cambria"/>
          <w:spacing w:val="-5"/>
          <w:sz w:val="16"/>
        </w:rPr>
        <w:t>d</w:t>
      </w:r>
      <w:r>
        <w:rPr>
          <w:spacing w:val="-5"/>
          <w:sz w:val="16"/>
        </w:rPr>
        <w:t>)</w:t>
      </w:r>
    </w:p>
    <w:p>
      <w:pPr>
        <w:spacing w:before="0"/>
        <w:ind w:left="774" w:right="1057" w:firstLine="0"/>
        <w:jc w:val="center"/>
        <w:rPr>
          <w:sz w:val="16"/>
        </w:rPr>
      </w:pPr>
      <w:r>
        <w:rPr>
          <w:i/>
        </w:rPr>
        <w:t>실선: 가장자리 따라가기(prob. d), 점선: 순간이동(prob. 1 − d)</w:t>
      </w:r>
    </w:p>
    <w:p>
      <w:pPr>
        <w:pStyle w:val="BodyText"/>
        <w:spacing w:before="65"/>
        <w:rPr>
          <w:sz w:val="16"/>
        </w:rPr>
      </w:pPr>
    </w:p>
    <w:p>
      <w:pPr>
        <w:pStyle w:val="BodyText"/>
        <w:spacing w:line="252" w:lineRule="auto"/>
        <w:ind w:left="282" w:right="563"/>
        <w:jc w:val="both"/>
      </w:pPr>
      <w:r>
        <w:rPr/>
        <w:t>Figure 2.2:</w:t>
      </w:r>
      <w:r>
        <w:rPr>
          <w:spacing w:val="40"/>
        </w:rPr>
        <w:t> </w:t>
      </w:r>
      <w:r>
        <w:rPr/>
        <w:t>Random-surfer intuition for PageRank.</w:t>
      </w:r>
      <w:r>
        <w:rPr>
          <w:spacing w:val="40"/>
        </w:rPr>
        <w:t> </w:t>
      </w:r>
      <w:r>
        <w:rPr/>
        <w:t>Solid arrows are graph transitions; dashed arrows represent teleportation that mixes the chain.</w:t>
      </w:r>
    </w:p>
    <w:p>
      <w:pPr>
        <w:pStyle w:val="BodyText"/>
        <w:spacing w:line="252" w:lineRule="auto"/>
        <w:ind w:left="282" w:right="563"/>
        <w:jc w:val="both"/>
      </w:pPr>
      <w:r>
        <w:rPr>
          <w:i/>
        </w:rPr>
        <w:t>그림 2.2: PageRank에 대한 랜덤 서퍼 직관. 실선 화살표는 그래프 전환이고 점선 화살표는 체인을 혼합하는 순간 이동을 나타냅니다.</w:t>
      </w:r>
    </w:p>
    <w:p>
      <w:pPr>
        <w:pStyle w:val="BodyText"/>
        <w:spacing w:before="17"/>
      </w:pPr>
    </w:p>
    <w:p>
      <w:pPr>
        <w:pStyle w:val="BodyText"/>
        <w:spacing w:line="456" w:lineRule="exact"/>
        <w:ind w:left="282" w:right="523"/>
        <w:jc w:val="both"/>
      </w:pPr>
      <w:r>
        <w:rPr/>
        <w:t>until</w:t>
      </w:r>
      <w:r>
        <w:rPr>
          <w:spacing w:val="40"/>
        </w:rPr>
        <w:t> </w:t>
      </w:r>
      <w:r>
        <w:rPr>
          <w:spacing w:val="-22"/>
          <w:position w:val="-5"/>
        </w:rPr>
        <w:drawing>
          <wp:inline distT="0" distB="0" distL="0" distR="0">
            <wp:extent cx="38100" cy="15240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38100" cy="152400"/>
                    </a:xfrm>
                    <a:prstGeom prst="rect">
                      <a:avLst/>
                    </a:prstGeom>
                  </pic:spPr>
                </pic:pic>
              </a:graphicData>
            </a:graphic>
          </wp:inline>
        </w:drawing>
      </w:r>
      <w:r>
        <w:rPr>
          <w:spacing w:val="-22"/>
          <w:position w:val="-5"/>
        </w:rPr>
      </w:r>
      <w:r>
        <w:rPr>
          <w:spacing w:val="7"/>
        </w:rPr>
        <w:t> </w:t>
      </w:r>
      <w:r>
        <w:rPr>
          <w:rFonts w:ascii="Calibri" w:hAnsi="Calibri"/>
          <w:b/>
          <w:i/>
        </w:rPr>
        <w:t>π</w:t>
      </w:r>
      <w:r>
        <w:rPr>
          <w:rFonts w:ascii="Calibri" w:hAnsi="Calibri"/>
          <w:vertAlign w:val="superscript"/>
        </w:rPr>
        <w:t>(</w:t>
      </w:r>
      <w:r>
        <w:rPr>
          <w:rFonts w:ascii="Cambria" w:hAnsi="Cambria"/>
          <w:vertAlign w:val="superscript"/>
        </w:rPr>
        <w:t>t</w:t>
      </w:r>
      <w:r>
        <w:rPr>
          <w:rFonts w:ascii="Calibri" w:hAnsi="Calibri"/>
          <w:vertAlign w:val="superscript"/>
        </w:rPr>
        <w:t>+1)</w:t>
      </w:r>
      <w:r>
        <w:rPr>
          <w:rFonts w:ascii="Calibri" w:hAnsi="Calibri"/>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b/>
          <w:i/>
          <w:vertAlign w:val="baseline"/>
        </w:rPr>
        <w:t>π</w:t>
      </w:r>
      <w:r>
        <w:rPr>
          <w:rFonts w:ascii="Calibri" w:hAnsi="Calibri"/>
          <w:vertAlign w:val="superscript"/>
        </w:rPr>
        <w:t>(</w:t>
      </w:r>
      <w:r>
        <w:rPr>
          <w:rFonts w:ascii="Cambria" w:hAnsi="Cambria"/>
          <w:vertAlign w:val="superscript"/>
        </w:rPr>
        <w:t>t</w:t>
      </w:r>
      <w:r>
        <w:rPr>
          <w:rFonts w:ascii="Calibri" w:hAnsi="Calibri"/>
          <w:vertAlign w:val="superscript"/>
        </w:rPr>
        <w:t>)</w:t>
      </w:r>
      <w:r>
        <w:rPr>
          <w:rFonts w:ascii="Calibri" w:hAnsi="Calibri"/>
          <w:spacing w:val="-8"/>
          <w:vertAlign w:val="baseline"/>
        </w:rPr>
        <w:t> </w:t>
      </w:r>
      <w:r>
        <w:rPr>
          <w:rFonts w:ascii="Calibri" w:hAnsi="Calibri"/>
          <w:spacing w:val="-15"/>
          <w:position w:val="-5"/>
          <w:vertAlign w:val="baseline"/>
        </w:rPr>
        <w:drawing>
          <wp:inline distT="0" distB="0" distL="0" distR="0">
            <wp:extent cx="38100" cy="1524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38100" cy="152400"/>
                    </a:xfrm>
                    <a:prstGeom prst="rect">
                      <a:avLst/>
                    </a:prstGeom>
                  </pic:spPr>
                </pic:pic>
              </a:graphicData>
            </a:graphic>
          </wp:inline>
        </w:drawing>
      </w:r>
      <w:r>
        <w:rPr>
          <w:rFonts w:ascii="Calibri" w:hAnsi="Calibri"/>
          <w:spacing w:val="-15"/>
          <w:position w:val="-5"/>
          <w:vertAlign w:val="baseline"/>
        </w:rPr>
      </w:r>
      <w:r>
        <w:rPr>
          <w:position w:val="-3"/>
          <w:vertAlign w:val="baseline"/>
        </w:rPr>
        <w:t> </w:t>
      </w:r>
      <w:r>
        <w:rPr>
          <w:rFonts w:ascii="Calibri" w:hAnsi="Calibri"/>
          <w:position w:val="-3"/>
          <w:vertAlign w:val="subscript"/>
        </w:rPr>
        <w:t>1</w:t>
      </w:r>
      <w:r>
        <w:rPr>
          <w:rFonts w:ascii="Calibri" w:hAnsi="Calibri"/>
          <w:spacing w:val="40"/>
          <w:position w:val="-3"/>
          <w:vertAlign w:val="baseline"/>
        </w:rPr>
        <w:t> </w:t>
      </w:r>
      <w:r>
        <w:rPr>
          <w:rFonts w:ascii="Calibri" w:hAnsi="Calibri"/>
          <w:i/>
          <w:vertAlign w:val="baseline"/>
        </w:rPr>
        <w:t>&lt;</w:t>
      </w:r>
      <w:r>
        <w:rPr>
          <w:rFonts w:ascii="Calibri" w:hAnsi="Calibri"/>
          <w:i/>
          <w:spacing w:val="40"/>
          <w:vertAlign w:val="baseline"/>
        </w:rPr>
        <w:t> </w:t>
      </w:r>
      <w:r>
        <w:rPr>
          <w:rFonts w:ascii="Calibri" w:hAnsi="Calibri"/>
          <w:i/>
          <w:vertAlign w:val="baseline"/>
        </w:rPr>
        <w:t>ε </w:t>
      </w:r>
      <w:r>
        <w:rPr>
          <w:vertAlign w:val="baseline"/>
        </w:rPr>
        <w:t>or a maximum iteration count is reached.</w:t>
      </w:r>
      <w:r>
        <w:rPr>
          <w:spacing w:val="40"/>
          <w:vertAlign w:val="baseline"/>
        </w:rPr>
        <w:t> </w:t>
      </w:r>
      <w:r>
        <w:rPr>
          <w:vertAlign w:val="baseline"/>
        </w:rPr>
        <w:t>Each iteration costs </w:t>
      </w:r>
      <w:r>
        <w:rPr>
          <w:rFonts w:ascii="Calibri" w:hAnsi="Calibri"/>
          <w:i/>
          <w:vertAlign w:val="baseline"/>
        </w:rPr>
        <w:t>O</w:t>
      </w:r>
      <w:r>
        <w:rPr>
          <w:rFonts w:ascii="Calibri" w:hAnsi="Calibri"/>
          <w:vertAlign w:val="baseline"/>
        </w:rPr>
        <w:t>(</w:t>
      </w:r>
      <w:r>
        <w:rPr>
          <w:rFonts w:ascii="Lucida Sans Unicode" w:hAnsi="Lucida Sans Unicode"/>
          <w:vertAlign w:val="baseline"/>
        </w:rPr>
        <w:t>|</w:t>
      </w:r>
      <w:r>
        <w:rPr>
          <w:rFonts w:ascii="Calibri" w:hAnsi="Calibri"/>
          <w:i/>
          <w:vertAlign w:val="baseline"/>
        </w:rPr>
        <w:t>E</w:t>
      </w:r>
      <w:r>
        <w:rPr>
          <w:rFonts w:ascii="Lucida Sans Unicode" w:hAnsi="Lucida Sans Unicode"/>
          <w:vertAlign w:val="baseline"/>
        </w:rPr>
        <w:t>|</w:t>
      </w:r>
      <w:r>
        <w:rPr>
          <w:rFonts w:ascii="Calibri" w:hAnsi="Calibri"/>
          <w:vertAlign w:val="baseline"/>
        </w:rPr>
        <w:t>) </w:t>
      </w:r>
      <w:r>
        <w:rPr>
          <w:vertAlign w:val="baseline"/>
        </w:rPr>
        <w:t>arithmetic operations for sparse graphs </w:t>
      </w:r>
      <w:hyperlink w:history="true" w:anchor="_bookmark175">
        <w:r>
          <w:rPr>
            <w:vertAlign w:val="superscript"/>
          </w:rPr>
          <w:t>[42]</w:t>
        </w:r>
      </w:hyperlink>
      <w:r>
        <w:rPr>
          <w:vertAlign w:val="baseline"/>
        </w:rPr>
        <w:t>.</w:t>
      </w:r>
      <w:r>
        <w:rPr>
          <w:spacing w:val="25"/>
          <w:vertAlign w:val="baseline"/>
        </w:rPr>
        <w:t> </w:t>
      </w:r>
      <w:r>
        <w:rPr>
          <w:vertAlign w:val="baseline"/>
        </w:rPr>
        <w:t>Therefore, methods that induce fewer edges—such as latest-allowance</w:t>
      </w:r>
      <w:r>
        <w:rPr>
          <w:spacing w:val="-8"/>
          <w:vertAlign w:val="baseline"/>
        </w:rPr>
        <w:t> </w:t>
      </w:r>
      <w:r>
        <w:rPr>
          <w:vertAlign w:val="baseline"/>
        </w:rPr>
        <w:t>snapshots</w:t>
      </w:r>
      <w:r>
        <w:rPr>
          <w:spacing w:val="-8"/>
          <w:vertAlign w:val="baseline"/>
        </w:rPr>
        <w:t> </w:t>
      </w:r>
      <w:r>
        <w:rPr>
          <w:vertAlign w:val="baseline"/>
        </w:rPr>
        <w:t>versus</w:t>
      </w:r>
      <w:r>
        <w:rPr>
          <w:spacing w:val="-8"/>
          <w:vertAlign w:val="baseline"/>
        </w:rPr>
        <w:t> </w:t>
      </w:r>
      <w:r>
        <w:rPr>
          <w:vertAlign w:val="baseline"/>
        </w:rPr>
        <w:t>full</w:t>
      </w:r>
      <w:r>
        <w:rPr>
          <w:spacing w:val="-8"/>
          <w:vertAlign w:val="baseline"/>
        </w:rPr>
        <w:t> </w:t>
      </w:r>
      <w:r>
        <w:rPr>
          <w:vertAlign w:val="baseline"/>
        </w:rPr>
        <w:t>transfer</w:t>
      </w:r>
      <w:r>
        <w:rPr>
          <w:spacing w:val="-8"/>
          <w:vertAlign w:val="baseline"/>
        </w:rPr>
        <w:t> </w:t>
      </w:r>
      <w:r>
        <w:rPr>
          <w:vertAlign w:val="baseline"/>
        </w:rPr>
        <w:t>histories—reduce</w:t>
      </w:r>
      <w:r>
        <w:rPr>
          <w:spacing w:val="-8"/>
          <w:vertAlign w:val="baseline"/>
        </w:rPr>
        <w:t> </w:t>
      </w:r>
      <w:r>
        <w:rPr>
          <w:vertAlign w:val="baseline"/>
        </w:rPr>
        <w:t>per-iteration</w:t>
      </w:r>
      <w:r>
        <w:rPr>
          <w:spacing w:val="-8"/>
          <w:vertAlign w:val="baseline"/>
        </w:rPr>
        <w:t> </w:t>
      </w:r>
      <w:r>
        <w:rPr>
          <w:vertAlign w:val="baseline"/>
        </w:rPr>
        <w:t>cost</w:t>
      </w:r>
      <w:r>
        <w:rPr>
          <w:spacing w:val="-8"/>
          <w:vertAlign w:val="baseline"/>
        </w:rPr>
        <w:t> </w:t>
      </w:r>
      <w:r>
        <w:rPr>
          <w:vertAlign w:val="baseline"/>
        </w:rPr>
        <w:t>and</w:t>
      </w:r>
      <w:r>
        <w:rPr>
          <w:spacing w:val="-8"/>
          <w:vertAlign w:val="baseline"/>
        </w:rPr>
        <w:t> </w:t>
      </w:r>
      <w:r>
        <w:rPr>
          <w:vertAlign w:val="baseline"/>
        </w:rPr>
        <w:t>often</w:t>
      </w:r>
      <w:r>
        <w:rPr>
          <w:spacing w:val="-8"/>
          <w:vertAlign w:val="baseline"/>
        </w:rPr>
        <w:t> </w:t>
      </w:r>
      <w:r>
        <w:rPr>
          <w:vertAlign w:val="baseline"/>
        </w:rPr>
        <w:t>mem-ory. This complexity observation grounds hypothesis H3.</w:t>
      </w:r>
    </w:p>
    <w:p>
      <w:pPr>
        <w:pStyle w:val="BodyText"/>
        <w:spacing w:line="456" w:lineRule="exact"/>
        <w:ind w:left="282" w:right="523"/>
        <w:jc w:val="both"/>
      </w:pPr>
      <w:r>
        <w:rPr>
          <w:i/>
        </w:rPr>
        <w:t>π(t+1) — π(t) 1 &lt; ε 또는 최대 반복 횟수에 도달할 때까지. 희소 그래프에 대한 각 반복에는 O(|E|) 산술 연산 비용이 듭니다[42]. 따라서 최신 허용 스냅샷과 전체 전송 기록과 같이 더 적은 수의 에지를 유도하는 방법은 반복당 비용과 메모리를 줄입니다. 이러한 복잡성 관찰은 가설 H3을 뒷받침합니다.</w:t>
      </w:r>
    </w:p>
    <w:p>
      <w:pPr>
        <w:pStyle w:val="BodyText"/>
        <w:spacing w:line="360" w:lineRule="auto" w:before="152"/>
        <w:ind w:left="282" w:right="564"/>
        <w:jc w:val="both"/>
      </w:pPr>
      <w:r>
        <w:rPr/>
        <w:t>Default</w:t>
      </w:r>
      <w:r>
        <w:rPr>
          <w:spacing w:val="-7"/>
        </w:rPr>
        <w:t> </w:t>
      </w:r>
      <w:r>
        <w:rPr/>
        <w:t>parameters</w:t>
      </w:r>
      <w:r>
        <w:rPr>
          <w:spacing w:val="-7"/>
        </w:rPr>
        <w:t> </w:t>
      </w:r>
      <w:r>
        <w:rPr/>
        <w:t>in</w:t>
      </w:r>
      <w:r>
        <w:rPr>
          <w:spacing w:val="-7"/>
        </w:rPr>
        <w:t> </w:t>
      </w:r>
      <w:r>
        <w:rPr/>
        <w:t>this</w:t>
      </w:r>
      <w:r>
        <w:rPr>
          <w:spacing w:val="-7"/>
        </w:rPr>
        <w:t> </w:t>
      </w:r>
      <w:r>
        <w:rPr/>
        <w:t>dissertation</w:t>
      </w:r>
      <w:r>
        <w:rPr>
          <w:spacing w:val="-7"/>
        </w:rPr>
        <w:t> </w:t>
      </w:r>
      <w:r>
        <w:rPr/>
        <w:t>use</w:t>
      </w:r>
      <w:r>
        <w:rPr>
          <w:spacing w:val="-7"/>
        </w:rPr>
        <w:t> </w:t>
      </w:r>
      <w:r>
        <w:rPr/>
        <w:t>damping</w:t>
      </w:r>
      <w:r>
        <w:rPr>
          <w:spacing w:val="-7"/>
        </w:rPr>
        <w:t> </w:t>
      </w:r>
      <w:r>
        <w:rPr>
          <w:rFonts w:ascii="Calibri" w:hAnsi="Calibri"/>
          <w:i/>
        </w:rPr>
        <w:t>d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85</w:t>
      </w:r>
      <w:r>
        <w:rPr>
          <w:rFonts w:ascii="Calibri" w:hAnsi="Calibri"/>
          <w:spacing w:val="-1"/>
        </w:rPr>
        <w:t> </w:t>
      </w:r>
      <w:r>
        <w:rPr/>
        <w:t>following</w:t>
      </w:r>
      <w:r>
        <w:rPr>
          <w:spacing w:val="-7"/>
        </w:rPr>
        <w:t> </w:t>
      </w:r>
      <w:r>
        <w:rPr/>
        <w:t>common</w:t>
      </w:r>
      <w:r>
        <w:rPr>
          <w:spacing w:val="-7"/>
        </w:rPr>
        <w:t> </w:t>
      </w:r>
      <w:r>
        <w:rPr/>
        <w:t>practice</w:t>
      </w:r>
      <w:r>
        <w:rPr>
          <w:spacing w:val="-7"/>
        </w:rPr>
        <w:t> </w:t>
      </w:r>
      <w:hyperlink w:history="true" w:anchor="_bookmark182">
        <w:r>
          <w:rPr>
            <w:vertAlign w:val="superscript"/>
          </w:rPr>
          <w:t>[49]</w:t>
        </w:r>
      </w:hyperlink>
      <w:r>
        <w:rPr>
          <w:vertAlign w:val="baseline"/>
        </w:rPr>
        <w:t>,</w:t>
      </w:r>
      <w:r>
        <w:rPr>
          <w:spacing w:val="-6"/>
          <w:vertAlign w:val="baseline"/>
        </w:rPr>
        <w:t> </w:t>
      </w:r>
      <w:r>
        <w:rPr>
          <w:vertAlign w:val="baseline"/>
        </w:rPr>
        <w:t>with convergence</w:t>
      </w:r>
      <w:r>
        <w:rPr>
          <w:spacing w:val="-15"/>
          <w:vertAlign w:val="baseline"/>
        </w:rPr>
        <w:t> </w:t>
      </w:r>
      <w:r>
        <w:rPr>
          <w:vertAlign w:val="baseline"/>
        </w:rPr>
        <w:t>tolerance</w:t>
      </w:r>
      <w:r>
        <w:rPr>
          <w:spacing w:val="-15"/>
          <w:vertAlign w:val="baseline"/>
        </w:rPr>
        <w:t> </w:t>
      </w:r>
      <w:r>
        <w:rPr>
          <w:rFonts w:ascii="Calibri" w:hAnsi="Calibri"/>
          <w:i/>
          <w:vertAlign w:val="baseline"/>
        </w:rPr>
        <w:t>ε</w:t>
      </w:r>
      <w:r>
        <w:rPr>
          <w:rFonts w:ascii="Calibri" w:hAnsi="Calibri"/>
          <w:i/>
          <w:spacing w:val="-13"/>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vertAlign w:val="baseline"/>
        </w:rPr>
        <w:t>10</w:t>
      </w:r>
      <w:r>
        <w:rPr>
          <w:rFonts w:ascii="Cambria" w:hAnsi="Cambria"/>
          <w:vertAlign w:val="superscript"/>
        </w:rPr>
        <w:t>−</w:t>
      </w:r>
      <w:r>
        <w:rPr>
          <w:rFonts w:ascii="Calibri" w:hAnsi="Calibri"/>
          <w:vertAlign w:val="superscript"/>
        </w:rPr>
        <w:t>8</w:t>
      </w:r>
      <w:r>
        <w:rPr>
          <w:rFonts w:ascii="Calibri" w:hAnsi="Calibri"/>
          <w:spacing w:val="-1"/>
          <w:vertAlign w:val="baseline"/>
        </w:rPr>
        <w:t> </w:t>
      </w:r>
      <w:r>
        <w:rPr>
          <w:vertAlign w:val="baseline"/>
        </w:rPr>
        <w:t>and</w:t>
      </w:r>
      <w:r>
        <w:rPr>
          <w:spacing w:val="-15"/>
          <w:vertAlign w:val="baseline"/>
        </w:rPr>
        <w:t> </w:t>
      </w:r>
      <w:r>
        <w:rPr>
          <w:vertAlign w:val="baseline"/>
        </w:rPr>
        <w:t>a</w:t>
      </w:r>
      <w:r>
        <w:rPr>
          <w:spacing w:val="-15"/>
          <w:vertAlign w:val="baseline"/>
        </w:rPr>
        <w:t> </w:t>
      </w:r>
      <w:r>
        <w:rPr>
          <w:vertAlign w:val="baseline"/>
        </w:rPr>
        <w:t>maximum</w:t>
      </w:r>
      <w:r>
        <w:rPr>
          <w:spacing w:val="-15"/>
          <w:vertAlign w:val="baseline"/>
        </w:rPr>
        <w:t> </w:t>
      </w:r>
      <w:r>
        <w:rPr>
          <w:vertAlign w:val="baseline"/>
        </w:rPr>
        <w:t>of</w:t>
      </w:r>
      <w:r>
        <w:rPr>
          <w:spacing w:val="-15"/>
          <w:vertAlign w:val="baseline"/>
        </w:rPr>
        <w:t> </w:t>
      </w:r>
      <w:r>
        <w:rPr>
          <w:rFonts w:ascii="Calibri" w:hAnsi="Calibri"/>
          <w:vertAlign w:val="baseline"/>
        </w:rPr>
        <w:t>300</w:t>
      </w:r>
      <w:r>
        <w:rPr>
          <w:rFonts w:ascii="Calibri" w:hAnsi="Calibri"/>
          <w:spacing w:val="-10"/>
          <w:vertAlign w:val="baseline"/>
        </w:rPr>
        <w:t> </w:t>
      </w:r>
      <w:r>
        <w:rPr>
          <w:vertAlign w:val="baseline"/>
        </w:rPr>
        <w:t>iterations</w:t>
      </w:r>
      <w:r>
        <w:rPr>
          <w:spacing w:val="-15"/>
          <w:vertAlign w:val="baseline"/>
        </w:rPr>
        <w:t> </w:t>
      </w:r>
      <w:r>
        <w:rPr>
          <w:vertAlign w:val="baseline"/>
        </w:rPr>
        <w:t>as</w:t>
      </w:r>
      <w:r>
        <w:rPr>
          <w:spacing w:val="-15"/>
          <w:vertAlign w:val="baseline"/>
        </w:rPr>
        <w:t> </w:t>
      </w:r>
      <w:r>
        <w:rPr>
          <w:vertAlign w:val="baseline"/>
        </w:rPr>
        <w:t>study-specific</w:t>
      </w:r>
      <w:r>
        <w:rPr>
          <w:spacing w:val="-15"/>
          <w:vertAlign w:val="baseline"/>
        </w:rPr>
        <w:t> </w:t>
      </w:r>
      <w:r>
        <w:rPr>
          <w:vertAlign w:val="baseline"/>
        </w:rPr>
        <w:t>solver</w:t>
      </w:r>
      <w:r>
        <w:rPr>
          <w:spacing w:val="-15"/>
          <w:vertAlign w:val="baseline"/>
        </w:rPr>
        <w:t> </w:t>
      </w:r>
      <w:r>
        <w:rPr>
          <w:vertAlign w:val="baseline"/>
        </w:rPr>
        <w:t>settings.</w:t>
      </w:r>
      <w:hyperlink w:history="true" w:anchor="_bookmark29">
        <w:r>
          <w:rPr>
            <w:vertAlign w:val="superscript"/>
          </w:rPr>
          <w:t>1</w:t>
        </w:r>
      </w:hyperlink>
      <w:r>
        <w:rPr>
          <w:vertAlign w:val="baseline"/>
        </w:rPr>
        <w:t> Robustness checks vary </w:t>
      </w:r>
      <w:r>
        <w:rPr>
          <w:rFonts w:ascii="Calibri" w:hAnsi="Calibri"/>
          <w:i/>
          <w:vertAlign w:val="baseline"/>
        </w:rPr>
        <w:t>d </w:t>
      </w:r>
      <w:r>
        <w:rPr>
          <w:rFonts w:ascii="Lucida Sans Unicode" w:hAnsi="Lucida Sans Unicode"/>
          <w:vertAlign w:val="baseline"/>
        </w:rPr>
        <w:t>∈ {</w:t>
      </w:r>
      <w:bookmarkStart w:name="Reputation systems lineage" w:id="49"/>
      <w:bookmarkEnd w:id="49"/>
      <w:r>
        <w:rPr>
          <w:rFonts w:ascii="Lucida Sans Unicode" w:hAnsi="Lucida Sans Unicode"/>
          <w:vertAlign w:val="baseline"/>
        </w:rPr>
      </w:r>
      <w:bookmarkStart w:name="_bookmark28" w:id="50"/>
      <w:bookmarkEnd w:id="50"/>
      <w:r>
        <w:rPr>
          <w:rFonts w:ascii="Lucida Sans Unicode" w:hAnsi="Lucida Sans Unicode"/>
          <w:vertAlign w:val="baseline"/>
        </w:rPr>
      </w:r>
      <w:r>
        <w:rPr>
          <w:rFonts w:ascii="Calibri" w:hAnsi="Calibri"/>
          <w:vertAlign w:val="baseline"/>
        </w:rPr>
        <w:t>0</w:t>
      </w:r>
      <w:r>
        <w:rPr>
          <w:rFonts w:ascii="Calibri" w:hAnsi="Calibri"/>
          <w:i/>
          <w:vertAlign w:val="baseline"/>
        </w:rPr>
        <w:t>.</w:t>
      </w:r>
      <w:r>
        <w:rPr>
          <w:rFonts w:ascii="Calibri" w:hAnsi="Calibri"/>
          <w:vertAlign w:val="baseline"/>
        </w:rPr>
        <w:t>75</w:t>
      </w:r>
      <w:r>
        <w:rPr>
          <w:rFonts w:ascii="Calibri" w:hAnsi="Calibri"/>
          <w:i/>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rFonts w:ascii="Calibri" w:hAnsi="Calibri"/>
          <w:i/>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95</w:t>
      </w:r>
      <w:r>
        <w:rPr>
          <w:rFonts w:ascii="Lucida Sans Unicode" w:hAnsi="Lucida Sans Unicode"/>
          <w:vertAlign w:val="baseline"/>
        </w:rPr>
        <w:t>}</w:t>
      </w:r>
      <w:r>
        <w:rPr>
          <w:vertAlign w:val="baseline"/>
        </w:rPr>
        <w:t>.</w:t>
      </w:r>
    </w:p>
    <w:p>
      <w:pPr>
        <w:pStyle w:val="BodyText"/>
        <w:spacing w:line="360" w:lineRule="auto" w:before="152"/>
        <w:ind w:left="282" w:right="564"/>
        <w:jc w:val="both"/>
      </w:pPr>
      <w:r>
        <w:rPr>
          <w:i/>
        </w:rPr>
        <w:t>이 논문의 기본 매개변수는 수렴 공차 ε = 10−8 및 연구별 솔버 설정으로 최대 300회 반복을 사용하여 일반적인 관행 [49]에 따라 감쇠 d = 0.85를 사용합니다.1 견고성 검사는 d ∈ {0.75, 0.85, 0.95}로 다양합니다.</w:t>
      </w:r>
    </w:p>
    <w:p>
      <w:pPr>
        <w:pStyle w:val="BodyText"/>
        <w:spacing w:before="99"/>
      </w:pPr>
    </w:p>
    <w:p>
      <w:pPr>
        <w:pStyle w:val="Heading2"/>
        <w:numPr>
          <w:ilvl w:val="1"/>
          <w:numId w:val="8"/>
        </w:numPr>
        <w:tabs>
          <w:tab w:pos="783" w:val="left" w:leader="none"/>
        </w:tabs>
        <w:spacing w:line="240" w:lineRule="auto" w:before="1" w:after="0"/>
        <w:ind w:left="783" w:right="0" w:hanging="501"/>
        <w:jc w:val="left"/>
      </w:pPr>
      <w:r>
        <w:rPr/>
        <w:t>Reputation</w:t>
      </w:r>
      <w:r>
        <w:rPr>
          <w:spacing w:val="16"/>
        </w:rPr>
        <w:t> </w:t>
      </w:r>
      <w:r>
        <w:rPr/>
        <w:t>systems</w:t>
      </w:r>
      <w:r>
        <w:rPr>
          <w:spacing w:val="16"/>
        </w:rPr>
        <w:t> </w:t>
      </w:r>
      <w:r>
        <w:rPr>
          <w:spacing w:val="-2"/>
        </w:rPr>
        <w:t>lineage</w:t>
      </w:r>
    </w:p>
    <w:p>
      <w:pPr>
        <w:pStyle w:val="Heading2"/>
        <w:numPr>
          <w:ilvl w:val="1"/>
          <w:numId w:val="8"/>
        </w:numPr>
        <w:tabs>
          <w:tab w:pos="783" w:val="left" w:leader="none"/>
        </w:tabs>
        <w:spacing w:line="240" w:lineRule="auto" w:before="1" w:after="0"/>
        <w:ind w:left="783" w:right="0" w:hanging="501"/>
        <w:jc w:val="left"/>
      </w:pPr>
      <w:r>
        <w:rPr>
          <w:i/>
        </w:rPr>
        <w:t>평판 시스템 계보</w:t>
      </w:r>
    </w:p>
    <w:p>
      <w:pPr>
        <w:pStyle w:val="BodyText"/>
        <w:spacing w:before="23"/>
        <w:rPr>
          <w:b/>
          <w:sz w:val="28"/>
        </w:rPr>
      </w:pPr>
    </w:p>
    <w:p>
      <w:pPr>
        <w:pStyle w:val="BodyText"/>
        <w:spacing w:line="396" w:lineRule="auto" w:before="1"/>
        <w:ind w:left="274" w:right="522" w:firstLine="7"/>
        <w:jc w:val="both"/>
      </w:pPr>
      <w:r>
        <w:rPr/>
        <w:t>PageRank is one member of a family of spectral and propagation-based reputation mechanisms. Kleinberg’s</w:t>
      </w:r>
      <w:r>
        <w:rPr>
          <w:spacing w:val="-2"/>
        </w:rPr>
        <w:t> </w:t>
      </w:r>
      <w:r>
        <w:rPr/>
        <w:t>HITS</w:t>
      </w:r>
      <w:r>
        <w:rPr>
          <w:spacing w:val="-2"/>
        </w:rPr>
        <w:t> </w:t>
      </w:r>
      <w:r>
        <w:rPr/>
        <w:t>algorithm</w:t>
      </w:r>
      <w:r>
        <w:rPr>
          <w:spacing w:val="-2"/>
        </w:rPr>
        <w:t> </w:t>
      </w:r>
      <w:r>
        <w:rPr/>
        <w:t>distinguishes</w:t>
      </w:r>
      <w:r>
        <w:rPr>
          <w:spacing w:val="-2"/>
        </w:rPr>
        <w:t> </w:t>
      </w:r>
      <w:r>
        <w:rPr/>
        <w:t>hubs</w:t>
      </w:r>
      <w:r>
        <w:rPr>
          <w:spacing w:val="-2"/>
        </w:rPr>
        <w:t> </w:t>
      </w:r>
      <w:r>
        <w:rPr/>
        <w:t>and</w:t>
      </w:r>
      <w:r>
        <w:rPr>
          <w:spacing w:val="-2"/>
        </w:rPr>
        <w:t> </w:t>
      </w:r>
      <w:r>
        <w:rPr/>
        <w:t>authorities</w:t>
      </w:r>
      <w:r>
        <w:rPr>
          <w:spacing w:val="-2"/>
        </w:rPr>
        <w:t> </w:t>
      </w:r>
      <w:r>
        <w:rPr/>
        <w:t>in</w:t>
      </w:r>
      <w:r>
        <w:rPr>
          <w:spacing w:val="-2"/>
        </w:rPr>
        <w:t> </w:t>
      </w:r>
      <w:r>
        <w:rPr/>
        <w:t>hyperlinked</w:t>
      </w:r>
      <w:r>
        <w:rPr>
          <w:spacing w:val="-2"/>
        </w:rPr>
        <w:t> </w:t>
      </w:r>
      <w:r>
        <w:rPr/>
        <w:t>corpora</w:t>
      </w:r>
      <w:r>
        <w:rPr>
          <w:spacing w:val="-1"/>
        </w:rPr>
        <w:t> </w:t>
      </w:r>
      <w:hyperlink w:history="true" w:anchor="_bookmark171">
        <w:r>
          <w:rPr>
            <w:vertAlign w:val="superscript"/>
          </w:rPr>
          <w:t>[38]</w:t>
        </w:r>
      </w:hyperlink>
      <w:r>
        <w:rPr>
          <w:vertAlign w:val="baseline"/>
        </w:rPr>
        <w:t>.</w:t>
      </w:r>
      <w:r>
        <w:rPr>
          <w:spacing w:val="25"/>
          <w:vertAlign w:val="baseline"/>
        </w:rPr>
        <w:t> </w:t>
      </w:r>
      <w:r>
        <w:rPr>
          <w:vertAlign w:val="baseline"/>
        </w:rPr>
        <w:t>Eigen-Trust aggregates local trust scores in peer-to-peer networks with normalization to limit malicious inflation</w:t>
      </w:r>
      <w:r>
        <w:rPr>
          <w:spacing w:val="-15"/>
          <w:vertAlign w:val="baseline"/>
        </w:rPr>
        <w:t> </w:t>
      </w:r>
      <w:hyperlink w:history="true" w:anchor="_bookmark168">
        <w:r>
          <w:rPr>
            <w:vertAlign w:val="superscript"/>
          </w:rPr>
          <w:t>[35]</w:t>
        </w:r>
      </w:hyperlink>
      <w:r>
        <w:rPr>
          <w:vertAlign w:val="baseline"/>
        </w:rPr>
        <w:t>.</w:t>
      </w:r>
      <w:r>
        <w:rPr>
          <w:spacing w:val="14"/>
          <w:vertAlign w:val="baseline"/>
        </w:rPr>
        <w:t> </w:t>
      </w:r>
      <w:r>
        <w:rPr>
          <w:vertAlign w:val="baseline"/>
        </w:rPr>
        <w:t>TrustRank</w:t>
      </w:r>
      <w:r>
        <w:rPr>
          <w:spacing w:val="-15"/>
          <w:vertAlign w:val="baseline"/>
        </w:rPr>
        <w:t> </w:t>
      </w:r>
      <w:r>
        <w:rPr>
          <w:vertAlign w:val="baseline"/>
        </w:rPr>
        <w:t>propagates</w:t>
      </w:r>
      <w:r>
        <w:rPr>
          <w:spacing w:val="-15"/>
          <w:vertAlign w:val="baseline"/>
        </w:rPr>
        <w:t> </w:t>
      </w:r>
      <w:r>
        <w:rPr>
          <w:vertAlign w:val="baseline"/>
        </w:rPr>
        <w:t>trust</w:t>
      </w:r>
      <w:r>
        <w:rPr>
          <w:spacing w:val="-15"/>
          <w:vertAlign w:val="baseline"/>
        </w:rPr>
        <w:t> </w:t>
      </w:r>
      <w:r>
        <w:rPr>
          <w:vertAlign w:val="baseline"/>
        </w:rPr>
        <w:t>from</w:t>
      </w:r>
      <w:r>
        <w:rPr>
          <w:spacing w:val="-15"/>
          <w:vertAlign w:val="baseline"/>
        </w:rPr>
        <w:t> </w:t>
      </w:r>
      <w:r>
        <w:rPr>
          <w:vertAlign w:val="baseline"/>
        </w:rPr>
        <w:t>a</w:t>
      </w:r>
      <w:r>
        <w:rPr>
          <w:spacing w:val="-15"/>
          <w:vertAlign w:val="baseline"/>
        </w:rPr>
        <w:t> </w:t>
      </w:r>
      <w:r>
        <w:rPr>
          <w:vertAlign w:val="baseline"/>
        </w:rPr>
        <w:t>seed</w:t>
      </w:r>
      <w:r>
        <w:rPr>
          <w:spacing w:val="-15"/>
          <w:vertAlign w:val="baseline"/>
        </w:rPr>
        <w:t> </w:t>
      </w:r>
      <w:r>
        <w:rPr>
          <w:vertAlign w:val="baseline"/>
        </w:rPr>
        <w:t>set</w:t>
      </w:r>
      <w:r>
        <w:rPr>
          <w:spacing w:val="-15"/>
          <w:vertAlign w:val="baseline"/>
        </w:rPr>
        <w:t> </w:t>
      </w:r>
      <w:r>
        <w:rPr>
          <w:vertAlign w:val="baseline"/>
        </w:rPr>
        <w:t>of</w:t>
      </w:r>
      <w:r>
        <w:rPr>
          <w:spacing w:val="-15"/>
          <w:vertAlign w:val="baseline"/>
        </w:rPr>
        <w:t> </w:t>
      </w:r>
      <w:r>
        <w:rPr>
          <w:vertAlign w:val="baseline"/>
        </w:rPr>
        <w:t>known-good</w:t>
      </w:r>
      <w:r>
        <w:rPr>
          <w:spacing w:val="-15"/>
          <w:vertAlign w:val="baseline"/>
        </w:rPr>
        <w:t> </w:t>
      </w:r>
      <w:r>
        <w:rPr>
          <w:vertAlign w:val="baseline"/>
        </w:rPr>
        <w:t>nodes</w:t>
      </w:r>
      <w:r>
        <w:rPr>
          <w:spacing w:val="-15"/>
          <w:vertAlign w:val="baseline"/>
        </w:rPr>
        <w:t> </w:t>
      </w:r>
      <w:r>
        <w:rPr>
          <w:vertAlign w:val="baseline"/>
        </w:rPr>
        <w:t>to</w:t>
      </w:r>
      <w:r>
        <w:rPr>
          <w:spacing w:val="-15"/>
          <w:vertAlign w:val="baseline"/>
        </w:rPr>
        <w:t> </w:t>
      </w:r>
      <w:r>
        <w:rPr>
          <w:vertAlign w:val="baseline"/>
        </w:rPr>
        <w:t>combat</w:t>
      </w:r>
      <w:r>
        <w:rPr>
          <w:spacing w:val="-15"/>
          <w:vertAlign w:val="baseline"/>
        </w:rPr>
        <w:t> </w:t>
      </w:r>
      <w:r>
        <w:rPr>
          <w:vertAlign w:val="baseline"/>
        </w:rPr>
        <w:t>web</w:t>
      </w:r>
      <w:r>
        <w:rPr>
          <w:spacing w:val="-15"/>
          <w:vertAlign w:val="baseline"/>
        </w:rPr>
        <w:t> </w:t>
      </w:r>
      <w:r>
        <w:rPr>
          <w:vertAlign w:val="baseline"/>
        </w:rPr>
        <w:t>spam </w:t>
      </w:r>
      <w:hyperlink w:history="true" w:anchor="_bookmark160">
        <w:r>
          <w:rPr>
            <w:vertAlign w:val="superscript"/>
          </w:rPr>
          <w:t>[27]</w:t>
        </w:r>
      </w:hyperlink>
      <w:r>
        <w:rPr>
          <w:vertAlign w:val="baseline"/>
        </w:rPr>
        <w:t>.</w:t>
      </w:r>
      <w:r>
        <w:rPr>
          <w:spacing w:val="8"/>
          <w:vertAlign w:val="baseline"/>
        </w:rPr>
        <w:t> </w:t>
      </w:r>
      <w:r>
        <w:rPr>
          <w:vertAlign w:val="baseline"/>
        </w:rPr>
        <w:t>These</w:t>
      </w:r>
      <w:r>
        <w:rPr>
          <w:spacing w:val="-15"/>
          <w:vertAlign w:val="baseline"/>
        </w:rPr>
        <w:t> </w:t>
      </w:r>
      <w:r>
        <w:rPr>
          <w:vertAlign w:val="baseline"/>
        </w:rPr>
        <w:t>systems</w:t>
      </w:r>
      <w:r>
        <w:rPr>
          <w:spacing w:val="-15"/>
          <w:vertAlign w:val="baseline"/>
        </w:rPr>
        <w:t> </w:t>
      </w:r>
      <w:r>
        <w:rPr>
          <w:vertAlign w:val="baseline"/>
        </w:rPr>
        <w:t>share</w:t>
      </w:r>
      <w:r>
        <w:rPr>
          <w:spacing w:val="-15"/>
          <w:vertAlign w:val="baseline"/>
        </w:rPr>
        <w:t> </w:t>
      </w:r>
      <w:r>
        <w:rPr>
          <w:vertAlign w:val="baseline"/>
        </w:rPr>
        <w:t>a</w:t>
      </w:r>
      <w:r>
        <w:rPr>
          <w:spacing w:val="-15"/>
          <w:vertAlign w:val="baseline"/>
        </w:rPr>
        <w:t> </w:t>
      </w:r>
      <w:r>
        <w:rPr>
          <w:vertAlign w:val="baseline"/>
        </w:rPr>
        <w:t>theme:</w:t>
      </w:r>
      <w:r>
        <w:rPr>
          <w:spacing w:val="11"/>
          <w:vertAlign w:val="baseline"/>
        </w:rPr>
        <w:t> </w:t>
      </w:r>
      <w:r>
        <w:rPr>
          <w:vertAlign w:val="baseline"/>
        </w:rPr>
        <w:t>reputation</w:t>
      </w:r>
      <w:r>
        <w:rPr>
          <w:spacing w:val="-15"/>
          <w:vertAlign w:val="baseline"/>
        </w:rPr>
        <w:t> </w:t>
      </w:r>
      <w:r>
        <w:rPr>
          <w:vertAlign w:val="baseline"/>
        </w:rPr>
        <w:t>is</w:t>
      </w:r>
      <w:r>
        <w:rPr>
          <w:spacing w:val="-15"/>
          <w:vertAlign w:val="baseline"/>
        </w:rPr>
        <w:t> </w:t>
      </w:r>
      <w:r>
        <w:rPr>
          <w:vertAlign w:val="baseline"/>
        </w:rPr>
        <w:t>relational</w:t>
      </w:r>
      <w:r>
        <w:rPr>
          <w:spacing w:val="-15"/>
          <w:vertAlign w:val="baseline"/>
        </w:rPr>
        <w:t> </w:t>
      </w:r>
      <w:r>
        <w:rPr>
          <w:vertAlign w:val="baseline"/>
        </w:rPr>
        <w:t>and</w:t>
      </w:r>
      <w:r>
        <w:rPr>
          <w:spacing w:val="-15"/>
          <w:vertAlign w:val="baseline"/>
        </w:rPr>
        <w:t> </w:t>
      </w:r>
      <w:r>
        <w:rPr>
          <w:vertAlign w:val="baseline"/>
        </w:rPr>
        <w:t>should</w:t>
      </w:r>
      <w:r>
        <w:rPr>
          <w:spacing w:val="-15"/>
          <w:vertAlign w:val="baseline"/>
        </w:rPr>
        <w:t> </w:t>
      </w:r>
      <w:r>
        <w:rPr>
          <w:vertAlign w:val="baseline"/>
        </w:rPr>
        <w:t>be</w:t>
      </w:r>
      <w:r>
        <w:rPr>
          <w:spacing w:val="-15"/>
          <w:vertAlign w:val="baseline"/>
        </w:rPr>
        <w:t> </w:t>
      </w:r>
      <w:r>
        <w:rPr>
          <w:vertAlign w:val="baseline"/>
        </w:rPr>
        <w:t>hard</w:t>
      </w:r>
      <w:r>
        <w:rPr>
          <w:spacing w:val="-15"/>
          <w:vertAlign w:val="baseline"/>
        </w:rPr>
        <w:t> </w:t>
      </w:r>
      <w:r>
        <w:rPr>
          <w:vertAlign w:val="baseline"/>
        </w:rPr>
        <w:t>to</w:t>
      </w:r>
      <w:r>
        <w:rPr>
          <w:spacing w:val="-15"/>
          <w:vertAlign w:val="baseline"/>
        </w:rPr>
        <w:t> </w:t>
      </w:r>
      <w:r>
        <w:rPr>
          <w:vertAlign w:val="baseline"/>
        </w:rPr>
        <w:t>forge</w:t>
      </w:r>
      <w:r>
        <w:rPr>
          <w:spacing w:val="-15"/>
          <w:vertAlign w:val="baseline"/>
        </w:rPr>
        <w:t> </w:t>
      </w:r>
      <w:r>
        <w:rPr>
          <w:vertAlign w:val="baseline"/>
        </w:rPr>
        <w:t>without</w:t>
      </w:r>
      <w:r>
        <w:rPr>
          <w:spacing w:val="-15"/>
          <w:vertAlign w:val="baseline"/>
        </w:rPr>
        <w:t> </w:t>
      </w:r>
      <w:r>
        <w:rPr>
          <w:vertAlign w:val="baseline"/>
        </w:rPr>
        <w:t>costly endorsements from already-reputable nodes.</w:t>
      </w:r>
    </w:p>
    <w:p>
      <w:pPr>
        <w:pStyle w:val="BodyText"/>
        <w:spacing w:line="396" w:lineRule="auto" w:before="1"/>
        <w:ind w:left="274" w:right="522" w:firstLine="7"/>
        <w:jc w:val="both"/>
      </w:pPr>
      <w:r>
        <w:rPr>
          <w:i/>
        </w:rPr>
        <w:t>PageRank는 스펙트럼 및 전파 기반 평판 메커니즘 계열의 구성원 중 하나입니다. Kleinberg의 HITS 알고리즘은 하이퍼링크된 말뭉치에서 허브와 권위자를 구별합니다[38]. Eigen-Trust는 악의적인 인플레이션을 제한하기 위해 정규화를 통해 P2P 네트워크의 로컬 신뢰 점수를 집계합니다[35]. TrustRank는 웹 스팸에 맞서기 위해 알려진 양호한 노드의 시드 세트에서 신뢰를 전파합니다[27]. 이러한 시스템은 다음과 같은 주제를 공유합니다. 평판은 관계형이며 이미 평판이 좋은 노드의 값비싼 보증 없이는 위조하기 어려워야 합니다.</w:t>
      </w:r>
    </w:p>
    <w:p>
      <w:pPr>
        <w:pStyle w:val="BodyText"/>
        <w:spacing w:before="20"/>
        <w:ind w:left="282"/>
        <w:jc w:val="both"/>
      </w:pPr>
      <w:r>
        <w:rPr/>
        <w:t>On-chain,</w:t>
      </w:r>
      <w:r>
        <w:rPr>
          <w:spacing w:val="-7"/>
        </w:rPr>
        <w:t> </w:t>
      </w:r>
      <w:r>
        <w:rPr/>
        <w:t>Sybil</w:t>
      </w:r>
      <w:r>
        <w:rPr>
          <w:spacing w:val="-7"/>
        </w:rPr>
        <w:t> </w:t>
      </w:r>
      <w:r>
        <w:rPr/>
        <w:t>attacks</w:t>
      </w:r>
      <w:r>
        <w:rPr>
          <w:spacing w:val="-6"/>
        </w:rPr>
        <w:t> </w:t>
      </w:r>
      <w:r>
        <w:rPr/>
        <w:t>remain</w:t>
      </w:r>
      <w:r>
        <w:rPr>
          <w:spacing w:val="-7"/>
        </w:rPr>
        <w:t> </w:t>
      </w:r>
      <w:r>
        <w:rPr/>
        <w:t>central</w:t>
      </w:r>
      <w:r>
        <w:rPr>
          <w:spacing w:val="-7"/>
        </w:rPr>
        <w:t> </w:t>
      </w:r>
      <w:hyperlink w:history="true" w:anchor="_bookmark150">
        <w:r>
          <w:rPr>
            <w:vertAlign w:val="superscript"/>
          </w:rPr>
          <w:t>[17]</w:t>
        </w:r>
      </w:hyperlink>
      <w:r>
        <w:rPr>
          <w:vertAlign w:val="baseline"/>
        </w:rPr>
        <w:t>.</w:t>
      </w:r>
      <w:r>
        <w:rPr>
          <w:spacing w:val="12"/>
          <w:vertAlign w:val="baseline"/>
        </w:rPr>
        <w:t> </w:t>
      </w:r>
      <w:r>
        <w:rPr>
          <w:vertAlign w:val="baseline"/>
        </w:rPr>
        <w:t>Creating</w:t>
      </w:r>
      <w:r>
        <w:rPr>
          <w:spacing w:val="-6"/>
          <w:vertAlign w:val="baseline"/>
        </w:rPr>
        <w:t> </w:t>
      </w:r>
      <w:r>
        <w:rPr>
          <w:vertAlign w:val="baseline"/>
        </w:rPr>
        <w:t>wallets</w:t>
      </w:r>
      <w:r>
        <w:rPr>
          <w:spacing w:val="-7"/>
          <w:vertAlign w:val="baseline"/>
        </w:rPr>
        <w:t> </w:t>
      </w:r>
      <w:r>
        <w:rPr>
          <w:vertAlign w:val="baseline"/>
        </w:rPr>
        <w:t>is</w:t>
      </w:r>
      <w:r>
        <w:rPr>
          <w:spacing w:val="-7"/>
          <w:vertAlign w:val="baseline"/>
        </w:rPr>
        <w:t> </w:t>
      </w:r>
      <w:r>
        <w:rPr>
          <w:vertAlign w:val="baseline"/>
        </w:rPr>
        <w:t>cheap;</w:t>
      </w:r>
      <w:r>
        <w:rPr>
          <w:spacing w:val="-5"/>
          <w:vertAlign w:val="baseline"/>
        </w:rPr>
        <w:t> </w:t>
      </w:r>
      <w:r>
        <w:rPr>
          <w:vertAlign w:val="baseline"/>
        </w:rPr>
        <w:t>creating</w:t>
      </w:r>
      <w:r>
        <w:rPr>
          <w:spacing w:val="-7"/>
          <w:vertAlign w:val="baseline"/>
        </w:rPr>
        <w:t> </w:t>
      </w:r>
      <w:r>
        <w:rPr>
          <w:vertAlign w:val="baseline"/>
        </w:rPr>
        <w:t>wallets</w:t>
      </w:r>
      <w:r>
        <w:rPr>
          <w:spacing w:val="-7"/>
          <w:vertAlign w:val="baseline"/>
        </w:rPr>
        <w:t> </w:t>
      </w:r>
      <w:r>
        <w:rPr>
          <w:vertAlign w:val="baseline"/>
        </w:rPr>
        <w:t>that</w:t>
      </w:r>
      <w:r>
        <w:rPr>
          <w:spacing w:val="-6"/>
          <w:vertAlign w:val="baseline"/>
        </w:rPr>
        <w:t> </w:t>
      </w:r>
      <w:r>
        <w:rPr>
          <w:spacing w:val="-2"/>
          <w:vertAlign w:val="baseline"/>
        </w:rPr>
        <w:t>receive</w:t>
      </w:r>
    </w:p>
    <w:p>
      <w:pPr>
        <w:pStyle w:val="BodyText"/>
        <w:spacing w:before="20"/>
        <w:ind w:left="282"/>
        <w:jc w:val="both"/>
      </w:pPr>
      <w:r>
        <w:rPr>
          <w:i/>
        </w:rPr>
        <w:t>온체인에서는 Sybil 공격이 중앙에 남아 있습니다[17]. 지갑을 만드는 것은 저렴합니다.</w:t>
      </w:r>
    </w:p>
    <w:p>
      <w:pPr>
        <w:pStyle w:val="BodyText"/>
        <w:spacing w:before="169"/>
        <w:rPr>
          <w:sz w:val="20"/>
        </w:rPr>
      </w:pPr>
      <w:r>
        <w:rPr>
          <w:sz w:val="20"/>
        </w:rPr>
        <mc:AlternateContent>
          <mc:Choice Requires="wps">
            <w:drawing>
              <wp:anchor distT="0" distB="0" distL="0" distR="0" allowOverlap="1" layoutInCell="1" locked="0" behindDoc="1" simplePos="0" relativeHeight="487601152">
                <wp:simplePos x="0" y="0"/>
                <wp:positionH relativeFrom="page">
                  <wp:posOffset>809244</wp:posOffset>
                </wp:positionH>
                <wp:positionV relativeFrom="paragraph">
                  <wp:posOffset>268942</wp:posOffset>
                </wp:positionV>
                <wp:extent cx="2376805"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21.17655pt;width:187.15pt;height:.1pt;mso-position-horizontal-relative:page;mso-position-vertical-relative:paragraph;z-index:-15715328;mso-wrap-distance-left:0;mso-wrap-distance-right:0" id="docshape54" coordorigin="1274,424" coordsize="3743,0" path="m1274,424l5017,424e" filled="false" stroked="true" strokeweight=".3985pt" strokecolor="#000000">
                <v:path arrowok="t"/>
                <v:stroke dashstyle="solid"/>
                <w10:wrap type="topAndBottom"/>
              </v:shape>
            </w:pict>
          </mc:Fallback>
        </mc:AlternateContent>
      </w:r>
    </w:p>
    <w:p>
      <w:pPr>
        <w:spacing w:line="249" w:lineRule="auto" w:before="32"/>
        <w:ind w:left="362" w:right="0" w:hanging="80"/>
        <w:jc w:val="left"/>
        <w:rPr>
          <w:sz w:val="20"/>
        </w:rPr>
      </w:pPr>
      <w:r>
        <w:rPr>
          <w:sz w:val="20"/>
          <w:vertAlign w:val="superscript"/>
        </w:rPr>
        <w:t>1</w:t>
      </w:r>
      <w:bookmarkStart w:name="_bookmark29" w:id="51"/>
      <w:bookmarkEnd w:id="51"/>
      <w:r>
        <w:rPr>
          <w:sz w:val="20"/>
          <w:vertAlign w:val="baseline"/>
        </w:rPr>
        <w:t>T</w:t>
      </w:r>
      <w:r>
        <w:rPr>
          <w:sz w:val="20"/>
          <w:vertAlign w:val="baseline"/>
        </w:rPr>
        <w:t>olerance and iteration caps are implementation choices for reproducible timing; they are not claimed as part of the classical PageRank formulation.</w:t>
      </w:r>
    </w:p>
    <w:p>
      <w:pPr>
        <w:spacing w:line="249" w:lineRule="auto" w:before="32"/>
        <w:ind w:left="362" w:right="0" w:hanging="80"/>
        <w:jc w:val="left"/>
        <w:rPr>
          <w:sz w:val="20"/>
        </w:rPr>
      </w:pPr>
      <w:r>
        <w:rPr>
          <w:i/>
        </w:rPr>
        <w:t>1공차 및 반복 제한은 재현 가능한 타이밍을 위한 구현 선택이며, 기존 PageRank 공식의 일부로 주장되지 않습니다.</w:t>
      </w:r>
    </w:p>
    <w:p>
      <w:pPr>
        <w:spacing w:after="0" w:line="249" w:lineRule="auto"/>
        <w:jc w:val="left"/>
        <w:rPr>
          <w:sz w:val="20"/>
        </w:rPr>
        <w:sectPr>
          <w:pgSz w:w="11910" w:h="16840"/>
          <w:pgMar w:header="0" w:footer="2115" w:top="1900" w:bottom="2300" w:left="992" w:right="708"/>
        </w:sectPr>
      </w:pPr>
    </w:p>
    <w:p>
      <w:pPr>
        <w:pStyle w:val="BodyText"/>
        <w:spacing w:line="396" w:lineRule="auto" w:before="72"/>
        <w:ind w:left="282" w:right="560"/>
        <w:jc w:val="both"/>
      </w:pPr>
      <w:r>
        <w:rPr/>
        <w:t>allowances or transfers from diverse counterparties is costlier.</w:t>
      </w:r>
      <w:r>
        <w:rPr>
          <w:spacing w:val="40"/>
        </w:rPr>
        <w:t> </w:t>
      </w:r>
      <w:r>
        <w:rPr/>
        <w:t>Sybil-adjusted stability proxies in this dissertation (inbound counterparty ratio, tenure, active months) partially capture diversity of interaction but do not eliminate adversarial manipulation.</w:t>
      </w:r>
      <w:r>
        <w:rPr>
          <w:spacing w:val="40"/>
        </w:rPr>
        <w:t> </w:t>
      </w:r>
      <w:r>
        <w:rPr/>
        <w:t>Chapter </w:t>
      </w:r>
      <w:hyperlink w:history="true" w:anchor="_bookmark114">
        <w:r>
          <w:rPr/>
          <w:t>5</w:t>
        </w:r>
      </w:hyperlink>
      <w:r>
        <w:rPr/>
        <w:t> sketches a cost model for allowance-graph Sybils.</w:t>
      </w:r>
    </w:p>
    <w:p>
      <w:pPr>
        <w:pStyle w:val="BodyText"/>
        <w:spacing w:line="396" w:lineRule="auto" w:before="72"/>
        <w:ind w:left="282" w:right="560"/>
        <w:jc w:val="both"/>
      </w:pPr>
      <w:r>
        <w:rPr>
          <w:i/>
        </w:rPr>
        <w:t>다양한 상대방으로부터의 수당이나 이전은 비용이 더 많이 듭니다. 이 논문의 Sybil 조정된 안정성 프록시(인바운드 상대방 비율, 재직 기간, 활성 기간)는 상호 작용의 다양성을 부분적으로 포착하지만 적대적 조작을 제거하지는 않습니다. 5장은 여유 그래프 Sybil에 대한 비용 모델을 개략적으로 설명합니다.</w:t>
      </w:r>
    </w:p>
    <w:p>
      <w:pPr>
        <w:pStyle w:val="BodyText"/>
        <w:spacing w:line="396" w:lineRule="auto" w:before="18"/>
        <w:ind w:left="282" w:right="564"/>
        <w:jc w:val="both"/>
      </w:pPr>
      <w:r>
        <w:rPr>
          <w:spacing w:val="-2"/>
        </w:rPr>
        <w:t>Machine-learning</w:t>
      </w:r>
      <w:r>
        <w:rPr>
          <w:spacing w:val="-10"/>
        </w:rPr>
        <w:t> </w:t>
      </w:r>
      <w:r>
        <w:rPr>
          <w:spacing w:val="-2"/>
        </w:rPr>
        <w:t>credit</w:t>
      </w:r>
      <w:r>
        <w:rPr>
          <w:spacing w:val="-10"/>
        </w:rPr>
        <w:t> </w:t>
      </w:r>
      <w:r>
        <w:rPr>
          <w:spacing w:val="-2"/>
        </w:rPr>
        <w:t>models</w:t>
      </w:r>
      <w:r>
        <w:rPr>
          <w:spacing w:val="-10"/>
        </w:rPr>
        <w:t> </w:t>
      </w:r>
      <w:r>
        <w:rPr>
          <w:spacing w:val="-2"/>
        </w:rPr>
        <w:t>on</w:t>
      </w:r>
      <w:r>
        <w:rPr>
          <w:spacing w:val="-10"/>
        </w:rPr>
        <w:t> </w:t>
      </w:r>
      <w:r>
        <w:rPr>
          <w:spacing w:val="-2"/>
        </w:rPr>
        <w:t>DeFi</w:t>
      </w:r>
      <w:r>
        <w:rPr>
          <w:spacing w:val="-10"/>
        </w:rPr>
        <w:t> </w:t>
      </w:r>
      <w:r>
        <w:rPr>
          <w:spacing w:val="-2"/>
        </w:rPr>
        <w:t>features</w:t>
      </w:r>
      <w:r>
        <w:rPr>
          <w:spacing w:val="-9"/>
        </w:rPr>
        <w:t> </w:t>
      </w:r>
      <w:hyperlink w:history="true" w:anchor="_bookmark172">
        <w:r>
          <w:rPr>
            <w:spacing w:val="-2"/>
            <w:vertAlign w:val="superscript"/>
          </w:rPr>
          <w:t>[39]</w:t>
        </w:r>
      </w:hyperlink>
      <w:r>
        <w:rPr>
          <w:spacing w:val="-2"/>
          <w:vertAlign w:val="baseline"/>
        </w:rPr>
        <w:t> can</w:t>
      </w:r>
      <w:r>
        <w:rPr>
          <w:spacing w:val="-10"/>
          <w:vertAlign w:val="baseline"/>
        </w:rPr>
        <w:t> </w:t>
      </w:r>
      <w:r>
        <w:rPr>
          <w:spacing w:val="-2"/>
          <w:vertAlign w:val="baseline"/>
        </w:rPr>
        <w:t>outperform</w:t>
      </w:r>
      <w:r>
        <w:rPr>
          <w:spacing w:val="-10"/>
          <w:vertAlign w:val="baseline"/>
        </w:rPr>
        <w:t> </w:t>
      </w:r>
      <w:r>
        <w:rPr>
          <w:spacing w:val="-2"/>
          <w:vertAlign w:val="baseline"/>
        </w:rPr>
        <w:t>simple</w:t>
      </w:r>
      <w:r>
        <w:rPr>
          <w:spacing w:val="-10"/>
          <w:vertAlign w:val="baseline"/>
        </w:rPr>
        <w:t> </w:t>
      </w:r>
      <w:r>
        <w:rPr>
          <w:spacing w:val="-2"/>
          <w:vertAlign w:val="baseline"/>
        </w:rPr>
        <w:t>graph</w:t>
      </w:r>
      <w:r>
        <w:rPr>
          <w:spacing w:val="-10"/>
          <w:vertAlign w:val="baseline"/>
        </w:rPr>
        <w:t> </w:t>
      </w:r>
      <w:r>
        <w:rPr>
          <w:spacing w:val="-2"/>
          <w:vertAlign w:val="baseline"/>
        </w:rPr>
        <w:t>scores</w:t>
      </w:r>
      <w:r>
        <w:rPr>
          <w:spacing w:val="-10"/>
          <w:vertAlign w:val="baseline"/>
        </w:rPr>
        <w:t> </w:t>
      </w:r>
      <w:r>
        <w:rPr>
          <w:spacing w:val="-2"/>
          <w:vertAlign w:val="baseline"/>
        </w:rPr>
        <w:t>on</w:t>
      </w:r>
      <w:r>
        <w:rPr>
          <w:spacing w:val="-10"/>
          <w:vertAlign w:val="baseline"/>
        </w:rPr>
        <w:t> </w:t>
      </w:r>
      <w:r>
        <w:rPr>
          <w:spacing w:val="-2"/>
          <w:vertAlign w:val="baseline"/>
        </w:rPr>
        <w:t>labeled </w:t>
      </w:r>
      <w:r>
        <w:rPr>
          <w:vertAlign w:val="baseline"/>
        </w:rPr>
        <w:t>defaults when labels exist, but they trade interpretability for accuracy.</w:t>
      </w:r>
      <w:r>
        <w:rPr>
          <w:spacing w:val="40"/>
          <w:vertAlign w:val="baseline"/>
        </w:rPr>
        <w:t> </w:t>
      </w:r>
      <w:r>
        <w:rPr>
          <w:vertAlign w:val="baseline"/>
        </w:rPr>
        <w:t>EndorseRank and AWP </w:t>
      </w:r>
      <w:bookmarkStart w:name="ERC-20 allowances as endorsement" w:id="52"/>
      <w:bookmarkEnd w:id="52"/>
      <w:r>
        <w:rPr>
          <w:spacing w:val="-1"/>
          <w:w w:val="99"/>
          <w:vertAlign w:val="baseline"/>
        </w:rPr>
      </w:r>
      <w:bookmarkStart w:name="_bookmark30" w:id="53"/>
      <w:bookmarkEnd w:id="53"/>
      <w:r>
        <w:rPr>
          <w:vertAlign w:val="baseline"/>
        </w:rPr>
        <w:t>prioritize</w:t>
      </w:r>
      <w:r>
        <w:rPr>
          <w:vertAlign w:val="baseline"/>
        </w:rPr>
        <w:t> transparent propagation rules suitable for audit </w:t>
      </w:r>
      <w:hyperlink w:history="true" w:anchor="_bookmark181">
        <w:r>
          <w:rPr>
            <w:vertAlign w:val="superscript"/>
          </w:rPr>
          <w:t>[48]</w:t>
        </w:r>
      </w:hyperlink>
      <w:r>
        <w:rPr>
          <w:vertAlign w:val="baseline"/>
        </w:rPr>
        <w:t>.</w:t>
      </w:r>
    </w:p>
    <w:p>
      <w:pPr>
        <w:pStyle w:val="BodyText"/>
        <w:spacing w:line="396" w:lineRule="auto" w:before="18"/>
        <w:ind w:left="282" w:right="564"/>
        <w:jc w:val="both"/>
      </w:pPr>
      <w:r>
        <w:rPr>
          <w:i/>
        </w:rPr>
        <w:t>DeFi 기능[39]에 대한 기계 학습 신용 모델은 라벨이 존재할 때 라벨이 붙은 기본값에 대한 단순 그래프 점수보다 성능이 뛰어날 수 있지만 정확성을 위해 해석 가능성을 교환합니다. EndorseRank 및 AWP는 감사에 적합한 투명한 전파 규칙을 우선시합니다[48].</w:t>
      </w:r>
    </w:p>
    <w:p>
      <w:pPr>
        <w:pStyle w:val="BodyText"/>
        <w:spacing w:before="162"/>
      </w:pPr>
    </w:p>
    <w:p>
      <w:pPr>
        <w:pStyle w:val="Heading2"/>
        <w:numPr>
          <w:ilvl w:val="1"/>
          <w:numId w:val="8"/>
        </w:numPr>
        <w:tabs>
          <w:tab w:pos="783" w:val="left" w:leader="none"/>
        </w:tabs>
        <w:spacing w:line="240" w:lineRule="auto" w:before="0" w:after="0"/>
        <w:ind w:left="783" w:right="0" w:hanging="501"/>
        <w:jc w:val="left"/>
      </w:pPr>
      <w:r>
        <w:rPr/>
        <w:t>ERC-20</w:t>
      </w:r>
      <w:r>
        <w:rPr>
          <w:spacing w:val="14"/>
        </w:rPr>
        <w:t> </w:t>
      </w:r>
      <w:r>
        <w:rPr/>
        <w:t>allowances</w:t>
      </w:r>
      <w:r>
        <w:rPr>
          <w:spacing w:val="14"/>
        </w:rPr>
        <w:t> </w:t>
      </w:r>
      <w:r>
        <w:rPr/>
        <w:t>as</w:t>
      </w:r>
      <w:r>
        <w:rPr>
          <w:spacing w:val="15"/>
        </w:rPr>
        <w:t> </w:t>
      </w:r>
      <w:r>
        <w:rPr>
          <w:spacing w:val="-2"/>
        </w:rPr>
        <w:t>endorsement</w:t>
      </w:r>
    </w:p>
    <w:p>
      <w:pPr>
        <w:pStyle w:val="Heading2"/>
        <w:numPr>
          <w:ilvl w:val="1"/>
          <w:numId w:val="8"/>
        </w:numPr>
        <w:tabs>
          <w:tab w:pos="783" w:val="left" w:leader="none"/>
        </w:tabs>
        <w:spacing w:line="240" w:lineRule="auto" w:before="0" w:after="0"/>
        <w:ind w:left="783" w:right="0" w:hanging="501"/>
        <w:jc w:val="left"/>
      </w:pPr>
      <w:r>
        <w:rPr>
          <w:i/>
        </w:rPr>
        <w:t>ERC-20 보증 수당</w:t>
      </w:r>
    </w:p>
    <w:p>
      <w:pPr>
        <w:pStyle w:val="BodyText"/>
        <w:spacing w:before="19"/>
        <w:rPr>
          <w:b/>
          <w:sz w:val="28"/>
        </w:rPr>
      </w:pPr>
    </w:p>
    <w:p>
      <w:pPr>
        <w:pStyle w:val="BodyText"/>
        <w:spacing w:line="391" w:lineRule="auto"/>
        <w:ind w:left="282" w:right="523"/>
        <w:jc w:val="both"/>
      </w:pPr>
      <w:r>
        <w:rPr/>
        <w:t>ERC-20 </w:t>
      </w:r>
      <w:r>
        <w:rPr>
          <w:rFonts w:ascii="Calibri" w:hAnsi="Calibri"/>
        </w:rPr>
        <w:t>approve </w:t>
      </w:r>
      <w:r>
        <w:rPr/>
        <w:t>and EIP-2612 </w:t>
      </w:r>
      <w:r>
        <w:rPr>
          <w:rFonts w:ascii="Calibri" w:hAnsi="Calibri"/>
        </w:rPr>
        <w:t>permit </w:t>
      </w:r>
      <w:r>
        <w:rPr/>
        <w:t>record explicit spending authorization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 EndorseR-ank</w:t>
      </w:r>
      <w:r>
        <w:rPr>
          <w:spacing w:val="-3"/>
          <w:vertAlign w:val="baseline"/>
        </w:rPr>
        <w:t> </w:t>
      </w:r>
      <w:r>
        <w:rPr>
          <w:vertAlign w:val="baseline"/>
        </w:rPr>
        <w:t>treats</w:t>
      </w:r>
      <w:r>
        <w:rPr>
          <w:spacing w:val="-3"/>
          <w:vertAlign w:val="baseline"/>
        </w:rPr>
        <w:t> </w:t>
      </w:r>
      <w:r>
        <w:rPr>
          <w:vertAlign w:val="baseline"/>
        </w:rPr>
        <w:t>the</w:t>
      </w:r>
      <w:r>
        <w:rPr>
          <w:spacing w:val="-3"/>
          <w:vertAlign w:val="baseline"/>
        </w:rPr>
        <w:t> </w:t>
      </w:r>
      <w:r>
        <w:rPr>
          <w:vertAlign w:val="baseline"/>
        </w:rPr>
        <w:t>latest</w:t>
      </w:r>
      <w:r>
        <w:rPr>
          <w:spacing w:val="-3"/>
          <w:vertAlign w:val="baseline"/>
        </w:rPr>
        <w:t> </w:t>
      </w:r>
      <w:r>
        <w:rPr>
          <w:vertAlign w:val="baseline"/>
        </w:rPr>
        <w:t>allowance</w:t>
      </w:r>
      <w:r>
        <w:rPr>
          <w:spacing w:val="-3"/>
          <w:vertAlign w:val="baseline"/>
        </w:rPr>
        <w:t> </w:t>
      </w:r>
      <w:r>
        <w:rPr>
          <w:vertAlign w:val="baseline"/>
        </w:rPr>
        <w:t>per</w:t>
      </w:r>
      <w:r>
        <w:rPr>
          <w:spacing w:val="-3"/>
          <w:vertAlign w:val="baseline"/>
        </w:rPr>
        <w:t> </w:t>
      </w:r>
      <w:r>
        <w:rPr>
          <w:vertAlign w:val="baseline"/>
        </w:rPr>
        <w:t>owner–spender</w:t>
      </w:r>
      <w:r>
        <w:rPr>
          <w:spacing w:val="-3"/>
          <w:vertAlign w:val="baseline"/>
        </w:rPr>
        <w:t> </w:t>
      </w:r>
      <w:r>
        <w:rPr>
          <w:vertAlign w:val="baseline"/>
        </w:rPr>
        <w:t>pair</w:t>
      </w:r>
      <w:r>
        <w:rPr>
          <w:spacing w:val="-3"/>
          <w:vertAlign w:val="baseline"/>
        </w:rPr>
        <w:t> </w:t>
      </w:r>
      <w:r>
        <w:rPr>
          <w:vertAlign w:val="baseline"/>
        </w:rPr>
        <w:t>as</w:t>
      </w:r>
      <w:r>
        <w:rPr>
          <w:spacing w:val="-3"/>
          <w:vertAlign w:val="baseline"/>
        </w:rPr>
        <w:t> </w:t>
      </w:r>
      <w:r>
        <w:rPr>
          <w:vertAlign w:val="baseline"/>
        </w:rPr>
        <w:t>edge</w:t>
      </w:r>
      <w:r>
        <w:rPr>
          <w:spacing w:val="-3"/>
          <w:vertAlign w:val="baseline"/>
        </w:rPr>
        <w:t> </w:t>
      </w:r>
      <w:r>
        <w:rPr>
          <w:vertAlign w:val="baseline"/>
        </w:rPr>
        <w:t>strength</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directed</w:t>
      </w:r>
      <w:r>
        <w:rPr>
          <w:spacing w:val="-3"/>
          <w:vertAlign w:val="baseline"/>
        </w:rPr>
        <w:t> </w:t>
      </w:r>
      <w:r>
        <w:rPr>
          <w:vertAlign w:val="baseline"/>
        </w:rPr>
        <w:t>endorsement graph and runs PageRank on that snapshot, eliminating historical time-decay because newer ap-provals override older ones.</w:t>
      </w:r>
    </w:p>
    <w:p>
      <w:pPr>
        <w:pStyle w:val="BodyText"/>
        <w:spacing w:line="391" w:lineRule="auto"/>
        <w:ind w:left="282" w:right="523"/>
        <w:jc w:val="both"/>
      </w:pPr>
      <w:r>
        <w:rPr>
          <w:i/>
        </w:rPr>
        <w:t>ERC-20 승인 및 EIP-2612 허가 기록 명시적 지출 승인 [18],[19]. EndorseR-ank는 소유자-소비자 쌍당 최신 허용량을 방향성 보증 그래프의 에지 강도로 처리하고 해당 스냅샷에서 PageRank를 실행하여 최신 승인이 이전 승인보다 우선하므로 과거 시간 감소를 제거합니다.</w:t>
      </w:r>
    </w:p>
    <w:p>
      <w:pPr>
        <w:pStyle w:val="BodyText"/>
        <w:spacing w:line="374" w:lineRule="auto" w:before="13"/>
        <w:ind w:left="273" w:right="522" w:firstLine="8"/>
        <w:jc w:val="both"/>
      </w:pPr>
      <w:r>
        <w:rPr/>
        <w:t>Formally,</w:t>
      </w:r>
      <w:r>
        <w:rPr>
          <w:spacing w:val="-15"/>
        </w:rPr>
        <w:t> </w:t>
      </w:r>
      <w:r>
        <w:rPr/>
        <w:t>for</w:t>
      </w:r>
      <w:r>
        <w:rPr>
          <w:spacing w:val="-15"/>
        </w:rPr>
        <w:t> </w:t>
      </w:r>
      <w:r>
        <w:rPr/>
        <w:t>each</w:t>
      </w:r>
      <w:r>
        <w:rPr>
          <w:spacing w:val="-15"/>
        </w:rPr>
        <w:t> </w:t>
      </w:r>
      <w:r>
        <w:rPr/>
        <w:t>token</w:t>
      </w:r>
      <w:r>
        <w:rPr>
          <w:spacing w:val="-15"/>
        </w:rPr>
        <w:t> </w:t>
      </w:r>
      <w:r>
        <w:rPr/>
        <w:t>and</w:t>
      </w:r>
      <w:r>
        <w:rPr>
          <w:spacing w:val="-15"/>
        </w:rPr>
        <w:t> </w:t>
      </w:r>
      <w:r>
        <w:rPr/>
        <w:t>owner–spender</w:t>
      </w:r>
      <w:r>
        <w:rPr>
          <w:spacing w:val="-15"/>
        </w:rPr>
        <w:t> </w:t>
      </w:r>
      <w:r>
        <w:rPr/>
        <w:t>pair,</w:t>
      </w:r>
      <w:r>
        <w:rPr>
          <w:spacing w:val="-15"/>
        </w:rPr>
        <w:t> </w:t>
      </w:r>
      <w:r>
        <w:rPr/>
        <w:t>let</w:t>
      </w:r>
      <w:r>
        <w:rPr>
          <w:spacing w:val="-15"/>
        </w:rPr>
        <w:t> </w:t>
      </w:r>
      <w:r>
        <w:rPr>
          <w:rFonts w:ascii="Calibri" w:hAnsi="Calibri"/>
          <w:i/>
        </w:rPr>
        <w:t>a</w:t>
      </w:r>
      <w:r>
        <w:rPr>
          <w:rFonts w:ascii="Cambria" w:hAnsi="Cambria"/>
          <w:vertAlign w:val="subscript"/>
        </w:rPr>
        <w:t>o→s</w:t>
      </w:r>
      <w:r>
        <w:rPr>
          <w:rFonts w:ascii="Cambria" w:hAnsi="Cambria"/>
          <w:spacing w:val="-14"/>
          <w:vertAlign w:val="baseline"/>
        </w:rPr>
        <w:t> </w:t>
      </w:r>
      <w:r>
        <w:rPr>
          <w:vertAlign w:val="baseline"/>
        </w:rPr>
        <w:t>be</w:t>
      </w:r>
      <w:r>
        <w:rPr>
          <w:spacing w:val="-15"/>
          <w:vertAlign w:val="baseline"/>
        </w:rPr>
        <w:t> </w:t>
      </w:r>
      <w:r>
        <w:rPr>
          <w:vertAlign w:val="baseline"/>
        </w:rPr>
        <w:t>the</w:t>
      </w:r>
      <w:r>
        <w:rPr>
          <w:spacing w:val="-15"/>
          <w:vertAlign w:val="baseline"/>
        </w:rPr>
        <w:t> </w:t>
      </w:r>
      <w:r>
        <w:rPr>
          <w:vertAlign w:val="baseline"/>
        </w:rPr>
        <w:t>decimal-adjusted</w:t>
      </w:r>
      <w:r>
        <w:rPr>
          <w:spacing w:val="-15"/>
          <w:vertAlign w:val="baseline"/>
        </w:rPr>
        <w:t> </w:t>
      </w:r>
      <w:r>
        <w:rPr>
          <w:vertAlign w:val="baseline"/>
        </w:rPr>
        <w:t>latest</w:t>
      </w:r>
      <w:r>
        <w:rPr>
          <w:spacing w:val="-15"/>
          <w:vertAlign w:val="baseline"/>
        </w:rPr>
        <w:t> </w:t>
      </w:r>
      <w:r>
        <w:rPr>
          <w:vertAlign w:val="baseline"/>
        </w:rPr>
        <w:t>allowance. Edges</w:t>
      </w:r>
      <w:r>
        <w:rPr>
          <w:spacing w:val="-5"/>
          <w:vertAlign w:val="baseline"/>
        </w:rPr>
        <w:t> </w:t>
      </w:r>
      <w:r>
        <w:rPr>
          <w:vertAlign w:val="baseline"/>
        </w:rPr>
        <w:t>are</w:t>
      </w:r>
      <w:r>
        <w:rPr>
          <w:spacing w:val="-5"/>
          <w:vertAlign w:val="baseline"/>
        </w:rPr>
        <w:t> </w:t>
      </w:r>
      <w:r>
        <w:rPr>
          <w:vertAlign w:val="baseline"/>
        </w:rPr>
        <w:t>aggregated</w:t>
      </w:r>
      <w:r>
        <w:rPr>
          <w:spacing w:val="-5"/>
          <w:vertAlign w:val="baseline"/>
        </w:rPr>
        <w:t> </w:t>
      </w:r>
      <w:r>
        <w:rPr>
          <w:vertAlign w:val="baseline"/>
        </w:rPr>
        <w:t>across</w:t>
      </w:r>
      <w:r>
        <w:rPr>
          <w:spacing w:val="-5"/>
          <w:vertAlign w:val="baseline"/>
        </w:rPr>
        <w:t> </w:t>
      </w:r>
      <w:r>
        <w:rPr>
          <w:vertAlign w:val="baseline"/>
        </w:rPr>
        <w:t>tokens</w:t>
      </w:r>
      <w:r>
        <w:rPr>
          <w:spacing w:val="-5"/>
          <w:vertAlign w:val="baseline"/>
        </w:rPr>
        <w:t> </w:t>
      </w:r>
      <w:r>
        <w:rPr>
          <w:vertAlign w:val="baseline"/>
        </w:rPr>
        <w:t>by</w:t>
      </w:r>
      <w:r>
        <w:rPr>
          <w:spacing w:val="-5"/>
          <w:vertAlign w:val="baseline"/>
        </w:rPr>
        <w:t> </w:t>
      </w:r>
      <w:r>
        <w:rPr>
          <w:vertAlign w:val="baseline"/>
        </w:rPr>
        <w:t>summing</w:t>
      </w:r>
      <w:r>
        <w:rPr>
          <w:spacing w:val="-5"/>
          <w:vertAlign w:val="baseline"/>
        </w:rPr>
        <w:t> </w:t>
      </w:r>
      <w:r>
        <w:rPr>
          <w:vertAlign w:val="baseline"/>
        </w:rPr>
        <w:t>allowances</w:t>
      </w:r>
      <w:r>
        <w:rPr>
          <w:spacing w:val="-5"/>
          <w:vertAlign w:val="baseline"/>
        </w:rPr>
        <w:t> </w:t>
      </w:r>
      <w:r>
        <w:rPr>
          <w:vertAlign w:val="baseline"/>
        </w:rPr>
        <w:t>into</w:t>
      </w:r>
      <w:r>
        <w:rPr>
          <w:spacing w:val="-5"/>
          <w:vertAlign w:val="baseline"/>
        </w:rPr>
        <w:t> </w:t>
      </w:r>
      <w:r>
        <w:rPr>
          <w:vertAlign w:val="baseline"/>
        </w:rPr>
        <w:t>a</w:t>
      </w:r>
      <w:r>
        <w:rPr>
          <w:spacing w:val="-5"/>
          <w:vertAlign w:val="baseline"/>
        </w:rPr>
        <w:t> </w:t>
      </w:r>
      <w:r>
        <w:rPr>
          <w:vertAlign w:val="baseline"/>
        </w:rPr>
        <w:t>single</w:t>
      </w:r>
      <w:r>
        <w:rPr>
          <w:spacing w:val="-5"/>
          <w:vertAlign w:val="baseline"/>
        </w:rPr>
        <w:t> </w:t>
      </w:r>
      <w:r>
        <w:rPr>
          <w:vertAlign w:val="baseline"/>
        </w:rPr>
        <w:t>weight</w:t>
      </w:r>
      <w:r>
        <w:rPr>
          <w:spacing w:val="-5"/>
          <w:vertAlign w:val="baseline"/>
        </w:rPr>
        <w:t> </w:t>
      </w:r>
      <w:r>
        <w:rPr>
          <w:rFonts w:ascii="Calibri" w:hAnsi="Calibri"/>
          <w:i/>
          <w:vertAlign w:val="baseline"/>
        </w:rPr>
        <w:t>w</w:t>
      </w:r>
      <w:r>
        <w:rPr>
          <w:rFonts w:ascii="Cambria" w:hAnsi="Cambria"/>
          <w:vertAlign w:val="subscript"/>
        </w:rPr>
        <w:t>o→s</w:t>
      </w:r>
      <w:r>
        <w:rPr>
          <w:vertAlign w:val="baseline"/>
        </w:rPr>
        <w:t>.</w:t>
      </w:r>
      <w:r>
        <w:rPr>
          <w:spacing w:val="17"/>
          <w:vertAlign w:val="baseline"/>
        </w:rPr>
        <w:t> </w:t>
      </w:r>
      <w:r>
        <w:rPr>
          <w:vertAlign w:val="baseline"/>
        </w:rPr>
        <w:t>The</w:t>
      </w:r>
      <w:r>
        <w:rPr>
          <w:spacing w:val="-5"/>
          <w:vertAlign w:val="baseline"/>
        </w:rPr>
        <w:t> </w:t>
      </w:r>
      <w:r>
        <w:rPr>
          <w:vertAlign w:val="baseline"/>
        </w:rPr>
        <w:t>result-ing graph </w:t>
      </w:r>
      <w:r>
        <w:rPr>
          <w:rFonts w:ascii="Calibri" w:hAnsi="Calibri"/>
          <w:i/>
          <w:vertAlign w:val="baseline"/>
        </w:rPr>
        <w:t>G</w:t>
      </w:r>
      <w:r>
        <w:rPr>
          <w:vertAlign w:val="subscript"/>
        </w:rPr>
        <w:t>approve</w:t>
      </w:r>
      <w:r>
        <w:rPr>
          <w:w w:val="125"/>
          <w:vertAlign w:val="baseline"/>
        </w:rPr>
        <w:t> </w:t>
      </w:r>
      <w:r>
        <w:rPr>
          <w:rFonts w:ascii="Calibri" w:hAnsi="Calibri"/>
          <w:w w:val="125"/>
          <w:vertAlign w:val="baseline"/>
        </w:rPr>
        <w:t>= </w:t>
      </w:r>
      <w:r>
        <w:rPr>
          <w:rFonts w:ascii="Calibri" w:hAnsi="Calibri"/>
          <w:vertAlign w:val="baseline"/>
        </w:rPr>
        <w:t>(</w:t>
      </w:r>
      <w:r>
        <w:rPr>
          <w:rFonts w:ascii="Calibri" w:hAnsi="Calibri"/>
          <w:i/>
          <w:vertAlign w:val="baseline"/>
        </w:rPr>
        <w:t>V,</w:t>
      </w:r>
      <w:r>
        <w:rPr>
          <w:rFonts w:ascii="Calibri" w:hAnsi="Calibri"/>
          <w:i/>
          <w:spacing w:val="-7"/>
          <w:vertAlign w:val="baseline"/>
        </w:rPr>
        <w:t> </w:t>
      </w:r>
      <w:r>
        <w:rPr>
          <w:rFonts w:ascii="Calibri" w:hAnsi="Calibri"/>
          <w:i/>
          <w:vertAlign w:val="baseline"/>
        </w:rPr>
        <w:t>E</w:t>
      </w:r>
      <w:r>
        <w:rPr>
          <w:vertAlign w:val="subscript"/>
        </w:rPr>
        <w:t>approve</w:t>
      </w:r>
      <w:r>
        <w:rPr>
          <w:rFonts w:ascii="Calibri" w:hAnsi="Calibri"/>
          <w:i/>
          <w:vertAlign w:val="baseline"/>
        </w:rPr>
        <w:t>,</w:t>
      </w:r>
      <w:r>
        <w:rPr>
          <w:rFonts w:ascii="Calibri" w:hAnsi="Calibri"/>
          <w:i/>
          <w:spacing w:val="-7"/>
          <w:vertAlign w:val="baseline"/>
        </w:rPr>
        <w:t> </w:t>
      </w:r>
      <w:r>
        <w:rPr>
          <w:rFonts w:ascii="Calibri" w:hAnsi="Calibri"/>
          <w:i/>
          <w:vertAlign w:val="baseline"/>
        </w:rPr>
        <w:t>w</w:t>
      </w:r>
      <w:r>
        <w:rPr>
          <w:rFonts w:ascii="Calibri" w:hAnsi="Calibri"/>
          <w:vertAlign w:val="baseline"/>
        </w:rPr>
        <w:t>) </w:t>
      </w:r>
      <w:r>
        <w:rPr>
          <w:vertAlign w:val="baseline"/>
        </w:rPr>
        <w:t>is typically much sparser than the transfer graph over the same wallets and window. PageRank on </w:t>
      </w:r>
      <w:r>
        <w:rPr>
          <w:rFonts w:ascii="Calibri" w:hAnsi="Calibri"/>
          <w:i/>
          <w:vertAlign w:val="baseline"/>
        </w:rPr>
        <w:t>G</w:t>
      </w:r>
      <w:r>
        <w:rPr>
          <w:vertAlign w:val="subscript"/>
        </w:rPr>
        <w:t>approve</w:t>
      </w:r>
      <w:r>
        <w:rPr>
          <w:vertAlign w:val="baseline"/>
        </w:rPr>
        <w:t> yields EndorseRank scores </w:t>
      </w:r>
      <w:r>
        <w:rPr>
          <w:b/>
          <w:vertAlign w:val="baseline"/>
        </w:rPr>
        <w:t>s</w:t>
      </w:r>
      <w:r>
        <w:rPr>
          <w:vertAlign w:val="subscript"/>
        </w:rPr>
        <w:t>ER</w:t>
      </w:r>
      <w:r>
        <w:rPr>
          <w:vertAlign w:val="baseline"/>
        </w:rPr>
        <w:t>.</w:t>
      </w:r>
    </w:p>
    <w:p>
      <w:pPr>
        <w:pStyle w:val="BodyText"/>
        <w:spacing w:line="374" w:lineRule="auto" w:before="13"/>
        <w:ind w:left="273" w:right="522" w:firstLine="8"/>
        <w:jc w:val="both"/>
      </w:pPr>
      <w:r>
        <w:rPr>
          <w:i/>
        </w:rPr>
        <w:t>공식적으로 각 토큰과 소유자-소비자 쌍에 대해 ao→s를 소수점 이하 조정된 최신 허용량으로 둡니다. 에지는 허용량을 단일 가중치 wo→s로 합산하여 토큰 전체에서 집계됩니다. 결과 그래프 Gapprove = (V, Eapprove, w)는 일반적으로 동일한 지갑 및 창에 대한 전송 그래프보다 훨씬 희박합니다. Gapprove의 PageRank는 EndorseRank 점수 sER을 산출합니다.</w:t>
      </w:r>
    </w:p>
    <w:p>
      <w:pPr>
        <w:pStyle w:val="BodyText"/>
        <w:spacing w:line="396" w:lineRule="auto" w:before="16"/>
        <w:ind w:left="273" w:right="533" w:firstLine="1"/>
        <w:jc w:val="both"/>
      </w:pPr>
      <w:r>
        <w:rPr/>
        <w:t>The</w:t>
      </w:r>
      <w:r>
        <w:rPr>
          <w:spacing w:val="-15"/>
        </w:rPr>
        <w:t> </w:t>
      </w:r>
      <w:r>
        <w:rPr/>
        <w:t>endorsement</w:t>
      </w:r>
      <w:r>
        <w:rPr>
          <w:spacing w:val="-15"/>
        </w:rPr>
        <w:t> </w:t>
      </w:r>
      <w:r>
        <w:rPr/>
        <w:t>interpretation</w:t>
      </w:r>
      <w:r>
        <w:rPr>
          <w:spacing w:val="-15"/>
        </w:rPr>
        <w:t> </w:t>
      </w:r>
      <w:r>
        <w:rPr/>
        <w:t>is</w:t>
      </w:r>
      <w:r>
        <w:rPr>
          <w:spacing w:val="-15"/>
        </w:rPr>
        <w:t> </w:t>
      </w:r>
      <w:r>
        <w:rPr/>
        <w:t>intentional</w:t>
      </w:r>
      <w:r>
        <w:rPr>
          <w:spacing w:val="-15"/>
        </w:rPr>
        <w:t> </w:t>
      </w:r>
      <w:r>
        <w:rPr/>
        <w:t>but</w:t>
      </w:r>
      <w:r>
        <w:rPr>
          <w:spacing w:val="-15"/>
        </w:rPr>
        <w:t> </w:t>
      </w:r>
      <w:r>
        <w:rPr/>
        <w:t>imperfect.</w:t>
      </w:r>
      <w:r>
        <w:rPr>
          <w:spacing w:val="-15"/>
        </w:rPr>
        <w:t> </w:t>
      </w:r>
      <w:r>
        <w:rPr/>
        <w:t>Users</w:t>
      </w:r>
      <w:r>
        <w:rPr>
          <w:spacing w:val="-15"/>
        </w:rPr>
        <w:t> </w:t>
      </w:r>
      <w:r>
        <w:rPr/>
        <w:t>approve</w:t>
      </w:r>
      <w:r>
        <w:rPr>
          <w:spacing w:val="-15"/>
        </w:rPr>
        <w:t> </w:t>
      </w:r>
      <w:r>
        <w:rPr/>
        <w:t>routers</w:t>
      </w:r>
      <w:r>
        <w:rPr>
          <w:spacing w:val="-15"/>
        </w:rPr>
        <w:t> </w:t>
      </w:r>
      <w:r>
        <w:rPr/>
        <w:t>for</w:t>
      </w:r>
      <w:r>
        <w:rPr>
          <w:spacing w:val="-15"/>
        </w:rPr>
        <w:t> </w:t>
      </w:r>
      <w:r>
        <w:rPr/>
        <w:t>convenience, not always as a social judgment of the router’s “trustworthiness.”</w:t>
      </w:r>
      <w:r>
        <w:rPr>
          <w:spacing w:val="40"/>
        </w:rPr>
        <w:t> </w:t>
      </w:r>
      <w:r>
        <w:rPr/>
        <w:t>Contract addresses and EOAs </w:t>
      </w:r>
      <w:r>
        <w:rPr>
          <w:spacing w:val="-2"/>
        </w:rPr>
        <w:t>coexist.</w:t>
      </w:r>
      <w:r>
        <w:rPr>
          <w:spacing w:val="31"/>
        </w:rPr>
        <w:t> </w:t>
      </w:r>
      <w:r>
        <w:rPr>
          <w:spacing w:val="-2"/>
        </w:rPr>
        <w:t>Nevertheless,</w:t>
      </w:r>
      <w:r>
        <w:rPr>
          <w:spacing w:val="-3"/>
        </w:rPr>
        <w:t> </w:t>
      </w:r>
      <w:r>
        <w:rPr>
          <w:spacing w:val="-2"/>
        </w:rPr>
        <w:t>allowances</w:t>
      </w:r>
      <w:r>
        <w:rPr>
          <w:spacing w:val="-6"/>
        </w:rPr>
        <w:t> </w:t>
      </w:r>
      <w:r>
        <w:rPr>
          <w:spacing w:val="-2"/>
        </w:rPr>
        <w:t>are</w:t>
      </w:r>
      <w:r>
        <w:rPr>
          <w:spacing w:val="-6"/>
        </w:rPr>
        <w:t> </w:t>
      </w:r>
      <w:r>
        <w:rPr>
          <w:spacing w:val="-2"/>
        </w:rPr>
        <w:t>a</w:t>
      </w:r>
      <w:r>
        <w:rPr>
          <w:spacing w:val="-6"/>
        </w:rPr>
        <w:t> </w:t>
      </w:r>
      <w:r>
        <w:rPr>
          <w:spacing w:val="-2"/>
        </w:rPr>
        <w:t>clearer</w:t>
      </w:r>
      <w:r>
        <w:rPr>
          <w:spacing w:val="-6"/>
        </w:rPr>
        <w:t> </w:t>
      </w:r>
      <w:r>
        <w:rPr>
          <w:spacing w:val="-2"/>
        </w:rPr>
        <w:t>authorization</w:t>
      </w:r>
      <w:r>
        <w:rPr>
          <w:spacing w:val="-6"/>
        </w:rPr>
        <w:t> </w:t>
      </w:r>
      <w:r>
        <w:rPr>
          <w:spacing w:val="-2"/>
        </w:rPr>
        <w:t>signal</w:t>
      </w:r>
      <w:r>
        <w:rPr>
          <w:spacing w:val="-6"/>
        </w:rPr>
        <w:t> </w:t>
      </w:r>
      <w:r>
        <w:rPr>
          <w:spacing w:val="-2"/>
        </w:rPr>
        <w:t>than</w:t>
      </w:r>
      <w:r>
        <w:rPr>
          <w:spacing w:val="-6"/>
        </w:rPr>
        <w:t> </w:t>
      </w:r>
      <w:r>
        <w:rPr>
          <w:spacing w:val="-2"/>
        </w:rPr>
        <w:t>passive</w:t>
      </w:r>
      <w:r>
        <w:rPr>
          <w:spacing w:val="-6"/>
        </w:rPr>
        <w:t> </w:t>
      </w:r>
      <w:r>
        <w:rPr>
          <w:spacing w:val="-2"/>
        </w:rPr>
        <w:t>receipt</w:t>
      </w:r>
      <w:r>
        <w:rPr>
          <w:spacing w:val="-6"/>
        </w:rPr>
        <w:t> </w:t>
      </w:r>
      <w:r>
        <w:rPr>
          <w:spacing w:val="-2"/>
        </w:rPr>
        <w:t>of</w:t>
      </w:r>
      <w:r>
        <w:rPr>
          <w:spacing w:val="-6"/>
        </w:rPr>
        <w:t> </w:t>
      </w:r>
      <w:r>
        <w:rPr>
          <w:spacing w:val="-2"/>
        </w:rPr>
        <w:t>transfers, </w:t>
      </w:r>
      <w:bookmarkStart w:name="Trading success validation frame (GMX V2" w:id="54"/>
      <w:bookmarkEnd w:id="54"/>
      <w:r>
        <w:rPr>
          <w:w w:val="99"/>
        </w:rPr>
      </w:r>
      <w:bookmarkStart w:name="_bookmark31" w:id="55"/>
      <w:bookmarkEnd w:id="55"/>
      <w:r>
        <w:rPr/>
        <w:t>which</w:t>
      </w:r>
      <w:r>
        <w:rPr/>
        <w:t> may reflect market making, airdrops, or routing without any endorsement intent </w:t>
      </w:r>
      <w:hyperlink w:history="true" w:anchor="_bookmark149">
        <w:r>
          <w:rPr>
            <w:vertAlign w:val="superscript"/>
          </w:rPr>
          <w:t>[16]</w:t>
        </w:r>
      </w:hyperlink>
      <w:r>
        <w:rPr>
          <w:vertAlign w:val="baseline"/>
        </w:rPr>
        <w:t>.</w:t>
      </w:r>
    </w:p>
    <w:p>
      <w:pPr>
        <w:pStyle w:val="BodyText"/>
        <w:spacing w:line="396" w:lineRule="auto" w:before="16"/>
        <w:ind w:left="273" w:right="533" w:firstLine="1"/>
        <w:jc w:val="both"/>
      </w:pPr>
      <w:r>
        <w:rPr>
          <w:i/>
        </w:rPr>
        <w:t>보증 해석은 의도적이지만 불완전합니다. 사용자는 편의를 위해 라우터를 승인하지만 항상 라우터의 "신뢰성"에 대한 사회적 판단으로 승인하는 것은 아닙니다. 계약 주소와 EOA가 공존합니다. 그럼에도 불구하고 허용량은 승인 의도 없이 시장 조성, 에어드롭 또는 라우팅을 반영할 수 있는 수동적 이체 수령보다 더 명확한 승인 신호입니다[16].</w:t>
      </w:r>
    </w:p>
    <w:p>
      <w:pPr>
        <w:pStyle w:val="BodyText"/>
        <w:spacing w:before="162"/>
      </w:pPr>
    </w:p>
    <w:p>
      <w:pPr>
        <w:pStyle w:val="Heading2"/>
        <w:numPr>
          <w:ilvl w:val="1"/>
          <w:numId w:val="8"/>
        </w:numPr>
        <w:tabs>
          <w:tab w:pos="783" w:val="left" w:leader="none"/>
        </w:tabs>
        <w:spacing w:line="240" w:lineRule="auto" w:before="1" w:after="0"/>
        <w:ind w:left="783" w:right="0" w:hanging="501"/>
        <w:jc w:val="left"/>
      </w:pPr>
      <w:r>
        <w:rPr/>
        <w:t>Trading</w:t>
      </w:r>
      <w:r>
        <w:rPr>
          <w:spacing w:val="11"/>
        </w:rPr>
        <w:t> </w:t>
      </w:r>
      <w:r>
        <w:rPr/>
        <w:t>success</w:t>
      </w:r>
      <w:r>
        <w:rPr>
          <w:spacing w:val="11"/>
        </w:rPr>
        <w:t> </w:t>
      </w:r>
      <w:r>
        <w:rPr/>
        <w:t>validation</w:t>
      </w:r>
      <w:r>
        <w:rPr>
          <w:spacing w:val="11"/>
        </w:rPr>
        <w:t> </w:t>
      </w:r>
      <w:r>
        <w:rPr/>
        <w:t>frame</w:t>
      </w:r>
      <w:r>
        <w:rPr>
          <w:spacing w:val="11"/>
        </w:rPr>
        <w:t> </w:t>
      </w:r>
      <w:r>
        <w:rPr/>
        <w:t>(GMX</w:t>
      </w:r>
      <w:r>
        <w:rPr>
          <w:spacing w:val="11"/>
        </w:rPr>
        <w:t> </w:t>
      </w:r>
      <w:r>
        <w:rPr>
          <w:spacing w:val="-5"/>
        </w:rPr>
        <w:t>V2)</w:t>
      </w:r>
    </w:p>
    <w:p>
      <w:pPr>
        <w:pStyle w:val="Heading2"/>
        <w:numPr>
          <w:ilvl w:val="1"/>
          <w:numId w:val="8"/>
        </w:numPr>
        <w:tabs>
          <w:tab w:pos="783" w:val="left" w:leader="none"/>
        </w:tabs>
        <w:spacing w:line="240" w:lineRule="auto" w:before="1" w:after="0"/>
        <w:ind w:left="783" w:right="0" w:hanging="501"/>
        <w:jc w:val="left"/>
      </w:pPr>
      <w:r>
        <w:rPr>
          <w:i/>
        </w:rPr>
        <w:t>거래 성공 검증 프레임(GMX V2)</w:t>
      </w:r>
    </w:p>
    <w:p>
      <w:pPr>
        <w:pStyle w:val="BodyText"/>
        <w:spacing w:before="19"/>
        <w:rPr>
          <w:b/>
          <w:sz w:val="28"/>
        </w:rPr>
      </w:pPr>
    </w:p>
    <w:p>
      <w:pPr>
        <w:pStyle w:val="BodyText"/>
        <w:spacing w:line="376" w:lineRule="auto"/>
        <w:ind w:left="282" w:right="563"/>
        <w:jc w:val="both"/>
      </w:pPr>
      <w:r>
        <w:rPr>
          <w:w w:val="105"/>
        </w:rPr>
        <w:t>On</w:t>
      </w:r>
      <w:r>
        <w:rPr>
          <w:spacing w:val="-16"/>
          <w:w w:val="105"/>
        </w:rPr>
        <w:t> </w:t>
      </w:r>
      <w:r>
        <w:rPr>
          <w:w w:val="105"/>
        </w:rPr>
        <w:t>Arbitrum</w:t>
      </w:r>
      <w:r>
        <w:rPr>
          <w:spacing w:val="-16"/>
          <w:w w:val="105"/>
        </w:rPr>
        <w:t> </w:t>
      </w:r>
      <w:r>
        <w:rPr>
          <w:w w:val="105"/>
        </w:rPr>
        <w:t>One,</w:t>
      </w:r>
      <w:r>
        <w:rPr>
          <w:spacing w:val="-16"/>
          <w:w w:val="105"/>
        </w:rPr>
        <w:t> </w:t>
      </w:r>
      <w:r>
        <w:rPr>
          <w:w w:val="105"/>
        </w:rPr>
        <w:t>dense</w:t>
      </w:r>
      <w:r>
        <w:rPr>
          <w:spacing w:val="-15"/>
          <w:w w:val="105"/>
        </w:rPr>
        <w:t> </w:t>
      </w:r>
      <w:r>
        <w:rPr>
          <w:w w:val="105"/>
        </w:rPr>
        <w:t>wallet-attributed</w:t>
      </w:r>
      <w:r>
        <w:rPr>
          <w:spacing w:val="-16"/>
          <w:w w:val="105"/>
        </w:rPr>
        <w:t> </w:t>
      </w:r>
      <w:r>
        <w:rPr>
          <w:rFonts w:ascii="Calibri" w:hAnsi="Calibri"/>
          <w:w w:val="105"/>
        </w:rPr>
        <w:t>PositionDecrease</w:t>
      </w:r>
      <w:r>
        <w:rPr>
          <w:rFonts w:ascii="Calibri" w:hAnsi="Calibri"/>
          <w:spacing w:val="-14"/>
          <w:w w:val="105"/>
        </w:rPr>
        <w:t> </w:t>
      </w:r>
      <w:r>
        <w:rPr>
          <w:w w:val="105"/>
        </w:rPr>
        <w:t>events</w:t>
      </w:r>
      <w:r>
        <w:rPr>
          <w:spacing w:val="-16"/>
          <w:w w:val="105"/>
        </w:rPr>
        <w:t> </w:t>
      </w:r>
      <w:r>
        <w:rPr>
          <w:w w:val="105"/>
        </w:rPr>
        <w:t>with</w:t>
      </w:r>
      <w:r>
        <w:rPr>
          <w:spacing w:val="-16"/>
          <w:w w:val="105"/>
        </w:rPr>
        <w:t> </w:t>
      </w:r>
      <w:r>
        <w:rPr>
          <w:w w:val="105"/>
        </w:rPr>
        <w:t>realized</w:t>
      </w:r>
      <w:r>
        <w:rPr>
          <w:spacing w:val="-16"/>
          <w:w w:val="105"/>
        </w:rPr>
        <w:t> </w:t>
      </w:r>
      <w:r>
        <w:rPr>
          <w:w w:val="105"/>
        </w:rPr>
        <w:t>PnL</w:t>
      </w:r>
      <w:r>
        <w:rPr>
          <w:spacing w:val="-15"/>
          <w:w w:val="105"/>
        </w:rPr>
        <w:t> </w:t>
      </w:r>
      <w:r>
        <w:rPr>
          <w:w w:val="105"/>
        </w:rPr>
        <w:t>(</w:t>
      </w:r>
      <w:r>
        <w:rPr>
          <w:rFonts w:ascii="Calibri" w:hAnsi="Calibri"/>
          <w:w w:val="105"/>
        </w:rPr>
        <w:t>basePn </w:t>
      </w:r>
      <w:r>
        <w:rPr>
          <w:rFonts w:ascii="Calibri" w:hAnsi="Calibri"/>
        </w:rPr>
        <w:t>lUsd</w:t>
      </w:r>
      <w:r>
        <w:rPr/>
        <w:t>)</w:t>
      </w:r>
      <w:r>
        <w:rPr>
          <w:spacing w:val="-9"/>
        </w:rPr>
        <w:t> </w:t>
      </w:r>
      <w:r>
        <w:rPr/>
        <w:t>provide</w:t>
      </w:r>
      <w:r>
        <w:rPr>
          <w:spacing w:val="-9"/>
        </w:rPr>
        <w:t> </w:t>
      </w:r>
      <w:r>
        <w:rPr/>
        <w:t>trading-success</w:t>
      </w:r>
      <w:r>
        <w:rPr>
          <w:spacing w:val="-9"/>
        </w:rPr>
        <w:t> </w:t>
      </w:r>
      <w:r>
        <w:rPr/>
        <w:t>proxies:</w:t>
      </w:r>
      <w:r>
        <w:rPr>
          <w:spacing w:val="15"/>
        </w:rPr>
        <w:t> </w:t>
      </w:r>
      <w:r>
        <w:rPr/>
        <w:t>close-success</w:t>
      </w:r>
      <w:r>
        <w:rPr>
          <w:spacing w:val="-9"/>
        </w:rPr>
        <w:t> </w:t>
      </w:r>
      <w:r>
        <w:rPr/>
        <w:t>count,</w:t>
      </w:r>
      <w:r>
        <w:rPr>
          <w:spacing w:val="-7"/>
        </w:rPr>
        <w:t> </w:t>
      </w:r>
      <w:r>
        <w:rPr/>
        <w:t>realized</w:t>
      </w:r>
      <w:r>
        <w:rPr>
          <w:spacing w:val="-9"/>
        </w:rPr>
        <w:t> </w:t>
      </w:r>
      <w:r>
        <w:rPr/>
        <w:t>gain</w:t>
      </w:r>
      <w:r>
        <w:rPr>
          <w:spacing w:val="-9"/>
        </w:rPr>
        <w:t> </w:t>
      </w:r>
      <w:r>
        <w:rPr/>
        <w:t>proxy,</w:t>
      </w:r>
      <w:r>
        <w:rPr>
          <w:spacing w:val="-7"/>
        </w:rPr>
        <w:t> </w:t>
      </w:r>
      <w:r>
        <w:rPr/>
        <w:t>and</w:t>
      </w:r>
      <w:r>
        <w:rPr>
          <w:spacing w:val="-9"/>
        </w:rPr>
        <w:t> </w:t>
      </w:r>
      <w:r>
        <w:rPr/>
        <w:t>close</w:t>
      </w:r>
      <w:r>
        <w:rPr>
          <w:spacing w:val="-9"/>
        </w:rPr>
        <w:t> </w:t>
      </w:r>
      <w:r>
        <w:rPr/>
        <w:t>success </w:t>
      </w:r>
      <w:r>
        <w:rPr>
          <w:spacing w:val="-2"/>
        </w:rPr>
        <w:t>rate</w:t>
      </w:r>
      <w:r>
        <w:rPr>
          <w:spacing w:val="-8"/>
        </w:rPr>
        <w:t> </w:t>
      </w:r>
      <w:hyperlink w:history="true" w:anchor="_bookmark156">
        <w:r>
          <w:rPr>
            <w:spacing w:val="-2"/>
            <w:vertAlign w:val="superscript"/>
          </w:rPr>
          <w:t>[23]</w:t>
        </w:r>
      </w:hyperlink>
      <w:r>
        <w:rPr>
          <w:spacing w:val="-2"/>
          <w:vertAlign w:val="superscript"/>
        </w:rPr>
        <w:t>,</w:t>
      </w:r>
      <w:hyperlink w:history="true" w:anchor="_bookmark186">
        <w:r>
          <w:rPr>
            <w:spacing w:val="-2"/>
            <w:vertAlign w:val="superscript"/>
          </w:rPr>
          <w:t>[53]</w:t>
        </w:r>
      </w:hyperlink>
      <w:r>
        <w:rPr>
          <w:spacing w:val="-2"/>
          <w:vertAlign w:val="baseline"/>
        </w:rPr>
        <w:t>.</w:t>
      </w:r>
      <w:r>
        <w:rPr>
          <w:spacing w:val="26"/>
          <w:vertAlign w:val="baseline"/>
        </w:rPr>
        <w:t> </w:t>
      </w:r>
      <w:r>
        <w:rPr>
          <w:spacing w:val="-2"/>
          <w:vertAlign w:val="baseline"/>
        </w:rPr>
        <w:t>Under-collateralized</w:t>
      </w:r>
      <w:r>
        <w:rPr>
          <w:spacing w:val="-7"/>
          <w:vertAlign w:val="baseline"/>
        </w:rPr>
        <w:t> </w:t>
      </w:r>
      <w:r>
        <w:rPr>
          <w:spacing w:val="-2"/>
          <w:vertAlign w:val="baseline"/>
        </w:rPr>
        <w:t>lending</w:t>
      </w:r>
      <w:r>
        <w:rPr>
          <w:spacing w:val="-7"/>
          <w:vertAlign w:val="baseline"/>
        </w:rPr>
        <w:t> </w:t>
      </w:r>
      <w:r>
        <w:rPr>
          <w:spacing w:val="-2"/>
          <w:vertAlign w:val="baseline"/>
        </w:rPr>
        <w:t>default</w:t>
      </w:r>
      <w:r>
        <w:rPr>
          <w:spacing w:val="-7"/>
          <w:vertAlign w:val="baseline"/>
        </w:rPr>
        <w:t> </w:t>
      </w:r>
      <w:r>
        <w:rPr>
          <w:spacing w:val="-2"/>
          <w:vertAlign w:val="baseline"/>
        </w:rPr>
        <w:t>labels</w:t>
      </w:r>
      <w:r>
        <w:rPr>
          <w:spacing w:val="-7"/>
          <w:vertAlign w:val="baseline"/>
        </w:rPr>
        <w:t> </w:t>
      </w:r>
      <w:r>
        <w:rPr>
          <w:spacing w:val="-2"/>
          <w:vertAlign w:val="baseline"/>
        </w:rPr>
        <w:t>are</w:t>
      </w:r>
      <w:r>
        <w:rPr>
          <w:spacing w:val="-7"/>
          <w:vertAlign w:val="baseline"/>
        </w:rPr>
        <w:t> </w:t>
      </w:r>
      <w:r>
        <w:rPr>
          <w:spacing w:val="-2"/>
          <w:vertAlign w:val="baseline"/>
        </w:rPr>
        <w:t>sparse</w:t>
      </w:r>
      <w:r>
        <w:rPr>
          <w:spacing w:val="-8"/>
          <w:vertAlign w:val="baseline"/>
        </w:rPr>
        <w:t> </w:t>
      </w:r>
      <w:r>
        <w:rPr>
          <w:spacing w:val="-2"/>
          <w:vertAlign w:val="baseline"/>
        </w:rPr>
        <w:t>on</w:t>
      </w:r>
      <w:r>
        <w:rPr>
          <w:spacing w:val="-7"/>
          <w:vertAlign w:val="baseline"/>
        </w:rPr>
        <w:t> </w:t>
      </w:r>
      <w:r>
        <w:rPr>
          <w:spacing w:val="-2"/>
          <w:vertAlign w:val="baseline"/>
        </w:rPr>
        <w:t>this</w:t>
      </w:r>
      <w:r>
        <w:rPr>
          <w:spacing w:val="-7"/>
          <w:vertAlign w:val="baseline"/>
        </w:rPr>
        <w:t> </w:t>
      </w:r>
      <w:r>
        <w:rPr>
          <w:spacing w:val="-2"/>
          <w:vertAlign w:val="baseline"/>
        </w:rPr>
        <w:t>chain;</w:t>
      </w:r>
      <w:r>
        <w:rPr>
          <w:spacing w:val="-1"/>
          <w:vertAlign w:val="baseline"/>
        </w:rPr>
        <w:t> </w:t>
      </w:r>
      <w:r>
        <w:rPr>
          <w:spacing w:val="-2"/>
          <w:vertAlign w:val="baseline"/>
        </w:rPr>
        <w:t>GMX</w:t>
      </w:r>
      <w:r>
        <w:rPr>
          <w:spacing w:val="-8"/>
          <w:vertAlign w:val="baseline"/>
        </w:rPr>
        <w:t> </w:t>
      </w:r>
      <w:r>
        <w:rPr>
          <w:spacing w:val="-2"/>
          <w:vertAlign w:val="baseline"/>
        </w:rPr>
        <w:t>V2</w:t>
      </w:r>
      <w:r>
        <w:rPr>
          <w:spacing w:val="-7"/>
          <w:vertAlign w:val="baseline"/>
        </w:rPr>
        <w:t> </w:t>
      </w:r>
      <w:r>
        <w:rPr>
          <w:spacing w:val="-2"/>
          <w:vertAlign w:val="baseline"/>
        </w:rPr>
        <w:t>perpetual</w:t>
      </w:r>
    </w:p>
    <w:p>
      <w:pPr>
        <w:pStyle w:val="BodyText"/>
        <w:spacing w:line="376" w:lineRule="auto"/>
        <w:ind w:left="282" w:right="563"/>
        <w:jc w:val="both"/>
      </w:pPr>
      <w:r>
        <w:rPr>
          <w:i/>
        </w:rPr>
        <w:t>Arbitrum One에서 실현 손익(basePn lUsd)이 포함된 밀집된 지갑 속성 PositionDecrease 이벤트는 거래 성공 프록시(마지막 성공 횟수, 실현 이득 프록시 및 마무리 성공률)를 제공합니다[23],[53]. 이 체인에서는 담보가 부족한 대출 기본 라벨이 드물습니다. GMX V2 영구</w:t>
      </w:r>
    </w:p>
    <w:p>
      <w:pPr>
        <w:pStyle w:val="BodyText"/>
        <w:spacing w:after="0" w:line="376" w:lineRule="auto"/>
        <w:jc w:val="both"/>
        <w:sectPr>
          <w:pgSz w:w="11910" w:h="16840"/>
          <w:pgMar w:header="0" w:footer="2115" w:top="1840" w:bottom="2300" w:left="992" w:right="708"/>
        </w:sectPr>
      </w:pPr>
    </w:p>
    <w:p>
      <w:pPr>
        <w:pStyle w:val="BodyText"/>
        <w:spacing w:line="396" w:lineRule="auto" w:before="72"/>
        <w:ind w:left="282" w:right="562"/>
        <w:jc w:val="both"/>
      </w:pPr>
      <w:r>
        <w:rPr/>
        <w:t>closes offer dense, wallet-level realized outcomes for domain-intuition validation.</w:t>
      </w:r>
      <w:r>
        <w:rPr>
          <w:spacing w:val="38"/>
        </w:rPr>
        <w:t> </w:t>
      </w:r>
      <w:r>
        <w:rPr/>
        <w:t>These proxies parallel Do et al.’s in-degree/in-value logic but target collateralized perpetual trading rather than raw inflows.</w:t>
      </w:r>
    </w:p>
    <w:p>
      <w:pPr>
        <w:pStyle w:val="BodyText"/>
        <w:spacing w:line="396" w:lineRule="auto" w:before="72"/>
        <w:ind w:left="282" w:right="562"/>
        <w:jc w:val="both"/>
      </w:pPr>
      <w:r>
        <w:rPr>
          <w:i/>
        </w:rPr>
        <w:t>마감은 도메인 직관 검증을 위해 밀도 있고 지갑 수준에서 실현된 결과를 제공합니다. 이러한 프록시는 Do et al.의 정도/가치 논리와 유사하지만 원시 유입보다는 담보 영구 거래를 목표로 합니다.</w:t>
      </w:r>
    </w:p>
    <w:p>
      <w:pPr>
        <w:pStyle w:val="BodyText"/>
        <w:spacing w:line="396" w:lineRule="auto" w:before="17"/>
        <w:ind w:left="273" w:right="522" w:firstLine="8"/>
        <w:jc w:val="both"/>
      </w:pPr>
      <w:r>
        <w:rPr/>
        <w:t>Perpetual</w:t>
      </w:r>
      <w:r>
        <w:rPr>
          <w:spacing w:val="-2"/>
        </w:rPr>
        <w:t> </w:t>
      </w:r>
      <w:r>
        <w:rPr/>
        <w:t>markets</w:t>
      </w:r>
      <w:r>
        <w:rPr>
          <w:spacing w:val="-2"/>
        </w:rPr>
        <w:t> </w:t>
      </w:r>
      <w:r>
        <w:rPr/>
        <w:t>allow</w:t>
      </w:r>
      <w:r>
        <w:rPr>
          <w:spacing w:val="-2"/>
        </w:rPr>
        <w:t> </w:t>
      </w:r>
      <w:r>
        <w:rPr/>
        <w:t>leveraged</w:t>
      </w:r>
      <w:r>
        <w:rPr>
          <w:spacing w:val="-2"/>
        </w:rPr>
        <w:t> </w:t>
      </w:r>
      <w:r>
        <w:rPr/>
        <w:t>long</w:t>
      </w:r>
      <w:r>
        <w:rPr>
          <w:spacing w:val="-2"/>
        </w:rPr>
        <w:t> </w:t>
      </w:r>
      <w:r>
        <w:rPr/>
        <w:t>and</w:t>
      </w:r>
      <w:r>
        <w:rPr>
          <w:spacing w:val="-2"/>
        </w:rPr>
        <w:t> </w:t>
      </w:r>
      <w:r>
        <w:rPr/>
        <w:t>short</w:t>
      </w:r>
      <w:r>
        <w:rPr>
          <w:spacing w:val="-2"/>
        </w:rPr>
        <w:t> </w:t>
      </w:r>
      <w:r>
        <w:rPr/>
        <w:t>exposure</w:t>
      </w:r>
      <w:r>
        <w:rPr>
          <w:spacing w:val="-2"/>
        </w:rPr>
        <w:t> </w:t>
      </w:r>
      <w:r>
        <w:rPr/>
        <w:t>with</w:t>
      </w:r>
      <w:r>
        <w:rPr>
          <w:spacing w:val="-2"/>
        </w:rPr>
        <w:t> </w:t>
      </w:r>
      <w:r>
        <w:rPr/>
        <w:t>funding</w:t>
      </w:r>
      <w:r>
        <w:rPr>
          <w:spacing w:val="-2"/>
        </w:rPr>
        <w:t> </w:t>
      </w:r>
      <w:r>
        <w:rPr/>
        <w:t>and</w:t>
      </w:r>
      <w:r>
        <w:rPr>
          <w:spacing w:val="-2"/>
        </w:rPr>
        <w:t> </w:t>
      </w:r>
      <w:r>
        <w:rPr/>
        <w:t>liquidation</w:t>
      </w:r>
      <w:r>
        <w:rPr>
          <w:spacing w:val="-2"/>
        </w:rPr>
        <w:t> </w:t>
      </w:r>
      <w:r>
        <w:rPr/>
        <w:t>rules</w:t>
      </w:r>
      <w:r>
        <w:rPr>
          <w:spacing w:val="-2"/>
        </w:rPr>
        <w:t> </w:t>
      </w:r>
      <w:hyperlink w:history="true" w:anchor="_bookmark192">
        <w:r>
          <w:rPr>
            <w:vertAlign w:val="superscript"/>
          </w:rPr>
          <w:t>[59]</w:t>
        </w:r>
      </w:hyperlink>
      <w:r>
        <w:rPr>
          <w:vertAlign w:val="baseline"/>
        </w:rPr>
        <w:t>. A profitable close is not equivalent to loan repayment, but it is an observable outcome that risk systems may care about when screening active traders.</w:t>
      </w:r>
      <w:r>
        <w:rPr>
          <w:spacing w:val="24"/>
          <w:vertAlign w:val="baseline"/>
        </w:rPr>
        <w:t> </w:t>
      </w:r>
      <w:r>
        <w:rPr>
          <w:vertAlign w:val="baseline"/>
        </w:rPr>
        <w:t>This dissertation treats GMX outcomes as </w:t>
      </w:r>
      <w:bookmarkStart w:name="Supplementary extension: outcome-native " w:id="56"/>
      <w:bookmarkEnd w:id="56"/>
      <w:r>
        <w:rPr>
          <w:spacing w:val="-1"/>
          <w:w w:val="99"/>
          <w:vertAlign w:val="baseline"/>
        </w:rPr>
      </w:r>
      <w:bookmarkStart w:name="_bookmark32" w:id="57"/>
      <w:bookmarkEnd w:id="57"/>
      <w:r>
        <w:rPr>
          <w:spacing w:val="-1"/>
          <w:w w:val="99"/>
          <w:vertAlign w:val="baseline"/>
        </w:rPr>
      </w:r>
      <w:r>
        <w:rPr>
          <w:i/>
          <w:vertAlign w:val="baseline"/>
        </w:rPr>
        <w:t>domain-intuition proxies</w:t>
      </w:r>
      <w:r>
        <w:rPr>
          <w:vertAlign w:val="baseline"/>
        </w:rPr>
        <w:t>, not regulatory ground truth.</w:t>
      </w:r>
    </w:p>
    <w:p>
      <w:pPr>
        <w:pStyle w:val="BodyText"/>
        <w:spacing w:line="396" w:lineRule="auto" w:before="17"/>
        <w:ind w:left="273" w:right="522" w:firstLine="8"/>
        <w:jc w:val="both"/>
      </w:pPr>
      <w:r>
        <w:rPr>
          <w:i/>
        </w:rPr>
        <w:t>영구 시장은 자금 조달 및 청산 규칙을 ​​통해 레버리지 장기 및 단기 노출을 허용합니다[59]. 수익성 있는 마감은 대출 상환과 동일하지 않지만 활성 거래자를 선별할 때 위험 시스템이 관심을 가질 수 있는 관찰 가능한 결과입니다. 이 논문은 GMX 결과를 규제 근거 진실이 아닌 도메인 직관 프록시로 취급합니다.</w:t>
      </w:r>
    </w:p>
    <w:p>
      <w:pPr>
        <w:pStyle w:val="BodyText"/>
        <w:spacing w:before="143"/>
      </w:pPr>
    </w:p>
    <w:p>
      <w:pPr>
        <w:pStyle w:val="Heading2"/>
        <w:numPr>
          <w:ilvl w:val="1"/>
          <w:numId w:val="8"/>
        </w:numPr>
        <w:tabs>
          <w:tab w:pos="783" w:val="left" w:leader="none"/>
        </w:tabs>
        <w:spacing w:line="240" w:lineRule="auto" w:before="0" w:after="0"/>
        <w:ind w:left="783" w:right="0" w:hanging="501"/>
        <w:jc w:val="both"/>
      </w:pPr>
      <w:r>
        <w:rPr/>
        <w:t>Supplementary</w:t>
      </w:r>
      <w:r>
        <w:rPr>
          <w:spacing w:val="28"/>
        </w:rPr>
        <w:t> </w:t>
      </w:r>
      <w:r>
        <w:rPr/>
        <w:t>extension:</w:t>
      </w:r>
      <w:r>
        <w:rPr>
          <w:spacing w:val="62"/>
        </w:rPr>
        <w:t> </w:t>
      </w:r>
      <w:r>
        <w:rPr/>
        <w:t>outcome-native</w:t>
      </w:r>
      <w:r>
        <w:rPr>
          <w:spacing w:val="29"/>
        </w:rPr>
        <w:t> </w:t>
      </w:r>
      <w:r>
        <w:rPr/>
        <w:t>reference</w:t>
      </w:r>
      <w:r>
        <w:rPr>
          <w:spacing w:val="29"/>
        </w:rPr>
        <w:t> </w:t>
      </w:r>
      <w:r>
        <w:rPr/>
        <w:t>(GF-</w:t>
      </w:r>
      <w:r>
        <w:rPr>
          <w:spacing w:val="-5"/>
        </w:rPr>
        <w:t>PR)</w:t>
      </w:r>
    </w:p>
    <w:p>
      <w:pPr>
        <w:pStyle w:val="Heading2"/>
        <w:numPr>
          <w:ilvl w:val="1"/>
          <w:numId w:val="8"/>
        </w:numPr>
        <w:tabs>
          <w:tab w:pos="783" w:val="left" w:leader="none"/>
        </w:tabs>
        <w:spacing w:line="240" w:lineRule="auto" w:before="0" w:after="0"/>
        <w:ind w:left="783" w:right="0" w:hanging="501"/>
        <w:jc w:val="both"/>
      </w:pPr>
      <w:r>
        <w:rPr>
          <w:i/>
        </w:rPr>
        <w:t>보충 확장: 결과 기반 참조(GF-PR)</w:t>
      </w:r>
    </w:p>
    <w:p>
      <w:pPr>
        <w:pStyle w:val="BodyText"/>
        <w:spacing w:line="456" w:lineRule="exact" w:before="206"/>
        <w:ind w:left="274" w:right="524" w:firstLine="7"/>
        <w:jc w:val="both"/>
      </w:pPr>
      <w:r>
        <w:rPr/>
        <w:t>During</w:t>
      </w:r>
      <w:r>
        <w:rPr>
          <w:spacing w:val="-14"/>
        </w:rPr>
        <w:t> </w:t>
      </w:r>
      <w:r>
        <w:rPr/>
        <w:t>the</w:t>
      </w:r>
      <w:r>
        <w:rPr>
          <w:spacing w:val="-14"/>
        </w:rPr>
        <w:t> </w:t>
      </w:r>
      <w:r>
        <w:rPr/>
        <w:t>empirical</w:t>
      </w:r>
      <w:r>
        <w:rPr>
          <w:spacing w:val="-14"/>
        </w:rPr>
        <w:t> </w:t>
      </w:r>
      <w:r>
        <w:rPr/>
        <w:t>phase,</w:t>
      </w:r>
      <w:r>
        <w:rPr>
          <w:spacing w:val="-13"/>
        </w:rPr>
        <w:t> </w:t>
      </w:r>
      <w:r>
        <w:rPr>
          <w:b/>
        </w:rPr>
        <w:t>GF-PR</w:t>
      </w:r>
      <w:r>
        <w:rPr>
          <w:b/>
          <w:spacing w:val="-11"/>
        </w:rPr>
        <w:t> </w:t>
      </w:r>
      <w:r>
        <w:rPr/>
        <w:t>(GainFlow</w:t>
      </w:r>
      <w:r>
        <w:rPr>
          <w:spacing w:val="-14"/>
        </w:rPr>
        <w:t> </w:t>
      </w:r>
      <w:r>
        <w:rPr/>
        <w:t>PageRank)</w:t>
      </w:r>
      <w:r>
        <w:rPr>
          <w:spacing w:val="-14"/>
        </w:rPr>
        <w:t> </w:t>
      </w:r>
      <w:r>
        <w:rPr/>
        <w:t>was</w:t>
      </w:r>
      <w:r>
        <w:rPr>
          <w:spacing w:val="-14"/>
        </w:rPr>
        <w:t> </w:t>
      </w:r>
      <w:r>
        <w:rPr/>
        <w:t>added</w:t>
      </w:r>
      <w:r>
        <w:rPr>
          <w:spacing w:val="-14"/>
        </w:rPr>
        <w:t> </w:t>
      </w:r>
      <w:r>
        <w:rPr/>
        <w:t>as</w:t>
      </w:r>
      <w:r>
        <w:rPr>
          <w:spacing w:val="-14"/>
        </w:rPr>
        <w:t> </w:t>
      </w:r>
      <w:r>
        <w:rPr/>
        <w:t>a</w:t>
      </w:r>
      <w:r>
        <w:rPr>
          <w:spacing w:val="-14"/>
        </w:rPr>
        <w:t> </w:t>
      </w:r>
      <w:r>
        <w:rPr/>
        <w:t>supplementary</w:t>
      </w:r>
      <w:r>
        <w:rPr>
          <w:spacing w:val="-14"/>
        </w:rPr>
        <w:t> </w:t>
      </w:r>
      <w:r>
        <w:rPr/>
        <w:t>diagnos-tic to bound trading-outcome proxy alignment.</w:t>
      </w:r>
      <w:r>
        <w:rPr>
          <w:spacing w:val="27"/>
        </w:rPr>
        <w:t> </w:t>
      </w:r>
      <w:r>
        <w:rPr/>
        <w:t>GF-PR builds a directed star graph from the same GMX </w:t>
      </w:r>
      <w:r>
        <w:rPr>
          <w:rFonts w:ascii="Calibri" w:hAnsi="Calibri"/>
        </w:rPr>
        <w:t>PositionDecrease </w:t>
      </w:r>
      <w:r>
        <w:rPr/>
        <w:t>stream:</w:t>
      </w:r>
      <w:r>
        <w:rPr>
          <w:spacing w:val="40"/>
        </w:rPr>
        <w:t> </w:t>
      </w:r>
      <w:r>
        <w:rPr/>
        <w:t>a synthetic profit pool node sends edges to wallets with positive realized PnL; wallets send edges to a loss sink for negative closes (</w:t>
      </w:r>
      <w:r>
        <w:rPr>
          <w:rFonts w:ascii="Lucida Sans Unicode" w:hAnsi="Lucida Sans Unicode"/>
        </w:rPr>
        <w:t>|</w:t>
      </w:r>
      <w:r>
        <w:rPr/>
        <w:t>PnL</w:t>
      </w:r>
      <w:r>
        <w:rPr>
          <w:rFonts w:ascii="Lucida Sans Unicode" w:hAnsi="Lucida Sans Unicode"/>
        </w:rPr>
        <w:t>|</w:t>
      </w:r>
      <w:r>
        <w:rPr>
          <w:rFonts w:ascii="Lucida Sans Unicode" w:hAnsi="Lucida Sans Unicode"/>
          <w:spacing w:val="-15"/>
        </w:rPr>
        <w:t> </w:t>
      </w:r>
      <w:r>
        <w:rPr>
          <w:rFonts w:ascii="Calibri" w:hAnsi="Calibri"/>
        </w:rPr>
        <w:t>+ 0</w:t>
      </w:r>
      <w:r>
        <w:rPr>
          <w:rFonts w:ascii="Calibri" w:hAnsi="Calibri"/>
          <w:i/>
        </w:rPr>
        <w:t>.</w:t>
      </w:r>
      <w:r>
        <w:rPr>
          <w:rFonts w:ascii="Calibri" w:hAnsi="Calibri"/>
        </w:rPr>
        <w:t>1</w:t>
      </w:r>
      <w:r>
        <w:rPr/>
        <w:t>) and liquidations (</w:t>
      </w:r>
      <w:r>
        <w:rPr>
          <w:rFonts w:ascii="Lucida Sans Unicode" w:hAnsi="Lucida Sans Unicode"/>
        </w:rPr>
        <w:t>|</w:t>
      </w:r>
      <w:r>
        <w:rPr/>
        <w:t>PnL</w:t>
      </w:r>
      <w:r>
        <w:rPr>
          <w:rFonts w:ascii="Lucida Sans Unicode" w:hAnsi="Lucida Sans Unicode"/>
        </w:rPr>
        <w:t>|</w:t>
      </w:r>
      <w:r>
        <w:rPr>
          <w:rFonts w:ascii="Lucida Sans Unicode" w:hAnsi="Lucida Sans Unicode"/>
          <w:spacing w:val="-19"/>
        </w:rPr>
        <w:t> </w:t>
      </w:r>
      <w:r>
        <w:rPr>
          <w:rFonts w:ascii="Calibri" w:hAnsi="Calibri"/>
        </w:rPr>
        <w:t>+ 1</w:t>
      </w:r>
      <w:r>
        <w:rPr>
          <w:rFonts w:ascii="Calibri" w:hAnsi="Calibri"/>
          <w:i/>
        </w:rPr>
        <w:t>.</w:t>
      </w:r>
      <w:r>
        <w:rPr>
          <w:rFonts w:ascii="Calibri" w:hAnsi="Calibri"/>
        </w:rPr>
        <w:t>0</w:t>
      </w:r>
      <w:r>
        <w:rPr/>
        <w:t>).</w:t>
      </w:r>
      <w:r>
        <w:rPr>
          <w:spacing w:val="35"/>
        </w:rPr>
        <w:t> </w:t>
      </w:r>
      <w:r>
        <w:rPr/>
        <w:t>GF-PR has no wallet-to-wallet social edges; it serves as an </w:t>
      </w:r>
      <w:r>
        <w:rPr>
          <w:i/>
        </w:rPr>
        <w:t>outcome-native ceiling reference</w:t>
      </w:r>
      <w:r>
        <w:rPr>
          <w:i/>
          <w:spacing w:val="-7"/>
        </w:rPr>
        <w:t> </w:t>
      </w:r>
      <w:r>
        <w:rPr/>
        <w:t>(SRQ1),</w:t>
      </w:r>
      <w:r>
        <w:rPr>
          <w:spacing w:val="-6"/>
        </w:rPr>
        <w:t> </w:t>
      </w:r>
      <w:r>
        <w:rPr/>
        <w:t>not</w:t>
      </w:r>
      <w:r>
        <w:rPr>
          <w:spacing w:val="-7"/>
        </w:rPr>
        <w:t> </w:t>
      </w:r>
      <w:r>
        <w:rPr/>
        <w:t>a</w:t>
      </w:r>
      <w:r>
        <w:rPr>
          <w:spacing w:val="-7"/>
        </w:rPr>
        <w:t> </w:t>
      </w:r>
      <w:r>
        <w:rPr/>
        <w:t>peer</w:t>
      </w:r>
      <w:r>
        <w:rPr>
          <w:spacing w:val="-7"/>
        </w:rPr>
        <w:t> </w:t>
      </w:r>
      <w:r>
        <w:rPr/>
        <w:t>to</w:t>
      </w:r>
      <w:r>
        <w:rPr>
          <w:spacing w:val="-7"/>
        </w:rPr>
        <w:t> </w:t>
      </w:r>
      <w:r>
        <w:rPr/>
        <w:t>EndorseRank</w:t>
      </w:r>
      <w:r>
        <w:rPr>
          <w:spacing w:val="-7"/>
        </w:rPr>
        <w:t> </w:t>
      </w:r>
      <w:r>
        <w:rPr/>
        <w:t>or</w:t>
      </w:r>
      <w:r>
        <w:rPr>
          <w:spacing w:val="-7"/>
        </w:rPr>
        <w:t> </w:t>
      </w:r>
      <w:r>
        <w:rPr/>
        <w:t>AWP.</w:t>
      </w:r>
      <w:r>
        <w:rPr>
          <w:spacing w:val="-7"/>
        </w:rPr>
        <w:t> </w:t>
      </w:r>
      <w:r>
        <w:rPr/>
        <w:t>High</w:t>
      </w:r>
      <w:r>
        <w:rPr>
          <w:spacing w:val="-7"/>
        </w:rPr>
        <w:t> </w:t>
      </w:r>
      <w:r>
        <w:rPr/>
        <w:t>alignment</w:t>
      </w:r>
      <w:r>
        <w:rPr>
          <w:spacing w:val="-7"/>
        </w:rPr>
        <w:t> </w:t>
      </w:r>
      <w:r>
        <w:rPr/>
        <w:t>with</w:t>
      </w:r>
      <w:r>
        <w:rPr>
          <w:spacing w:val="-7"/>
        </w:rPr>
        <w:t> </w:t>
      </w:r>
      <w:r>
        <w:rPr/>
        <w:t>trading-success</w:t>
      </w:r>
      <w:r>
        <w:rPr>
          <w:spacing w:val="-7"/>
        </w:rPr>
        <w:t> </w:t>
      </w:r>
      <w:r>
        <w:rPr/>
        <w:t>prox-</w:t>
      </w:r>
      <w:r>
        <w:rPr>
          <w:w w:val="105"/>
        </w:rPr>
        <w:t>ies</w:t>
      </w:r>
      <w:r>
        <w:rPr>
          <w:spacing w:val="-16"/>
          <w:w w:val="105"/>
        </w:rPr>
        <w:t> </w:t>
      </w:r>
      <w:r>
        <w:rPr>
          <w:w w:val="105"/>
        </w:rPr>
        <w:t>is</w:t>
      </w:r>
      <w:r>
        <w:rPr>
          <w:spacing w:val="-16"/>
          <w:w w:val="105"/>
        </w:rPr>
        <w:t> </w:t>
      </w:r>
      <w:r>
        <w:rPr>
          <w:w w:val="105"/>
        </w:rPr>
        <w:t>expected</w:t>
      </w:r>
      <w:r>
        <w:rPr>
          <w:spacing w:val="-16"/>
          <w:w w:val="105"/>
        </w:rPr>
        <w:t> </w:t>
      </w:r>
      <w:r>
        <w:rPr>
          <w:w w:val="105"/>
        </w:rPr>
        <w:t>by</w:t>
      </w:r>
      <w:r>
        <w:rPr>
          <w:spacing w:val="-15"/>
          <w:w w:val="105"/>
        </w:rPr>
        <w:t> </w:t>
      </w:r>
      <w:r>
        <w:rPr>
          <w:w w:val="105"/>
        </w:rPr>
        <w:t>construction</w:t>
      </w:r>
      <w:r>
        <w:rPr>
          <w:spacing w:val="-16"/>
          <w:w w:val="105"/>
        </w:rPr>
        <w:t> </w:t>
      </w:r>
      <w:r>
        <w:rPr>
          <w:w w:val="105"/>
        </w:rPr>
        <w:t>and</w:t>
      </w:r>
      <w:r>
        <w:rPr>
          <w:spacing w:val="-16"/>
          <w:w w:val="105"/>
        </w:rPr>
        <w:t> </w:t>
      </w:r>
      <w:r>
        <w:rPr>
          <w:w w:val="105"/>
        </w:rPr>
        <w:t>must</w:t>
      </w:r>
      <w:r>
        <w:rPr>
          <w:spacing w:val="-16"/>
          <w:w w:val="105"/>
        </w:rPr>
        <w:t> </w:t>
      </w:r>
      <w:r>
        <w:rPr>
          <w:w w:val="105"/>
        </w:rPr>
        <w:t>be</w:t>
      </w:r>
      <w:r>
        <w:rPr>
          <w:spacing w:val="-15"/>
          <w:w w:val="105"/>
        </w:rPr>
        <w:t> </w:t>
      </w:r>
      <w:r>
        <w:rPr>
          <w:w w:val="105"/>
        </w:rPr>
        <w:t>interpreted</w:t>
      </w:r>
      <w:r>
        <w:rPr>
          <w:spacing w:val="-16"/>
          <w:w w:val="105"/>
        </w:rPr>
        <w:t> </w:t>
      </w:r>
      <w:r>
        <w:rPr>
          <w:w w:val="105"/>
        </w:rPr>
        <w:t>as</w:t>
      </w:r>
      <w:r>
        <w:rPr>
          <w:spacing w:val="-16"/>
          <w:w w:val="105"/>
        </w:rPr>
        <w:t> </w:t>
      </w:r>
      <w:r>
        <w:rPr>
          <w:w w:val="105"/>
        </w:rPr>
        <w:t>construct</w:t>
      </w:r>
      <w:r>
        <w:rPr>
          <w:spacing w:val="-16"/>
          <w:w w:val="105"/>
        </w:rPr>
        <w:t> </w:t>
      </w:r>
      <w:r>
        <w:rPr>
          <w:w w:val="105"/>
        </w:rPr>
        <w:t>overlap,</w:t>
      </w:r>
      <w:r>
        <w:rPr>
          <w:spacing w:val="-15"/>
          <w:w w:val="105"/>
        </w:rPr>
        <w:t> </w:t>
      </w:r>
      <w:r>
        <w:rPr>
          <w:w w:val="105"/>
        </w:rPr>
        <w:t>not</w:t>
      </w:r>
      <w:r>
        <w:rPr>
          <w:spacing w:val="-16"/>
          <w:w w:val="105"/>
        </w:rPr>
        <w:t> </w:t>
      </w:r>
      <w:r>
        <w:rPr>
          <w:w w:val="105"/>
        </w:rPr>
        <w:t>superior</w:t>
      </w:r>
      <w:r>
        <w:rPr>
          <w:spacing w:val="-16"/>
          <w:w w:val="105"/>
        </w:rPr>
        <w:t> </w:t>
      </w:r>
      <w:r>
        <w:rPr>
          <w:w w:val="105"/>
        </w:rPr>
        <w:t>social </w:t>
      </w:r>
      <w:bookmarkStart w:name="Rank correlation theory" w:id="58"/>
      <w:bookmarkEnd w:id="58"/>
      <w:r>
        <w:rPr>
          <w:w w:val="99"/>
        </w:rPr>
      </w:r>
      <w:bookmarkStart w:name="_bookmark33" w:id="59"/>
      <w:bookmarkEnd w:id="59"/>
      <w:r>
        <w:rPr>
          <w:spacing w:val="-2"/>
          <w:w w:val="105"/>
        </w:rPr>
        <w:t>reputation.</w:t>
      </w:r>
    </w:p>
    <w:p>
      <w:pPr>
        <w:pStyle w:val="BodyText"/>
        <w:spacing w:line="456" w:lineRule="exact" w:before="206"/>
        <w:ind w:left="274" w:right="524" w:firstLine="7"/>
        <w:jc w:val="both"/>
      </w:pPr>
      <w:r>
        <w:rPr>
          <w:i/>
        </w:rPr>
        <w:t>경험적 단계에서 GF-PR(GainFlow PageRank)은 제한된 거래 결과 프록시 정렬에 대한 보충 진단으로 추가되었습니다. GF-PR은 동일한 GMX PositionDecrease 스트림에서 방향성 별 그래프를 작성합니다. 합성 이익 풀 노드는 양의 실현 PnL이 있는 지갑에 에지를 보냅니다. 지갑은 음의 청산(|PnL| + 0.1) 및 청산(|PnL| + 1.0)을 위해 손실 싱크에 에지를 보냅니다. GF-PR에는 지갑 간 사회적 우위가 없으며, EndorseRank 또는 AWP에 대한 피어가 아닌 결과 기본 상한 참조(SRQ1) 역할을 합니다. 거래 성공 프록시와의 높은 일치는 구성에 의해 예상되며 우월한 사회적 평판이 아니라 구성 중복으로 해석되어야 합니다.</w:t>
      </w:r>
    </w:p>
    <w:p>
      <w:pPr>
        <w:pStyle w:val="BodyText"/>
      </w:pPr>
    </w:p>
    <w:p>
      <w:pPr>
        <w:pStyle w:val="BodyText"/>
        <w:spacing w:before="7"/>
      </w:pPr>
    </w:p>
    <w:p>
      <w:pPr>
        <w:pStyle w:val="Heading2"/>
        <w:numPr>
          <w:ilvl w:val="1"/>
          <w:numId w:val="8"/>
        </w:numPr>
        <w:tabs>
          <w:tab w:pos="927" w:val="left" w:leader="none"/>
        </w:tabs>
        <w:spacing w:line="240" w:lineRule="auto" w:before="0" w:after="0"/>
        <w:ind w:left="927" w:right="0" w:hanging="645"/>
        <w:jc w:val="both"/>
      </w:pPr>
      <w:r>
        <w:rPr/>
        <w:t>Rank</w:t>
      </w:r>
      <w:r>
        <w:rPr>
          <w:spacing w:val="13"/>
        </w:rPr>
        <w:t> </w:t>
      </w:r>
      <w:r>
        <w:rPr/>
        <w:t>correlation</w:t>
      </w:r>
      <w:r>
        <w:rPr>
          <w:spacing w:val="14"/>
        </w:rPr>
        <w:t> </w:t>
      </w:r>
      <w:r>
        <w:rPr>
          <w:spacing w:val="-2"/>
        </w:rPr>
        <w:t>theory</w:t>
      </w:r>
    </w:p>
    <w:p>
      <w:pPr>
        <w:pStyle w:val="Heading2"/>
        <w:numPr>
          <w:ilvl w:val="1"/>
          <w:numId w:val="8"/>
        </w:numPr>
        <w:tabs>
          <w:tab w:pos="927" w:val="left" w:leader="none"/>
        </w:tabs>
        <w:spacing w:line="240" w:lineRule="auto" w:before="0" w:after="0"/>
        <w:ind w:left="927" w:right="0" w:hanging="645"/>
        <w:jc w:val="both"/>
      </w:pPr>
      <w:r>
        <w:rPr>
          <w:i/>
        </w:rPr>
        <w:t>순위 상관 이론</w:t>
      </w:r>
    </w:p>
    <w:p>
      <w:pPr>
        <w:pStyle w:val="BodyText"/>
        <w:spacing w:before="24"/>
        <w:rPr>
          <w:b/>
          <w:sz w:val="28"/>
        </w:rPr>
      </w:pPr>
    </w:p>
    <w:p>
      <w:pPr>
        <w:pStyle w:val="BodyText"/>
        <w:spacing w:line="396" w:lineRule="auto"/>
        <w:ind w:left="282" w:right="525"/>
        <w:jc w:val="both"/>
      </w:pPr>
      <w:r>
        <w:rPr/>
        <w:t>Reputation scores and validation proxies are continuous variables without a universal classifica-tion threshold.</w:t>
      </w:r>
      <w:r>
        <w:rPr>
          <w:spacing w:val="40"/>
        </w:rPr>
        <w:t> </w:t>
      </w:r>
      <w:r>
        <w:rPr/>
        <w:t>Following Do et al.</w:t>
      </w:r>
      <w:hyperlink w:history="true" w:anchor="_bookmark149">
        <w:r>
          <w:rPr>
            <w:vertAlign w:val="superscript"/>
          </w:rPr>
          <w:t>[16]</w:t>
        </w:r>
      </w:hyperlink>
      <w:r>
        <w:rPr>
          <w:vertAlign w:val="baseline"/>
        </w:rPr>
        <w:t> and classical psychometrics </w:t>
      </w:r>
      <w:hyperlink w:history="true" w:anchor="_bookmark147">
        <w:r>
          <w:rPr>
            <w:vertAlign w:val="superscript"/>
          </w:rPr>
          <w:t>[14]</w:t>
        </w:r>
      </w:hyperlink>
      <w:r>
        <w:rPr>
          <w:vertAlign w:val="baseline"/>
        </w:rPr>
        <w:t>, this dissertation evaluates monotonic and pairwise rank agreement.</w:t>
      </w:r>
    </w:p>
    <w:p>
      <w:pPr>
        <w:pStyle w:val="BodyText"/>
        <w:spacing w:line="396" w:lineRule="auto"/>
        <w:ind w:left="282" w:right="525"/>
        <w:jc w:val="both"/>
      </w:pPr>
      <w:r>
        <w:rPr>
          <w:i/>
        </w:rPr>
        <w:t>평판 점수와 검증 프록시는 범용 분류 임계값이 없는 연속 변수입니다. Do 등[16] 및 고전 심리학 [14]에서 이 논문은 단조롭고 쌍별 순위 일치를 평가합니다.</w:t>
      </w:r>
    </w:p>
    <w:p>
      <w:pPr>
        <w:pStyle w:val="BodyText"/>
        <w:spacing w:before="12"/>
        <w:ind w:left="282"/>
        <w:jc w:val="both"/>
        <w:rPr>
          <w:rFonts w:ascii="Calibri" w:hAnsi="Calibri"/>
          <w:i/>
        </w:rPr>
      </w:pPr>
      <w:r>
        <w:rPr>
          <w:w w:val="105"/>
        </w:rPr>
        <w:t>Spearman’s</w:t>
      </w:r>
      <w:r>
        <w:rPr>
          <w:spacing w:val="-11"/>
          <w:w w:val="105"/>
        </w:rPr>
        <w:t> </w:t>
      </w:r>
      <w:r>
        <w:rPr>
          <w:w w:val="105"/>
        </w:rPr>
        <w:t>rank</w:t>
      </w:r>
      <w:r>
        <w:rPr>
          <w:spacing w:val="-5"/>
          <w:w w:val="105"/>
        </w:rPr>
        <w:t> </w:t>
      </w:r>
      <w:r>
        <w:rPr>
          <w:w w:val="105"/>
        </w:rPr>
        <w:t>correlation</w:t>
      </w:r>
      <w:r>
        <w:rPr>
          <w:spacing w:val="-2"/>
          <w:w w:val="105"/>
        </w:rPr>
        <w:t> </w:t>
      </w:r>
      <w:hyperlink w:history="true" w:anchor="_bookmark187">
        <w:r>
          <w:rPr>
            <w:w w:val="105"/>
            <w:vertAlign w:val="superscript"/>
          </w:rPr>
          <w:t>[54]</w:t>
        </w:r>
      </w:hyperlink>
      <w:r>
        <w:rPr>
          <w:spacing w:val="5"/>
          <w:w w:val="105"/>
          <w:vertAlign w:val="baseline"/>
        </w:rPr>
        <w:t> </w:t>
      </w:r>
      <w:r>
        <w:rPr>
          <w:w w:val="105"/>
          <w:vertAlign w:val="baseline"/>
        </w:rPr>
        <w:t>is</w:t>
      </w:r>
      <w:r>
        <w:rPr>
          <w:spacing w:val="-3"/>
          <w:w w:val="105"/>
          <w:vertAlign w:val="baseline"/>
        </w:rPr>
        <w:t> </w:t>
      </w:r>
      <w:r>
        <w:rPr>
          <w:w w:val="105"/>
          <w:vertAlign w:val="baseline"/>
        </w:rPr>
        <w:t>Pearson</w:t>
      </w:r>
      <w:r>
        <w:rPr>
          <w:spacing w:val="-3"/>
          <w:w w:val="105"/>
          <w:vertAlign w:val="baseline"/>
        </w:rPr>
        <w:t> </w:t>
      </w:r>
      <w:r>
        <w:rPr>
          <w:w w:val="105"/>
          <w:vertAlign w:val="baseline"/>
        </w:rPr>
        <w:t>correlation</w:t>
      </w:r>
      <w:r>
        <w:rPr>
          <w:spacing w:val="-2"/>
          <w:w w:val="105"/>
          <w:vertAlign w:val="baseline"/>
        </w:rPr>
        <w:t> </w:t>
      </w:r>
      <w:r>
        <w:rPr>
          <w:w w:val="105"/>
          <w:vertAlign w:val="baseline"/>
        </w:rPr>
        <w:t>on</w:t>
      </w:r>
      <w:r>
        <w:rPr>
          <w:spacing w:val="-3"/>
          <w:w w:val="105"/>
          <w:vertAlign w:val="baseline"/>
        </w:rPr>
        <w:t> </w:t>
      </w:r>
      <w:r>
        <w:rPr>
          <w:w w:val="105"/>
          <w:vertAlign w:val="baseline"/>
        </w:rPr>
        <w:t>ranks.</w:t>
      </w:r>
      <w:r>
        <w:rPr>
          <w:spacing w:val="45"/>
          <w:w w:val="105"/>
          <w:vertAlign w:val="baseline"/>
        </w:rPr>
        <w:t> </w:t>
      </w:r>
      <w:r>
        <w:rPr>
          <w:w w:val="105"/>
          <w:vertAlign w:val="baseline"/>
        </w:rPr>
        <w:t>For</w:t>
      </w:r>
      <w:r>
        <w:rPr>
          <w:spacing w:val="-2"/>
          <w:w w:val="105"/>
          <w:vertAlign w:val="baseline"/>
        </w:rPr>
        <w:t> </w:t>
      </w:r>
      <w:r>
        <w:rPr>
          <w:w w:val="105"/>
          <w:vertAlign w:val="baseline"/>
        </w:rPr>
        <w:t>paired</w:t>
      </w:r>
      <w:r>
        <w:rPr>
          <w:spacing w:val="-3"/>
          <w:w w:val="105"/>
          <w:vertAlign w:val="baseline"/>
        </w:rPr>
        <w:t> </w:t>
      </w:r>
      <w:r>
        <w:rPr>
          <w:w w:val="105"/>
          <w:vertAlign w:val="baseline"/>
        </w:rPr>
        <w:t>ranks</w:t>
      </w:r>
      <w:r>
        <w:rPr>
          <w:spacing w:val="-2"/>
          <w:w w:val="105"/>
          <w:vertAlign w:val="baseline"/>
        </w:rPr>
        <w:t> </w:t>
      </w:r>
      <w:r>
        <w:rPr>
          <w:rFonts w:ascii="Calibri" w:hAnsi="Calibri"/>
          <w:w w:val="105"/>
          <w:vertAlign w:val="baseline"/>
        </w:rPr>
        <w:t>(</w:t>
      </w:r>
      <w:r>
        <w:rPr>
          <w:rFonts w:ascii="Calibri" w:hAnsi="Calibri"/>
          <w:i/>
          <w:w w:val="105"/>
          <w:vertAlign w:val="baseline"/>
        </w:rPr>
        <w:t>R</w:t>
      </w:r>
      <w:r>
        <w:rPr>
          <w:rFonts w:ascii="Cambria" w:hAnsi="Cambria"/>
          <w:w w:val="105"/>
          <w:vertAlign w:val="subscript"/>
        </w:rPr>
        <w:t>i</w:t>
      </w:r>
      <w:r>
        <w:rPr>
          <w:rFonts w:ascii="Calibri" w:hAnsi="Calibri"/>
          <w:i/>
          <w:w w:val="105"/>
          <w:vertAlign w:val="baseline"/>
        </w:rPr>
        <w:t>,</w:t>
      </w:r>
      <w:r>
        <w:rPr>
          <w:rFonts w:ascii="Calibri" w:hAnsi="Calibri"/>
          <w:i/>
          <w:spacing w:val="-17"/>
          <w:w w:val="105"/>
          <w:vertAlign w:val="baseline"/>
        </w:rPr>
        <w:t> </w:t>
      </w:r>
      <w:r>
        <w:rPr>
          <w:rFonts w:ascii="Calibri" w:hAnsi="Calibri"/>
          <w:i/>
          <w:w w:val="105"/>
          <w:vertAlign w:val="baseline"/>
        </w:rPr>
        <w:t>S</w:t>
      </w:r>
      <w:r>
        <w:rPr>
          <w:rFonts w:ascii="Cambria" w:hAnsi="Cambria"/>
          <w:w w:val="105"/>
          <w:vertAlign w:val="subscript"/>
        </w:rPr>
        <w:t>i</w:t>
      </w:r>
      <w:r>
        <w:rPr>
          <w:rFonts w:ascii="Calibri" w:hAnsi="Calibri"/>
          <w:w w:val="105"/>
          <w:vertAlign w:val="baseline"/>
        </w:rPr>
        <w:t>)</w:t>
      </w:r>
      <w:r>
        <w:rPr>
          <w:rFonts w:ascii="Calibri" w:hAnsi="Calibri"/>
          <w:spacing w:val="3"/>
          <w:w w:val="105"/>
          <w:vertAlign w:val="baseline"/>
        </w:rPr>
        <w:t> </w:t>
      </w:r>
      <w:r>
        <w:rPr>
          <w:w w:val="105"/>
          <w:vertAlign w:val="baseline"/>
        </w:rPr>
        <w:t>of</w:t>
      </w:r>
      <w:r>
        <w:rPr>
          <w:spacing w:val="-2"/>
          <w:w w:val="105"/>
          <w:vertAlign w:val="baseline"/>
        </w:rPr>
        <w:t> </w:t>
      </w:r>
      <w:r>
        <w:rPr>
          <w:rFonts w:ascii="Calibri" w:hAnsi="Calibri"/>
          <w:i/>
          <w:spacing w:val="-10"/>
          <w:w w:val="105"/>
          <w:vertAlign w:val="baseline"/>
        </w:rPr>
        <w:t>n</w:t>
      </w:r>
    </w:p>
    <w:p>
      <w:pPr>
        <w:pStyle w:val="BodyText"/>
        <w:spacing w:before="12"/>
        <w:ind w:left="282"/>
        <w:jc w:val="both"/>
        <w:rPr>
          <w:rFonts w:ascii="Calibri" w:hAnsi="Calibri"/>
          <w:i/>
        </w:rPr>
      </w:pPr>
      <w:r>
        <w:rPr>
          <w:i/>
        </w:rPr>
        <w:t>Spearman의 순위 상관관계[54]는 순위에 대한 Pearson 상관관계입니다. n의 쌍을 이루는 순위(Ri, Si)의 경우</w:t>
      </w:r>
    </w:p>
    <w:p>
      <w:pPr>
        <w:pStyle w:val="BodyText"/>
        <w:spacing w:line="159" w:lineRule="exact" w:before="168"/>
        <w:ind w:left="282"/>
      </w:pPr>
      <w:r>
        <w:rPr>
          <w:spacing w:val="-2"/>
        </w:rPr>
        <w:t>items,</w:t>
      </w:r>
    </w:p>
    <w:p>
      <w:pPr>
        <w:pStyle w:val="BodyText"/>
        <w:spacing w:line="159" w:lineRule="exact" w:before="168"/>
        <w:ind w:left="282"/>
      </w:pPr>
      <w:r>
        <w:rPr>
          <w:i/>
        </w:rPr>
        <w:t>아이템,</w:t>
      </w:r>
    </w:p>
    <w:p>
      <w:pPr>
        <w:pStyle w:val="BodyText"/>
        <w:spacing w:after="0" w:line="159" w:lineRule="exact"/>
        <w:sectPr>
          <w:pgSz w:w="11910" w:h="16840"/>
          <w:pgMar w:header="0" w:footer="2115" w:top="1840" w:bottom="2300" w:left="992" w:right="708"/>
        </w:sectPr>
      </w:pPr>
    </w:p>
    <w:p>
      <w:pPr>
        <w:pStyle w:val="BodyText"/>
        <w:spacing w:line="187" w:lineRule="auto"/>
        <w:jc w:val="right"/>
        <w:rPr>
          <w:rFonts w:ascii="Cambria" w:hAnsi="Cambria"/>
        </w:rPr>
      </w:pPr>
      <w:r>
        <w:rPr>
          <w:rFonts w:ascii="Cambria" w:hAnsi="Cambria"/>
        </w:rPr>
        <mc:AlternateContent>
          <mc:Choice Requires="wps">
            <w:drawing>
              <wp:anchor distT="0" distB="0" distL="0" distR="0" allowOverlap="1" layoutInCell="1" locked="0" behindDoc="1" simplePos="0" relativeHeight="484008960">
                <wp:simplePos x="0" y="0"/>
                <wp:positionH relativeFrom="page">
                  <wp:posOffset>2950514</wp:posOffset>
                </wp:positionH>
                <wp:positionV relativeFrom="paragraph">
                  <wp:posOffset>182302</wp:posOffset>
                </wp:positionV>
                <wp:extent cx="1644014" cy="2921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644014" cy="292100"/>
                        </a:xfrm>
                        <a:prstGeom prst="rect">
                          <a:avLst/>
                        </a:prstGeom>
                      </wps:spPr>
                      <wps:txbx>
                        <w:txbxContent>
                          <w:p>
                            <w:pPr>
                              <w:tabs>
                                <w:tab w:pos="1278" w:val="left" w:leader="none"/>
                                <w:tab w:pos="2588" w:val="left" w:leader="none"/>
                              </w:tabs>
                              <w:spacing w:line="237" w:lineRule="exact" w:before="0"/>
                              <w:ind w:left="0" w:right="0" w:firstLine="0"/>
                              <w:jc w:val="left"/>
                              <w:rPr>
                                <w:rFonts w:ascii="Calibri" w:hAnsi="Calibri"/>
                                <w:sz w:val="16"/>
                              </w:rPr>
                            </w:pPr>
                            <w:r>
                              <w:rPr>
                                <w:rFonts w:ascii="Calibri" w:hAnsi="Calibri"/>
                                <w:i/>
                                <w:position w:val="-8"/>
                                <w:sz w:val="24"/>
                              </w:rPr>
                              <w:t>ρ</w:t>
                            </w:r>
                            <w:r>
                              <w:rPr>
                                <w:rFonts w:ascii="Calibri" w:hAnsi="Calibri"/>
                                <w:i/>
                                <w:w w:val="130"/>
                                <w:position w:val="-8"/>
                                <w:sz w:val="24"/>
                              </w:rPr>
                              <w:t> </w:t>
                            </w:r>
                            <w:r>
                              <w:rPr>
                                <w:rFonts w:ascii="Calibri" w:hAnsi="Calibri"/>
                                <w:w w:val="130"/>
                                <w:position w:val="-8"/>
                                <w:sz w:val="24"/>
                              </w:rPr>
                              <w:t>= </w:t>
                            </w:r>
                            <w:r>
                              <w:rPr>
                                <w:rFonts w:ascii="Calibri" w:hAnsi="Calibri"/>
                                <w:position w:val="-8"/>
                                <w:sz w:val="24"/>
                              </w:rPr>
                              <w:t>1 </w:t>
                            </w:r>
                            <w:r>
                              <w:rPr>
                                <w:rFonts w:ascii="Lucida Sans Unicode" w:hAnsi="Lucida Sans Unicode"/>
                                <w:position w:val="-8"/>
                                <w:sz w:val="24"/>
                              </w:rPr>
                              <w:t>—</w:t>
                            </w:r>
                            <w:r>
                              <w:rPr>
                                <w:rFonts w:ascii="Lucida Sans Unicode" w:hAnsi="Lucida Sans Unicode"/>
                                <w:spacing w:val="1"/>
                                <w:position w:val="-8"/>
                                <w:sz w:val="24"/>
                              </w:rPr>
                              <w:t> </w:t>
                            </w:r>
                            <w:r>
                              <w:rPr>
                                <w:sz w:val="16"/>
                                <w:u w:val="single"/>
                              </w:rPr>
                              <w:tab/>
                            </w:r>
                            <w:r>
                              <w:rPr>
                                <w:rFonts w:ascii="Cambria" w:hAnsi="Cambria"/>
                                <w:spacing w:val="-5"/>
                                <w:w w:val="130"/>
                                <w:sz w:val="16"/>
                                <w:u w:val="single"/>
                              </w:rPr>
                              <w:t>i</w:t>
                            </w:r>
                            <w:r>
                              <w:rPr>
                                <w:rFonts w:ascii="Calibri" w:hAnsi="Calibri"/>
                                <w:spacing w:val="-5"/>
                                <w:w w:val="130"/>
                                <w:sz w:val="16"/>
                                <w:u w:val="single"/>
                              </w:rPr>
                              <w:t>=1</w:t>
                            </w:r>
                            <w:r>
                              <w:rPr>
                                <w:rFonts w:ascii="Calibri" w:hAnsi="Calibri"/>
                                <w:sz w:val="16"/>
                                <w:u w:val="single"/>
                              </w:rPr>
                              <w:tab/>
                            </w:r>
                          </w:p>
                          <w:p>
                            <w:pPr>
                              <w:spacing w:line="222" w:lineRule="exact" w:before="0"/>
                              <w:ind w:left="1246"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position w:val="7"/>
                                <w:sz w:val="16"/>
                              </w:rPr>
                              <w:t>2</w:t>
                            </w:r>
                            <w:r>
                              <w:rPr>
                                <w:rFonts w:ascii="Calibri" w:hAnsi="Calibri"/>
                                <w:spacing w:val="23"/>
                                <w:position w:val="7"/>
                                <w:sz w:val="16"/>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txbxContent>
                      </wps:txbx>
                      <wps:bodyPr wrap="square" lIns="0" tIns="0" rIns="0" bIns="0" rtlCol="0">
                        <a:noAutofit/>
                      </wps:bodyPr>
                    </wps:wsp>
                  </a:graphicData>
                </a:graphic>
              </wp:anchor>
            </w:drawing>
          </mc:Choice>
          <mc:Fallback>
            <w:pict>
              <v:shape style="position:absolute;margin-left:232.324005pt;margin-top:14.354521pt;width:129.4500pt;height:23pt;mso-position-horizontal-relative:page;mso-position-vertical-relative:paragraph;z-index:-19307520" type="#_x0000_t202" id="docshape55" filled="false" stroked="false">
                <v:textbox inset="0,0,0,0">
                  <w:txbxContent>
                    <w:p>
                      <w:pPr>
                        <w:tabs>
                          <w:tab w:pos="1278" w:val="left" w:leader="none"/>
                          <w:tab w:pos="2588" w:val="left" w:leader="none"/>
                        </w:tabs>
                        <w:spacing w:line="237" w:lineRule="exact" w:before="0"/>
                        <w:ind w:left="0" w:right="0" w:firstLine="0"/>
                        <w:jc w:val="left"/>
                        <w:rPr>
                          <w:rFonts w:ascii="Calibri" w:hAnsi="Calibri"/>
                          <w:sz w:val="16"/>
                        </w:rPr>
                      </w:pPr>
                      <w:r>
                        <w:rPr>
                          <w:rFonts w:ascii="Calibri" w:hAnsi="Calibri"/>
                          <w:i/>
                          <w:position w:val="-8"/>
                          <w:sz w:val="24"/>
                        </w:rPr>
                        <w:t>ρ</w:t>
                      </w:r>
                      <w:r>
                        <w:rPr>
                          <w:rFonts w:ascii="Calibri" w:hAnsi="Calibri"/>
                          <w:i/>
                          <w:w w:val="130"/>
                          <w:position w:val="-8"/>
                          <w:sz w:val="24"/>
                        </w:rPr>
                        <w:t> </w:t>
                      </w:r>
                      <w:r>
                        <w:rPr>
                          <w:rFonts w:ascii="Calibri" w:hAnsi="Calibri"/>
                          <w:w w:val="130"/>
                          <w:position w:val="-8"/>
                          <w:sz w:val="24"/>
                        </w:rPr>
                        <w:t>= </w:t>
                      </w:r>
                      <w:r>
                        <w:rPr>
                          <w:rFonts w:ascii="Calibri" w:hAnsi="Calibri"/>
                          <w:position w:val="-8"/>
                          <w:sz w:val="24"/>
                        </w:rPr>
                        <w:t>1 </w:t>
                      </w:r>
                      <w:r>
                        <w:rPr>
                          <w:rFonts w:ascii="Lucida Sans Unicode" w:hAnsi="Lucida Sans Unicode"/>
                          <w:position w:val="-8"/>
                          <w:sz w:val="24"/>
                        </w:rPr>
                        <w:t>—</w:t>
                      </w:r>
                      <w:r>
                        <w:rPr>
                          <w:rFonts w:ascii="Lucida Sans Unicode" w:hAnsi="Lucida Sans Unicode"/>
                          <w:spacing w:val="1"/>
                          <w:position w:val="-8"/>
                          <w:sz w:val="24"/>
                        </w:rPr>
                        <w:t> </w:t>
                      </w:r>
                      <w:r>
                        <w:rPr>
                          <w:sz w:val="16"/>
                          <w:u w:val="single"/>
                        </w:rPr>
                        <w:tab/>
                      </w:r>
                      <w:r>
                        <w:rPr>
                          <w:rFonts w:ascii="Cambria" w:hAnsi="Cambria"/>
                          <w:spacing w:val="-5"/>
                          <w:w w:val="130"/>
                          <w:sz w:val="16"/>
                          <w:u w:val="single"/>
                        </w:rPr>
                        <w:t>i</w:t>
                      </w:r>
                      <w:r>
                        <w:rPr>
                          <w:rFonts w:ascii="Calibri" w:hAnsi="Calibri"/>
                          <w:spacing w:val="-5"/>
                          <w:w w:val="130"/>
                          <w:sz w:val="16"/>
                          <w:u w:val="single"/>
                        </w:rPr>
                        <w:t>=1</w:t>
                      </w:r>
                      <w:r>
                        <w:rPr>
                          <w:rFonts w:ascii="Calibri" w:hAnsi="Calibri"/>
                          <w:sz w:val="16"/>
                          <w:u w:val="single"/>
                        </w:rPr>
                        <w:tab/>
                      </w:r>
                    </w:p>
                    <w:p>
                      <w:pPr>
                        <w:spacing w:line="222" w:lineRule="exact" w:before="0"/>
                        <w:ind w:left="1246"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position w:val="7"/>
                          <w:sz w:val="16"/>
                        </w:rPr>
                        <w:t>2</w:t>
                      </w:r>
                      <w:r>
                        <w:rPr>
                          <w:rFonts w:ascii="Calibri" w:hAnsi="Calibri"/>
                          <w:spacing w:val="23"/>
                          <w:position w:val="7"/>
                          <w:sz w:val="16"/>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txbxContent>
                </v:textbox>
                <w10:wrap type="none"/>
              </v:shape>
            </w:pict>
          </mc:Fallback>
        </mc:AlternateContent>
      </w:r>
      <w:r>
        <w:rPr>
          <w:rFonts w:ascii="Cambria" w:hAnsi="Cambria"/>
        </w:rPr>
        <mc:AlternateContent>
          <mc:Choice Requires="wps">
            <w:drawing>
              <wp:anchor distT="0" distB="0" distL="0" distR="0" allowOverlap="1" layoutInCell="1" locked="0" behindDoc="0" simplePos="0" relativeHeight="15742976">
                <wp:simplePos x="0" y="0"/>
                <wp:positionH relativeFrom="page">
                  <wp:posOffset>6470027</wp:posOffset>
                </wp:positionH>
                <wp:positionV relativeFrom="paragraph">
                  <wp:posOffset>196409</wp:posOffset>
                </wp:positionV>
                <wp:extent cx="291465" cy="1682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91465" cy="168275"/>
                        </a:xfrm>
                        <a:prstGeom prst="rect">
                          <a:avLst/>
                        </a:prstGeom>
                      </wps:spPr>
                      <wps:txbx>
                        <w:txbxContent>
                          <w:p>
                            <w:pPr>
                              <w:pStyle w:val="BodyText"/>
                              <w:spacing w:line="265" w:lineRule="exact"/>
                            </w:pPr>
                            <w:r>
                              <w:rPr>
                                <w:spacing w:val="-4"/>
                              </w:rPr>
                              <w:t>(2.5)</w:t>
                            </w:r>
                          </w:p>
                        </w:txbxContent>
                      </wps:txbx>
                      <wps:bodyPr wrap="square" lIns="0" tIns="0" rIns="0" bIns="0" rtlCol="0">
                        <a:noAutofit/>
                      </wps:bodyPr>
                    </wps:wsp>
                  </a:graphicData>
                </a:graphic>
              </wp:anchor>
            </w:drawing>
          </mc:Choice>
          <mc:Fallback>
            <w:pict>
              <v:shape style="position:absolute;margin-left:509.450989pt;margin-top:15.465345pt;width:22.95pt;height:13.25pt;mso-position-horizontal-relative:page;mso-position-vertical-relative:paragraph;z-index:15742976" type="#_x0000_t202" id="docshape56" filled="false" stroked="false">
                <v:textbox inset="0,0,0,0">
                  <w:txbxContent>
                    <w:p>
                      <w:pPr>
                        <w:pStyle w:val="BodyText"/>
                        <w:spacing w:line="265" w:lineRule="exact"/>
                      </w:pPr>
                      <w:r>
                        <w:rPr>
                          <w:spacing w:val="-4"/>
                        </w:rPr>
                        <w:t>(2.5)</w:t>
                      </w:r>
                    </w:p>
                  </w:txbxContent>
                </v:textbox>
                <w10:wrap type="none"/>
              </v:shape>
            </w:pict>
          </mc:Fallback>
        </mc:AlternateContent>
      </w:r>
      <w:r>
        <w:rPr>
          <w:rFonts w:ascii="Calibri" w:hAnsi="Calibri"/>
          <w:w w:val="95"/>
          <w:position w:val="-17"/>
        </w:rPr>
        <w:t>6</w:t>
      </w:r>
      <w:r>
        <w:rPr>
          <w:rFonts w:ascii="Calibri" w:hAnsi="Calibri"/>
          <w:spacing w:val="-12"/>
          <w:w w:val="95"/>
          <w:position w:val="-17"/>
        </w:rPr>
        <w:t> </w:t>
      </w:r>
      <w:r>
        <w:rPr>
          <w:spacing w:val="-5"/>
          <w:w w:val="130"/>
        </w:rPr>
        <w:t>Σ</w:t>
      </w:r>
      <w:r>
        <w:rPr>
          <w:rFonts w:ascii="Cambria" w:hAnsi="Cambria"/>
          <w:spacing w:val="-5"/>
          <w:w w:val="130"/>
          <w:vertAlign w:val="subscript"/>
        </w:rPr>
        <w:t>n</w:t>
      </w:r>
    </w:p>
    <w:p>
      <w:pPr>
        <w:pStyle w:val="BodyText"/>
        <w:spacing w:before="96"/>
        <w:ind w:left="141"/>
        <w:rPr>
          <w:rFonts w:ascii="Calibri" w:hAnsi="Calibri"/>
        </w:rPr>
      </w:pPr>
      <w:r>
        <w:rPr/>
        <w:br w:type="column"/>
      </w:r>
      <w:r>
        <w:rPr>
          <w:rFonts w:ascii="Calibri" w:hAnsi="Calibri"/>
          <w:w w:val="110"/>
        </w:rPr>
        <w:t>(</w:t>
      </w:r>
      <w:r>
        <w:rPr>
          <w:rFonts w:ascii="Calibri" w:hAnsi="Calibri"/>
          <w:i/>
          <w:w w:val="110"/>
        </w:rPr>
        <w:t>R</w:t>
      </w:r>
      <w:r>
        <w:rPr>
          <w:rFonts w:ascii="Cambria" w:hAnsi="Cambria"/>
          <w:w w:val="110"/>
          <w:vertAlign w:val="subscript"/>
        </w:rPr>
        <w:t>i</w:t>
      </w:r>
      <w:r>
        <w:rPr>
          <w:rFonts w:ascii="Cambria" w:hAnsi="Cambria"/>
          <w:spacing w:val="-11"/>
          <w:w w:val="110"/>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Calibri" w:hAnsi="Calibri"/>
          <w:i/>
          <w:spacing w:val="-4"/>
          <w:w w:val="110"/>
          <w:vertAlign w:val="baseline"/>
        </w:rPr>
        <w:t>S</w:t>
      </w:r>
      <w:r>
        <w:rPr>
          <w:rFonts w:ascii="Cambria" w:hAnsi="Cambria"/>
          <w:spacing w:val="-4"/>
          <w:w w:val="110"/>
          <w:vertAlign w:val="subscript"/>
        </w:rPr>
        <w:t>i</w:t>
      </w:r>
      <w:r>
        <w:rPr>
          <w:rFonts w:ascii="Calibri" w:hAnsi="Calibri"/>
          <w:spacing w:val="-4"/>
          <w:w w:val="110"/>
          <w:vertAlign w:val="baseline"/>
        </w:rPr>
        <w:t>)</w:t>
      </w:r>
      <w:r>
        <w:rPr>
          <w:rFonts w:ascii="Calibri" w:hAnsi="Calibri"/>
          <w:spacing w:val="-4"/>
          <w:w w:val="110"/>
          <w:vertAlign w:val="superscript"/>
        </w:rPr>
        <w:t>2</w:t>
      </w:r>
    </w:p>
    <w:p>
      <w:pPr>
        <w:pStyle w:val="BodyText"/>
        <w:spacing w:before="96"/>
        <w:ind w:left="141"/>
        <w:rPr>
          <w:rFonts w:ascii="Calibri" w:hAnsi="Calibri"/>
        </w:rPr>
      </w:pPr>
      <w:r>
        <w:rPr>
          <w:i/>
        </w:rPr>
        <w:t>(리 — 시)2</w:t>
      </w:r>
    </w:p>
    <w:p>
      <w:pPr>
        <w:pStyle w:val="BodyText"/>
        <w:spacing w:after="0"/>
        <w:rPr>
          <w:rFonts w:ascii="Calibri" w:hAnsi="Calibri"/>
        </w:rPr>
        <w:sectPr>
          <w:type w:val="continuous"/>
          <w:pgSz w:w="11910" w:h="16840"/>
          <w:pgMar w:header="0" w:footer="2115" w:top="1920" w:bottom="280" w:left="992" w:right="708"/>
          <w:cols w:num="2" w:equalWidth="0">
            <w:col w:w="5036" w:space="40"/>
            <w:col w:w="5134"/>
          </w:cols>
        </w:sectPr>
      </w:pPr>
    </w:p>
    <w:p>
      <w:pPr>
        <w:pStyle w:val="BodyText"/>
        <w:spacing w:before="197"/>
        <w:rPr>
          <w:rFonts w:ascii="Calibri"/>
        </w:rPr>
      </w:pPr>
    </w:p>
    <w:p>
      <w:pPr>
        <w:pStyle w:val="BodyText"/>
        <w:ind w:left="282"/>
      </w:pPr>
      <w:r>
        <w:rPr/>
        <w:t>in</w:t>
      </w:r>
      <w:r>
        <w:rPr>
          <w:spacing w:val="-13"/>
        </w:rPr>
        <w:t> </w:t>
      </w:r>
      <w:r>
        <w:rPr/>
        <w:t>the</w:t>
      </w:r>
      <w:r>
        <w:rPr>
          <w:spacing w:val="-12"/>
        </w:rPr>
        <w:t> </w:t>
      </w:r>
      <w:r>
        <w:rPr/>
        <w:t>absence</w:t>
      </w:r>
      <w:r>
        <w:rPr>
          <w:spacing w:val="-13"/>
        </w:rPr>
        <w:t> </w:t>
      </w:r>
      <w:r>
        <w:rPr/>
        <w:t>of</w:t>
      </w:r>
      <w:r>
        <w:rPr>
          <w:spacing w:val="-12"/>
        </w:rPr>
        <w:t> </w:t>
      </w:r>
      <w:r>
        <w:rPr/>
        <w:t>ties</w:t>
      </w:r>
      <w:r>
        <w:rPr>
          <w:spacing w:val="-13"/>
        </w:rPr>
        <w:t> </w:t>
      </w:r>
      <w:r>
        <w:rPr/>
        <w:t>(with</w:t>
      </w:r>
      <w:r>
        <w:rPr>
          <w:spacing w:val="-12"/>
        </w:rPr>
        <w:t> </w:t>
      </w:r>
      <w:r>
        <w:rPr/>
        <w:t>tie-aware</w:t>
      </w:r>
      <w:r>
        <w:rPr>
          <w:spacing w:val="-12"/>
        </w:rPr>
        <w:t> </w:t>
      </w:r>
      <w:r>
        <w:rPr/>
        <w:t>variants</w:t>
      </w:r>
      <w:r>
        <w:rPr>
          <w:spacing w:val="-13"/>
        </w:rPr>
        <w:t> </w:t>
      </w:r>
      <w:r>
        <w:rPr/>
        <w:t>used</w:t>
      </w:r>
      <w:r>
        <w:rPr>
          <w:spacing w:val="-12"/>
        </w:rPr>
        <w:t> </w:t>
      </w:r>
      <w:r>
        <w:rPr/>
        <w:t>in</w:t>
      </w:r>
      <w:r>
        <w:rPr>
          <w:spacing w:val="-13"/>
        </w:rPr>
        <w:t> </w:t>
      </w:r>
      <w:r>
        <w:rPr/>
        <w:t>software).</w:t>
      </w:r>
      <w:r>
        <w:rPr>
          <w:spacing w:val="8"/>
        </w:rPr>
        <w:t> </w:t>
      </w:r>
      <w:r>
        <w:rPr/>
        <w:t>Spearman’s</w:t>
      </w:r>
      <w:r>
        <w:rPr>
          <w:spacing w:val="-13"/>
        </w:rPr>
        <w:t> </w:t>
      </w:r>
      <w:r>
        <w:rPr>
          <w:rFonts w:ascii="Calibri" w:hAnsi="Calibri"/>
          <w:i/>
        </w:rPr>
        <w:t>ρ</w:t>
      </w:r>
      <w:r>
        <w:rPr>
          <w:rFonts w:ascii="Calibri" w:hAnsi="Calibri"/>
          <w:i/>
          <w:spacing w:val="-6"/>
        </w:rPr>
        <w:t> </w:t>
      </w:r>
      <w:r>
        <w:rPr/>
        <w:t>captures</w:t>
      </w:r>
      <w:r>
        <w:rPr>
          <w:spacing w:val="-13"/>
        </w:rPr>
        <w:t> </w:t>
      </w:r>
      <w:r>
        <w:rPr>
          <w:spacing w:val="-2"/>
        </w:rPr>
        <w:t>monotonic</w:t>
      </w:r>
    </w:p>
    <w:p>
      <w:pPr>
        <w:pStyle w:val="BodyText"/>
        <w:ind w:left="282"/>
      </w:pPr>
      <w:r>
        <w:rPr>
          <w:i/>
        </w:rPr>
        <w:t>연결이 없는 경우(소프트웨어에서 사용되는 연결 인식 변형 사용) Spearman의 ρ는 단조로움을 포착합니다.</w:t>
      </w:r>
    </w:p>
    <w:p>
      <w:pPr>
        <w:pStyle w:val="BodyText"/>
        <w:spacing w:after="0"/>
        <w:sectPr>
          <w:type w:val="continuous"/>
          <w:pgSz w:w="11910" w:h="16840"/>
          <w:pgMar w:header="0" w:footer="2115" w:top="1920" w:bottom="280" w:left="992" w:right="708"/>
        </w:sectPr>
      </w:pPr>
    </w:p>
    <w:p>
      <w:pPr>
        <w:pStyle w:val="BodyText"/>
        <w:spacing w:before="72"/>
        <w:ind w:left="282"/>
      </w:pPr>
      <w:r>
        <w:rPr>
          <w:spacing w:val="-2"/>
        </w:rPr>
        <w:t>association.</w:t>
      </w:r>
    </w:p>
    <w:p>
      <w:pPr>
        <w:pStyle w:val="BodyText"/>
        <w:spacing w:before="72"/>
        <w:ind w:left="282"/>
      </w:pPr>
      <w:r>
        <w:rPr>
          <w:i/>
        </w:rPr>
        <w:t>협회.</w:t>
      </w:r>
    </w:p>
    <w:p>
      <w:pPr>
        <w:pStyle w:val="BodyText"/>
        <w:spacing w:before="190"/>
        <w:ind w:left="282"/>
      </w:pPr>
      <w:r>
        <w:rPr/>
        <w:t>Kendall’s</w:t>
      </w:r>
      <w:r>
        <w:rPr>
          <w:spacing w:val="6"/>
        </w:rPr>
        <w:t> </w:t>
      </w:r>
      <w:r>
        <w:rPr>
          <w:rFonts w:ascii="Calibri" w:hAnsi="Calibri"/>
          <w:i/>
        </w:rPr>
        <w:t>τ</w:t>
      </w:r>
      <w:r>
        <w:rPr>
          <w:rFonts w:ascii="Calibri" w:hAnsi="Calibri"/>
          <w:i/>
          <w:spacing w:val="43"/>
        </w:rPr>
        <w:t> </w:t>
      </w:r>
      <w:hyperlink w:history="true" w:anchor="_bookmark169">
        <w:r>
          <w:rPr>
            <w:vertAlign w:val="superscript"/>
          </w:rPr>
          <w:t>[36]</w:t>
        </w:r>
      </w:hyperlink>
      <w:r>
        <w:rPr>
          <w:spacing w:val="17"/>
          <w:vertAlign w:val="baseline"/>
        </w:rPr>
        <w:t> </w:t>
      </w:r>
      <w:r>
        <w:rPr>
          <w:vertAlign w:val="baseline"/>
        </w:rPr>
        <w:t>counts</w:t>
      </w:r>
      <w:r>
        <w:rPr>
          <w:spacing w:val="7"/>
          <w:vertAlign w:val="baseline"/>
        </w:rPr>
        <w:t> </w:t>
      </w:r>
      <w:r>
        <w:rPr>
          <w:vertAlign w:val="baseline"/>
        </w:rPr>
        <w:t>concordant</w:t>
      </w:r>
      <w:r>
        <w:rPr>
          <w:spacing w:val="6"/>
          <w:vertAlign w:val="baseline"/>
        </w:rPr>
        <w:t> </w:t>
      </w:r>
      <w:r>
        <w:rPr>
          <w:vertAlign w:val="baseline"/>
        </w:rPr>
        <w:t>and</w:t>
      </w:r>
      <w:r>
        <w:rPr>
          <w:spacing w:val="7"/>
          <w:vertAlign w:val="baseline"/>
        </w:rPr>
        <w:t> </w:t>
      </w:r>
      <w:r>
        <w:rPr>
          <w:vertAlign w:val="baseline"/>
        </w:rPr>
        <w:t>discordant</w:t>
      </w:r>
      <w:r>
        <w:rPr>
          <w:spacing w:val="6"/>
          <w:vertAlign w:val="baseline"/>
        </w:rPr>
        <w:t> </w:t>
      </w:r>
      <w:r>
        <w:rPr>
          <w:vertAlign w:val="baseline"/>
        </w:rPr>
        <w:t>pairs.</w:t>
      </w:r>
      <w:r>
        <w:rPr>
          <w:spacing w:val="29"/>
          <w:vertAlign w:val="baseline"/>
        </w:rPr>
        <w:t> </w:t>
      </w:r>
      <w:r>
        <w:rPr>
          <w:vertAlign w:val="baseline"/>
        </w:rPr>
        <w:t>For</w:t>
      </w:r>
      <w:r>
        <w:rPr>
          <w:spacing w:val="6"/>
          <w:vertAlign w:val="baseline"/>
        </w:rPr>
        <w:t> </w:t>
      </w:r>
      <w:r>
        <w:rPr>
          <w:vertAlign w:val="baseline"/>
        </w:rPr>
        <w:t>all</w:t>
      </w:r>
      <w:r>
        <w:rPr>
          <w:spacing w:val="7"/>
          <w:vertAlign w:val="baseline"/>
        </w:rPr>
        <w:t> </w:t>
      </w:r>
      <w:r>
        <w:rPr>
          <w:vertAlign w:val="baseline"/>
        </w:rPr>
        <w:t>pairs</w:t>
      </w:r>
      <w:r>
        <w:rPr>
          <w:spacing w:val="6"/>
          <w:vertAlign w:val="baseline"/>
        </w:rPr>
        <w:t> </w:t>
      </w:r>
      <w:r>
        <w:rPr>
          <w:rFonts w:ascii="Calibri" w:hAnsi="Calibri"/>
          <w:vertAlign w:val="baseline"/>
        </w:rPr>
        <w:t>(</w:t>
      </w:r>
      <w:r>
        <w:rPr>
          <w:rFonts w:ascii="Calibri" w:hAnsi="Calibri"/>
          <w:i/>
          <w:vertAlign w:val="baseline"/>
        </w:rPr>
        <w:t>i,</w:t>
      </w:r>
      <w:r>
        <w:rPr>
          <w:rFonts w:ascii="Calibri" w:hAnsi="Calibri"/>
          <w:i/>
          <w:spacing w:val="-10"/>
          <w:vertAlign w:val="baseline"/>
        </w:rPr>
        <w:t> </w:t>
      </w:r>
      <w:r>
        <w:rPr>
          <w:rFonts w:ascii="Calibri" w:hAnsi="Calibri"/>
          <w:i/>
          <w:vertAlign w:val="baseline"/>
        </w:rPr>
        <w:t>j</w:t>
      </w:r>
      <w:r>
        <w:rPr>
          <w:rFonts w:ascii="Calibri" w:hAnsi="Calibri"/>
          <w:vertAlign w:val="baseline"/>
        </w:rPr>
        <w:t>)</w:t>
      </w:r>
      <w:r>
        <w:rPr>
          <w:rFonts w:ascii="Calibri" w:hAnsi="Calibri"/>
          <w:spacing w:val="13"/>
          <w:vertAlign w:val="baseline"/>
        </w:rPr>
        <w:t> </w:t>
      </w:r>
      <w:r>
        <w:rPr>
          <w:vertAlign w:val="baseline"/>
        </w:rPr>
        <w:t>with</w:t>
      </w:r>
      <w:r>
        <w:rPr>
          <w:spacing w:val="6"/>
          <w:vertAlign w:val="baseline"/>
        </w:rPr>
        <w:t> </w:t>
      </w:r>
      <w:r>
        <w:rPr>
          <w:rFonts w:ascii="Calibri" w:hAnsi="Calibri"/>
          <w:i/>
          <w:vertAlign w:val="baseline"/>
        </w:rPr>
        <w:t>i</w:t>
      </w:r>
      <w:r>
        <w:rPr>
          <w:rFonts w:ascii="Calibri" w:hAnsi="Calibri"/>
          <w:i/>
          <w:spacing w:val="19"/>
          <w:vertAlign w:val="baseline"/>
        </w:rPr>
        <w:t> </w:t>
      </w:r>
      <w:r>
        <w:rPr>
          <w:rFonts w:ascii="Calibri" w:hAnsi="Calibri"/>
          <w:i/>
          <w:vertAlign w:val="baseline"/>
        </w:rPr>
        <w:t>&lt;</w:t>
      </w:r>
      <w:r>
        <w:rPr>
          <w:rFonts w:ascii="Calibri" w:hAnsi="Calibri"/>
          <w:i/>
          <w:spacing w:val="21"/>
          <w:vertAlign w:val="baseline"/>
        </w:rPr>
        <w:t> </w:t>
      </w:r>
      <w:r>
        <w:rPr>
          <w:rFonts w:ascii="Calibri" w:hAnsi="Calibri"/>
          <w:i/>
          <w:spacing w:val="-5"/>
          <w:vertAlign w:val="baseline"/>
        </w:rPr>
        <w:t>j</w:t>
      </w:r>
      <w:r>
        <w:rPr>
          <w:spacing w:val="-5"/>
          <w:vertAlign w:val="baseline"/>
        </w:rPr>
        <w:t>,</w:t>
      </w:r>
    </w:p>
    <w:p>
      <w:pPr>
        <w:pStyle w:val="BodyText"/>
        <w:spacing w:before="190"/>
        <w:ind w:left="282"/>
      </w:pPr>
      <w:r>
        <w:rPr>
          <w:i/>
        </w:rPr>
        <w:t>Kendall의 τ [36]은 일치하는 쌍과 불일치하는 쌍을 계산합니다. i &lt; j인 모든 쌍 (i, j)에 대해,</w:t>
      </w:r>
    </w:p>
    <w:p>
      <w:pPr>
        <w:pStyle w:val="BodyText"/>
        <w:spacing w:before="93"/>
        <w:rPr>
          <w:sz w:val="20"/>
        </w:rPr>
      </w:pPr>
    </w:p>
    <w:p>
      <w:pPr>
        <w:pStyle w:val="BodyText"/>
        <w:spacing w:after="0"/>
        <w:rPr>
          <w:sz w:val="20"/>
        </w:rPr>
        <w:sectPr>
          <w:pgSz w:w="11910" w:h="16840"/>
          <w:pgMar w:header="0" w:footer="2115" w:top="1840" w:bottom="2300" w:left="992" w:right="708"/>
        </w:sectPr>
      </w:pPr>
    </w:p>
    <w:p>
      <w:pPr>
        <w:spacing w:line="283" w:lineRule="exact" w:before="22"/>
        <w:ind w:left="4661" w:right="0" w:firstLine="0"/>
        <w:jc w:val="left"/>
        <w:rPr>
          <w:rFonts w:ascii="Calibri" w:hAnsi="Calibri"/>
          <w:sz w:val="24"/>
        </w:rPr>
      </w:pPr>
      <w:r>
        <w:rPr>
          <w:rFonts w:ascii="Calibri" w:hAnsi="Calibri"/>
          <w:sz w:val="24"/>
        </w:rPr>
        <w:t>2(</w:t>
      </w:r>
      <w:r>
        <w:rPr>
          <w:rFonts w:ascii="Calibri" w:hAnsi="Calibri"/>
          <w:i/>
          <w:sz w:val="24"/>
        </w:rPr>
        <w:t>C</w:t>
      </w:r>
      <w:r>
        <w:rPr>
          <w:rFonts w:ascii="Calibri" w:hAnsi="Calibri"/>
          <w:i/>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5"/>
          <w:sz w:val="24"/>
        </w:rPr>
        <w:t>D</w:t>
      </w:r>
      <w:r>
        <w:rPr>
          <w:rFonts w:ascii="Calibri" w:hAnsi="Calibri"/>
          <w:spacing w:val="-5"/>
          <w:sz w:val="24"/>
        </w:rPr>
        <w:t>)</w:t>
      </w:r>
    </w:p>
    <w:p>
      <w:pPr>
        <w:spacing w:line="125" w:lineRule="exact" w:before="0"/>
        <w:ind w:left="0" w:right="1065"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43488">
                <wp:simplePos x="0" y="0"/>
                <wp:positionH relativeFrom="page">
                  <wp:posOffset>3589921</wp:posOffset>
                </wp:positionH>
                <wp:positionV relativeFrom="paragraph">
                  <wp:posOffset>52474</wp:posOffset>
                </wp:positionV>
                <wp:extent cx="62039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20395" cy="1270"/>
                        </a:xfrm>
                        <a:custGeom>
                          <a:avLst/>
                          <a:gdLst/>
                          <a:ahLst/>
                          <a:cxnLst/>
                          <a:rect l="l" t="t" r="r" b="b"/>
                          <a:pathLst>
                            <a:path w="620395" h="0">
                              <a:moveTo>
                                <a:pt x="0" y="0"/>
                              </a:moveTo>
                              <a:lnTo>
                                <a:pt x="62035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282.67099pt,4.131821pt" to="331.51799pt,4.131821pt" stroked="true" strokeweight=".4782pt" strokecolor="#000000">
                <v:stroke dashstyle="solid"/>
                <w10:wrap type="none"/>
              </v:line>
            </w:pict>
          </mc:Fallback>
        </mc:AlternateContent>
      </w:r>
      <w:r>
        <w:rPr>
          <w:rFonts w:ascii="Calibri" w:hAnsi="Calibri"/>
          <w:i/>
          <w:w w:val="130"/>
          <w:sz w:val="24"/>
        </w:rPr>
        <w:t>τ</w:t>
      </w:r>
      <w:r>
        <w:rPr>
          <w:rFonts w:ascii="Calibri" w:hAnsi="Calibri"/>
          <w:i/>
          <w:spacing w:val="-1"/>
          <w:w w:val="135"/>
          <w:sz w:val="24"/>
        </w:rPr>
        <w:t> </w:t>
      </w:r>
      <w:r>
        <w:rPr>
          <w:rFonts w:ascii="Calibri" w:hAnsi="Calibri"/>
          <w:spacing w:val="-10"/>
          <w:w w:val="135"/>
          <w:sz w:val="24"/>
        </w:rPr>
        <w:t>=</w:t>
      </w:r>
    </w:p>
    <w:p>
      <w:pPr>
        <w:spacing w:line="287" w:lineRule="exact" w:before="0"/>
        <w:ind w:left="4714"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p>
      <w:pPr>
        <w:tabs>
          <w:tab w:pos="3534" w:val="left" w:leader="none"/>
        </w:tabs>
        <w:spacing w:before="218"/>
        <w:ind w:left="0" w:right="0" w:firstLine="0"/>
        <w:jc w:val="left"/>
        <w:rPr>
          <w:sz w:val="24"/>
        </w:rPr>
      </w:pPr>
      <w:r>
        <w:rPr/>
        <w:br w:type="column"/>
      </w:r>
      <w:r>
        <w:rPr>
          <w:rFonts w:ascii="Calibri"/>
          <w:i/>
          <w:spacing w:val="-10"/>
          <w:sz w:val="24"/>
        </w:rPr>
        <w:t>,</w:t>
      </w:r>
      <w:r>
        <w:rPr>
          <w:rFonts w:ascii="Calibri"/>
          <w:i/>
          <w:sz w:val="24"/>
        </w:rPr>
        <w:tab/>
      </w:r>
      <w:r>
        <w:rPr>
          <w:spacing w:val="-2"/>
          <w:sz w:val="24"/>
        </w:rPr>
        <w:t>(2.6)</w:t>
      </w:r>
    </w:p>
    <w:p>
      <w:pPr>
        <w:spacing w:after="0"/>
        <w:jc w:val="left"/>
        <w:rPr>
          <w:sz w:val="24"/>
        </w:rPr>
        <w:sectPr>
          <w:type w:val="continuous"/>
          <w:pgSz w:w="11910" w:h="16840"/>
          <w:pgMar w:header="0" w:footer="2115" w:top="1920" w:bottom="280" w:left="992" w:right="708"/>
          <w:cols w:num="2" w:equalWidth="0">
            <w:col w:w="5639" w:space="24"/>
            <w:col w:w="4547"/>
          </w:cols>
        </w:sectPr>
      </w:pPr>
    </w:p>
    <w:p>
      <w:pPr>
        <w:pStyle w:val="BodyText"/>
        <w:spacing w:before="60"/>
      </w:pPr>
    </w:p>
    <w:p>
      <w:pPr>
        <w:pStyle w:val="BodyText"/>
        <w:spacing w:line="376" w:lineRule="auto"/>
        <w:ind w:left="282" w:right="522" w:hanging="9"/>
        <w:jc w:val="both"/>
      </w:pPr>
      <w:r>
        <w:rPr/>
        <w:t>where</w:t>
      </w:r>
      <w:r>
        <w:rPr>
          <w:spacing w:val="-15"/>
        </w:rPr>
        <w:t> </w:t>
      </w:r>
      <w:r>
        <w:rPr>
          <w:rFonts w:ascii="Calibri" w:hAnsi="Calibri"/>
          <w:i/>
        </w:rPr>
        <w:t>C</w:t>
      </w:r>
      <w:r>
        <w:rPr>
          <w:rFonts w:ascii="Calibri" w:hAnsi="Calibri"/>
          <w:i/>
          <w:spacing w:val="22"/>
        </w:rPr>
        <w:t> </w:t>
      </w:r>
      <w:r>
        <w:rPr/>
        <w:t>(</w:t>
      </w:r>
      <w:r>
        <w:rPr>
          <w:rFonts w:ascii="Calibri" w:hAnsi="Calibri"/>
          <w:i/>
        </w:rPr>
        <w:t>D</w:t>
      </w:r>
      <w:r>
        <w:rPr/>
        <w:t>)</w:t>
      </w:r>
      <w:r>
        <w:rPr>
          <w:spacing w:val="-3"/>
        </w:rPr>
        <w:t> </w:t>
      </w:r>
      <w:r>
        <w:rPr/>
        <w:t>is</w:t>
      </w:r>
      <w:r>
        <w:rPr>
          <w:spacing w:val="-2"/>
        </w:rPr>
        <w:t> </w:t>
      </w:r>
      <w:r>
        <w:rPr/>
        <w:t>the</w:t>
      </w:r>
      <w:r>
        <w:rPr>
          <w:spacing w:val="-2"/>
        </w:rPr>
        <w:t> </w:t>
      </w:r>
      <w:r>
        <w:rPr/>
        <w:t>number</w:t>
      </w:r>
      <w:r>
        <w:rPr>
          <w:spacing w:val="-2"/>
        </w:rPr>
        <w:t> </w:t>
      </w:r>
      <w:r>
        <w:rPr/>
        <w:t>of</w:t>
      </w:r>
      <w:r>
        <w:rPr>
          <w:spacing w:val="-2"/>
        </w:rPr>
        <w:t> </w:t>
      </w:r>
      <w:r>
        <w:rPr/>
        <w:t>concordant</w:t>
      </w:r>
      <w:r>
        <w:rPr>
          <w:spacing w:val="-2"/>
        </w:rPr>
        <w:t> </w:t>
      </w:r>
      <w:r>
        <w:rPr/>
        <w:t>(discordant)</w:t>
      </w:r>
      <w:r>
        <w:rPr>
          <w:spacing w:val="-2"/>
        </w:rPr>
        <w:t> </w:t>
      </w:r>
      <w:r>
        <w:rPr/>
        <w:t>pairs,</w:t>
      </w:r>
      <w:r>
        <w:rPr>
          <w:spacing w:val="-2"/>
        </w:rPr>
        <w:t> </w:t>
      </w:r>
      <w:r>
        <w:rPr/>
        <w:t>with</w:t>
      </w:r>
      <w:r>
        <w:rPr>
          <w:spacing w:val="-2"/>
        </w:rPr>
        <w:t> </w:t>
      </w:r>
      <w:r>
        <w:rPr/>
        <w:t>tie</w:t>
      </w:r>
      <w:r>
        <w:rPr>
          <w:spacing w:val="-2"/>
        </w:rPr>
        <w:t> </w:t>
      </w:r>
      <w:r>
        <w:rPr/>
        <w:t>corrections</w:t>
      </w:r>
      <w:r>
        <w:rPr>
          <w:spacing w:val="-2"/>
        </w:rPr>
        <w:t> </w:t>
      </w:r>
      <w:r>
        <w:rPr/>
        <w:t>in</w:t>
      </w:r>
      <w:r>
        <w:rPr>
          <w:spacing w:val="-2"/>
        </w:rPr>
        <w:t> </w:t>
      </w:r>
      <w:r>
        <w:rPr/>
        <w:t>the</w:t>
      </w:r>
      <w:r>
        <w:rPr>
          <w:spacing w:val="-2"/>
        </w:rPr>
        <w:t> </w:t>
      </w:r>
      <w:r>
        <w:rPr>
          <w:rFonts w:ascii="Calibri" w:hAnsi="Calibri"/>
          <w:i/>
        </w:rPr>
        <w:t>τ</w:t>
      </w:r>
      <w:r>
        <w:rPr>
          <w:rFonts w:ascii="Calibri" w:hAnsi="Calibri"/>
          <w:i/>
          <w:spacing w:val="-14"/>
        </w:rPr>
        <w:t> </w:t>
      </w:r>
      <w:r>
        <w:rPr/>
        <w:t>-b</w:t>
      </w:r>
      <w:r>
        <w:rPr>
          <w:spacing w:val="-2"/>
        </w:rPr>
        <w:t> </w:t>
      </w:r>
      <w:r>
        <w:rPr/>
        <w:t>variant. Kendall’s</w:t>
      </w:r>
      <w:r>
        <w:rPr>
          <w:spacing w:val="-4"/>
        </w:rPr>
        <w:t> </w:t>
      </w:r>
      <w:r>
        <w:rPr>
          <w:rFonts w:ascii="Calibri" w:hAnsi="Calibri"/>
          <w:i/>
        </w:rPr>
        <w:t>τ</w:t>
      </w:r>
      <w:r>
        <w:rPr>
          <w:rFonts w:ascii="Calibri" w:hAnsi="Calibri"/>
          <w:i/>
          <w:spacing w:val="26"/>
        </w:rPr>
        <w:t> </w:t>
      </w:r>
      <w:r>
        <w:rPr/>
        <w:t>is</w:t>
      </w:r>
      <w:r>
        <w:rPr>
          <w:spacing w:val="-4"/>
        </w:rPr>
        <w:t> </w:t>
      </w:r>
      <w:r>
        <w:rPr/>
        <w:t>often</w:t>
      </w:r>
      <w:r>
        <w:rPr>
          <w:spacing w:val="-4"/>
        </w:rPr>
        <w:t> </w:t>
      </w:r>
      <w:r>
        <w:rPr/>
        <w:t>more</w:t>
      </w:r>
      <w:r>
        <w:rPr>
          <w:spacing w:val="-4"/>
        </w:rPr>
        <w:t> </w:t>
      </w:r>
      <w:r>
        <w:rPr/>
        <w:t>interpretable</w:t>
      </w:r>
      <w:r>
        <w:rPr>
          <w:spacing w:val="-4"/>
        </w:rPr>
        <w:t> </w:t>
      </w:r>
      <w:r>
        <w:rPr/>
        <w:t>for</w:t>
      </w:r>
      <w:r>
        <w:rPr>
          <w:spacing w:val="-4"/>
        </w:rPr>
        <w:t> </w:t>
      </w:r>
      <w:r>
        <w:rPr/>
        <w:t>pairwise</w:t>
      </w:r>
      <w:r>
        <w:rPr>
          <w:spacing w:val="-4"/>
        </w:rPr>
        <w:t> </w:t>
      </w:r>
      <w:r>
        <w:rPr/>
        <w:t>ordering</w:t>
      </w:r>
      <w:r>
        <w:rPr>
          <w:spacing w:val="-4"/>
        </w:rPr>
        <w:t> </w:t>
      </w:r>
      <w:r>
        <w:rPr/>
        <w:t>agreement</w:t>
      </w:r>
      <w:r>
        <w:rPr>
          <w:spacing w:val="-4"/>
        </w:rPr>
        <w:t> </w:t>
      </w:r>
      <w:r>
        <w:rPr/>
        <w:t>and</w:t>
      </w:r>
      <w:r>
        <w:rPr>
          <w:spacing w:val="-4"/>
        </w:rPr>
        <w:t> </w:t>
      </w:r>
      <w:r>
        <w:rPr/>
        <w:t>is</w:t>
      </w:r>
      <w:r>
        <w:rPr>
          <w:spacing w:val="-4"/>
        </w:rPr>
        <w:t> </w:t>
      </w:r>
      <w:r>
        <w:rPr/>
        <w:t>the</w:t>
      </w:r>
      <w:r>
        <w:rPr>
          <w:spacing w:val="-4"/>
        </w:rPr>
        <w:t> </w:t>
      </w:r>
      <w:r>
        <w:rPr/>
        <w:t>primary</w:t>
      </w:r>
      <w:r>
        <w:rPr>
          <w:spacing w:val="-4"/>
        </w:rPr>
        <w:t> </w:t>
      </w:r>
      <w:r>
        <w:rPr/>
        <w:t>family-</w:t>
      </w:r>
      <w:bookmarkStart w:name="Interpretation bands" w:id="60"/>
      <w:bookmarkEnd w:id="60"/>
      <w:r>
        <w:rPr>
          <w:w w:val="105"/>
        </w:rPr>
        <w:t>level</w:t>
      </w:r>
      <w:r>
        <w:rPr>
          <w:w w:val="105"/>
        </w:rPr>
        <w:t> summary in Chapter </w:t>
      </w:r>
      <w:hyperlink w:history="true" w:anchor="_bookmark84">
        <w:r>
          <w:rPr>
            <w:w w:val="105"/>
          </w:rPr>
          <w:t>4</w:t>
        </w:r>
      </w:hyperlink>
      <w:r>
        <w:rPr>
          <w:w w:val="105"/>
        </w:rPr>
        <w:t>.</w:t>
      </w:r>
    </w:p>
    <w:p>
      <w:pPr>
        <w:pStyle w:val="BodyText"/>
        <w:spacing w:line="376" w:lineRule="auto"/>
        <w:ind w:left="282" w:right="522" w:hanging="9"/>
        <w:jc w:val="both"/>
      </w:pPr>
      <w:r>
        <w:rPr>
          <w:i/>
        </w:rPr>
        <w:t>여기서 C(D)는 τ -b 변형에서 타이 수정이 적용된 일치(불일치) 쌍의 수입니다. Kendall의 τ는 쌍별 주문 합의로 더 해석하기 쉬운 경우가 많으며 4장의 주요 가족 수준 요약입니다.</w:t>
      </w:r>
    </w:p>
    <w:p>
      <w:pPr>
        <w:pStyle w:val="BodyText"/>
        <w:spacing w:before="26"/>
      </w:pPr>
    </w:p>
    <w:p>
      <w:pPr>
        <w:pStyle w:val="Heading4"/>
        <w:numPr>
          <w:ilvl w:val="2"/>
          <w:numId w:val="8"/>
        </w:numPr>
        <w:tabs>
          <w:tab w:pos="998" w:val="left" w:leader="none"/>
        </w:tabs>
        <w:spacing w:line="240" w:lineRule="auto" w:before="0" w:after="0"/>
        <w:ind w:left="998" w:right="0" w:hanging="716"/>
        <w:jc w:val="left"/>
      </w:pPr>
      <w:r>
        <w:rPr>
          <w:spacing w:val="-2"/>
        </w:rPr>
        <w:t>Interpretation</w:t>
      </w:r>
      <w:r>
        <w:rPr>
          <w:spacing w:val="1"/>
        </w:rPr>
        <w:t> </w:t>
      </w:r>
      <w:r>
        <w:rPr>
          <w:spacing w:val="-2"/>
        </w:rPr>
        <w:t>bands</w:t>
      </w:r>
    </w:p>
    <w:p>
      <w:pPr>
        <w:pStyle w:val="Heading4"/>
        <w:numPr>
          <w:ilvl w:val="2"/>
          <w:numId w:val="8"/>
        </w:numPr>
        <w:tabs>
          <w:tab w:pos="998" w:val="left" w:leader="none"/>
        </w:tabs>
        <w:spacing w:line="240" w:lineRule="auto" w:before="0" w:after="0"/>
        <w:ind w:left="998" w:right="0" w:hanging="716"/>
        <w:jc w:val="left"/>
      </w:pPr>
      <w:r>
        <w:rPr>
          <w:i/>
        </w:rPr>
        <w:t>통역 밴드</w:t>
      </w:r>
    </w:p>
    <w:p>
      <w:pPr>
        <w:pStyle w:val="BodyText"/>
        <w:spacing w:before="42"/>
        <w:rPr>
          <w:b/>
        </w:rPr>
      </w:pPr>
    </w:p>
    <w:p>
      <w:pPr>
        <w:pStyle w:val="BodyText"/>
        <w:spacing w:line="345" w:lineRule="auto"/>
        <w:ind w:left="282" w:right="564" w:hanging="8"/>
        <w:jc w:val="both"/>
        <w:rPr>
          <w:rFonts w:ascii="Lucida Sans Unicode" w:hAnsi="Lucida Sans Unicode"/>
        </w:rPr>
      </w:pPr>
      <w:r>
        <w:rPr/>
        <w:t>There is no universal cutoff for “strong” </w:t>
      </w:r>
      <w:r>
        <w:rPr>
          <w:rFonts w:ascii="Calibri" w:hAnsi="Calibri"/>
          <w:i/>
        </w:rPr>
        <w:t>τ</w:t>
      </w:r>
      <w:r>
        <w:rPr>
          <w:rFonts w:ascii="Calibri" w:hAnsi="Calibri"/>
          <w:i/>
          <w:spacing w:val="40"/>
        </w:rPr>
        <w:t> </w:t>
      </w:r>
      <w:r>
        <w:rPr/>
        <w:t>in blockchain ranking studies.</w:t>
      </w:r>
      <w:r>
        <w:rPr>
          <w:spacing w:val="40"/>
        </w:rPr>
        <w:t> </w:t>
      </w:r>
      <w:r>
        <w:rPr/>
        <w:t>This dissertation uses </w:t>
      </w:r>
      <w:r>
        <w:rPr>
          <w:spacing w:val="-2"/>
        </w:rPr>
        <w:t>operational</w:t>
      </w:r>
      <w:r>
        <w:rPr>
          <w:spacing w:val="-14"/>
        </w:rPr>
        <w:t> </w:t>
      </w:r>
      <w:r>
        <w:rPr>
          <w:spacing w:val="-2"/>
        </w:rPr>
        <w:t>bands</w:t>
      </w:r>
      <w:r>
        <w:rPr>
          <w:spacing w:val="-13"/>
        </w:rPr>
        <w:t> </w:t>
      </w:r>
      <w:r>
        <w:rPr>
          <w:spacing w:val="-2"/>
        </w:rPr>
        <w:t>for</w:t>
      </w:r>
      <w:r>
        <w:rPr>
          <w:spacing w:val="-13"/>
        </w:rPr>
        <w:t> </w:t>
      </w:r>
      <w:r>
        <w:rPr>
          <w:spacing w:val="-2"/>
        </w:rPr>
        <w:t>narrative</w:t>
      </w:r>
      <w:r>
        <w:rPr>
          <w:spacing w:val="-13"/>
        </w:rPr>
        <w:t> </w:t>
      </w:r>
      <w:r>
        <w:rPr>
          <w:spacing w:val="-2"/>
        </w:rPr>
        <w:t>clarity:</w:t>
      </w:r>
      <w:r>
        <w:rPr>
          <w:spacing w:val="19"/>
        </w:rPr>
        <w:t> </w:t>
      </w:r>
      <w:r>
        <w:rPr>
          <w:rFonts w:ascii="Lucida Sans Unicode" w:hAnsi="Lucida Sans Unicode"/>
          <w:spacing w:val="-2"/>
        </w:rPr>
        <w:t>|</w:t>
      </w:r>
      <w:r>
        <w:rPr>
          <w:rFonts w:ascii="Calibri" w:hAnsi="Calibri"/>
          <w:i/>
          <w:spacing w:val="-2"/>
        </w:rPr>
        <w:t>τ</w:t>
      </w:r>
      <w:r>
        <w:rPr>
          <w:rFonts w:ascii="Calibri" w:hAnsi="Calibri"/>
          <w:i/>
          <w:spacing w:val="-24"/>
        </w:rPr>
        <w:t> </w:t>
      </w:r>
      <w:r>
        <w:rPr>
          <w:rFonts w:ascii="Lucida Sans Unicode" w:hAnsi="Lucida Sans Unicode"/>
          <w:spacing w:val="-2"/>
        </w:rPr>
        <w:t>|</w:t>
      </w:r>
      <w:r>
        <w:rPr>
          <w:rFonts w:ascii="Lucida Sans Unicode" w:hAnsi="Lucida Sans Unicode"/>
          <w:spacing w:val="-1"/>
        </w:rPr>
        <w:t> </w:t>
      </w:r>
      <w:r>
        <w:rPr>
          <w:rFonts w:ascii="Calibri" w:hAnsi="Calibri"/>
          <w:i/>
          <w:spacing w:val="-2"/>
        </w:rPr>
        <w:t>&lt;</w:t>
      </w:r>
      <w:r>
        <w:rPr>
          <w:rFonts w:ascii="Calibri" w:hAnsi="Calibri"/>
          <w:i/>
          <w:spacing w:val="22"/>
        </w:rPr>
        <w:t> </w:t>
      </w:r>
      <w:r>
        <w:rPr>
          <w:rFonts w:ascii="Calibri" w:hAnsi="Calibri"/>
          <w:spacing w:val="-2"/>
        </w:rPr>
        <w:t>0</w:t>
      </w:r>
      <w:r>
        <w:rPr>
          <w:rFonts w:ascii="Calibri" w:hAnsi="Calibri"/>
          <w:i/>
          <w:spacing w:val="-2"/>
        </w:rPr>
        <w:t>.</w:t>
      </w:r>
      <w:r>
        <w:rPr>
          <w:rFonts w:ascii="Calibri" w:hAnsi="Calibri"/>
          <w:spacing w:val="-2"/>
        </w:rPr>
        <w:t>10</w:t>
      </w:r>
      <w:r>
        <w:rPr>
          <w:rFonts w:ascii="Calibri" w:hAnsi="Calibri"/>
          <w:spacing w:val="-8"/>
        </w:rPr>
        <w:t> </w:t>
      </w:r>
      <w:r>
        <w:rPr>
          <w:spacing w:val="-2"/>
        </w:rPr>
        <w:t>negligible</w:t>
      </w:r>
      <w:r>
        <w:rPr>
          <w:spacing w:val="-13"/>
        </w:rPr>
        <w:t> </w:t>
      </w:r>
      <w:r>
        <w:rPr>
          <w:spacing w:val="-2"/>
        </w:rPr>
        <w:t>noise;</w:t>
      </w:r>
      <w:r>
        <w:rPr>
          <w:spacing w:val="-6"/>
        </w:rPr>
        <w:t> </w:t>
      </w:r>
      <w:r>
        <w:rPr>
          <w:rFonts w:ascii="Calibri" w:hAnsi="Calibri"/>
          <w:spacing w:val="-2"/>
        </w:rPr>
        <w:t>0</w:t>
      </w:r>
      <w:r>
        <w:rPr>
          <w:rFonts w:ascii="Calibri" w:hAnsi="Calibri"/>
          <w:i/>
          <w:spacing w:val="-2"/>
        </w:rPr>
        <w:t>.</w:t>
      </w:r>
      <w:r>
        <w:rPr>
          <w:rFonts w:ascii="Calibri" w:hAnsi="Calibri"/>
          <w:spacing w:val="-2"/>
        </w:rPr>
        <w:t>10</w:t>
      </w:r>
      <w:r>
        <w:rPr>
          <w:spacing w:val="-2"/>
        </w:rPr>
        <w:t>–</w:t>
      </w:r>
      <w:r>
        <w:rPr>
          <w:rFonts w:ascii="Calibri" w:hAnsi="Calibri"/>
          <w:spacing w:val="-2"/>
        </w:rPr>
        <w:t>0</w:t>
      </w:r>
      <w:r>
        <w:rPr>
          <w:rFonts w:ascii="Calibri" w:hAnsi="Calibri"/>
          <w:i/>
          <w:spacing w:val="-2"/>
        </w:rPr>
        <w:t>.</w:t>
      </w:r>
      <w:r>
        <w:rPr>
          <w:rFonts w:ascii="Calibri" w:hAnsi="Calibri"/>
          <w:spacing w:val="-2"/>
        </w:rPr>
        <w:t>35</w:t>
      </w:r>
      <w:r>
        <w:rPr>
          <w:rFonts w:ascii="Calibri" w:hAnsi="Calibri"/>
          <w:spacing w:val="-7"/>
        </w:rPr>
        <w:t> </w:t>
      </w:r>
      <w:r>
        <w:rPr>
          <w:spacing w:val="-2"/>
        </w:rPr>
        <w:t>weak-to-moderate;</w:t>
      </w:r>
      <w:r>
        <w:rPr>
          <w:spacing w:val="-7"/>
        </w:rPr>
        <w:t> </w:t>
      </w:r>
      <w:r>
        <w:rPr>
          <w:rFonts w:ascii="Lucida Sans Unicode" w:hAnsi="Lucida Sans Unicode"/>
          <w:spacing w:val="-10"/>
        </w:rPr>
        <w:t>≥</w:t>
      </w:r>
    </w:p>
    <w:p>
      <w:pPr>
        <w:pStyle w:val="BodyText"/>
        <w:spacing w:line="345" w:lineRule="auto"/>
        <w:ind w:left="282" w:right="564" w:hanging="8"/>
        <w:jc w:val="both"/>
        <w:rPr>
          <w:rFonts w:ascii="Lucida Sans Unicode" w:hAnsi="Lucida Sans Unicode"/>
        </w:rPr>
      </w:pPr>
      <w:r>
        <w:rPr>
          <w:i/>
        </w:rPr>
        <w:t>블록체인 순위 연구에서는 "강한" τ에 대한 보편적인 기준이 없습니다. 이 논문에서는 설명의 명확성을 위해 작동 밴드를 사용합니다. |τ | &lt; 0.10 무시할 수 있는 소음, 0.10–0.35 약함~보통, ≥</w:t>
      </w:r>
    </w:p>
    <w:p>
      <w:pPr>
        <w:pStyle w:val="BodyText"/>
        <w:spacing w:line="253" w:lineRule="exact"/>
        <w:ind w:left="282"/>
      </w:pPr>
      <w:r>
        <w:rPr>
          <w:rFonts w:ascii="Calibri"/>
        </w:rPr>
        <w:t>0</w:t>
      </w:r>
      <w:r>
        <w:rPr>
          <w:rFonts w:ascii="Calibri"/>
          <w:i/>
        </w:rPr>
        <w:t>.</w:t>
      </w:r>
      <w:r>
        <w:rPr>
          <w:rFonts w:ascii="Calibri"/>
        </w:rPr>
        <w:t>35</w:t>
      </w:r>
      <w:r>
        <w:rPr>
          <w:rFonts w:ascii="Calibri"/>
          <w:spacing w:val="-3"/>
        </w:rPr>
        <w:t> </w:t>
      </w:r>
      <w:r>
        <w:rPr/>
        <w:t>substantively</w:t>
      </w:r>
      <w:r>
        <w:rPr>
          <w:spacing w:val="-8"/>
        </w:rPr>
        <w:t> </w:t>
      </w:r>
      <w:r>
        <w:rPr/>
        <w:t>meaningful</w:t>
      </w:r>
      <w:r>
        <w:rPr>
          <w:spacing w:val="-9"/>
        </w:rPr>
        <w:t> </w:t>
      </w:r>
      <w:r>
        <w:rPr/>
        <w:t>in</w:t>
      </w:r>
      <w:r>
        <w:rPr>
          <w:spacing w:val="-8"/>
        </w:rPr>
        <w:t> </w:t>
      </w:r>
      <w:r>
        <w:rPr/>
        <w:t>comparable</w:t>
      </w:r>
      <w:r>
        <w:rPr>
          <w:spacing w:val="-8"/>
        </w:rPr>
        <w:t> </w:t>
      </w:r>
      <w:r>
        <w:rPr/>
        <w:t>PageRank/blockchain</w:t>
      </w:r>
      <w:r>
        <w:rPr>
          <w:spacing w:val="-9"/>
        </w:rPr>
        <w:t> </w:t>
      </w:r>
      <w:r>
        <w:rPr/>
        <w:t>studies.</w:t>
      </w:r>
      <w:r>
        <w:rPr>
          <w:spacing w:val="16"/>
        </w:rPr>
        <w:t> </w:t>
      </w:r>
      <w:r>
        <w:rPr/>
        <w:t>Values</w:t>
      </w:r>
      <w:r>
        <w:rPr>
          <w:spacing w:val="-10"/>
        </w:rPr>
        <w:t> </w:t>
      </w:r>
      <w:r>
        <w:rPr/>
        <w:t>are</w:t>
      </w:r>
      <w:r>
        <w:rPr>
          <w:spacing w:val="-8"/>
        </w:rPr>
        <w:t> </w:t>
      </w:r>
      <w:r>
        <w:rPr>
          <w:spacing w:val="-2"/>
        </w:rPr>
        <w:t>compared</w:t>
      </w:r>
    </w:p>
    <w:p>
      <w:pPr>
        <w:pStyle w:val="BodyText"/>
        <w:spacing w:line="253" w:lineRule="exact"/>
        <w:ind w:left="282"/>
      </w:pPr>
      <w:r>
        <w:rPr>
          <w:i/>
        </w:rPr>
        <w:t>0.35 비교 가능한 PageRank/블록체인 연구에서 실질적으로 의미가 있습니다. 값이 비교됩니다.</w:t>
      </w:r>
    </w:p>
    <w:p>
      <w:pPr>
        <w:pStyle w:val="BodyText"/>
        <w:spacing w:before="168"/>
        <w:ind w:left="282"/>
        <w:jc w:val="both"/>
      </w:pPr>
      <w:bookmarkStart w:name="Theoretical framework" w:id="61"/>
      <w:bookmarkEnd w:id="61"/>
      <w:r>
        <w:rPr/>
      </w:r>
      <w:bookmarkStart w:name="_bookmark34" w:id="62"/>
      <w:bookmarkEnd w:id="62"/>
      <w:r>
        <w:rPr/>
      </w:r>
      <w:r>
        <w:rPr>
          <w:i/>
        </w:rPr>
        <w:t>relatively</w:t>
      </w:r>
      <w:r>
        <w:rPr>
          <w:i/>
          <w:spacing w:val="-9"/>
        </w:rPr>
        <w:t> </w:t>
      </w:r>
      <w:r>
        <w:rPr/>
        <w:t>across</w:t>
      </w:r>
      <w:r>
        <w:rPr>
          <w:spacing w:val="-8"/>
        </w:rPr>
        <w:t> </w:t>
      </w:r>
      <w:r>
        <w:rPr/>
        <w:t>methods</w:t>
      </w:r>
      <w:r>
        <w:rPr>
          <w:spacing w:val="-8"/>
        </w:rPr>
        <w:t> </w:t>
      </w:r>
      <w:r>
        <w:rPr/>
        <w:t>on</w:t>
      </w:r>
      <w:r>
        <w:rPr>
          <w:spacing w:val="-8"/>
        </w:rPr>
        <w:t> </w:t>
      </w:r>
      <w:r>
        <w:rPr/>
        <w:t>the</w:t>
      </w:r>
      <w:r>
        <w:rPr>
          <w:spacing w:val="-8"/>
        </w:rPr>
        <w:t> </w:t>
      </w:r>
      <w:r>
        <w:rPr/>
        <w:t>same</w:t>
      </w:r>
      <w:r>
        <w:rPr>
          <w:spacing w:val="-9"/>
        </w:rPr>
        <w:t> </w:t>
      </w:r>
      <w:r>
        <w:rPr/>
        <w:t>cohort</w:t>
      </w:r>
      <w:r>
        <w:rPr>
          <w:spacing w:val="-8"/>
        </w:rPr>
        <w:t> </w:t>
      </w:r>
      <w:r>
        <w:rPr/>
        <w:t>rather</w:t>
      </w:r>
      <w:r>
        <w:rPr>
          <w:spacing w:val="-8"/>
        </w:rPr>
        <w:t> </w:t>
      </w:r>
      <w:r>
        <w:rPr/>
        <w:t>than</w:t>
      </w:r>
      <w:r>
        <w:rPr>
          <w:spacing w:val="-8"/>
        </w:rPr>
        <w:t> </w:t>
      </w:r>
      <w:r>
        <w:rPr/>
        <w:t>against</w:t>
      </w:r>
      <w:r>
        <w:rPr>
          <w:spacing w:val="-8"/>
        </w:rPr>
        <w:t> </w:t>
      </w:r>
      <w:r>
        <w:rPr/>
        <w:t>an</w:t>
      </w:r>
      <w:r>
        <w:rPr>
          <w:spacing w:val="-9"/>
        </w:rPr>
        <w:t> </w:t>
      </w:r>
      <w:r>
        <w:rPr/>
        <w:t>absolute</w:t>
      </w:r>
      <w:r>
        <w:rPr>
          <w:spacing w:val="-8"/>
        </w:rPr>
        <w:t> </w:t>
      </w:r>
      <w:r>
        <w:rPr/>
        <w:t>clinical</w:t>
      </w:r>
      <w:r>
        <w:rPr>
          <w:spacing w:val="-8"/>
        </w:rPr>
        <w:t> </w:t>
      </w:r>
      <w:r>
        <w:rPr>
          <w:spacing w:val="-2"/>
        </w:rPr>
        <w:t>threshold.</w:t>
      </w:r>
    </w:p>
    <w:p>
      <w:pPr>
        <w:pStyle w:val="BodyText"/>
        <w:spacing w:before="168"/>
        <w:ind w:left="282"/>
        <w:jc w:val="both"/>
      </w:pPr>
      <w:r>
        <w:rPr>
          <w:i/>
        </w:rPr>
        <w:t>절대적인 임상 역치에 반하기보다는 동일한 코호트의 방법에 따라 상대적으로.</w:t>
      </w:r>
    </w:p>
    <w:p>
      <w:pPr>
        <w:pStyle w:val="BodyText"/>
      </w:pPr>
    </w:p>
    <w:p>
      <w:pPr>
        <w:pStyle w:val="BodyText"/>
        <w:spacing w:before="62"/>
      </w:pPr>
    </w:p>
    <w:p>
      <w:pPr>
        <w:pStyle w:val="Heading2"/>
        <w:numPr>
          <w:ilvl w:val="1"/>
          <w:numId w:val="8"/>
        </w:numPr>
        <w:tabs>
          <w:tab w:pos="911" w:val="left" w:leader="none"/>
        </w:tabs>
        <w:spacing w:line="240" w:lineRule="auto" w:before="0" w:after="0"/>
        <w:ind w:left="911" w:right="0" w:hanging="629"/>
        <w:jc w:val="left"/>
      </w:pPr>
      <w:r>
        <w:rPr/>
        <w:t>Theoretical</w:t>
      </w:r>
      <w:r>
        <w:rPr>
          <w:spacing w:val="22"/>
        </w:rPr>
        <w:t> </w:t>
      </w:r>
      <w:r>
        <w:rPr>
          <w:spacing w:val="-2"/>
        </w:rPr>
        <w:t>framework</w:t>
      </w:r>
    </w:p>
    <w:p>
      <w:pPr>
        <w:pStyle w:val="Heading2"/>
        <w:numPr>
          <w:ilvl w:val="1"/>
          <w:numId w:val="8"/>
        </w:numPr>
        <w:tabs>
          <w:tab w:pos="911" w:val="left" w:leader="none"/>
        </w:tabs>
        <w:spacing w:line="240" w:lineRule="auto" w:before="0" w:after="0"/>
        <w:ind w:left="911" w:right="0" w:hanging="629"/>
        <w:jc w:val="left"/>
      </w:pPr>
      <w:r>
        <w:rPr>
          <w:i/>
        </w:rPr>
        <w:t>이론적 틀</w:t>
      </w:r>
    </w:p>
    <w:p>
      <w:pPr>
        <w:pStyle w:val="BodyText"/>
        <w:spacing w:before="24"/>
        <w:rPr>
          <w:b/>
          <w:sz w:val="28"/>
        </w:rPr>
      </w:pPr>
    </w:p>
    <w:p>
      <w:pPr>
        <w:pStyle w:val="BodyText"/>
        <w:spacing w:line="396" w:lineRule="auto"/>
        <w:ind w:left="282" w:right="534" w:hanging="8"/>
        <w:jc w:val="both"/>
      </w:pPr>
      <w:r>
        <w:rPr/>
        <w:t>This</w:t>
      </w:r>
      <w:r>
        <w:rPr>
          <w:spacing w:val="-1"/>
        </w:rPr>
        <w:t> </w:t>
      </w:r>
      <w:r>
        <w:rPr/>
        <w:t>study</w:t>
      </w:r>
      <w:r>
        <w:rPr>
          <w:spacing w:val="-1"/>
        </w:rPr>
        <w:t> </w:t>
      </w:r>
      <w:r>
        <w:rPr/>
        <w:t>uses</w:t>
      </w:r>
      <w:r>
        <w:rPr>
          <w:spacing w:val="-1"/>
        </w:rPr>
        <w:t> </w:t>
      </w:r>
      <w:r>
        <w:rPr/>
        <w:t>hyperlink–citation</w:t>
      </w:r>
      <w:r>
        <w:rPr>
          <w:spacing w:val="-1"/>
        </w:rPr>
        <w:t> </w:t>
      </w:r>
      <w:r>
        <w:rPr/>
        <w:t>propagation, construct</w:t>
      </w:r>
      <w:r>
        <w:rPr>
          <w:spacing w:val="-1"/>
        </w:rPr>
        <w:t> </w:t>
      </w:r>
      <w:r>
        <w:rPr/>
        <w:t>(domain)</w:t>
      </w:r>
      <w:r>
        <w:rPr>
          <w:spacing w:val="-1"/>
        </w:rPr>
        <w:t> </w:t>
      </w:r>
      <w:r>
        <w:rPr/>
        <w:t>alignment, and</w:t>
      </w:r>
      <w:r>
        <w:rPr>
          <w:spacing w:val="-1"/>
        </w:rPr>
        <w:t> </w:t>
      </w:r>
      <w:r>
        <w:rPr/>
        <w:t>computational complexity as the bases for comparing EndorseRank and AWP across reputation structure (H1), social-method alignment (H2), and computational efficiency (H3).</w:t>
      </w:r>
    </w:p>
    <w:p>
      <w:pPr>
        <w:pStyle w:val="BodyText"/>
        <w:spacing w:line="396" w:lineRule="auto"/>
        <w:ind w:left="282" w:right="534" w:hanging="8"/>
        <w:jc w:val="both"/>
      </w:pPr>
      <w:r>
        <w:rPr>
          <w:i/>
        </w:rPr>
        <w:t>이 연구에서는 평판 구조(H1), 사회적 방법 정렬(H2) 및 계산 효율성(H3) 전반에 걸쳐 EndorseRank 및 AWP를 비교하기 위한 기반으로 하이퍼링크 인용 전파, 구성(도메인) 정렬 및 계산 복잡성을 사용합니다.</w:t>
      </w:r>
    </w:p>
    <w:p>
      <w:pPr>
        <w:pStyle w:val="ListParagraph"/>
        <w:numPr>
          <w:ilvl w:val="0"/>
          <w:numId w:val="12"/>
        </w:numPr>
        <w:tabs>
          <w:tab w:pos="799" w:val="left" w:leader="none"/>
          <w:tab w:pos="806" w:val="left" w:leader="none"/>
        </w:tabs>
        <w:spacing w:line="396" w:lineRule="auto" w:before="123" w:after="0"/>
        <w:ind w:left="799" w:right="524" w:hanging="207"/>
        <w:jc w:val="both"/>
        <w:rPr>
          <w:sz w:val="24"/>
        </w:rPr>
      </w:pPr>
      <w:r>
        <w:rPr>
          <w:spacing w:val="-15"/>
          <w:sz w:val="24"/>
        </w:rPr>
        <w:t> </w:t>
      </w:r>
      <w:r>
        <w:rPr>
          <w:b/>
          <w:sz w:val="24"/>
        </w:rPr>
        <w:t>Hyperlink–citation</w:t>
      </w:r>
      <w:r>
        <w:rPr>
          <w:b/>
          <w:spacing w:val="-15"/>
          <w:sz w:val="24"/>
        </w:rPr>
        <w:t> </w:t>
      </w:r>
      <w:r>
        <w:rPr>
          <w:b/>
          <w:sz w:val="24"/>
        </w:rPr>
        <w:t>semantics:</w:t>
      </w:r>
      <w:r>
        <w:rPr>
          <w:b/>
          <w:spacing w:val="5"/>
          <w:sz w:val="24"/>
        </w:rPr>
        <w:t> </w:t>
      </w:r>
      <w:r>
        <w:rPr>
          <w:sz w:val="24"/>
        </w:rPr>
        <w:t>The original PageRank algorithm </w:t>
      </w:r>
      <w:hyperlink w:history="true" w:anchor="_bookmark182">
        <w:r>
          <w:rPr>
            <w:sz w:val="24"/>
            <w:vertAlign w:val="superscript"/>
          </w:rPr>
          <w:t>[49]</w:t>
        </w:r>
      </w:hyperlink>
      <w:r>
        <w:rPr>
          <w:sz w:val="24"/>
          <w:vertAlign w:val="baseline"/>
        </w:rPr>
        <w:t> treats inbound hyper-links</w:t>
      </w:r>
      <w:r>
        <w:rPr>
          <w:spacing w:val="-1"/>
          <w:sz w:val="24"/>
          <w:vertAlign w:val="baseline"/>
        </w:rPr>
        <w:t> </w:t>
      </w:r>
      <w:r>
        <w:rPr>
          <w:sz w:val="24"/>
          <w:vertAlign w:val="baseline"/>
        </w:rPr>
        <w:t>as</w:t>
      </w:r>
      <w:r>
        <w:rPr>
          <w:spacing w:val="-1"/>
          <w:sz w:val="24"/>
          <w:vertAlign w:val="baseline"/>
        </w:rPr>
        <w:t> </w:t>
      </w:r>
      <w:r>
        <w:rPr>
          <w:sz w:val="24"/>
          <w:vertAlign w:val="baseline"/>
        </w:rPr>
        <w:t>citations. Do</w:t>
      </w:r>
      <w:r>
        <w:rPr>
          <w:spacing w:val="-1"/>
          <w:sz w:val="24"/>
          <w:vertAlign w:val="baseline"/>
        </w:rPr>
        <w:t> </w:t>
      </w:r>
      <w:r>
        <w:rPr>
          <w:sz w:val="24"/>
          <w:vertAlign w:val="baseline"/>
        </w:rPr>
        <w:t>et</w:t>
      </w:r>
      <w:r>
        <w:rPr>
          <w:spacing w:val="-1"/>
          <w:sz w:val="24"/>
          <w:vertAlign w:val="baseline"/>
        </w:rPr>
        <w:t> </w:t>
      </w:r>
      <w:r>
        <w:rPr>
          <w:sz w:val="24"/>
          <w:vertAlign w:val="baseline"/>
        </w:rPr>
        <w:t>al.</w:t>
      </w:r>
      <w:hyperlink w:history="true" w:anchor="_bookmark149">
        <w:r>
          <w:rPr>
            <w:sz w:val="24"/>
            <w:vertAlign w:val="superscript"/>
          </w:rPr>
          <w:t>[16]</w:t>
        </w:r>
      </w:hyperlink>
      <w:r>
        <w:rPr>
          <w:sz w:val="24"/>
          <w:vertAlign w:val="baseline"/>
        </w:rPr>
        <w:t> apply</w:t>
      </w:r>
      <w:r>
        <w:rPr>
          <w:spacing w:val="-1"/>
          <w:sz w:val="24"/>
          <w:vertAlign w:val="baseline"/>
        </w:rPr>
        <w:t> </w:t>
      </w:r>
      <w:r>
        <w:rPr>
          <w:sz w:val="24"/>
          <w:vertAlign w:val="baseline"/>
        </w:rPr>
        <w:t>this</w:t>
      </w:r>
      <w:r>
        <w:rPr>
          <w:spacing w:val="-1"/>
          <w:sz w:val="24"/>
          <w:vertAlign w:val="baseline"/>
        </w:rPr>
        <w:t> </w:t>
      </w:r>
      <w:r>
        <w:rPr>
          <w:sz w:val="24"/>
          <w:vertAlign w:val="baseline"/>
        </w:rPr>
        <w:t>logic</w:t>
      </w:r>
      <w:r>
        <w:rPr>
          <w:spacing w:val="-1"/>
          <w:sz w:val="24"/>
          <w:vertAlign w:val="baseline"/>
        </w:rPr>
        <w:t> </w:t>
      </w:r>
      <w:r>
        <w:rPr>
          <w:sz w:val="24"/>
          <w:vertAlign w:val="baseline"/>
        </w:rPr>
        <w:t>to</w:t>
      </w:r>
      <w:r>
        <w:rPr>
          <w:spacing w:val="-1"/>
          <w:sz w:val="24"/>
          <w:vertAlign w:val="baseline"/>
        </w:rPr>
        <w:t> </w:t>
      </w:r>
      <w:r>
        <w:rPr>
          <w:sz w:val="24"/>
          <w:vertAlign w:val="baseline"/>
        </w:rPr>
        <w:t>Ethereum</w:t>
      </w:r>
      <w:r>
        <w:rPr>
          <w:spacing w:val="-1"/>
          <w:sz w:val="24"/>
          <w:vertAlign w:val="baseline"/>
        </w:rPr>
        <w:t> </w:t>
      </w:r>
      <w:r>
        <w:rPr>
          <w:sz w:val="24"/>
          <w:vertAlign w:val="baseline"/>
        </w:rPr>
        <w:t>transfers</w:t>
      </w:r>
      <w:r>
        <w:rPr>
          <w:spacing w:val="-1"/>
          <w:sz w:val="24"/>
          <w:vertAlign w:val="baseline"/>
        </w:rPr>
        <w:t> </w:t>
      </w:r>
      <w:r>
        <w:rPr>
          <w:sz w:val="24"/>
          <w:vertAlign w:val="baseline"/>
        </w:rPr>
        <w:t>with</w:t>
      </w:r>
      <w:r>
        <w:rPr>
          <w:spacing w:val="-1"/>
          <w:sz w:val="24"/>
          <w:vertAlign w:val="baseline"/>
        </w:rPr>
        <w:t> </w:t>
      </w:r>
      <w:r>
        <w:rPr>
          <w:sz w:val="24"/>
          <w:vertAlign w:val="baseline"/>
        </w:rPr>
        <w:t>time-decayed</w:t>
      </w:r>
      <w:r>
        <w:rPr>
          <w:spacing w:val="-1"/>
          <w:sz w:val="24"/>
          <w:vertAlign w:val="baseline"/>
        </w:rPr>
        <w:t> </w:t>
      </w:r>
      <w:r>
        <w:rPr>
          <w:sz w:val="24"/>
          <w:vertAlign w:val="baseline"/>
        </w:rPr>
        <w:t>edge weights. Figure </w:t>
      </w:r>
      <w:hyperlink w:history="true" w:anchor="_bookmark62">
        <w:r>
          <w:rPr>
            <w:sz w:val="24"/>
            <w:vertAlign w:val="baseline"/>
          </w:rPr>
          <w:t>3.2</w:t>
        </w:r>
      </w:hyperlink>
      <w:r>
        <w:rPr>
          <w:sz w:val="24"/>
          <w:vertAlign w:val="baseline"/>
        </w:rPr>
        <w:t> (Chapter </w:t>
      </w:r>
      <w:hyperlink w:history="true" w:anchor="_bookmark48">
        <w:r>
          <w:rPr>
            <w:sz w:val="24"/>
            <w:vertAlign w:val="baseline"/>
          </w:rPr>
          <w:t>3</w:t>
        </w:r>
      </w:hyperlink>
      <w:r>
        <w:rPr>
          <w:sz w:val="24"/>
          <w:vertAlign w:val="baseline"/>
        </w:rPr>
        <w:t>) plots the logistic decay</w:t>
      </w:r>
    </w:p>
    <w:p>
      <w:pPr>
        <w:pStyle w:val="ListParagraph"/>
        <w:numPr>
          <w:ilvl w:val="0"/>
          <w:numId w:val="12"/>
        </w:numPr>
        <w:tabs>
          <w:tab w:pos="799" w:val="left" w:leader="none"/>
          <w:tab w:pos="806" w:val="left" w:leader="none"/>
        </w:tabs>
        <w:spacing w:line="396" w:lineRule="auto" w:before="123" w:after="0"/>
        <w:ind w:left="799" w:right="524" w:hanging="207"/>
        <w:jc w:val="both"/>
        <w:rPr>
          <w:sz w:val="24"/>
        </w:rPr>
      </w:pPr>
      <w:r>
        <w:rPr>
          <w:i/>
        </w:rPr>
        <w:t>하이퍼링크-인용 의미론: 원래 PageRank 알고리즘[49]은 인바운드 하이퍼링크를 인용으로 처리합니다. Do 등[16] 이 논리를 시간에 따른 에지 가중치를 사용하여 Ethereum 전송에 적용합니다. 그림 3.2(3장)는 로지스틱 붕괴를 나타냅니다.</w:t>
      </w:r>
    </w:p>
    <w:p>
      <w:pPr>
        <w:pStyle w:val="BodyText"/>
        <w:spacing w:before="3"/>
        <w:rPr>
          <w:sz w:val="14"/>
        </w:rPr>
      </w:pPr>
    </w:p>
    <w:p>
      <w:pPr>
        <w:pStyle w:val="BodyText"/>
        <w:spacing w:after="0"/>
        <w:rPr>
          <w:sz w:val="14"/>
        </w:rPr>
        <w:sectPr>
          <w:type w:val="continuous"/>
          <w:pgSz w:w="11910" w:h="16840"/>
          <w:pgMar w:header="0" w:footer="2115" w:top="1920" w:bottom="280" w:left="992" w:right="708"/>
        </w:sectPr>
      </w:pPr>
    </w:p>
    <w:p>
      <w:pPr>
        <w:pStyle w:val="BodyText"/>
        <w:spacing w:line="226" w:lineRule="exact" w:before="51"/>
        <w:ind w:right="955"/>
        <w:jc w:val="right"/>
        <w:rPr>
          <w:rFonts w:ascii="Calibri"/>
        </w:rPr>
      </w:pPr>
      <w:r>
        <w:rPr>
          <w:rFonts w:ascii="Calibri"/>
          <w:spacing w:val="-10"/>
        </w:rPr>
        <w:t>1</w:t>
      </w:r>
    </w:p>
    <w:p>
      <w:pPr>
        <w:spacing w:line="240" w:lineRule="auto" w:before="0"/>
        <w:ind w:left="3724" w:right="0" w:firstLine="0"/>
        <w:jc w:val="left"/>
        <w:rPr>
          <w:position w:val="19"/>
          <w:sz w:val="24"/>
        </w:rPr>
      </w:pPr>
      <w:r>
        <w:rPr>
          <w:position w:val="19"/>
          <w:sz w:val="24"/>
        </w:rPr>
        <mc:AlternateContent>
          <mc:Choice Requires="wps">
            <w:drawing>
              <wp:anchor distT="0" distB="0" distL="0" distR="0" allowOverlap="1" layoutInCell="1" locked="0" behindDoc="1" simplePos="0" relativeHeight="484010496">
                <wp:simplePos x="0" y="0"/>
                <wp:positionH relativeFrom="page">
                  <wp:posOffset>3593172</wp:posOffset>
                </wp:positionH>
                <wp:positionV relativeFrom="paragraph">
                  <wp:posOffset>66612</wp:posOffset>
                </wp:positionV>
                <wp:extent cx="129095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90955" cy="1270"/>
                        </a:xfrm>
                        <a:custGeom>
                          <a:avLst/>
                          <a:gdLst/>
                          <a:ahLst/>
                          <a:cxnLst/>
                          <a:rect l="l" t="t" r="r" b="b"/>
                          <a:pathLst>
                            <a:path w="1290955" h="0">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05984" from="282.927002pt,5.245083pt" to="384.566002pt,5.245083pt" stroked="true" strokeweight=".4782pt" strokecolor="#000000">
                <v:stroke dashstyle="solid"/>
                <w10:wrap type="none"/>
              </v:line>
            </w:pict>
          </mc:Fallback>
        </mc:AlternateContent>
      </w:r>
      <w:r>
        <w:rPr>
          <w:position w:val="19"/>
          <w:sz w:val="24"/>
        </w:rPr>
        <mc:AlternateContent>
          <mc:Choice Requires="wps">
            <w:drawing>
              <wp:anchor distT="0" distB="0" distL="0" distR="0" allowOverlap="1" layoutInCell="1" locked="0" behindDoc="1" simplePos="0" relativeHeight="484011008">
                <wp:simplePos x="0" y="0"/>
                <wp:positionH relativeFrom="page">
                  <wp:posOffset>4696485</wp:posOffset>
                </wp:positionH>
                <wp:positionV relativeFrom="paragraph">
                  <wp:posOffset>163785</wp:posOffset>
                </wp:positionV>
                <wp:extent cx="53975" cy="1016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369.802002pt;margin-top:12.896508pt;width:4.25pt;height:8pt;mso-position-horizontal-relative:page;mso-position-vertical-relative:paragraph;z-index:-19305472" type="#_x0000_t202" id="docshape57"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rFonts w:ascii="Calibri" w:hAnsi="Calibri"/>
          <w:i/>
          <w:w w:val="115"/>
          <w:position w:val="18"/>
          <w:sz w:val="24"/>
        </w:rPr>
        <w:t>σ</w:t>
      </w:r>
      <w:r>
        <w:rPr>
          <w:rFonts w:ascii="Calibri" w:hAnsi="Calibri"/>
          <w:w w:val="115"/>
          <w:position w:val="18"/>
          <w:sz w:val="24"/>
        </w:rPr>
        <w:t>(∆</w:t>
      </w:r>
      <w:r>
        <w:rPr>
          <w:rFonts w:ascii="Calibri" w:hAnsi="Calibri"/>
          <w:i/>
          <w:w w:val="115"/>
          <w:position w:val="18"/>
          <w:sz w:val="24"/>
        </w:rPr>
        <w:t>t</w:t>
      </w:r>
      <w:r>
        <w:rPr>
          <w:rFonts w:ascii="Calibri" w:hAnsi="Calibri"/>
          <w:w w:val="115"/>
          <w:position w:val="18"/>
          <w:sz w:val="24"/>
        </w:rPr>
        <w:t>)</w:t>
      </w:r>
      <w:r>
        <w:rPr>
          <w:rFonts w:ascii="Calibri" w:hAnsi="Calibri"/>
          <w:spacing w:val="-6"/>
          <w:w w:val="125"/>
          <w:position w:val="18"/>
          <w:sz w:val="24"/>
        </w:rPr>
        <w:t> </w:t>
      </w:r>
      <w:r>
        <w:rPr>
          <w:rFonts w:ascii="Calibri" w:hAnsi="Calibri"/>
          <w:w w:val="125"/>
          <w:position w:val="18"/>
          <w:sz w:val="24"/>
        </w:rPr>
        <w:t>=</w:t>
      </w:r>
      <w:r>
        <w:rPr>
          <w:rFonts w:ascii="Calibri" w:hAnsi="Calibri"/>
          <w:spacing w:val="21"/>
          <w:w w:val="125"/>
          <w:position w:val="18"/>
          <w:sz w:val="24"/>
        </w:rPr>
        <w:t> </w:t>
      </w:r>
      <w:r>
        <w:rPr>
          <w:rFonts w:ascii="Calibri" w:hAnsi="Calibri"/>
          <w:w w:val="115"/>
          <w:sz w:val="24"/>
        </w:rPr>
        <w:t>1</w:t>
      </w:r>
      <w:r>
        <w:rPr>
          <w:rFonts w:ascii="Calibri" w:hAnsi="Calibri"/>
          <w:spacing w:val="-11"/>
          <w:w w:val="115"/>
          <w:sz w:val="24"/>
        </w:rPr>
        <w:t> </w:t>
      </w:r>
      <w:r>
        <w:rPr>
          <w:rFonts w:ascii="Calibri" w:hAnsi="Calibri"/>
          <w:w w:val="125"/>
          <w:sz w:val="24"/>
        </w:rPr>
        <w:t>+</w:t>
      </w:r>
      <w:r>
        <w:rPr>
          <w:rFonts w:ascii="Calibri" w:hAnsi="Calibri"/>
          <w:spacing w:val="-16"/>
          <w:w w:val="125"/>
          <w:sz w:val="24"/>
        </w:rPr>
        <w:t> </w:t>
      </w:r>
      <w:r>
        <w:rPr>
          <w:w w:val="115"/>
          <w:sz w:val="24"/>
        </w:rPr>
        <w:t>exp</w:t>
      </w:r>
      <w:r>
        <w:rPr>
          <w:spacing w:val="38"/>
          <w:w w:val="115"/>
          <w:position w:val="19"/>
          <w:sz w:val="24"/>
        </w:rPr>
        <w:t> </w:t>
      </w:r>
      <w:r>
        <w:rPr>
          <w:rFonts w:ascii="Calibri" w:hAnsi="Calibri"/>
          <w:i/>
          <w:w w:val="115"/>
          <w:sz w:val="24"/>
        </w:rPr>
        <w:t>k</w:t>
      </w:r>
      <w:r>
        <w:rPr>
          <w:rFonts w:ascii="Calibri" w:hAnsi="Calibri"/>
          <w:w w:val="115"/>
          <w:sz w:val="24"/>
        </w:rPr>
        <w:t>(∆</w:t>
      </w:r>
      <w:r>
        <w:rPr>
          <w:rFonts w:ascii="Calibri" w:hAnsi="Calibri"/>
          <w:i/>
          <w:w w:val="115"/>
          <w:sz w:val="24"/>
        </w:rPr>
        <w:t>t</w:t>
      </w:r>
      <w:r>
        <w:rPr>
          <w:rFonts w:ascii="Calibri" w:hAnsi="Calibri"/>
          <w:i/>
          <w:spacing w:val="-10"/>
          <w:w w:val="11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15"/>
          <w:sz w:val="24"/>
        </w:rPr>
        <w:t>t</w:t>
      </w:r>
      <w:r>
        <w:rPr>
          <w:rFonts w:ascii="Calibri" w:hAnsi="Calibri"/>
          <w:i/>
          <w:spacing w:val="30"/>
          <w:w w:val="115"/>
          <w:sz w:val="24"/>
        </w:rPr>
        <w:t> </w:t>
      </w:r>
      <w:r>
        <w:rPr>
          <w:rFonts w:ascii="Calibri" w:hAnsi="Calibri"/>
          <w:spacing w:val="-10"/>
          <w:w w:val="115"/>
          <w:sz w:val="24"/>
        </w:rPr>
        <w:t>)</w:t>
      </w:r>
      <w:r>
        <w:rPr>
          <w:spacing w:val="-10"/>
          <w:w w:val="115"/>
          <w:position w:val="19"/>
          <w:sz w:val="24"/>
        </w:rPr>
        <w:t> </w:t>
      </w:r>
    </w:p>
    <w:p>
      <w:pPr>
        <w:spacing w:line="240" w:lineRule="auto" w:before="0"/>
        <w:ind w:left="3724" w:right="0" w:firstLine="0"/>
        <w:jc w:val="left"/>
        <w:rPr>
          <w:position w:val="19"/>
          <w:sz w:val="24"/>
        </w:rPr>
      </w:pPr>
      <w:r>
        <w:rPr>
          <w:i/>
        </w:rPr>
        <w:t>σ(Δt) = 1 + exp k(Δt — t )</w:t>
      </w:r>
    </w:p>
    <w:p>
      <w:pPr>
        <w:pStyle w:val="BodyText"/>
        <w:spacing w:before="217"/>
        <w:ind w:right="548"/>
        <w:jc w:val="right"/>
      </w:pPr>
      <w:r>
        <w:rPr/>
        <w:br w:type="column"/>
      </w:r>
      <w:r>
        <w:rPr>
          <w:spacing w:val="-2"/>
        </w:rPr>
        <w:t>(2.7)</w:t>
      </w:r>
    </w:p>
    <w:p>
      <w:pPr>
        <w:pStyle w:val="BodyText"/>
        <w:spacing w:after="0"/>
        <w:jc w:val="right"/>
        <w:sectPr>
          <w:type w:val="continuous"/>
          <w:pgSz w:w="11910" w:h="16840"/>
          <w:pgMar w:header="0" w:footer="2115" w:top="1920" w:bottom="280" w:left="992" w:right="708"/>
          <w:cols w:num="2" w:equalWidth="0">
            <w:col w:w="6700" w:space="40"/>
            <w:col w:w="3470"/>
          </w:cols>
        </w:sectPr>
      </w:pPr>
    </w:p>
    <w:p>
      <w:pPr>
        <w:pStyle w:val="BodyText"/>
        <w:spacing w:line="376" w:lineRule="auto" w:before="256"/>
        <w:ind w:left="808" w:right="534" w:hanging="9"/>
      </w:pPr>
      <w:r>
        <w:rPr>
          <w:w w:val="105"/>
        </w:rPr>
        <w:t>with </w:t>
      </w:r>
      <w:r>
        <w:rPr>
          <w:rFonts w:ascii="Calibri"/>
          <w:i/>
          <w:w w:val="105"/>
        </w:rPr>
        <w:t>k</w:t>
      </w:r>
      <w:r>
        <w:rPr>
          <w:rFonts w:ascii="Calibri"/>
          <w:i/>
          <w:spacing w:val="34"/>
          <w:w w:val="125"/>
        </w:rPr>
        <w:t> </w:t>
      </w:r>
      <w:r>
        <w:rPr>
          <w:rFonts w:ascii="Calibri"/>
          <w:w w:val="125"/>
        </w:rPr>
        <w:t>=</w:t>
      </w:r>
      <w:r>
        <w:rPr>
          <w:rFonts w:ascii="Calibri"/>
          <w:spacing w:val="28"/>
          <w:w w:val="125"/>
        </w:rPr>
        <w:t> </w:t>
      </w:r>
      <w:r>
        <w:rPr>
          <w:rFonts w:ascii="Calibri"/>
          <w:w w:val="105"/>
        </w:rPr>
        <w:t>0</w:t>
      </w:r>
      <w:r>
        <w:rPr>
          <w:rFonts w:ascii="Calibri"/>
          <w:i/>
          <w:w w:val="105"/>
        </w:rPr>
        <w:t>.</w:t>
      </w:r>
      <w:r>
        <w:rPr>
          <w:rFonts w:ascii="Calibri"/>
          <w:w w:val="105"/>
        </w:rPr>
        <w:t>01</w:t>
      </w:r>
      <w:r>
        <w:rPr>
          <w:rFonts w:ascii="Calibri"/>
          <w:w w:val="105"/>
        </w:rPr>
        <w:t> </w:t>
      </w:r>
      <w:r>
        <w:rPr>
          <w:w w:val="105"/>
        </w:rPr>
        <w:t>and </w:t>
      </w:r>
      <w:r>
        <w:rPr>
          <w:rFonts w:ascii="Calibri"/>
          <w:i/>
          <w:w w:val="105"/>
        </w:rPr>
        <w:t>t</w:t>
      </w:r>
      <w:r>
        <w:rPr>
          <w:rFonts w:ascii="Calibri"/>
          <w:w w:val="105"/>
          <w:vertAlign w:val="subscript"/>
        </w:rPr>
        <w:t>0</w:t>
      </w:r>
      <w:r>
        <w:rPr>
          <w:rFonts w:ascii="Calibri"/>
          <w:spacing w:val="36"/>
          <w:w w:val="125"/>
          <w:vertAlign w:val="baseline"/>
        </w:rPr>
        <w:t> </w:t>
      </w:r>
      <w:r>
        <w:rPr>
          <w:rFonts w:ascii="Calibri"/>
          <w:w w:val="125"/>
          <w:vertAlign w:val="baseline"/>
        </w:rPr>
        <w:t>=</w:t>
      </w:r>
      <w:r>
        <w:rPr>
          <w:rFonts w:ascii="Calibri"/>
          <w:spacing w:val="28"/>
          <w:w w:val="125"/>
          <w:vertAlign w:val="baseline"/>
        </w:rPr>
        <w:t> </w:t>
      </w:r>
      <w:r>
        <w:rPr>
          <w:rFonts w:ascii="Calibri"/>
          <w:w w:val="105"/>
          <w:vertAlign w:val="baseline"/>
        </w:rPr>
        <w:t>180</w:t>
      </w:r>
      <w:r>
        <w:rPr>
          <w:rFonts w:ascii="Calibri"/>
          <w:w w:val="105"/>
          <w:vertAlign w:val="baseline"/>
        </w:rPr>
        <w:t> </w:t>
      </w:r>
      <w:r>
        <w:rPr>
          <w:w w:val="105"/>
          <w:vertAlign w:val="baseline"/>
        </w:rPr>
        <w:t>days as used for AWP in this study.</w:t>
      </w:r>
      <w:r>
        <w:rPr>
          <w:spacing w:val="40"/>
          <w:w w:val="105"/>
          <w:vertAlign w:val="baseline"/>
        </w:rPr>
        <w:t> </w:t>
      </w:r>
      <w:r>
        <w:rPr>
          <w:w w:val="105"/>
          <w:vertAlign w:val="baseline"/>
        </w:rPr>
        <w:t>EndorseRank extends </w:t>
      </w:r>
      <w:r>
        <w:rPr>
          <w:vertAlign w:val="baseline"/>
        </w:rPr>
        <w:t>citation-based</w:t>
      </w:r>
      <w:r>
        <w:rPr>
          <w:spacing w:val="-13"/>
          <w:vertAlign w:val="baseline"/>
        </w:rPr>
        <w:t> </w:t>
      </w:r>
      <w:r>
        <w:rPr>
          <w:vertAlign w:val="baseline"/>
        </w:rPr>
        <w:t>propagation</w:t>
      </w:r>
      <w:r>
        <w:rPr>
          <w:spacing w:val="-13"/>
          <w:vertAlign w:val="baseline"/>
        </w:rPr>
        <w:t> </w:t>
      </w:r>
      <w:r>
        <w:rPr>
          <w:vertAlign w:val="baseline"/>
        </w:rPr>
        <w:t>to</w:t>
      </w:r>
      <w:r>
        <w:rPr>
          <w:spacing w:val="-13"/>
          <w:vertAlign w:val="baseline"/>
        </w:rPr>
        <w:t> </w:t>
      </w:r>
      <w:r>
        <w:rPr>
          <w:vertAlign w:val="baseline"/>
        </w:rPr>
        <w:t>ERC-20</w:t>
      </w:r>
      <w:r>
        <w:rPr>
          <w:spacing w:val="-13"/>
          <w:vertAlign w:val="baseline"/>
        </w:rPr>
        <w:t> </w:t>
      </w:r>
      <w:r>
        <w:rPr>
          <w:vertAlign w:val="baseline"/>
        </w:rPr>
        <w:t>approve/permit</w:t>
      </w:r>
      <w:r>
        <w:rPr>
          <w:spacing w:val="-13"/>
          <w:vertAlign w:val="baseline"/>
        </w:rPr>
        <w:t> </w:t>
      </w:r>
      <w:r>
        <w:rPr>
          <w:vertAlign w:val="baseline"/>
        </w:rPr>
        <w:t>edges</w:t>
      </w:r>
      <w:r>
        <w:rPr>
          <w:spacing w:val="-13"/>
          <w:vertAlign w:val="baseline"/>
        </w:rPr>
        <w:t> </w:t>
      </w:r>
      <w:r>
        <w:rPr>
          <w:vertAlign w:val="baseline"/>
        </w:rPr>
        <w:t>because</w:t>
      </w:r>
      <w:r>
        <w:rPr>
          <w:spacing w:val="-13"/>
          <w:vertAlign w:val="baseline"/>
        </w:rPr>
        <w:t> </w:t>
      </w:r>
      <w:r>
        <w:rPr>
          <w:vertAlign w:val="baseline"/>
        </w:rPr>
        <w:t>allowances</w:t>
      </w:r>
      <w:r>
        <w:rPr>
          <w:spacing w:val="-13"/>
          <w:vertAlign w:val="baseline"/>
        </w:rPr>
        <w:t> </w:t>
      </w:r>
      <w:r>
        <w:rPr>
          <w:vertAlign w:val="baseline"/>
        </w:rPr>
        <w:t>are</w:t>
      </w:r>
      <w:r>
        <w:rPr>
          <w:spacing w:val="-12"/>
          <w:vertAlign w:val="baseline"/>
        </w:rPr>
        <w:t> </w:t>
      </w:r>
      <w:r>
        <w:rPr>
          <w:spacing w:val="-2"/>
          <w:vertAlign w:val="baseline"/>
        </w:rPr>
        <w:t>explicit,</w:t>
      </w:r>
    </w:p>
    <w:p>
      <w:pPr>
        <w:pStyle w:val="BodyText"/>
        <w:spacing w:line="376" w:lineRule="auto" w:before="256"/>
        <w:ind w:left="808" w:right="534" w:hanging="9"/>
      </w:pPr>
      <w:r>
        <w:rPr>
          <w:i/>
        </w:rPr>
        <w:t>이 연구에서 AWP에 사용된 k = 0.01 및 t0 = 180일입니다. EndorseRank는 허용 범위가 명시적이기 때문에 인용 기반 전파를 ERC-20 승인/허용 가장자리로 확장합니다.</w:t>
      </w:r>
    </w:p>
    <w:p>
      <w:pPr>
        <w:pStyle w:val="BodyText"/>
        <w:spacing w:after="0" w:line="376" w:lineRule="auto"/>
        <w:sectPr>
          <w:type w:val="continuous"/>
          <w:pgSz w:w="11910" w:h="16840"/>
          <w:pgMar w:header="0" w:footer="2115" w:top="1920" w:bottom="280" w:left="992" w:right="708"/>
        </w:sectPr>
      </w:pPr>
    </w:p>
    <w:p>
      <w:pPr>
        <w:pStyle w:val="BodyText"/>
        <w:spacing w:line="396" w:lineRule="auto" w:before="92"/>
        <w:ind w:left="808" w:right="524"/>
        <w:jc w:val="both"/>
      </w:pPr>
      <w:bookmarkStart w:name="Reader's guide to terminology" w:id="63"/>
      <w:bookmarkEnd w:id="63"/>
      <w:r>
        <w:rPr/>
      </w:r>
      <w:bookmarkStart w:name="_bookmark35" w:id="64"/>
      <w:bookmarkEnd w:id="64"/>
      <w:r>
        <w:rPr/>
      </w:r>
      <w:r>
        <w:rPr/>
        <w:t>on-chain delegations of spending authority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35"/>
          <w:vertAlign w:val="baseline"/>
        </w:rPr>
        <w:t> </w:t>
      </w:r>
      <w:r>
        <w:rPr>
          <w:vertAlign w:val="baseline"/>
        </w:rPr>
        <w:t>Unlike transfers, which may reflect trad-ing or routing without trust intent, an allowance records explicit authorization that remains in force until revoked or replaced.</w:t>
      </w:r>
      <w:r>
        <w:rPr>
          <w:spacing w:val="40"/>
          <w:vertAlign w:val="baseline"/>
        </w:rPr>
        <w:t> </w:t>
      </w:r>
      <w:r>
        <w:rPr>
          <w:vertAlign w:val="baseline"/>
        </w:rPr>
        <w:t>Graph-based risk models </w:t>
      </w:r>
      <w:hyperlink w:history="true" w:anchor="_bookmark177">
        <w:r>
          <w:rPr>
            <w:vertAlign w:val="superscript"/>
          </w:rPr>
          <w:t>[44]</w:t>
        </w:r>
      </w:hyperlink>
      <w:r>
        <w:rPr>
          <w:vertAlign w:val="baseline"/>
        </w:rPr>
        <w:t> further show that network structure carries information beyond raw activity counts, supporting a directed endorsement graph rather than transfer volume alone.</w:t>
      </w:r>
    </w:p>
    <w:p>
      <w:pPr>
        <w:pStyle w:val="BodyText"/>
        <w:spacing w:line="396" w:lineRule="auto" w:before="92"/>
        <w:ind w:left="808" w:right="524"/>
        <w:jc w:val="both"/>
      </w:pPr>
      <w:r>
        <w:rPr>
          <w:i/>
        </w:rPr>
        <w:t>지출 권한의 온체인 위임 [18],[19]. 신뢰 의도 없이 거래 또는 라우팅을 반영할 수 있는 이전과 달리 허용은 취소되거나 대체될 때까지 유효한 명시적 승인을 기록합니다. 그래프 기반 위험 모델[44]은 네트워크 구조가 원시 활동 수 이상의 정보를 전달하여 전송량 단독이 아닌 방향성 보증 그래프를 지원한다는 것을 추가로 보여줍니다.</w:t>
      </w:r>
    </w:p>
    <w:p>
      <w:pPr>
        <w:pStyle w:val="ListParagraph"/>
        <w:numPr>
          <w:ilvl w:val="0"/>
          <w:numId w:val="12"/>
        </w:numPr>
        <w:tabs>
          <w:tab w:pos="799" w:val="left" w:leader="none"/>
          <w:tab w:pos="806" w:val="left" w:leader="none"/>
        </w:tabs>
        <w:spacing w:line="391" w:lineRule="auto" w:before="42" w:after="0"/>
        <w:ind w:left="799" w:right="523" w:hanging="207"/>
        <w:jc w:val="both"/>
        <w:rPr>
          <w:sz w:val="24"/>
        </w:rPr>
      </w:pPr>
      <w:r>
        <w:rPr>
          <w:b/>
          <w:sz w:val="24"/>
        </w:rPr>
        <w:t>Domain</w:t>
      </w:r>
      <w:r>
        <w:rPr>
          <w:b/>
          <w:sz w:val="24"/>
        </w:rPr>
        <w:t> alignment framework: </w:t>
      </w:r>
      <w:r>
        <w:rPr>
          <w:sz w:val="24"/>
        </w:rPr>
        <w:t>In measurement theory, construct alignment assesses how well</w:t>
      </w:r>
      <w:r>
        <w:rPr>
          <w:spacing w:val="-12"/>
          <w:sz w:val="24"/>
        </w:rPr>
        <w:t> </w:t>
      </w:r>
      <w:r>
        <w:rPr>
          <w:sz w:val="24"/>
        </w:rPr>
        <w:t>an</w:t>
      </w:r>
      <w:r>
        <w:rPr>
          <w:spacing w:val="-12"/>
          <w:sz w:val="24"/>
        </w:rPr>
        <w:t> </w:t>
      </w:r>
      <w:r>
        <w:rPr>
          <w:sz w:val="24"/>
        </w:rPr>
        <w:t>indicator</w:t>
      </w:r>
      <w:r>
        <w:rPr>
          <w:spacing w:val="-12"/>
          <w:sz w:val="24"/>
        </w:rPr>
        <w:t> </w:t>
      </w:r>
      <w:r>
        <w:rPr>
          <w:sz w:val="24"/>
        </w:rPr>
        <w:t>tracks</w:t>
      </w:r>
      <w:r>
        <w:rPr>
          <w:spacing w:val="-12"/>
          <w:sz w:val="24"/>
        </w:rPr>
        <w:t> </w:t>
      </w:r>
      <w:r>
        <w:rPr>
          <w:sz w:val="24"/>
        </w:rPr>
        <w:t>an</w:t>
      </w:r>
      <w:r>
        <w:rPr>
          <w:spacing w:val="-12"/>
          <w:sz w:val="24"/>
        </w:rPr>
        <w:t> </w:t>
      </w:r>
      <w:r>
        <w:rPr>
          <w:sz w:val="24"/>
        </w:rPr>
        <w:t>observable</w:t>
      </w:r>
      <w:r>
        <w:rPr>
          <w:spacing w:val="-12"/>
          <w:sz w:val="24"/>
        </w:rPr>
        <w:t> </w:t>
      </w:r>
      <w:r>
        <w:rPr>
          <w:sz w:val="24"/>
        </w:rPr>
        <w:t>outcome</w:t>
      </w:r>
      <w:r>
        <w:rPr>
          <w:spacing w:val="-12"/>
          <w:sz w:val="24"/>
        </w:rPr>
        <w:t> </w:t>
      </w:r>
      <w:hyperlink w:history="true" w:anchor="_bookmark147">
        <w:r>
          <w:rPr>
            <w:sz w:val="24"/>
            <w:vertAlign w:val="superscript"/>
          </w:rPr>
          <w:t>[14]</w:t>
        </w:r>
      </w:hyperlink>
      <w:r>
        <w:rPr>
          <w:sz w:val="24"/>
          <w:vertAlign w:val="baseline"/>
        </w:rPr>
        <w:t>.</w:t>
      </w:r>
      <w:r>
        <w:rPr>
          <w:spacing w:val="11"/>
          <w:sz w:val="24"/>
          <w:vertAlign w:val="baseline"/>
        </w:rPr>
        <w:t> </w:t>
      </w:r>
      <w:r>
        <w:rPr>
          <w:sz w:val="24"/>
          <w:vertAlign w:val="baseline"/>
        </w:rPr>
        <w:t>For</w:t>
      </w:r>
      <w:r>
        <w:rPr>
          <w:spacing w:val="-12"/>
          <w:sz w:val="24"/>
          <w:vertAlign w:val="baseline"/>
        </w:rPr>
        <w:t> </w:t>
      </w:r>
      <w:r>
        <w:rPr>
          <w:sz w:val="24"/>
          <w:vertAlign w:val="baseline"/>
        </w:rPr>
        <w:t>rank-based</w:t>
      </w:r>
      <w:r>
        <w:rPr>
          <w:spacing w:val="-12"/>
          <w:sz w:val="24"/>
          <w:vertAlign w:val="baseline"/>
        </w:rPr>
        <w:t> </w:t>
      </w:r>
      <w:r>
        <w:rPr>
          <w:sz w:val="24"/>
          <w:vertAlign w:val="baseline"/>
        </w:rPr>
        <w:t>reputation</w:t>
      </w:r>
      <w:r>
        <w:rPr>
          <w:spacing w:val="-12"/>
          <w:sz w:val="24"/>
          <w:vertAlign w:val="baseline"/>
        </w:rPr>
        <w:t> </w:t>
      </w:r>
      <w:r>
        <w:rPr>
          <w:sz w:val="24"/>
          <w:vertAlign w:val="baseline"/>
        </w:rPr>
        <w:t>scoring,</w:t>
      </w:r>
      <w:r>
        <w:rPr>
          <w:spacing w:val="-11"/>
          <w:sz w:val="24"/>
          <w:vertAlign w:val="baseline"/>
        </w:rPr>
        <w:t> </w:t>
      </w:r>
      <w:r>
        <w:rPr>
          <w:sz w:val="24"/>
          <w:vertAlign w:val="baseline"/>
        </w:rPr>
        <w:t>Spear-man’s </w:t>
      </w:r>
      <w:r>
        <w:rPr>
          <w:rFonts w:ascii="Calibri" w:hAnsi="Calibri"/>
          <w:i/>
          <w:sz w:val="24"/>
          <w:vertAlign w:val="baseline"/>
        </w:rPr>
        <w:t>ρ </w:t>
      </w:r>
      <w:r>
        <w:rPr>
          <w:sz w:val="24"/>
          <w:vertAlign w:val="baseline"/>
        </w:rPr>
        <w:t>and Kendall’s </w:t>
      </w:r>
      <w:r>
        <w:rPr>
          <w:rFonts w:ascii="Calibri" w:hAnsi="Calibri"/>
          <w:i/>
          <w:sz w:val="24"/>
          <w:vertAlign w:val="baseline"/>
        </w:rPr>
        <w:t>τ</w:t>
      </w:r>
      <w:r>
        <w:rPr>
          <w:rFonts w:ascii="Calibri" w:hAnsi="Calibri"/>
          <w:i/>
          <w:spacing w:val="40"/>
          <w:sz w:val="24"/>
          <w:vertAlign w:val="baseline"/>
        </w:rPr>
        <w:t> </w:t>
      </w:r>
      <w:r>
        <w:rPr>
          <w:sz w:val="24"/>
          <w:vertAlign w:val="baseline"/>
        </w:rPr>
        <w:t>evaluate monotonic and pairwise ordering agreement without as-suming a classification threshold </w:t>
      </w:r>
      <w:hyperlink w:history="true" w:anchor="_bookmark149">
        <w:r>
          <w:rPr>
            <w:sz w:val="24"/>
            <w:vertAlign w:val="superscript"/>
          </w:rPr>
          <w:t>[16]</w:t>
        </w:r>
      </w:hyperlink>
      <w:r>
        <w:rPr>
          <w:sz w:val="24"/>
          <w:vertAlign w:val="baseline"/>
        </w:rPr>
        <w:t>.</w:t>
      </w:r>
      <w:r>
        <w:rPr>
          <w:spacing w:val="40"/>
          <w:sz w:val="24"/>
          <w:vertAlign w:val="baseline"/>
        </w:rPr>
        <w:t> </w:t>
      </w:r>
      <w:r>
        <w:rPr>
          <w:sz w:val="24"/>
          <w:vertAlign w:val="baseline"/>
        </w:rPr>
        <w:t>Close-success count from GMX V2 and realized gain proxy</w:t>
      </w:r>
      <w:r>
        <w:rPr>
          <w:spacing w:val="-11"/>
          <w:sz w:val="24"/>
          <w:vertAlign w:val="baseline"/>
        </w:rPr>
        <w:t> </w:t>
      </w:r>
      <w:r>
        <w:rPr>
          <w:sz w:val="24"/>
          <w:vertAlign w:val="baseline"/>
        </w:rPr>
        <w:t>serve</w:t>
      </w:r>
      <w:r>
        <w:rPr>
          <w:spacing w:val="-11"/>
          <w:sz w:val="24"/>
          <w:vertAlign w:val="baseline"/>
        </w:rPr>
        <w:t> </w:t>
      </w:r>
      <w:r>
        <w:rPr>
          <w:sz w:val="24"/>
          <w:vertAlign w:val="baseline"/>
        </w:rPr>
        <w:t>as</w:t>
      </w:r>
      <w:r>
        <w:rPr>
          <w:spacing w:val="-11"/>
          <w:sz w:val="24"/>
          <w:vertAlign w:val="baseline"/>
        </w:rPr>
        <w:t> </w:t>
      </w:r>
      <w:r>
        <w:rPr>
          <w:sz w:val="24"/>
          <w:vertAlign w:val="baseline"/>
        </w:rPr>
        <w:t>observable</w:t>
      </w:r>
      <w:r>
        <w:rPr>
          <w:spacing w:val="-10"/>
          <w:sz w:val="24"/>
          <w:vertAlign w:val="baseline"/>
        </w:rPr>
        <w:t> </w:t>
      </w:r>
      <w:r>
        <w:rPr>
          <w:sz w:val="24"/>
          <w:vertAlign w:val="baseline"/>
        </w:rPr>
        <w:t>trading-success</w:t>
      </w:r>
      <w:r>
        <w:rPr>
          <w:spacing w:val="-11"/>
          <w:sz w:val="24"/>
          <w:vertAlign w:val="baseline"/>
        </w:rPr>
        <w:t> </w:t>
      </w:r>
      <w:r>
        <w:rPr>
          <w:sz w:val="24"/>
          <w:vertAlign w:val="baseline"/>
        </w:rPr>
        <w:t>measures</w:t>
      </w:r>
      <w:r>
        <w:rPr>
          <w:spacing w:val="-11"/>
          <w:sz w:val="24"/>
          <w:vertAlign w:val="baseline"/>
        </w:rPr>
        <w:t> </w:t>
      </w:r>
      <w:r>
        <w:rPr>
          <w:sz w:val="24"/>
          <w:vertAlign w:val="baseline"/>
        </w:rPr>
        <w:t>on</w:t>
      </w:r>
      <w:r>
        <w:rPr>
          <w:spacing w:val="-10"/>
          <w:sz w:val="24"/>
          <w:vertAlign w:val="baseline"/>
        </w:rPr>
        <w:t> </w:t>
      </w:r>
      <w:r>
        <w:rPr>
          <w:sz w:val="24"/>
          <w:vertAlign w:val="baseline"/>
        </w:rPr>
        <w:t>Arbitrum</w:t>
      </w:r>
      <w:r>
        <w:rPr>
          <w:spacing w:val="-11"/>
          <w:sz w:val="24"/>
          <w:vertAlign w:val="baseline"/>
        </w:rPr>
        <w:t> </w:t>
      </w:r>
      <w:r>
        <w:rPr>
          <w:sz w:val="24"/>
          <w:vertAlign w:val="baseline"/>
        </w:rPr>
        <w:t>One,</w:t>
      </w:r>
      <w:r>
        <w:rPr>
          <w:spacing w:val="-10"/>
          <w:sz w:val="24"/>
          <w:vertAlign w:val="baseline"/>
        </w:rPr>
        <w:t> </w:t>
      </w:r>
      <w:r>
        <w:rPr>
          <w:sz w:val="24"/>
          <w:vertAlign w:val="baseline"/>
        </w:rPr>
        <w:t>satisfying</w:t>
      </w:r>
      <w:r>
        <w:rPr>
          <w:spacing w:val="-10"/>
          <w:sz w:val="24"/>
          <w:vertAlign w:val="baseline"/>
        </w:rPr>
        <w:t> </w:t>
      </w:r>
      <w:r>
        <w:rPr>
          <w:sz w:val="24"/>
          <w:vertAlign w:val="baseline"/>
        </w:rPr>
        <w:t>the</w:t>
      </w:r>
      <w:r>
        <w:rPr>
          <w:spacing w:val="-11"/>
          <w:sz w:val="24"/>
          <w:vertAlign w:val="baseline"/>
        </w:rPr>
        <w:t> </w:t>
      </w:r>
      <w:r>
        <w:rPr>
          <w:sz w:val="24"/>
          <w:vertAlign w:val="baseline"/>
        </w:rPr>
        <w:t>domain-intuition requirement without claiming external loan-repayment ground truth.</w:t>
      </w:r>
    </w:p>
    <w:p>
      <w:pPr>
        <w:pStyle w:val="ListParagraph"/>
        <w:numPr>
          <w:ilvl w:val="0"/>
          <w:numId w:val="12"/>
        </w:numPr>
        <w:tabs>
          <w:tab w:pos="799" w:val="left" w:leader="none"/>
          <w:tab w:pos="806" w:val="left" w:leader="none"/>
        </w:tabs>
        <w:spacing w:line="391" w:lineRule="auto" w:before="42" w:after="0"/>
        <w:ind w:left="799" w:right="523" w:hanging="207"/>
        <w:jc w:val="both"/>
        <w:rPr>
          <w:sz w:val="24"/>
        </w:rPr>
      </w:pPr>
      <w:r>
        <w:rPr>
          <w:i/>
        </w:rPr>
        <w:t>도메인 정렬 프레임워크: 측정 이론에서 구성 정렬은 지표가 관찰 가능한 결과를 얼마나 잘 추적하는지 평가합니다[14]. 순위 기반 평판 점수의 경우 Spear-man의 ρ와 Kendall의 τ는 분류 임계값을 가정하지 않고 단조롭고 쌍별 순서 일치를 평가합니다[16]. GMX V2의 근접 성공 횟수와 실현 이득 프록시는 Arbitrum One에서 관찰 가능한 거래 성공 척도 역할을 하며, 외부 대출 상환 근거를 주장하지 않고도 도메인 직관 요구 사항을 충족합니다.</w:t>
      </w:r>
    </w:p>
    <w:p>
      <w:pPr>
        <w:pStyle w:val="ListParagraph"/>
        <w:numPr>
          <w:ilvl w:val="0"/>
          <w:numId w:val="12"/>
        </w:numPr>
        <w:tabs>
          <w:tab w:pos="806" w:val="left" w:leader="none"/>
          <w:tab w:pos="808" w:val="left" w:leader="none"/>
        </w:tabs>
        <w:spacing w:line="309" w:lineRule="auto" w:before="10" w:after="0"/>
        <w:ind w:left="808" w:right="524" w:hanging="216"/>
        <w:jc w:val="both"/>
        <w:rPr>
          <w:sz w:val="24"/>
        </w:rPr>
      </w:pPr>
      <w:r>
        <w:rPr>
          <w:b/>
          <w:sz w:val="24"/>
        </w:rPr>
        <w:t>Computational complexity: </w:t>
      </w:r>
      <w:r>
        <w:rPr>
          <w:sz w:val="24"/>
        </w:rPr>
        <w:t>PageRank’s per-iteration cost is </w:t>
      </w:r>
      <w:r>
        <w:rPr>
          <w:rFonts w:ascii="Calibri" w:hAnsi="Calibri"/>
          <w:i/>
          <w:sz w:val="24"/>
        </w:rPr>
        <w:t>O</w:t>
      </w:r>
      <w:r>
        <w:rPr>
          <w:rFonts w:ascii="Calibri" w:hAnsi="Calibri"/>
          <w:sz w:val="24"/>
        </w:rPr>
        <w:t>(</w:t>
      </w:r>
      <w:r>
        <w:rPr>
          <w:rFonts w:ascii="Lucida Sans Unicode" w:hAnsi="Lucida Sans Unicode"/>
          <w:sz w:val="24"/>
        </w:rPr>
        <w:t>|</w:t>
      </w:r>
      <w:r>
        <w:rPr>
          <w:rFonts w:ascii="Calibri" w:hAnsi="Calibri"/>
          <w:i/>
          <w:sz w:val="24"/>
        </w:rPr>
        <w:t>E</w:t>
      </w:r>
      <w:r>
        <w:rPr>
          <w:rFonts w:ascii="Lucida Sans Unicode" w:hAnsi="Lucida Sans Unicode"/>
          <w:sz w:val="24"/>
        </w:rPr>
        <w:t>|</w:t>
      </w:r>
      <w:r>
        <w:rPr>
          <w:rFonts w:ascii="Calibri" w:hAnsi="Calibri"/>
          <w:sz w:val="24"/>
        </w:rPr>
        <w:t>) </w:t>
      </w:r>
      <w:hyperlink w:history="true" w:anchor="_bookmark182">
        <w:r>
          <w:rPr>
            <w:sz w:val="24"/>
            <w:vertAlign w:val="superscript"/>
          </w:rPr>
          <w:t>[49]</w:t>
        </w:r>
      </w:hyperlink>
      <w:r>
        <w:rPr>
          <w:sz w:val="24"/>
          <w:vertAlign w:val="baseline"/>
        </w:rPr>
        <w:t>. Allowance graphs are sparser than transfer graphs (fewer edges </w:t>
      </w:r>
      <w:r>
        <w:rPr>
          <w:rFonts w:ascii="Lucida Sans Unicode" w:hAnsi="Lucida Sans Unicode"/>
          <w:sz w:val="24"/>
          <w:vertAlign w:val="baseline"/>
        </w:rPr>
        <w:t>|</w:t>
      </w:r>
      <w:r>
        <w:rPr>
          <w:rFonts w:ascii="Calibri" w:hAnsi="Calibri"/>
          <w:i/>
          <w:sz w:val="24"/>
          <w:vertAlign w:val="baseline"/>
        </w:rPr>
        <w:t>E</w:t>
      </w:r>
      <w:r>
        <w:rPr>
          <w:rFonts w:ascii="Lucida Sans Unicode" w:hAnsi="Lucida Sans Unicode"/>
          <w:sz w:val="24"/>
          <w:vertAlign w:val="baseline"/>
        </w:rPr>
        <w:t>|</w:t>
      </w:r>
      <w:r>
        <w:rPr>
          <w:sz w:val="24"/>
          <w:vertAlign w:val="baseline"/>
        </w:rPr>
        <w:t>), yielding lower per-iteration cost and re-duced memory, and often fewer iterations in practice—the basis for H3.</w:t>
      </w:r>
    </w:p>
    <w:p>
      <w:pPr>
        <w:pStyle w:val="ListParagraph"/>
        <w:numPr>
          <w:ilvl w:val="0"/>
          <w:numId w:val="12"/>
        </w:numPr>
        <w:tabs>
          <w:tab w:pos="806" w:val="left" w:leader="none"/>
          <w:tab w:pos="808" w:val="left" w:leader="none"/>
        </w:tabs>
        <w:spacing w:line="309" w:lineRule="auto" w:before="10" w:after="0"/>
        <w:ind w:left="808" w:right="524" w:hanging="216"/>
        <w:jc w:val="both"/>
        <w:rPr>
          <w:sz w:val="24"/>
        </w:rPr>
      </w:pPr>
      <w:r>
        <w:rPr>
          <w:i/>
        </w:rPr>
        <w:t>계산 복잡도: PageRank의 반복당 비용은 O(|E|)입니다 [49]. 허용 그래프는 전송 그래프보다 희박하여(에지 |E| 수가 적음) 반복당 비용이 낮아지고 메모리가 줄어들며 실제로는 반복 횟수가 줄어드는 경우가 많습니다(H3의 기반).</w:t>
      </w:r>
    </w:p>
    <w:p>
      <w:pPr>
        <w:pStyle w:val="BodyText"/>
        <w:spacing w:line="396" w:lineRule="auto" w:before="220"/>
        <w:ind w:left="282" w:right="534"/>
        <w:jc w:val="both"/>
      </w:pPr>
      <w:r>
        <w:rPr/>
        <w:t>Figure </w:t>
      </w:r>
      <w:hyperlink w:history="true" w:anchor="_bookmark36">
        <w:r>
          <w:rPr/>
          <w:t>2.3</w:t>
        </w:r>
      </w:hyperlink>
      <w:r>
        <w:rPr/>
        <w:t> presents the conceptual model mapping the primary EndorseRank–AWP comparison to H1–H3 and RQ1–RQ4.</w:t>
      </w:r>
      <w:r>
        <w:rPr>
          <w:spacing w:val="33"/>
        </w:rPr>
        <w:t> </w:t>
      </w:r>
      <w:r>
        <w:rPr/>
        <w:t>GF-PR (dashed) is a supplementary outcome-native ceiling for SRQ1, added during empirical work.</w:t>
      </w:r>
    </w:p>
    <w:p>
      <w:pPr>
        <w:pStyle w:val="BodyText"/>
        <w:spacing w:line="396" w:lineRule="auto" w:before="220"/>
        <w:ind w:left="282" w:right="534"/>
        <w:jc w:val="both"/>
      </w:pPr>
      <w:r>
        <w:rPr>
          <w:i/>
        </w:rPr>
        <w:t>그림 2.3은 기본 EndorseRank–AWP 비교를 H1–H3 및 RQ1–RQ4에 매핑하는 개념 모델을 보여줍니다. GF-PR(점선)은 실증적 작업 중에 추가된 SRQ1에 대한 보충 결과 기본 상한입니다.</w:t>
      </w:r>
    </w:p>
    <w:p>
      <w:pPr>
        <w:pStyle w:val="ListParagraph"/>
        <w:numPr>
          <w:ilvl w:val="0"/>
          <w:numId w:val="12"/>
        </w:numPr>
        <w:tabs>
          <w:tab w:pos="806" w:val="left" w:leader="none"/>
          <w:tab w:pos="808" w:val="left" w:leader="none"/>
        </w:tabs>
        <w:spacing w:line="396" w:lineRule="auto" w:before="123" w:after="0"/>
        <w:ind w:left="808" w:right="524" w:hanging="216"/>
        <w:jc w:val="both"/>
        <w:rPr>
          <w:sz w:val="24"/>
        </w:rPr>
      </w:pPr>
      <w:r>
        <w:rPr>
          <w:b/>
          <w:sz w:val="24"/>
        </w:rPr>
        <w:t>Supplementary</w:t>
      </w:r>
      <w:r>
        <w:rPr>
          <w:b/>
          <w:spacing w:val="-5"/>
          <w:sz w:val="24"/>
        </w:rPr>
        <w:t> </w:t>
      </w:r>
      <w:r>
        <w:rPr>
          <w:b/>
          <w:sz w:val="24"/>
        </w:rPr>
        <w:t>role</w:t>
      </w:r>
      <w:r>
        <w:rPr>
          <w:b/>
          <w:spacing w:val="-5"/>
          <w:sz w:val="24"/>
        </w:rPr>
        <w:t> </w:t>
      </w:r>
      <w:r>
        <w:rPr>
          <w:b/>
          <w:sz w:val="24"/>
        </w:rPr>
        <w:t>of</w:t>
      </w:r>
      <w:r>
        <w:rPr>
          <w:b/>
          <w:spacing w:val="-5"/>
          <w:sz w:val="24"/>
        </w:rPr>
        <w:t> </w:t>
      </w:r>
      <w:r>
        <w:rPr>
          <w:b/>
          <w:sz w:val="24"/>
        </w:rPr>
        <w:t>GF-PR:</w:t>
      </w:r>
      <w:r>
        <w:rPr>
          <w:b/>
          <w:spacing w:val="-5"/>
          <w:sz w:val="24"/>
        </w:rPr>
        <w:t> </w:t>
      </w:r>
      <w:r>
        <w:rPr>
          <w:sz w:val="24"/>
        </w:rPr>
        <w:t>H1</w:t>
      </w:r>
      <w:r>
        <w:rPr>
          <w:spacing w:val="-5"/>
          <w:sz w:val="24"/>
        </w:rPr>
        <w:t> </w:t>
      </w:r>
      <w:r>
        <w:rPr>
          <w:sz w:val="24"/>
        </w:rPr>
        <w:t>and</w:t>
      </w:r>
      <w:r>
        <w:rPr>
          <w:spacing w:val="-5"/>
          <w:sz w:val="24"/>
        </w:rPr>
        <w:t> </w:t>
      </w:r>
      <w:r>
        <w:rPr>
          <w:sz w:val="24"/>
        </w:rPr>
        <w:t>H3</w:t>
      </w:r>
      <w:r>
        <w:rPr>
          <w:spacing w:val="-5"/>
          <w:sz w:val="24"/>
        </w:rPr>
        <w:t> </w:t>
      </w:r>
      <w:r>
        <w:rPr>
          <w:sz w:val="24"/>
        </w:rPr>
        <w:t>concern</w:t>
      </w:r>
      <w:r>
        <w:rPr>
          <w:spacing w:val="-5"/>
          <w:sz w:val="24"/>
        </w:rPr>
        <w:t> </w:t>
      </w:r>
      <w:r>
        <w:rPr>
          <w:sz w:val="24"/>
        </w:rPr>
        <w:t>EndorseRank</w:t>
      </w:r>
      <w:r>
        <w:rPr>
          <w:spacing w:val="-5"/>
          <w:sz w:val="24"/>
        </w:rPr>
        <w:t> </w:t>
      </w:r>
      <w:r>
        <w:rPr>
          <w:sz w:val="24"/>
        </w:rPr>
        <w:t>and</w:t>
      </w:r>
      <w:r>
        <w:rPr>
          <w:spacing w:val="-5"/>
          <w:sz w:val="24"/>
        </w:rPr>
        <w:t> </w:t>
      </w:r>
      <w:r>
        <w:rPr>
          <w:sz w:val="24"/>
        </w:rPr>
        <w:t>AWP</w:t>
      </w:r>
      <w:r>
        <w:rPr>
          <w:spacing w:val="-5"/>
          <w:sz w:val="24"/>
        </w:rPr>
        <w:t> </w:t>
      </w:r>
      <w:r>
        <w:rPr>
          <w:sz w:val="24"/>
        </w:rPr>
        <w:t>only. H2/RQ2 compares social-method alignment between EndorseRank and AWP across five proxy fam-ilies.</w:t>
      </w:r>
      <w:r>
        <w:rPr>
          <w:spacing w:val="40"/>
          <w:sz w:val="24"/>
        </w:rPr>
        <w:t> </w:t>
      </w:r>
      <w:r>
        <w:rPr>
          <w:sz w:val="24"/>
        </w:rPr>
        <w:t>RQ4 separately compares transfer versus trading-success validation frames.</w:t>
      </w:r>
      <w:r>
        <w:rPr>
          <w:spacing w:val="40"/>
          <w:sz w:val="24"/>
        </w:rPr>
        <w:t> </w:t>
      </w:r>
      <w:r>
        <w:rPr>
          <w:sz w:val="24"/>
        </w:rPr>
        <w:t>GF-PR bounds</w:t>
      </w:r>
      <w:r>
        <w:rPr>
          <w:spacing w:val="-8"/>
          <w:sz w:val="24"/>
        </w:rPr>
        <w:t> </w:t>
      </w:r>
      <w:r>
        <w:rPr>
          <w:sz w:val="24"/>
        </w:rPr>
        <w:t>the</w:t>
      </w:r>
      <w:r>
        <w:rPr>
          <w:spacing w:val="-8"/>
          <w:sz w:val="24"/>
        </w:rPr>
        <w:t> </w:t>
      </w:r>
      <w:r>
        <w:rPr>
          <w:sz w:val="24"/>
        </w:rPr>
        <w:t>maximum</w:t>
      </w:r>
      <w:r>
        <w:rPr>
          <w:spacing w:val="-8"/>
          <w:sz w:val="24"/>
        </w:rPr>
        <w:t> </w:t>
      </w:r>
      <w:r>
        <w:rPr>
          <w:sz w:val="24"/>
        </w:rPr>
        <w:t>trading-outcome</w:t>
      </w:r>
      <w:r>
        <w:rPr>
          <w:spacing w:val="-8"/>
          <w:sz w:val="24"/>
        </w:rPr>
        <w:t> </w:t>
      </w:r>
      <w:r>
        <w:rPr>
          <w:sz w:val="24"/>
        </w:rPr>
        <w:t>proxy</w:t>
      </w:r>
      <w:r>
        <w:rPr>
          <w:spacing w:val="-8"/>
          <w:sz w:val="24"/>
        </w:rPr>
        <w:t> </w:t>
      </w:r>
      <w:r>
        <w:rPr>
          <w:sz w:val="24"/>
        </w:rPr>
        <w:t>alignment</w:t>
      </w:r>
      <w:r>
        <w:rPr>
          <w:spacing w:val="-8"/>
          <w:sz w:val="24"/>
        </w:rPr>
        <w:t> </w:t>
      </w:r>
      <w:r>
        <w:rPr>
          <w:sz w:val="24"/>
        </w:rPr>
        <w:t>achievable</w:t>
      </w:r>
      <w:r>
        <w:rPr>
          <w:spacing w:val="-8"/>
          <w:sz w:val="24"/>
        </w:rPr>
        <w:t> </w:t>
      </w:r>
      <w:r>
        <w:rPr>
          <w:sz w:val="24"/>
        </w:rPr>
        <w:t>when</w:t>
      </w:r>
      <w:r>
        <w:rPr>
          <w:spacing w:val="-8"/>
          <w:sz w:val="24"/>
        </w:rPr>
        <w:t> </w:t>
      </w:r>
      <w:r>
        <w:rPr>
          <w:sz w:val="24"/>
        </w:rPr>
        <w:t>ranking</w:t>
      </w:r>
      <w:r>
        <w:rPr>
          <w:spacing w:val="-8"/>
          <w:sz w:val="24"/>
        </w:rPr>
        <w:t> </w:t>
      </w:r>
      <w:r>
        <w:rPr>
          <w:sz w:val="24"/>
        </w:rPr>
        <w:t>directly</w:t>
      </w:r>
      <w:r>
        <w:rPr>
          <w:spacing w:val="-8"/>
          <w:sz w:val="24"/>
        </w:rPr>
        <w:t> </w:t>
      </w:r>
      <w:r>
        <w:rPr>
          <w:sz w:val="24"/>
        </w:rPr>
        <w:t>on outcome</w:t>
      </w:r>
      <w:r>
        <w:rPr>
          <w:spacing w:val="-14"/>
          <w:sz w:val="24"/>
        </w:rPr>
        <w:t> </w:t>
      </w:r>
      <w:r>
        <w:rPr>
          <w:sz w:val="24"/>
        </w:rPr>
        <w:t>flow,</w:t>
      </w:r>
      <w:r>
        <w:rPr>
          <w:spacing w:val="-13"/>
          <w:sz w:val="24"/>
        </w:rPr>
        <w:t> </w:t>
      </w:r>
      <w:r>
        <w:rPr>
          <w:sz w:val="24"/>
        </w:rPr>
        <w:t>clarifying</w:t>
      </w:r>
      <w:r>
        <w:rPr>
          <w:spacing w:val="-14"/>
          <w:sz w:val="24"/>
        </w:rPr>
        <w:t> </w:t>
      </w:r>
      <w:r>
        <w:rPr>
          <w:sz w:val="24"/>
        </w:rPr>
        <w:t>construct</w:t>
      </w:r>
      <w:r>
        <w:rPr>
          <w:spacing w:val="-14"/>
          <w:sz w:val="24"/>
        </w:rPr>
        <w:t> </w:t>
      </w:r>
      <w:r>
        <w:rPr>
          <w:sz w:val="24"/>
        </w:rPr>
        <w:t>overlap</w:t>
      </w:r>
      <w:r>
        <w:rPr>
          <w:spacing w:val="-14"/>
          <w:sz w:val="24"/>
        </w:rPr>
        <w:t> </w:t>
      </w:r>
      <w:r>
        <w:rPr>
          <w:sz w:val="24"/>
        </w:rPr>
        <w:t>for</w:t>
      </w:r>
      <w:r>
        <w:rPr>
          <w:spacing w:val="-15"/>
          <w:sz w:val="24"/>
        </w:rPr>
        <w:t> </w:t>
      </w:r>
      <w:r>
        <w:rPr>
          <w:sz w:val="24"/>
        </w:rPr>
        <w:t>SRQ1</w:t>
      </w:r>
      <w:r>
        <w:rPr>
          <w:spacing w:val="-15"/>
          <w:sz w:val="24"/>
        </w:rPr>
        <w:t> </w:t>
      </w:r>
      <w:r>
        <w:rPr>
          <w:sz w:val="24"/>
        </w:rPr>
        <w:t>without</w:t>
      </w:r>
      <w:r>
        <w:rPr>
          <w:spacing w:val="-14"/>
          <w:sz w:val="24"/>
        </w:rPr>
        <w:t> </w:t>
      </w:r>
      <w:r>
        <w:rPr>
          <w:sz w:val="24"/>
        </w:rPr>
        <w:t>entering</w:t>
      </w:r>
      <w:r>
        <w:rPr>
          <w:spacing w:val="-15"/>
          <w:sz w:val="24"/>
        </w:rPr>
        <w:t> </w:t>
      </w:r>
      <w:r>
        <w:rPr>
          <w:sz w:val="24"/>
        </w:rPr>
        <w:t>the</w:t>
      </w:r>
      <w:r>
        <w:rPr>
          <w:spacing w:val="-14"/>
          <w:sz w:val="24"/>
        </w:rPr>
        <w:t> </w:t>
      </w:r>
      <w:r>
        <w:rPr>
          <w:sz w:val="24"/>
        </w:rPr>
        <w:t>primary</w:t>
      </w:r>
      <w:r>
        <w:rPr>
          <w:spacing w:val="-15"/>
          <w:sz w:val="24"/>
        </w:rPr>
        <w:t> </w:t>
      </w:r>
      <w:r>
        <w:rPr>
          <w:sz w:val="24"/>
        </w:rPr>
        <w:t>hypothesis </w:t>
      </w:r>
      <w:r>
        <w:rPr>
          <w:spacing w:val="-2"/>
          <w:sz w:val="24"/>
        </w:rPr>
        <w:t>tests.</w:t>
      </w:r>
    </w:p>
    <w:p>
      <w:pPr>
        <w:pStyle w:val="ListParagraph"/>
        <w:numPr>
          <w:ilvl w:val="0"/>
          <w:numId w:val="12"/>
        </w:numPr>
        <w:tabs>
          <w:tab w:pos="806" w:val="left" w:leader="none"/>
          <w:tab w:pos="808" w:val="left" w:leader="none"/>
        </w:tabs>
        <w:spacing w:line="396" w:lineRule="auto" w:before="123" w:after="0"/>
        <w:ind w:left="808" w:right="524" w:hanging="216"/>
        <w:jc w:val="both"/>
        <w:rPr>
          <w:sz w:val="24"/>
        </w:rPr>
      </w:pPr>
      <w:r>
        <w:rPr>
          <w:i/>
        </w:rPr>
        <w:t>GF-PR의 보조 역할: H1 및 H3은 EndorseRank 및 AWP에만 관련됩니다. H2/RQ2는 5개의 프록시 계열에 걸쳐 EndorseRank과 AWP 간의 사회적 방법 정렬을 비교합니다. RQ4는 전송과 거래 성공 검증 프레임을 별도로 비교합니다. GF-PR은 결과 흐름에 직접 순위를 매길 때 달성할 수 있는 최대 거래 결과 프록시 정렬의 경계를 지정하여 기본 가설 테스트에 들어가지 않고도 SRQ1에 대한 구성 중복을 명확히 합니다.</w:t>
      </w:r>
    </w:p>
    <w:p>
      <w:pPr>
        <w:pStyle w:val="ListParagraph"/>
        <w:spacing w:after="0" w:line="396" w:lineRule="auto"/>
        <w:jc w:val="both"/>
        <w:rPr>
          <w:sz w:val="24"/>
        </w:rPr>
        <w:sectPr>
          <w:pgSz w:w="11910" w:h="16840"/>
          <w:pgMar w:header="0" w:footer="2115" w:top="1820" w:bottom="2300" w:left="992" w:right="708"/>
        </w:sectPr>
      </w:pPr>
    </w:p>
    <w:p>
      <w:pPr>
        <w:spacing w:line="240" w:lineRule="auto"/>
        <w:ind w:left="1128" w:right="0" w:firstLine="0"/>
        <w:rPr>
          <w:sz w:val="20"/>
        </w:rPr>
      </w:pPr>
      <w:r>
        <w:rPr>
          <w:sz w:val="20"/>
        </w:rPr>
        <mc:AlternateContent>
          <mc:Choice Requires="wps">
            <w:drawing>
              <wp:inline distT="0" distB="0" distL="0" distR="0">
                <wp:extent cx="4829175" cy="2616835"/>
                <wp:effectExtent l="9525" t="0" r="0" b="2539"/>
                <wp:docPr id="76" name="Group 76"/>
                <wp:cNvGraphicFramePr>
                  <a:graphicFrameLocks/>
                </wp:cNvGraphicFramePr>
                <a:graphic>
                  <a:graphicData uri="http://schemas.microsoft.com/office/word/2010/wordprocessingGroup">
                    <wpg:wgp>
                      <wpg:cNvPr id="76" name="Group 76"/>
                      <wpg:cNvGrpSpPr/>
                      <wpg:grpSpPr>
                        <a:xfrm>
                          <a:off x="0" y="0"/>
                          <a:ext cx="4829175" cy="2616835"/>
                          <a:chExt cx="4829175" cy="2616835"/>
                        </a:xfrm>
                      </wpg:grpSpPr>
                      <wps:wsp>
                        <wps:cNvPr id="77" name="Graphic 77"/>
                        <wps:cNvSpPr/>
                        <wps:spPr>
                          <a:xfrm>
                            <a:off x="2530" y="2530"/>
                            <a:ext cx="4824095" cy="1978025"/>
                          </a:xfrm>
                          <a:custGeom>
                            <a:avLst/>
                            <a:gdLst/>
                            <a:ahLst/>
                            <a:cxnLst/>
                            <a:rect l="l" t="t" r="r" b="b"/>
                            <a:pathLst>
                              <a:path w="4824095" h="1978025">
                                <a:moveTo>
                                  <a:pt x="4251442" y="0"/>
                                </a:moveTo>
                                <a:lnTo>
                                  <a:pt x="572615" y="0"/>
                                </a:lnTo>
                                <a:lnTo>
                                  <a:pt x="552915" y="3977"/>
                                </a:lnTo>
                                <a:lnTo>
                                  <a:pt x="536828" y="14823"/>
                                </a:lnTo>
                                <a:lnTo>
                                  <a:pt x="525981" y="30910"/>
                                </a:lnTo>
                                <a:lnTo>
                                  <a:pt x="522004" y="50610"/>
                                </a:lnTo>
                                <a:lnTo>
                                  <a:pt x="522004" y="309393"/>
                                </a:lnTo>
                                <a:lnTo>
                                  <a:pt x="525981" y="329093"/>
                                </a:lnTo>
                                <a:lnTo>
                                  <a:pt x="536828" y="345180"/>
                                </a:lnTo>
                                <a:lnTo>
                                  <a:pt x="552915" y="356027"/>
                                </a:lnTo>
                                <a:lnTo>
                                  <a:pt x="572615" y="360004"/>
                                </a:lnTo>
                                <a:lnTo>
                                  <a:pt x="4251442" y="360004"/>
                                </a:lnTo>
                                <a:lnTo>
                                  <a:pt x="4271142" y="356027"/>
                                </a:lnTo>
                                <a:lnTo>
                                  <a:pt x="4287229" y="345180"/>
                                </a:lnTo>
                                <a:lnTo>
                                  <a:pt x="4298076" y="329093"/>
                                </a:lnTo>
                                <a:lnTo>
                                  <a:pt x="4302053" y="309393"/>
                                </a:lnTo>
                                <a:lnTo>
                                  <a:pt x="4302053" y="50610"/>
                                </a:lnTo>
                                <a:lnTo>
                                  <a:pt x="4298076" y="30910"/>
                                </a:lnTo>
                                <a:lnTo>
                                  <a:pt x="4287229" y="14823"/>
                                </a:lnTo>
                                <a:lnTo>
                                  <a:pt x="4271142" y="3977"/>
                                </a:lnTo>
                                <a:lnTo>
                                  <a:pt x="4251442" y="0"/>
                                </a:lnTo>
                                <a:close/>
                              </a:path>
                              <a:path w="4824095" h="1978025">
                                <a:moveTo>
                                  <a:pt x="1173402" y="711008"/>
                                </a:moveTo>
                                <a:lnTo>
                                  <a:pt x="50610" y="711008"/>
                                </a:lnTo>
                                <a:lnTo>
                                  <a:pt x="30910" y="714985"/>
                                </a:lnTo>
                                <a:lnTo>
                                  <a:pt x="14823" y="725831"/>
                                </a:lnTo>
                                <a:lnTo>
                                  <a:pt x="3977" y="741918"/>
                                </a:lnTo>
                                <a:lnTo>
                                  <a:pt x="0" y="761619"/>
                                </a:lnTo>
                                <a:lnTo>
                                  <a:pt x="0" y="1038403"/>
                                </a:lnTo>
                                <a:lnTo>
                                  <a:pt x="3977" y="1058103"/>
                                </a:lnTo>
                                <a:lnTo>
                                  <a:pt x="14823" y="1074190"/>
                                </a:lnTo>
                                <a:lnTo>
                                  <a:pt x="30910" y="1085036"/>
                                </a:lnTo>
                                <a:lnTo>
                                  <a:pt x="50610" y="1089013"/>
                                </a:lnTo>
                                <a:lnTo>
                                  <a:pt x="1173402" y="1089013"/>
                                </a:lnTo>
                                <a:lnTo>
                                  <a:pt x="1193102" y="1085036"/>
                                </a:lnTo>
                                <a:lnTo>
                                  <a:pt x="1209189" y="1074190"/>
                                </a:lnTo>
                                <a:lnTo>
                                  <a:pt x="1220036" y="1058103"/>
                                </a:lnTo>
                                <a:lnTo>
                                  <a:pt x="1224013" y="1038403"/>
                                </a:lnTo>
                                <a:lnTo>
                                  <a:pt x="1224013" y="761619"/>
                                </a:lnTo>
                                <a:lnTo>
                                  <a:pt x="1220036" y="741918"/>
                                </a:lnTo>
                                <a:lnTo>
                                  <a:pt x="1209189" y="725831"/>
                                </a:lnTo>
                                <a:lnTo>
                                  <a:pt x="1193102" y="714985"/>
                                </a:lnTo>
                                <a:lnTo>
                                  <a:pt x="1173402" y="711008"/>
                                </a:lnTo>
                                <a:close/>
                              </a:path>
                              <a:path w="4824095" h="1978025">
                                <a:moveTo>
                                  <a:pt x="2973424" y="700317"/>
                                </a:moveTo>
                                <a:lnTo>
                                  <a:pt x="1850633" y="700317"/>
                                </a:lnTo>
                                <a:lnTo>
                                  <a:pt x="1830933" y="704294"/>
                                </a:lnTo>
                                <a:lnTo>
                                  <a:pt x="1814845" y="715140"/>
                                </a:lnTo>
                                <a:lnTo>
                                  <a:pt x="1803999" y="731228"/>
                                </a:lnTo>
                                <a:lnTo>
                                  <a:pt x="1800022" y="750928"/>
                                </a:lnTo>
                                <a:lnTo>
                                  <a:pt x="1800022" y="1049093"/>
                                </a:lnTo>
                                <a:lnTo>
                                  <a:pt x="1803999" y="1068793"/>
                                </a:lnTo>
                                <a:lnTo>
                                  <a:pt x="1814845" y="1084881"/>
                                </a:lnTo>
                                <a:lnTo>
                                  <a:pt x="1830933" y="1095727"/>
                                </a:lnTo>
                                <a:lnTo>
                                  <a:pt x="1850633" y="1099704"/>
                                </a:lnTo>
                                <a:lnTo>
                                  <a:pt x="2973424" y="1099704"/>
                                </a:lnTo>
                                <a:lnTo>
                                  <a:pt x="2993124" y="1095727"/>
                                </a:lnTo>
                                <a:lnTo>
                                  <a:pt x="3009211" y="1084881"/>
                                </a:lnTo>
                                <a:lnTo>
                                  <a:pt x="3020058" y="1068793"/>
                                </a:lnTo>
                                <a:lnTo>
                                  <a:pt x="3024035" y="1049093"/>
                                </a:lnTo>
                                <a:lnTo>
                                  <a:pt x="3024035" y="750928"/>
                                </a:lnTo>
                                <a:lnTo>
                                  <a:pt x="3020058" y="731228"/>
                                </a:lnTo>
                                <a:lnTo>
                                  <a:pt x="3009211" y="715140"/>
                                </a:lnTo>
                                <a:lnTo>
                                  <a:pt x="2993124" y="704294"/>
                                </a:lnTo>
                                <a:lnTo>
                                  <a:pt x="2973424" y="700317"/>
                                </a:lnTo>
                                <a:close/>
                              </a:path>
                              <a:path w="4824095" h="1978025">
                                <a:moveTo>
                                  <a:pt x="4773447" y="700317"/>
                                </a:moveTo>
                                <a:lnTo>
                                  <a:pt x="3650655" y="700317"/>
                                </a:lnTo>
                                <a:lnTo>
                                  <a:pt x="3630955" y="704294"/>
                                </a:lnTo>
                                <a:lnTo>
                                  <a:pt x="3614868" y="715140"/>
                                </a:lnTo>
                                <a:lnTo>
                                  <a:pt x="3604021" y="731228"/>
                                </a:lnTo>
                                <a:lnTo>
                                  <a:pt x="3600044" y="750928"/>
                                </a:lnTo>
                                <a:lnTo>
                                  <a:pt x="3600044" y="1049093"/>
                                </a:lnTo>
                                <a:lnTo>
                                  <a:pt x="3604021" y="1068793"/>
                                </a:lnTo>
                                <a:lnTo>
                                  <a:pt x="3614868" y="1084881"/>
                                </a:lnTo>
                                <a:lnTo>
                                  <a:pt x="3630955" y="1095727"/>
                                </a:lnTo>
                                <a:lnTo>
                                  <a:pt x="3650655" y="1099704"/>
                                </a:lnTo>
                                <a:lnTo>
                                  <a:pt x="4773447" y="1099704"/>
                                </a:lnTo>
                                <a:lnTo>
                                  <a:pt x="4793147" y="1095727"/>
                                </a:lnTo>
                                <a:lnTo>
                                  <a:pt x="4809234" y="1084881"/>
                                </a:lnTo>
                                <a:lnTo>
                                  <a:pt x="4820080" y="1068793"/>
                                </a:lnTo>
                                <a:lnTo>
                                  <a:pt x="4824057" y="1049093"/>
                                </a:lnTo>
                                <a:lnTo>
                                  <a:pt x="4824057" y="750928"/>
                                </a:lnTo>
                                <a:lnTo>
                                  <a:pt x="4820080" y="731228"/>
                                </a:lnTo>
                                <a:lnTo>
                                  <a:pt x="4809234" y="715140"/>
                                </a:lnTo>
                                <a:lnTo>
                                  <a:pt x="4793147" y="704294"/>
                                </a:lnTo>
                                <a:lnTo>
                                  <a:pt x="4773447" y="700317"/>
                                </a:lnTo>
                                <a:close/>
                              </a:path>
                              <a:path w="4824095" h="1978025">
                                <a:moveTo>
                                  <a:pt x="1173402" y="1406287"/>
                                </a:moveTo>
                                <a:lnTo>
                                  <a:pt x="50610" y="1406287"/>
                                </a:lnTo>
                                <a:lnTo>
                                  <a:pt x="30910" y="1410264"/>
                                </a:lnTo>
                                <a:lnTo>
                                  <a:pt x="14823" y="1421110"/>
                                </a:lnTo>
                                <a:lnTo>
                                  <a:pt x="3977" y="1437198"/>
                                </a:lnTo>
                                <a:lnTo>
                                  <a:pt x="0" y="1456898"/>
                                </a:lnTo>
                                <a:lnTo>
                                  <a:pt x="0" y="1927140"/>
                                </a:lnTo>
                                <a:lnTo>
                                  <a:pt x="3977" y="1946841"/>
                                </a:lnTo>
                                <a:lnTo>
                                  <a:pt x="14823" y="1962928"/>
                                </a:lnTo>
                                <a:lnTo>
                                  <a:pt x="30910" y="1973774"/>
                                </a:lnTo>
                                <a:lnTo>
                                  <a:pt x="50610" y="1977751"/>
                                </a:lnTo>
                                <a:lnTo>
                                  <a:pt x="1173402" y="1977751"/>
                                </a:lnTo>
                                <a:lnTo>
                                  <a:pt x="1193102" y="1973774"/>
                                </a:lnTo>
                                <a:lnTo>
                                  <a:pt x="1209189" y="1962928"/>
                                </a:lnTo>
                                <a:lnTo>
                                  <a:pt x="1220036" y="1946841"/>
                                </a:lnTo>
                                <a:lnTo>
                                  <a:pt x="1224013" y="1927140"/>
                                </a:lnTo>
                                <a:lnTo>
                                  <a:pt x="1224013" y="1456898"/>
                                </a:lnTo>
                                <a:lnTo>
                                  <a:pt x="1220036" y="1437198"/>
                                </a:lnTo>
                                <a:lnTo>
                                  <a:pt x="1209189" y="1421110"/>
                                </a:lnTo>
                                <a:lnTo>
                                  <a:pt x="1193102" y="1410264"/>
                                </a:lnTo>
                                <a:lnTo>
                                  <a:pt x="1173402" y="1406287"/>
                                </a:lnTo>
                                <a:close/>
                              </a:path>
                              <a:path w="4824095" h="1978025">
                                <a:moveTo>
                                  <a:pt x="2973424" y="1406287"/>
                                </a:moveTo>
                                <a:lnTo>
                                  <a:pt x="1850633" y="1406287"/>
                                </a:lnTo>
                                <a:lnTo>
                                  <a:pt x="1830933" y="1410264"/>
                                </a:lnTo>
                                <a:lnTo>
                                  <a:pt x="1814845" y="1421110"/>
                                </a:lnTo>
                                <a:lnTo>
                                  <a:pt x="1803999" y="1437198"/>
                                </a:lnTo>
                                <a:lnTo>
                                  <a:pt x="1800022" y="1456898"/>
                                </a:lnTo>
                                <a:lnTo>
                                  <a:pt x="1800022" y="1927140"/>
                                </a:lnTo>
                                <a:lnTo>
                                  <a:pt x="1803999" y="1946841"/>
                                </a:lnTo>
                                <a:lnTo>
                                  <a:pt x="1814845" y="1962928"/>
                                </a:lnTo>
                                <a:lnTo>
                                  <a:pt x="1830933" y="1973774"/>
                                </a:lnTo>
                                <a:lnTo>
                                  <a:pt x="1850633" y="1977751"/>
                                </a:lnTo>
                                <a:lnTo>
                                  <a:pt x="2973424" y="1977751"/>
                                </a:lnTo>
                                <a:lnTo>
                                  <a:pt x="2993124" y="1973774"/>
                                </a:lnTo>
                                <a:lnTo>
                                  <a:pt x="3009211" y="1962928"/>
                                </a:lnTo>
                                <a:lnTo>
                                  <a:pt x="3020058" y="1946841"/>
                                </a:lnTo>
                                <a:lnTo>
                                  <a:pt x="3024035" y="1927140"/>
                                </a:lnTo>
                                <a:lnTo>
                                  <a:pt x="3024035" y="1456898"/>
                                </a:lnTo>
                                <a:lnTo>
                                  <a:pt x="3020058" y="1437198"/>
                                </a:lnTo>
                                <a:lnTo>
                                  <a:pt x="3009211" y="1421110"/>
                                </a:lnTo>
                                <a:lnTo>
                                  <a:pt x="2993124" y="1410264"/>
                                </a:lnTo>
                                <a:lnTo>
                                  <a:pt x="2973424" y="1406287"/>
                                </a:lnTo>
                                <a:close/>
                              </a:path>
                            </a:pathLst>
                          </a:custGeom>
                          <a:ln w="5060">
                            <a:solidFill>
                              <a:srgbClr val="000000"/>
                            </a:solidFill>
                            <a:prstDash val="solid"/>
                          </a:ln>
                        </wps:spPr>
                        <wps:bodyPr wrap="square" lIns="0" tIns="0" rIns="0" bIns="0" rtlCol="0">
                          <a:prstTxWarp prst="textNoShape">
                            <a:avLst/>
                          </a:prstTxWarp>
                          <a:noAutofit/>
                        </wps:bodyPr>
                      </wps:wsp>
                      <wps:wsp>
                        <wps:cNvPr id="78" name="Graphic 78"/>
                        <wps:cNvSpPr/>
                        <wps:spPr>
                          <a:xfrm>
                            <a:off x="1494414" y="2214865"/>
                            <a:ext cx="1840864" cy="399415"/>
                          </a:xfrm>
                          <a:custGeom>
                            <a:avLst/>
                            <a:gdLst/>
                            <a:ahLst/>
                            <a:cxnLst/>
                            <a:rect l="l" t="t" r="r" b="b"/>
                            <a:pathLst>
                              <a:path w="1840864" h="399415">
                                <a:moveTo>
                                  <a:pt x="1789678" y="0"/>
                                </a:moveTo>
                                <a:lnTo>
                                  <a:pt x="50610" y="0"/>
                                </a:lnTo>
                                <a:lnTo>
                                  <a:pt x="30910" y="3977"/>
                                </a:lnTo>
                                <a:lnTo>
                                  <a:pt x="14823" y="14823"/>
                                </a:lnTo>
                                <a:lnTo>
                                  <a:pt x="3977" y="30910"/>
                                </a:lnTo>
                                <a:lnTo>
                                  <a:pt x="0" y="50610"/>
                                </a:lnTo>
                                <a:lnTo>
                                  <a:pt x="0" y="348776"/>
                                </a:lnTo>
                                <a:lnTo>
                                  <a:pt x="3977" y="368476"/>
                                </a:lnTo>
                                <a:lnTo>
                                  <a:pt x="14823" y="384563"/>
                                </a:lnTo>
                                <a:lnTo>
                                  <a:pt x="30910" y="395410"/>
                                </a:lnTo>
                                <a:lnTo>
                                  <a:pt x="50610" y="399387"/>
                                </a:lnTo>
                                <a:lnTo>
                                  <a:pt x="1789678" y="399387"/>
                                </a:lnTo>
                                <a:lnTo>
                                  <a:pt x="1809378" y="395410"/>
                                </a:lnTo>
                                <a:lnTo>
                                  <a:pt x="1825465" y="384563"/>
                                </a:lnTo>
                                <a:lnTo>
                                  <a:pt x="1836311" y="368476"/>
                                </a:lnTo>
                                <a:lnTo>
                                  <a:pt x="1840289" y="348776"/>
                                </a:lnTo>
                                <a:lnTo>
                                  <a:pt x="1840289" y="50610"/>
                                </a:lnTo>
                                <a:lnTo>
                                  <a:pt x="1836311" y="30910"/>
                                </a:lnTo>
                                <a:lnTo>
                                  <a:pt x="1825465" y="14823"/>
                                </a:lnTo>
                                <a:lnTo>
                                  <a:pt x="1809378" y="3977"/>
                                </a:lnTo>
                                <a:lnTo>
                                  <a:pt x="1789678" y="0"/>
                                </a:lnTo>
                                <a:close/>
                              </a:path>
                            </a:pathLst>
                          </a:custGeom>
                          <a:ln w="5060">
                            <a:solidFill>
                              <a:srgbClr val="000000"/>
                            </a:solidFill>
                            <a:prstDash val="dash"/>
                          </a:ln>
                        </wps:spPr>
                        <wps:bodyPr wrap="square" lIns="0" tIns="0" rIns="0" bIns="0" rtlCol="0">
                          <a:prstTxWarp prst="textNoShape">
                            <a:avLst/>
                          </a:prstTxWarp>
                          <a:noAutofit/>
                        </wps:bodyPr>
                      </wps:wsp>
                      <wps:wsp>
                        <wps:cNvPr id="79" name="Graphic 79"/>
                        <wps:cNvSpPr/>
                        <wps:spPr>
                          <a:xfrm>
                            <a:off x="614537" y="365065"/>
                            <a:ext cx="1270" cy="289560"/>
                          </a:xfrm>
                          <a:custGeom>
                            <a:avLst/>
                            <a:gdLst/>
                            <a:ahLst/>
                            <a:cxnLst/>
                            <a:rect l="l" t="t" r="r" b="b"/>
                            <a:pathLst>
                              <a:path w="0" h="289560">
                                <a:moveTo>
                                  <a:pt x="0" y="0"/>
                                </a:moveTo>
                                <a:lnTo>
                                  <a:pt x="0" y="289358"/>
                                </a:lnTo>
                              </a:path>
                            </a:pathLst>
                          </a:custGeom>
                          <a:ln w="10122">
                            <a:solidFill>
                              <a:srgbClr val="000000"/>
                            </a:solidFill>
                            <a:prstDash val="solid"/>
                          </a:ln>
                        </wps:spPr>
                        <wps:bodyPr wrap="square" lIns="0" tIns="0" rIns="0" bIns="0" rtlCol="0">
                          <a:prstTxWarp prst="textNoShape">
                            <a:avLst/>
                          </a:prstTxWarp>
                          <a:noAutofit/>
                        </wps:bodyPr>
                      </wps:wsp>
                      <wps:wsp>
                        <wps:cNvPr id="80" name="Graphic 80"/>
                        <wps:cNvSpPr/>
                        <wps:spPr>
                          <a:xfrm>
                            <a:off x="592155" y="637351"/>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592155" y="637351"/>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2" name="Graphic 82"/>
                        <wps:cNvSpPr/>
                        <wps:spPr>
                          <a:xfrm>
                            <a:off x="2414559" y="365065"/>
                            <a:ext cx="1270" cy="278765"/>
                          </a:xfrm>
                          <a:custGeom>
                            <a:avLst/>
                            <a:gdLst/>
                            <a:ahLst/>
                            <a:cxnLst/>
                            <a:rect l="l" t="t" r="r" b="b"/>
                            <a:pathLst>
                              <a:path w="0"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3" name="Graphic 83"/>
                        <wps:cNvSpPr/>
                        <wps:spPr>
                          <a:xfrm>
                            <a:off x="2392177"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392177"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5" name="Graphic 85"/>
                        <wps:cNvSpPr/>
                        <wps:spPr>
                          <a:xfrm>
                            <a:off x="4214581" y="365065"/>
                            <a:ext cx="1270" cy="278765"/>
                          </a:xfrm>
                          <a:custGeom>
                            <a:avLst/>
                            <a:gdLst/>
                            <a:ahLst/>
                            <a:cxnLst/>
                            <a:rect l="l" t="t" r="r" b="b"/>
                            <a:pathLst>
                              <a:path w="0" h="278765">
                                <a:moveTo>
                                  <a:pt x="0" y="0"/>
                                </a:moveTo>
                                <a:lnTo>
                                  <a:pt x="0" y="278667"/>
                                </a:lnTo>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4192199" y="62666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192199" y="62666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88" name="Graphic 88"/>
                        <wps:cNvSpPr/>
                        <wps:spPr>
                          <a:xfrm>
                            <a:off x="614537" y="1094074"/>
                            <a:ext cx="1270" cy="255904"/>
                          </a:xfrm>
                          <a:custGeom>
                            <a:avLst/>
                            <a:gdLst/>
                            <a:ahLst/>
                            <a:cxnLst/>
                            <a:rect l="l" t="t" r="r" b="b"/>
                            <a:pathLst>
                              <a:path w="0" h="255904">
                                <a:moveTo>
                                  <a:pt x="0" y="0"/>
                                </a:moveTo>
                                <a:lnTo>
                                  <a:pt x="0" y="255628"/>
                                </a:lnTo>
                              </a:path>
                            </a:pathLst>
                          </a:custGeom>
                          <a:ln w="10122">
                            <a:solidFill>
                              <a:srgbClr val="000000"/>
                            </a:solidFill>
                            <a:prstDash val="solid"/>
                          </a:ln>
                        </wps:spPr>
                        <wps:bodyPr wrap="square" lIns="0" tIns="0" rIns="0" bIns="0" rtlCol="0">
                          <a:prstTxWarp prst="textNoShape">
                            <a:avLst/>
                          </a:prstTxWarp>
                          <a:noAutofit/>
                        </wps:bodyPr>
                      </wps:wsp>
                      <wps:wsp>
                        <wps:cNvPr id="89" name="Graphic 89"/>
                        <wps:cNvSpPr/>
                        <wps:spPr>
                          <a:xfrm>
                            <a:off x="592155"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592155"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1" name="Graphic 91"/>
                        <wps:cNvSpPr/>
                        <wps:spPr>
                          <a:xfrm>
                            <a:off x="2414559" y="1104765"/>
                            <a:ext cx="1270" cy="245110"/>
                          </a:xfrm>
                          <a:custGeom>
                            <a:avLst/>
                            <a:gdLst/>
                            <a:ahLst/>
                            <a:cxnLst/>
                            <a:rect l="l" t="t" r="r" b="b"/>
                            <a:pathLst>
                              <a:path w="0"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2" name="Graphic 92"/>
                        <wps:cNvSpPr/>
                        <wps:spPr>
                          <a:xfrm>
                            <a:off x="2392177"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392177"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4214581" y="1104765"/>
                            <a:ext cx="1270" cy="245110"/>
                          </a:xfrm>
                          <a:custGeom>
                            <a:avLst/>
                            <a:gdLst/>
                            <a:ahLst/>
                            <a:cxnLst/>
                            <a:rect l="l" t="t" r="r" b="b"/>
                            <a:pathLst>
                              <a:path w="0" h="245110">
                                <a:moveTo>
                                  <a:pt x="0" y="0"/>
                                </a:moveTo>
                                <a:lnTo>
                                  <a:pt x="0" y="244937"/>
                                </a:lnTo>
                              </a:path>
                            </a:pathLst>
                          </a:custGeom>
                          <a:ln w="10122">
                            <a:solidFill>
                              <a:srgbClr val="000000"/>
                            </a:solidFill>
                            <a:prstDash val="solid"/>
                          </a:ln>
                        </wps:spPr>
                        <wps:bodyPr wrap="square" lIns="0" tIns="0" rIns="0" bIns="0" rtlCol="0">
                          <a:prstTxWarp prst="textNoShape">
                            <a:avLst/>
                          </a:prstTxWarp>
                          <a:noAutofit/>
                        </wps:bodyPr>
                      </wps:wsp>
                      <wps:wsp>
                        <wps:cNvPr id="95" name="Graphic 95"/>
                        <wps:cNvSpPr/>
                        <wps:spPr>
                          <a:xfrm>
                            <a:off x="4192199" y="1332630"/>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192199" y="1332630"/>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97" name="Graphic 97"/>
                        <wps:cNvSpPr/>
                        <wps:spPr>
                          <a:xfrm>
                            <a:off x="2414559" y="1982812"/>
                            <a:ext cx="1270" cy="173355"/>
                          </a:xfrm>
                          <a:custGeom>
                            <a:avLst/>
                            <a:gdLst/>
                            <a:ahLst/>
                            <a:cxnLst/>
                            <a:rect l="l" t="t" r="r" b="b"/>
                            <a:pathLst>
                              <a:path w="0" h="173355">
                                <a:moveTo>
                                  <a:pt x="0" y="0"/>
                                </a:moveTo>
                                <a:lnTo>
                                  <a:pt x="0" y="172937"/>
                                </a:lnTo>
                              </a:path>
                            </a:pathLst>
                          </a:custGeom>
                          <a:ln w="10122">
                            <a:solidFill>
                              <a:srgbClr val="000000"/>
                            </a:solidFill>
                            <a:prstDash val="dash"/>
                          </a:ln>
                        </wps:spPr>
                        <wps:bodyPr wrap="square" lIns="0" tIns="0" rIns="0" bIns="0" rtlCol="0">
                          <a:prstTxWarp prst="textNoShape">
                            <a:avLst/>
                          </a:prstTxWarp>
                          <a:noAutofit/>
                        </wps:bodyPr>
                      </wps:wsp>
                      <wps:wsp>
                        <wps:cNvPr id="98" name="Graphic 98"/>
                        <wps:cNvSpPr/>
                        <wps:spPr>
                          <a:xfrm>
                            <a:off x="2392177" y="2138677"/>
                            <a:ext cx="45085" cy="59690"/>
                          </a:xfrm>
                          <a:custGeom>
                            <a:avLst/>
                            <a:gdLst/>
                            <a:ahLst/>
                            <a:cxnLst/>
                            <a:rect l="l" t="t" r="r" b="b"/>
                            <a:pathLst>
                              <a:path w="45085" h="59690">
                                <a:moveTo>
                                  <a:pt x="44764" y="0"/>
                                </a:moveTo>
                                <a:lnTo>
                                  <a:pt x="22382" y="19602"/>
                                </a:lnTo>
                                <a:lnTo>
                                  <a:pt x="0" y="0"/>
                                </a:lnTo>
                                <a:lnTo>
                                  <a:pt x="22382" y="59242"/>
                                </a:lnTo>
                                <a:lnTo>
                                  <a:pt x="4476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2392177" y="2138677"/>
                            <a:ext cx="45085" cy="59690"/>
                          </a:xfrm>
                          <a:custGeom>
                            <a:avLst/>
                            <a:gdLst/>
                            <a:ahLst/>
                            <a:cxnLst/>
                            <a:rect l="l" t="t" r="r" b="b"/>
                            <a:pathLst>
                              <a:path w="45085" h="59690">
                                <a:moveTo>
                                  <a:pt x="22382" y="59242"/>
                                </a:moveTo>
                                <a:lnTo>
                                  <a:pt x="44764" y="0"/>
                                </a:lnTo>
                                <a:lnTo>
                                  <a:pt x="22382" y="19602"/>
                                </a:lnTo>
                                <a:lnTo>
                                  <a:pt x="0" y="0"/>
                                </a:lnTo>
                                <a:lnTo>
                                  <a:pt x="22382" y="59242"/>
                                </a:lnTo>
                                <a:close/>
                              </a:path>
                            </a:pathLst>
                          </a:custGeom>
                          <a:ln w="10122">
                            <a:solidFill>
                              <a:srgbClr val="000000"/>
                            </a:solidFill>
                            <a:prstDash val="solid"/>
                          </a:ln>
                        </wps:spPr>
                        <wps:bodyPr wrap="square" lIns="0" tIns="0" rIns="0" bIns="0" rtlCol="0">
                          <a:prstTxWarp prst="textNoShape">
                            <a:avLst/>
                          </a:prstTxWarp>
                          <a:noAutofit/>
                        </wps:bodyPr>
                      </wps:wsp>
                      <wps:wsp>
                        <wps:cNvPr id="100" name="Textbox 100"/>
                        <wps:cNvSpPr txBox="1"/>
                        <wps:spPr>
                          <a:xfrm>
                            <a:off x="310550" y="740093"/>
                            <a:ext cx="621030" cy="325755"/>
                          </a:xfrm>
                          <a:prstGeom prst="rect">
                            <a:avLst/>
                          </a:prstGeom>
                        </wps:spPr>
                        <wps:txbx>
                          <w:txbxContent>
                            <w:p>
                              <w:pPr>
                                <w:spacing w:line="256" w:lineRule="auto" w:before="0"/>
                                <w:ind w:left="78" w:right="13" w:hanging="79"/>
                                <w:jc w:val="left"/>
                                <w:rPr>
                                  <w:sz w:val="22"/>
                                </w:rPr>
                              </w:pPr>
                              <w:bookmarkStart w:name="_bookmark36" w:id="65"/>
                              <w:bookmarkEnd w:id="65"/>
                              <w:r>
                                <w:rPr/>
                              </w:r>
                              <w:r>
                                <w:rPr>
                                  <w:spacing w:val="-2"/>
                                  <w:sz w:val="22"/>
                                </w:rPr>
                                <w:t>Reputation Structure</w:t>
                              </w:r>
                            </w:p>
                          </w:txbxContent>
                        </wps:txbx>
                        <wps:bodyPr wrap="square" lIns="0" tIns="0" rIns="0" bIns="0" rtlCol="0">
                          <a:noAutofit/>
                        </wps:bodyPr>
                      </wps:wsp>
                      <wps:wsp>
                        <wps:cNvPr id="101" name="Textbox 101"/>
                        <wps:cNvSpPr txBox="1"/>
                        <wps:spPr>
                          <a:xfrm>
                            <a:off x="2010559" y="1432167"/>
                            <a:ext cx="821055" cy="497840"/>
                          </a:xfrm>
                          <a:prstGeom prst="rect">
                            <a:avLst/>
                          </a:prstGeom>
                        </wps:spPr>
                        <wps:txbx>
                          <w:txbxContent>
                            <w:p>
                              <w:pPr>
                                <w:spacing w:line="242" w:lineRule="exact" w:before="0"/>
                                <w:ind w:left="0" w:right="18" w:firstLine="0"/>
                                <w:jc w:val="center"/>
                                <w:rPr>
                                  <w:sz w:val="22"/>
                                </w:rPr>
                              </w:pPr>
                              <w:r>
                                <w:rPr>
                                  <w:sz w:val="22"/>
                                </w:rPr>
                                <w:t>H2</w:t>
                              </w:r>
                              <w:r>
                                <w:rPr>
                                  <w:spacing w:val="-3"/>
                                  <w:sz w:val="22"/>
                                </w:rPr>
                                <w:t> </w:t>
                              </w:r>
                              <w:r>
                                <w:rPr>
                                  <w:sz w:val="22"/>
                                </w:rPr>
                                <w:t>/</w:t>
                              </w:r>
                              <w:r>
                                <w:rPr>
                                  <w:spacing w:val="-3"/>
                                  <w:sz w:val="22"/>
                                </w:rPr>
                                <w:t> </w:t>
                              </w:r>
                              <w:r>
                                <w:rPr>
                                  <w:spacing w:val="-5"/>
                                  <w:sz w:val="22"/>
                                </w:rPr>
                                <w:t>RQ2</w:t>
                              </w:r>
                            </w:p>
                            <w:p>
                              <w:pPr>
                                <w:spacing w:line="256" w:lineRule="auto" w:before="0"/>
                                <w:ind w:left="0" w:right="18" w:firstLine="0"/>
                                <w:jc w:val="center"/>
                                <w:rPr>
                                  <w:sz w:val="22"/>
                                </w:rPr>
                              </w:pPr>
                              <w:r>
                                <w:rPr>
                                  <w:spacing w:val="-2"/>
                                  <w:sz w:val="22"/>
                                </w:rPr>
                                <w:t>Social-</w:t>
                              </w:r>
                              <w:r>
                                <w:rPr>
                                  <w:spacing w:val="-2"/>
                                  <w:sz w:val="22"/>
                                </w:rPr>
                                <w:t>method alignment</w:t>
                              </w:r>
                            </w:p>
                          </w:txbxContent>
                        </wps:txbx>
                        <wps:bodyPr wrap="square" lIns="0" tIns="0" rIns="0" bIns="0" rtlCol="0">
                          <a:noAutofit/>
                        </wps:bodyPr>
                      </wps:wsp>
                      <wps:wsp>
                        <wps:cNvPr id="102" name="Textbox 102"/>
                        <wps:cNvSpPr txBox="1"/>
                        <wps:spPr>
                          <a:xfrm>
                            <a:off x="1545015" y="2238211"/>
                            <a:ext cx="1752600" cy="325755"/>
                          </a:xfrm>
                          <a:prstGeom prst="rect">
                            <a:avLst/>
                          </a:prstGeom>
                        </wps:spPr>
                        <wps:txbx>
                          <w:txbxContent>
                            <w:p>
                              <w:pPr>
                                <w:spacing w:line="256" w:lineRule="auto" w:before="0"/>
                                <w:ind w:left="0" w:right="18" w:firstLine="333"/>
                                <w:jc w:val="left"/>
                                <w:rPr>
                                  <w:sz w:val="22"/>
                                </w:rPr>
                              </w:pPr>
                              <w:r>
                                <w:rPr>
                                  <w:sz w:val="22"/>
                                </w:rPr>
                                <w:t>Supplementary: GF-PR </w:t>
                              </w:r>
                              <w:r>
                                <w:rPr>
                                  <w:spacing w:val="-2"/>
                                  <w:sz w:val="22"/>
                                </w:rPr>
                                <w:t>outcome-native</w:t>
                              </w:r>
                              <w:r>
                                <w:rPr>
                                  <w:spacing w:val="-3"/>
                                  <w:sz w:val="22"/>
                                </w:rPr>
                                <w:t> </w:t>
                              </w:r>
                              <w:r>
                                <w:rPr>
                                  <w:spacing w:val="-2"/>
                                  <w:sz w:val="22"/>
                                </w:rPr>
                                <w:t>ceiling</w:t>
                              </w:r>
                              <w:r>
                                <w:rPr>
                                  <w:spacing w:val="-3"/>
                                  <w:sz w:val="22"/>
                                </w:rPr>
                                <w:t> </w:t>
                              </w:r>
                              <w:r>
                                <w:rPr>
                                  <w:spacing w:val="-2"/>
                                  <w:sz w:val="22"/>
                                </w:rPr>
                                <w:t>(SRQ1)</w:t>
                              </w:r>
                            </w:p>
                          </w:txbxContent>
                        </wps:txbx>
                        <wps:bodyPr wrap="square" lIns="0" tIns="0" rIns="0" bIns="0" rtlCol="0">
                          <a:noAutofit/>
                        </wps:bodyPr>
                      </wps:wsp>
                      <wps:wsp>
                        <wps:cNvPr id="103" name="Textbox 103"/>
                        <wps:cNvSpPr txBox="1"/>
                        <wps:spPr>
                          <a:xfrm>
                            <a:off x="524535" y="2530"/>
                            <a:ext cx="3780154" cy="360045"/>
                          </a:xfrm>
                          <a:prstGeom prst="rect">
                            <a:avLst/>
                          </a:prstGeom>
                        </wps:spPr>
                        <wps:txbx>
                          <w:txbxContent>
                            <w:p>
                              <w:pPr>
                                <w:spacing w:before="130"/>
                                <w:ind w:left="1049" w:right="0" w:firstLine="0"/>
                                <w:jc w:val="left"/>
                                <w:rPr>
                                  <w:sz w:val="22"/>
                                </w:rPr>
                              </w:pPr>
                              <w:r>
                                <w:rPr>
                                  <w:sz w:val="22"/>
                                </w:rPr>
                                <w:t>Primary</w:t>
                              </w:r>
                              <w:r>
                                <w:rPr>
                                  <w:spacing w:val="-9"/>
                                  <w:sz w:val="22"/>
                                </w:rPr>
                                <w:t> </w:t>
                              </w:r>
                              <w:r>
                                <w:rPr>
                                  <w:sz w:val="22"/>
                                </w:rPr>
                                <w:t>comparison:</w:t>
                              </w:r>
                              <w:r>
                                <w:rPr>
                                  <w:spacing w:val="7"/>
                                  <w:sz w:val="22"/>
                                </w:rPr>
                                <w:t> </w:t>
                              </w:r>
                              <w:r>
                                <w:rPr>
                                  <w:sz w:val="22"/>
                                </w:rPr>
                                <w:t>EndorseRank</w:t>
                              </w:r>
                              <w:r>
                                <w:rPr>
                                  <w:spacing w:val="-9"/>
                                  <w:sz w:val="22"/>
                                </w:rPr>
                                <w:t> </w:t>
                              </w:r>
                              <w:r>
                                <w:rPr>
                                  <w:sz w:val="22"/>
                                </w:rPr>
                                <w:t>vs</w:t>
                              </w:r>
                              <w:r>
                                <w:rPr>
                                  <w:spacing w:val="-8"/>
                                  <w:sz w:val="22"/>
                                </w:rPr>
                                <w:t> </w:t>
                              </w:r>
                              <w:r>
                                <w:rPr>
                                  <w:spacing w:val="-5"/>
                                  <w:sz w:val="22"/>
                                </w:rPr>
                                <w:t>AWP</w:t>
                              </w:r>
                            </w:p>
                          </w:txbxContent>
                        </wps:txbx>
                        <wps:bodyPr wrap="square" lIns="0" tIns="0" rIns="0" bIns="0" rtlCol="0">
                          <a:noAutofit/>
                        </wps:bodyPr>
                      </wps:wsp>
                      <wps:wsp>
                        <wps:cNvPr id="104" name="Textbox 104"/>
                        <wps:cNvSpPr txBox="1"/>
                        <wps:spPr>
                          <a:xfrm>
                            <a:off x="5060" y="1423641"/>
                            <a:ext cx="1219200" cy="553720"/>
                          </a:xfrm>
                          <a:prstGeom prst="rect">
                            <a:avLst/>
                          </a:prstGeom>
                        </wps:spPr>
                        <wps:txbx>
                          <w:txbxContent>
                            <w:p>
                              <w:pPr>
                                <w:spacing w:before="2"/>
                                <w:ind w:left="1" w:right="1" w:firstLine="0"/>
                                <w:jc w:val="center"/>
                                <w:rPr>
                                  <w:sz w:val="22"/>
                                </w:rPr>
                              </w:pPr>
                              <w:r>
                                <w:rPr>
                                  <w:sz w:val="22"/>
                                </w:rPr>
                                <w:t>H1</w:t>
                              </w:r>
                              <w:r>
                                <w:rPr>
                                  <w:spacing w:val="-3"/>
                                  <w:sz w:val="22"/>
                                </w:rPr>
                                <w:t> </w:t>
                              </w:r>
                              <w:r>
                                <w:rPr>
                                  <w:sz w:val="22"/>
                                </w:rPr>
                                <w:t>/</w:t>
                              </w:r>
                              <w:r>
                                <w:rPr>
                                  <w:spacing w:val="-3"/>
                                  <w:sz w:val="22"/>
                                </w:rPr>
                                <w:t> </w:t>
                              </w:r>
                              <w:r>
                                <w:rPr>
                                  <w:spacing w:val="-5"/>
                                  <w:sz w:val="22"/>
                                </w:rPr>
                                <w:t>RQ1</w:t>
                              </w:r>
                            </w:p>
                            <w:p>
                              <w:pPr>
                                <w:spacing w:line="256" w:lineRule="auto" w:before="18"/>
                                <w:ind w:left="1" w:right="0" w:firstLine="0"/>
                                <w:jc w:val="center"/>
                                <w:rPr>
                                  <w:sz w:val="22"/>
                                </w:rPr>
                              </w:pPr>
                              <w:r>
                                <w:rPr>
                                  <w:spacing w:val="-4"/>
                                  <w:sz w:val="22"/>
                                </w:rPr>
                                <w:t>EndorseRank–AWP </w:t>
                              </w:r>
                              <w:r>
                                <w:rPr>
                                  <w:spacing w:val="-2"/>
                                  <w:sz w:val="22"/>
                                </w:rPr>
                                <w:t>divergence</w:t>
                              </w:r>
                            </w:p>
                          </w:txbxContent>
                        </wps:txbx>
                        <wps:bodyPr wrap="square" lIns="0" tIns="0" rIns="0" bIns="0" rtlCol="0">
                          <a:noAutofit/>
                        </wps:bodyPr>
                      </wps:wsp>
                      <wps:wsp>
                        <wps:cNvPr id="105" name="Textbox 105"/>
                        <wps:cNvSpPr txBox="1"/>
                        <wps:spPr>
                          <a:xfrm>
                            <a:off x="3602575" y="1408817"/>
                            <a:ext cx="1224280" cy="571500"/>
                          </a:xfrm>
                          <a:prstGeom prst="rect">
                            <a:avLst/>
                          </a:prstGeom>
                          <a:ln w="5060">
                            <a:solidFill>
                              <a:srgbClr val="000000"/>
                            </a:solidFill>
                            <a:prstDash val="solid"/>
                          </a:ln>
                        </wps:spPr>
                        <wps:txbx>
                          <w:txbxContent>
                            <w:p>
                              <w:pPr>
                                <w:spacing w:before="22"/>
                                <w:ind w:left="2" w:right="2" w:firstLine="0"/>
                                <w:jc w:val="center"/>
                                <w:rPr>
                                  <w:sz w:val="22"/>
                                </w:rPr>
                              </w:pPr>
                              <w:r>
                                <w:rPr>
                                  <w:sz w:val="22"/>
                                </w:rPr>
                                <w:t>H3</w:t>
                              </w:r>
                              <w:r>
                                <w:rPr>
                                  <w:spacing w:val="-3"/>
                                  <w:sz w:val="22"/>
                                </w:rPr>
                                <w:t> </w:t>
                              </w:r>
                              <w:r>
                                <w:rPr>
                                  <w:sz w:val="22"/>
                                </w:rPr>
                                <w:t>/</w:t>
                              </w:r>
                              <w:r>
                                <w:rPr>
                                  <w:spacing w:val="-3"/>
                                  <w:sz w:val="22"/>
                                </w:rPr>
                                <w:t> </w:t>
                              </w:r>
                              <w:r>
                                <w:rPr>
                                  <w:spacing w:val="-5"/>
                                  <w:sz w:val="22"/>
                                </w:rPr>
                                <w:t>RQ3</w:t>
                              </w:r>
                            </w:p>
                            <w:p>
                              <w:pPr>
                                <w:spacing w:line="256" w:lineRule="auto" w:before="18"/>
                                <w:ind w:left="2" w:right="0" w:firstLine="0"/>
                                <w:jc w:val="center"/>
                                <w:rPr>
                                  <w:sz w:val="22"/>
                                </w:rPr>
                              </w:pPr>
                              <w:r>
                                <w:rPr>
                                  <w:spacing w:val="-2"/>
                                  <w:sz w:val="22"/>
                                </w:rPr>
                                <w:t>EndorseRank efficiency</w:t>
                              </w:r>
                            </w:p>
                          </w:txbxContent>
                        </wps:txbx>
                        <wps:bodyPr wrap="square" lIns="0" tIns="0" rIns="0" bIns="0" rtlCol="0">
                          <a:noAutofit/>
                        </wps:bodyPr>
                      </wps:wsp>
                      <wps:wsp>
                        <wps:cNvPr id="106" name="Textbox 106"/>
                        <wps:cNvSpPr txBox="1"/>
                        <wps:spPr>
                          <a:xfrm>
                            <a:off x="3605105" y="717671"/>
                            <a:ext cx="1219200" cy="381635"/>
                          </a:xfrm>
                          <a:prstGeom prst="rect">
                            <a:avLst/>
                          </a:prstGeom>
                        </wps:spPr>
                        <wps:txbx>
                          <w:txbxContent>
                            <w:p>
                              <w:pPr>
                                <w:spacing w:line="256" w:lineRule="auto" w:before="2"/>
                                <w:ind w:left="507" w:right="0" w:hanging="197"/>
                                <w:jc w:val="left"/>
                                <w:rPr>
                                  <w:sz w:val="22"/>
                                </w:rPr>
                              </w:pPr>
                              <w:r>
                                <w:rPr>
                                  <w:spacing w:val="-2"/>
                                  <w:sz w:val="22"/>
                                </w:rPr>
                                <w:t>Computational Efficiency</w:t>
                              </w:r>
                            </w:p>
                          </w:txbxContent>
                        </wps:txbx>
                        <wps:bodyPr wrap="square" lIns="0" tIns="0" rIns="0" bIns="0" rtlCol="0">
                          <a:noAutofit/>
                        </wps:bodyPr>
                      </wps:wsp>
                      <wps:wsp>
                        <wps:cNvPr id="107" name="Textbox 107"/>
                        <wps:cNvSpPr txBox="1"/>
                        <wps:spPr>
                          <a:xfrm>
                            <a:off x="1805083" y="717671"/>
                            <a:ext cx="1219200" cy="381635"/>
                          </a:xfrm>
                          <a:prstGeom prst="rect">
                            <a:avLst/>
                          </a:prstGeom>
                        </wps:spPr>
                        <wps:txbx>
                          <w:txbxContent>
                            <w:p>
                              <w:pPr>
                                <w:spacing w:line="256" w:lineRule="auto" w:before="2"/>
                                <w:ind w:left="493" w:right="0" w:hanging="248"/>
                                <w:jc w:val="left"/>
                                <w:rPr>
                                  <w:sz w:val="22"/>
                                </w:rPr>
                              </w:pPr>
                              <w:r>
                                <w:rPr>
                                  <w:spacing w:val="-2"/>
                                  <w:sz w:val="22"/>
                                </w:rPr>
                                <w:t>Trading</w:t>
                              </w:r>
                              <w:r>
                                <w:rPr>
                                  <w:spacing w:val="-12"/>
                                  <w:sz w:val="22"/>
                                </w:rPr>
                                <w:t> </w:t>
                              </w:r>
                              <w:r>
                                <w:rPr>
                                  <w:spacing w:val="-2"/>
                                  <w:sz w:val="22"/>
                                </w:rPr>
                                <w:t>Success Alignment</w:t>
                              </w:r>
                            </w:p>
                          </w:txbxContent>
                        </wps:txbx>
                        <wps:bodyPr wrap="square" lIns="0" tIns="0" rIns="0" bIns="0" rtlCol="0">
                          <a:noAutofit/>
                        </wps:bodyPr>
                      </wps:wsp>
                    </wpg:wgp>
                  </a:graphicData>
                </a:graphic>
              </wp:inline>
            </w:drawing>
          </mc:Choice>
          <mc:Fallback>
            <w:pict>
              <v:group style="width:380.25pt;height:206.05pt;mso-position-horizontal-relative:char;mso-position-vertical-relative:line" id="docshapegroup58" coordorigin="0,0" coordsize="7605,4121">
                <v:shape style="position:absolute;left:3;top:3;width:7597;height:3115" id="docshape59" coordorigin="4,4" coordsize="7597,3115" path="m6699,4l906,4,875,10,849,27,832,53,826,84,826,491,832,522,849,548,875,565,906,571,6699,571,6730,565,6756,548,6773,522,6779,491,6779,84,6773,53,6756,27,6730,10,6699,4xm1852,1124l84,1124,53,1130,27,1147,10,1172,4,1203,4,1639,10,1670,27,1696,53,1713,84,1719,1852,1719,1883,1713,1908,1696,1925,1670,1932,1639,1932,1203,1925,1172,1908,1147,1883,1130,1852,1124xm4687,1107l2918,1107,2887,1113,2862,1130,2845,1156,2839,1187,2839,1656,2845,1687,2862,1712,2887,1730,2918,1736,4687,1736,4718,1730,4743,1712,4760,1687,4766,1656,4766,1187,4760,1156,4743,1130,4718,1113,4687,1107xm7521,1107l5753,1107,5722,1113,5697,1130,5680,1156,5673,1187,5673,1656,5680,1687,5697,1712,5722,1730,5753,1736,7521,1736,7552,1730,7578,1712,7595,1687,7601,1656,7601,1187,7595,1156,7578,1130,7552,1113,7521,1107xm1852,2219l84,2219,53,2225,27,2242,10,2267,4,2298,4,3039,10,3070,27,3095,53,3112,84,3119,1852,3119,1883,3112,1908,3095,1925,3070,1932,3039,1932,2298,1925,2267,1908,2242,1883,2225,1852,2219xm4687,2219l2918,2219,2887,2225,2862,2242,2845,2267,2839,2298,2839,3039,2845,3070,2862,3095,2887,3112,2918,3119,4687,3119,4718,3112,4743,3095,4760,3070,4766,3039,4766,2298,4760,2267,4743,2242,4718,2225,4687,2219xe" filled="false" stroked="true" strokeweight=".3985pt" strokecolor="#000000">
                  <v:path arrowok="t"/>
                  <v:stroke dashstyle="solid"/>
                </v:shape>
                <v:shape style="position:absolute;left:2353;top:3487;width:2899;height:629" id="docshape60" coordorigin="2353,3488" coordsize="2899,629" path="m5172,3488l2433,3488,2402,3494,2377,3511,2360,3537,2353,3568,2353,4037,2360,4068,2377,4094,2402,4111,2433,4117,5172,4117,5203,4111,5228,4094,5245,4068,5252,4037,5252,3568,5245,3537,5228,3511,5203,3494,5172,3488xe" filled="false" stroked="true" strokeweight=".3985pt" strokecolor="#000000">
                  <v:path arrowok="t"/>
                  <v:stroke dashstyle="dash"/>
                </v:shape>
                <v:line style="position:absolute" from="968,575" to="968,1031" stroked="true" strokeweight=".79701pt" strokecolor="#000000">
                  <v:stroke dashstyle="solid"/>
                </v:line>
                <v:shape style="position:absolute;left:932;top:1003;width:71;height:94" id="docshape61" coordorigin="933,1004" coordsize="71,94" path="m1003,1004l968,1035,933,1004,968,1097,1003,1004xe" filled="true" fillcolor="#000000" stroked="false">
                  <v:path arrowok="t"/>
                  <v:fill type="solid"/>
                </v:shape>
                <v:shape style="position:absolute;left:932;top:1003;width:71;height:94" id="docshape62" coordorigin="933,1004" coordsize="71,94" path="m968,1097l1003,1004,968,1035,933,1004,968,1097xe" filled="false" stroked="true" strokeweight=".79701pt" strokecolor="#000000">
                  <v:path arrowok="t"/>
                  <v:stroke dashstyle="solid"/>
                </v:shape>
                <v:line style="position:absolute" from="3802,575" to="3802,1014" stroked="true" strokeweight=".79701pt" strokecolor="#000000">
                  <v:stroke dashstyle="solid"/>
                </v:line>
                <v:shape style="position:absolute;left:3767;top:986;width:71;height:94" id="docshape63" coordorigin="3767,987" coordsize="71,94" path="m3838,987l3802,1018,3767,987,3802,1080,3838,987xe" filled="true" fillcolor="#000000" stroked="false">
                  <v:path arrowok="t"/>
                  <v:fill type="solid"/>
                </v:shape>
                <v:shape style="position:absolute;left:3767;top:986;width:71;height:94" id="docshape64" coordorigin="3767,987" coordsize="71,94" path="m3802,1080l3838,987,3802,1018,3767,987,3802,1080xe" filled="false" stroked="true" strokeweight=".79701pt" strokecolor="#000000">
                  <v:path arrowok="t"/>
                  <v:stroke dashstyle="solid"/>
                </v:shape>
                <v:line style="position:absolute" from="6637,575" to="6637,1014" stroked="true" strokeweight=".79701pt" strokecolor="#000000">
                  <v:stroke dashstyle="solid"/>
                </v:line>
                <v:shape style="position:absolute;left:6601;top:986;width:71;height:94" id="docshape65" coordorigin="6602,987" coordsize="71,94" path="m6672,987l6637,1018,6602,987,6637,1080,6672,987xe" filled="true" fillcolor="#000000" stroked="false">
                  <v:path arrowok="t"/>
                  <v:fill type="solid"/>
                </v:shape>
                <v:shape style="position:absolute;left:6601;top:986;width:71;height:94" id="docshape66" coordorigin="6602,987" coordsize="71,94" path="m6637,1080l6672,987,6637,1018,6602,987,6637,1080xe" filled="false" stroked="true" strokeweight=".79701pt" strokecolor="#000000">
                  <v:path arrowok="t"/>
                  <v:stroke dashstyle="solid"/>
                </v:shape>
                <v:line style="position:absolute" from="968,1723" to="968,2126" stroked="true" strokeweight=".79701pt" strokecolor="#000000">
                  <v:stroke dashstyle="solid"/>
                </v:line>
                <v:shape style="position:absolute;left:932;top:2098;width:71;height:94" id="docshape67" coordorigin="933,2099" coordsize="71,94" path="m1003,2099l968,2130,933,2099,968,2192,1003,2099xe" filled="true" fillcolor="#000000" stroked="false">
                  <v:path arrowok="t"/>
                  <v:fill type="solid"/>
                </v:shape>
                <v:shape style="position:absolute;left:932;top:2098;width:71;height:94" id="docshape68" coordorigin="933,2099" coordsize="71,94" path="m968,2192l1003,2099,968,2130,933,2099,968,2192xe" filled="false" stroked="true" strokeweight=".79701pt" strokecolor="#000000">
                  <v:path arrowok="t"/>
                  <v:stroke dashstyle="solid"/>
                </v:shape>
                <v:line style="position:absolute" from="3802,1740" to="3802,2126" stroked="true" strokeweight=".79701pt" strokecolor="#000000">
                  <v:stroke dashstyle="solid"/>
                </v:line>
                <v:shape style="position:absolute;left:3767;top:2098;width:71;height:94" id="docshape69" coordorigin="3767,2099" coordsize="71,94" path="m3838,2099l3802,2130,3767,2099,3802,2192,3838,2099xe" filled="true" fillcolor="#000000" stroked="false">
                  <v:path arrowok="t"/>
                  <v:fill type="solid"/>
                </v:shape>
                <v:shape style="position:absolute;left:3767;top:2098;width:71;height:94" id="docshape70" coordorigin="3767,2099" coordsize="71,94" path="m3802,2192l3838,2099,3802,2130,3767,2099,3802,2192xe" filled="false" stroked="true" strokeweight=".79701pt" strokecolor="#000000">
                  <v:path arrowok="t"/>
                  <v:stroke dashstyle="solid"/>
                </v:shape>
                <v:line style="position:absolute" from="6637,1740" to="6637,2126" stroked="true" strokeweight=".79701pt" strokecolor="#000000">
                  <v:stroke dashstyle="solid"/>
                </v:line>
                <v:shape style="position:absolute;left:6601;top:2098;width:71;height:94" id="docshape71" coordorigin="6602,2099" coordsize="71,94" path="m6672,2099l6637,2130,6602,2099,6637,2192,6672,2099xe" filled="true" fillcolor="#000000" stroked="false">
                  <v:path arrowok="t"/>
                  <v:fill type="solid"/>
                </v:shape>
                <v:shape style="position:absolute;left:6601;top:2098;width:71;height:94" id="docshape72" coordorigin="6602,2099" coordsize="71,94" path="m6637,2192l6672,2099,6637,2130,6602,2099,6637,2192xe" filled="false" stroked="true" strokeweight=".79701pt" strokecolor="#000000">
                  <v:path arrowok="t"/>
                  <v:stroke dashstyle="solid"/>
                </v:shape>
                <v:line style="position:absolute" from="3802,3123" to="3802,3395" stroked="true" strokeweight=".79701pt" strokecolor="#000000">
                  <v:stroke dashstyle="dash"/>
                </v:line>
                <v:shape style="position:absolute;left:3767;top:3368;width:71;height:94" id="docshape73" coordorigin="3767,3368" coordsize="71,94" path="m3838,3368l3802,3399,3767,3368,3802,3461,3838,3368xe" filled="true" fillcolor="#000000" stroked="false">
                  <v:path arrowok="t"/>
                  <v:fill type="solid"/>
                </v:shape>
                <v:shape style="position:absolute;left:3767;top:3368;width:71;height:94" id="docshape74" coordorigin="3767,3368" coordsize="71,94" path="m3802,3461l3838,3368,3802,3399,3767,3368,3802,3461xe" filled="false" stroked="true" strokeweight=".79701pt" strokecolor="#000000">
                  <v:path arrowok="t"/>
                  <v:stroke dashstyle="solid"/>
                </v:shape>
                <v:shape style="position:absolute;left:489;top:1165;width:978;height:513" type="#_x0000_t202" id="docshape75" filled="false" stroked="false">
                  <v:textbox inset="0,0,0,0">
                    <w:txbxContent>
                      <w:p>
                        <w:pPr>
                          <w:spacing w:line="256" w:lineRule="auto" w:before="0"/>
                          <w:ind w:left="78" w:right="13" w:hanging="79"/>
                          <w:jc w:val="left"/>
                          <w:rPr>
                            <w:sz w:val="22"/>
                          </w:rPr>
                        </w:pPr>
                        <w:bookmarkStart w:name="_bookmark36" w:id="66"/>
                        <w:bookmarkEnd w:id="66"/>
                        <w:r>
                          <w:rPr/>
                        </w:r>
                        <w:r>
                          <w:rPr>
                            <w:spacing w:val="-2"/>
                            <w:sz w:val="22"/>
                          </w:rPr>
                          <w:t>Reputation Structure</w:t>
                        </w:r>
                      </w:p>
                    </w:txbxContent>
                  </v:textbox>
                  <w10:wrap type="none"/>
                </v:shape>
                <v:shape style="position:absolute;left:3166;top:2255;width:1293;height:784" type="#_x0000_t202" id="docshape76" filled="false" stroked="false">
                  <v:textbox inset="0,0,0,0">
                    <w:txbxContent>
                      <w:p>
                        <w:pPr>
                          <w:spacing w:line="242" w:lineRule="exact" w:before="0"/>
                          <w:ind w:left="0" w:right="18" w:firstLine="0"/>
                          <w:jc w:val="center"/>
                          <w:rPr>
                            <w:sz w:val="22"/>
                          </w:rPr>
                        </w:pPr>
                        <w:r>
                          <w:rPr>
                            <w:sz w:val="22"/>
                          </w:rPr>
                          <w:t>H2</w:t>
                        </w:r>
                        <w:r>
                          <w:rPr>
                            <w:spacing w:val="-3"/>
                            <w:sz w:val="22"/>
                          </w:rPr>
                          <w:t> </w:t>
                        </w:r>
                        <w:r>
                          <w:rPr>
                            <w:sz w:val="22"/>
                          </w:rPr>
                          <w:t>/</w:t>
                        </w:r>
                        <w:r>
                          <w:rPr>
                            <w:spacing w:val="-3"/>
                            <w:sz w:val="22"/>
                          </w:rPr>
                          <w:t> </w:t>
                        </w:r>
                        <w:r>
                          <w:rPr>
                            <w:spacing w:val="-5"/>
                            <w:sz w:val="22"/>
                          </w:rPr>
                          <w:t>RQ2</w:t>
                        </w:r>
                      </w:p>
                      <w:p>
                        <w:pPr>
                          <w:spacing w:line="256" w:lineRule="auto" w:before="0"/>
                          <w:ind w:left="0" w:right="18" w:firstLine="0"/>
                          <w:jc w:val="center"/>
                          <w:rPr>
                            <w:sz w:val="22"/>
                          </w:rPr>
                        </w:pPr>
                        <w:r>
                          <w:rPr>
                            <w:spacing w:val="-2"/>
                            <w:sz w:val="22"/>
                          </w:rPr>
                          <w:t>Social-</w:t>
                        </w:r>
                        <w:r>
                          <w:rPr>
                            <w:spacing w:val="-2"/>
                            <w:sz w:val="22"/>
                          </w:rPr>
                          <w:t>method alignment</w:t>
                        </w:r>
                      </w:p>
                    </w:txbxContent>
                  </v:textbox>
                  <w10:wrap type="none"/>
                </v:shape>
                <v:shape style="position:absolute;left:2433;top:3524;width:2760;height:513" type="#_x0000_t202" id="docshape77" filled="false" stroked="false">
                  <v:textbox inset="0,0,0,0">
                    <w:txbxContent>
                      <w:p>
                        <w:pPr>
                          <w:spacing w:line="256" w:lineRule="auto" w:before="0"/>
                          <w:ind w:left="0" w:right="18" w:firstLine="333"/>
                          <w:jc w:val="left"/>
                          <w:rPr>
                            <w:sz w:val="22"/>
                          </w:rPr>
                        </w:pPr>
                        <w:r>
                          <w:rPr>
                            <w:sz w:val="22"/>
                          </w:rPr>
                          <w:t>Supplementary: GF-PR </w:t>
                        </w:r>
                        <w:r>
                          <w:rPr>
                            <w:spacing w:val="-2"/>
                            <w:sz w:val="22"/>
                          </w:rPr>
                          <w:t>outcome-native</w:t>
                        </w:r>
                        <w:r>
                          <w:rPr>
                            <w:spacing w:val="-3"/>
                            <w:sz w:val="22"/>
                          </w:rPr>
                          <w:t> </w:t>
                        </w:r>
                        <w:r>
                          <w:rPr>
                            <w:spacing w:val="-2"/>
                            <w:sz w:val="22"/>
                          </w:rPr>
                          <w:t>ceiling</w:t>
                        </w:r>
                        <w:r>
                          <w:rPr>
                            <w:spacing w:val="-3"/>
                            <w:sz w:val="22"/>
                          </w:rPr>
                          <w:t> </w:t>
                        </w:r>
                        <w:r>
                          <w:rPr>
                            <w:spacing w:val="-2"/>
                            <w:sz w:val="22"/>
                          </w:rPr>
                          <w:t>(SRQ1)</w:t>
                        </w:r>
                      </w:p>
                    </w:txbxContent>
                  </v:textbox>
                  <w10:wrap type="none"/>
                </v:shape>
                <v:shape style="position:absolute;left:826;top:3;width:5953;height:567" type="#_x0000_t202" id="docshape78" filled="false" stroked="false">
                  <v:textbox inset="0,0,0,0">
                    <w:txbxContent>
                      <w:p>
                        <w:pPr>
                          <w:spacing w:before="130"/>
                          <w:ind w:left="1049" w:right="0" w:firstLine="0"/>
                          <w:jc w:val="left"/>
                          <w:rPr>
                            <w:sz w:val="22"/>
                          </w:rPr>
                        </w:pPr>
                        <w:r>
                          <w:rPr>
                            <w:sz w:val="22"/>
                          </w:rPr>
                          <w:t>Primary</w:t>
                        </w:r>
                        <w:r>
                          <w:rPr>
                            <w:spacing w:val="-9"/>
                            <w:sz w:val="22"/>
                          </w:rPr>
                          <w:t> </w:t>
                        </w:r>
                        <w:r>
                          <w:rPr>
                            <w:sz w:val="22"/>
                          </w:rPr>
                          <w:t>comparison:</w:t>
                        </w:r>
                        <w:r>
                          <w:rPr>
                            <w:spacing w:val="7"/>
                            <w:sz w:val="22"/>
                          </w:rPr>
                          <w:t> </w:t>
                        </w:r>
                        <w:r>
                          <w:rPr>
                            <w:sz w:val="22"/>
                          </w:rPr>
                          <w:t>EndorseRank</w:t>
                        </w:r>
                        <w:r>
                          <w:rPr>
                            <w:spacing w:val="-9"/>
                            <w:sz w:val="22"/>
                          </w:rPr>
                          <w:t> </w:t>
                        </w:r>
                        <w:r>
                          <w:rPr>
                            <w:sz w:val="22"/>
                          </w:rPr>
                          <w:t>vs</w:t>
                        </w:r>
                        <w:r>
                          <w:rPr>
                            <w:spacing w:val="-8"/>
                            <w:sz w:val="22"/>
                          </w:rPr>
                          <w:t> </w:t>
                        </w:r>
                        <w:r>
                          <w:rPr>
                            <w:spacing w:val="-5"/>
                            <w:sz w:val="22"/>
                          </w:rPr>
                          <w:t>AWP</w:t>
                        </w:r>
                      </w:p>
                    </w:txbxContent>
                  </v:textbox>
                  <w10:wrap type="none"/>
                </v:shape>
                <v:shape style="position:absolute;left:7;top:2241;width:1920;height:872" type="#_x0000_t202" id="docshape79" filled="false" stroked="false">
                  <v:textbox inset="0,0,0,0">
                    <w:txbxContent>
                      <w:p>
                        <w:pPr>
                          <w:spacing w:before="2"/>
                          <w:ind w:left="1" w:right="1" w:firstLine="0"/>
                          <w:jc w:val="center"/>
                          <w:rPr>
                            <w:sz w:val="22"/>
                          </w:rPr>
                        </w:pPr>
                        <w:r>
                          <w:rPr>
                            <w:sz w:val="22"/>
                          </w:rPr>
                          <w:t>H1</w:t>
                        </w:r>
                        <w:r>
                          <w:rPr>
                            <w:spacing w:val="-3"/>
                            <w:sz w:val="22"/>
                          </w:rPr>
                          <w:t> </w:t>
                        </w:r>
                        <w:r>
                          <w:rPr>
                            <w:sz w:val="22"/>
                          </w:rPr>
                          <w:t>/</w:t>
                        </w:r>
                        <w:r>
                          <w:rPr>
                            <w:spacing w:val="-3"/>
                            <w:sz w:val="22"/>
                          </w:rPr>
                          <w:t> </w:t>
                        </w:r>
                        <w:r>
                          <w:rPr>
                            <w:spacing w:val="-5"/>
                            <w:sz w:val="22"/>
                          </w:rPr>
                          <w:t>RQ1</w:t>
                        </w:r>
                      </w:p>
                      <w:p>
                        <w:pPr>
                          <w:spacing w:line="256" w:lineRule="auto" w:before="18"/>
                          <w:ind w:left="1" w:right="0" w:firstLine="0"/>
                          <w:jc w:val="center"/>
                          <w:rPr>
                            <w:sz w:val="22"/>
                          </w:rPr>
                        </w:pPr>
                        <w:r>
                          <w:rPr>
                            <w:spacing w:val="-4"/>
                            <w:sz w:val="22"/>
                          </w:rPr>
                          <w:t>EndorseRank–AWP </w:t>
                        </w:r>
                        <w:r>
                          <w:rPr>
                            <w:spacing w:val="-2"/>
                            <w:sz w:val="22"/>
                          </w:rPr>
                          <w:t>divergence</w:t>
                        </w:r>
                      </w:p>
                    </w:txbxContent>
                  </v:textbox>
                  <w10:wrap type="none"/>
                </v:shape>
                <v:shape style="position:absolute;left:5673;top:2218;width:1928;height:900" type="#_x0000_t202" id="docshape80" filled="false" stroked="true" strokeweight=".3985pt" strokecolor="#000000">
                  <v:textbox inset="0,0,0,0">
                    <w:txbxContent>
                      <w:p>
                        <w:pPr>
                          <w:spacing w:before="22"/>
                          <w:ind w:left="2" w:right="2" w:firstLine="0"/>
                          <w:jc w:val="center"/>
                          <w:rPr>
                            <w:sz w:val="22"/>
                          </w:rPr>
                        </w:pPr>
                        <w:r>
                          <w:rPr>
                            <w:sz w:val="22"/>
                          </w:rPr>
                          <w:t>H3</w:t>
                        </w:r>
                        <w:r>
                          <w:rPr>
                            <w:spacing w:val="-3"/>
                            <w:sz w:val="22"/>
                          </w:rPr>
                          <w:t> </w:t>
                        </w:r>
                        <w:r>
                          <w:rPr>
                            <w:sz w:val="22"/>
                          </w:rPr>
                          <w:t>/</w:t>
                        </w:r>
                        <w:r>
                          <w:rPr>
                            <w:spacing w:val="-3"/>
                            <w:sz w:val="22"/>
                          </w:rPr>
                          <w:t> </w:t>
                        </w:r>
                        <w:r>
                          <w:rPr>
                            <w:spacing w:val="-5"/>
                            <w:sz w:val="22"/>
                          </w:rPr>
                          <w:t>RQ3</w:t>
                        </w:r>
                      </w:p>
                      <w:p>
                        <w:pPr>
                          <w:spacing w:line="256" w:lineRule="auto" w:before="18"/>
                          <w:ind w:left="2" w:right="0" w:firstLine="0"/>
                          <w:jc w:val="center"/>
                          <w:rPr>
                            <w:sz w:val="22"/>
                          </w:rPr>
                        </w:pPr>
                        <w:r>
                          <w:rPr>
                            <w:spacing w:val="-2"/>
                            <w:sz w:val="22"/>
                          </w:rPr>
                          <w:t>EndorseRank efficiency</w:t>
                        </w:r>
                      </w:p>
                    </w:txbxContent>
                  </v:textbox>
                  <v:stroke dashstyle="solid"/>
                  <w10:wrap type="none"/>
                </v:shape>
                <v:shape style="position:absolute;left:5677;top:1130;width:1920;height:601" type="#_x0000_t202" id="docshape81" filled="false" stroked="false">
                  <v:textbox inset="0,0,0,0">
                    <w:txbxContent>
                      <w:p>
                        <w:pPr>
                          <w:spacing w:line="256" w:lineRule="auto" w:before="2"/>
                          <w:ind w:left="507" w:right="0" w:hanging="197"/>
                          <w:jc w:val="left"/>
                          <w:rPr>
                            <w:sz w:val="22"/>
                          </w:rPr>
                        </w:pPr>
                        <w:r>
                          <w:rPr>
                            <w:spacing w:val="-2"/>
                            <w:sz w:val="22"/>
                          </w:rPr>
                          <w:t>Computational Efficiency</w:t>
                        </w:r>
                      </w:p>
                    </w:txbxContent>
                  </v:textbox>
                  <w10:wrap type="none"/>
                </v:shape>
                <v:shape style="position:absolute;left:2842;top:1130;width:1920;height:601" type="#_x0000_t202" id="docshape82" filled="false" stroked="false">
                  <v:textbox inset="0,0,0,0">
                    <w:txbxContent>
                      <w:p>
                        <w:pPr>
                          <w:spacing w:line="256" w:lineRule="auto" w:before="2"/>
                          <w:ind w:left="493" w:right="0" w:hanging="248"/>
                          <w:jc w:val="left"/>
                          <w:rPr>
                            <w:sz w:val="22"/>
                          </w:rPr>
                        </w:pPr>
                        <w:r>
                          <w:rPr>
                            <w:spacing w:val="-2"/>
                            <w:sz w:val="22"/>
                          </w:rPr>
                          <w:t>Trading</w:t>
                        </w:r>
                        <w:r>
                          <w:rPr>
                            <w:spacing w:val="-12"/>
                            <w:sz w:val="22"/>
                          </w:rPr>
                          <w:t> </w:t>
                        </w:r>
                        <w:r>
                          <w:rPr>
                            <w:spacing w:val="-2"/>
                            <w:sz w:val="22"/>
                          </w:rPr>
                          <w:t>Success Alignment</w:t>
                        </w:r>
                      </w:p>
                    </w:txbxContent>
                  </v:textbox>
                  <w10:wrap type="none"/>
                </v:shape>
              </v:group>
            </w:pict>
          </mc:Fallback>
        </mc:AlternateContent>
      </w:r>
      <w:r>
        <w:rPr>
          <w:sz w:val="20"/>
        </w:rPr>
      </w:r>
    </w:p>
    <w:p>
      <w:pPr>
        <w:pStyle w:val="BodyText"/>
        <w:spacing w:line="252" w:lineRule="auto" w:before="151"/>
        <w:ind w:left="282" w:right="543"/>
        <w:jc w:val="both"/>
      </w:pPr>
      <w:r>
        <w:rPr/>
        <w:t>Figure</w:t>
      </w:r>
      <w:r>
        <w:rPr>
          <w:spacing w:val="-1"/>
        </w:rPr>
        <w:t> </w:t>
      </w:r>
      <w:r>
        <w:rPr/>
        <w:t>2.3: Conceptual</w:t>
      </w:r>
      <w:r>
        <w:rPr>
          <w:spacing w:val="-1"/>
        </w:rPr>
        <w:t> </w:t>
      </w:r>
      <w:r>
        <w:rPr/>
        <w:t>model: primary</w:t>
      </w:r>
      <w:r>
        <w:rPr>
          <w:spacing w:val="-1"/>
        </w:rPr>
        <w:t> </w:t>
      </w:r>
      <w:r>
        <w:rPr/>
        <w:t>EndorseRank</w:t>
      </w:r>
      <w:r>
        <w:rPr>
          <w:spacing w:val="-1"/>
        </w:rPr>
        <w:t> </w:t>
      </w:r>
      <w:r>
        <w:rPr/>
        <w:t>vs.</w:t>
      </w:r>
      <w:r>
        <w:rPr>
          <w:spacing w:val="-1"/>
        </w:rPr>
        <w:t> </w:t>
      </w:r>
      <w:r>
        <w:rPr/>
        <w:t>AWP</w:t>
      </w:r>
      <w:r>
        <w:rPr>
          <w:spacing w:val="-1"/>
        </w:rPr>
        <w:t> </w:t>
      </w:r>
      <w:r>
        <w:rPr/>
        <w:t>comparison</w:t>
      </w:r>
      <w:r>
        <w:rPr>
          <w:spacing w:val="-1"/>
        </w:rPr>
        <w:t> </w:t>
      </w:r>
      <w:r>
        <w:rPr/>
        <w:t>mapped</w:t>
      </w:r>
      <w:r>
        <w:rPr>
          <w:spacing w:val="-1"/>
        </w:rPr>
        <w:t> </w:t>
      </w:r>
      <w:r>
        <w:rPr/>
        <w:t>to</w:t>
      </w:r>
      <w:r>
        <w:rPr>
          <w:spacing w:val="-1"/>
        </w:rPr>
        <w:t> </w:t>
      </w:r>
      <w:r>
        <w:rPr/>
        <w:t>reputation structure</w:t>
      </w:r>
      <w:r>
        <w:rPr>
          <w:spacing w:val="-11"/>
        </w:rPr>
        <w:t> </w:t>
      </w:r>
      <w:r>
        <w:rPr/>
        <w:t>(H1/RQ1),</w:t>
      </w:r>
      <w:r>
        <w:rPr>
          <w:spacing w:val="-11"/>
        </w:rPr>
        <w:t> </w:t>
      </w:r>
      <w:r>
        <w:rPr/>
        <w:t>social-method</w:t>
      </w:r>
      <w:r>
        <w:rPr>
          <w:spacing w:val="-11"/>
        </w:rPr>
        <w:t> </w:t>
      </w:r>
      <w:r>
        <w:rPr/>
        <w:t>alignment</w:t>
      </w:r>
      <w:r>
        <w:rPr>
          <w:spacing w:val="-11"/>
        </w:rPr>
        <w:t> </w:t>
      </w:r>
      <w:r>
        <w:rPr/>
        <w:t>(H2/RQ2),</w:t>
      </w:r>
      <w:r>
        <w:rPr>
          <w:spacing w:val="-10"/>
        </w:rPr>
        <w:t> </w:t>
      </w:r>
      <w:r>
        <w:rPr/>
        <w:t>and</w:t>
      </w:r>
      <w:r>
        <w:rPr>
          <w:spacing w:val="-11"/>
        </w:rPr>
        <w:t> </w:t>
      </w:r>
      <w:r>
        <w:rPr/>
        <w:t>computational</w:t>
      </w:r>
      <w:r>
        <w:rPr>
          <w:spacing w:val="-11"/>
        </w:rPr>
        <w:t> </w:t>
      </w:r>
      <w:r>
        <w:rPr/>
        <w:t>efficiency</w:t>
      </w:r>
      <w:r>
        <w:rPr>
          <w:spacing w:val="-11"/>
        </w:rPr>
        <w:t> </w:t>
      </w:r>
      <w:r>
        <w:rPr/>
        <w:t>(H3/RQ3); RQ4 separately compares transfer versus trading-success validation frames.</w:t>
      </w:r>
      <w:r>
        <w:rPr>
          <w:spacing w:val="36"/>
        </w:rPr>
        <w:t> </w:t>
      </w:r>
      <w:r>
        <w:rPr/>
        <w:t>GF-PR (dashed) is a supplementary outcome-native ceiling reference (SRQ1), not a third peer social method.</w:t>
      </w:r>
    </w:p>
    <w:p>
      <w:pPr>
        <w:pStyle w:val="BodyText"/>
        <w:spacing w:line="252" w:lineRule="auto" w:before="151"/>
        <w:ind w:left="282" w:right="543"/>
        <w:jc w:val="both"/>
      </w:pPr>
      <w:r>
        <w:rPr>
          <w:i/>
        </w:rPr>
        <w:t>그림 2.3: 개념 모델: 평판 구조(H1/RQ1), 사회적 방법 정렬(H2/RQ2) 및 계산 효율성(H3/RQ3)에 매핑된 기본 EndorseRank 대 AWP 비교, RQ4는 전송 대 거래 성공 검증 프레임을 별도로 비교합니다. GF-PR(점선)은 보조 결과 기본 상한 기준(SRQ1)이며 세 번째 동료 사회적 방법이 아닙니다.</w:t>
      </w:r>
    </w:p>
    <w:p>
      <w:pPr>
        <w:pStyle w:val="BodyText"/>
      </w:pPr>
    </w:p>
    <w:p>
      <w:pPr>
        <w:pStyle w:val="BodyText"/>
      </w:pPr>
    </w:p>
    <w:p>
      <w:pPr>
        <w:pStyle w:val="Heading2"/>
        <w:numPr>
          <w:ilvl w:val="1"/>
          <w:numId w:val="8"/>
        </w:numPr>
        <w:tabs>
          <w:tab w:pos="927" w:val="left" w:leader="none"/>
        </w:tabs>
        <w:spacing w:line="240" w:lineRule="auto" w:before="1" w:after="0"/>
        <w:ind w:left="927" w:right="0" w:hanging="645"/>
        <w:jc w:val="left"/>
      </w:pPr>
      <w:r>
        <w:rPr/>
        <w:t>Reader’s</w:t>
      </w:r>
      <w:r>
        <w:rPr>
          <w:spacing w:val="12"/>
        </w:rPr>
        <w:t> </w:t>
      </w:r>
      <w:r>
        <w:rPr/>
        <w:t>guide</w:t>
      </w:r>
      <w:r>
        <w:rPr>
          <w:spacing w:val="12"/>
        </w:rPr>
        <w:t> </w:t>
      </w:r>
      <w:r>
        <w:rPr/>
        <w:t>to</w:t>
      </w:r>
      <w:r>
        <w:rPr>
          <w:spacing w:val="12"/>
        </w:rPr>
        <w:t> </w:t>
      </w:r>
      <w:r>
        <w:rPr>
          <w:spacing w:val="-2"/>
        </w:rPr>
        <w:t>terminology</w:t>
      </w:r>
    </w:p>
    <w:p>
      <w:pPr>
        <w:pStyle w:val="Heading2"/>
        <w:numPr>
          <w:ilvl w:val="1"/>
          <w:numId w:val="8"/>
        </w:numPr>
        <w:tabs>
          <w:tab w:pos="927" w:val="left" w:leader="none"/>
        </w:tabs>
        <w:spacing w:line="240" w:lineRule="auto" w:before="1" w:after="0"/>
        <w:ind w:left="927" w:right="0" w:hanging="645"/>
        <w:jc w:val="left"/>
      </w:pPr>
      <w:r>
        <w:rPr>
          <w:i/>
        </w:rPr>
        <w:t>독자를 위한 용어 가이드</w:t>
      </w:r>
    </w:p>
    <w:p>
      <w:pPr>
        <w:pStyle w:val="BodyText"/>
        <w:spacing w:before="23"/>
        <w:rPr>
          <w:b/>
          <w:sz w:val="28"/>
        </w:rPr>
      </w:pPr>
    </w:p>
    <w:p>
      <w:pPr>
        <w:pStyle w:val="BodyText"/>
        <w:spacing w:line="396" w:lineRule="auto" w:before="1"/>
        <w:ind w:left="282" w:right="523" w:hanging="8"/>
      </w:pPr>
      <w:r>
        <w:rPr/>
        <w:t>The</w:t>
      </w:r>
      <w:r>
        <w:rPr>
          <w:spacing w:val="-8"/>
        </w:rPr>
        <w:t> </w:t>
      </w:r>
      <w:r>
        <w:rPr/>
        <w:t>definitions</w:t>
      </w:r>
      <w:r>
        <w:rPr>
          <w:spacing w:val="-8"/>
        </w:rPr>
        <w:t> </w:t>
      </w:r>
      <w:r>
        <w:rPr/>
        <w:t>in</w:t>
      </w:r>
      <w:r>
        <w:rPr>
          <w:spacing w:val="-8"/>
        </w:rPr>
        <w:t> </w:t>
      </w:r>
      <w:r>
        <w:rPr/>
        <w:t>Chapter</w:t>
      </w:r>
      <w:r>
        <w:rPr>
          <w:spacing w:val="-8"/>
        </w:rPr>
        <w:t> </w:t>
      </w:r>
      <w:hyperlink w:history="true" w:anchor="_bookmark4">
        <w:r>
          <w:rPr/>
          <w:t>1</w:t>
        </w:r>
      </w:hyperlink>
      <w:r>
        <w:rPr>
          <w:spacing w:val="-8"/>
        </w:rPr>
        <w:t> </w:t>
      </w:r>
      <w:r>
        <w:rPr/>
        <w:t>establish</w:t>
      </w:r>
      <w:r>
        <w:rPr>
          <w:spacing w:val="-8"/>
        </w:rPr>
        <w:t> </w:t>
      </w:r>
      <w:r>
        <w:rPr/>
        <w:t>formal</w:t>
      </w:r>
      <w:r>
        <w:rPr>
          <w:spacing w:val="-8"/>
        </w:rPr>
        <w:t> </w:t>
      </w:r>
      <w:r>
        <w:rPr/>
        <w:t>constructs;</w:t>
      </w:r>
      <w:r>
        <w:rPr>
          <w:spacing w:val="-7"/>
        </w:rPr>
        <w:t> </w:t>
      </w:r>
      <w:r>
        <w:rPr/>
        <w:t>the</w:t>
      </w:r>
      <w:r>
        <w:rPr>
          <w:spacing w:val="-8"/>
        </w:rPr>
        <w:t> </w:t>
      </w:r>
      <w:r>
        <w:rPr/>
        <w:t>following</w:t>
      </w:r>
      <w:r>
        <w:rPr>
          <w:spacing w:val="-8"/>
        </w:rPr>
        <w:t> </w:t>
      </w:r>
      <w:r>
        <w:rPr/>
        <w:t>guide</w:t>
      </w:r>
      <w:r>
        <w:rPr>
          <w:spacing w:val="-8"/>
        </w:rPr>
        <w:t> </w:t>
      </w:r>
      <w:r>
        <w:rPr/>
        <w:t>clarifies</w:t>
      </w:r>
      <w:r>
        <w:rPr>
          <w:spacing w:val="-8"/>
        </w:rPr>
        <w:t> </w:t>
      </w:r>
      <w:r>
        <w:rPr/>
        <w:t>how</w:t>
      </w:r>
      <w:r>
        <w:rPr>
          <w:spacing w:val="-8"/>
        </w:rPr>
        <w:t> </w:t>
      </w:r>
      <w:r>
        <w:rPr/>
        <w:t>to</w:t>
      </w:r>
      <w:r>
        <w:rPr>
          <w:spacing w:val="-8"/>
        </w:rPr>
        <w:t> </w:t>
      </w:r>
      <w:r>
        <w:rPr/>
        <w:t>inter-pret results and avoid common misreadings:</w:t>
      </w:r>
    </w:p>
    <w:p>
      <w:pPr>
        <w:pStyle w:val="BodyText"/>
        <w:spacing w:line="396" w:lineRule="auto" w:before="1"/>
        <w:ind w:left="282" w:right="523" w:hanging="8"/>
      </w:pPr>
      <w:r>
        <w:rPr>
          <w:i/>
        </w:rPr>
        <w:t>1장의 정의는 공식적인 구성을 확립하며, 다음 가이드는 결과를 해석하고 일반적인 오해를 피하는 방법을 명확히 합니다.</w:t>
      </w:r>
    </w:p>
    <w:p>
      <w:pPr>
        <w:pStyle w:val="ListParagraph"/>
        <w:numPr>
          <w:ilvl w:val="0"/>
          <w:numId w:val="13"/>
        </w:numPr>
        <w:tabs>
          <w:tab w:pos="806" w:val="left" w:leader="none"/>
          <w:tab w:pos="808" w:val="left" w:leader="none"/>
        </w:tabs>
        <w:spacing w:line="396" w:lineRule="auto" w:before="121" w:after="0"/>
        <w:ind w:left="808" w:right="524" w:hanging="216"/>
        <w:jc w:val="left"/>
        <w:rPr>
          <w:sz w:val="24"/>
        </w:rPr>
      </w:pPr>
      <w:r>
        <w:rPr>
          <w:b/>
          <w:sz w:val="24"/>
        </w:rPr>
        <w:t>Primary</w:t>
      </w:r>
      <w:r>
        <w:rPr>
          <w:b/>
          <w:spacing w:val="-7"/>
          <w:sz w:val="24"/>
        </w:rPr>
        <w:t> </w:t>
      </w:r>
      <w:r>
        <w:rPr>
          <w:b/>
          <w:sz w:val="24"/>
        </w:rPr>
        <w:t>methods: </w:t>
      </w:r>
      <w:r>
        <w:rPr>
          <w:sz w:val="24"/>
        </w:rPr>
        <w:t>EndorseRank</w:t>
      </w:r>
      <w:r>
        <w:rPr>
          <w:spacing w:val="-7"/>
          <w:sz w:val="24"/>
        </w:rPr>
        <w:t> </w:t>
      </w:r>
      <w:r>
        <w:rPr>
          <w:sz w:val="24"/>
        </w:rPr>
        <w:t>(allowance</w:t>
      </w:r>
      <w:r>
        <w:rPr>
          <w:spacing w:val="-7"/>
          <w:sz w:val="24"/>
        </w:rPr>
        <w:t> </w:t>
      </w:r>
      <w:r>
        <w:rPr>
          <w:sz w:val="24"/>
        </w:rPr>
        <w:t>graph)</w:t>
      </w:r>
      <w:r>
        <w:rPr>
          <w:spacing w:val="-7"/>
          <w:sz w:val="24"/>
        </w:rPr>
        <w:t> </w:t>
      </w:r>
      <w:r>
        <w:rPr>
          <w:sz w:val="24"/>
        </w:rPr>
        <w:t>and</w:t>
      </w:r>
      <w:r>
        <w:rPr>
          <w:spacing w:val="-7"/>
          <w:sz w:val="24"/>
        </w:rPr>
        <w:t> </w:t>
      </w:r>
      <w:r>
        <w:rPr>
          <w:sz w:val="24"/>
        </w:rPr>
        <w:t>AWP</w:t>
      </w:r>
      <w:r>
        <w:rPr>
          <w:spacing w:val="-8"/>
          <w:sz w:val="24"/>
        </w:rPr>
        <w:t> </w:t>
      </w:r>
      <w:r>
        <w:rPr>
          <w:sz w:val="24"/>
        </w:rPr>
        <w:t>(transfer</w:t>
      </w:r>
      <w:r>
        <w:rPr>
          <w:spacing w:val="-7"/>
          <w:sz w:val="24"/>
        </w:rPr>
        <w:t> </w:t>
      </w:r>
      <w:r>
        <w:rPr>
          <w:sz w:val="24"/>
        </w:rPr>
        <w:t>graph). Both</w:t>
      </w:r>
      <w:r>
        <w:rPr>
          <w:spacing w:val="-7"/>
          <w:sz w:val="24"/>
        </w:rPr>
        <w:t> </w:t>
      </w:r>
      <w:r>
        <w:rPr>
          <w:sz w:val="24"/>
        </w:rPr>
        <w:t>are</w:t>
      </w:r>
      <w:r>
        <w:rPr>
          <w:spacing w:val="-7"/>
          <w:sz w:val="24"/>
        </w:rPr>
        <w:t> </w:t>
      </w:r>
      <w:r>
        <w:rPr>
          <w:sz w:val="24"/>
        </w:rPr>
        <w:t>so-cial</w:t>
      </w:r>
      <w:r>
        <w:rPr>
          <w:spacing w:val="-5"/>
          <w:sz w:val="24"/>
        </w:rPr>
        <w:t> </w:t>
      </w:r>
      <w:r>
        <w:rPr>
          <w:sz w:val="24"/>
        </w:rPr>
        <w:t>PageRank</w:t>
      </w:r>
      <w:r>
        <w:rPr>
          <w:spacing w:val="-5"/>
          <w:sz w:val="24"/>
        </w:rPr>
        <w:t> </w:t>
      </w:r>
      <w:r>
        <w:rPr>
          <w:sz w:val="24"/>
        </w:rPr>
        <w:t>methods</w:t>
      </w:r>
      <w:r>
        <w:rPr>
          <w:spacing w:val="-5"/>
          <w:sz w:val="24"/>
        </w:rPr>
        <w:t> </w:t>
      </w:r>
      <w:r>
        <w:rPr>
          <w:sz w:val="24"/>
        </w:rPr>
        <w:t>on</w:t>
      </w:r>
      <w:r>
        <w:rPr>
          <w:spacing w:val="-5"/>
          <w:sz w:val="24"/>
        </w:rPr>
        <w:t> </w:t>
      </w:r>
      <w:r>
        <w:rPr>
          <w:sz w:val="24"/>
        </w:rPr>
        <w:t>wallet-to-wallet</w:t>
      </w:r>
      <w:r>
        <w:rPr>
          <w:spacing w:val="-5"/>
          <w:sz w:val="24"/>
        </w:rPr>
        <w:t> </w:t>
      </w:r>
      <w:r>
        <w:rPr>
          <w:sz w:val="24"/>
        </w:rPr>
        <w:t>edges;</w:t>
      </w:r>
      <w:r>
        <w:rPr>
          <w:spacing w:val="-5"/>
          <w:sz w:val="24"/>
        </w:rPr>
        <w:t> </w:t>
      </w:r>
      <w:r>
        <w:rPr>
          <w:sz w:val="24"/>
        </w:rPr>
        <w:t>intended</w:t>
      </w:r>
      <w:r>
        <w:rPr>
          <w:spacing w:val="-5"/>
          <w:sz w:val="24"/>
        </w:rPr>
        <w:t> </w:t>
      </w:r>
      <w:r>
        <w:rPr>
          <w:sz w:val="24"/>
        </w:rPr>
        <w:t>as</w:t>
      </w:r>
      <w:r>
        <w:rPr>
          <w:spacing w:val="-5"/>
          <w:sz w:val="24"/>
        </w:rPr>
        <w:t> </w:t>
      </w:r>
      <w:r>
        <w:rPr>
          <w:sz w:val="24"/>
        </w:rPr>
        <w:t>deployable</w:t>
      </w:r>
      <w:r>
        <w:rPr>
          <w:spacing w:val="-5"/>
          <w:sz w:val="24"/>
        </w:rPr>
        <w:t> </w:t>
      </w:r>
      <w:r>
        <w:rPr>
          <w:sz w:val="24"/>
        </w:rPr>
        <w:t>reputation</w:t>
      </w:r>
      <w:r>
        <w:rPr>
          <w:spacing w:val="-5"/>
          <w:sz w:val="24"/>
        </w:rPr>
        <w:t> </w:t>
      </w:r>
      <w:r>
        <w:rPr>
          <w:sz w:val="24"/>
        </w:rPr>
        <w:t>signals.</w:t>
      </w:r>
    </w:p>
    <w:p>
      <w:pPr>
        <w:pStyle w:val="ListParagraph"/>
        <w:numPr>
          <w:ilvl w:val="0"/>
          <w:numId w:val="13"/>
        </w:numPr>
        <w:tabs>
          <w:tab w:pos="806" w:val="left" w:leader="none"/>
          <w:tab w:pos="808" w:val="left" w:leader="none"/>
        </w:tabs>
        <w:spacing w:line="396" w:lineRule="auto" w:before="121" w:after="0"/>
        <w:ind w:left="808" w:right="524" w:hanging="216"/>
        <w:jc w:val="left"/>
        <w:rPr>
          <w:sz w:val="24"/>
        </w:rPr>
      </w:pPr>
      <w:r>
        <w:rPr>
          <w:i/>
        </w:rPr>
        <w:t>주요 방법: EndorseRank(수당 그래프) 및 AWP(이전 그래프). 둘 다 지갑 간 가장자리에 대한 소셜 PageRank 방법으로 배포 가능한 평판 신호로 사용됩니다.</w:t>
      </w:r>
    </w:p>
    <w:p>
      <w:pPr>
        <w:pStyle w:val="ListParagraph"/>
        <w:numPr>
          <w:ilvl w:val="0"/>
          <w:numId w:val="13"/>
        </w:numPr>
        <w:tabs>
          <w:tab w:pos="806" w:val="left" w:leader="none"/>
          <w:tab w:pos="808" w:val="left" w:leader="none"/>
        </w:tabs>
        <w:spacing w:line="396" w:lineRule="auto" w:before="39" w:after="0"/>
        <w:ind w:left="808" w:right="544" w:hanging="216"/>
        <w:jc w:val="left"/>
        <w:rPr>
          <w:sz w:val="24"/>
        </w:rPr>
      </w:pPr>
      <w:r>
        <w:rPr>
          <w:b/>
          <w:spacing w:val="-2"/>
          <w:sz w:val="24"/>
        </w:rPr>
        <w:t>Supplementary</w:t>
      </w:r>
      <w:r>
        <w:rPr>
          <w:b/>
          <w:spacing w:val="-7"/>
          <w:sz w:val="24"/>
        </w:rPr>
        <w:t> </w:t>
      </w:r>
      <w:r>
        <w:rPr>
          <w:b/>
          <w:spacing w:val="-2"/>
          <w:sz w:val="24"/>
        </w:rPr>
        <w:t>reference:</w:t>
      </w:r>
      <w:r>
        <w:rPr>
          <w:b/>
          <w:spacing w:val="23"/>
          <w:sz w:val="24"/>
        </w:rPr>
        <w:t> </w:t>
      </w:r>
      <w:r>
        <w:rPr>
          <w:spacing w:val="-2"/>
          <w:sz w:val="24"/>
        </w:rPr>
        <w:t>GF-PR</w:t>
      </w:r>
      <w:r>
        <w:rPr>
          <w:spacing w:val="-7"/>
          <w:sz w:val="24"/>
        </w:rPr>
        <w:t> </w:t>
      </w:r>
      <w:r>
        <w:rPr>
          <w:spacing w:val="-2"/>
          <w:sz w:val="24"/>
        </w:rPr>
        <w:t>on</w:t>
      </w:r>
      <w:r>
        <w:rPr>
          <w:spacing w:val="-7"/>
          <w:sz w:val="24"/>
        </w:rPr>
        <w:t> </w:t>
      </w:r>
      <w:r>
        <w:rPr>
          <w:spacing w:val="-2"/>
          <w:sz w:val="24"/>
        </w:rPr>
        <w:t>GMX</w:t>
      </w:r>
      <w:r>
        <w:rPr>
          <w:spacing w:val="-7"/>
          <w:sz w:val="24"/>
        </w:rPr>
        <w:t> </w:t>
      </w:r>
      <w:r>
        <w:rPr>
          <w:spacing w:val="-2"/>
          <w:sz w:val="24"/>
        </w:rPr>
        <w:t>PnL</w:t>
      </w:r>
      <w:r>
        <w:rPr>
          <w:spacing w:val="-7"/>
          <w:sz w:val="24"/>
        </w:rPr>
        <w:t> </w:t>
      </w:r>
      <w:r>
        <w:rPr>
          <w:spacing w:val="-2"/>
          <w:sz w:val="24"/>
        </w:rPr>
        <w:t>flow</w:t>
      </w:r>
      <w:r>
        <w:rPr>
          <w:spacing w:val="-7"/>
          <w:sz w:val="24"/>
        </w:rPr>
        <w:t> </w:t>
      </w:r>
      <w:r>
        <w:rPr>
          <w:spacing w:val="-2"/>
          <w:sz w:val="24"/>
        </w:rPr>
        <w:t>to/from</w:t>
      </w:r>
      <w:r>
        <w:rPr>
          <w:spacing w:val="-7"/>
          <w:sz w:val="24"/>
        </w:rPr>
        <w:t> </w:t>
      </w:r>
      <w:r>
        <w:rPr>
          <w:spacing w:val="-2"/>
          <w:sz w:val="24"/>
        </w:rPr>
        <w:t>synthetic</w:t>
      </w:r>
      <w:r>
        <w:rPr>
          <w:spacing w:val="-7"/>
          <w:sz w:val="24"/>
        </w:rPr>
        <w:t> </w:t>
      </w:r>
      <w:r>
        <w:rPr>
          <w:spacing w:val="-2"/>
          <w:sz w:val="24"/>
        </w:rPr>
        <w:t>POOL/SINK</w:t>
      </w:r>
      <w:r>
        <w:rPr>
          <w:spacing w:val="-7"/>
          <w:sz w:val="24"/>
        </w:rPr>
        <w:t> </w:t>
      </w:r>
      <w:r>
        <w:rPr>
          <w:spacing w:val="-2"/>
          <w:sz w:val="24"/>
        </w:rPr>
        <w:t>nodes; </w:t>
      </w:r>
      <w:r>
        <w:rPr>
          <w:sz w:val="24"/>
        </w:rPr>
        <w:t>outcome-native ceiling for SRQ1, not a deployable social score.</w:t>
      </w:r>
    </w:p>
    <w:p>
      <w:pPr>
        <w:pStyle w:val="ListParagraph"/>
        <w:numPr>
          <w:ilvl w:val="0"/>
          <w:numId w:val="13"/>
        </w:numPr>
        <w:tabs>
          <w:tab w:pos="806" w:val="left" w:leader="none"/>
          <w:tab w:pos="808" w:val="left" w:leader="none"/>
        </w:tabs>
        <w:spacing w:line="396" w:lineRule="auto" w:before="39" w:after="0"/>
        <w:ind w:left="808" w:right="544" w:hanging="216"/>
        <w:jc w:val="left"/>
        <w:rPr>
          <w:sz w:val="24"/>
        </w:rPr>
      </w:pPr>
      <w:r>
        <w:rPr>
          <w:i/>
        </w:rPr>
        <w:t>보충 참조: 합성 POOL/SINK 노드 간 GMX 손익 흐름에 대한 GF-PR, 배치 가능한 소셜 점수가 아닌 SRQ1의 결과 기반 상한선.</w:t>
      </w:r>
    </w:p>
    <w:p>
      <w:pPr>
        <w:pStyle w:val="ListParagraph"/>
        <w:numPr>
          <w:ilvl w:val="0"/>
          <w:numId w:val="13"/>
        </w:numPr>
        <w:tabs>
          <w:tab w:pos="806" w:val="left" w:leader="none"/>
          <w:tab w:pos="808" w:val="left" w:leader="none"/>
        </w:tabs>
        <w:spacing w:line="376" w:lineRule="auto" w:before="34" w:after="0"/>
        <w:ind w:left="808" w:right="524" w:hanging="216"/>
        <w:jc w:val="left"/>
        <w:rPr>
          <w:sz w:val="24"/>
        </w:rPr>
      </w:pPr>
      <w:r>
        <w:rPr>
          <w:b/>
          <w:sz w:val="24"/>
        </w:rPr>
        <w:t>Primary</w:t>
      </w:r>
      <w:r>
        <w:rPr>
          <w:b/>
          <w:spacing w:val="18"/>
          <w:sz w:val="24"/>
        </w:rPr>
        <w:t> </w:t>
      </w:r>
      <w:r>
        <w:rPr>
          <w:b/>
          <w:sz w:val="24"/>
        </w:rPr>
        <w:t>graph</w:t>
      </w:r>
      <w:r>
        <w:rPr>
          <w:b/>
          <w:spacing w:val="18"/>
          <w:sz w:val="24"/>
        </w:rPr>
        <w:t> </w:t>
      </w:r>
      <w:r>
        <w:rPr>
          <w:b/>
          <w:sz w:val="24"/>
        </w:rPr>
        <w:t>construct:</w:t>
      </w:r>
      <w:r>
        <w:rPr>
          <w:b/>
          <w:spacing w:val="59"/>
          <w:sz w:val="24"/>
        </w:rPr>
        <w:t> </w:t>
      </w:r>
      <w:r>
        <w:rPr>
          <w:sz w:val="24"/>
        </w:rPr>
        <w:t>The</w:t>
      </w:r>
      <w:r>
        <w:rPr>
          <w:spacing w:val="18"/>
          <w:sz w:val="24"/>
        </w:rPr>
        <w:t> </w:t>
      </w:r>
      <w:r>
        <w:rPr>
          <w:sz w:val="24"/>
        </w:rPr>
        <w:t>graph</w:t>
      </w:r>
      <w:r>
        <w:rPr>
          <w:spacing w:val="18"/>
          <w:sz w:val="24"/>
        </w:rPr>
        <w:t> </w:t>
      </w:r>
      <w:r>
        <w:rPr>
          <w:sz w:val="24"/>
        </w:rPr>
        <w:t>a</w:t>
      </w:r>
      <w:r>
        <w:rPr>
          <w:spacing w:val="18"/>
          <w:sz w:val="24"/>
        </w:rPr>
        <w:t> </w:t>
      </w:r>
      <w:r>
        <w:rPr>
          <w:sz w:val="24"/>
        </w:rPr>
        <w:t>method</w:t>
      </w:r>
      <w:r>
        <w:rPr>
          <w:spacing w:val="18"/>
          <w:sz w:val="24"/>
        </w:rPr>
        <w:t> </w:t>
      </w:r>
      <w:r>
        <w:rPr>
          <w:sz w:val="24"/>
        </w:rPr>
        <w:t>is</w:t>
      </w:r>
      <w:r>
        <w:rPr>
          <w:spacing w:val="18"/>
          <w:sz w:val="24"/>
        </w:rPr>
        <w:t> </w:t>
      </w:r>
      <w:r>
        <w:rPr>
          <w:i/>
          <w:sz w:val="24"/>
        </w:rPr>
        <w:t>designed</w:t>
      </w:r>
      <w:r>
        <w:rPr>
          <w:i/>
          <w:spacing w:val="28"/>
          <w:sz w:val="24"/>
        </w:rPr>
        <w:t> </w:t>
      </w:r>
      <w:r>
        <w:rPr>
          <w:sz w:val="24"/>
        </w:rPr>
        <w:t>to</w:t>
      </w:r>
      <w:r>
        <w:rPr>
          <w:spacing w:val="18"/>
          <w:sz w:val="24"/>
        </w:rPr>
        <w:t> </w:t>
      </w:r>
      <w:r>
        <w:rPr>
          <w:sz w:val="24"/>
        </w:rPr>
        <w:t>rank</w:t>
      </w:r>
      <w:r>
        <w:rPr>
          <w:spacing w:val="18"/>
          <w:sz w:val="24"/>
        </w:rPr>
        <w:t> </w:t>
      </w:r>
      <w:r>
        <w:rPr>
          <w:sz w:val="24"/>
        </w:rPr>
        <w:t>(e.g.,</w:t>
      </w:r>
      <w:r>
        <w:rPr>
          <w:spacing w:val="23"/>
          <w:sz w:val="24"/>
        </w:rPr>
        <w:t> </w:t>
      </w:r>
      <w:r>
        <w:rPr>
          <w:rFonts w:ascii="Calibri" w:hAnsi="Calibri"/>
          <w:i/>
          <w:sz w:val="24"/>
        </w:rPr>
        <w:t>G</w:t>
      </w:r>
      <w:r>
        <w:rPr>
          <w:sz w:val="24"/>
          <w:vertAlign w:val="subscript"/>
        </w:rPr>
        <w:t>approve</w:t>
      </w:r>
      <w:r>
        <w:rPr>
          <w:spacing w:val="28"/>
          <w:sz w:val="24"/>
          <w:vertAlign w:val="baseline"/>
        </w:rPr>
        <w:t> </w:t>
      </w:r>
      <w:r>
        <w:rPr>
          <w:sz w:val="24"/>
          <w:vertAlign w:val="baseline"/>
        </w:rPr>
        <w:t>for</w:t>
      </w:r>
      <w:r>
        <w:rPr>
          <w:spacing w:val="18"/>
          <w:sz w:val="24"/>
          <w:vertAlign w:val="baseline"/>
        </w:rPr>
        <w:t> </w:t>
      </w:r>
      <w:r>
        <w:rPr>
          <w:sz w:val="24"/>
          <w:vertAlign w:val="baseline"/>
        </w:rPr>
        <w:t>En-dorseRank). Distinct from validation proxies applied after scoring.</w:t>
      </w:r>
    </w:p>
    <w:p>
      <w:pPr>
        <w:pStyle w:val="ListParagraph"/>
        <w:numPr>
          <w:ilvl w:val="0"/>
          <w:numId w:val="13"/>
        </w:numPr>
        <w:tabs>
          <w:tab w:pos="806" w:val="left" w:leader="none"/>
          <w:tab w:pos="808" w:val="left" w:leader="none"/>
        </w:tabs>
        <w:spacing w:line="376" w:lineRule="auto" w:before="34" w:after="0"/>
        <w:ind w:left="808" w:right="524" w:hanging="216"/>
        <w:jc w:val="left"/>
        <w:rPr>
          <w:sz w:val="24"/>
        </w:rPr>
      </w:pPr>
      <w:r>
        <w:rPr>
          <w:i/>
        </w:rPr>
        <w:t>기본 그래프 구성: 방법이 순위를 지정하도록 설계된 그래프입니다(예: En-dorseRank에 대한 Gapprove). 채점 후 적용되는 검증 프록시와는 다릅니다.</w:t>
      </w:r>
    </w:p>
    <w:p>
      <w:pPr>
        <w:pStyle w:val="ListParagraph"/>
        <w:numPr>
          <w:ilvl w:val="0"/>
          <w:numId w:val="13"/>
        </w:numPr>
        <w:tabs>
          <w:tab w:pos="797" w:val="left" w:leader="none"/>
          <w:tab w:pos="808" w:val="left" w:leader="none"/>
        </w:tabs>
        <w:spacing w:line="396" w:lineRule="auto" w:before="61" w:after="0"/>
        <w:ind w:left="808" w:right="564" w:hanging="216"/>
        <w:jc w:val="left"/>
        <w:rPr>
          <w:sz w:val="24"/>
        </w:rPr>
      </w:pPr>
      <w:r>
        <w:rPr>
          <w:b/>
          <w:spacing w:val="-2"/>
          <w:sz w:val="24"/>
        </w:rPr>
        <w:t>Validation</w:t>
      </w:r>
      <w:r>
        <w:rPr>
          <w:b/>
          <w:spacing w:val="-10"/>
          <w:sz w:val="24"/>
        </w:rPr>
        <w:t> </w:t>
      </w:r>
      <w:r>
        <w:rPr>
          <w:b/>
          <w:spacing w:val="-2"/>
          <w:sz w:val="24"/>
        </w:rPr>
        <w:t>proxy:</w:t>
      </w:r>
      <w:r>
        <w:rPr>
          <w:b/>
          <w:spacing w:val="23"/>
          <w:sz w:val="24"/>
        </w:rPr>
        <w:t> </w:t>
      </w:r>
      <w:r>
        <w:rPr>
          <w:spacing w:val="-2"/>
          <w:sz w:val="24"/>
        </w:rPr>
        <w:t>Observable</w:t>
      </w:r>
      <w:r>
        <w:rPr>
          <w:spacing w:val="-8"/>
          <w:sz w:val="24"/>
        </w:rPr>
        <w:t> </w:t>
      </w:r>
      <w:r>
        <w:rPr>
          <w:spacing w:val="-2"/>
          <w:sz w:val="24"/>
        </w:rPr>
        <w:t>wallet</w:t>
      </w:r>
      <w:r>
        <w:rPr>
          <w:spacing w:val="-8"/>
          <w:sz w:val="24"/>
        </w:rPr>
        <w:t> </w:t>
      </w:r>
      <w:r>
        <w:rPr>
          <w:spacing w:val="-2"/>
          <w:sz w:val="24"/>
        </w:rPr>
        <w:t>metric</w:t>
      </w:r>
      <w:r>
        <w:rPr>
          <w:spacing w:val="-8"/>
          <w:sz w:val="24"/>
        </w:rPr>
        <w:t> </w:t>
      </w:r>
      <w:r>
        <w:rPr>
          <w:spacing w:val="-2"/>
          <w:sz w:val="24"/>
        </w:rPr>
        <w:t>(e.g.,</w:t>
      </w:r>
      <w:r>
        <w:rPr>
          <w:spacing w:val="-5"/>
          <w:sz w:val="24"/>
        </w:rPr>
        <w:t> </w:t>
      </w:r>
      <w:r>
        <w:rPr>
          <w:spacing w:val="-2"/>
          <w:sz w:val="24"/>
        </w:rPr>
        <w:t>in-degree,</w:t>
      </w:r>
      <w:r>
        <w:rPr>
          <w:spacing w:val="-5"/>
          <w:sz w:val="24"/>
        </w:rPr>
        <w:t> </w:t>
      </w:r>
      <w:r>
        <w:rPr>
          <w:spacing w:val="-2"/>
          <w:sz w:val="24"/>
        </w:rPr>
        <w:t>GMX</w:t>
      </w:r>
      <w:r>
        <w:rPr>
          <w:spacing w:val="-8"/>
          <w:sz w:val="24"/>
        </w:rPr>
        <w:t> </w:t>
      </w:r>
      <w:r>
        <w:rPr>
          <w:spacing w:val="-2"/>
          <w:sz w:val="24"/>
        </w:rPr>
        <w:t>close-success</w:t>
      </w:r>
      <w:r>
        <w:rPr>
          <w:spacing w:val="-8"/>
          <w:sz w:val="24"/>
        </w:rPr>
        <w:t> </w:t>
      </w:r>
      <w:r>
        <w:rPr>
          <w:spacing w:val="-2"/>
          <w:sz w:val="24"/>
        </w:rPr>
        <w:t>count)</w:t>
      </w:r>
      <w:r>
        <w:rPr>
          <w:spacing w:val="-8"/>
          <w:sz w:val="24"/>
        </w:rPr>
        <w:t> </w:t>
      </w:r>
      <w:r>
        <w:rPr>
          <w:spacing w:val="-2"/>
          <w:sz w:val="24"/>
        </w:rPr>
        <w:t>used </w:t>
      </w:r>
      <w:r>
        <w:rPr>
          <w:sz w:val="24"/>
        </w:rPr>
        <w:t>to test whether rankings align with an external construct </w:t>
      </w:r>
      <w:hyperlink w:history="true" w:anchor="_bookmark147">
        <w:r>
          <w:rPr>
            <w:sz w:val="24"/>
            <w:vertAlign w:val="superscript"/>
          </w:rPr>
          <w:t>[14]</w:t>
        </w:r>
      </w:hyperlink>
      <w:r>
        <w:rPr>
          <w:sz w:val="24"/>
          <w:vertAlign w:val="baseline"/>
        </w:rPr>
        <w:t>.</w:t>
      </w:r>
    </w:p>
    <w:p>
      <w:pPr>
        <w:pStyle w:val="ListParagraph"/>
        <w:numPr>
          <w:ilvl w:val="0"/>
          <w:numId w:val="13"/>
        </w:numPr>
        <w:tabs>
          <w:tab w:pos="797" w:val="left" w:leader="none"/>
          <w:tab w:pos="808" w:val="left" w:leader="none"/>
        </w:tabs>
        <w:spacing w:line="396" w:lineRule="auto" w:before="61" w:after="0"/>
        <w:ind w:left="808" w:right="564" w:hanging="216"/>
        <w:jc w:val="left"/>
        <w:rPr>
          <w:sz w:val="24"/>
        </w:rPr>
      </w:pPr>
      <w:r>
        <w:rPr>
          <w:i/>
        </w:rPr>
        <w:t>검증 프록시: 순위가 외부 구조와 일치하는지 테스트하는 데 사용되는 관찰 가능한 지갑 지표(예: 등급, GMX 최종 성공 횟수)입니다[14].</w:t>
      </w:r>
    </w:p>
    <w:p>
      <w:pPr>
        <w:pStyle w:val="ListParagraph"/>
        <w:numPr>
          <w:ilvl w:val="0"/>
          <w:numId w:val="13"/>
        </w:numPr>
        <w:tabs>
          <w:tab w:pos="806" w:val="left" w:leader="none"/>
          <w:tab w:pos="808" w:val="left" w:leader="none"/>
        </w:tabs>
        <w:spacing w:line="393" w:lineRule="auto" w:before="38" w:after="0"/>
        <w:ind w:left="808" w:right="563" w:hanging="216"/>
        <w:jc w:val="left"/>
        <w:rPr>
          <w:sz w:val="24"/>
        </w:rPr>
      </w:pPr>
      <w:r>
        <w:rPr>
          <w:b/>
          <w:sz w:val="24"/>
        </w:rPr>
        <w:t>Construct</w:t>
      </w:r>
      <w:r>
        <w:rPr>
          <w:b/>
          <w:spacing w:val="-15"/>
          <w:sz w:val="24"/>
        </w:rPr>
        <w:t> </w:t>
      </w:r>
      <w:r>
        <w:rPr>
          <w:b/>
          <w:sz w:val="24"/>
        </w:rPr>
        <w:t>overlap:</w:t>
      </w:r>
      <w:r>
        <w:rPr>
          <w:b/>
          <w:spacing w:val="-2"/>
          <w:sz w:val="24"/>
        </w:rPr>
        <w:t> </w:t>
      </w:r>
      <w:r>
        <w:rPr>
          <w:sz w:val="24"/>
        </w:rPr>
        <w:t>When</w:t>
      </w:r>
      <w:r>
        <w:rPr>
          <w:spacing w:val="-15"/>
          <w:sz w:val="24"/>
        </w:rPr>
        <w:t> </w:t>
      </w:r>
      <w:r>
        <w:rPr>
          <w:sz w:val="24"/>
        </w:rPr>
        <w:t>a</w:t>
      </w:r>
      <w:r>
        <w:rPr>
          <w:spacing w:val="-15"/>
          <w:sz w:val="24"/>
        </w:rPr>
        <w:t> </w:t>
      </w:r>
      <w:r>
        <w:rPr>
          <w:sz w:val="24"/>
        </w:rPr>
        <w:t>method’s</w:t>
      </w:r>
      <w:r>
        <w:rPr>
          <w:spacing w:val="-15"/>
          <w:sz w:val="24"/>
        </w:rPr>
        <w:t> </w:t>
      </w:r>
      <w:r>
        <w:rPr>
          <w:sz w:val="24"/>
        </w:rPr>
        <w:t>input</w:t>
      </w:r>
      <w:r>
        <w:rPr>
          <w:spacing w:val="-15"/>
          <w:sz w:val="24"/>
        </w:rPr>
        <w:t> </w:t>
      </w:r>
      <w:r>
        <w:rPr>
          <w:sz w:val="24"/>
        </w:rPr>
        <w:t>graph</w:t>
      </w:r>
      <w:r>
        <w:rPr>
          <w:spacing w:val="-15"/>
          <w:sz w:val="24"/>
        </w:rPr>
        <w:t> </w:t>
      </w:r>
      <w:r>
        <w:rPr>
          <w:sz w:val="24"/>
        </w:rPr>
        <w:t>and</w:t>
      </w:r>
      <w:r>
        <w:rPr>
          <w:spacing w:val="-15"/>
          <w:sz w:val="24"/>
        </w:rPr>
        <w:t> </w:t>
      </w:r>
      <w:r>
        <w:rPr>
          <w:sz w:val="24"/>
        </w:rPr>
        <w:t>a</w:t>
      </w:r>
      <w:r>
        <w:rPr>
          <w:spacing w:val="-15"/>
          <w:sz w:val="24"/>
        </w:rPr>
        <w:t> </w:t>
      </w:r>
      <w:r>
        <w:rPr>
          <w:sz w:val="24"/>
        </w:rPr>
        <w:t>validation</w:t>
      </w:r>
      <w:r>
        <w:rPr>
          <w:spacing w:val="-15"/>
          <w:sz w:val="24"/>
        </w:rPr>
        <w:t> </w:t>
      </w:r>
      <w:r>
        <w:rPr>
          <w:sz w:val="24"/>
        </w:rPr>
        <w:t>proxy</w:t>
      </w:r>
      <w:r>
        <w:rPr>
          <w:spacing w:val="-15"/>
          <w:sz w:val="24"/>
        </w:rPr>
        <w:t> </w:t>
      </w:r>
      <w:r>
        <w:rPr>
          <w:sz w:val="24"/>
        </w:rPr>
        <w:t>share</w:t>
      </w:r>
      <w:r>
        <w:rPr>
          <w:spacing w:val="-15"/>
          <w:sz w:val="24"/>
        </w:rPr>
        <w:t> </w:t>
      </w:r>
      <w:r>
        <w:rPr>
          <w:sz w:val="24"/>
        </w:rPr>
        <w:t>the</w:t>
      </w:r>
      <w:r>
        <w:rPr>
          <w:spacing w:val="-15"/>
          <w:sz w:val="24"/>
        </w:rPr>
        <w:t> </w:t>
      </w:r>
      <w:r>
        <w:rPr>
          <w:sz w:val="24"/>
        </w:rPr>
        <w:t>same</w:t>
      </w:r>
      <w:r>
        <w:rPr>
          <w:spacing w:val="-15"/>
          <w:sz w:val="24"/>
        </w:rPr>
        <w:t> </w:t>
      </w:r>
      <w:r>
        <w:rPr>
          <w:sz w:val="24"/>
        </w:rPr>
        <w:t>data source</w:t>
      </w:r>
      <w:r>
        <w:rPr>
          <w:spacing w:val="-2"/>
          <w:sz w:val="24"/>
        </w:rPr>
        <w:t> </w:t>
      </w:r>
      <w:r>
        <w:rPr>
          <w:sz w:val="24"/>
        </w:rPr>
        <w:t>(GF-PR</w:t>
      </w:r>
      <w:r>
        <w:rPr>
          <w:spacing w:val="-2"/>
          <w:sz w:val="24"/>
        </w:rPr>
        <w:t> </w:t>
      </w:r>
      <w:r>
        <w:rPr>
          <w:sz w:val="24"/>
        </w:rPr>
        <w:t>vs.</w:t>
      </w:r>
      <w:r>
        <w:rPr>
          <w:spacing w:val="-2"/>
          <w:sz w:val="24"/>
        </w:rPr>
        <w:t> </w:t>
      </w:r>
      <w:r>
        <w:rPr>
          <w:sz w:val="24"/>
        </w:rPr>
        <w:t>trading-outcome</w:t>
      </w:r>
      <w:r>
        <w:rPr>
          <w:spacing w:val="-2"/>
          <w:sz w:val="24"/>
        </w:rPr>
        <w:t> </w:t>
      </w:r>
      <w:r>
        <w:rPr>
          <w:sz w:val="24"/>
        </w:rPr>
        <w:t>proxies),</w:t>
      </w:r>
      <w:r>
        <w:rPr>
          <w:spacing w:val="-2"/>
          <w:sz w:val="24"/>
        </w:rPr>
        <w:t> </w:t>
      </w:r>
      <w:r>
        <w:rPr>
          <w:sz w:val="24"/>
        </w:rPr>
        <w:t>inflating</w:t>
      </w:r>
      <w:r>
        <w:rPr>
          <w:spacing w:val="-2"/>
          <w:sz w:val="24"/>
        </w:rPr>
        <w:t> </w:t>
      </w:r>
      <w:r>
        <w:rPr>
          <w:rFonts w:ascii="Calibri" w:hAnsi="Calibri"/>
          <w:i/>
          <w:sz w:val="24"/>
        </w:rPr>
        <w:t>τ</w:t>
      </w:r>
      <w:r>
        <w:rPr>
          <w:rFonts w:ascii="Calibri" w:hAnsi="Calibri"/>
          <w:i/>
          <w:spacing w:val="30"/>
          <w:sz w:val="24"/>
        </w:rPr>
        <w:t> </w:t>
      </w:r>
      <w:r>
        <w:rPr>
          <w:sz w:val="24"/>
        </w:rPr>
        <w:t>without</w:t>
      </w:r>
      <w:r>
        <w:rPr>
          <w:spacing w:val="-2"/>
          <w:sz w:val="24"/>
        </w:rPr>
        <w:t> </w:t>
      </w:r>
      <w:r>
        <w:rPr>
          <w:sz w:val="24"/>
        </w:rPr>
        <w:t>implying</w:t>
      </w:r>
      <w:r>
        <w:rPr>
          <w:spacing w:val="-2"/>
          <w:sz w:val="24"/>
        </w:rPr>
        <w:t> </w:t>
      </w:r>
      <w:r>
        <w:rPr>
          <w:sz w:val="24"/>
        </w:rPr>
        <w:t>social</w:t>
      </w:r>
      <w:r>
        <w:rPr>
          <w:spacing w:val="-2"/>
          <w:sz w:val="24"/>
        </w:rPr>
        <w:t> </w:t>
      </w:r>
      <w:r>
        <w:rPr>
          <w:sz w:val="24"/>
        </w:rPr>
        <w:t>reputation.</w:t>
      </w:r>
    </w:p>
    <w:p>
      <w:pPr>
        <w:pStyle w:val="ListParagraph"/>
        <w:numPr>
          <w:ilvl w:val="0"/>
          <w:numId w:val="13"/>
        </w:numPr>
        <w:tabs>
          <w:tab w:pos="806" w:val="left" w:leader="none"/>
          <w:tab w:pos="808" w:val="left" w:leader="none"/>
        </w:tabs>
        <w:spacing w:line="393" w:lineRule="auto" w:before="38" w:after="0"/>
        <w:ind w:left="808" w:right="563" w:hanging="216"/>
        <w:jc w:val="left"/>
        <w:rPr>
          <w:sz w:val="24"/>
        </w:rPr>
      </w:pPr>
      <w:r>
        <w:rPr>
          <w:i/>
        </w:rPr>
        <w:t>중첩 구성: 메서드의 입력 그래프와 검증 프록시가 동일한 데이터 소스(GF-PR 대 거래 결과 프록시)를 공유하는 경우 사회적 평판을 암시하지 않고 τ를 부풀립니다.</w:t>
      </w:r>
    </w:p>
    <w:p>
      <w:pPr>
        <w:pStyle w:val="ListParagraph"/>
        <w:spacing w:after="0" w:line="393" w:lineRule="auto"/>
        <w:jc w:val="left"/>
        <w:rPr>
          <w:sz w:val="24"/>
        </w:rPr>
        <w:sectPr>
          <w:pgSz w:w="11910" w:h="16840"/>
          <w:pgMar w:header="0" w:footer="2115" w:top="1900" w:bottom="2300" w:left="992" w:right="708"/>
        </w:sectPr>
      </w:pPr>
    </w:p>
    <w:p>
      <w:pPr>
        <w:pStyle w:val="ListParagraph"/>
        <w:numPr>
          <w:ilvl w:val="0"/>
          <w:numId w:val="13"/>
        </w:numPr>
        <w:tabs>
          <w:tab w:pos="798" w:val="left" w:leader="none"/>
        </w:tabs>
        <w:spacing w:line="240" w:lineRule="auto" w:before="33" w:after="0"/>
        <w:ind w:left="798" w:right="0" w:hanging="205"/>
        <w:jc w:val="left"/>
        <w:rPr>
          <w:sz w:val="24"/>
        </w:rPr>
      </w:pPr>
      <w:r>
        <w:rPr>
          <w:b/>
          <w:sz w:val="24"/>
        </w:rPr>
        <w:t>Alignment</w:t>
      </w:r>
      <w:r>
        <w:rPr>
          <w:b/>
          <w:spacing w:val="2"/>
          <w:sz w:val="24"/>
        </w:rPr>
        <w:t> </w:t>
      </w:r>
      <w:r>
        <w:rPr>
          <w:b/>
          <w:sz w:val="24"/>
        </w:rPr>
        <w:t>bands</w:t>
      </w:r>
      <w:r>
        <w:rPr>
          <w:b/>
          <w:spacing w:val="7"/>
          <w:sz w:val="24"/>
        </w:rPr>
        <w:t> </w:t>
      </w:r>
      <w:r>
        <w:rPr>
          <w:b/>
          <w:sz w:val="24"/>
        </w:rPr>
        <w:t>(Kendall</w:t>
      </w:r>
      <w:r>
        <w:rPr>
          <w:b/>
          <w:spacing w:val="8"/>
          <w:sz w:val="24"/>
        </w:rPr>
        <w:t> </w:t>
      </w:r>
      <w:r>
        <w:rPr>
          <w:rFonts w:ascii="Calibri" w:hAnsi="Calibri"/>
          <w:i/>
          <w:sz w:val="24"/>
        </w:rPr>
        <w:t>τ</w:t>
      </w:r>
      <w:r>
        <w:rPr>
          <w:rFonts w:ascii="Calibri" w:hAnsi="Calibri"/>
          <w:i/>
          <w:spacing w:val="-28"/>
          <w:sz w:val="24"/>
        </w:rPr>
        <w:t> </w:t>
      </w:r>
      <w:r>
        <w:rPr>
          <w:b/>
          <w:sz w:val="24"/>
        </w:rPr>
        <w:t>):</w:t>
      </w:r>
      <w:r>
        <w:rPr>
          <w:b/>
          <w:spacing w:val="40"/>
          <w:sz w:val="24"/>
        </w:rPr>
        <w:t> </w:t>
      </w:r>
      <w:r>
        <w:rPr>
          <w:rFonts w:ascii="Lucida Sans Unicode" w:hAnsi="Lucida Sans Unicode"/>
          <w:sz w:val="24"/>
        </w:rPr>
        <w:t>|</w:t>
      </w:r>
      <w:r>
        <w:rPr>
          <w:rFonts w:ascii="Calibri" w:hAnsi="Calibri"/>
          <w:i/>
          <w:sz w:val="24"/>
        </w:rPr>
        <w:t>τ</w:t>
      </w:r>
      <w:r>
        <w:rPr>
          <w:rFonts w:ascii="Calibri" w:hAnsi="Calibri"/>
          <w:i/>
          <w:spacing w:val="-28"/>
          <w:sz w:val="24"/>
        </w:rPr>
        <w:t> </w:t>
      </w:r>
      <w:r>
        <w:rPr>
          <w:rFonts w:ascii="Lucida Sans Unicode" w:hAnsi="Lucida Sans Unicode"/>
          <w:sz w:val="24"/>
        </w:rPr>
        <w:t>|</w:t>
      </w:r>
      <w:r>
        <w:rPr>
          <w:rFonts w:ascii="Lucida Sans Unicode" w:hAnsi="Lucida Sans Unicode"/>
          <w:spacing w:val="-4"/>
          <w:w w:val="125"/>
          <w:sz w:val="24"/>
        </w:rPr>
        <w:t> </w:t>
      </w:r>
      <w:r>
        <w:rPr>
          <w:rFonts w:ascii="Calibri" w:hAnsi="Calibri"/>
          <w:i/>
          <w:w w:val="125"/>
          <w:sz w:val="24"/>
        </w:rPr>
        <w:t>&lt;</w:t>
      </w:r>
      <w:r>
        <w:rPr>
          <w:rFonts w:ascii="Calibri" w:hAnsi="Calibri"/>
          <w:i/>
          <w:spacing w:val="23"/>
          <w:w w:val="125"/>
          <w:sz w:val="24"/>
        </w:rPr>
        <w:t> </w:t>
      </w:r>
      <w:r>
        <w:rPr>
          <w:rFonts w:ascii="Calibri" w:hAnsi="Calibri"/>
          <w:sz w:val="24"/>
        </w:rPr>
        <w:t>0</w:t>
      </w:r>
      <w:r>
        <w:rPr>
          <w:rFonts w:ascii="Calibri" w:hAnsi="Calibri"/>
          <w:i/>
          <w:sz w:val="24"/>
        </w:rPr>
        <w:t>.</w:t>
      </w:r>
      <w:r>
        <w:rPr>
          <w:rFonts w:ascii="Calibri" w:hAnsi="Calibri"/>
          <w:sz w:val="24"/>
        </w:rPr>
        <w:t>10</w:t>
      </w:r>
      <w:r>
        <w:rPr>
          <w:rFonts w:ascii="Calibri" w:hAnsi="Calibri"/>
          <w:spacing w:val="13"/>
          <w:sz w:val="24"/>
        </w:rPr>
        <w:t> </w:t>
      </w:r>
      <w:r>
        <w:rPr>
          <w:sz w:val="24"/>
        </w:rPr>
        <w:t>negligible</w:t>
      </w:r>
      <w:r>
        <w:rPr>
          <w:spacing w:val="8"/>
          <w:sz w:val="24"/>
        </w:rPr>
        <w:t> </w:t>
      </w:r>
      <w:r>
        <w:rPr>
          <w:sz w:val="24"/>
        </w:rPr>
        <w:t>noise;</w:t>
      </w:r>
      <w:r>
        <w:rPr>
          <w:spacing w:val="14"/>
          <w:sz w:val="24"/>
        </w:rPr>
        <w:t> </w:t>
      </w:r>
      <w:r>
        <w:rPr>
          <w:rFonts w:ascii="Calibri" w:hAnsi="Calibri"/>
          <w:sz w:val="24"/>
        </w:rPr>
        <w:t>0</w:t>
      </w:r>
      <w:r>
        <w:rPr>
          <w:rFonts w:ascii="Calibri" w:hAnsi="Calibri"/>
          <w:i/>
          <w:sz w:val="24"/>
        </w:rPr>
        <w:t>.</w:t>
      </w:r>
      <w:r>
        <w:rPr>
          <w:rFonts w:ascii="Calibri" w:hAnsi="Calibri"/>
          <w:sz w:val="24"/>
        </w:rPr>
        <w:t>10</w:t>
      </w:r>
      <w:r>
        <w:rPr>
          <w:sz w:val="24"/>
        </w:rPr>
        <w:t>–</w:t>
      </w:r>
      <w:r>
        <w:rPr>
          <w:rFonts w:ascii="Calibri" w:hAnsi="Calibri"/>
          <w:sz w:val="24"/>
        </w:rPr>
        <w:t>0</w:t>
      </w:r>
      <w:r>
        <w:rPr>
          <w:rFonts w:ascii="Calibri" w:hAnsi="Calibri"/>
          <w:i/>
          <w:sz w:val="24"/>
        </w:rPr>
        <w:t>.</w:t>
      </w:r>
      <w:r>
        <w:rPr>
          <w:rFonts w:ascii="Calibri" w:hAnsi="Calibri"/>
          <w:sz w:val="24"/>
        </w:rPr>
        <w:t>35</w:t>
      </w:r>
      <w:r>
        <w:rPr>
          <w:rFonts w:ascii="Calibri" w:hAnsi="Calibri"/>
          <w:spacing w:val="13"/>
          <w:sz w:val="24"/>
        </w:rPr>
        <w:t> </w:t>
      </w:r>
      <w:r>
        <w:rPr>
          <w:sz w:val="24"/>
        </w:rPr>
        <w:t>weak-to-</w:t>
      </w:r>
      <w:r>
        <w:rPr>
          <w:spacing w:val="-2"/>
          <w:sz w:val="24"/>
        </w:rPr>
        <w:t>moderate;</w:t>
      </w:r>
    </w:p>
    <w:p>
      <w:pPr>
        <w:pStyle w:val="ListParagraph"/>
        <w:numPr>
          <w:ilvl w:val="0"/>
          <w:numId w:val="13"/>
        </w:numPr>
        <w:tabs>
          <w:tab w:pos="798" w:val="left" w:leader="none"/>
        </w:tabs>
        <w:spacing w:line="240" w:lineRule="auto" w:before="33" w:after="0"/>
        <w:ind w:left="798" w:right="0" w:hanging="205"/>
        <w:jc w:val="left"/>
        <w:rPr>
          <w:sz w:val="24"/>
        </w:rPr>
      </w:pPr>
      <w:r>
        <w:rPr>
          <w:i/>
        </w:rPr>
        <w:t>정렬 밴드(Kendall τ ): |τ | &lt; 0.10 무시할 수 있는 소음, 0.10–0.35 약함~보통,</w:t>
      </w:r>
    </w:p>
    <w:p>
      <w:pPr>
        <w:pStyle w:val="BodyText"/>
        <w:spacing w:line="321" w:lineRule="auto" w:before="88"/>
        <w:ind w:left="808"/>
      </w:pPr>
      <w:r>
        <w:rPr>
          <w:rFonts w:ascii="Lucida Sans Unicode" w:hAnsi="Lucida Sans Unicode"/>
        </w:rPr>
        <w:t>≥</w:t>
      </w:r>
      <w:r>
        <w:rPr>
          <w:rFonts w:ascii="Lucida Sans Unicode" w:hAnsi="Lucida Sans Unicode"/>
          <w:spacing w:val="40"/>
        </w:rPr>
        <w:t> </w:t>
      </w:r>
      <w:r>
        <w:rPr>
          <w:rFonts w:ascii="Calibri" w:hAnsi="Calibri"/>
        </w:rPr>
        <w:t>0</w:t>
      </w:r>
      <w:r>
        <w:rPr>
          <w:rFonts w:ascii="Calibri" w:hAnsi="Calibri"/>
          <w:i/>
        </w:rPr>
        <w:t>.</w:t>
      </w:r>
      <w:r>
        <w:rPr>
          <w:rFonts w:ascii="Calibri" w:hAnsi="Calibri"/>
        </w:rPr>
        <w:t>35</w:t>
      </w:r>
      <w:r>
        <w:rPr>
          <w:rFonts w:ascii="Calibri" w:hAnsi="Calibri"/>
          <w:spacing w:val="27"/>
        </w:rPr>
        <w:t> </w:t>
      </w:r>
      <w:r>
        <w:rPr/>
        <w:t>substantively meaningful in comparable PageRank/blockchain studies;</w:t>
      </w:r>
      <w:r>
        <w:rPr>
          <w:spacing w:val="35"/>
        </w:rPr>
        <w:t> </w:t>
      </w:r>
      <w:r>
        <w:rPr/>
        <w:t>values are compared </w:t>
      </w:r>
      <w:r>
        <w:rPr>
          <w:i/>
        </w:rPr>
        <w:t>relatively </w:t>
      </w:r>
      <w:r>
        <w:rPr/>
        <w:t>across methods on the same cohort.</w:t>
      </w:r>
    </w:p>
    <w:p>
      <w:pPr>
        <w:pStyle w:val="BodyText"/>
        <w:spacing w:line="321" w:lineRule="auto" w:before="88"/>
        <w:ind w:left="808"/>
      </w:pPr>
      <w:r>
        <w:rPr>
          <w:i/>
        </w:rPr>
        <w:t>≥ 0.35 비교 가능한 PageRank/블록체인 연구에서 실질적으로 의미가 있으며 값은 동일한 코호트의 여러 방법에 걸쳐 상대적으로 비교됩니다.</w:t>
      </w:r>
    </w:p>
    <w:p>
      <w:pPr>
        <w:pStyle w:val="ListParagraph"/>
        <w:numPr>
          <w:ilvl w:val="0"/>
          <w:numId w:val="13"/>
        </w:numPr>
        <w:tabs>
          <w:tab w:pos="806" w:val="left" w:leader="none"/>
          <w:tab w:pos="808" w:val="left" w:leader="none"/>
        </w:tabs>
        <w:spacing w:line="376" w:lineRule="auto" w:before="120" w:after="0"/>
        <w:ind w:left="808" w:right="564" w:hanging="216"/>
        <w:jc w:val="left"/>
        <w:rPr>
          <w:sz w:val="24"/>
        </w:rPr>
      </w:pPr>
      <w:r>
        <w:rPr>
          <w:b/>
          <w:sz w:val="24"/>
        </w:rPr>
        <w:t>Matched wallet cohort:</w:t>
      </w:r>
      <w:r>
        <w:rPr>
          <w:b/>
          <w:spacing w:val="33"/>
          <w:sz w:val="24"/>
        </w:rPr>
        <w:t> </w:t>
      </w:r>
      <w:r>
        <w:rPr>
          <w:sz w:val="24"/>
        </w:rPr>
        <w:t>The primary evaluation sample of </w:t>
      </w:r>
      <w:r>
        <w:rPr>
          <w:rFonts w:ascii="Calibri" w:hAnsi="Calibri"/>
          <w:i/>
          <w:sz w:val="24"/>
        </w:rPr>
        <w:t>n</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 </w:t>
      </w:r>
      <w:r>
        <w:rPr>
          <w:sz w:val="24"/>
        </w:rPr>
        <w:t>wallets with at least three GMX closes and non-zero reputation-subgraph connectivity.</w:t>
      </w:r>
    </w:p>
    <w:p>
      <w:pPr>
        <w:pStyle w:val="ListParagraph"/>
        <w:numPr>
          <w:ilvl w:val="0"/>
          <w:numId w:val="13"/>
        </w:numPr>
        <w:tabs>
          <w:tab w:pos="806" w:val="left" w:leader="none"/>
          <w:tab w:pos="808" w:val="left" w:leader="none"/>
        </w:tabs>
        <w:spacing w:line="376" w:lineRule="auto" w:before="120" w:after="0"/>
        <w:ind w:left="808" w:right="564" w:hanging="216"/>
        <w:jc w:val="left"/>
        <w:rPr>
          <w:sz w:val="24"/>
        </w:rPr>
      </w:pPr>
      <w:r>
        <w:rPr>
          <w:i/>
        </w:rPr>
        <w:t>일치하는 지갑 코호트: 3개 이상의 GMX 마감 및 0이 아닌 평판-하위 그래프 연결을 갖춘 n = 5,521개 지갑의 기본 평가 샘플입니다.</w:t>
      </w:r>
    </w:p>
    <w:p>
      <w:pPr>
        <w:pStyle w:val="ListParagraph"/>
        <w:numPr>
          <w:ilvl w:val="0"/>
          <w:numId w:val="13"/>
        </w:numPr>
        <w:tabs>
          <w:tab w:pos="806" w:val="left" w:leader="none"/>
          <w:tab w:pos="808" w:val="left" w:leader="none"/>
        </w:tabs>
        <w:spacing w:line="376" w:lineRule="auto" w:before="56" w:after="0"/>
        <w:ind w:left="808" w:right="564" w:hanging="216"/>
        <w:jc w:val="left"/>
        <w:rPr>
          <w:sz w:val="24"/>
        </w:rPr>
      </w:pPr>
      <w:r>
        <w:rPr>
          <w:b/>
          <w:sz w:val="24"/>
        </w:rPr>
        <w:t>Expanded wallet pool: </w:t>
      </w:r>
      <w:r>
        <w:rPr>
          <w:sz w:val="24"/>
        </w:rPr>
        <w:t>A larger address set (</w:t>
      </w:r>
      <w:r>
        <w:rPr>
          <w:rFonts w:ascii="Calibri" w:hAnsi="Calibri"/>
          <w:i/>
          <w:sz w:val="24"/>
        </w:rPr>
        <w:t>N</w:t>
      </w:r>
      <w:r>
        <w:rPr>
          <w:rFonts w:ascii="Calibri" w:hAnsi="Calibri"/>
          <w:i/>
          <w:spacing w:val="40"/>
          <w:sz w:val="24"/>
        </w:rPr>
        <w:t> </w:t>
      </w:r>
      <w:r>
        <w:rPr>
          <w:rFonts w:ascii="Calibri" w:hAnsi="Calibri"/>
          <w:sz w:val="24"/>
        </w:rPr>
        <w:t>= 31</w:t>
      </w:r>
      <w:r>
        <w:rPr>
          <w:rFonts w:ascii="Calibri" w:hAnsi="Calibri"/>
          <w:i/>
          <w:sz w:val="24"/>
        </w:rPr>
        <w:t>,</w:t>
      </w:r>
      <w:r>
        <w:rPr>
          <w:rFonts w:ascii="Calibri" w:hAnsi="Calibri"/>
          <w:sz w:val="24"/>
        </w:rPr>
        <w:t>612</w:t>
      </w:r>
      <w:r>
        <w:rPr>
          <w:sz w:val="24"/>
        </w:rPr>
        <w:t>) used for runtime scaling beyond </w:t>
      </w:r>
      <w:r>
        <w:rPr>
          <w:w w:val="105"/>
          <w:sz w:val="24"/>
        </w:rPr>
        <w:t>the matched cohort.</w:t>
      </w:r>
    </w:p>
    <w:p>
      <w:pPr>
        <w:pStyle w:val="ListParagraph"/>
        <w:numPr>
          <w:ilvl w:val="0"/>
          <w:numId w:val="13"/>
        </w:numPr>
        <w:tabs>
          <w:tab w:pos="806" w:val="left" w:leader="none"/>
          <w:tab w:pos="808" w:val="left" w:leader="none"/>
        </w:tabs>
        <w:spacing w:line="376" w:lineRule="auto" w:before="56" w:after="0"/>
        <w:ind w:left="808" w:right="564" w:hanging="216"/>
        <w:jc w:val="left"/>
        <w:rPr>
          <w:sz w:val="24"/>
        </w:rPr>
      </w:pPr>
      <w:r>
        <w:rPr>
          <w:i/>
        </w:rPr>
        <w:t>확장된 지갑 풀: 일치하는 코호트를 넘어서는 런타임 확장에 사용되는 더 큰 주소 세트(N = 31,612)입니다.</w:t>
      </w:r>
    </w:p>
    <w:p>
      <w:pPr>
        <w:pStyle w:val="BodyText"/>
        <w:spacing w:before="182"/>
      </w:pPr>
    </w:p>
    <w:p>
      <w:pPr>
        <w:pStyle w:val="Heading2"/>
        <w:numPr>
          <w:ilvl w:val="1"/>
          <w:numId w:val="8"/>
        </w:numPr>
        <w:tabs>
          <w:tab w:pos="927" w:val="left" w:leader="none"/>
        </w:tabs>
        <w:spacing w:line="240" w:lineRule="auto" w:before="0" w:after="0"/>
        <w:ind w:left="927" w:right="0" w:hanging="645"/>
        <w:jc w:val="left"/>
      </w:pPr>
      <w:bookmarkStart w:name="Domain alignment metrics" w:id="67"/>
      <w:bookmarkEnd w:id="67"/>
      <w:r>
        <w:rPr>
          <w:b w:val="0"/>
        </w:rPr>
      </w:r>
      <w:bookmarkStart w:name="_bookmark37" w:id="68"/>
      <w:bookmarkEnd w:id="68"/>
      <w:r>
        <w:rPr>
          <w:b w:val="0"/>
        </w:rPr>
      </w:r>
      <w:r>
        <w:rPr/>
        <w:t>Domain</w:t>
      </w:r>
      <w:r>
        <w:rPr>
          <w:spacing w:val="19"/>
        </w:rPr>
        <w:t> </w:t>
      </w:r>
      <w:r>
        <w:rPr/>
        <w:t>alignment</w:t>
      </w:r>
      <w:r>
        <w:rPr>
          <w:spacing w:val="20"/>
        </w:rPr>
        <w:t> </w:t>
      </w:r>
      <w:r>
        <w:rPr>
          <w:spacing w:val="-2"/>
        </w:rPr>
        <w:t>metrics</w:t>
      </w:r>
    </w:p>
    <w:p>
      <w:pPr>
        <w:pStyle w:val="Heading2"/>
        <w:numPr>
          <w:ilvl w:val="1"/>
          <w:numId w:val="8"/>
        </w:numPr>
        <w:tabs>
          <w:tab w:pos="927" w:val="left" w:leader="none"/>
        </w:tabs>
        <w:spacing w:line="240" w:lineRule="auto" w:before="0" w:after="0"/>
        <w:ind w:left="927" w:right="0" w:hanging="645"/>
        <w:jc w:val="left"/>
      </w:pPr>
      <w:r>
        <w:rPr>
          <w:i/>
        </w:rPr>
        <w:t>도메인 정렬 측정항목</w:t>
      </w:r>
    </w:p>
    <w:p>
      <w:pPr>
        <w:pStyle w:val="BodyText"/>
        <w:spacing w:before="24"/>
        <w:rPr>
          <w:b/>
          <w:sz w:val="28"/>
        </w:rPr>
      </w:pPr>
    </w:p>
    <w:p>
      <w:pPr>
        <w:pStyle w:val="BodyText"/>
        <w:spacing w:line="384" w:lineRule="auto"/>
        <w:ind w:left="282" w:right="564"/>
        <w:jc w:val="both"/>
      </w:pPr>
      <w:r>
        <w:rPr/>
        <w:t>Following</w:t>
      </w:r>
      <w:r>
        <w:rPr>
          <w:spacing w:val="-1"/>
        </w:rPr>
        <w:t> </w:t>
      </w:r>
      <w:r>
        <w:rPr/>
        <w:t>Do</w:t>
      </w:r>
      <w:r>
        <w:rPr>
          <w:spacing w:val="-1"/>
        </w:rPr>
        <w:t> </w:t>
      </w:r>
      <w:r>
        <w:rPr/>
        <w:t>et</w:t>
      </w:r>
      <w:r>
        <w:rPr>
          <w:spacing w:val="-1"/>
        </w:rPr>
        <w:t> </w:t>
      </w:r>
      <w:r>
        <w:rPr/>
        <w:t>al.</w:t>
      </w:r>
      <w:hyperlink w:history="true" w:anchor="_bookmark149">
        <w:r>
          <w:rPr>
            <w:vertAlign w:val="superscript"/>
          </w:rPr>
          <w:t>[16]</w:t>
        </w:r>
      </w:hyperlink>
      <w:r>
        <w:rPr>
          <w:vertAlign w:val="baseline"/>
        </w:rPr>
        <w:t> and</w:t>
      </w:r>
      <w:r>
        <w:rPr>
          <w:spacing w:val="-1"/>
          <w:vertAlign w:val="baseline"/>
        </w:rPr>
        <w:t> </w:t>
      </w:r>
      <w:r>
        <w:rPr>
          <w:vertAlign w:val="baseline"/>
        </w:rPr>
        <w:t>Cronbach</w:t>
      </w:r>
      <w:r>
        <w:rPr>
          <w:spacing w:val="-1"/>
          <w:vertAlign w:val="baseline"/>
        </w:rPr>
        <w:t> </w:t>
      </w:r>
      <w:r>
        <w:rPr>
          <w:vertAlign w:val="baseline"/>
        </w:rPr>
        <w:t>&amp;</w:t>
      </w:r>
      <w:r>
        <w:rPr>
          <w:spacing w:val="-1"/>
          <w:vertAlign w:val="baseline"/>
        </w:rPr>
        <w:t> </w:t>
      </w:r>
      <w:r>
        <w:rPr>
          <w:vertAlign w:val="baseline"/>
        </w:rPr>
        <w:t>Meehl</w:t>
      </w:r>
      <w:hyperlink w:history="true" w:anchor="_bookmark147">
        <w:r>
          <w:rPr>
            <w:vertAlign w:val="superscript"/>
          </w:rPr>
          <w:t>[14]</w:t>
        </w:r>
      </w:hyperlink>
      <w:r>
        <w:rPr>
          <w:vertAlign w:val="baseline"/>
        </w:rPr>
        <w:t>, construct</w:t>
      </w:r>
      <w:r>
        <w:rPr>
          <w:spacing w:val="-1"/>
          <w:vertAlign w:val="baseline"/>
        </w:rPr>
        <w:t> </w:t>
      </w:r>
      <w:r>
        <w:rPr>
          <w:vertAlign w:val="baseline"/>
        </w:rPr>
        <w:t>alignment</w:t>
      </w:r>
      <w:r>
        <w:rPr>
          <w:spacing w:val="-1"/>
          <w:vertAlign w:val="baseline"/>
        </w:rPr>
        <w:t> </w:t>
      </w:r>
      <w:r>
        <w:rPr>
          <w:vertAlign w:val="baseline"/>
        </w:rPr>
        <w:t>for</w:t>
      </w:r>
      <w:r>
        <w:rPr>
          <w:spacing w:val="-1"/>
          <w:vertAlign w:val="baseline"/>
        </w:rPr>
        <w:t> </w:t>
      </w:r>
      <w:r>
        <w:rPr>
          <w:vertAlign w:val="baseline"/>
        </w:rPr>
        <w:t>rank-based</w:t>
      </w:r>
      <w:r>
        <w:rPr>
          <w:spacing w:val="-1"/>
          <w:vertAlign w:val="baseline"/>
        </w:rPr>
        <w:t> </w:t>
      </w:r>
      <w:r>
        <w:rPr>
          <w:vertAlign w:val="baseline"/>
        </w:rPr>
        <w:t>scores</w:t>
      </w:r>
      <w:r>
        <w:rPr>
          <w:spacing w:val="-1"/>
          <w:vertAlign w:val="baseline"/>
        </w:rPr>
        <w:t> </w:t>
      </w:r>
      <w:r>
        <w:rPr>
          <w:vertAlign w:val="baseline"/>
        </w:rPr>
        <w:t>uses Spearman’s </w:t>
      </w:r>
      <w:r>
        <w:rPr>
          <w:rFonts w:ascii="Calibri" w:hAnsi="Calibri"/>
          <w:i/>
          <w:vertAlign w:val="baseline"/>
        </w:rPr>
        <w:t>ρ </w:t>
      </w:r>
      <w:r>
        <w:rPr>
          <w:vertAlign w:val="baseline"/>
        </w:rPr>
        <w:t>and Kendall’s </w:t>
      </w:r>
      <w:r>
        <w:rPr>
          <w:rFonts w:ascii="Calibri" w:hAnsi="Calibri"/>
          <w:i/>
          <w:vertAlign w:val="baseline"/>
        </w:rPr>
        <w:t>τ </w:t>
      </w:r>
      <w:r>
        <w:rPr>
          <w:vertAlign w:val="baseline"/>
        </w:rPr>
        <w:t>between reputation scores and proxy rankings.</w:t>
      </w:r>
      <w:r>
        <w:rPr>
          <w:spacing w:val="40"/>
          <w:vertAlign w:val="baseline"/>
        </w:rPr>
        <w:t> </w:t>
      </w:r>
      <w:r>
        <w:rPr>
          <w:vertAlign w:val="baseline"/>
        </w:rPr>
        <w:t>This dissertation evaluates </w:t>
      </w:r>
      <w:r>
        <w:rPr>
          <w:b/>
          <w:vertAlign w:val="baseline"/>
        </w:rPr>
        <w:t>five proxy families </w:t>
      </w:r>
      <w:r>
        <w:rPr>
          <w:vertAlign w:val="baseline"/>
        </w:rPr>
        <w:t>(transfer, allowance, inverse risk, Sybil-adjusted stability, trading success);</w:t>
      </w:r>
      <w:r>
        <w:rPr>
          <w:spacing w:val="-9"/>
          <w:vertAlign w:val="baseline"/>
        </w:rPr>
        <w:t> </w:t>
      </w:r>
      <w:r>
        <w:rPr>
          <w:vertAlign w:val="baseline"/>
        </w:rPr>
        <w:t>see</w:t>
      </w:r>
      <w:r>
        <w:rPr>
          <w:spacing w:val="-11"/>
          <w:vertAlign w:val="baseline"/>
        </w:rPr>
        <w:t> </w:t>
      </w:r>
      <w:r>
        <w:rPr>
          <w:vertAlign w:val="baseline"/>
        </w:rPr>
        <w:t>Chapter</w:t>
      </w:r>
      <w:r>
        <w:rPr>
          <w:spacing w:val="-11"/>
          <w:vertAlign w:val="baseline"/>
        </w:rPr>
        <w:t> </w:t>
      </w:r>
      <w:hyperlink w:history="true" w:anchor="_bookmark48">
        <w:r>
          <w:rPr>
            <w:vertAlign w:val="baseline"/>
          </w:rPr>
          <w:t>3</w:t>
        </w:r>
      </w:hyperlink>
      <w:r>
        <w:rPr>
          <w:spacing w:val="-11"/>
          <w:vertAlign w:val="baseline"/>
        </w:rPr>
        <w:t> </w:t>
      </w:r>
      <w:r>
        <w:rPr>
          <w:vertAlign w:val="baseline"/>
        </w:rPr>
        <w:t>for</w:t>
      </w:r>
      <w:r>
        <w:rPr>
          <w:spacing w:val="-11"/>
          <w:vertAlign w:val="baseline"/>
        </w:rPr>
        <w:t> </w:t>
      </w:r>
      <w:r>
        <w:rPr>
          <w:vertAlign w:val="baseline"/>
        </w:rPr>
        <w:t>operational</w:t>
      </w:r>
      <w:r>
        <w:rPr>
          <w:spacing w:val="-11"/>
          <w:vertAlign w:val="baseline"/>
        </w:rPr>
        <w:t> </w:t>
      </w:r>
      <w:r>
        <w:rPr>
          <w:vertAlign w:val="baseline"/>
        </w:rPr>
        <w:t>definitions</w:t>
      </w:r>
      <w:r>
        <w:rPr>
          <w:spacing w:val="-11"/>
          <w:vertAlign w:val="baseline"/>
        </w:rPr>
        <w:t> </w:t>
      </w:r>
      <w:r>
        <w:rPr>
          <w:vertAlign w:val="baseline"/>
        </w:rPr>
        <w:t>and</w:t>
      </w:r>
      <w:r>
        <w:rPr>
          <w:spacing w:val="-11"/>
          <w:vertAlign w:val="baseline"/>
        </w:rPr>
        <w:t> </w:t>
      </w:r>
      <w:r>
        <w:rPr>
          <w:vertAlign w:val="baseline"/>
        </w:rPr>
        <w:t>formulas. Family-level</w:t>
      </w:r>
      <w:r>
        <w:rPr>
          <w:spacing w:val="-11"/>
          <w:vertAlign w:val="baseline"/>
        </w:rPr>
        <w:t> </w:t>
      </w:r>
      <w:r>
        <w:rPr>
          <w:vertAlign w:val="baseline"/>
        </w:rPr>
        <w:t>mean</w:t>
      </w:r>
      <w:r>
        <w:rPr>
          <w:spacing w:val="-11"/>
          <w:vertAlign w:val="baseline"/>
        </w:rPr>
        <w:t> </w:t>
      </w:r>
      <w:r>
        <w:rPr>
          <w:rFonts w:ascii="Calibri" w:hAnsi="Calibri"/>
          <w:i/>
          <w:vertAlign w:val="baseline"/>
        </w:rPr>
        <w:t>τ</w:t>
      </w:r>
      <w:r>
        <w:rPr>
          <w:rFonts w:ascii="Calibri" w:hAnsi="Calibri"/>
          <w:i/>
          <w:spacing w:val="20"/>
          <w:vertAlign w:val="baseline"/>
        </w:rPr>
        <w:t> </w:t>
      </w:r>
      <w:r>
        <w:rPr>
          <w:vertAlign w:val="baseline"/>
        </w:rPr>
        <w:t>summarizes each construct; per-proxy tables report </w:t>
      </w:r>
      <w:r>
        <w:rPr>
          <w:rFonts w:ascii="Calibri" w:hAnsi="Calibri"/>
          <w:i/>
          <w:vertAlign w:val="baseline"/>
        </w:rPr>
        <w:t>ρ </w:t>
      </w:r>
      <w:r>
        <w:rPr>
          <w:vertAlign w:val="baseline"/>
        </w:rPr>
        <w:t>and </w:t>
      </w:r>
      <w:r>
        <w:rPr>
          <w:rFonts w:ascii="Calibri" w:hAnsi="Calibri"/>
          <w:i/>
          <w:vertAlign w:val="baseline"/>
        </w:rPr>
        <w:t>τ</w:t>
      </w:r>
      <w:r>
        <w:rPr>
          <w:rFonts w:ascii="Calibri" w:hAnsi="Calibri"/>
          <w:i/>
          <w:spacing w:val="40"/>
          <w:vertAlign w:val="baseline"/>
        </w:rPr>
        <w:t> </w:t>
      </w:r>
      <w:r>
        <w:rPr>
          <w:vertAlign w:val="baseline"/>
        </w:rPr>
        <w:t>for transparency.</w:t>
      </w:r>
    </w:p>
    <w:p>
      <w:pPr>
        <w:pStyle w:val="BodyText"/>
        <w:spacing w:line="384" w:lineRule="auto"/>
        <w:ind w:left="282" w:right="564"/>
        <w:jc w:val="both"/>
      </w:pPr>
      <w:r>
        <w:rPr>
          <w:i/>
        </w:rPr>
        <w:t>Do 등[16] Cronbach &amp; Meehl[14]은 순위 기반 점수에 대한 정렬 구성에서 평판 점수와 프록시 순위 사이에 Spearman의 ρ와 Kendall의 τ를 사용합니다. 이 논문은 5가지 대리군(이전, 허용, 역위험, Sybil 조정 안정성, 거래 성공)을 평가합니다. 운영 정의 및 공식은 3장을 참조하세요. 계열 수준 평균 τ는 각 구성을 요약하고, 프록시별 테이블은 투명성을 위해 ρ 및 τ를 보고합니다.</w:t>
      </w:r>
    </w:p>
    <w:p>
      <w:pPr>
        <w:pStyle w:val="BodyText"/>
        <w:spacing w:line="396" w:lineRule="auto" w:before="7"/>
        <w:ind w:left="282" w:right="523" w:hanging="8"/>
        <w:jc w:val="both"/>
      </w:pPr>
      <w:r>
        <w:rPr/>
        <w:t>The</w:t>
      </w:r>
      <w:r>
        <w:rPr>
          <w:spacing w:val="-2"/>
        </w:rPr>
        <w:t> </w:t>
      </w:r>
      <w:r>
        <w:rPr/>
        <w:t>literature</w:t>
      </w:r>
      <w:r>
        <w:rPr>
          <w:spacing w:val="-2"/>
        </w:rPr>
        <w:t> </w:t>
      </w:r>
      <w:r>
        <w:rPr/>
        <w:t>reviewed</w:t>
      </w:r>
      <w:r>
        <w:rPr>
          <w:spacing w:val="-2"/>
        </w:rPr>
        <w:t> </w:t>
      </w:r>
      <w:r>
        <w:rPr/>
        <w:t>here</w:t>
      </w:r>
      <w:r>
        <w:rPr>
          <w:spacing w:val="-2"/>
        </w:rPr>
        <w:t> </w:t>
      </w:r>
      <w:r>
        <w:rPr/>
        <w:t>supports</w:t>
      </w:r>
      <w:r>
        <w:rPr>
          <w:spacing w:val="-2"/>
        </w:rPr>
        <w:t> </w:t>
      </w:r>
      <w:r>
        <w:rPr/>
        <w:t>three</w:t>
      </w:r>
      <w:r>
        <w:rPr>
          <w:spacing w:val="-2"/>
        </w:rPr>
        <w:t> </w:t>
      </w:r>
      <w:r>
        <w:rPr/>
        <w:t>design</w:t>
      </w:r>
      <w:r>
        <w:rPr>
          <w:spacing w:val="-2"/>
        </w:rPr>
        <w:t> </w:t>
      </w:r>
      <w:r>
        <w:rPr/>
        <w:t>choices: (i)</w:t>
      </w:r>
      <w:r>
        <w:rPr>
          <w:spacing w:val="-2"/>
        </w:rPr>
        <w:t> </w:t>
      </w:r>
      <w:r>
        <w:rPr/>
        <w:t>PageRank</w:t>
      </w:r>
      <w:r>
        <w:rPr>
          <w:spacing w:val="-2"/>
        </w:rPr>
        <w:t> </w:t>
      </w:r>
      <w:r>
        <w:rPr/>
        <w:t>as</w:t>
      </w:r>
      <w:r>
        <w:rPr>
          <w:spacing w:val="-2"/>
        </w:rPr>
        <w:t> </w:t>
      </w:r>
      <w:r>
        <w:rPr/>
        <w:t>an</w:t>
      </w:r>
      <w:r>
        <w:rPr>
          <w:spacing w:val="-2"/>
        </w:rPr>
        <w:t> </w:t>
      </w:r>
      <w:r>
        <w:rPr/>
        <w:t>interpretable</w:t>
      </w:r>
      <w:r>
        <w:rPr>
          <w:spacing w:val="-2"/>
        </w:rPr>
        <w:t> </w:t>
      </w:r>
      <w:r>
        <w:rPr/>
        <w:t>prop-agation backbone; (ii) allowances as endorsement edges distinct from transfers; and (iii) multi-family</w:t>
      </w:r>
      <w:r>
        <w:rPr>
          <w:spacing w:val="-4"/>
        </w:rPr>
        <w:t> </w:t>
      </w:r>
      <w:r>
        <w:rPr/>
        <w:t>rank</w:t>
      </w:r>
      <w:r>
        <w:rPr>
          <w:spacing w:val="-4"/>
        </w:rPr>
        <w:t> </w:t>
      </w:r>
      <w:r>
        <w:rPr/>
        <w:t>correlation</w:t>
      </w:r>
      <w:r>
        <w:rPr>
          <w:spacing w:val="-4"/>
        </w:rPr>
        <w:t> </w:t>
      </w:r>
      <w:r>
        <w:rPr/>
        <w:t>as</w:t>
      </w:r>
      <w:r>
        <w:rPr>
          <w:spacing w:val="-4"/>
        </w:rPr>
        <w:t> </w:t>
      </w:r>
      <w:r>
        <w:rPr/>
        <w:t>validation</w:t>
      </w:r>
      <w:r>
        <w:rPr>
          <w:spacing w:val="-4"/>
        </w:rPr>
        <w:t> </w:t>
      </w:r>
      <w:r>
        <w:rPr/>
        <w:t>in</w:t>
      </w:r>
      <w:r>
        <w:rPr>
          <w:spacing w:val="-3"/>
        </w:rPr>
        <w:t> </w:t>
      </w:r>
      <w:r>
        <w:rPr/>
        <w:t>the</w:t>
      </w:r>
      <w:r>
        <w:rPr>
          <w:spacing w:val="-4"/>
        </w:rPr>
        <w:t> </w:t>
      </w:r>
      <w:r>
        <w:rPr/>
        <w:t>absence</w:t>
      </w:r>
      <w:r>
        <w:rPr>
          <w:spacing w:val="-4"/>
        </w:rPr>
        <w:t> </w:t>
      </w:r>
      <w:r>
        <w:rPr/>
        <w:t>of</w:t>
      </w:r>
      <w:r>
        <w:rPr>
          <w:spacing w:val="-4"/>
        </w:rPr>
        <w:t> </w:t>
      </w:r>
      <w:r>
        <w:rPr/>
        <w:t>loan-default</w:t>
      </w:r>
      <w:r>
        <w:rPr>
          <w:spacing w:val="-4"/>
        </w:rPr>
        <w:t> </w:t>
      </w:r>
      <w:r>
        <w:rPr/>
        <w:t>labels. These</w:t>
      </w:r>
      <w:r>
        <w:rPr>
          <w:spacing w:val="-3"/>
        </w:rPr>
        <w:t> </w:t>
      </w:r>
      <w:r>
        <w:rPr/>
        <w:t>choices</w:t>
      </w:r>
      <w:r>
        <w:rPr>
          <w:spacing w:val="-4"/>
        </w:rPr>
        <w:t> </w:t>
      </w:r>
      <w:r>
        <w:rPr/>
        <w:t>motivate </w:t>
      </w:r>
      <w:bookmarkStart w:name="Worked example: PageRank on a four-node " w:id="69"/>
      <w:bookmarkEnd w:id="69"/>
      <w:r>
        <w:rPr>
          <w:w w:val="99"/>
        </w:rPr>
      </w:r>
      <w:bookmarkStart w:name="_bookmark38" w:id="70"/>
      <w:bookmarkEnd w:id="70"/>
      <w:r>
        <w:rPr/>
        <w:t>the</w:t>
      </w:r>
      <w:r>
        <w:rPr/>
        <w:t> remaining sections of this chapter and, later, the operational pipeline in Chapter </w:t>
      </w:r>
      <w:hyperlink w:history="true" w:anchor="_bookmark48">
        <w:r>
          <w:rPr/>
          <w:t>3</w:t>
        </w:r>
      </w:hyperlink>
      <w:r>
        <w:rPr/>
        <w:t>.</w:t>
      </w:r>
    </w:p>
    <w:p>
      <w:pPr>
        <w:pStyle w:val="BodyText"/>
        <w:spacing w:line="396" w:lineRule="auto" w:before="7"/>
        <w:ind w:left="282" w:right="523" w:hanging="8"/>
        <w:jc w:val="both"/>
      </w:pPr>
      <w:r>
        <w:rPr>
          <w:i/>
        </w:rPr>
        <w:t>여기에서 검토된 문헌은 세 가지 설계 선택을 지원합니다: (i) 해석 가능한 전파 백본으로서의 PageRank, (ii) 양도와 구별되는 보증 엣지로서의 수당, (iii) 대출 불이행 라벨이 없는 경우 검증으로서의 다가구 순위 상관관계. 이러한 선택은 이 장의 나머지 섹션과 나중에 3장의 운영 파이프라인에 동기를 부여합니다.</w:t>
      </w:r>
    </w:p>
    <w:p>
      <w:pPr>
        <w:pStyle w:val="BodyText"/>
        <w:spacing w:before="163"/>
      </w:pPr>
    </w:p>
    <w:p>
      <w:pPr>
        <w:pStyle w:val="Heading2"/>
        <w:numPr>
          <w:ilvl w:val="1"/>
          <w:numId w:val="8"/>
        </w:numPr>
        <w:tabs>
          <w:tab w:pos="927" w:val="left" w:leader="none"/>
        </w:tabs>
        <w:spacing w:line="240" w:lineRule="auto" w:before="0" w:after="0"/>
        <w:ind w:left="927" w:right="0" w:hanging="645"/>
        <w:jc w:val="left"/>
      </w:pPr>
      <w:r>
        <w:rPr/>
        <w:t>Worked</w:t>
      </w:r>
      <w:r>
        <w:rPr>
          <w:spacing w:val="13"/>
        </w:rPr>
        <w:t> </w:t>
      </w:r>
      <w:r>
        <w:rPr/>
        <w:t>example:</w:t>
      </w:r>
      <w:r>
        <w:rPr>
          <w:spacing w:val="41"/>
        </w:rPr>
        <w:t> </w:t>
      </w:r>
      <w:r>
        <w:rPr/>
        <w:t>PageRank</w:t>
      </w:r>
      <w:r>
        <w:rPr>
          <w:spacing w:val="13"/>
        </w:rPr>
        <w:t> </w:t>
      </w:r>
      <w:r>
        <w:rPr/>
        <w:t>on</w:t>
      </w:r>
      <w:r>
        <w:rPr>
          <w:spacing w:val="14"/>
        </w:rPr>
        <w:t> </w:t>
      </w:r>
      <w:r>
        <w:rPr/>
        <w:t>a</w:t>
      </w:r>
      <w:r>
        <w:rPr>
          <w:spacing w:val="13"/>
        </w:rPr>
        <w:t> </w:t>
      </w:r>
      <w:r>
        <w:rPr/>
        <w:t>four-node</w:t>
      </w:r>
      <w:r>
        <w:rPr>
          <w:spacing w:val="13"/>
        </w:rPr>
        <w:t> </w:t>
      </w:r>
      <w:r>
        <w:rPr/>
        <w:t>endorsement</w:t>
      </w:r>
      <w:r>
        <w:rPr>
          <w:spacing w:val="14"/>
        </w:rPr>
        <w:t> </w:t>
      </w:r>
      <w:r>
        <w:rPr>
          <w:spacing w:val="-2"/>
        </w:rPr>
        <w:t>graph</w:t>
      </w:r>
    </w:p>
    <w:p>
      <w:pPr>
        <w:pStyle w:val="Heading2"/>
        <w:numPr>
          <w:ilvl w:val="1"/>
          <w:numId w:val="8"/>
        </w:numPr>
        <w:tabs>
          <w:tab w:pos="927" w:val="left" w:leader="none"/>
        </w:tabs>
        <w:spacing w:line="240" w:lineRule="auto" w:before="0" w:after="0"/>
        <w:ind w:left="927" w:right="0" w:hanging="645"/>
        <w:jc w:val="left"/>
      </w:pPr>
      <w:r>
        <w:rPr>
          <w:i/>
        </w:rPr>
        <w:t>실제 예: 4노드 보증 그래프의 PageRank</w:t>
      </w:r>
    </w:p>
    <w:p>
      <w:pPr>
        <w:pStyle w:val="BodyText"/>
        <w:spacing w:before="307"/>
        <w:ind w:left="274"/>
        <w:jc w:val="both"/>
      </w:pPr>
      <w:r>
        <w:rPr/>
        <w:t>To</w:t>
      </w:r>
      <w:r>
        <w:rPr>
          <w:spacing w:val="14"/>
        </w:rPr>
        <w:t> </w:t>
      </w:r>
      <w:r>
        <w:rPr/>
        <w:t>make</w:t>
      </w:r>
      <w:r>
        <w:rPr>
          <w:spacing w:val="14"/>
        </w:rPr>
        <w:t> </w:t>
      </w:r>
      <w:r>
        <w:rPr/>
        <w:t>Equation</w:t>
      </w:r>
      <w:r>
        <w:rPr>
          <w:spacing w:val="14"/>
        </w:rPr>
        <w:t> </w:t>
      </w:r>
      <w:r>
        <w:rPr/>
        <w:t>(</w:t>
      </w:r>
      <w:hyperlink w:history="true" w:anchor="_bookmark26">
        <w:r>
          <w:rPr/>
          <w:t>2.3</w:t>
        </w:r>
      </w:hyperlink>
      <w:r>
        <w:rPr/>
        <w:t>)</w:t>
      </w:r>
      <w:r>
        <w:rPr>
          <w:spacing w:val="14"/>
        </w:rPr>
        <w:t> </w:t>
      </w:r>
      <w:r>
        <w:rPr/>
        <w:t>concrete,</w:t>
      </w:r>
      <w:r>
        <w:rPr>
          <w:spacing w:val="14"/>
        </w:rPr>
        <w:t> </w:t>
      </w:r>
      <w:r>
        <w:rPr/>
        <w:t>consider</w:t>
      </w:r>
      <w:r>
        <w:rPr>
          <w:spacing w:val="14"/>
        </w:rPr>
        <w:t> </w:t>
      </w:r>
      <w:r>
        <w:rPr/>
        <w:t>four</w:t>
      </w:r>
      <w:r>
        <w:rPr>
          <w:spacing w:val="14"/>
        </w:rPr>
        <w:t> </w:t>
      </w:r>
      <w:r>
        <w:rPr/>
        <w:t>wallets</w:t>
      </w:r>
      <w:r>
        <w:rPr>
          <w:spacing w:val="15"/>
        </w:rPr>
        <w:t> </w:t>
      </w:r>
      <w:r>
        <w:rPr>
          <w:rFonts w:ascii="Lucida Sans Unicode"/>
        </w:rPr>
        <w:t>{</w:t>
      </w:r>
      <w:r>
        <w:rPr>
          <w:rFonts w:ascii="Calibri"/>
          <w:i/>
        </w:rPr>
        <w:t>A,</w:t>
      </w:r>
      <w:r>
        <w:rPr>
          <w:rFonts w:ascii="Calibri"/>
          <w:i/>
          <w:spacing w:val="-5"/>
        </w:rPr>
        <w:t> </w:t>
      </w:r>
      <w:r>
        <w:rPr>
          <w:rFonts w:ascii="Calibri"/>
          <w:i/>
        </w:rPr>
        <w:t>B,</w:t>
      </w:r>
      <w:r>
        <w:rPr>
          <w:rFonts w:ascii="Calibri"/>
          <w:i/>
          <w:spacing w:val="-5"/>
        </w:rPr>
        <w:t> </w:t>
      </w:r>
      <w:r>
        <w:rPr>
          <w:rFonts w:ascii="Calibri"/>
          <w:i/>
        </w:rPr>
        <w:t>C,</w:t>
      </w:r>
      <w:r>
        <w:rPr>
          <w:rFonts w:ascii="Calibri"/>
          <w:i/>
          <w:spacing w:val="-5"/>
        </w:rPr>
        <w:t> </w:t>
      </w:r>
      <w:r>
        <w:rPr>
          <w:rFonts w:ascii="Calibri"/>
          <w:i/>
        </w:rPr>
        <w:t>D</w:t>
      </w:r>
      <w:r>
        <w:rPr>
          <w:rFonts w:ascii="Lucida Sans Unicode"/>
        </w:rPr>
        <w:t>}</w:t>
      </w:r>
      <w:r>
        <w:rPr>
          <w:rFonts w:ascii="Lucida Sans Unicode"/>
          <w:spacing w:val="-2"/>
        </w:rPr>
        <w:t> </w:t>
      </w:r>
      <w:r>
        <w:rPr/>
        <w:t>with</w:t>
      </w:r>
      <w:r>
        <w:rPr>
          <w:spacing w:val="14"/>
        </w:rPr>
        <w:t> </w:t>
      </w:r>
      <w:r>
        <w:rPr/>
        <w:t>latest-allowance</w:t>
      </w:r>
      <w:r>
        <w:rPr>
          <w:spacing w:val="14"/>
        </w:rPr>
        <w:t> </w:t>
      </w:r>
      <w:r>
        <w:rPr>
          <w:spacing w:val="-2"/>
        </w:rPr>
        <w:t>edges</w:t>
      </w:r>
    </w:p>
    <w:p>
      <w:pPr>
        <w:pStyle w:val="BodyText"/>
        <w:spacing w:before="307"/>
        <w:ind w:left="274"/>
        <w:jc w:val="both"/>
      </w:pPr>
      <w:r>
        <w:rPr>
          <w:i/>
        </w:rPr>
        <w:t>방정식 (2.3)을 구체적으로 만들기 위해 최신 허용 모서리를 갖는 4개의 지갑 {A, B, C, D}를 고려하십시오.</w:t>
      </w:r>
    </w:p>
    <w:p>
      <w:pPr>
        <w:pStyle w:val="BodyText"/>
        <w:spacing w:before="189"/>
      </w:pPr>
    </w:p>
    <w:p>
      <w:pPr>
        <w:tabs>
          <w:tab w:pos="1439" w:val="left" w:leader="none"/>
          <w:tab w:pos="2874" w:val="left" w:leader="none"/>
          <w:tab w:pos="4340" w:val="left" w:leader="none"/>
        </w:tabs>
        <w:spacing w:before="0"/>
        <w:ind w:left="-1" w:right="282" w:firstLine="0"/>
        <w:jc w:val="center"/>
        <w:rPr>
          <w:rFonts w:ascii="Calibri" w:hAnsi="Calibri"/>
          <w:i/>
          <w:sz w:val="24"/>
        </w:rPr>
      </w:pPr>
      <w:r>
        <w:rPr>
          <w:rFonts w:ascii="Calibri" w:hAnsi="Calibri"/>
          <w:i/>
          <w:w w:val="120"/>
          <w:sz w:val="24"/>
        </w:rPr>
        <w:t>A</w:t>
      </w:r>
      <w:r>
        <w:rPr>
          <w:rFonts w:ascii="Calibri" w:hAnsi="Calibri"/>
          <w:i/>
          <w:spacing w:val="-1"/>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B</w:t>
      </w:r>
      <w:r>
        <w:rPr>
          <w:rFonts w:ascii="Calibri" w:hAnsi="Calibri"/>
          <w:i/>
          <w:spacing w:val="5"/>
          <w:w w:val="120"/>
          <w:sz w:val="24"/>
        </w:rPr>
        <w:t> </w:t>
      </w:r>
      <w:r>
        <w:rPr>
          <w:rFonts w:ascii="Calibri" w:hAnsi="Calibri"/>
          <w:spacing w:val="-4"/>
          <w:w w:val="120"/>
          <w:sz w:val="24"/>
        </w:rPr>
        <w:t>(2)</w:t>
      </w:r>
      <w:r>
        <w:rPr>
          <w:rFonts w:ascii="Calibri" w:hAnsi="Calibri"/>
          <w:i/>
          <w:spacing w:val="-4"/>
          <w:w w:val="120"/>
          <w:sz w:val="24"/>
        </w:rPr>
        <w:t>,</w:t>
      </w:r>
      <w:r>
        <w:rPr>
          <w:rFonts w:ascii="Calibri" w:hAnsi="Calibri"/>
          <w:i/>
          <w:sz w:val="24"/>
        </w:rPr>
        <w:tab/>
      </w:r>
      <w:r>
        <w:rPr>
          <w:rFonts w:ascii="Calibri" w:hAnsi="Calibri"/>
          <w:i/>
          <w:w w:val="120"/>
          <w:sz w:val="24"/>
        </w:rPr>
        <w:t>A</w:t>
      </w:r>
      <w:r>
        <w:rPr>
          <w:rFonts w:ascii="Calibri" w:hAnsi="Calibri"/>
          <w:i/>
          <w:spacing w:val="-4"/>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C</w:t>
      </w:r>
      <w:r>
        <w:rPr>
          <w:rFonts w:ascii="Calibri" w:hAnsi="Calibri"/>
          <w:i/>
          <w:spacing w:val="9"/>
          <w:w w:val="120"/>
          <w:sz w:val="24"/>
        </w:rPr>
        <w:t> </w:t>
      </w:r>
      <w:r>
        <w:rPr>
          <w:rFonts w:ascii="Calibri" w:hAnsi="Calibri"/>
          <w:spacing w:val="-4"/>
          <w:w w:val="120"/>
          <w:sz w:val="24"/>
        </w:rPr>
        <w:t>(1)</w:t>
      </w:r>
      <w:r>
        <w:rPr>
          <w:rFonts w:ascii="Calibri" w:hAnsi="Calibri"/>
          <w:i/>
          <w:spacing w:val="-4"/>
          <w:w w:val="120"/>
          <w:sz w:val="24"/>
        </w:rPr>
        <w:t>,</w:t>
      </w:r>
      <w:r>
        <w:rPr>
          <w:rFonts w:ascii="Calibri" w:hAnsi="Calibri"/>
          <w:i/>
          <w:sz w:val="24"/>
        </w:rPr>
        <w:tab/>
      </w:r>
      <w:r>
        <w:rPr>
          <w:rFonts w:ascii="Calibri" w:hAnsi="Calibri"/>
          <w:i/>
          <w:w w:val="120"/>
          <w:sz w:val="24"/>
        </w:rPr>
        <w:t>B</w:t>
      </w:r>
      <w:r>
        <w:rPr>
          <w:rFonts w:ascii="Calibri" w:hAnsi="Calibri"/>
          <w:i/>
          <w:spacing w:val="15"/>
          <w:w w:val="120"/>
          <w:sz w:val="24"/>
        </w:rPr>
        <w:t> </w:t>
      </w:r>
      <w:r>
        <w:rPr>
          <w:rFonts w:ascii="Lucida Sans Unicode" w:hAnsi="Lucida Sans Unicode"/>
          <w:w w:val="120"/>
          <w:sz w:val="24"/>
        </w:rPr>
        <w:t>→</w:t>
      </w:r>
      <w:r>
        <w:rPr>
          <w:rFonts w:ascii="Lucida Sans Unicode" w:hAnsi="Lucida Sans Unicode"/>
          <w:spacing w:val="-24"/>
          <w:w w:val="120"/>
          <w:sz w:val="24"/>
        </w:rPr>
        <w:t> </w:t>
      </w:r>
      <w:r>
        <w:rPr>
          <w:rFonts w:ascii="Calibri" w:hAnsi="Calibri"/>
          <w:i/>
          <w:w w:val="120"/>
          <w:sz w:val="24"/>
        </w:rPr>
        <w:t>D</w:t>
      </w:r>
      <w:r>
        <w:rPr>
          <w:rFonts w:ascii="Calibri" w:hAnsi="Calibri"/>
          <w:i/>
          <w:spacing w:val="3"/>
          <w:w w:val="120"/>
          <w:sz w:val="24"/>
        </w:rPr>
        <w:t> </w:t>
      </w:r>
      <w:r>
        <w:rPr>
          <w:rFonts w:ascii="Calibri" w:hAnsi="Calibri"/>
          <w:spacing w:val="-4"/>
          <w:w w:val="120"/>
          <w:sz w:val="24"/>
        </w:rPr>
        <w:t>(3)</w:t>
      </w:r>
      <w:r>
        <w:rPr>
          <w:rFonts w:ascii="Calibri" w:hAnsi="Calibri"/>
          <w:i/>
          <w:spacing w:val="-4"/>
          <w:w w:val="120"/>
          <w:sz w:val="24"/>
        </w:rPr>
        <w:t>,</w:t>
      </w:r>
      <w:r>
        <w:rPr>
          <w:rFonts w:ascii="Calibri" w:hAnsi="Calibri"/>
          <w:i/>
          <w:sz w:val="24"/>
        </w:rPr>
        <w:tab/>
      </w:r>
      <w:r>
        <w:rPr>
          <w:rFonts w:ascii="Calibri" w:hAnsi="Calibri"/>
          <w:i/>
          <w:w w:val="120"/>
          <w:sz w:val="24"/>
        </w:rPr>
        <w:t>C</w:t>
      </w:r>
      <w:r>
        <w:rPr>
          <w:rFonts w:ascii="Calibri" w:hAnsi="Calibri"/>
          <w:i/>
          <w:spacing w:val="18"/>
          <w:w w:val="120"/>
          <w:sz w:val="24"/>
        </w:rPr>
        <w:t> </w:t>
      </w:r>
      <w:r>
        <w:rPr>
          <w:rFonts w:ascii="Lucida Sans Unicode" w:hAnsi="Lucida Sans Unicode"/>
          <w:w w:val="120"/>
          <w:sz w:val="24"/>
        </w:rPr>
        <w:t>→</w:t>
      </w:r>
      <w:r>
        <w:rPr>
          <w:rFonts w:ascii="Lucida Sans Unicode" w:hAnsi="Lucida Sans Unicode"/>
          <w:spacing w:val="-25"/>
          <w:w w:val="120"/>
          <w:sz w:val="24"/>
        </w:rPr>
        <w:t> </w:t>
      </w:r>
      <w:r>
        <w:rPr>
          <w:rFonts w:ascii="Calibri" w:hAnsi="Calibri"/>
          <w:i/>
          <w:w w:val="120"/>
          <w:sz w:val="24"/>
        </w:rPr>
        <w:t>D</w:t>
      </w:r>
      <w:r>
        <w:rPr>
          <w:rFonts w:ascii="Calibri" w:hAnsi="Calibri"/>
          <w:i/>
          <w:spacing w:val="2"/>
          <w:w w:val="120"/>
          <w:sz w:val="24"/>
        </w:rPr>
        <w:t> </w:t>
      </w:r>
      <w:r>
        <w:rPr>
          <w:rFonts w:ascii="Calibri" w:hAnsi="Calibri"/>
          <w:spacing w:val="-4"/>
          <w:w w:val="120"/>
          <w:sz w:val="24"/>
        </w:rPr>
        <w:t>(1)</w:t>
      </w:r>
      <w:r>
        <w:rPr>
          <w:rFonts w:ascii="Calibri" w:hAnsi="Calibri"/>
          <w:i/>
          <w:spacing w:val="-4"/>
          <w:w w:val="120"/>
          <w:sz w:val="24"/>
        </w:rPr>
        <w:t>,</w:t>
      </w:r>
    </w:p>
    <w:p>
      <w:pPr>
        <w:pStyle w:val="BodyText"/>
        <w:spacing w:before="207"/>
        <w:rPr>
          <w:rFonts w:ascii="Calibri"/>
          <w:i/>
        </w:rPr>
      </w:pPr>
    </w:p>
    <w:p>
      <w:pPr>
        <w:pStyle w:val="BodyText"/>
        <w:spacing w:line="172" w:lineRule="exact"/>
        <w:ind w:left="282"/>
        <w:jc w:val="both"/>
      </w:pPr>
      <w:r>
        <w:rPr>
          <w:w w:val="110"/>
        </w:rPr>
        <w:t>and</w:t>
      </w:r>
      <w:r>
        <w:rPr>
          <w:spacing w:val="-17"/>
          <w:w w:val="110"/>
        </w:rPr>
        <w:t> </w:t>
      </w:r>
      <w:r>
        <w:rPr>
          <w:w w:val="110"/>
        </w:rPr>
        <w:t>damping</w:t>
      </w:r>
      <w:r>
        <w:rPr>
          <w:spacing w:val="-16"/>
          <w:w w:val="110"/>
        </w:rPr>
        <w:t> </w:t>
      </w:r>
      <w:r>
        <w:rPr>
          <w:rFonts w:ascii="Calibri"/>
          <w:i/>
          <w:w w:val="110"/>
        </w:rPr>
        <w:t>d</w:t>
      </w:r>
      <w:r>
        <w:rPr>
          <w:rFonts w:ascii="Calibri"/>
          <w:i/>
          <w:spacing w:val="-9"/>
          <w:w w:val="110"/>
        </w:rPr>
        <w:t> </w:t>
      </w:r>
      <w:r>
        <w:rPr>
          <w:rFonts w:ascii="Calibri"/>
          <w:w w:val="110"/>
        </w:rPr>
        <w:t>=</w:t>
      </w:r>
      <w:r>
        <w:rPr>
          <w:rFonts w:ascii="Calibri"/>
          <w:spacing w:val="-8"/>
          <w:w w:val="110"/>
        </w:rPr>
        <w:t> </w:t>
      </w:r>
      <w:r>
        <w:rPr>
          <w:rFonts w:ascii="Calibri"/>
          <w:w w:val="110"/>
        </w:rPr>
        <w:t>0</w:t>
      </w:r>
      <w:r>
        <w:rPr>
          <w:rFonts w:ascii="Calibri"/>
          <w:i/>
          <w:w w:val="110"/>
        </w:rPr>
        <w:t>.</w:t>
      </w:r>
      <w:r>
        <w:rPr>
          <w:rFonts w:ascii="Calibri"/>
          <w:w w:val="110"/>
        </w:rPr>
        <w:t>85</w:t>
      </w:r>
      <w:r>
        <w:rPr>
          <w:w w:val="110"/>
        </w:rPr>
        <w:t>.</w:t>
      </w:r>
      <w:r>
        <w:rPr>
          <w:spacing w:val="-2"/>
          <w:w w:val="110"/>
        </w:rPr>
        <w:t> </w:t>
      </w:r>
      <w:r>
        <w:rPr>
          <w:w w:val="110"/>
        </w:rPr>
        <w:t>Out-strengths</w:t>
      </w:r>
      <w:r>
        <w:rPr>
          <w:spacing w:val="-17"/>
          <w:w w:val="110"/>
        </w:rPr>
        <w:t> </w:t>
      </w:r>
      <w:r>
        <w:rPr>
          <w:w w:val="110"/>
        </w:rPr>
        <w:t>are</w:t>
      </w:r>
      <w:r>
        <w:rPr>
          <w:spacing w:val="-16"/>
          <w:w w:val="110"/>
        </w:rPr>
        <w:t> </w:t>
      </w:r>
      <w:r>
        <w:rPr>
          <w:rFonts w:ascii="Calibri"/>
          <w:i/>
          <w:w w:val="110"/>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3</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3</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1</w:t>
      </w:r>
      <w:r>
        <w:rPr>
          <w:w w:val="110"/>
          <w:vertAlign w:val="baseline"/>
        </w:rPr>
        <w:t>,</w:t>
      </w:r>
      <w:r>
        <w:rPr>
          <w:spacing w:val="-17"/>
          <w:w w:val="110"/>
          <w:vertAlign w:val="baseline"/>
        </w:rPr>
        <w:t> </w:t>
      </w:r>
      <w:r>
        <w:rPr>
          <w:rFonts w:ascii="Calibri"/>
          <w:i/>
          <w:w w:val="110"/>
          <w:vertAlign w:val="baseline"/>
        </w:rPr>
        <w:t>d</w:t>
      </w:r>
      <w:r>
        <w:rPr>
          <w:w w:val="110"/>
          <w:vertAlign w:val="superscript"/>
        </w:rPr>
        <w:t>out</w:t>
      </w:r>
      <w:r>
        <w:rPr>
          <w:spacing w:val="-8"/>
          <w:w w:val="110"/>
          <w:vertAlign w:val="baseline"/>
        </w:rPr>
        <w:t> </w:t>
      </w:r>
      <w:r>
        <w:rPr>
          <w:rFonts w:ascii="Calibri"/>
          <w:w w:val="110"/>
          <w:vertAlign w:val="baseline"/>
        </w:rPr>
        <w:t>=</w:t>
      </w:r>
      <w:r>
        <w:rPr>
          <w:rFonts w:ascii="Calibri"/>
          <w:spacing w:val="-8"/>
          <w:w w:val="110"/>
          <w:vertAlign w:val="baseline"/>
        </w:rPr>
        <w:t> </w:t>
      </w:r>
      <w:r>
        <w:rPr>
          <w:rFonts w:ascii="Calibri"/>
          <w:w w:val="110"/>
          <w:vertAlign w:val="baseline"/>
        </w:rPr>
        <w:t>0</w:t>
      </w:r>
      <w:r>
        <w:rPr>
          <w:rFonts w:ascii="Calibri"/>
          <w:spacing w:val="-15"/>
          <w:w w:val="110"/>
          <w:vertAlign w:val="baseline"/>
        </w:rPr>
        <w:t> </w:t>
      </w:r>
      <w:r>
        <w:rPr>
          <w:w w:val="110"/>
          <w:vertAlign w:val="baseline"/>
        </w:rPr>
        <w:t>(dangling).</w:t>
      </w:r>
      <w:r>
        <w:rPr>
          <w:spacing w:val="-1"/>
          <w:w w:val="110"/>
          <w:vertAlign w:val="baseline"/>
        </w:rPr>
        <w:t> </w:t>
      </w:r>
      <w:r>
        <w:rPr>
          <w:spacing w:val="-2"/>
          <w:w w:val="110"/>
          <w:vertAlign w:val="baseline"/>
        </w:rPr>
        <w:t>After</w:t>
      </w:r>
    </w:p>
    <w:p>
      <w:pPr>
        <w:pStyle w:val="BodyText"/>
        <w:spacing w:line="172" w:lineRule="exact"/>
        <w:ind w:left="282"/>
        <w:jc w:val="both"/>
      </w:pPr>
      <w:r>
        <w:rPr>
          <w:i/>
        </w:rPr>
        <w:t>감쇠 d = 0.85. 아웃강도는 dout = 3, dout = 3, dout = 1, dout = 0(댕글링)입니다. 후에</w:t>
      </w:r>
    </w:p>
    <w:p>
      <w:pPr>
        <w:tabs>
          <w:tab w:pos="5402" w:val="left" w:leader="none"/>
          <w:tab w:pos="6324" w:val="left" w:leader="none"/>
          <w:tab w:pos="7246" w:val="left" w:leader="none"/>
        </w:tabs>
        <w:spacing w:line="156" w:lineRule="exact" w:before="0"/>
        <w:ind w:left="4480" w:right="0" w:firstLine="0"/>
        <w:jc w:val="left"/>
        <w:rPr>
          <w:rFonts w:ascii="Cambria"/>
          <w:sz w:val="16"/>
        </w:rPr>
      </w:pPr>
      <w:r>
        <w:rPr>
          <w:rFonts w:ascii="Cambria"/>
          <w:spacing w:val="-10"/>
          <w:w w:val="130"/>
          <w:sz w:val="16"/>
        </w:rPr>
        <w:t>A</w:t>
      </w:r>
      <w:r>
        <w:rPr>
          <w:rFonts w:ascii="Cambria"/>
          <w:sz w:val="16"/>
        </w:rPr>
        <w:tab/>
      </w:r>
      <w:r>
        <w:rPr>
          <w:rFonts w:ascii="Cambria"/>
          <w:spacing w:val="-10"/>
          <w:w w:val="130"/>
          <w:sz w:val="16"/>
        </w:rPr>
        <w:t>B</w:t>
      </w:r>
      <w:r>
        <w:rPr>
          <w:rFonts w:ascii="Cambria"/>
          <w:sz w:val="16"/>
        </w:rPr>
        <w:tab/>
      </w:r>
      <w:r>
        <w:rPr>
          <w:rFonts w:ascii="Cambria"/>
          <w:spacing w:val="-10"/>
          <w:w w:val="130"/>
          <w:sz w:val="16"/>
        </w:rPr>
        <w:t>C</w:t>
      </w:r>
      <w:r>
        <w:rPr>
          <w:rFonts w:ascii="Cambria"/>
          <w:sz w:val="16"/>
        </w:rPr>
        <w:tab/>
      </w:r>
      <w:r>
        <w:rPr>
          <w:rFonts w:ascii="Cambria"/>
          <w:spacing w:val="-10"/>
          <w:w w:val="130"/>
          <w:sz w:val="16"/>
        </w:rPr>
        <w:t>D</w:t>
      </w:r>
    </w:p>
    <w:p>
      <w:pPr>
        <w:tabs>
          <w:tab w:pos="5402" w:val="left" w:leader="none"/>
          <w:tab w:pos="6324" w:val="left" w:leader="none"/>
          <w:tab w:pos="7246" w:val="left" w:leader="none"/>
        </w:tabs>
        <w:spacing w:line="156" w:lineRule="exact" w:before="0"/>
        <w:ind w:left="4480" w:right="0" w:firstLine="0"/>
        <w:jc w:val="left"/>
        <w:rPr>
          <w:rFonts w:ascii="Cambria"/>
          <w:sz w:val="16"/>
        </w:rPr>
      </w:pPr>
      <w:r>
        <w:rPr>
          <w:i/>
        </w:rPr>
        <w:t>에이</w:t>
        <w:tab/>
        <w:t>비</w:t>
        <w:tab/>
        <w:t>기음</w:t>
        <w:tab/>
        <w:t>디</w:t>
      </w:r>
    </w:p>
    <w:p>
      <w:pPr>
        <w:pStyle w:val="BodyText"/>
        <w:spacing w:before="130"/>
        <w:ind w:left="282"/>
        <w:rPr>
          <w:rFonts w:ascii="Calibri" w:hAnsi="Calibri"/>
          <w:i/>
        </w:rPr>
      </w:pPr>
      <w:r>
        <w:rPr/>
        <w:t>one</w:t>
      </w:r>
      <w:r>
        <w:rPr>
          <w:spacing w:val="5"/>
        </w:rPr>
        <w:t> </w:t>
      </w:r>
      <w:r>
        <w:rPr/>
        <w:t>power-iteration</w:t>
      </w:r>
      <w:r>
        <w:rPr>
          <w:spacing w:val="5"/>
        </w:rPr>
        <w:t> </w:t>
      </w:r>
      <w:r>
        <w:rPr/>
        <w:t>step</w:t>
      </w:r>
      <w:r>
        <w:rPr>
          <w:spacing w:val="5"/>
        </w:rPr>
        <w:t> </w:t>
      </w:r>
      <w:r>
        <w:rPr/>
        <w:t>from</w:t>
      </w:r>
      <w:r>
        <w:rPr>
          <w:spacing w:val="6"/>
        </w:rPr>
        <w:t> </w:t>
      </w:r>
      <w:r>
        <w:rPr/>
        <w:t>the</w:t>
      </w:r>
      <w:r>
        <w:rPr>
          <w:spacing w:val="5"/>
        </w:rPr>
        <w:t> </w:t>
      </w:r>
      <w:r>
        <w:rPr/>
        <w:t>uniform</w:t>
      </w:r>
      <w:r>
        <w:rPr>
          <w:spacing w:val="5"/>
        </w:rPr>
        <w:t> </w:t>
      </w:r>
      <w:r>
        <w:rPr/>
        <w:t>vector</w:t>
      </w:r>
      <w:r>
        <w:rPr>
          <w:spacing w:val="4"/>
        </w:rPr>
        <w:t> </w:t>
      </w:r>
      <w:r>
        <w:rPr>
          <w:rFonts w:ascii="Calibri" w:hAnsi="Calibri"/>
          <w:b/>
          <w:i/>
        </w:rPr>
        <w:t>π</w:t>
      </w:r>
      <w:r>
        <w:rPr>
          <w:rFonts w:ascii="Calibri" w:hAnsi="Calibri"/>
          <w:vertAlign w:val="superscript"/>
        </w:rPr>
        <w:t>(0)</w:t>
      </w:r>
      <w:r>
        <w:rPr>
          <w:rFonts w:ascii="Calibri" w:hAnsi="Calibri"/>
          <w:spacing w:val="31"/>
          <w:vertAlign w:val="baseline"/>
        </w:rPr>
        <w:t> </w:t>
      </w:r>
      <w:r>
        <w:rPr>
          <w:rFonts w:ascii="Calibri" w:hAnsi="Calibri"/>
          <w:vertAlign w:val="baseline"/>
        </w:rPr>
        <w:t>=</w:t>
      </w:r>
      <w:r>
        <w:rPr>
          <w:rFonts w:ascii="Calibri" w:hAnsi="Calibri"/>
          <w:spacing w:val="20"/>
          <w:vertAlign w:val="baseline"/>
        </w:rPr>
        <w:t> </w:t>
      </w:r>
      <w:r>
        <w:rPr>
          <w:b/>
          <w:vertAlign w:val="baseline"/>
        </w:rPr>
        <w:t>1</w:t>
      </w:r>
      <w:r>
        <w:rPr>
          <w:rFonts w:ascii="Calibri" w:hAnsi="Calibri"/>
          <w:vertAlign w:val="baseline"/>
        </w:rPr>
        <w:t>/4</w:t>
      </w:r>
      <w:r>
        <w:rPr>
          <w:vertAlign w:val="baseline"/>
        </w:rPr>
        <w:t>,</w:t>
      </w:r>
      <w:r>
        <w:rPr>
          <w:spacing w:val="5"/>
          <w:vertAlign w:val="baseline"/>
        </w:rPr>
        <w:t> </w:t>
      </w:r>
      <w:r>
        <w:rPr>
          <w:vertAlign w:val="baseline"/>
        </w:rPr>
        <w:t>mass</w:t>
      </w:r>
      <w:r>
        <w:rPr>
          <w:spacing w:val="5"/>
          <w:vertAlign w:val="baseline"/>
        </w:rPr>
        <w:t> </w:t>
      </w:r>
      <w:r>
        <w:rPr>
          <w:vertAlign w:val="baseline"/>
        </w:rPr>
        <w:t>flows</w:t>
      </w:r>
      <w:r>
        <w:rPr>
          <w:spacing w:val="6"/>
          <w:vertAlign w:val="baseline"/>
        </w:rPr>
        <w:t> </w:t>
      </w:r>
      <w:r>
        <w:rPr>
          <w:vertAlign w:val="baseline"/>
        </w:rPr>
        <w:t>preferentially</w:t>
      </w:r>
      <w:r>
        <w:rPr>
          <w:spacing w:val="5"/>
          <w:vertAlign w:val="baseline"/>
        </w:rPr>
        <w:t> </w:t>
      </w:r>
      <w:r>
        <w:rPr>
          <w:vertAlign w:val="baseline"/>
        </w:rPr>
        <w:t>toward</w:t>
      </w:r>
      <w:r>
        <w:rPr>
          <w:spacing w:val="5"/>
          <w:vertAlign w:val="baseline"/>
        </w:rPr>
        <w:t> </w:t>
      </w:r>
      <w:r>
        <w:rPr>
          <w:rFonts w:ascii="Calibri" w:hAnsi="Calibri"/>
          <w:i/>
          <w:spacing w:val="-10"/>
          <w:vertAlign w:val="baseline"/>
        </w:rPr>
        <w:t>D</w:t>
      </w:r>
    </w:p>
    <w:p>
      <w:pPr>
        <w:pStyle w:val="BodyText"/>
        <w:spacing w:before="130"/>
        <w:ind w:left="282"/>
        <w:rPr>
          <w:rFonts w:ascii="Calibri" w:hAnsi="Calibri"/>
          <w:i/>
        </w:rPr>
      </w:pPr>
      <w:r>
        <w:rPr>
          <w:i/>
        </w:rPr>
        <w:t>균일한 벡터 π(0) = 1/4에서 한 번의 거듭제곱 반복 단계, 질량은 D 방향으로 우선적으로 흐릅니다.</w:t>
      </w:r>
    </w:p>
    <w:p>
      <w:pPr>
        <w:pStyle w:val="BodyText"/>
        <w:spacing w:after="0"/>
        <w:rPr>
          <w:rFonts w:ascii="Calibri" w:hAnsi="Calibri"/>
          <w:i/>
        </w:rPr>
        <w:sectPr>
          <w:pgSz w:w="11910" w:h="16840"/>
          <w:pgMar w:header="0" w:footer="2115" w:top="1840" w:bottom="2300" w:left="992" w:right="708"/>
        </w:sectPr>
      </w:pPr>
    </w:p>
    <w:p>
      <w:pPr>
        <w:pStyle w:val="BodyText"/>
        <w:spacing w:line="333" w:lineRule="auto" w:before="68"/>
        <w:ind w:left="282" w:right="534"/>
        <w:jc w:val="both"/>
      </w:pPr>
      <w:r>
        <w:rPr/>
        <w:t>because</w:t>
      </w:r>
      <w:r>
        <w:rPr>
          <w:spacing w:val="-1"/>
        </w:rPr>
        <w:t> </w:t>
      </w:r>
      <w:r>
        <w:rPr/>
        <w:t>both</w:t>
      </w:r>
      <w:r>
        <w:rPr>
          <w:spacing w:val="-1"/>
        </w:rPr>
        <w:t> </w:t>
      </w:r>
      <w:r>
        <w:rPr>
          <w:rFonts w:ascii="Calibri" w:hAnsi="Calibri"/>
          <w:i/>
        </w:rPr>
        <w:t>B</w:t>
      </w:r>
      <w:r>
        <w:rPr>
          <w:rFonts w:ascii="Calibri" w:hAnsi="Calibri"/>
          <w:i/>
          <w:spacing w:val="21"/>
        </w:rPr>
        <w:t> </w:t>
      </w:r>
      <w:r>
        <w:rPr/>
        <w:t>and</w:t>
      </w:r>
      <w:r>
        <w:rPr>
          <w:spacing w:val="-1"/>
        </w:rPr>
        <w:t> </w:t>
      </w:r>
      <w:r>
        <w:rPr>
          <w:rFonts w:ascii="Calibri" w:hAnsi="Calibri"/>
          <w:i/>
        </w:rPr>
        <w:t>C</w:t>
      </w:r>
      <w:r>
        <w:rPr>
          <w:rFonts w:ascii="Calibri" w:hAnsi="Calibri"/>
          <w:i/>
          <w:spacing w:val="28"/>
        </w:rPr>
        <w:t> </w:t>
      </w:r>
      <w:r>
        <w:rPr/>
        <w:t>endorse</w:t>
      </w:r>
      <w:r>
        <w:rPr>
          <w:spacing w:val="-1"/>
        </w:rPr>
        <w:t> </w:t>
      </w:r>
      <w:r>
        <w:rPr>
          <w:rFonts w:ascii="Calibri" w:hAnsi="Calibri"/>
          <w:i/>
        </w:rPr>
        <w:t>D</w:t>
      </w:r>
      <w:r>
        <w:rPr/>
        <w:t>, while</w:t>
      </w:r>
      <w:r>
        <w:rPr>
          <w:spacing w:val="-1"/>
        </w:rPr>
        <w:t> </w:t>
      </w:r>
      <w:r>
        <w:rPr>
          <w:rFonts w:ascii="Calibri" w:hAnsi="Calibri"/>
          <w:i/>
        </w:rPr>
        <w:t>A </w:t>
      </w:r>
      <w:r>
        <w:rPr/>
        <w:t>splits</w:t>
      </w:r>
      <w:r>
        <w:rPr>
          <w:spacing w:val="-1"/>
        </w:rPr>
        <w:t> </w:t>
      </w:r>
      <w:r>
        <w:rPr/>
        <w:t>mass</w:t>
      </w:r>
      <w:r>
        <w:rPr>
          <w:spacing w:val="-1"/>
        </w:rPr>
        <w:t> </w:t>
      </w:r>
      <w:r>
        <w:rPr/>
        <w:t>between </w:t>
      </w:r>
      <w:r>
        <w:rPr>
          <w:rFonts w:ascii="Calibri" w:hAnsi="Calibri"/>
          <w:i/>
        </w:rPr>
        <w:t>B</w:t>
      </w:r>
      <w:r>
        <w:rPr>
          <w:rFonts w:ascii="Calibri" w:hAnsi="Calibri"/>
          <w:i/>
          <w:spacing w:val="21"/>
        </w:rPr>
        <w:t> </w:t>
      </w:r>
      <w:r>
        <w:rPr/>
        <w:t>and</w:t>
      </w:r>
      <w:r>
        <w:rPr>
          <w:spacing w:val="-1"/>
        </w:rPr>
        <w:t> </w:t>
      </w:r>
      <w:r>
        <w:rPr>
          <w:rFonts w:ascii="Calibri" w:hAnsi="Calibri"/>
          <w:i/>
        </w:rPr>
        <w:t>C</w:t>
      </w:r>
      <w:r>
        <w:rPr/>
        <w:t>.</w:t>
      </w:r>
      <w:r>
        <w:rPr>
          <w:spacing w:val="37"/>
        </w:rPr>
        <w:t> </w:t>
      </w:r>
      <w:r>
        <w:rPr/>
        <w:t>Subsequent</w:t>
      </w:r>
      <w:r>
        <w:rPr>
          <w:spacing w:val="-1"/>
        </w:rPr>
        <w:t> </w:t>
      </w:r>
      <w:r>
        <w:rPr/>
        <w:t>iterations</w:t>
      </w:r>
      <w:r>
        <w:rPr>
          <w:spacing w:val="-1"/>
        </w:rPr>
        <w:t> </w:t>
      </w:r>
      <w:r>
        <w:rPr/>
        <w:t>mix in teleportation mass </w:t>
      </w:r>
      <w:r>
        <w:rPr>
          <w:rFonts w:ascii="Calibri" w:hAnsi="Calibri"/>
        </w:rPr>
        <w:t>(1 </w:t>
      </w:r>
      <w:r>
        <w:rPr>
          <w:rFonts w:ascii="Lucida Sans Unicode" w:hAnsi="Lucida Sans Unicode"/>
        </w:rPr>
        <w:t>—</w:t>
      </w:r>
      <w:r>
        <w:rPr>
          <w:rFonts w:ascii="Lucida Sans Unicode" w:hAnsi="Lucida Sans Unicode"/>
          <w:spacing w:val="-19"/>
        </w:rPr>
        <w:t> </w:t>
      </w:r>
      <w:r>
        <w:rPr>
          <w:rFonts w:ascii="Calibri" w:hAnsi="Calibri"/>
          <w:i/>
        </w:rPr>
        <w:t>d</w:t>
      </w:r>
      <w:r>
        <w:rPr>
          <w:rFonts w:ascii="Calibri" w:hAnsi="Calibri"/>
        </w:rPr>
        <w:t>)/4 = 0</w:t>
      </w:r>
      <w:r>
        <w:rPr>
          <w:rFonts w:ascii="Calibri" w:hAnsi="Calibri"/>
          <w:i/>
        </w:rPr>
        <w:t>.</w:t>
      </w:r>
      <w:r>
        <w:rPr>
          <w:rFonts w:ascii="Calibri" w:hAnsi="Calibri"/>
        </w:rPr>
        <w:t>0375 </w:t>
      </w:r>
      <w:r>
        <w:rPr/>
        <w:t>at every node.</w:t>
      </w:r>
      <w:r>
        <w:rPr>
          <w:spacing w:val="29"/>
        </w:rPr>
        <w:t> </w:t>
      </w:r>
      <w:r>
        <w:rPr/>
        <w:t>The stationary ranking places </w:t>
      </w:r>
      <w:r>
        <w:rPr>
          <w:rFonts w:ascii="Calibri" w:hAnsi="Calibri"/>
          <w:i/>
        </w:rPr>
        <w:t>D </w:t>
      </w:r>
      <w:r>
        <w:rPr/>
        <w:t>highest, then</w:t>
      </w:r>
      <w:r>
        <w:rPr>
          <w:spacing w:val="-6"/>
        </w:rPr>
        <w:t> </w:t>
      </w:r>
      <w:r>
        <w:rPr>
          <w:rFonts w:ascii="Calibri" w:hAnsi="Calibri"/>
          <w:i/>
        </w:rPr>
        <w:t>B</w:t>
      </w:r>
      <w:r>
        <w:rPr>
          <w:rFonts w:ascii="Calibri" w:hAnsi="Calibri"/>
          <w:i/>
          <w:spacing w:val="14"/>
        </w:rPr>
        <w:t> </w:t>
      </w:r>
      <w:r>
        <w:rPr/>
        <w:t>and</w:t>
      </w:r>
      <w:r>
        <w:rPr>
          <w:spacing w:val="-6"/>
        </w:rPr>
        <w:t> </w:t>
      </w:r>
      <w:r>
        <w:rPr>
          <w:rFonts w:ascii="Calibri" w:hAnsi="Calibri"/>
          <w:i/>
        </w:rPr>
        <w:t>C</w:t>
      </w:r>
      <w:r>
        <w:rPr/>
        <w:t>,</w:t>
      </w:r>
      <w:r>
        <w:rPr>
          <w:spacing w:val="-3"/>
        </w:rPr>
        <w:t> </w:t>
      </w:r>
      <w:r>
        <w:rPr/>
        <w:t>then</w:t>
      </w:r>
      <w:r>
        <w:rPr>
          <w:spacing w:val="-6"/>
        </w:rPr>
        <w:t> </w:t>
      </w:r>
      <w:r>
        <w:rPr>
          <w:rFonts w:ascii="Calibri" w:hAnsi="Calibri"/>
          <w:i/>
        </w:rPr>
        <w:t>A</w:t>
      </w:r>
      <w:r>
        <w:rPr/>
        <w:t>—illustrating</w:t>
      </w:r>
      <w:r>
        <w:rPr>
          <w:spacing w:val="-6"/>
        </w:rPr>
        <w:t> </w:t>
      </w:r>
      <w:r>
        <w:rPr/>
        <w:t>that</w:t>
      </w:r>
      <w:r>
        <w:rPr>
          <w:spacing w:val="-6"/>
        </w:rPr>
        <w:t> </w:t>
      </w:r>
      <w:r>
        <w:rPr>
          <w:i/>
        </w:rPr>
        <w:t>receiving </w:t>
      </w:r>
      <w:r>
        <w:rPr/>
        <w:t>endorsements</w:t>
      </w:r>
      <w:r>
        <w:rPr>
          <w:spacing w:val="-6"/>
        </w:rPr>
        <w:t> </w:t>
      </w:r>
      <w:r>
        <w:rPr/>
        <w:t>from</w:t>
      </w:r>
      <w:r>
        <w:rPr>
          <w:spacing w:val="-6"/>
        </w:rPr>
        <w:t> </w:t>
      </w:r>
      <w:r>
        <w:rPr/>
        <w:t>nodes</w:t>
      </w:r>
      <w:r>
        <w:rPr>
          <w:spacing w:val="-6"/>
        </w:rPr>
        <w:t> </w:t>
      </w:r>
      <w:r>
        <w:rPr/>
        <w:t>that</w:t>
      </w:r>
      <w:r>
        <w:rPr>
          <w:spacing w:val="-6"/>
        </w:rPr>
        <w:t> </w:t>
      </w:r>
      <w:r>
        <w:rPr/>
        <w:t>themselves</w:t>
      </w:r>
      <w:r>
        <w:rPr>
          <w:spacing w:val="-6"/>
        </w:rPr>
        <w:t> </w:t>
      </w:r>
      <w:r>
        <w:rPr/>
        <w:t>receive</w:t>
      </w:r>
    </w:p>
    <w:p>
      <w:pPr>
        <w:pStyle w:val="BodyText"/>
        <w:spacing w:line="333" w:lineRule="auto" w:before="68"/>
        <w:ind w:left="282" w:right="534"/>
        <w:jc w:val="both"/>
      </w:pPr>
      <w:r>
        <w:rPr>
          <w:i/>
        </w:rPr>
        <w:t>B와 C는 모두 D를 지지하고 A는 B와 C 사이에 질량을 분할하기 때문입니다. 이후 반복에서는 모든 노드에서 순간 이동 질량(1 — d)/4 = 0.0375가 혼합됩니다. 고정 순위는 D를 가장 높게 배치하고 그 다음 B, C, A를 배치합니다. 이는 자신이 노드로부터 보증을 받는 것을 보여줍니다.</w:t>
      </w:r>
    </w:p>
    <w:p>
      <w:pPr>
        <w:pStyle w:val="BodyText"/>
        <w:spacing w:before="47"/>
        <w:ind w:left="282"/>
        <w:jc w:val="both"/>
      </w:pPr>
      <w:r>
        <w:rPr/>
        <w:t>endorsements</w:t>
      </w:r>
      <w:r>
        <w:rPr>
          <w:spacing w:val="-10"/>
        </w:rPr>
        <w:t> </w:t>
      </w:r>
      <w:r>
        <w:rPr/>
        <w:t>raises</w:t>
      </w:r>
      <w:r>
        <w:rPr>
          <w:spacing w:val="-9"/>
        </w:rPr>
        <w:t> </w:t>
      </w:r>
      <w:r>
        <w:rPr/>
        <w:t>score,</w:t>
      </w:r>
      <w:r>
        <w:rPr>
          <w:spacing w:val="-9"/>
        </w:rPr>
        <w:t> </w:t>
      </w:r>
      <w:r>
        <w:rPr/>
        <w:t>exactly</w:t>
      </w:r>
      <w:r>
        <w:rPr>
          <w:spacing w:val="-9"/>
        </w:rPr>
        <w:t> </w:t>
      </w:r>
      <w:r>
        <w:rPr/>
        <w:t>the</w:t>
      </w:r>
      <w:r>
        <w:rPr>
          <w:spacing w:val="-9"/>
        </w:rPr>
        <w:t> </w:t>
      </w:r>
      <w:r>
        <w:rPr/>
        <w:t>citation</w:t>
      </w:r>
      <w:r>
        <w:rPr>
          <w:spacing w:val="-10"/>
        </w:rPr>
        <w:t> </w:t>
      </w:r>
      <w:r>
        <w:rPr/>
        <w:t>logic</w:t>
      </w:r>
      <w:r>
        <w:rPr>
          <w:spacing w:val="-9"/>
        </w:rPr>
        <w:t> </w:t>
      </w:r>
      <w:r>
        <w:rPr/>
        <w:t>of</w:t>
      </w:r>
      <w:r>
        <w:rPr>
          <w:spacing w:val="-9"/>
        </w:rPr>
        <w:t> </w:t>
      </w:r>
      <w:r>
        <w:rPr/>
        <w:t>PageRank</w:t>
      </w:r>
      <w:r>
        <w:rPr>
          <w:spacing w:val="-8"/>
        </w:rPr>
        <w:t> </w:t>
      </w:r>
      <w:hyperlink w:history="true" w:anchor="_bookmark173">
        <w:r>
          <w:rPr>
            <w:spacing w:val="-2"/>
            <w:vertAlign w:val="superscript"/>
          </w:rPr>
          <w:t>[40]</w:t>
        </w:r>
      </w:hyperlink>
      <w:r>
        <w:rPr>
          <w:spacing w:val="-2"/>
          <w:vertAlign w:val="superscript"/>
        </w:rPr>
        <w:t>,</w:t>
      </w:r>
      <w:hyperlink w:history="true" w:anchor="_bookmark182">
        <w:r>
          <w:rPr>
            <w:spacing w:val="-2"/>
            <w:vertAlign w:val="superscript"/>
          </w:rPr>
          <w:t>[49]</w:t>
        </w:r>
      </w:hyperlink>
      <w:r>
        <w:rPr>
          <w:spacing w:val="-2"/>
          <w:vertAlign w:val="baseline"/>
        </w:rPr>
        <w:t>.</w:t>
      </w:r>
    </w:p>
    <w:p>
      <w:pPr>
        <w:pStyle w:val="BodyText"/>
        <w:spacing w:before="47"/>
        <w:ind w:left="282"/>
        <w:jc w:val="both"/>
      </w:pPr>
      <w:r>
        <w:rPr>
          <w:i/>
        </w:rPr>
        <w:t>보증은 점수를 높입니다. 이는 정확히 PageRank [40],[49]의 인용 논리와 같습니다.</w:t>
      </w:r>
    </w:p>
    <w:p>
      <w:pPr>
        <w:pStyle w:val="BodyText"/>
        <w:spacing w:line="396" w:lineRule="auto" w:before="194"/>
        <w:ind w:left="282" w:right="564"/>
        <w:jc w:val="both"/>
      </w:pPr>
      <w:r>
        <w:rPr/>
        <w:t>If</w:t>
      </w:r>
      <w:r>
        <w:rPr>
          <w:spacing w:val="-11"/>
        </w:rPr>
        <w:t> </w:t>
      </w:r>
      <w:r>
        <w:rPr/>
        <w:t>the</w:t>
      </w:r>
      <w:r>
        <w:rPr>
          <w:spacing w:val="-11"/>
        </w:rPr>
        <w:t> </w:t>
      </w:r>
      <w:r>
        <w:rPr/>
        <w:t>same</w:t>
      </w:r>
      <w:r>
        <w:rPr>
          <w:spacing w:val="-11"/>
        </w:rPr>
        <w:t> </w:t>
      </w:r>
      <w:r>
        <w:rPr/>
        <w:t>wallets</w:t>
      </w:r>
      <w:r>
        <w:rPr>
          <w:spacing w:val="-11"/>
        </w:rPr>
        <w:t> </w:t>
      </w:r>
      <w:r>
        <w:rPr/>
        <w:t>are</w:t>
      </w:r>
      <w:r>
        <w:rPr>
          <w:spacing w:val="-11"/>
        </w:rPr>
        <w:t> </w:t>
      </w:r>
      <w:r>
        <w:rPr/>
        <w:t>connected</w:t>
      </w:r>
      <w:r>
        <w:rPr>
          <w:spacing w:val="-11"/>
        </w:rPr>
        <w:t> </w:t>
      </w:r>
      <w:r>
        <w:rPr/>
        <w:t>by</w:t>
      </w:r>
      <w:r>
        <w:rPr>
          <w:spacing w:val="-11"/>
        </w:rPr>
        <w:t> </w:t>
      </w:r>
      <w:r>
        <w:rPr/>
        <w:t>many</w:t>
      </w:r>
      <w:r>
        <w:rPr>
          <w:spacing w:val="-11"/>
        </w:rPr>
        <w:t> </w:t>
      </w:r>
      <w:r>
        <w:rPr/>
        <w:t>small</w:t>
      </w:r>
      <w:r>
        <w:rPr>
          <w:spacing w:val="-11"/>
        </w:rPr>
        <w:t> </w:t>
      </w:r>
      <w:r>
        <w:rPr/>
        <w:t>transfers</w:t>
      </w:r>
      <w:r>
        <w:rPr>
          <w:spacing w:val="-11"/>
        </w:rPr>
        <w:t> </w:t>
      </w:r>
      <w:r>
        <w:rPr/>
        <w:t>instead</w:t>
      </w:r>
      <w:r>
        <w:rPr>
          <w:spacing w:val="-11"/>
        </w:rPr>
        <w:t> </w:t>
      </w:r>
      <w:r>
        <w:rPr/>
        <w:t>of</w:t>
      </w:r>
      <w:r>
        <w:rPr>
          <w:spacing w:val="-11"/>
        </w:rPr>
        <w:t> </w:t>
      </w:r>
      <w:r>
        <w:rPr/>
        <w:t>few</w:t>
      </w:r>
      <w:r>
        <w:rPr>
          <w:spacing w:val="-11"/>
        </w:rPr>
        <w:t> </w:t>
      </w:r>
      <w:r>
        <w:rPr/>
        <w:t>allowances,</w:t>
      </w:r>
      <w:r>
        <w:rPr>
          <w:spacing w:val="-10"/>
        </w:rPr>
        <w:t> </w:t>
      </w:r>
      <w:r>
        <w:rPr/>
        <w:t>the</w:t>
      </w:r>
      <w:r>
        <w:rPr>
          <w:spacing w:val="-11"/>
        </w:rPr>
        <w:t> </w:t>
      </w:r>
      <w:r>
        <w:rPr/>
        <w:t>transition matrix changes and the ranking can reorder even though the node set is identical.</w:t>
      </w:r>
      <w:r>
        <w:rPr>
          <w:spacing w:val="40"/>
        </w:rPr>
        <w:t> </w:t>
      </w:r>
      <w:r>
        <w:rPr/>
        <w:t>That is the </w:t>
      </w:r>
      <w:bookmarkStart w:name="DeFi risk taxonomy and where reputation " w:id="71"/>
      <w:bookmarkEnd w:id="71"/>
      <w:r>
        <w:rPr>
          <w:w w:val="99"/>
        </w:rPr>
      </w:r>
      <w:bookmarkStart w:name="_bookmark39" w:id="72"/>
      <w:bookmarkEnd w:id="72"/>
      <w:r>
        <w:rPr/>
        <w:t>microcosm</w:t>
      </w:r>
      <w:r>
        <w:rPr/>
        <w:t> of H1: EndorseRank and AWP need not agree.</w:t>
      </w:r>
    </w:p>
    <w:p>
      <w:pPr>
        <w:pStyle w:val="BodyText"/>
        <w:spacing w:line="396" w:lineRule="auto" w:before="194"/>
        <w:ind w:left="282" w:right="564"/>
        <w:jc w:val="both"/>
      </w:pPr>
      <w:r>
        <w:rPr>
          <w:i/>
        </w:rPr>
        <w:t>동일한 지갑이 적은 수당이 아닌 여러 개의 작은 전송으로 연결되면 노드 세트가 동일하더라도 전환 행렬이 변경되고 순위가 재정렬될 수 있습니다. 이것이 H1의 축소판입니다. EndorseRank와 AWP는 동의할 필요가 없습니다.</w:t>
      </w:r>
    </w:p>
    <w:p>
      <w:pPr>
        <w:pStyle w:val="BodyText"/>
        <w:spacing w:before="161"/>
      </w:pPr>
    </w:p>
    <w:p>
      <w:pPr>
        <w:pStyle w:val="Heading2"/>
        <w:numPr>
          <w:ilvl w:val="1"/>
          <w:numId w:val="8"/>
        </w:numPr>
        <w:tabs>
          <w:tab w:pos="927" w:val="left" w:leader="none"/>
        </w:tabs>
        <w:spacing w:line="240" w:lineRule="auto" w:before="0" w:after="0"/>
        <w:ind w:left="927" w:right="0" w:hanging="645"/>
        <w:jc w:val="left"/>
      </w:pPr>
      <w:r>
        <w:rPr/>
        <w:t>DeFi</w:t>
      </w:r>
      <w:r>
        <w:rPr>
          <w:spacing w:val="12"/>
        </w:rPr>
        <w:t> </w:t>
      </w:r>
      <w:r>
        <w:rPr/>
        <w:t>risk</w:t>
      </w:r>
      <w:r>
        <w:rPr>
          <w:spacing w:val="13"/>
        </w:rPr>
        <w:t> </w:t>
      </w:r>
      <w:r>
        <w:rPr/>
        <w:t>taxonomy</w:t>
      </w:r>
      <w:r>
        <w:rPr>
          <w:spacing w:val="13"/>
        </w:rPr>
        <w:t> </w:t>
      </w:r>
      <w:r>
        <w:rPr/>
        <w:t>and</w:t>
      </w:r>
      <w:r>
        <w:rPr>
          <w:spacing w:val="12"/>
        </w:rPr>
        <w:t> </w:t>
      </w:r>
      <w:r>
        <w:rPr/>
        <w:t>where</w:t>
      </w:r>
      <w:r>
        <w:rPr>
          <w:spacing w:val="13"/>
        </w:rPr>
        <w:t> </w:t>
      </w:r>
      <w:r>
        <w:rPr/>
        <w:t>reputation</w:t>
      </w:r>
      <w:r>
        <w:rPr>
          <w:spacing w:val="13"/>
        </w:rPr>
        <w:t> </w:t>
      </w:r>
      <w:r>
        <w:rPr>
          <w:spacing w:val="-4"/>
        </w:rPr>
        <w:t>fits</w:t>
      </w:r>
    </w:p>
    <w:p>
      <w:pPr>
        <w:pStyle w:val="Heading2"/>
        <w:numPr>
          <w:ilvl w:val="1"/>
          <w:numId w:val="8"/>
        </w:numPr>
        <w:tabs>
          <w:tab w:pos="927" w:val="left" w:leader="none"/>
        </w:tabs>
        <w:spacing w:line="240" w:lineRule="auto" w:before="0" w:after="0"/>
        <w:ind w:left="927" w:right="0" w:hanging="645"/>
        <w:jc w:val="left"/>
      </w:pPr>
      <w:r>
        <w:rPr>
          <w:i/>
        </w:rPr>
        <w:t>DeFi 위험 분류 및 평판이 적합한 곳</w:t>
      </w:r>
    </w:p>
    <w:p>
      <w:pPr>
        <w:pStyle w:val="BodyText"/>
        <w:spacing w:before="24"/>
        <w:rPr>
          <w:b/>
          <w:sz w:val="28"/>
        </w:rPr>
      </w:pPr>
    </w:p>
    <w:p>
      <w:pPr>
        <w:pStyle w:val="BodyText"/>
        <w:spacing w:line="396" w:lineRule="auto"/>
        <w:ind w:left="273" w:right="522" w:firstLine="8"/>
        <w:jc w:val="both"/>
      </w:pPr>
      <w:r>
        <w:rPr/>
        <w:t>DeFi risk is multi-layered </w:t>
      </w:r>
      <w:hyperlink w:history="true" w:anchor="_bookmark144">
        <w:r>
          <w:rPr>
            <w:vertAlign w:val="superscript"/>
          </w:rPr>
          <w:t>[11]</w:t>
        </w:r>
      </w:hyperlink>
      <w:r>
        <w:rPr>
          <w:vertAlign w:val="superscript"/>
        </w:rPr>
        <w:t>,</w:t>
      </w:r>
      <w:hyperlink w:history="true" w:anchor="_bookmark159">
        <w:r>
          <w:rPr>
            <w:vertAlign w:val="superscript"/>
          </w:rPr>
          <w:t>[26]</w:t>
        </w:r>
      </w:hyperlink>
      <w:r>
        <w:rPr>
          <w:vertAlign w:val="superscript"/>
        </w:rPr>
        <w:t>,</w:t>
      </w:r>
      <w:hyperlink w:history="true" w:anchor="_bookmark184">
        <w:r>
          <w:rPr>
            <w:vertAlign w:val="superscript"/>
          </w:rPr>
          <w:t>[51]</w:t>
        </w:r>
      </w:hyperlink>
      <w:r>
        <w:rPr>
          <w:vertAlign w:val="superscript"/>
        </w:rPr>
        <w:t>,</w:t>
      </w:r>
      <w:hyperlink w:history="true" w:anchor="_bookmark192">
        <w:r>
          <w:rPr>
            <w:vertAlign w:val="superscript"/>
          </w:rPr>
          <w:t>[59]</w:t>
        </w:r>
      </w:hyperlink>
      <w:r>
        <w:rPr>
          <w:vertAlign w:val="baseline"/>
        </w:rPr>
        <w:t>.</w:t>
      </w:r>
      <w:r>
        <w:rPr>
          <w:spacing w:val="40"/>
          <w:vertAlign w:val="baseline"/>
        </w:rPr>
        <w:t> </w:t>
      </w:r>
      <w:r>
        <w:rPr>
          <w:vertAlign w:val="baseline"/>
        </w:rPr>
        <w:t>Smart-contract risk concerns bugs and upgrade keys. Oracle risk concerns manipulated or stale prices </w:t>
      </w:r>
      <w:hyperlink w:history="true" w:anchor="_bookmark135">
        <w:r>
          <w:rPr>
            <w:vertAlign w:val="superscript"/>
          </w:rPr>
          <w:t>[2]</w:t>
        </w:r>
      </w:hyperlink>
      <w:r>
        <w:rPr>
          <w:vertAlign w:val="baseline"/>
        </w:rPr>
        <w:t>.</w:t>
      </w:r>
      <w:r>
        <w:rPr>
          <w:spacing w:val="40"/>
          <w:vertAlign w:val="baseline"/>
        </w:rPr>
        <w:t> </w:t>
      </w:r>
      <w:r>
        <w:rPr>
          <w:vertAlign w:val="baseline"/>
        </w:rPr>
        <w:t>Market risk concerns volatility and liquida-tion cascades </w:t>
      </w:r>
      <w:hyperlink w:history="true" w:anchor="_bookmark183">
        <w:r>
          <w:rPr>
            <w:vertAlign w:val="superscript"/>
          </w:rPr>
          <w:t>[50]</w:t>
        </w:r>
      </w:hyperlink>
      <w:r>
        <w:rPr>
          <w:vertAlign w:val="baseline"/>
        </w:rPr>
        <w:t>, including stablecoin and funding-market stress </w:t>
      </w:r>
      <w:hyperlink w:history="true" w:anchor="_bookmark170">
        <w:r>
          <w:rPr>
            <w:vertAlign w:val="superscript"/>
          </w:rPr>
          <w:t>[37]</w:t>
        </w:r>
      </w:hyperlink>
      <w:r>
        <w:rPr>
          <w:vertAlign w:val="baseline"/>
        </w:rPr>
        <w:t>.</w:t>
      </w:r>
      <w:r>
        <w:rPr>
          <w:spacing w:val="40"/>
          <w:vertAlign w:val="baseline"/>
        </w:rPr>
        <w:t> </w:t>
      </w:r>
      <w:r>
        <w:rPr>
          <w:vertAlign w:val="baseline"/>
        </w:rPr>
        <w:t>Governance risk concerns token-weighted</w:t>
      </w:r>
      <w:r>
        <w:rPr>
          <w:spacing w:val="-15"/>
          <w:vertAlign w:val="baseline"/>
        </w:rPr>
        <w:t> </w:t>
      </w:r>
      <w:r>
        <w:rPr>
          <w:vertAlign w:val="baseline"/>
        </w:rPr>
        <w:t>capture. </w:t>
      </w:r>
      <w:r>
        <w:rPr>
          <w:i/>
          <w:vertAlign w:val="baseline"/>
        </w:rPr>
        <w:t>Counterparty</w:t>
      </w:r>
      <w:r>
        <w:rPr>
          <w:i/>
          <w:spacing w:val="-15"/>
          <w:vertAlign w:val="baseline"/>
        </w:rPr>
        <w:t> </w:t>
      </w:r>
      <w:r>
        <w:rPr>
          <w:vertAlign w:val="baseline"/>
        </w:rPr>
        <w:t>or</w:t>
      </w:r>
      <w:r>
        <w:rPr>
          <w:spacing w:val="-15"/>
          <w:vertAlign w:val="baseline"/>
        </w:rPr>
        <w:t> </w:t>
      </w:r>
      <w:r>
        <w:rPr>
          <w:i/>
          <w:vertAlign w:val="baseline"/>
        </w:rPr>
        <w:t>behavioral</w:t>
      </w:r>
      <w:r>
        <w:rPr>
          <w:i/>
          <w:spacing w:val="-12"/>
          <w:vertAlign w:val="baseline"/>
        </w:rPr>
        <w:t> </w:t>
      </w:r>
      <w:r>
        <w:rPr>
          <w:vertAlign w:val="baseline"/>
        </w:rPr>
        <w:t>risk—the</w:t>
      </w:r>
      <w:r>
        <w:rPr>
          <w:spacing w:val="-15"/>
          <w:vertAlign w:val="baseline"/>
        </w:rPr>
        <w:t> </w:t>
      </w:r>
      <w:r>
        <w:rPr>
          <w:vertAlign w:val="baseline"/>
        </w:rPr>
        <w:t>focus</w:t>
      </w:r>
      <w:r>
        <w:rPr>
          <w:spacing w:val="-15"/>
          <w:vertAlign w:val="baseline"/>
        </w:rPr>
        <w:t> </w:t>
      </w:r>
      <w:r>
        <w:rPr>
          <w:vertAlign w:val="baseline"/>
        </w:rPr>
        <w:t>of</w:t>
      </w:r>
      <w:r>
        <w:rPr>
          <w:spacing w:val="-15"/>
          <w:vertAlign w:val="baseline"/>
        </w:rPr>
        <w:t> </w:t>
      </w:r>
      <w:r>
        <w:rPr>
          <w:vertAlign w:val="baseline"/>
        </w:rPr>
        <w:t>this</w:t>
      </w:r>
      <w:r>
        <w:rPr>
          <w:spacing w:val="-15"/>
          <w:vertAlign w:val="baseline"/>
        </w:rPr>
        <w:t> </w:t>
      </w:r>
      <w:r>
        <w:rPr>
          <w:vertAlign w:val="baseline"/>
        </w:rPr>
        <w:t>dissertation—concerns whether a wallet’s historical interactions suggest reliable management of leveraged exposure.</w:t>
      </w:r>
    </w:p>
    <w:p>
      <w:pPr>
        <w:pStyle w:val="BodyText"/>
        <w:spacing w:line="396" w:lineRule="auto"/>
        <w:ind w:left="273" w:right="522" w:firstLine="8"/>
        <w:jc w:val="both"/>
      </w:pPr>
      <w:r>
        <w:rPr>
          <w:i/>
        </w:rPr>
        <w:t>DeFi 위험은 다층적입니다[11],[26],[51],[59]. 스마트 계약 위험은 버그 및 업그레이드 키와 관련이 있습니다. 오라클의 위험은 조작되거나 부실한 가격에 대한 우려를 낳습니다[2]. 시장 위험은 스테이블코인 및 자금 조달 시장 스트레스[37]를 포함한 변동성과 청산 폭포[50]에 관한 것입니다. 거버넌스 위험은 토큰 가중치 캡처와 관련이 있습니다. 이 논문의 초점인 상대방 또는 행동 위험은 지갑의 과거 상호 작용이 레버리지 노출에 대한 안정적인 관리를 제안하는지 여부에 관한 것입니다.</w:t>
      </w:r>
    </w:p>
    <w:p>
      <w:pPr>
        <w:pStyle w:val="BodyText"/>
        <w:spacing w:line="396" w:lineRule="auto" w:before="20"/>
        <w:ind w:left="282" w:right="522"/>
        <w:jc w:val="both"/>
      </w:pPr>
      <w:r>
        <w:rPr/>
        <w:t>On-chain reputation scores address only the behavioral layer, and only partially.</w:t>
      </w:r>
      <w:r>
        <w:rPr>
          <w:spacing w:val="40"/>
        </w:rPr>
        <w:t> </w:t>
      </w:r>
      <w:r>
        <w:rPr/>
        <w:t>They do not re-place collateral, audits, or oracle design.</w:t>
      </w:r>
      <w:r>
        <w:rPr>
          <w:spacing w:val="40"/>
        </w:rPr>
        <w:t> </w:t>
      </w:r>
      <w:r>
        <w:rPr/>
        <w:t>Their role is to summarize relational structure (who au-thorizes</w:t>
      </w:r>
      <w:r>
        <w:rPr>
          <w:spacing w:val="-14"/>
        </w:rPr>
        <w:t> </w:t>
      </w:r>
      <w:r>
        <w:rPr/>
        <w:t>whom;</w:t>
      </w:r>
      <w:r>
        <w:rPr>
          <w:spacing w:val="-10"/>
        </w:rPr>
        <w:t> </w:t>
      </w:r>
      <w:r>
        <w:rPr/>
        <w:t>who</w:t>
      </w:r>
      <w:r>
        <w:rPr>
          <w:spacing w:val="-14"/>
        </w:rPr>
        <w:t> </w:t>
      </w:r>
      <w:r>
        <w:rPr/>
        <w:t>pays</w:t>
      </w:r>
      <w:r>
        <w:rPr>
          <w:spacing w:val="-14"/>
        </w:rPr>
        <w:t> </w:t>
      </w:r>
      <w:r>
        <w:rPr/>
        <w:t>whom)</w:t>
      </w:r>
      <w:r>
        <w:rPr>
          <w:spacing w:val="-14"/>
        </w:rPr>
        <w:t> </w:t>
      </w:r>
      <w:r>
        <w:rPr/>
        <w:t>into</w:t>
      </w:r>
      <w:r>
        <w:rPr>
          <w:spacing w:val="-14"/>
        </w:rPr>
        <w:t> </w:t>
      </w:r>
      <w:r>
        <w:rPr/>
        <w:t>an</w:t>
      </w:r>
      <w:r>
        <w:rPr>
          <w:spacing w:val="-14"/>
        </w:rPr>
        <w:t> </w:t>
      </w:r>
      <w:r>
        <w:rPr/>
        <w:t>ordinal</w:t>
      </w:r>
      <w:r>
        <w:rPr>
          <w:spacing w:val="-14"/>
        </w:rPr>
        <w:t> </w:t>
      </w:r>
      <w:r>
        <w:rPr/>
        <w:t>signal</w:t>
      </w:r>
      <w:r>
        <w:rPr>
          <w:spacing w:val="-13"/>
        </w:rPr>
        <w:t> </w:t>
      </w:r>
      <w:r>
        <w:rPr/>
        <w:t>that</w:t>
      </w:r>
      <w:r>
        <w:rPr>
          <w:spacing w:val="-14"/>
        </w:rPr>
        <w:t> </w:t>
      </w:r>
      <w:r>
        <w:rPr/>
        <w:t>can</w:t>
      </w:r>
      <w:r>
        <w:rPr>
          <w:spacing w:val="-14"/>
        </w:rPr>
        <w:t> </w:t>
      </w:r>
      <w:r>
        <w:rPr/>
        <w:t>be</w:t>
      </w:r>
      <w:r>
        <w:rPr>
          <w:spacing w:val="-13"/>
        </w:rPr>
        <w:t> </w:t>
      </w:r>
      <w:r>
        <w:rPr/>
        <w:t>audited</w:t>
      </w:r>
      <w:r>
        <w:rPr>
          <w:spacing w:val="-14"/>
        </w:rPr>
        <w:t> </w:t>
      </w:r>
      <w:r>
        <w:rPr/>
        <w:t>and</w:t>
      </w:r>
      <w:r>
        <w:rPr>
          <w:spacing w:val="-14"/>
        </w:rPr>
        <w:t> </w:t>
      </w:r>
      <w:r>
        <w:rPr/>
        <w:t>recomputed</w:t>
      </w:r>
      <w:r>
        <w:rPr>
          <w:spacing w:val="-14"/>
        </w:rPr>
        <w:t> </w:t>
      </w:r>
      <w:hyperlink w:history="true" w:anchor="_bookmark181">
        <w:r>
          <w:rPr>
            <w:vertAlign w:val="superscript"/>
          </w:rPr>
          <w:t>[48]</w:t>
        </w:r>
      </w:hyperlink>
      <w:r>
        <w:rPr>
          <w:vertAlign w:val="baseline"/>
        </w:rPr>
        <w:t>.</w:t>
      </w:r>
      <w:r>
        <w:rPr>
          <w:spacing w:val="12"/>
          <w:vertAlign w:val="baseline"/>
        </w:rPr>
        <w:t> </w:t>
      </w:r>
      <w:r>
        <w:rPr>
          <w:vertAlign w:val="baseline"/>
        </w:rPr>
        <w:t>En-dorseRank</w:t>
      </w:r>
      <w:r>
        <w:rPr>
          <w:spacing w:val="-3"/>
          <w:vertAlign w:val="baseline"/>
        </w:rPr>
        <w:t> </w:t>
      </w:r>
      <w:r>
        <w:rPr>
          <w:vertAlign w:val="baseline"/>
        </w:rPr>
        <w:t>targets</w:t>
      </w:r>
      <w:r>
        <w:rPr>
          <w:spacing w:val="-3"/>
          <w:vertAlign w:val="baseline"/>
        </w:rPr>
        <w:t> </w:t>
      </w:r>
      <w:r>
        <w:rPr>
          <w:vertAlign w:val="baseline"/>
        </w:rPr>
        <w:t>the</w:t>
      </w:r>
      <w:r>
        <w:rPr>
          <w:spacing w:val="-3"/>
          <w:vertAlign w:val="baseline"/>
        </w:rPr>
        <w:t> </w:t>
      </w:r>
      <w:r>
        <w:rPr>
          <w:vertAlign w:val="baseline"/>
        </w:rPr>
        <w:t>authorization</w:t>
      </w:r>
      <w:r>
        <w:rPr>
          <w:spacing w:val="-3"/>
          <w:vertAlign w:val="baseline"/>
        </w:rPr>
        <w:t> </w:t>
      </w:r>
      <w:r>
        <w:rPr>
          <w:vertAlign w:val="baseline"/>
        </w:rPr>
        <w:t>facet</w:t>
      </w:r>
      <w:r>
        <w:rPr>
          <w:spacing w:val="-3"/>
          <w:vertAlign w:val="baseline"/>
        </w:rPr>
        <w:t> </w:t>
      </w:r>
      <w:r>
        <w:rPr>
          <w:vertAlign w:val="baseline"/>
        </w:rPr>
        <w:t>of</w:t>
      </w:r>
      <w:r>
        <w:rPr>
          <w:spacing w:val="-3"/>
          <w:vertAlign w:val="baseline"/>
        </w:rPr>
        <w:t> </w:t>
      </w:r>
      <w:r>
        <w:rPr>
          <w:vertAlign w:val="baseline"/>
        </w:rPr>
        <w:t>behavioral</w:t>
      </w:r>
      <w:r>
        <w:rPr>
          <w:spacing w:val="-3"/>
          <w:vertAlign w:val="baseline"/>
        </w:rPr>
        <w:t> </w:t>
      </w:r>
      <w:r>
        <w:rPr>
          <w:vertAlign w:val="baseline"/>
        </w:rPr>
        <w:t>risk; AWP</w:t>
      </w:r>
      <w:r>
        <w:rPr>
          <w:spacing w:val="-3"/>
          <w:vertAlign w:val="baseline"/>
        </w:rPr>
        <w:t> </w:t>
      </w:r>
      <w:r>
        <w:rPr>
          <w:vertAlign w:val="baseline"/>
        </w:rPr>
        <w:t>targets</w:t>
      </w:r>
      <w:r>
        <w:rPr>
          <w:spacing w:val="-3"/>
          <w:vertAlign w:val="baseline"/>
        </w:rPr>
        <w:t> </w:t>
      </w:r>
      <w:r>
        <w:rPr>
          <w:vertAlign w:val="baseline"/>
        </w:rPr>
        <w:t>the</w:t>
      </w:r>
      <w:r>
        <w:rPr>
          <w:spacing w:val="-3"/>
          <w:vertAlign w:val="baseline"/>
        </w:rPr>
        <w:t> </w:t>
      </w:r>
      <w:r>
        <w:rPr>
          <w:vertAlign w:val="baseline"/>
        </w:rPr>
        <w:t>payment-flow</w:t>
      </w:r>
      <w:r>
        <w:rPr>
          <w:spacing w:val="-3"/>
          <w:vertAlign w:val="baseline"/>
        </w:rPr>
        <w:t> </w:t>
      </w:r>
      <w:r>
        <w:rPr>
          <w:vertAlign w:val="baseline"/>
        </w:rPr>
        <w:t>facet. Neither claims to predict exploits or governance attacks.</w:t>
      </w:r>
    </w:p>
    <w:p>
      <w:pPr>
        <w:pStyle w:val="BodyText"/>
        <w:spacing w:line="396" w:lineRule="auto" w:before="20"/>
        <w:ind w:left="282" w:right="522"/>
        <w:jc w:val="both"/>
      </w:pPr>
      <w:r>
        <w:rPr>
          <w:i/>
        </w:rPr>
        <w:t>온체인 평판 점수는 행동 계층만을 부분적으로만 다룹니다. 담보, 감사 또는 Oracle 설계를 대체하지 않습니다. 이들의 역할은 관계 구조(누가 누구에게 권한을 부여하고 누가 누구에게 지불하는지)를 감사하고 다시 계산할 수 있는 서수 신호로 요약하는 것입니다[48]. En-dorseRank는 행동 위험의 승인 측면을 목표로 하고, AWP는 결제 흐름 측면을 목표로 합니다. 둘 다 악용이나 거버넌스 공격을 예측한다고 주장하지 않습니다.</w:t>
      </w:r>
    </w:p>
    <w:p>
      <w:pPr>
        <w:pStyle w:val="BodyText"/>
        <w:spacing w:line="396" w:lineRule="auto" w:before="19"/>
        <w:ind w:left="282" w:right="563" w:hanging="12"/>
        <w:jc w:val="both"/>
      </w:pPr>
      <w:r>
        <w:rPr/>
        <w:t>Wash trading and MEV further complicate behavioral measurement </w:t>
      </w:r>
      <w:hyperlink w:history="true" w:anchor="_bookmark148">
        <w:r>
          <w:rPr>
            <w:vertAlign w:val="superscript"/>
          </w:rPr>
          <w:t>[15]</w:t>
        </w:r>
      </w:hyperlink>
      <w:r>
        <w:rPr>
          <w:vertAlign w:val="superscript"/>
        </w:rPr>
        <w:t>,</w:t>
      </w:r>
      <w:hyperlink w:history="true" w:anchor="_bookmark190">
        <w:r>
          <w:rPr>
            <w:vertAlign w:val="superscript"/>
          </w:rPr>
          <w:t>[57]</w:t>
        </w:r>
      </w:hyperlink>
      <w:r>
        <w:rPr>
          <w:vertAlign w:val="superscript"/>
        </w:rPr>
        <w:t>,</w:t>
      </w:r>
      <w:hyperlink w:history="true" w:anchor="_bookmark196">
        <w:r>
          <w:rPr>
            <w:vertAlign w:val="superscript"/>
          </w:rPr>
          <w:t>[63]</w:t>
        </w:r>
      </w:hyperlink>
      <w:r>
        <w:rPr>
          <w:vertAlign w:val="baseline"/>
        </w:rPr>
        <w:t>, as do cross-venue arbitrage flows that inflate transfer activity without reflecting durable counterparty relationships </w:t>
      </w:r>
      <w:hyperlink w:history="true" w:anchor="_bookmark178">
        <w:r>
          <w:rPr>
            <w:vertAlign w:val="superscript"/>
          </w:rPr>
          <w:t>[45]</w:t>
        </w:r>
      </w:hyperlink>
      <w:r>
        <w:rPr>
          <w:vertAlign w:val="baseline"/>
        </w:rPr>
        <w:t>.</w:t>
      </w:r>
      <w:r>
        <w:rPr>
          <w:spacing w:val="33"/>
          <w:vertAlign w:val="baseline"/>
        </w:rPr>
        <w:t> </w:t>
      </w:r>
      <w:r>
        <w:rPr>
          <w:vertAlign w:val="baseline"/>
        </w:rPr>
        <w:t>Transfer graphs are especially exposed to artificial volume; allowance graphs are exposed to approval farming.</w:t>
      </w:r>
      <w:r>
        <w:rPr>
          <w:spacing w:val="40"/>
          <w:vertAlign w:val="baseline"/>
        </w:rPr>
        <w:t> </w:t>
      </w:r>
      <w:r>
        <w:rPr>
          <w:vertAlign w:val="baseline"/>
        </w:rPr>
        <w:t>Multi-family validation and Sybil-oriented proxies are partial mitigations, not </w:t>
      </w:r>
      <w:bookmarkStart w:name="Perpetual markets as a validation labora" w:id="73"/>
      <w:bookmarkEnd w:id="73"/>
      <w:r>
        <w:rPr>
          <w:w w:val="99"/>
          <w:vertAlign w:val="baseline"/>
        </w:rPr>
      </w:r>
      <w:bookmarkStart w:name="_bookmark40" w:id="74"/>
      <w:bookmarkEnd w:id="74"/>
      <w:r>
        <w:rPr>
          <w:vertAlign w:val="baseline"/>
        </w:rPr>
        <w:t>complete</w:t>
      </w:r>
      <w:r>
        <w:rPr>
          <w:vertAlign w:val="baseline"/>
        </w:rPr>
        <w:t> defenses.</w:t>
      </w:r>
    </w:p>
    <w:p>
      <w:pPr>
        <w:pStyle w:val="BodyText"/>
        <w:spacing w:line="396" w:lineRule="auto" w:before="19"/>
        <w:ind w:left="282" w:right="563" w:hanging="12"/>
        <w:jc w:val="both"/>
      </w:pPr>
      <w:r>
        <w:rPr>
          <w:i/>
        </w:rPr>
        <w:t>가장매매와 MEV는 지속적인 거래상대방 관계를 반영하지 않고 이체 활동을 부풀리는 교차 거래 차익거래 흐름과 마찬가지로 행동 측정을 더욱 복잡하게 만듭니다[15],[57],[63]. 특히 이체 그래프는 인위적인 거래량에 노출되고, 수당 그래프는 승인 파밍에 노출됩니다. 다중 제품군 검증 및 Sybil 지향 프록시는 완전한 방어가 아닌 부분적인 완화입니다.</w:t>
      </w:r>
    </w:p>
    <w:p>
      <w:pPr>
        <w:pStyle w:val="BodyText"/>
        <w:spacing w:after="0" w:line="396" w:lineRule="auto"/>
        <w:jc w:val="both"/>
        <w:sectPr>
          <w:pgSz w:w="11910" w:h="16840"/>
          <w:pgMar w:header="0" w:footer="2115" w:top="1840" w:bottom="2300" w:left="992" w:right="708"/>
        </w:sectPr>
      </w:pPr>
    </w:p>
    <w:p>
      <w:pPr>
        <w:pStyle w:val="Heading2"/>
        <w:numPr>
          <w:ilvl w:val="1"/>
          <w:numId w:val="8"/>
        </w:numPr>
        <w:tabs>
          <w:tab w:pos="927" w:val="left" w:leader="none"/>
        </w:tabs>
        <w:spacing w:line="240" w:lineRule="auto" w:before="112" w:after="0"/>
        <w:ind w:left="927" w:right="0" w:hanging="645"/>
        <w:jc w:val="both"/>
      </w:pPr>
      <w:r>
        <w:rPr/>
        <w:t>Perpetual</w:t>
      </w:r>
      <w:r>
        <w:rPr>
          <w:spacing w:val="12"/>
        </w:rPr>
        <w:t> </w:t>
      </w:r>
      <w:r>
        <w:rPr/>
        <w:t>markets</w:t>
      </w:r>
      <w:r>
        <w:rPr>
          <w:spacing w:val="13"/>
        </w:rPr>
        <w:t> </w:t>
      </w:r>
      <w:r>
        <w:rPr/>
        <w:t>as</w:t>
      </w:r>
      <w:r>
        <w:rPr>
          <w:spacing w:val="13"/>
        </w:rPr>
        <w:t> </w:t>
      </w:r>
      <w:r>
        <w:rPr/>
        <w:t>a</w:t>
      </w:r>
      <w:r>
        <w:rPr>
          <w:spacing w:val="12"/>
        </w:rPr>
        <w:t> </w:t>
      </w:r>
      <w:r>
        <w:rPr/>
        <w:t>validation</w:t>
      </w:r>
      <w:r>
        <w:rPr>
          <w:spacing w:val="13"/>
        </w:rPr>
        <w:t> </w:t>
      </w:r>
      <w:r>
        <w:rPr>
          <w:spacing w:val="-2"/>
        </w:rPr>
        <w:t>laboratory</w:t>
      </w:r>
    </w:p>
    <w:p>
      <w:pPr>
        <w:pStyle w:val="Heading2"/>
        <w:numPr>
          <w:ilvl w:val="1"/>
          <w:numId w:val="8"/>
        </w:numPr>
        <w:tabs>
          <w:tab w:pos="927" w:val="left" w:leader="none"/>
        </w:tabs>
        <w:spacing w:line="240" w:lineRule="auto" w:before="112" w:after="0"/>
        <w:ind w:left="927" w:right="0" w:hanging="645"/>
        <w:jc w:val="both"/>
      </w:pPr>
      <w:r>
        <w:rPr>
          <w:i/>
        </w:rPr>
        <w:t>검증 실험실로서의 영구 시장</w:t>
      </w:r>
    </w:p>
    <w:p>
      <w:pPr>
        <w:pStyle w:val="BodyText"/>
        <w:spacing w:before="24"/>
        <w:rPr>
          <w:b/>
          <w:sz w:val="28"/>
        </w:rPr>
      </w:pPr>
    </w:p>
    <w:p>
      <w:pPr>
        <w:pStyle w:val="BodyText"/>
        <w:spacing w:line="396" w:lineRule="auto"/>
        <w:ind w:left="282" w:right="522"/>
        <w:jc w:val="both"/>
      </w:pPr>
      <w:r>
        <w:rPr/>
        <w:t>Perpetual futures (“perps”) are derivative contracts without expiry, popularized in crypto markets and implemented on-chain by protocols such as GMX </w:t>
      </w:r>
      <w:hyperlink w:history="true" w:anchor="_bookmark156">
        <w:r>
          <w:rPr>
            <w:vertAlign w:val="superscript"/>
          </w:rPr>
          <w:t>[23]</w:t>
        </w:r>
      </w:hyperlink>
      <w:r>
        <w:rPr>
          <w:vertAlign w:val="superscript"/>
        </w:rPr>
        <w:t>,</w:t>
      </w:r>
      <w:hyperlink w:history="true" w:anchor="_bookmark161">
        <w:r>
          <w:rPr>
            <w:vertAlign w:val="superscript"/>
          </w:rPr>
          <w:t>[28]</w:t>
        </w:r>
      </w:hyperlink>
      <w:r>
        <w:rPr>
          <w:vertAlign w:val="baseline"/>
        </w:rPr>
        <w:t>.</w:t>
      </w:r>
      <w:r>
        <w:rPr>
          <w:spacing w:val="40"/>
          <w:vertAlign w:val="baseline"/>
        </w:rPr>
        <w:t> </w:t>
      </w:r>
      <w:r>
        <w:rPr>
          <w:vertAlign w:val="baseline"/>
        </w:rPr>
        <w:t>Decentralized exchanges and au-tomated market makers provide the broader trading infrastructure in which such venues operate </w:t>
      </w:r>
      <w:hyperlink w:history="true" w:anchor="_bookmark143">
        <w:r>
          <w:rPr>
            <w:vertAlign w:val="superscript"/>
          </w:rPr>
          <w:t>[10]</w:t>
        </w:r>
      </w:hyperlink>
      <w:r>
        <w:rPr>
          <w:vertAlign w:val="superscript"/>
        </w:rPr>
        <w:t>,</w:t>
      </w:r>
      <w:hyperlink w:history="true" w:anchor="_bookmark154">
        <w:r>
          <w:rPr>
            <w:vertAlign w:val="superscript"/>
          </w:rPr>
          <w:t>[21]</w:t>
        </w:r>
      </w:hyperlink>
      <w:r>
        <w:rPr>
          <w:vertAlign w:val="superscript"/>
        </w:rPr>
        <w:t>,</w:t>
      </w:r>
      <w:hyperlink w:history="true" w:anchor="_bookmark174">
        <w:r>
          <w:rPr>
            <w:vertAlign w:val="superscript"/>
          </w:rPr>
          <w:t>[41]</w:t>
        </w:r>
      </w:hyperlink>
      <w:r>
        <w:rPr>
          <w:vertAlign w:val="superscript"/>
        </w:rPr>
        <w:t>,</w:t>
      </w:r>
      <w:hyperlink w:history="true" w:anchor="_bookmark194">
        <w:r>
          <w:rPr>
            <w:vertAlign w:val="superscript"/>
          </w:rPr>
          <w:t>[61]</w:t>
        </w:r>
      </w:hyperlink>
      <w:r>
        <w:rPr>
          <w:vertAlign w:val="baseline"/>
        </w:rPr>
        <w:t>.</w:t>
      </w:r>
      <w:r>
        <w:rPr>
          <w:spacing w:val="40"/>
          <w:vertAlign w:val="baseline"/>
        </w:rPr>
        <w:t> </w:t>
      </w:r>
      <w:r>
        <w:rPr>
          <w:vertAlign w:val="baseline"/>
        </w:rPr>
        <w:t>Traders post collateral, choose long or short exposure, and pay or receive funding. Positions</w:t>
      </w:r>
      <w:r>
        <w:rPr>
          <w:spacing w:val="-1"/>
          <w:vertAlign w:val="baseline"/>
        </w:rPr>
        <w:t> </w:t>
      </w:r>
      <w:r>
        <w:rPr>
          <w:vertAlign w:val="baseline"/>
        </w:rPr>
        <w:t>may</w:t>
      </w:r>
      <w:r>
        <w:rPr>
          <w:spacing w:val="-1"/>
          <w:vertAlign w:val="baseline"/>
        </w:rPr>
        <w:t> </w:t>
      </w:r>
      <w:r>
        <w:rPr>
          <w:vertAlign w:val="baseline"/>
        </w:rPr>
        <w:t>be</w:t>
      </w:r>
      <w:r>
        <w:rPr>
          <w:spacing w:val="-1"/>
          <w:vertAlign w:val="baseline"/>
        </w:rPr>
        <w:t> </w:t>
      </w:r>
      <w:r>
        <w:rPr>
          <w:vertAlign w:val="baseline"/>
        </w:rPr>
        <w:t>reduced</w:t>
      </w:r>
      <w:r>
        <w:rPr>
          <w:spacing w:val="-1"/>
          <w:vertAlign w:val="baseline"/>
        </w:rPr>
        <w:t> </w:t>
      </w:r>
      <w:r>
        <w:rPr>
          <w:vertAlign w:val="baseline"/>
        </w:rPr>
        <w:t>or</w:t>
      </w:r>
      <w:r>
        <w:rPr>
          <w:spacing w:val="-1"/>
          <w:vertAlign w:val="baseline"/>
        </w:rPr>
        <w:t> </w:t>
      </w:r>
      <w:r>
        <w:rPr>
          <w:vertAlign w:val="baseline"/>
        </w:rPr>
        <w:t>closed</w:t>
      </w:r>
      <w:r>
        <w:rPr>
          <w:spacing w:val="-1"/>
          <w:vertAlign w:val="baseline"/>
        </w:rPr>
        <w:t> </w:t>
      </w:r>
      <w:r>
        <w:rPr>
          <w:vertAlign w:val="baseline"/>
        </w:rPr>
        <w:t>voluntarily,</w:t>
      </w:r>
      <w:r>
        <w:rPr>
          <w:spacing w:val="-1"/>
          <w:vertAlign w:val="baseline"/>
        </w:rPr>
        <w:t> </w:t>
      </w:r>
      <w:r>
        <w:rPr>
          <w:vertAlign w:val="baseline"/>
        </w:rPr>
        <w:t>or</w:t>
      </w:r>
      <w:r>
        <w:rPr>
          <w:spacing w:val="-1"/>
          <w:vertAlign w:val="baseline"/>
        </w:rPr>
        <w:t> </w:t>
      </w:r>
      <w:r>
        <w:rPr>
          <w:vertAlign w:val="baseline"/>
        </w:rPr>
        <w:t>liquidated</w:t>
      </w:r>
      <w:r>
        <w:rPr>
          <w:spacing w:val="-1"/>
          <w:vertAlign w:val="baseline"/>
        </w:rPr>
        <w:t> </w:t>
      </w:r>
      <w:r>
        <w:rPr>
          <w:vertAlign w:val="baseline"/>
        </w:rPr>
        <w:t>when</w:t>
      </w:r>
      <w:r>
        <w:rPr>
          <w:spacing w:val="-1"/>
          <w:vertAlign w:val="baseline"/>
        </w:rPr>
        <w:t> </w:t>
      </w:r>
      <w:r>
        <w:rPr>
          <w:vertAlign w:val="baseline"/>
        </w:rPr>
        <w:t>collateral</w:t>
      </w:r>
      <w:r>
        <w:rPr>
          <w:spacing w:val="-1"/>
          <w:vertAlign w:val="baseline"/>
        </w:rPr>
        <w:t> </w:t>
      </w:r>
      <w:r>
        <w:rPr>
          <w:vertAlign w:val="baseline"/>
        </w:rPr>
        <w:t>is</w:t>
      </w:r>
      <w:r>
        <w:rPr>
          <w:spacing w:val="-1"/>
          <w:vertAlign w:val="baseline"/>
        </w:rPr>
        <w:t> </w:t>
      </w:r>
      <w:r>
        <w:rPr>
          <w:vertAlign w:val="baseline"/>
        </w:rPr>
        <w:t>insufficient.</w:t>
      </w:r>
      <w:r>
        <w:rPr>
          <w:spacing w:val="23"/>
          <w:vertAlign w:val="baseline"/>
        </w:rPr>
        <w:t> </w:t>
      </w:r>
      <w:r>
        <w:rPr>
          <w:vertAlign w:val="baseline"/>
        </w:rPr>
        <w:t>Each close emits an on-chain event with realized PnL attributable to a wallet.</w:t>
      </w:r>
    </w:p>
    <w:p>
      <w:pPr>
        <w:pStyle w:val="BodyText"/>
        <w:spacing w:line="396" w:lineRule="auto"/>
        <w:ind w:left="282" w:right="522"/>
        <w:jc w:val="both"/>
      </w:pPr>
      <w:r>
        <w:rPr>
          <w:i/>
        </w:rPr>
        <w:t>영구 선물("perps")은 만료되지 않는 파생 계약으로, 암호화폐 시장에서 대중화되고 GMX [23],[28]과 같은 프로토콜을 통해 온체인으로 구현됩니다. 분산형 거래소와 자동화된 시장 조성자는 그러한 장소가 운영되는 더 광범위한 거래 인프라를 제공합니다[10],[21],[41],[61]. 거래자는 담보를 게시하고 장기 또는 단기 노출을 선택하고 자금을 지불하거나 받습니다. 포지션은 자발적으로 축소 또는 폐쇄될 수 있으며, 담보가 부족한 경우 청산될 수 있습니다. 각 마감 시 지갑에 따른 실현 손익이 포함된 온체인 이벤트가 발생합니다.</w:t>
      </w:r>
    </w:p>
    <w:p>
      <w:pPr>
        <w:pStyle w:val="BodyText"/>
        <w:spacing w:before="21"/>
        <w:ind w:left="282"/>
        <w:jc w:val="both"/>
      </w:pPr>
      <w:r>
        <w:rPr/>
        <w:t>For</w:t>
      </w:r>
      <w:r>
        <w:rPr>
          <w:spacing w:val="15"/>
        </w:rPr>
        <w:t> </w:t>
      </w:r>
      <w:r>
        <w:rPr/>
        <w:t>reputation</w:t>
      </w:r>
      <w:r>
        <w:rPr>
          <w:spacing w:val="16"/>
        </w:rPr>
        <w:t> </w:t>
      </w:r>
      <w:r>
        <w:rPr/>
        <w:t>research,</w:t>
      </w:r>
      <w:r>
        <w:rPr>
          <w:spacing w:val="21"/>
        </w:rPr>
        <w:t> </w:t>
      </w:r>
      <w:r>
        <w:rPr/>
        <w:t>perps</w:t>
      </w:r>
      <w:r>
        <w:rPr>
          <w:spacing w:val="16"/>
        </w:rPr>
        <w:t> </w:t>
      </w:r>
      <w:r>
        <w:rPr/>
        <w:t>offer</w:t>
      </w:r>
      <w:r>
        <w:rPr>
          <w:spacing w:val="16"/>
        </w:rPr>
        <w:t> </w:t>
      </w:r>
      <w:r>
        <w:rPr/>
        <w:t>three</w:t>
      </w:r>
      <w:r>
        <w:rPr>
          <w:spacing w:val="15"/>
        </w:rPr>
        <w:t> </w:t>
      </w:r>
      <w:r>
        <w:rPr/>
        <w:t>advantages</w:t>
      </w:r>
      <w:r>
        <w:rPr>
          <w:spacing w:val="16"/>
        </w:rPr>
        <w:t> </w:t>
      </w:r>
      <w:r>
        <w:rPr/>
        <w:t>over</w:t>
      </w:r>
      <w:r>
        <w:rPr>
          <w:spacing w:val="16"/>
        </w:rPr>
        <w:t> </w:t>
      </w:r>
      <w:r>
        <w:rPr/>
        <w:t>sparse</w:t>
      </w:r>
      <w:r>
        <w:rPr>
          <w:spacing w:val="16"/>
        </w:rPr>
        <w:t> </w:t>
      </w:r>
      <w:r>
        <w:rPr/>
        <w:t>lending</w:t>
      </w:r>
      <w:r>
        <w:rPr>
          <w:spacing w:val="16"/>
        </w:rPr>
        <w:t> </w:t>
      </w:r>
      <w:r>
        <w:rPr/>
        <w:t>defaults</w:t>
      </w:r>
      <w:r>
        <w:rPr>
          <w:spacing w:val="15"/>
        </w:rPr>
        <w:t> </w:t>
      </w:r>
      <w:r>
        <w:rPr/>
        <w:t>on</w:t>
      </w:r>
      <w:r>
        <w:rPr>
          <w:spacing w:val="16"/>
        </w:rPr>
        <w:t> </w:t>
      </w:r>
      <w:r>
        <w:rPr>
          <w:spacing w:val="-2"/>
        </w:rPr>
        <w:t>Arbitrum:</w:t>
      </w:r>
    </w:p>
    <w:p>
      <w:pPr>
        <w:pStyle w:val="BodyText"/>
        <w:spacing w:before="21"/>
        <w:ind w:left="282"/>
        <w:jc w:val="both"/>
      </w:pPr>
      <w:r>
        <w:rPr>
          <w:i/>
        </w:rPr>
        <w:t>평판 조사를 위해 perps는 Arbitrum의 희소 대출 기본값에 비해 세 가지 이점을 제공합니다.</w:t>
      </w:r>
    </w:p>
    <w:p>
      <w:pPr>
        <w:pStyle w:val="BodyText"/>
        <w:spacing w:line="391" w:lineRule="auto" w:before="176"/>
        <w:ind w:left="276" w:right="524" w:hanging="2"/>
        <w:jc w:val="both"/>
      </w:pPr>
      <w:r>
        <w:rPr/>
        <w:t>(i) high event density (</w:t>
      </w:r>
      <w:r>
        <w:rPr>
          <w:rFonts w:ascii="Calibri" w:hAnsi="Calibri"/>
        </w:rPr>
        <w:t>365</w:t>
      </w:r>
      <w:r>
        <w:rPr>
          <w:rFonts w:ascii="Calibri" w:hAnsi="Calibri"/>
          <w:i/>
        </w:rPr>
        <w:t>,</w:t>
      </w:r>
      <w:r>
        <w:rPr>
          <w:rFonts w:ascii="Calibri" w:hAnsi="Calibri"/>
        </w:rPr>
        <w:t>488 </w:t>
      </w:r>
      <w:r>
        <w:rPr/>
        <w:t>closes in the study window); (ii) wallet-level attribution; and (iii) signed outcomes (profit, loss, liquidation) that can be turned into oriented proxies.</w:t>
      </w:r>
      <w:r>
        <w:rPr>
          <w:spacing w:val="40"/>
        </w:rPr>
        <w:t> </w:t>
      </w:r>
      <w:r>
        <w:rPr/>
        <w:t>The disad-vantage is construct distance from unsecured credit:</w:t>
      </w:r>
      <w:r>
        <w:rPr>
          <w:spacing w:val="40"/>
        </w:rPr>
        <w:t> </w:t>
      </w:r>
      <w:r>
        <w:rPr/>
        <w:t>a profitable trader is not necessarily a good borrower.</w:t>
      </w:r>
      <w:r>
        <w:rPr>
          <w:spacing w:val="-12"/>
        </w:rPr>
        <w:t> </w:t>
      </w:r>
      <w:r>
        <w:rPr/>
        <w:t>This</w:t>
      </w:r>
      <w:r>
        <w:rPr>
          <w:spacing w:val="-15"/>
        </w:rPr>
        <w:t> </w:t>
      </w:r>
      <w:r>
        <w:rPr/>
        <w:t>dissertation</w:t>
      </w:r>
      <w:r>
        <w:rPr>
          <w:spacing w:val="-15"/>
        </w:rPr>
        <w:t> </w:t>
      </w:r>
      <w:r>
        <w:rPr/>
        <w:t>therefore</w:t>
      </w:r>
      <w:r>
        <w:rPr>
          <w:spacing w:val="-15"/>
        </w:rPr>
        <w:t> </w:t>
      </w:r>
      <w:r>
        <w:rPr/>
        <w:t>treats</w:t>
      </w:r>
      <w:r>
        <w:rPr>
          <w:spacing w:val="-15"/>
        </w:rPr>
        <w:t> </w:t>
      </w:r>
      <w:r>
        <w:rPr/>
        <w:t>GMX</w:t>
      </w:r>
      <w:r>
        <w:rPr>
          <w:spacing w:val="-15"/>
        </w:rPr>
        <w:t> </w:t>
      </w:r>
      <w:r>
        <w:rPr/>
        <w:t>outcomes</w:t>
      </w:r>
      <w:r>
        <w:rPr>
          <w:spacing w:val="-15"/>
        </w:rPr>
        <w:t> </w:t>
      </w:r>
      <w:r>
        <w:rPr/>
        <w:t>as</w:t>
      </w:r>
      <w:r>
        <w:rPr>
          <w:spacing w:val="-15"/>
        </w:rPr>
        <w:t> </w:t>
      </w:r>
      <w:r>
        <w:rPr/>
        <w:t>domain-intuition</w:t>
      </w:r>
      <w:r>
        <w:rPr>
          <w:spacing w:val="-15"/>
        </w:rPr>
        <w:t> </w:t>
      </w:r>
      <w:r>
        <w:rPr/>
        <w:t>proxies</w:t>
      </w:r>
      <w:r>
        <w:rPr>
          <w:spacing w:val="-15"/>
        </w:rPr>
        <w:t> </w:t>
      </w:r>
      <w:r>
        <w:rPr/>
        <w:t>and</w:t>
      </w:r>
      <w:r>
        <w:rPr>
          <w:spacing w:val="-15"/>
        </w:rPr>
        <w:t> </w:t>
      </w:r>
      <w:r>
        <w:rPr/>
        <w:t>reports </w:t>
      </w:r>
      <w:bookmarkStart w:name="Related measurement traditions" w:id="75"/>
      <w:bookmarkEnd w:id="75"/>
      <w:r>
        <w:rPr>
          <w:spacing w:val="-1"/>
          <w:w w:val="99"/>
        </w:rPr>
      </w:r>
      <w:bookmarkStart w:name="_bookmark41" w:id="76"/>
      <w:bookmarkEnd w:id="76"/>
      <w:r>
        <w:rPr/>
        <w:t>transfer</w:t>
      </w:r>
      <w:r>
        <w:rPr/>
        <w:t> proxies alongside them (RQ4).</w:t>
      </w:r>
    </w:p>
    <w:p>
      <w:pPr>
        <w:pStyle w:val="BodyText"/>
        <w:spacing w:line="391" w:lineRule="auto" w:before="176"/>
        <w:ind w:left="276" w:right="524" w:hanging="2"/>
        <w:jc w:val="both"/>
      </w:pPr>
      <w:r>
        <w:rPr>
          <w:i/>
        </w:rPr>
        <w:t>(i) 높은 이벤트 밀도(스터디 창에서 365,488회 마감), (ii) 지갑 수준 속성, (iii) 지향적 프록시로 전환될 수 있는 서명된 결과(이익, 손실, 청산). 단점은 무담보 신용과의 거리가 멀다는 것입니다. 수익성 있는 거래자가 반드시 좋은 차용인은 아닙니다. 따라서 이 논문에서는 GMX 결과를 도메인 직관 프록시로 취급하고 이와 함께 전송 프록시를 보고합니다(RQ4).</w:t>
      </w:r>
    </w:p>
    <w:p>
      <w:pPr>
        <w:pStyle w:val="BodyText"/>
        <w:spacing w:before="168"/>
      </w:pPr>
    </w:p>
    <w:p>
      <w:pPr>
        <w:pStyle w:val="Heading2"/>
        <w:numPr>
          <w:ilvl w:val="1"/>
          <w:numId w:val="8"/>
        </w:numPr>
        <w:tabs>
          <w:tab w:pos="927" w:val="left" w:leader="none"/>
        </w:tabs>
        <w:spacing w:line="240" w:lineRule="auto" w:before="0" w:after="0"/>
        <w:ind w:left="927" w:right="0" w:hanging="645"/>
        <w:jc w:val="both"/>
      </w:pPr>
      <w:r>
        <w:rPr/>
        <w:t>Related</w:t>
      </w:r>
      <w:r>
        <w:rPr>
          <w:spacing w:val="20"/>
        </w:rPr>
        <w:t> </w:t>
      </w:r>
      <w:r>
        <w:rPr/>
        <w:t>measurement</w:t>
      </w:r>
      <w:r>
        <w:rPr>
          <w:spacing w:val="21"/>
        </w:rPr>
        <w:t> </w:t>
      </w:r>
      <w:r>
        <w:rPr>
          <w:spacing w:val="-2"/>
        </w:rPr>
        <w:t>traditions</w:t>
      </w:r>
    </w:p>
    <w:p>
      <w:pPr>
        <w:pStyle w:val="Heading2"/>
        <w:numPr>
          <w:ilvl w:val="1"/>
          <w:numId w:val="8"/>
        </w:numPr>
        <w:tabs>
          <w:tab w:pos="927" w:val="left" w:leader="none"/>
        </w:tabs>
        <w:spacing w:line="240" w:lineRule="auto" w:before="0" w:after="0"/>
        <w:ind w:left="927" w:right="0" w:hanging="645"/>
        <w:jc w:val="both"/>
      </w:pPr>
      <w:r>
        <w:rPr>
          <w:i/>
        </w:rPr>
        <w:t>관련 측정 전통</w:t>
      </w:r>
    </w:p>
    <w:p>
      <w:pPr>
        <w:pStyle w:val="BodyText"/>
        <w:spacing w:before="24"/>
        <w:rPr>
          <w:b/>
          <w:sz w:val="28"/>
        </w:rPr>
      </w:pPr>
    </w:p>
    <w:p>
      <w:pPr>
        <w:pStyle w:val="BodyText"/>
        <w:spacing w:line="396" w:lineRule="auto"/>
        <w:ind w:left="273" w:right="524" w:firstLine="8"/>
        <w:jc w:val="both"/>
      </w:pPr>
      <w:r>
        <w:rPr/>
        <w:t>Beyond blockchain, reputation systems have been studied in e-commerce </w:t>
      </w:r>
      <w:hyperlink w:history="true" w:anchor="_bookmark185">
        <w:r>
          <w:rPr>
            <w:vertAlign w:val="superscript"/>
          </w:rPr>
          <w:t>[52]</w:t>
        </w:r>
      </w:hyperlink>
      <w:r>
        <w:rPr>
          <w:vertAlign w:val="baseline"/>
        </w:rPr>
        <w:t>, peer-to-peer net-works </w:t>
      </w:r>
      <w:hyperlink w:history="true" w:anchor="_bookmark168">
        <w:r>
          <w:rPr>
            <w:vertAlign w:val="superscript"/>
          </w:rPr>
          <w:t>[35]</w:t>
        </w:r>
      </w:hyperlink>
      <w:r>
        <w:rPr>
          <w:vertAlign w:val="baseline"/>
        </w:rPr>
        <w:t>, and web spam </w:t>
      </w:r>
      <w:hyperlink w:history="true" w:anchor="_bookmark160">
        <w:r>
          <w:rPr>
            <w:vertAlign w:val="superscript"/>
          </w:rPr>
          <w:t>[27]</w:t>
        </w:r>
      </w:hyperlink>
      <w:r>
        <w:rPr>
          <w:vertAlign w:val="baseline"/>
        </w:rPr>
        <w:t>.</w:t>
      </w:r>
      <w:r>
        <w:rPr>
          <w:spacing w:val="40"/>
          <w:vertAlign w:val="baseline"/>
        </w:rPr>
        <w:t> </w:t>
      </w:r>
      <w:r>
        <w:rPr>
          <w:vertAlign w:val="baseline"/>
        </w:rPr>
        <w:t>Common lessons include:</w:t>
      </w:r>
      <w:r>
        <w:rPr>
          <w:spacing w:val="40"/>
          <w:vertAlign w:val="baseline"/>
        </w:rPr>
        <w:t> </w:t>
      </w:r>
      <w:r>
        <w:rPr>
          <w:vertAlign w:val="baseline"/>
        </w:rPr>
        <w:t>(i) reputation is relational; (ii) cheap identities enable Sybil attacks </w:t>
      </w:r>
      <w:hyperlink w:history="true" w:anchor="_bookmark150">
        <w:r>
          <w:rPr>
            <w:vertAlign w:val="superscript"/>
          </w:rPr>
          <w:t>[17]</w:t>
        </w:r>
      </w:hyperlink>
      <w:r>
        <w:rPr>
          <w:vertAlign w:val="baseline"/>
        </w:rPr>
        <w:t>; (iii) seed sets and normalization limit inflation; and (iv) eval-uation requires external criteria, not only internal consistency.</w:t>
      </w:r>
      <w:r>
        <w:rPr>
          <w:spacing w:val="40"/>
          <w:vertAlign w:val="baseline"/>
        </w:rPr>
        <w:t> </w:t>
      </w:r>
      <w:r>
        <w:rPr>
          <w:vertAlign w:val="baseline"/>
        </w:rPr>
        <w:t>EndorseRank inherits (i)–(iii) via PageRank damping and endorsement costs,</w:t>
      </w:r>
      <w:r>
        <w:rPr>
          <w:spacing w:val="22"/>
          <w:vertAlign w:val="baseline"/>
        </w:rPr>
        <w:t> </w:t>
      </w:r>
      <w:r>
        <w:rPr>
          <w:vertAlign w:val="baseline"/>
        </w:rPr>
        <w:t>and addresses (iv) via multi-family rank correlation</w:t>
      </w:r>
    </w:p>
    <w:p>
      <w:pPr>
        <w:pStyle w:val="BodyText"/>
        <w:spacing w:line="396" w:lineRule="auto"/>
        <w:ind w:left="273" w:right="524" w:firstLine="8"/>
        <w:jc w:val="both"/>
      </w:pPr>
      <w:r>
        <w:rPr>
          <w:i/>
        </w:rPr>
        <w:t>블록체인 외에도 전자상거래[52], P2P 네트워크[35] 및 웹 스팸[27]에서 평판 시스템이 연구되었습니다. 일반적인 교훈은 다음과 같습니다: (i) 평판은 관계형입니다. (ii) 값싼 ID로 Sybil 공격이 가능합니다[17]. (iii) 시드 세트 및 정규화는 인플레이션을 제한합니다. (iv) 평가에는 내부 일관성뿐만 아니라 외부 기준도 필요합니다. EndorseRank는 PageRank 감쇠 및 보증 비용을 통해 (i)–(iii)을 상속하고 다가구 순위 상관을 통해 (iv)를 해결합니다.</w:t>
      </w:r>
    </w:p>
    <w:p>
      <w:pPr>
        <w:spacing w:line="151" w:lineRule="auto" w:before="42"/>
        <w:ind w:left="282" w:right="0" w:firstLine="0"/>
        <w:jc w:val="left"/>
        <w:rPr>
          <w:position w:val="-8"/>
          <w:sz w:val="24"/>
        </w:rPr>
      </w:pPr>
      <w:hyperlink w:history="true" w:anchor="_bookmark147">
        <w:r>
          <w:rPr>
            <w:spacing w:val="-2"/>
            <w:sz w:val="16"/>
          </w:rPr>
          <w:t>[14]</w:t>
        </w:r>
      </w:hyperlink>
      <w:r>
        <w:rPr>
          <w:spacing w:val="-2"/>
          <w:sz w:val="16"/>
        </w:rPr>
        <w:t>,</w:t>
      </w:r>
      <w:hyperlink w:history="true" w:anchor="_bookmark169">
        <w:r>
          <w:rPr>
            <w:spacing w:val="-2"/>
            <w:sz w:val="16"/>
          </w:rPr>
          <w:t>[36]</w:t>
        </w:r>
      </w:hyperlink>
      <w:r>
        <w:rPr>
          <w:spacing w:val="-2"/>
          <w:sz w:val="16"/>
        </w:rPr>
        <w:t>,</w:t>
      </w:r>
      <w:hyperlink w:history="true" w:anchor="_bookmark187">
        <w:r>
          <w:rPr>
            <w:spacing w:val="-2"/>
            <w:sz w:val="16"/>
          </w:rPr>
          <w:t>[54]</w:t>
        </w:r>
      </w:hyperlink>
      <w:r>
        <w:rPr>
          <w:spacing w:val="-2"/>
          <w:position w:val="-8"/>
          <w:sz w:val="24"/>
        </w:rPr>
        <w:t>.</w:t>
      </w:r>
    </w:p>
    <w:p>
      <w:pPr>
        <w:pStyle w:val="BodyText"/>
        <w:spacing w:before="58"/>
        <w:rPr>
          <w:sz w:val="16"/>
        </w:rPr>
      </w:pPr>
    </w:p>
    <w:p>
      <w:pPr>
        <w:pStyle w:val="BodyText"/>
        <w:spacing w:line="396" w:lineRule="auto"/>
        <w:ind w:left="282" w:right="564"/>
        <w:jc w:val="both"/>
      </w:pPr>
      <w:r>
        <w:rPr/>
        <w:t>Personalized</w:t>
      </w:r>
      <w:r>
        <w:rPr>
          <w:spacing w:val="-13"/>
        </w:rPr>
        <w:t> </w:t>
      </w:r>
      <w:r>
        <w:rPr/>
        <w:t>and</w:t>
      </w:r>
      <w:r>
        <w:rPr>
          <w:spacing w:val="-12"/>
        </w:rPr>
        <w:t> </w:t>
      </w:r>
      <w:r>
        <w:rPr/>
        <w:t>topic-sensitive</w:t>
      </w:r>
      <w:r>
        <w:rPr>
          <w:spacing w:val="-13"/>
        </w:rPr>
        <w:t> </w:t>
      </w:r>
      <w:r>
        <w:rPr/>
        <w:t>PageRank</w:t>
      </w:r>
      <w:r>
        <w:rPr>
          <w:spacing w:val="-12"/>
        </w:rPr>
        <w:t> </w:t>
      </w:r>
      <w:r>
        <w:rPr/>
        <w:t>variants</w:t>
      </w:r>
      <w:r>
        <w:rPr>
          <w:spacing w:val="-13"/>
        </w:rPr>
        <w:t> </w:t>
      </w:r>
      <w:hyperlink w:history="true" w:anchor="_bookmark163">
        <w:r>
          <w:rPr>
            <w:vertAlign w:val="superscript"/>
          </w:rPr>
          <w:t>[30]</w:t>
        </w:r>
      </w:hyperlink>
      <w:r>
        <w:rPr>
          <w:vertAlign w:val="superscript"/>
        </w:rPr>
        <w:t>,</w:t>
      </w:r>
      <w:hyperlink w:history="true" w:anchor="_bookmark165">
        <w:r>
          <w:rPr>
            <w:vertAlign w:val="superscript"/>
          </w:rPr>
          <w:t>[32]</w:t>
        </w:r>
      </w:hyperlink>
      <w:r>
        <w:rPr>
          <w:spacing w:val="-3"/>
          <w:vertAlign w:val="baseline"/>
        </w:rPr>
        <w:t> </w:t>
      </w:r>
      <w:r>
        <w:rPr>
          <w:vertAlign w:val="baseline"/>
        </w:rPr>
        <w:t>could,</w:t>
      </w:r>
      <w:r>
        <w:rPr>
          <w:spacing w:val="-11"/>
          <w:vertAlign w:val="baseline"/>
        </w:rPr>
        <w:t> </w:t>
      </w:r>
      <w:r>
        <w:rPr>
          <w:vertAlign w:val="baseline"/>
        </w:rPr>
        <w:t>in</w:t>
      </w:r>
      <w:r>
        <w:rPr>
          <w:spacing w:val="-13"/>
          <w:vertAlign w:val="baseline"/>
        </w:rPr>
        <w:t> </w:t>
      </w:r>
      <w:r>
        <w:rPr>
          <w:vertAlign w:val="baseline"/>
        </w:rPr>
        <w:t>future</w:t>
      </w:r>
      <w:r>
        <w:rPr>
          <w:spacing w:val="-12"/>
          <w:vertAlign w:val="baseline"/>
        </w:rPr>
        <w:t> </w:t>
      </w:r>
      <w:r>
        <w:rPr>
          <w:vertAlign w:val="baseline"/>
        </w:rPr>
        <w:t>work,</w:t>
      </w:r>
      <w:r>
        <w:rPr>
          <w:spacing w:val="-11"/>
          <w:vertAlign w:val="baseline"/>
        </w:rPr>
        <w:t> </w:t>
      </w:r>
      <w:r>
        <w:rPr>
          <w:vertAlign w:val="baseline"/>
        </w:rPr>
        <w:t>bias</w:t>
      </w:r>
      <w:r>
        <w:rPr>
          <w:spacing w:val="-12"/>
          <w:vertAlign w:val="baseline"/>
        </w:rPr>
        <w:t> </w:t>
      </w:r>
      <w:r>
        <w:rPr>
          <w:vertAlign w:val="baseline"/>
        </w:rPr>
        <w:t>teleportation toward protocol-approved contracts or known-good wallets, analogous to TrustRank seeds.</w:t>
      </w:r>
      <w:r>
        <w:rPr>
          <w:spacing w:val="40"/>
          <w:vertAlign w:val="baseline"/>
        </w:rPr>
        <w:t> </w:t>
      </w:r>
      <w:r>
        <w:rPr>
          <w:vertAlign w:val="baseline"/>
        </w:rPr>
        <w:t>This </w:t>
      </w:r>
      <w:bookmarkStart w:name="Accounts, gas, and why logs are the meas" w:id="77"/>
      <w:bookmarkEnd w:id="77"/>
      <w:r>
        <w:rPr>
          <w:spacing w:val="-1"/>
          <w:w w:val="99"/>
          <w:vertAlign w:val="baseline"/>
        </w:rPr>
      </w:r>
      <w:bookmarkStart w:name="_bookmark42" w:id="78"/>
      <w:bookmarkEnd w:id="78"/>
      <w:r>
        <w:rPr>
          <w:vertAlign w:val="baseline"/>
        </w:rPr>
        <w:t>dissertation</w:t>
      </w:r>
      <w:r>
        <w:rPr>
          <w:vertAlign w:val="baseline"/>
        </w:rPr>
        <w:t> uses uniform teleportation for comparability with Do et al.</w:t>
      </w:r>
      <w:hyperlink w:history="true" w:anchor="_bookmark149">
        <w:r>
          <w:rPr>
            <w:vertAlign w:val="superscript"/>
          </w:rPr>
          <w:t>[16]</w:t>
        </w:r>
      </w:hyperlink>
      <w:r>
        <w:rPr>
          <w:vertAlign w:val="baseline"/>
        </w:rPr>
        <w:t>.</w:t>
      </w:r>
    </w:p>
    <w:p>
      <w:pPr>
        <w:pStyle w:val="BodyText"/>
        <w:spacing w:line="396" w:lineRule="auto"/>
        <w:ind w:left="282" w:right="564"/>
        <w:jc w:val="both"/>
      </w:pPr>
      <w:r>
        <w:rPr>
          <w:i/>
        </w:rPr>
        <w:t>개인화되고 주제에 민감한 PageRank 변형[30],[32]은 향후 작업에서 TrustRank 시드와 유사하게 프로토콜 승인 계약 또는 알려진 양호한 지갑으로 순간 이동을 편향할 수 있습니다. 이 논문은 Do et al.[16]과의 비교를 위해 균일한 순간이동을 사용합니다.</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Accounts,</w:t>
      </w:r>
      <w:r>
        <w:rPr>
          <w:spacing w:val="12"/>
        </w:rPr>
        <w:t> </w:t>
      </w:r>
      <w:r>
        <w:rPr/>
        <w:t>gas,</w:t>
      </w:r>
      <w:r>
        <w:rPr>
          <w:spacing w:val="13"/>
        </w:rPr>
        <w:t> </w:t>
      </w:r>
      <w:r>
        <w:rPr/>
        <w:t>and</w:t>
      </w:r>
      <w:r>
        <w:rPr>
          <w:spacing w:val="13"/>
        </w:rPr>
        <w:t> </w:t>
      </w:r>
      <w:r>
        <w:rPr/>
        <w:t>why</w:t>
      </w:r>
      <w:r>
        <w:rPr>
          <w:spacing w:val="12"/>
        </w:rPr>
        <w:t> </w:t>
      </w:r>
      <w:r>
        <w:rPr/>
        <w:t>logs</w:t>
      </w:r>
      <w:r>
        <w:rPr>
          <w:spacing w:val="13"/>
        </w:rPr>
        <w:t> </w:t>
      </w:r>
      <w:r>
        <w:rPr/>
        <w:t>are</w:t>
      </w:r>
      <w:r>
        <w:rPr>
          <w:spacing w:val="13"/>
        </w:rPr>
        <w:t> </w:t>
      </w:r>
      <w:r>
        <w:rPr/>
        <w:t>the</w:t>
      </w:r>
      <w:r>
        <w:rPr>
          <w:spacing w:val="12"/>
        </w:rPr>
        <w:t> </w:t>
      </w:r>
      <w:r>
        <w:rPr/>
        <w:t>measurement</w:t>
      </w:r>
      <w:r>
        <w:rPr>
          <w:spacing w:val="13"/>
        </w:rPr>
        <w:t> </w:t>
      </w:r>
      <w:r>
        <w:rPr>
          <w:spacing w:val="-2"/>
        </w:rPr>
        <w:t>surface</w:t>
      </w:r>
    </w:p>
    <w:p>
      <w:pPr>
        <w:pStyle w:val="Heading2"/>
        <w:numPr>
          <w:ilvl w:val="1"/>
          <w:numId w:val="8"/>
        </w:numPr>
        <w:tabs>
          <w:tab w:pos="927" w:val="left" w:leader="none"/>
        </w:tabs>
        <w:spacing w:line="240" w:lineRule="auto" w:before="112" w:after="0"/>
        <w:ind w:left="927" w:right="0" w:hanging="645"/>
        <w:jc w:val="left"/>
      </w:pPr>
      <w:r>
        <w:rPr>
          <w:i/>
        </w:rPr>
        <w:t>계정, 가스, 로그가 측정 표면인 이유</w:t>
      </w:r>
    </w:p>
    <w:p>
      <w:pPr>
        <w:pStyle w:val="BodyText"/>
        <w:spacing w:before="24"/>
        <w:rPr>
          <w:b/>
          <w:sz w:val="28"/>
        </w:rPr>
      </w:pPr>
    </w:p>
    <w:p>
      <w:pPr>
        <w:pStyle w:val="BodyText"/>
        <w:spacing w:line="396" w:lineRule="auto"/>
        <w:ind w:left="282" w:right="534"/>
        <w:jc w:val="both"/>
      </w:pPr>
      <w:r>
        <w:rPr/>
        <w:t>Ethereum-style</w:t>
      </w:r>
      <w:r>
        <w:rPr>
          <w:spacing w:val="-8"/>
        </w:rPr>
        <w:t> </w:t>
      </w:r>
      <w:r>
        <w:rPr/>
        <w:t>accounts</w:t>
      </w:r>
      <w:r>
        <w:rPr>
          <w:spacing w:val="-7"/>
        </w:rPr>
        <w:t> </w:t>
      </w:r>
      <w:r>
        <w:rPr/>
        <w:t>are</w:t>
      </w:r>
      <w:r>
        <w:rPr>
          <w:spacing w:val="-7"/>
        </w:rPr>
        <w:t> </w:t>
      </w:r>
      <w:r>
        <w:rPr/>
        <w:t>either</w:t>
      </w:r>
      <w:r>
        <w:rPr>
          <w:spacing w:val="-7"/>
        </w:rPr>
        <w:t> </w:t>
      </w:r>
      <w:r>
        <w:rPr/>
        <w:t>externally</w:t>
      </w:r>
      <w:r>
        <w:rPr>
          <w:spacing w:val="-7"/>
        </w:rPr>
        <w:t> </w:t>
      </w:r>
      <w:r>
        <w:rPr/>
        <w:t>owned</w:t>
      </w:r>
      <w:r>
        <w:rPr>
          <w:spacing w:val="-7"/>
        </w:rPr>
        <w:t> </w:t>
      </w:r>
      <w:r>
        <w:rPr/>
        <w:t>accounts</w:t>
      </w:r>
      <w:r>
        <w:rPr>
          <w:spacing w:val="-7"/>
        </w:rPr>
        <w:t> </w:t>
      </w:r>
      <w:r>
        <w:rPr/>
        <w:t>(EOAs),</w:t>
      </w:r>
      <w:r>
        <w:rPr>
          <w:spacing w:val="-7"/>
        </w:rPr>
        <w:t> </w:t>
      </w:r>
      <w:r>
        <w:rPr/>
        <w:t>controlled</w:t>
      </w:r>
      <w:r>
        <w:rPr>
          <w:spacing w:val="-7"/>
        </w:rPr>
        <w:t> </w:t>
      </w:r>
      <w:r>
        <w:rPr/>
        <w:t>by</w:t>
      </w:r>
      <w:r>
        <w:rPr>
          <w:spacing w:val="-7"/>
        </w:rPr>
        <w:t> </w:t>
      </w:r>
      <w:r>
        <w:rPr/>
        <w:t>private</w:t>
      </w:r>
      <w:r>
        <w:rPr>
          <w:spacing w:val="-7"/>
        </w:rPr>
        <w:t> </w:t>
      </w:r>
      <w:r>
        <w:rPr/>
        <w:t>keys, or contract accounts, controlled by code </w:t>
      </w:r>
      <w:hyperlink w:history="true" w:anchor="_bookmark136">
        <w:r>
          <w:rPr>
            <w:vertAlign w:val="superscript"/>
          </w:rPr>
          <w:t>[3]</w:t>
        </w:r>
      </w:hyperlink>
      <w:r>
        <w:rPr>
          <w:vertAlign w:val="superscript"/>
        </w:rPr>
        <w:t>,</w:t>
      </w:r>
      <w:hyperlink w:history="true" w:anchor="_bookmark193">
        <w:r>
          <w:rPr>
            <w:vertAlign w:val="superscript"/>
          </w:rPr>
          <w:t>[60]</w:t>
        </w:r>
      </w:hyperlink>
      <w:r>
        <w:rPr>
          <w:vertAlign w:val="baseline"/>
        </w:rPr>
        <w:t>.</w:t>
      </w:r>
      <w:r>
        <w:rPr>
          <w:spacing w:val="40"/>
          <w:vertAlign w:val="baseline"/>
        </w:rPr>
        <w:t> </w:t>
      </w:r>
      <w:r>
        <w:rPr>
          <w:vertAlign w:val="baseline"/>
        </w:rPr>
        <w:t>Every state-changing interaction consumes gas and emits logs when contracts are written to do so.</w:t>
      </w:r>
      <w:r>
        <w:rPr>
          <w:spacing w:val="35"/>
          <w:vertAlign w:val="baseline"/>
        </w:rPr>
        <w:t> </w:t>
      </w:r>
      <w:r>
        <w:rPr>
          <w:vertAlign w:val="baseline"/>
        </w:rPr>
        <w:t>Reputation research that aims for auditability therefore privileges </w:t>
      </w:r>
      <w:r>
        <w:rPr>
          <w:i/>
          <w:vertAlign w:val="baseline"/>
        </w:rPr>
        <w:t>logs </w:t>
      </w:r>
      <w:r>
        <w:rPr>
          <w:vertAlign w:val="baseline"/>
        </w:rPr>
        <w:t>over off-chain indexes:</w:t>
      </w:r>
      <w:r>
        <w:rPr>
          <w:spacing w:val="40"/>
          <w:vertAlign w:val="baseline"/>
        </w:rPr>
        <w:t> </w:t>
      </w:r>
      <w:r>
        <w:rPr>
          <w:vertAlign w:val="baseline"/>
        </w:rPr>
        <w:t>logs are part of the canonical chain history and can be re-derived by any full node or public warehouse </w:t>
      </w:r>
      <w:hyperlink w:history="true" w:anchor="_bookmark180">
        <w:r>
          <w:rPr>
            <w:vertAlign w:val="superscript"/>
          </w:rPr>
          <w:t>[47]</w:t>
        </w:r>
      </w:hyperlink>
      <w:r>
        <w:rPr>
          <w:vertAlign w:val="baseline"/>
        </w:rPr>
        <w:t>.</w:t>
      </w:r>
    </w:p>
    <w:p>
      <w:pPr>
        <w:pStyle w:val="BodyText"/>
        <w:spacing w:line="396" w:lineRule="auto"/>
        <w:ind w:left="282" w:right="534"/>
        <w:jc w:val="both"/>
      </w:pPr>
      <w:r>
        <w:rPr>
          <w:i/>
        </w:rPr>
        <w:t>이더리움 스타일 계정은 개인 키로 제어되는 외부 소유 계정(EOA)이거나 코드 [3],[60]으로 제어되는 계약 계정입니다. 모든 상태 변경 상호 작용은 가스를 소비하고 계약이 작성되면 로그를 생성합니다. 따라서 감사 가능성을 목표로 하는 평판 연구는 오프체인 인덱스에 대한 로그 권한을 부여합니다. 로그는 표준 체인 기록의 일부이며 모든 전체 노드 또는 공용 창고에서 다시 파생될 수 있습니다[47].</w:t>
      </w:r>
    </w:p>
    <w:p>
      <w:pPr>
        <w:pStyle w:val="BodyText"/>
        <w:spacing w:line="388" w:lineRule="auto" w:before="20"/>
        <w:ind w:left="282" w:right="524"/>
        <w:jc w:val="both"/>
      </w:pPr>
      <w:r>
        <w:rPr/>
        <w:t>Gas costs shape the graphs we observe.</w:t>
      </w:r>
      <w:r>
        <w:rPr>
          <w:spacing w:val="40"/>
        </w:rPr>
        <w:t> </w:t>
      </w:r>
      <w:r>
        <w:rPr/>
        <w:t>On L2s, lower fees increase transfer frequency and ap-proval churn, densifying </w:t>
      </w:r>
      <w:r>
        <w:rPr>
          <w:rFonts w:ascii="Calibri"/>
          <w:i/>
        </w:rPr>
        <w:t>G</w:t>
      </w:r>
      <w:r>
        <w:rPr>
          <w:vertAlign w:val="subscript"/>
        </w:rPr>
        <w:t>transfer</w:t>
      </w:r>
      <w:r>
        <w:rPr>
          <w:vertAlign w:val="baseline"/>
        </w:rPr>
        <w:t> more than </w:t>
      </w:r>
      <w:r>
        <w:rPr>
          <w:rFonts w:ascii="Calibri"/>
          <w:i/>
          <w:vertAlign w:val="baseline"/>
        </w:rPr>
        <w:t>G</w:t>
      </w:r>
      <w:r>
        <w:rPr>
          <w:vertAlign w:val="subscript"/>
        </w:rPr>
        <w:t>approve</w:t>
      </w:r>
      <w:r>
        <w:rPr>
          <w:vertAlign w:val="baseline"/>
        </w:rPr>
        <w:t> because payments are routine while approvals are intermittent setup actions.</w:t>
      </w:r>
      <w:r>
        <w:rPr>
          <w:spacing w:val="40"/>
          <w:vertAlign w:val="baseline"/>
        </w:rPr>
        <w:t> </w:t>
      </w:r>
      <w:r>
        <w:rPr>
          <w:vertAlign w:val="baseline"/>
        </w:rPr>
        <w:t>This economic asymmetry is one reason EndorseRank graphs are </w:t>
      </w:r>
      <w:bookmarkStart w:name="Approvals as security-relevant events" w:id="79"/>
      <w:bookmarkEnd w:id="79"/>
      <w:r>
        <w:rPr>
          <w:w w:val="99"/>
          <w:vertAlign w:val="baseline"/>
        </w:rPr>
      </w:r>
      <w:bookmarkStart w:name="_bookmark43" w:id="80"/>
      <w:bookmarkEnd w:id="80"/>
      <w:r>
        <w:rPr>
          <w:vertAlign w:val="baseline"/>
        </w:rPr>
        <w:t>expected</w:t>
      </w:r>
      <w:r>
        <w:rPr>
          <w:vertAlign w:val="baseline"/>
        </w:rPr>
        <w:t> to remain sparse relative to transfer graphs (examined in Chapter </w:t>
      </w:r>
      <w:hyperlink w:history="true" w:anchor="_bookmark84">
        <w:r>
          <w:rPr>
            <w:vertAlign w:val="baseline"/>
          </w:rPr>
          <w:t>4</w:t>
        </w:r>
      </w:hyperlink>
      <w:r>
        <w:rPr>
          <w:vertAlign w:val="baseline"/>
        </w:rPr>
        <w:t>).</w:t>
      </w:r>
    </w:p>
    <w:p>
      <w:pPr>
        <w:pStyle w:val="BodyText"/>
        <w:spacing w:line="388" w:lineRule="auto" w:before="20"/>
        <w:ind w:left="282" w:right="524"/>
        <w:jc w:val="both"/>
      </w:pPr>
      <w:r>
        <w:rPr>
          <w:i/>
        </w:rPr>
        <w:t>가스 비용은 우리가 관찰하는 그래프를 형성합니다. L2에서는 수수료가 낮을수록 전송 빈도와 승인 이탈이 증가하며, 승인은 간헐적인 설정 작업인 반면 결제는 일상적이므로 Gtransfer의 밀도가 Gapprove보다 더 높습니다. 이러한 경제적 비대칭성은 EndorseRank 그래프가 전송 그래프에 비해 희박하게 유지될 것으로 예상되는 이유 중 하나입니다(4장에서 검토함).</w:t>
      </w:r>
    </w:p>
    <w:p>
      <w:pPr>
        <w:pStyle w:val="BodyText"/>
        <w:spacing w:before="168"/>
      </w:pPr>
    </w:p>
    <w:p>
      <w:pPr>
        <w:pStyle w:val="Heading2"/>
        <w:numPr>
          <w:ilvl w:val="1"/>
          <w:numId w:val="8"/>
        </w:numPr>
        <w:tabs>
          <w:tab w:pos="927" w:val="left" w:leader="none"/>
        </w:tabs>
        <w:spacing w:line="240" w:lineRule="auto" w:before="0" w:after="0"/>
        <w:ind w:left="927" w:right="0" w:hanging="645"/>
        <w:jc w:val="left"/>
      </w:pPr>
      <w:r>
        <w:rPr/>
        <w:t>Approvals</w:t>
      </w:r>
      <w:r>
        <w:rPr>
          <w:spacing w:val="19"/>
        </w:rPr>
        <w:t> </w:t>
      </w:r>
      <w:r>
        <w:rPr/>
        <w:t>as</w:t>
      </w:r>
      <w:r>
        <w:rPr>
          <w:spacing w:val="19"/>
        </w:rPr>
        <w:t> </w:t>
      </w:r>
      <w:r>
        <w:rPr/>
        <w:t>security-relevant</w:t>
      </w:r>
      <w:r>
        <w:rPr>
          <w:spacing w:val="19"/>
        </w:rPr>
        <w:t> </w:t>
      </w:r>
      <w:r>
        <w:rPr>
          <w:spacing w:val="-2"/>
        </w:rPr>
        <w:t>events</w:t>
      </w:r>
    </w:p>
    <w:p>
      <w:pPr>
        <w:pStyle w:val="Heading2"/>
        <w:numPr>
          <w:ilvl w:val="1"/>
          <w:numId w:val="8"/>
        </w:numPr>
        <w:tabs>
          <w:tab w:pos="927" w:val="left" w:leader="none"/>
        </w:tabs>
        <w:spacing w:line="240" w:lineRule="auto" w:before="0" w:after="0"/>
        <w:ind w:left="927" w:right="0" w:hanging="645"/>
        <w:jc w:val="left"/>
      </w:pPr>
      <w:r>
        <w:rPr>
          <w:i/>
        </w:rPr>
        <w:t>보안 관련 이벤트로 승인</w:t>
      </w:r>
    </w:p>
    <w:p>
      <w:pPr>
        <w:pStyle w:val="BodyText"/>
        <w:spacing w:before="19"/>
        <w:rPr>
          <w:b/>
          <w:sz w:val="28"/>
        </w:rPr>
      </w:pPr>
    </w:p>
    <w:p>
      <w:pPr>
        <w:pStyle w:val="BodyText"/>
        <w:spacing w:line="393" w:lineRule="auto"/>
        <w:ind w:left="273" w:right="523" w:firstLine="8"/>
        <w:jc w:val="both"/>
      </w:pPr>
      <w:r>
        <w:rPr>
          <w:spacing w:val="-2"/>
          <w:w w:val="105"/>
        </w:rPr>
        <w:t>Unlimited</w:t>
      </w:r>
      <w:r>
        <w:rPr>
          <w:spacing w:val="-6"/>
          <w:w w:val="105"/>
        </w:rPr>
        <w:t> </w:t>
      </w:r>
      <w:r>
        <w:rPr>
          <w:spacing w:val="-2"/>
          <w:w w:val="105"/>
        </w:rPr>
        <w:t>approvals</w:t>
      </w:r>
      <w:r>
        <w:rPr>
          <w:spacing w:val="-6"/>
          <w:w w:val="105"/>
        </w:rPr>
        <w:t> </w:t>
      </w:r>
      <w:r>
        <w:rPr>
          <w:spacing w:val="-2"/>
          <w:w w:val="105"/>
        </w:rPr>
        <w:t>(</w:t>
      </w:r>
      <w:r>
        <w:rPr>
          <w:rFonts w:ascii="Calibri" w:hAnsi="Calibri"/>
          <w:spacing w:val="-2"/>
          <w:w w:val="105"/>
        </w:rPr>
        <w:t>type(uint256).max</w:t>
      </w:r>
      <w:r>
        <w:rPr>
          <w:spacing w:val="-2"/>
          <w:w w:val="105"/>
        </w:rPr>
        <w:t>)</w:t>
      </w:r>
      <w:r>
        <w:rPr>
          <w:spacing w:val="-6"/>
          <w:w w:val="105"/>
        </w:rPr>
        <w:t> </w:t>
      </w:r>
      <w:r>
        <w:rPr>
          <w:spacing w:val="-2"/>
          <w:w w:val="105"/>
        </w:rPr>
        <w:t>are</w:t>
      </w:r>
      <w:r>
        <w:rPr>
          <w:spacing w:val="-6"/>
          <w:w w:val="105"/>
        </w:rPr>
        <w:t> </w:t>
      </w:r>
      <w:r>
        <w:rPr>
          <w:spacing w:val="-2"/>
          <w:w w:val="105"/>
        </w:rPr>
        <w:t>a</w:t>
      </w:r>
      <w:r>
        <w:rPr>
          <w:spacing w:val="-6"/>
          <w:w w:val="105"/>
        </w:rPr>
        <w:t> </w:t>
      </w:r>
      <w:r>
        <w:rPr>
          <w:spacing w:val="-2"/>
          <w:w w:val="105"/>
        </w:rPr>
        <w:t>well-known</w:t>
      </w:r>
      <w:r>
        <w:rPr>
          <w:spacing w:val="-6"/>
          <w:w w:val="105"/>
        </w:rPr>
        <w:t> </w:t>
      </w:r>
      <w:r>
        <w:rPr>
          <w:spacing w:val="-2"/>
          <w:w w:val="105"/>
        </w:rPr>
        <w:t>user-experience</w:t>
      </w:r>
      <w:r>
        <w:rPr>
          <w:spacing w:val="-6"/>
          <w:w w:val="105"/>
        </w:rPr>
        <w:t> </w:t>
      </w:r>
      <w:r>
        <w:rPr>
          <w:spacing w:val="-2"/>
          <w:w w:val="105"/>
        </w:rPr>
        <w:t>hazard:</w:t>
      </w:r>
      <w:r>
        <w:rPr>
          <w:spacing w:val="14"/>
          <w:w w:val="105"/>
        </w:rPr>
        <w:t> </w:t>
      </w:r>
      <w:r>
        <w:rPr>
          <w:spacing w:val="-2"/>
          <w:w w:val="105"/>
        </w:rPr>
        <w:t>a</w:t>
      </w:r>
      <w:r>
        <w:rPr>
          <w:spacing w:val="-6"/>
          <w:w w:val="105"/>
        </w:rPr>
        <w:t> </w:t>
      </w:r>
      <w:r>
        <w:rPr>
          <w:spacing w:val="-2"/>
          <w:w w:val="105"/>
        </w:rPr>
        <w:t>compro-</w:t>
      </w:r>
      <w:r>
        <w:rPr/>
        <w:t>mised</w:t>
      </w:r>
      <w:r>
        <w:rPr>
          <w:spacing w:val="-2"/>
        </w:rPr>
        <w:t> </w:t>
      </w:r>
      <w:r>
        <w:rPr/>
        <w:t>spender</w:t>
      </w:r>
      <w:r>
        <w:rPr>
          <w:spacing w:val="-2"/>
        </w:rPr>
        <w:t> </w:t>
      </w:r>
      <w:r>
        <w:rPr/>
        <w:t>can</w:t>
      </w:r>
      <w:r>
        <w:rPr>
          <w:spacing w:val="-2"/>
        </w:rPr>
        <w:t> </w:t>
      </w:r>
      <w:r>
        <w:rPr/>
        <w:t>drain</w:t>
      </w:r>
      <w:r>
        <w:rPr>
          <w:spacing w:val="-2"/>
        </w:rPr>
        <w:t> </w:t>
      </w:r>
      <w:r>
        <w:rPr/>
        <w:t>tokens</w:t>
      </w:r>
      <w:r>
        <w:rPr>
          <w:spacing w:val="-2"/>
        </w:rPr>
        <w:t> </w:t>
      </w:r>
      <w:r>
        <w:rPr/>
        <w:t>until</w:t>
      </w:r>
      <w:r>
        <w:rPr>
          <w:spacing w:val="-2"/>
        </w:rPr>
        <w:t> </w:t>
      </w:r>
      <w:r>
        <w:rPr/>
        <w:t>the</w:t>
      </w:r>
      <w:r>
        <w:rPr>
          <w:spacing w:val="-2"/>
        </w:rPr>
        <w:t> </w:t>
      </w:r>
      <w:r>
        <w:rPr/>
        <w:t>owner</w:t>
      </w:r>
      <w:r>
        <w:rPr>
          <w:spacing w:val="-2"/>
        </w:rPr>
        <w:t> </w:t>
      </w:r>
      <w:r>
        <w:rPr/>
        <w:t>revokes. Security</w:t>
      </w:r>
      <w:r>
        <w:rPr>
          <w:spacing w:val="-2"/>
        </w:rPr>
        <w:t> </w:t>
      </w:r>
      <w:r>
        <w:rPr/>
        <w:t>analyses</w:t>
      </w:r>
      <w:r>
        <w:rPr>
          <w:spacing w:val="-2"/>
        </w:rPr>
        <w:t> </w:t>
      </w:r>
      <w:r>
        <w:rPr/>
        <w:t>of</w:t>
      </w:r>
      <w:r>
        <w:rPr>
          <w:spacing w:val="-2"/>
        </w:rPr>
        <w:t> </w:t>
      </w:r>
      <w:r>
        <w:rPr/>
        <w:t>honeypots,</w:t>
      </w:r>
      <w:r>
        <w:rPr>
          <w:spacing w:val="-2"/>
        </w:rPr>
        <w:t> </w:t>
      </w:r>
      <w:r>
        <w:rPr/>
        <w:t>phishing approvals, and malicious spenders </w:t>
      </w:r>
      <w:hyperlink w:history="true" w:anchor="_bookmark176">
        <w:r>
          <w:rPr>
            <w:vertAlign w:val="superscript"/>
          </w:rPr>
          <w:t>[43]</w:t>
        </w:r>
      </w:hyperlink>
      <w:r>
        <w:rPr>
          <w:vertAlign w:val="superscript"/>
        </w:rPr>
        <w:t>,</w:t>
      </w:r>
      <w:hyperlink w:history="true" w:anchor="_bookmark189">
        <w:r>
          <w:rPr>
            <w:vertAlign w:val="superscript"/>
          </w:rPr>
          <w:t>[56]</w:t>
        </w:r>
      </w:hyperlink>
      <w:r>
        <w:rPr>
          <w:vertAlign w:val="baseline"/>
        </w:rPr>
        <w:t> underscore that allowances are not neutral metadata—they are capabilities.</w:t>
      </w:r>
      <w:r>
        <w:rPr>
          <w:spacing w:val="40"/>
          <w:vertAlign w:val="baseline"/>
        </w:rPr>
        <w:t> </w:t>
      </w:r>
      <w:r>
        <w:rPr>
          <w:vertAlign w:val="baseline"/>
        </w:rPr>
        <w:t>EndorseRank interprets inbound allowances as endorsement of a spender’s capability,</w:t>
      </w:r>
      <w:r>
        <w:rPr>
          <w:spacing w:val="-3"/>
          <w:vertAlign w:val="baseline"/>
        </w:rPr>
        <w:t> </w:t>
      </w:r>
      <w:r>
        <w:rPr>
          <w:vertAlign w:val="baseline"/>
        </w:rPr>
        <w:t>which</w:t>
      </w:r>
      <w:r>
        <w:rPr>
          <w:spacing w:val="-3"/>
          <w:vertAlign w:val="baseline"/>
        </w:rPr>
        <w:t> </w:t>
      </w:r>
      <w:r>
        <w:rPr>
          <w:vertAlign w:val="baseline"/>
        </w:rPr>
        <w:t>is</w:t>
      </w:r>
      <w:r>
        <w:rPr>
          <w:spacing w:val="-3"/>
          <w:vertAlign w:val="baseline"/>
        </w:rPr>
        <w:t> </w:t>
      </w:r>
      <w:r>
        <w:rPr>
          <w:vertAlign w:val="baseline"/>
        </w:rPr>
        <w:t>precisely</w:t>
      </w:r>
      <w:r>
        <w:rPr>
          <w:spacing w:val="-3"/>
          <w:vertAlign w:val="baseline"/>
        </w:rPr>
        <w:t> </w:t>
      </w:r>
      <w:r>
        <w:rPr>
          <w:vertAlign w:val="baseline"/>
        </w:rPr>
        <w:t>why</w:t>
      </w:r>
      <w:r>
        <w:rPr>
          <w:spacing w:val="-3"/>
          <w:vertAlign w:val="baseline"/>
        </w:rPr>
        <w:t> </w:t>
      </w:r>
      <w:r>
        <w:rPr>
          <w:vertAlign w:val="baseline"/>
        </w:rPr>
        <w:t>the</w:t>
      </w:r>
      <w:r>
        <w:rPr>
          <w:spacing w:val="-2"/>
          <w:vertAlign w:val="baseline"/>
        </w:rPr>
        <w:t> </w:t>
      </w:r>
      <w:r>
        <w:rPr>
          <w:vertAlign w:val="baseline"/>
        </w:rPr>
        <w:t>construct</w:t>
      </w:r>
      <w:r>
        <w:rPr>
          <w:spacing w:val="-2"/>
          <w:vertAlign w:val="baseline"/>
        </w:rPr>
        <w:t> </w:t>
      </w:r>
      <w:r>
        <w:rPr>
          <w:vertAlign w:val="baseline"/>
        </w:rPr>
        <w:t>is</w:t>
      </w:r>
      <w:r>
        <w:rPr>
          <w:spacing w:val="-3"/>
          <w:vertAlign w:val="baseline"/>
        </w:rPr>
        <w:t> </w:t>
      </w:r>
      <w:r>
        <w:rPr>
          <w:vertAlign w:val="baseline"/>
        </w:rPr>
        <w:t>semantically</w:t>
      </w:r>
      <w:r>
        <w:rPr>
          <w:spacing w:val="-3"/>
          <w:vertAlign w:val="baseline"/>
        </w:rPr>
        <w:t> </w:t>
      </w:r>
      <w:r>
        <w:rPr>
          <w:vertAlign w:val="baseline"/>
        </w:rPr>
        <w:t>distinct</w:t>
      </w:r>
      <w:r>
        <w:rPr>
          <w:spacing w:val="-2"/>
          <w:vertAlign w:val="baseline"/>
        </w:rPr>
        <w:t> </w:t>
      </w:r>
      <w:r>
        <w:rPr>
          <w:vertAlign w:val="baseline"/>
        </w:rPr>
        <w:t>from</w:t>
      </w:r>
      <w:r>
        <w:rPr>
          <w:spacing w:val="-2"/>
          <w:vertAlign w:val="baseline"/>
        </w:rPr>
        <w:t> </w:t>
      </w:r>
      <w:r>
        <w:rPr>
          <w:vertAlign w:val="baseline"/>
        </w:rPr>
        <w:t>inbound</w:t>
      </w:r>
      <w:r>
        <w:rPr>
          <w:spacing w:val="-3"/>
          <w:vertAlign w:val="baseline"/>
        </w:rPr>
        <w:t> </w:t>
      </w:r>
      <w:r>
        <w:rPr>
          <w:vertAlign w:val="baseline"/>
        </w:rPr>
        <w:t>transfers.</w:t>
      </w:r>
      <w:r>
        <w:rPr>
          <w:spacing w:val="19"/>
          <w:vertAlign w:val="baseline"/>
        </w:rPr>
        <w:t> </w:t>
      </w:r>
      <w:r>
        <w:rPr>
          <w:vertAlign w:val="baseline"/>
        </w:rPr>
        <w:t>A wallet may receive many transfers without ever being trusted to spend on others’ behalf.</w:t>
      </w:r>
    </w:p>
    <w:p>
      <w:pPr>
        <w:pStyle w:val="BodyText"/>
        <w:spacing w:line="393" w:lineRule="auto"/>
        <w:ind w:left="273" w:right="523" w:firstLine="8"/>
        <w:jc w:val="both"/>
      </w:pPr>
      <w:r>
        <w:rPr>
          <w:i/>
        </w:rPr>
        <w:t>무제한 승인(type(uint256).max)은 잘 알려진 사용자 경험 위험입니다. 타협된 지출자는 소유자가 취소할 때까지 토큰을 유출할 수 있습니다. 허니팟, 피싱 승인 및 악의적 지출자에 대한 보안 분석은 허용량이 중립적인 메타데이터가 아니라 기능임을 강조합니다. EndorseRank는 인바운드 수당을 지출자의 능력에 대한 보증으로 해석합니다. 이것이 바로 구문이 인바운드 이전과 의미상 구별되는 이유입니다. 지갑은 다른 사람을 대신하여 지출할 수 있다는 신뢰를 받지 못한 채 많은 이체를 받을 수 있습니다.</w:t>
      </w:r>
    </w:p>
    <w:p>
      <w:pPr>
        <w:pStyle w:val="BodyText"/>
        <w:spacing w:line="396" w:lineRule="auto" w:before="14"/>
        <w:ind w:left="282" w:right="523"/>
        <w:jc w:val="both"/>
      </w:pPr>
      <w:r>
        <w:rPr/>
        <w:t>From a measurement standpoint, unlimited approvals create heavy-tailed edge weights.</w:t>
      </w:r>
      <w:r>
        <w:rPr>
          <w:spacing w:val="40"/>
        </w:rPr>
        <w:t> </w:t>
      </w:r>
      <w:r>
        <w:rPr/>
        <w:t>Decimal adjustment and optional winsorization can moderate extremes; this dissertation sums decimal-adjusted</w:t>
      </w:r>
      <w:r>
        <w:rPr>
          <w:spacing w:val="-3"/>
        </w:rPr>
        <w:t> </w:t>
      </w:r>
      <w:r>
        <w:rPr/>
        <w:t>latest</w:t>
      </w:r>
      <w:r>
        <w:rPr>
          <w:spacing w:val="-2"/>
        </w:rPr>
        <w:t> </w:t>
      </w:r>
      <w:r>
        <w:rPr/>
        <w:t>allowances</w:t>
      </w:r>
      <w:r>
        <w:rPr>
          <w:spacing w:val="-3"/>
        </w:rPr>
        <w:t> </w:t>
      </w:r>
      <w:r>
        <w:rPr/>
        <w:t>and</w:t>
      </w:r>
      <w:r>
        <w:rPr>
          <w:spacing w:val="-3"/>
        </w:rPr>
        <w:t> </w:t>
      </w:r>
      <w:r>
        <w:rPr/>
        <w:t>relies</w:t>
      </w:r>
      <w:r>
        <w:rPr>
          <w:spacing w:val="-3"/>
        </w:rPr>
        <w:t> </w:t>
      </w:r>
      <w:r>
        <w:rPr/>
        <w:t>on</w:t>
      </w:r>
      <w:r>
        <w:rPr>
          <w:spacing w:val="-3"/>
        </w:rPr>
        <w:t> </w:t>
      </w:r>
      <w:r>
        <w:rPr/>
        <w:t>PageRank’s</w:t>
      </w:r>
      <w:r>
        <w:rPr>
          <w:spacing w:val="-3"/>
        </w:rPr>
        <w:t> </w:t>
      </w:r>
      <w:r>
        <w:rPr/>
        <w:t>normalization</w:t>
      </w:r>
      <w:r>
        <w:rPr>
          <w:spacing w:val="-3"/>
        </w:rPr>
        <w:t> </w:t>
      </w:r>
      <w:r>
        <w:rPr/>
        <w:t>by</w:t>
      </w:r>
      <w:r>
        <w:rPr>
          <w:spacing w:val="-3"/>
        </w:rPr>
        <w:t> </w:t>
      </w:r>
      <w:r>
        <w:rPr/>
        <w:t>out-strength</w:t>
      </w:r>
      <w:r>
        <w:rPr>
          <w:spacing w:val="-3"/>
        </w:rPr>
        <w:t> </w:t>
      </w:r>
      <w:r>
        <w:rPr/>
        <w:t>so</w:t>
      </w:r>
      <w:r>
        <w:rPr>
          <w:spacing w:val="-3"/>
        </w:rPr>
        <w:t> </w:t>
      </w:r>
      <w:r>
        <w:rPr/>
        <w:t>that</w:t>
      </w:r>
      <w:r>
        <w:rPr>
          <w:spacing w:val="-2"/>
        </w:rPr>
        <w:t> </w:t>
      </w:r>
      <w:r>
        <w:rPr/>
        <w:t>a</w:t>
      </w:r>
      <w:r>
        <w:rPr>
          <w:spacing w:val="-3"/>
        </w:rPr>
        <w:t> </w:t>
      </w:r>
      <w:r>
        <w:rPr/>
        <w:t>single </w:t>
      </w:r>
      <w:bookmarkStart w:name="AWP in depth: what Do et al. measure" w:id="81"/>
      <w:bookmarkEnd w:id="81"/>
      <w:r>
        <w:rPr>
          <w:w w:val="99"/>
        </w:rPr>
      </w:r>
      <w:bookmarkStart w:name="_bookmark44" w:id="82"/>
      <w:bookmarkEnd w:id="82"/>
      <w:r>
        <w:rPr/>
        <w:t>huge</w:t>
      </w:r>
      <w:r>
        <w:rPr>
          <w:spacing w:val="-2"/>
        </w:rPr>
        <w:t> </w:t>
      </w:r>
      <w:r>
        <w:rPr/>
        <w:t>approval</w:t>
      </w:r>
      <w:r>
        <w:rPr>
          <w:spacing w:val="-2"/>
        </w:rPr>
        <w:t> </w:t>
      </w:r>
      <w:r>
        <w:rPr/>
        <w:t>does</w:t>
      </w:r>
      <w:r>
        <w:rPr>
          <w:spacing w:val="-2"/>
        </w:rPr>
        <w:t> </w:t>
      </w:r>
      <w:r>
        <w:rPr/>
        <w:t>not</w:t>
      </w:r>
      <w:r>
        <w:rPr>
          <w:spacing w:val="-2"/>
        </w:rPr>
        <w:t> </w:t>
      </w:r>
      <w:r>
        <w:rPr/>
        <w:t>automatically</w:t>
      </w:r>
      <w:r>
        <w:rPr>
          <w:spacing w:val="-2"/>
        </w:rPr>
        <w:t> </w:t>
      </w:r>
      <w:r>
        <w:rPr/>
        <w:t>dominate</w:t>
      </w:r>
      <w:r>
        <w:rPr>
          <w:spacing w:val="-2"/>
        </w:rPr>
        <w:t> </w:t>
      </w:r>
      <w:r>
        <w:rPr/>
        <w:t>unless</w:t>
      </w:r>
      <w:r>
        <w:rPr>
          <w:spacing w:val="-2"/>
        </w:rPr>
        <w:t> </w:t>
      </w:r>
      <w:r>
        <w:rPr/>
        <w:t>the</w:t>
      </w:r>
      <w:r>
        <w:rPr>
          <w:spacing w:val="-2"/>
        </w:rPr>
        <w:t> </w:t>
      </w:r>
      <w:r>
        <w:rPr/>
        <w:t>owner</w:t>
      </w:r>
      <w:r>
        <w:rPr>
          <w:spacing w:val="-2"/>
        </w:rPr>
        <w:t> </w:t>
      </w:r>
      <w:r>
        <w:rPr/>
        <w:t>has</w:t>
      </w:r>
      <w:r>
        <w:rPr>
          <w:spacing w:val="-2"/>
        </w:rPr>
        <w:t> </w:t>
      </w:r>
      <w:r>
        <w:rPr/>
        <w:t>few</w:t>
      </w:r>
      <w:r>
        <w:rPr>
          <w:spacing w:val="-2"/>
        </w:rPr>
        <w:t> </w:t>
      </w:r>
      <w:r>
        <w:rPr/>
        <w:t>outgoing</w:t>
      </w:r>
      <w:r>
        <w:rPr>
          <w:spacing w:val="-2"/>
        </w:rPr>
        <w:t> </w:t>
      </w:r>
      <w:r>
        <w:rPr/>
        <w:t>endorsements.</w:t>
      </w:r>
    </w:p>
    <w:p>
      <w:pPr>
        <w:pStyle w:val="BodyText"/>
        <w:spacing w:line="396" w:lineRule="auto" w:before="14"/>
        <w:ind w:left="282" w:right="523"/>
        <w:jc w:val="both"/>
      </w:pPr>
      <w:r>
        <w:rPr>
          <w:i/>
        </w:rPr>
        <w:t>측정 관점에서 볼 때 무제한 승인으로 인해 꼬리가 두꺼운 가장자리 가중치가 생성됩니다. 소수점 조정 및 선택적 윈저화는 극단을 완화할 수 있습니다. 이 논문은 소수점 조정된 최신 수당을 합산하고 PageRank의 최대 강도 정규화에 의존하므로 소유자가 나가는 승인이 거의 없는 한 하나의 큰 승인이 자동으로 지배되지 않습니다.</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AWP</w:t>
      </w:r>
      <w:r>
        <w:rPr>
          <w:spacing w:val="4"/>
        </w:rPr>
        <w:t> </w:t>
      </w:r>
      <w:r>
        <w:rPr/>
        <w:t>in</w:t>
      </w:r>
      <w:r>
        <w:rPr>
          <w:spacing w:val="5"/>
        </w:rPr>
        <w:t> </w:t>
      </w:r>
      <w:r>
        <w:rPr/>
        <w:t>depth:</w:t>
      </w:r>
      <w:r>
        <w:rPr>
          <w:spacing w:val="31"/>
        </w:rPr>
        <w:t> </w:t>
      </w:r>
      <w:r>
        <w:rPr/>
        <w:t>what</w:t>
      </w:r>
      <w:r>
        <w:rPr>
          <w:spacing w:val="5"/>
        </w:rPr>
        <w:t> </w:t>
      </w:r>
      <w:r>
        <w:rPr/>
        <w:t>Do</w:t>
      </w:r>
      <w:r>
        <w:rPr>
          <w:spacing w:val="5"/>
        </w:rPr>
        <w:t> </w:t>
      </w:r>
      <w:r>
        <w:rPr/>
        <w:t>et</w:t>
      </w:r>
      <w:r>
        <w:rPr>
          <w:spacing w:val="5"/>
        </w:rPr>
        <w:t> </w:t>
      </w:r>
      <w:r>
        <w:rPr/>
        <w:t>al.</w:t>
      </w:r>
      <w:r>
        <w:rPr>
          <w:spacing w:val="5"/>
        </w:rPr>
        <w:t> </w:t>
      </w:r>
      <w:r>
        <w:rPr>
          <w:spacing w:val="-2"/>
        </w:rPr>
        <w:t>measure</w:t>
      </w:r>
    </w:p>
    <w:p>
      <w:pPr>
        <w:pStyle w:val="Heading2"/>
        <w:numPr>
          <w:ilvl w:val="1"/>
          <w:numId w:val="8"/>
        </w:numPr>
        <w:tabs>
          <w:tab w:pos="927" w:val="left" w:leader="none"/>
        </w:tabs>
        <w:spacing w:line="240" w:lineRule="auto" w:before="112" w:after="0"/>
        <w:ind w:left="927" w:right="0" w:hanging="645"/>
        <w:jc w:val="left"/>
      </w:pPr>
      <w:r>
        <w:rPr>
          <w:i/>
        </w:rPr>
        <w:t>AWP 심층 분석: what Do et al. 측정하다</w:t>
      </w:r>
    </w:p>
    <w:p>
      <w:pPr>
        <w:pStyle w:val="BodyText"/>
        <w:spacing w:before="24"/>
        <w:rPr>
          <w:b/>
          <w:sz w:val="28"/>
        </w:rPr>
      </w:pPr>
    </w:p>
    <w:p>
      <w:pPr>
        <w:pStyle w:val="BodyText"/>
        <w:spacing w:line="398" w:lineRule="auto"/>
        <w:ind w:left="274" w:right="521" w:firstLine="7"/>
        <w:jc w:val="both"/>
      </w:pPr>
      <w:r>
        <w:rPr/>
        <w:t>Do</w:t>
      </w:r>
      <w:r>
        <w:rPr>
          <w:spacing w:val="-5"/>
        </w:rPr>
        <w:t> </w:t>
      </w:r>
      <w:r>
        <w:rPr/>
        <w:t>et</w:t>
      </w:r>
      <w:r>
        <w:rPr>
          <w:spacing w:val="-5"/>
        </w:rPr>
        <w:t> </w:t>
      </w:r>
      <w:r>
        <w:rPr/>
        <w:t>al.</w:t>
      </w:r>
      <w:hyperlink w:history="true" w:anchor="_bookmark149">
        <w:r>
          <w:rPr>
            <w:vertAlign w:val="superscript"/>
          </w:rPr>
          <w:t>[16]</w:t>
        </w:r>
      </w:hyperlink>
      <w:r>
        <w:rPr>
          <w:vertAlign w:val="baseline"/>
        </w:rPr>
        <w:t> propose</w:t>
      </w:r>
      <w:r>
        <w:rPr>
          <w:spacing w:val="-5"/>
          <w:vertAlign w:val="baseline"/>
        </w:rPr>
        <w:t> </w:t>
      </w:r>
      <w:r>
        <w:rPr>
          <w:vertAlign w:val="baseline"/>
        </w:rPr>
        <w:t>Adaptive</w:t>
      </w:r>
      <w:r>
        <w:rPr>
          <w:spacing w:val="-5"/>
          <w:vertAlign w:val="baseline"/>
        </w:rPr>
        <w:t> </w:t>
      </w:r>
      <w:r>
        <w:rPr>
          <w:vertAlign w:val="baseline"/>
        </w:rPr>
        <w:t>Weighted</w:t>
      </w:r>
      <w:r>
        <w:rPr>
          <w:spacing w:val="-5"/>
          <w:vertAlign w:val="baseline"/>
        </w:rPr>
        <w:t> </w:t>
      </w:r>
      <w:r>
        <w:rPr>
          <w:vertAlign w:val="baseline"/>
        </w:rPr>
        <w:t>PageRank</w:t>
      </w:r>
      <w:r>
        <w:rPr>
          <w:spacing w:val="-5"/>
          <w:vertAlign w:val="baseline"/>
        </w:rPr>
        <w:t> </w:t>
      </w:r>
      <w:r>
        <w:rPr>
          <w:vertAlign w:val="baseline"/>
        </w:rPr>
        <w:t>on</w:t>
      </w:r>
      <w:r>
        <w:rPr>
          <w:spacing w:val="-5"/>
          <w:vertAlign w:val="baseline"/>
        </w:rPr>
        <w:t> </w:t>
      </w:r>
      <w:r>
        <w:rPr>
          <w:vertAlign w:val="baseline"/>
        </w:rPr>
        <w:t>Ethereum</w:t>
      </w:r>
      <w:r>
        <w:rPr>
          <w:spacing w:val="-5"/>
          <w:vertAlign w:val="baseline"/>
        </w:rPr>
        <w:t> </w:t>
      </w:r>
      <w:r>
        <w:rPr>
          <w:vertAlign w:val="baseline"/>
        </w:rPr>
        <w:t>transfers</w:t>
      </w:r>
      <w:r>
        <w:rPr>
          <w:spacing w:val="-5"/>
          <w:vertAlign w:val="baseline"/>
        </w:rPr>
        <w:t> </w:t>
      </w:r>
      <w:r>
        <w:rPr>
          <w:vertAlign w:val="baseline"/>
        </w:rPr>
        <w:t>as</w:t>
      </w:r>
      <w:r>
        <w:rPr>
          <w:spacing w:val="-5"/>
          <w:vertAlign w:val="baseline"/>
        </w:rPr>
        <w:t> </w:t>
      </w:r>
      <w:r>
        <w:rPr>
          <w:vertAlign w:val="baseline"/>
        </w:rPr>
        <w:t>a</w:t>
      </w:r>
      <w:r>
        <w:rPr>
          <w:spacing w:val="-5"/>
          <w:vertAlign w:val="baseline"/>
        </w:rPr>
        <w:t> </w:t>
      </w:r>
      <w:r>
        <w:rPr>
          <w:vertAlign w:val="baseline"/>
        </w:rPr>
        <w:t>social-credit</w:t>
      </w:r>
      <w:r>
        <w:rPr>
          <w:spacing w:val="-5"/>
          <w:vertAlign w:val="baseline"/>
        </w:rPr>
        <w:t> </w:t>
      </w:r>
      <w:r>
        <w:rPr>
          <w:vertAlign w:val="baseline"/>
        </w:rPr>
        <w:t>signal. Edges are transfers; weights combine value and recency through a logistic decay.</w:t>
      </w:r>
      <w:r>
        <w:rPr>
          <w:spacing w:val="27"/>
          <w:vertAlign w:val="baseline"/>
        </w:rPr>
        <w:t> </w:t>
      </w:r>
      <w:r>
        <w:rPr>
          <w:vertAlign w:val="baseline"/>
        </w:rPr>
        <w:t>Validation uses inbound</w:t>
      </w:r>
      <w:r>
        <w:rPr>
          <w:spacing w:val="-11"/>
          <w:vertAlign w:val="baseline"/>
        </w:rPr>
        <w:t> </w:t>
      </w:r>
      <w:r>
        <w:rPr>
          <w:vertAlign w:val="baseline"/>
        </w:rPr>
        <w:t>degree</w:t>
      </w:r>
      <w:r>
        <w:rPr>
          <w:spacing w:val="-11"/>
          <w:vertAlign w:val="baseline"/>
        </w:rPr>
        <w:t> </w:t>
      </w:r>
      <w:r>
        <w:rPr>
          <w:vertAlign w:val="baseline"/>
        </w:rPr>
        <w:t>and</w:t>
      </w:r>
      <w:r>
        <w:rPr>
          <w:spacing w:val="-11"/>
          <w:vertAlign w:val="baseline"/>
        </w:rPr>
        <w:t> </w:t>
      </w:r>
      <w:r>
        <w:rPr>
          <w:vertAlign w:val="baseline"/>
        </w:rPr>
        <w:t>inbound</w:t>
      </w:r>
      <w:r>
        <w:rPr>
          <w:spacing w:val="-11"/>
          <w:vertAlign w:val="baseline"/>
        </w:rPr>
        <w:t> </w:t>
      </w:r>
      <w:r>
        <w:rPr>
          <w:vertAlign w:val="baseline"/>
        </w:rPr>
        <w:t>value—proxies</w:t>
      </w:r>
      <w:r>
        <w:rPr>
          <w:spacing w:val="-11"/>
          <w:vertAlign w:val="baseline"/>
        </w:rPr>
        <w:t> </w:t>
      </w:r>
      <w:r>
        <w:rPr>
          <w:vertAlign w:val="baseline"/>
        </w:rPr>
        <w:t>for</w:t>
      </w:r>
      <w:r>
        <w:rPr>
          <w:spacing w:val="-11"/>
          <w:vertAlign w:val="baseline"/>
        </w:rPr>
        <w:t> </w:t>
      </w:r>
      <w:r>
        <w:rPr>
          <w:vertAlign w:val="baseline"/>
        </w:rPr>
        <w:t>“how</w:t>
      </w:r>
      <w:r>
        <w:rPr>
          <w:spacing w:val="-11"/>
          <w:vertAlign w:val="baseline"/>
        </w:rPr>
        <w:t> </w:t>
      </w:r>
      <w:r>
        <w:rPr>
          <w:vertAlign w:val="baseline"/>
        </w:rPr>
        <w:t>much</w:t>
      </w:r>
      <w:r>
        <w:rPr>
          <w:spacing w:val="-11"/>
          <w:vertAlign w:val="baseline"/>
        </w:rPr>
        <w:t> </w:t>
      </w:r>
      <w:r>
        <w:rPr>
          <w:vertAlign w:val="baseline"/>
        </w:rPr>
        <w:t>economic</w:t>
      </w:r>
      <w:r>
        <w:rPr>
          <w:spacing w:val="-11"/>
          <w:vertAlign w:val="baseline"/>
        </w:rPr>
        <w:t> </w:t>
      </w:r>
      <w:r>
        <w:rPr>
          <w:vertAlign w:val="baseline"/>
        </w:rPr>
        <w:t>attention</w:t>
      </w:r>
      <w:r>
        <w:rPr>
          <w:spacing w:val="-11"/>
          <w:vertAlign w:val="baseline"/>
        </w:rPr>
        <w:t> </w:t>
      </w:r>
      <w:r>
        <w:rPr>
          <w:vertAlign w:val="baseline"/>
        </w:rPr>
        <w:t>a</w:t>
      </w:r>
      <w:r>
        <w:rPr>
          <w:spacing w:val="-11"/>
          <w:vertAlign w:val="baseline"/>
        </w:rPr>
        <w:t> </w:t>
      </w:r>
      <w:r>
        <w:rPr>
          <w:vertAlign w:val="baseline"/>
        </w:rPr>
        <w:t>wallet</w:t>
      </w:r>
      <w:r>
        <w:rPr>
          <w:spacing w:val="-11"/>
          <w:vertAlign w:val="baseline"/>
        </w:rPr>
        <w:t> </w:t>
      </w:r>
      <w:r>
        <w:rPr>
          <w:vertAlign w:val="baseline"/>
        </w:rPr>
        <w:t>receives.” The</w:t>
      </w:r>
      <w:r>
        <w:rPr>
          <w:spacing w:val="-4"/>
          <w:vertAlign w:val="baseline"/>
        </w:rPr>
        <w:t> </w:t>
      </w:r>
      <w:r>
        <w:rPr>
          <w:vertAlign w:val="baseline"/>
        </w:rPr>
        <w:t>framework</w:t>
      </w:r>
      <w:r>
        <w:rPr>
          <w:spacing w:val="-4"/>
          <w:vertAlign w:val="baseline"/>
        </w:rPr>
        <w:t> </w:t>
      </w:r>
      <w:r>
        <w:rPr>
          <w:vertAlign w:val="baseline"/>
        </w:rPr>
        <w:t>is</w:t>
      </w:r>
      <w:r>
        <w:rPr>
          <w:spacing w:val="-4"/>
          <w:vertAlign w:val="baseline"/>
        </w:rPr>
        <w:t> </w:t>
      </w:r>
      <w:r>
        <w:rPr>
          <w:vertAlign w:val="baseline"/>
        </w:rPr>
        <w:t>attractive</w:t>
      </w:r>
      <w:r>
        <w:rPr>
          <w:spacing w:val="-4"/>
          <w:vertAlign w:val="baseline"/>
        </w:rPr>
        <w:t> </w:t>
      </w:r>
      <w:r>
        <w:rPr>
          <w:vertAlign w:val="baseline"/>
        </w:rPr>
        <w:t>because</w:t>
      </w:r>
      <w:r>
        <w:rPr>
          <w:spacing w:val="-4"/>
          <w:vertAlign w:val="baseline"/>
        </w:rPr>
        <w:t> </w:t>
      </w:r>
      <w:r>
        <w:rPr>
          <w:vertAlign w:val="baseline"/>
        </w:rPr>
        <w:t>it</w:t>
      </w:r>
      <w:r>
        <w:rPr>
          <w:spacing w:val="-4"/>
          <w:vertAlign w:val="baseline"/>
        </w:rPr>
        <w:t> </w:t>
      </w:r>
      <w:r>
        <w:rPr>
          <w:vertAlign w:val="baseline"/>
        </w:rPr>
        <w:t>is</w:t>
      </w:r>
      <w:r>
        <w:rPr>
          <w:spacing w:val="-4"/>
          <w:vertAlign w:val="baseline"/>
        </w:rPr>
        <w:t> </w:t>
      </w:r>
      <w:r>
        <w:rPr>
          <w:vertAlign w:val="baseline"/>
        </w:rPr>
        <w:t>fully</w:t>
      </w:r>
      <w:r>
        <w:rPr>
          <w:spacing w:val="-4"/>
          <w:vertAlign w:val="baseline"/>
        </w:rPr>
        <w:t> </w:t>
      </w:r>
      <w:r>
        <w:rPr>
          <w:vertAlign w:val="baseline"/>
        </w:rPr>
        <w:t>on-chain,</w:t>
      </w:r>
      <w:r>
        <w:rPr>
          <w:spacing w:val="-4"/>
          <w:vertAlign w:val="baseline"/>
        </w:rPr>
        <w:t> </w:t>
      </w:r>
      <w:r>
        <w:rPr>
          <w:vertAlign w:val="baseline"/>
        </w:rPr>
        <w:t>rank-based,</w:t>
      </w:r>
      <w:r>
        <w:rPr>
          <w:spacing w:val="-4"/>
          <w:vertAlign w:val="baseline"/>
        </w:rPr>
        <w:t> </w:t>
      </w:r>
      <w:r>
        <w:rPr>
          <w:vertAlign w:val="baseline"/>
        </w:rPr>
        <w:t>and</w:t>
      </w:r>
      <w:r>
        <w:rPr>
          <w:spacing w:val="-4"/>
          <w:vertAlign w:val="baseline"/>
        </w:rPr>
        <w:t> </w:t>
      </w:r>
      <w:r>
        <w:rPr>
          <w:vertAlign w:val="baseline"/>
        </w:rPr>
        <w:t>free</w:t>
      </w:r>
      <w:r>
        <w:rPr>
          <w:spacing w:val="-4"/>
          <w:vertAlign w:val="baseline"/>
        </w:rPr>
        <w:t> </w:t>
      </w:r>
      <w:r>
        <w:rPr>
          <w:vertAlign w:val="baseline"/>
        </w:rPr>
        <w:t>of</w:t>
      </w:r>
      <w:r>
        <w:rPr>
          <w:spacing w:val="-4"/>
          <w:vertAlign w:val="baseline"/>
        </w:rPr>
        <w:t> </w:t>
      </w:r>
      <w:r>
        <w:rPr>
          <w:vertAlign w:val="baseline"/>
        </w:rPr>
        <w:t>off-chain</w:t>
      </w:r>
      <w:r>
        <w:rPr>
          <w:spacing w:val="-4"/>
          <w:vertAlign w:val="baseline"/>
        </w:rPr>
        <w:t> </w:t>
      </w:r>
      <w:r>
        <w:rPr>
          <w:vertAlign w:val="baseline"/>
        </w:rPr>
        <w:t>identity. EndorseRank</w:t>
      </w:r>
      <w:r>
        <w:rPr>
          <w:spacing w:val="-5"/>
          <w:vertAlign w:val="baseline"/>
        </w:rPr>
        <w:t> </w:t>
      </w:r>
      <w:r>
        <w:rPr>
          <w:vertAlign w:val="baseline"/>
        </w:rPr>
        <w:t>preserves</w:t>
      </w:r>
      <w:r>
        <w:rPr>
          <w:spacing w:val="-5"/>
          <w:vertAlign w:val="baseline"/>
        </w:rPr>
        <w:t> </w:t>
      </w:r>
      <w:r>
        <w:rPr>
          <w:vertAlign w:val="baseline"/>
        </w:rPr>
        <w:t>the</w:t>
      </w:r>
      <w:r>
        <w:rPr>
          <w:spacing w:val="-5"/>
          <w:vertAlign w:val="baseline"/>
        </w:rPr>
        <w:t> </w:t>
      </w:r>
      <w:r>
        <w:rPr>
          <w:vertAlign w:val="baseline"/>
        </w:rPr>
        <w:t>PageRank-and-rank-correlation</w:t>
      </w:r>
      <w:r>
        <w:rPr>
          <w:spacing w:val="-5"/>
          <w:vertAlign w:val="baseline"/>
        </w:rPr>
        <w:t> </w:t>
      </w:r>
      <w:r>
        <w:rPr>
          <w:vertAlign w:val="baseline"/>
        </w:rPr>
        <w:t>template</w:t>
      </w:r>
      <w:r>
        <w:rPr>
          <w:spacing w:val="-5"/>
          <w:vertAlign w:val="baseline"/>
        </w:rPr>
        <w:t> </w:t>
      </w:r>
      <w:r>
        <w:rPr>
          <w:vertAlign w:val="baseline"/>
        </w:rPr>
        <w:t>but</w:t>
      </w:r>
      <w:r>
        <w:rPr>
          <w:spacing w:val="-5"/>
          <w:vertAlign w:val="baseline"/>
        </w:rPr>
        <w:t> </w:t>
      </w:r>
      <w:r>
        <w:rPr>
          <w:vertAlign w:val="baseline"/>
        </w:rPr>
        <w:t>replaces</w:t>
      </w:r>
      <w:r>
        <w:rPr>
          <w:spacing w:val="-5"/>
          <w:vertAlign w:val="baseline"/>
        </w:rPr>
        <w:t> </w:t>
      </w:r>
      <w:r>
        <w:rPr>
          <w:vertAlign w:val="baseline"/>
        </w:rPr>
        <w:t>the</w:t>
      </w:r>
      <w:r>
        <w:rPr>
          <w:spacing w:val="-5"/>
          <w:vertAlign w:val="baseline"/>
        </w:rPr>
        <w:t> </w:t>
      </w:r>
      <w:r>
        <w:rPr>
          <w:vertAlign w:val="baseline"/>
        </w:rPr>
        <w:t>edge</w:t>
      </w:r>
      <w:r>
        <w:rPr>
          <w:spacing w:val="-5"/>
          <w:vertAlign w:val="baseline"/>
        </w:rPr>
        <w:t> </w:t>
      </w:r>
      <w:r>
        <w:rPr>
          <w:vertAlign w:val="baseline"/>
        </w:rPr>
        <w:t>seman-tics. The</w:t>
      </w:r>
      <w:r>
        <w:rPr>
          <w:spacing w:val="-3"/>
          <w:vertAlign w:val="baseline"/>
        </w:rPr>
        <w:t> </w:t>
      </w:r>
      <w:r>
        <w:rPr>
          <w:vertAlign w:val="baseline"/>
        </w:rPr>
        <w:t>empirical</w:t>
      </w:r>
      <w:r>
        <w:rPr>
          <w:spacing w:val="-3"/>
          <w:vertAlign w:val="baseline"/>
        </w:rPr>
        <w:t> </w:t>
      </w:r>
      <w:r>
        <w:rPr>
          <w:vertAlign w:val="baseline"/>
        </w:rPr>
        <w:t>question</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whether</w:t>
      </w:r>
      <w:r>
        <w:rPr>
          <w:spacing w:val="-3"/>
          <w:vertAlign w:val="baseline"/>
        </w:rPr>
        <w:t> </w:t>
      </w:r>
      <w:r>
        <w:rPr>
          <w:vertAlign w:val="baseline"/>
        </w:rPr>
        <w:t>AWP</w:t>
      </w:r>
      <w:r>
        <w:rPr>
          <w:spacing w:val="-3"/>
          <w:vertAlign w:val="baseline"/>
        </w:rPr>
        <w:t> </w:t>
      </w:r>
      <w:r>
        <w:rPr>
          <w:vertAlign w:val="baseline"/>
        </w:rPr>
        <w:t>is</w:t>
      </w:r>
      <w:r>
        <w:rPr>
          <w:spacing w:val="-3"/>
          <w:vertAlign w:val="baseline"/>
        </w:rPr>
        <w:t> </w:t>
      </w:r>
      <w:r>
        <w:rPr>
          <w:vertAlign w:val="baseline"/>
        </w:rPr>
        <w:t>“wrong,”</w:t>
      </w:r>
      <w:r>
        <w:rPr>
          <w:spacing w:val="-3"/>
          <w:vertAlign w:val="baseline"/>
        </w:rPr>
        <w:t> </w:t>
      </w:r>
      <w:r>
        <w:rPr>
          <w:vertAlign w:val="baseline"/>
        </w:rPr>
        <w:t>but</w:t>
      </w:r>
      <w:r>
        <w:rPr>
          <w:spacing w:val="-3"/>
          <w:vertAlign w:val="baseline"/>
        </w:rPr>
        <w:t> </w:t>
      </w:r>
      <w:r>
        <w:rPr>
          <w:vertAlign w:val="baseline"/>
        </w:rPr>
        <w:t>whether</w:t>
      </w:r>
      <w:r>
        <w:rPr>
          <w:spacing w:val="-3"/>
          <w:vertAlign w:val="baseline"/>
        </w:rPr>
        <w:t> </w:t>
      </w:r>
      <w:r>
        <w:rPr>
          <w:vertAlign w:val="baseline"/>
        </w:rPr>
        <w:t>allowance</w:t>
      </w:r>
      <w:r>
        <w:rPr>
          <w:spacing w:val="-3"/>
          <w:vertAlign w:val="baseline"/>
        </w:rPr>
        <w:t> </w:t>
      </w:r>
      <w:r>
        <w:rPr>
          <w:vertAlign w:val="baseline"/>
        </w:rPr>
        <w:t>edges</w:t>
      </w:r>
      <w:r>
        <w:rPr>
          <w:spacing w:val="-3"/>
          <w:vertAlign w:val="baseline"/>
        </w:rPr>
        <w:t> </w:t>
      </w:r>
      <w:r>
        <w:rPr>
          <w:vertAlign w:val="baseline"/>
        </w:rPr>
        <w:t>yield</w:t>
      </w:r>
      <w:r>
        <w:rPr>
          <w:spacing w:val="-2"/>
          <w:vertAlign w:val="baseline"/>
        </w:rPr>
        <w:t> </w:t>
      </w:r>
      <w:r>
        <w:rPr>
          <w:vertAlign w:val="baseline"/>
        </w:rPr>
        <w:t>a different,</w:t>
      </w:r>
      <w:r>
        <w:rPr>
          <w:spacing w:val="-9"/>
          <w:vertAlign w:val="baseline"/>
        </w:rPr>
        <w:t> </w:t>
      </w:r>
      <w:r>
        <w:rPr>
          <w:vertAlign w:val="baseline"/>
        </w:rPr>
        <w:t>useful,</w:t>
      </w:r>
      <w:r>
        <w:rPr>
          <w:spacing w:val="-9"/>
          <w:vertAlign w:val="baseline"/>
        </w:rPr>
        <w:t> </w:t>
      </w:r>
      <w:r>
        <w:rPr>
          <w:vertAlign w:val="baseline"/>
        </w:rPr>
        <w:t>and</w:t>
      </w:r>
      <w:r>
        <w:rPr>
          <w:spacing w:val="-10"/>
          <w:vertAlign w:val="baseline"/>
        </w:rPr>
        <w:t> </w:t>
      </w:r>
      <w:r>
        <w:rPr>
          <w:vertAlign w:val="baseline"/>
        </w:rPr>
        <w:t>cheaper</w:t>
      </w:r>
      <w:r>
        <w:rPr>
          <w:spacing w:val="-10"/>
          <w:vertAlign w:val="baseline"/>
        </w:rPr>
        <w:t> </w:t>
      </w:r>
      <w:r>
        <w:rPr>
          <w:vertAlign w:val="baseline"/>
        </w:rPr>
        <w:t>signal.</w:t>
      </w:r>
      <w:r>
        <w:rPr>
          <w:spacing w:val="11"/>
          <w:vertAlign w:val="baseline"/>
        </w:rPr>
        <w:t> </w:t>
      </w:r>
      <w:r>
        <w:rPr>
          <w:vertAlign w:val="baseline"/>
        </w:rPr>
        <w:t>Chapter</w:t>
      </w:r>
      <w:r>
        <w:rPr>
          <w:spacing w:val="-10"/>
          <w:vertAlign w:val="baseline"/>
        </w:rPr>
        <w:t> </w:t>
      </w:r>
      <w:hyperlink w:history="true" w:anchor="_bookmark84">
        <w:r>
          <w:rPr>
            <w:vertAlign w:val="baseline"/>
          </w:rPr>
          <w:t>4</w:t>
        </w:r>
      </w:hyperlink>
      <w:r>
        <w:rPr>
          <w:spacing w:val="-10"/>
          <w:vertAlign w:val="baseline"/>
        </w:rPr>
        <w:t> </w:t>
      </w:r>
      <w:r>
        <w:rPr>
          <w:vertAlign w:val="baseline"/>
        </w:rPr>
        <w:t>tests</w:t>
      </w:r>
      <w:r>
        <w:rPr>
          <w:spacing w:val="-10"/>
          <w:vertAlign w:val="baseline"/>
        </w:rPr>
        <w:t> </w:t>
      </w:r>
      <w:r>
        <w:rPr>
          <w:vertAlign w:val="baseline"/>
        </w:rPr>
        <w:t>whether</w:t>
      </w:r>
      <w:r>
        <w:rPr>
          <w:spacing w:val="-10"/>
          <w:vertAlign w:val="baseline"/>
        </w:rPr>
        <w:t> </w:t>
      </w:r>
      <w:r>
        <w:rPr>
          <w:vertAlign w:val="baseline"/>
        </w:rPr>
        <w:t>allowance</w:t>
      </w:r>
      <w:r>
        <w:rPr>
          <w:spacing w:val="-10"/>
          <w:vertAlign w:val="baseline"/>
        </w:rPr>
        <w:t> </w:t>
      </w:r>
      <w:r>
        <w:rPr>
          <w:vertAlign w:val="baseline"/>
        </w:rPr>
        <w:t>edges</w:t>
      </w:r>
      <w:r>
        <w:rPr>
          <w:spacing w:val="-10"/>
          <w:vertAlign w:val="baseline"/>
        </w:rPr>
        <w:t> </w:t>
      </w:r>
      <w:r>
        <w:rPr>
          <w:vertAlign w:val="baseline"/>
        </w:rPr>
        <w:t>produce</w:t>
      </w:r>
      <w:r>
        <w:rPr>
          <w:spacing w:val="-10"/>
          <w:vertAlign w:val="baseline"/>
        </w:rPr>
        <w:t> </w:t>
      </w:r>
      <w:r>
        <w:rPr>
          <w:vertAlign w:val="baseline"/>
        </w:rPr>
        <w:t>a</w:t>
      </w:r>
      <w:r>
        <w:rPr>
          <w:spacing w:val="-10"/>
          <w:vertAlign w:val="baseline"/>
        </w:rPr>
        <w:t> </w:t>
      </w:r>
      <w:r>
        <w:rPr>
          <w:vertAlign w:val="baseline"/>
        </w:rPr>
        <w:t>construct-distinct, allowance-aligned, and computationally cheaper score, and whether either social method </w:t>
      </w:r>
      <w:bookmarkStart w:name="Comparison of graph reputation methods" w:id="83"/>
      <w:bookmarkEnd w:id="83"/>
      <w:r>
        <w:rPr>
          <w:w w:val="99"/>
          <w:vertAlign w:val="baseline"/>
        </w:rPr>
      </w:r>
      <w:bookmarkStart w:name="_bookmark45" w:id="84"/>
      <w:bookmarkEnd w:id="84"/>
      <w:r>
        <w:rPr>
          <w:vertAlign w:val="baseline"/>
        </w:rPr>
        <w:t>dominate</w:t>
      </w:r>
      <w:r>
        <w:rPr>
          <w:vertAlign w:val="baseline"/>
        </w:rPr>
        <w:t>s across proxy families.</w:t>
      </w:r>
    </w:p>
    <w:p>
      <w:pPr>
        <w:pStyle w:val="BodyText"/>
        <w:spacing w:line="398" w:lineRule="auto"/>
        <w:ind w:left="274" w:right="521" w:firstLine="7"/>
        <w:jc w:val="both"/>
      </w:pPr>
      <w:r>
        <w:rPr>
          <w:i/>
        </w:rPr>
        <w:t>Do 등[16] 이더리움 전송에 대한 Adaptive Weighted PageRank을 사회적 신용 신호로 제안합니다. 간선은 전송이며 가중치는 로지스틱 붕괴를 통해 가치와 최신성을 결합합니다. 검증에서는 인바운드 정도와 인바운드 가치를 사용합니다. 이는 "지갑이 얼마나 많은 경제적 관심을 받는지"에 대한 프록시입니다. 이 프레임워크는 완전히 온체인이고 순위 기반이며 오프체인 ID가 없기 때문에 매력적입니다. EndorseRank은 PageRank 및 순위 상관 관계 템플릿을 유지하지만 에지 의미 체계를 대체합니다. 경험적 질문은 AWP가 "잘못"인지 여부가 아니라 허용 모서리가 다르고 유용하며 저렴한 신호를 생성하는지 여부입니다. 4장에서는 허용 가장자리가 구조적으로 구별되고, 허용에 맞춰 정렬되고, 계산적으로 더 저렴한 점수를 생성하는지 여부와 사회적 방법 중 하나가 프록시 계열 전체에서 지배적인지 여부를 테스트합니다.</w:t>
      </w:r>
    </w:p>
    <w:p>
      <w:pPr>
        <w:pStyle w:val="BodyText"/>
        <w:spacing w:before="157"/>
      </w:pPr>
    </w:p>
    <w:p>
      <w:pPr>
        <w:pStyle w:val="Heading2"/>
        <w:numPr>
          <w:ilvl w:val="1"/>
          <w:numId w:val="8"/>
        </w:numPr>
        <w:tabs>
          <w:tab w:pos="927" w:val="left" w:leader="none"/>
        </w:tabs>
        <w:spacing w:line="240" w:lineRule="auto" w:before="0" w:after="0"/>
        <w:ind w:left="927" w:right="0" w:hanging="645"/>
        <w:jc w:val="left"/>
      </w:pPr>
      <w:r>
        <w:rPr/>
        <w:t>Comparison</w:t>
      </w:r>
      <w:r>
        <w:rPr>
          <w:spacing w:val="12"/>
        </w:rPr>
        <w:t> </w:t>
      </w:r>
      <w:r>
        <w:rPr/>
        <w:t>of</w:t>
      </w:r>
      <w:r>
        <w:rPr>
          <w:spacing w:val="13"/>
        </w:rPr>
        <w:t> </w:t>
      </w:r>
      <w:r>
        <w:rPr/>
        <w:t>graph</w:t>
      </w:r>
      <w:r>
        <w:rPr>
          <w:spacing w:val="13"/>
        </w:rPr>
        <w:t> </w:t>
      </w:r>
      <w:r>
        <w:rPr/>
        <w:t>reputation</w:t>
      </w:r>
      <w:r>
        <w:rPr>
          <w:spacing w:val="13"/>
        </w:rPr>
        <w:t> </w:t>
      </w:r>
      <w:r>
        <w:rPr>
          <w:spacing w:val="-2"/>
        </w:rPr>
        <w:t>methods</w:t>
      </w:r>
    </w:p>
    <w:p>
      <w:pPr>
        <w:pStyle w:val="Heading2"/>
        <w:numPr>
          <w:ilvl w:val="1"/>
          <w:numId w:val="8"/>
        </w:numPr>
        <w:tabs>
          <w:tab w:pos="927" w:val="left" w:leader="none"/>
        </w:tabs>
        <w:spacing w:line="240" w:lineRule="auto" w:before="0" w:after="0"/>
        <w:ind w:left="927" w:right="0" w:hanging="645"/>
        <w:jc w:val="left"/>
      </w:pPr>
      <w:r>
        <w:rPr>
          <w:i/>
        </w:rPr>
        <w:t>그래프 평판 방법 비교</w:t>
      </w:r>
    </w:p>
    <w:p>
      <w:pPr>
        <w:pStyle w:val="BodyText"/>
        <w:spacing w:before="24"/>
        <w:rPr>
          <w:b/>
          <w:sz w:val="28"/>
        </w:rPr>
      </w:pPr>
    </w:p>
    <w:p>
      <w:pPr>
        <w:pStyle w:val="BodyText"/>
        <w:ind w:left="274"/>
        <w:jc w:val="both"/>
      </w:pPr>
      <w:r>
        <w:rPr/>
        <w:t>Table</w:t>
      </w:r>
      <w:r>
        <w:rPr>
          <w:spacing w:val="-11"/>
        </w:rPr>
        <w:t> </w:t>
      </w:r>
      <w:hyperlink w:history="true" w:anchor="_bookmark46">
        <w:r>
          <w:rPr/>
          <w:t>2.1</w:t>
        </w:r>
      </w:hyperlink>
      <w:r>
        <w:rPr>
          <w:spacing w:val="-11"/>
        </w:rPr>
        <w:t> </w:t>
      </w:r>
      <w:r>
        <w:rPr/>
        <w:t>situates</w:t>
      </w:r>
      <w:r>
        <w:rPr>
          <w:spacing w:val="-11"/>
        </w:rPr>
        <w:t> </w:t>
      </w:r>
      <w:r>
        <w:rPr/>
        <w:t>EndorseRank</w:t>
      </w:r>
      <w:r>
        <w:rPr>
          <w:spacing w:val="-10"/>
        </w:rPr>
        <w:t> </w:t>
      </w:r>
      <w:r>
        <w:rPr/>
        <w:t>among</w:t>
      </w:r>
      <w:r>
        <w:rPr>
          <w:spacing w:val="-11"/>
        </w:rPr>
        <w:t> </w:t>
      </w:r>
      <w:r>
        <w:rPr/>
        <w:t>related</w:t>
      </w:r>
      <w:r>
        <w:rPr>
          <w:spacing w:val="-11"/>
        </w:rPr>
        <w:t> </w:t>
      </w:r>
      <w:r>
        <w:rPr/>
        <w:t>methods</w:t>
      </w:r>
      <w:r>
        <w:rPr>
          <w:spacing w:val="-11"/>
        </w:rPr>
        <w:t> </w:t>
      </w:r>
      <w:r>
        <w:rPr/>
        <w:t>discussed</w:t>
      </w:r>
      <w:r>
        <w:rPr>
          <w:spacing w:val="-10"/>
        </w:rPr>
        <w:t> </w:t>
      </w:r>
      <w:r>
        <w:rPr/>
        <w:t>in</w:t>
      </w:r>
      <w:r>
        <w:rPr>
          <w:spacing w:val="-11"/>
        </w:rPr>
        <w:t> </w:t>
      </w:r>
      <w:r>
        <w:rPr/>
        <w:t>this</w:t>
      </w:r>
      <w:r>
        <w:rPr>
          <w:spacing w:val="-11"/>
        </w:rPr>
        <w:t> </w:t>
      </w:r>
      <w:r>
        <w:rPr>
          <w:spacing w:val="-2"/>
        </w:rPr>
        <w:t>chapter.</w:t>
      </w:r>
    </w:p>
    <w:p>
      <w:pPr>
        <w:pStyle w:val="BodyText"/>
        <w:ind w:left="274"/>
        <w:jc w:val="both"/>
      </w:pPr>
      <w:r>
        <w:rPr>
          <w:i/>
        </w:rPr>
        <w:t>표 2.1은 이 장에서 논의되는 관련 방법 중 EndorseRank를 나타냅니다.</w:t>
      </w:r>
    </w:p>
    <w:p>
      <w:pPr>
        <w:pStyle w:val="BodyText"/>
        <w:spacing w:before="257"/>
        <w:ind w:right="290"/>
        <w:jc w:val="center"/>
      </w:pPr>
      <w:bookmarkStart w:name="_bookmark46" w:id="85"/>
      <w:bookmarkEnd w:id="85"/>
      <w:r>
        <w:rPr/>
      </w:r>
      <w:r>
        <w:rPr/>
        <w:t>Table</w:t>
      </w:r>
      <w:r>
        <w:rPr>
          <w:spacing w:val="-11"/>
        </w:rPr>
        <w:t> </w:t>
      </w:r>
      <w:r>
        <w:rPr/>
        <w:t>2.1:</w:t>
      </w:r>
      <w:r>
        <w:rPr>
          <w:spacing w:val="7"/>
        </w:rPr>
        <w:t> </w:t>
      </w:r>
      <w:r>
        <w:rPr/>
        <w:t>Comparison</w:t>
      </w:r>
      <w:r>
        <w:rPr>
          <w:spacing w:val="-10"/>
        </w:rPr>
        <w:t> </w:t>
      </w:r>
      <w:r>
        <w:rPr/>
        <w:t>of</w:t>
      </w:r>
      <w:r>
        <w:rPr>
          <w:spacing w:val="-11"/>
        </w:rPr>
        <w:t> </w:t>
      </w:r>
      <w:r>
        <w:rPr/>
        <w:t>selected</w:t>
      </w:r>
      <w:r>
        <w:rPr>
          <w:spacing w:val="-10"/>
        </w:rPr>
        <w:t> </w:t>
      </w:r>
      <w:r>
        <w:rPr/>
        <w:t>graph</w:t>
      </w:r>
      <w:r>
        <w:rPr>
          <w:spacing w:val="-10"/>
        </w:rPr>
        <w:t> </w:t>
      </w:r>
      <w:r>
        <w:rPr/>
        <w:t>reputation</w:t>
      </w:r>
      <w:r>
        <w:rPr>
          <w:spacing w:val="-10"/>
        </w:rPr>
        <w:t> </w:t>
      </w:r>
      <w:r>
        <w:rPr/>
        <w:t>methods</w:t>
      </w:r>
      <w:r>
        <w:rPr>
          <w:spacing w:val="-10"/>
        </w:rPr>
        <w:t> </w:t>
      </w:r>
      <w:r>
        <w:rPr>
          <w:spacing w:val="-2"/>
        </w:rPr>
        <w:t>(conceptual).</w:t>
      </w:r>
    </w:p>
    <w:p>
      <w:pPr>
        <w:pStyle w:val="BodyText"/>
        <w:spacing w:before="257"/>
        <w:ind w:right="290"/>
        <w:jc w:val="center"/>
      </w:pPr>
      <w:r>
        <w:rPr>
          <w:i/>
        </w:rPr>
        <w:t>표 2.1: 선택된 그래프 평판 방법 비교(개념적)</w:t>
      </w:r>
    </w:p>
    <w:p>
      <w:pPr>
        <w:pStyle w:val="BodyText"/>
        <w:spacing w:before="14"/>
        <w:rPr>
          <w:sz w:val="20"/>
        </w:rPr>
      </w:pPr>
    </w:p>
    <w:tbl>
      <w:tblPr>
        <w:tblW w:w="0" w:type="auto"/>
        <w:jc w:val="left"/>
        <w:tblInd w:w="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5"/>
        <w:gridCol w:w="2498"/>
        <w:gridCol w:w="2228"/>
        <w:gridCol w:w="2921"/>
      </w:tblGrid>
      <w:tr>
        <w:trPr>
          <w:trHeight w:val="381" w:hRule="atLeast"/>
        </w:trPr>
        <w:tc>
          <w:tcPr>
            <w:tcW w:w="170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p>
            <w:pPr>
              <w:pStyle w:val="TableParagraph"/>
              <w:spacing w:before="53"/>
              <w:ind w:left="69"/>
              <w:jc w:val="left"/>
              <w:rPr>
                <w:sz w:val="22"/>
              </w:rPr>
            </w:pPr>
            <w:r>
              <w:rPr>
                <w:i/>
              </w:rPr>
              <w:t>방법</w:t>
            </w:r>
          </w:p>
        </w:tc>
        <w:tc>
          <w:tcPr>
            <w:tcW w:w="2498" w:type="dxa"/>
            <w:tcBorders>
              <w:top w:val="single" w:sz="8" w:space="0" w:color="000000"/>
              <w:bottom w:val="single" w:sz="6" w:space="0" w:color="000000"/>
            </w:tcBorders>
          </w:tcPr>
          <w:p>
            <w:pPr>
              <w:pStyle w:val="TableParagraph"/>
              <w:spacing w:before="53"/>
              <w:ind w:left="188"/>
              <w:jc w:val="left"/>
              <w:rPr>
                <w:sz w:val="22"/>
              </w:rPr>
            </w:pPr>
            <w:r>
              <w:rPr>
                <w:sz w:val="22"/>
              </w:rPr>
              <w:t>Edge</w:t>
            </w:r>
            <w:r>
              <w:rPr>
                <w:spacing w:val="-6"/>
                <w:sz w:val="22"/>
              </w:rPr>
              <w:t> </w:t>
            </w:r>
            <w:r>
              <w:rPr>
                <w:spacing w:val="-2"/>
                <w:sz w:val="22"/>
              </w:rPr>
              <w:t>semantics</w:t>
            </w:r>
          </w:p>
          <w:p>
            <w:pPr>
              <w:pStyle w:val="TableParagraph"/>
              <w:spacing w:before="53"/>
              <w:ind w:left="188"/>
              <w:jc w:val="left"/>
              <w:rPr>
                <w:sz w:val="22"/>
              </w:rPr>
            </w:pPr>
            <w:r>
              <w:rPr>
                <w:i/>
              </w:rPr>
              <w:t>엣지 의미론</w:t>
            </w:r>
          </w:p>
        </w:tc>
        <w:tc>
          <w:tcPr>
            <w:tcW w:w="2228" w:type="dxa"/>
            <w:tcBorders>
              <w:top w:val="single" w:sz="8" w:space="0" w:color="000000"/>
              <w:bottom w:val="single" w:sz="6" w:space="0" w:color="000000"/>
            </w:tcBorders>
          </w:tcPr>
          <w:p>
            <w:pPr>
              <w:pStyle w:val="TableParagraph"/>
              <w:spacing w:before="53"/>
              <w:ind w:left="75"/>
              <w:jc w:val="left"/>
              <w:rPr>
                <w:sz w:val="22"/>
              </w:rPr>
            </w:pPr>
            <w:r>
              <w:rPr>
                <w:spacing w:val="-2"/>
                <w:sz w:val="22"/>
              </w:rPr>
              <w:t>Temporal</w:t>
            </w:r>
            <w:r>
              <w:rPr>
                <w:spacing w:val="-10"/>
                <w:sz w:val="22"/>
              </w:rPr>
              <w:t> </w:t>
            </w:r>
            <w:r>
              <w:rPr>
                <w:spacing w:val="-2"/>
                <w:sz w:val="22"/>
              </w:rPr>
              <w:t>model</w:t>
            </w:r>
          </w:p>
          <w:p>
            <w:pPr>
              <w:pStyle w:val="TableParagraph"/>
              <w:spacing w:before="53"/>
              <w:ind w:left="75"/>
              <w:jc w:val="left"/>
              <w:rPr>
                <w:sz w:val="22"/>
              </w:rPr>
            </w:pPr>
            <w:r>
              <w:rPr>
                <w:i/>
              </w:rPr>
              <w:t>시간적 모델</w:t>
            </w:r>
          </w:p>
        </w:tc>
        <w:tc>
          <w:tcPr>
            <w:tcW w:w="2921" w:type="dxa"/>
            <w:tcBorders>
              <w:top w:val="single" w:sz="8" w:space="0" w:color="000000"/>
              <w:bottom w:val="single" w:sz="6" w:space="0" w:color="000000"/>
            </w:tcBorders>
          </w:tcPr>
          <w:p>
            <w:pPr>
              <w:pStyle w:val="TableParagraph"/>
              <w:spacing w:before="53"/>
              <w:ind w:left="232"/>
              <w:jc w:val="left"/>
              <w:rPr>
                <w:sz w:val="22"/>
              </w:rPr>
            </w:pPr>
            <w:r>
              <w:rPr>
                <w:spacing w:val="-2"/>
                <w:sz w:val="22"/>
              </w:rPr>
              <w:t>Typical</w:t>
            </w:r>
            <w:r>
              <w:rPr>
                <w:spacing w:val="-10"/>
                <w:sz w:val="22"/>
              </w:rPr>
              <w:t> </w:t>
            </w:r>
            <w:r>
              <w:rPr>
                <w:spacing w:val="-2"/>
                <w:sz w:val="22"/>
              </w:rPr>
              <w:t>validation</w:t>
            </w:r>
          </w:p>
          <w:p>
            <w:pPr>
              <w:pStyle w:val="TableParagraph"/>
              <w:spacing w:before="53"/>
              <w:ind w:left="232"/>
              <w:jc w:val="left"/>
              <w:rPr>
                <w:sz w:val="22"/>
              </w:rPr>
            </w:pPr>
            <w:r>
              <w:rPr>
                <w:i/>
              </w:rPr>
              <w:t>일반적인 검증</w:t>
            </w:r>
          </w:p>
        </w:tc>
      </w:tr>
      <w:tr>
        <w:trPr>
          <w:trHeight w:val="319" w:hRule="atLeast"/>
        </w:trPr>
        <w:tc>
          <w:tcPr>
            <w:tcW w:w="1705" w:type="dxa"/>
            <w:tcBorders>
              <w:top w:val="single" w:sz="6" w:space="0" w:color="000000"/>
            </w:tcBorders>
          </w:tcPr>
          <w:p>
            <w:pPr>
              <w:pStyle w:val="TableParagraph"/>
              <w:spacing w:line="247" w:lineRule="exact" w:before="52"/>
              <w:ind w:left="69"/>
              <w:jc w:val="left"/>
              <w:rPr>
                <w:sz w:val="22"/>
              </w:rPr>
            </w:pPr>
            <w:r>
              <w:rPr>
                <w:sz w:val="22"/>
              </w:rPr>
              <w:t>PageRank</w:t>
            </w:r>
            <w:r>
              <w:rPr>
                <w:spacing w:val="-10"/>
                <w:sz w:val="22"/>
              </w:rPr>
              <w:t> </w:t>
            </w:r>
            <w:r>
              <w:rPr>
                <w:spacing w:val="-2"/>
                <w:sz w:val="22"/>
              </w:rPr>
              <w:t>(web)</w:t>
            </w:r>
          </w:p>
          <w:p>
            <w:pPr>
              <w:pStyle w:val="TableParagraph"/>
              <w:spacing w:line="247" w:lineRule="exact" w:before="52"/>
              <w:ind w:left="69"/>
              <w:jc w:val="left"/>
              <w:rPr>
                <w:sz w:val="22"/>
              </w:rPr>
            </w:pPr>
            <w:r>
              <w:rPr>
                <w:i/>
              </w:rPr>
              <w:t>PageRank (웹)</w:t>
            </w:r>
          </w:p>
        </w:tc>
        <w:tc>
          <w:tcPr>
            <w:tcW w:w="2498" w:type="dxa"/>
            <w:tcBorders>
              <w:top w:val="single" w:sz="6" w:space="0" w:color="000000"/>
            </w:tcBorders>
          </w:tcPr>
          <w:p>
            <w:pPr>
              <w:pStyle w:val="TableParagraph"/>
              <w:spacing w:line="247" w:lineRule="exact" w:before="52"/>
              <w:ind w:left="188"/>
              <w:jc w:val="left"/>
              <w:rPr>
                <w:sz w:val="22"/>
              </w:rPr>
            </w:pPr>
            <w:r>
              <w:rPr>
                <w:spacing w:val="-2"/>
                <w:sz w:val="22"/>
              </w:rPr>
              <w:t>Hyperlinks</w:t>
            </w:r>
          </w:p>
          <w:p>
            <w:pPr>
              <w:pStyle w:val="TableParagraph"/>
              <w:spacing w:line="247" w:lineRule="exact" w:before="52"/>
              <w:ind w:left="188"/>
              <w:jc w:val="left"/>
              <w:rPr>
                <w:sz w:val="22"/>
              </w:rPr>
            </w:pPr>
            <w:r>
              <w:rPr>
                <w:i/>
              </w:rPr>
              <w:t>하이퍼링크</w:t>
            </w:r>
          </w:p>
        </w:tc>
        <w:tc>
          <w:tcPr>
            <w:tcW w:w="2228" w:type="dxa"/>
            <w:tcBorders>
              <w:top w:val="single" w:sz="6" w:space="0" w:color="000000"/>
            </w:tcBorders>
          </w:tcPr>
          <w:p>
            <w:pPr>
              <w:pStyle w:val="TableParagraph"/>
              <w:spacing w:line="247" w:lineRule="exact" w:before="52"/>
              <w:ind w:left="75"/>
              <w:jc w:val="left"/>
              <w:rPr>
                <w:sz w:val="22"/>
              </w:rPr>
            </w:pPr>
            <w:r>
              <w:rPr>
                <w:sz w:val="22"/>
              </w:rPr>
              <w:t>None</w:t>
            </w:r>
            <w:r>
              <w:rPr>
                <w:spacing w:val="-5"/>
                <w:sz w:val="22"/>
              </w:rPr>
              <w:t> </w:t>
            </w:r>
            <w:r>
              <w:rPr>
                <w:sz w:val="22"/>
              </w:rPr>
              <w:t>/</w:t>
            </w:r>
            <w:r>
              <w:rPr>
                <w:spacing w:val="-4"/>
                <w:sz w:val="22"/>
              </w:rPr>
              <w:t> </w:t>
            </w:r>
            <w:r>
              <w:rPr>
                <w:sz w:val="22"/>
              </w:rPr>
              <w:t>static</w:t>
            </w:r>
            <w:r>
              <w:rPr>
                <w:spacing w:val="-5"/>
                <w:sz w:val="22"/>
              </w:rPr>
              <w:t> </w:t>
            </w:r>
            <w:r>
              <w:rPr>
                <w:spacing w:val="-2"/>
                <w:sz w:val="22"/>
              </w:rPr>
              <w:t>snapshot</w:t>
            </w:r>
          </w:p>
          <w:p>
            <w:pPr>
              <w:pStyle w:val="TableParagraph"/>
              <w:spacing w:line="247" w:lineRule="exact" w:before="52"/>
              <w:ind w:left="75"/>
              <w:jc w:val="left"/>
              <w:rPr>
                <w:sz w:val="22"/>
              </w:rPr>
            </w:pPr>
            <w:r>
              <w:rPr>
                <w:i/>
              </w:rPr>
              <w:t>없음/정적 스냅샷</w:t>
            </w:r>
          </w:p>
        </w:tc>
        <w:tc>
          <w:tcPr>
            <w:tcW w:w="2921" w:type="dxa"/>
            <w:tcBorders>
              <w:top w:val="single" w:sz="6" w:space="0" w:color="000000"/>
            </w:tcBorders>
          </w:tcPr>
          <w:p>
            <w:pPr>
              <w:pStyle w:val="TableParagraph"/>
              <w:spacing w:line="247" w:lineRule="exact" w:before="52"/>
              <w:ind w:left="233"/>
              <w:jc w:val="left"/>
              <w:rPr>
                <w:sz w:val="22"/>
              </w:rPr>
            </w:pPr>
            <w:r>
              <w:rPr>
                <w:sz w:val="22"/>
              </w:rPr>
              <w:t>Retrieval</w:t>
            </w:r>
            <w:r>
              <w:rPr>
                <w:spacing w:val="-10"/>
                <w:sz w:val="22"/>
              </w:rPr>
              <w:t> </w:t>
            </w:r>
            <w:r>
              <w:rPr>
                <w:spacing w:val="-2"/>
                <w:sz w:val="22"/>
              </w:rPr>
              <w:t>quality</w:t>
            </w:r>
          </w:p>
          <w:p>
            <w:pPr>
              <w:pStyle w:val="TableParagraph"/>
              <w:spacing w:line="247" w:lineRule="exact" w:before="52"/>
              <w:ind w:left="233"/>
              <w:jc w:val="left"/>
              <w:rPr>
                <w:sz w:val="22"/>
              </w:rPr>
            </w:pPr>
            <w:r>
              <w:rPr>
                <w:i/>
              </w:rPr>
              <w:t>검색 품질</w:t>
            </w:r>
          </w:p>
        </w:tc>
      </w:tr>
      <w:tr>
        <w:trPr>
          <w:trHeight w:val="270" w:hRule="atLeast"/>
        </w:trPr>
        <w:tc>
          <w:tcPr>
            <w:tcW w:w="1705" w:type="dxa"/>
          </w:tcPr>
          <w:p>
            <w:pPr>
              <w:pStyle w:val="TableParagraph"/>
              <w:spacing w:line="247" w:lineRule="exact"/>
              <w:ind w:left="69"/>
              <w:jc w:val="left"/>
              <w:rPr>
                <w:sz w:val="22"/>
              </w:rPr>
            </w:pPr>
            <w:r>
              <w:rPr>
                <w:spacing w:val="-2"/>
                <w:sz w:val="22"/>
              </w:rPr>
              <w:t>EigenTrust</w:t>
            </w:r>
          </w:p>
          <w:p>
            <w:pPr>
              <w:pStyle w:val="TableParagraph"/>
              <w:spacing w:line="247" w:lineRule="exact"/>
              <w:ind w:left="69"/>
              <w:jc w:val="left"/>
              <w:rPr>
                <w:sz w:val="22"/>
              </w:rPr>
            </w:pPr>
            <w:r>
              <w:rPr>
                <w:i/>
              </w:rPr>
              <w:t>아이겐트러스트</w:t>
            </w:r>
          </w:p>
        </w:tc>
        <w:tc>
          <w:tcPr>
            <w:tcW w:w="2498" w:type="dxa"/>
          </w:tcPr>
          <w:p>
            <w:pPr>
              <w:pStyle w:val="TableParagraph"/>
              <w:spacing w:line="247" w:lineRule="exact"/>
              <w:ind w:left="188"/>
              <w:jc w:val="left"/>
              <w:rPr>
                <w:sz w:val="22"/>
              </w:rPr>
            </w:pPr>
            <w:r>
              <w:rPr>
                <w:sz w:val="22"/>
              </w:rPr>
              <w:t>Local</w:t>
            </w:r>
            <w:r>
              <w:rPr>
                <w:spacing w:val="-6"/>
                <w:sz w:val="22"/>
              </w:rPr>
              <w:t> </w:t>
            </w:r>
            <w:r>
              <w:rPr>
                <w:sz w:val="22"/>
              </w:rPr>
              <w:t>trust</w:t>
            </w:r>
            <w:r>
              <w:rPr>
                <w:spacing w:val="-5"/>
                <w:sz w:val="22"/>
              </w:rPr>
              <w:t> </w:t>
            </w:r>
            <w:r>
              <w:rPr>
                <w:spacing w:val="-2"/>
                <w:sz w:val="22"/>
              </w:rPr>
              <w:t>ratings</w:t>
            </w:r>
          </w:p>
          <w:p>
            <w:pPr>
              <w:pStyle w:val="TableParagraph"/>
              <w:spacing w:line="247" w:lineRule="exact"/>
              <w:ind w:left="188"/>
              <w:jc w:val="left"/>
              <w:rPr>
                <w:sz w:val="22"/>
              </w:rPr>
            </w:pPr>
            <w:r>
              <w:rPr>
                <w:i/>
              </w:rPr>
              <w:t>현지 신뢰도</w:t>
            </w:r>
          </w:p>
        </w:tc>
        <w:tc>
          <w:tcPr>
            <w:tcW w:w="2228" w:type="dxa"/>
          </w:tcPr>
          <w:p>
            <w:pPr>
              <w:pStyle w:val="TableParagraph"/>
              <w:spacing w:line="247" w:lineRule="exact"/>
              <w:ind w:left="75"/>
              <w:jc w:val="left"/>
              <w:rPr>
                <w:sz w:val="22"/>
              </w:rPr>
            </w:pPr>
            <w:r>
              <w:rPr>
                <w:sz w:val="22"/>
              </w:rPr>
              <w:t>Iterative</w:t>
            </w:r>
            <w:r>
              <w:rPr>
                <w:spacing w:val="-9"/>
                <w:sz w:val="22"/>
              </w:rPr>
              <w:t> </w:t>
            </w:r>
            <w:r>
              <w:rPr>
                <w:spacing w:val="-2"/>
                <w:sz w:val="22"/>
              </w:rPr>
              <w:t>aggregation</w:t>
            </w:r>
          </w:p>
          <w:p>
            <w:pPr>
              <w:pStyle w:val="TableParagraph"/>
              <w:spacing w:line="247" w:lineRule="exact"/>
              <w:ind w:left="75"/>
              <w:jc w:val="left"/>
              <w:rPr>
                <w:sz w:val="22"/>
              </w:rPr>
            </w:pPr>
            <w:r>
              <w:rPr>
                <w:i/>
              </w:rPr>
              <w:t>반복 집계</w:t>
            </w:r>
          </w:p>
        </w:tc>
        <w:tc>
          <w:tcPr>
            <w:tcW w:w="2921" w:type="dxa"/>
          </w:tcPr>
          <w:p>
            <w:pPr>
              <w:pStyle w:val="TableParagraph"/>
              <w:spacing w:line="247" w:lineRule="exact"/>
              <w:ind w:left="232"/>
              <w:jc w:val="left"/>
              <w:rPr>
                <w:sz w:val="22"/>
              </w:rPr>
            </w:pPr>
            <w:r>
              <w:rPr>
                <w:sz w:val="22"/>
              </w:rPr>
              <w:t>P2P</w:t>
            </w:r>
            <w:r>
              <w:rPr>
                <w:spacing w:val="-6"/>
                <w:sz w:val="22"/>
              </w:rPr>
              <w:t> </w:t>
            </w:r>
            <w:r>
              <w:rPr>
                <w:sz w:val="22"/>
              </w:rPr>
              <w:t>file</w:t>
            </w:r>
            <w:r>
              <w:rPr>
                <w:spacing w:val="-5"/>
                <w:sz w:val="22"/>
              </w:rPr>
              <w:t> </w:t>
            </w:r>
            <w:r>
              <w:rPr>
                <w:spacing w:val="-2"/>
                <w:sz w:val="22"/>
              </w:rPr>
              <w:t>authenticity</w:t>
            </w:r>
          </w:p>
          <w:p>
            <w:pPr>
              <w:pStyle w:val="TableParagraph"/>
              <w:spacing w:line="247" w:lineRule="exact"/>
              <w:ind w:left="232"/>
              <w:jc w:val="left"/>
              <w:rPr>
                <w:sz w:val="22"/>
              </w:rPr>
            </w:pPr>
            <w:r>
              <w:rPr>
                <w:i/>
              </w:rPr>
              <w:t>P2P 파일 신뢰성</w:t>
            </w:r>
          </w:p>
        </w:tc>
      </w:tr>
      <w:tr>
        <w:trPr>
          <w:trHeight w:val="270" w:hRule="atLeast"/>
        </w:trPr>
        <w:tc>
          <w:tcPr>
            <w:tcW w:w="1705" w:type="dxa"/>
          </w:tcPr>
          <w:p>
            <w:pPr>
              <w:pStyle w:val="TableParagraph"/>
              <w:spacing w:line="247" w:lineRule="exact"/>
              <w:ind w:left="69"/>
              <w:jc w:val="left"/>
              <w:rPr>
                <w:sz w:val="22"/>
              </w:rPr>
            </w:pPr>
            <w:r>
              <w:rPr>
                <w:spacing w:val="-2"/>
                <w:sz w:val="22"/>
              </w:rPr>
              <w:t>TrustRank</w:t>
            </w:r>
          </w:p>
          <w:p>
            <w:pPr>
              <w:pStyle w:val="TableParagraph"/>
              <w:spacing w:line="247" w:lineRule="exact"/>
              <w:ind w:left="69"/>
              <w:jc w:val="left"/>
              <w:rPr>
                <w:sz w:val="22"/>
              </w:rPr>
            </w:pPr>
            <w:r>
              <w:rPr>
                <w:i/>
              </w:rPr>
              <w:t>신뢰순위</w:t>
            </w:r>
          </w:p>
        </w:tc>
        <w:tc>
          <w:tcPr>
            <w:tcW w:w="2498" w:type="dxa"/>
          </w:tcPr>
          <w:p>
            <w:pPr>
              <w:pStyle w:val="TableParagraph"/>
              <w:spacing w:line="247" w:lineRule="exact"/>
              <w:ind w:left="188"/>
              <w:jc w:val="left"/>
              <w:rPr>
                <w:sz w:val="22"/>
              </w:rPr>
            </w:pPr>
            <w:r>
              <w:rPr>
                <w:sz w:val="22"/>
              </w:rPr>
              <w:t>Links</w:t>
            </w:r>
            <w:r>
              <w:rPr>
                <w:spacing w:val="-7"/>
                <w:sz w:val="22"/>
              </w:rPr>
              <w:t> </w:t>
            </w:r>
            <w:r>
              <w:rPr>
                <w:sz w:val="22"/>
              </w:rPr>
              <w:t>from</w:t>
            </w:r>
            <w:r>
              <w:rPr>
                <w:spacing w:val="-7"/>
                <w:sz w:val="22"/>
              </w:rPr>
              <w:t> </w:t>
            </w:r>
            <w:r>
              <w:rPr>
                <w:sz w:val="22"/>
              </w:rPr>
              <w:t>seed</w:t>
            </w:r>
            <w:r>
              <w:rPr>
                <w:spacing w:val="-7"/>
                <w:sz w:val="22"/>
              </w:rPr>
              <w:t> </w:t>
            </w:r>
            <w:r>
              <w:rPr>
                <w:spacing w:val="-2"/>
                <w:sz w:val="22"/>
              </w:rPr>
              <w:t>goods</w:t>
            </w:r>
          </w:p>
          <w:p>
            <w:pPr>
              <w:pStyle w:val="TableParagraph"/>
              <w:spacing w:line="247" w:lineRule="exact"/>
              <w:ind w:left="188"/>
              <w:jc w:val="left"/>
              <w:rPr>
                <w:sz w:val="22"/>
              </w:rPr>
            </w:pPr>
            <w:r>
              <w:rPr>
                <w:i/>
              </w:rPr>
              <w:t>종자상품 링크</w:t>
            </w:r>
          </w:p>
        </w:tc>
        <w:tc>
          <w:tcPr>
            <w:tcW w:w="2228" w:type="dxa"/>
          </w:tcPr>
          <w:p>
            <w:pPr>
              <w:pStyle w:val="TableParagraph"/>
              <w:spacing w:line="247" w:lineRule="exact"/>
              <w:ind w:left="75"/>
              <w:jc w:val="left"/>
              <w:rPr>
                <w:sz w:val="22"/>
              </w:rPr>
            </w:pPr>
            <w:r>
              <w:rPr>
                <w:sz w:val="22"/>
              </w:rPr>
              <w:t>Static</w:t>
            </w:r>
            <w:r>
              <w:rPr>
                <w:spacing w:val="-4"/>
                <w:sz w:val="22"/>
              </w:rPr>
              <w:t> </w:t>
            </w:r>
            <w:r>
              <w:rPr>
                <w:sz w:val="22"/>
              </w:rPr>
              <w:t>/</w:t>
            </w:r>
            <w:r>
              <w:rPr>
                <w:spacing w:val="-4"/>
                <w:sz w:val="22"/>
              </w:rPr>
              <w:t> </w:t>
            </w:r>
            <w:r>
              <w:rPr>
                <w:spacing w:val="-2"/>
                <w:sz w:val="22"/>
              </w:rPr>
              <w:t>seeded</w:t>
            </w:r>
          </w:p>
          <w:p>
            <w:pPr>
              <w:pStyle w:val="TableParagraph"/>
              <w:spacing w:line="247" w:lineRule="exact"/>
              <w:ind w:left="75"/>
              <w:jc w:val="left"/>
              <w:rPr>
                <w:sz w:val="22"/>
              </w:rPr>
            </w:pPr>
            <w:r>
              <w:rPr>
                <w:i/>
              </w:rPr>
              <w:t>정적/시드됨</w:t>
            </w:r>
          </w:p>
        </w:tc>
        <w:tc>
          <w:tcPr>
            <w:tcW w:w="2921" w:type="dxa"/>
          </w:tcPr>
          <w:p>
            <w:pPr>
              <w:pStyle w:val="TableParagraph"/>
              <w:spacing w:line="247" w:lineRule="exact"/>
              <w:ind w:left="232"/>
              <w:jc w:val="left"/>
              <w:rPr>
                <w:sz w:val="22"/>
              </w:rPr>
            </w:pPr>
            <w:r>
              <w:rPr>
                <w:sz w:val="22"/>
              </w:rPr>
              <w:t>Spam</w:t>
            </w:r>
            <w:r>
              <w:rPr>
                <w:spacing w:val="-7"/>
                <w:sz w:val="22"/>
              </w:rPr>
              <w:t> </w:t>
            </w:r>
            <w:r>
              <w:rPr>
                <w:spacing w:val="-2"/>
                <w:sz w:val="22"/>
              </w:rPr>
              <w:t>demotion</w:t>
            </w:r>
          </w:p>
          <w:p>
            <w:pPr>
              <w:pStyle w:val="TableParagraph"/>
              <w:spacing w:line="247" w:lineRule="exact"/>
              <w:ind w:left="232"/>
              <w:jc w:val="left"/>
              <w:rPr>
                <w:sz w:val="22"/>
              </w:rPr>
            </w:pPr>
            <w:r>
              <w:rPr>
                <w:i/>
              </w:rPr>
              <w:t>스팸 강등</w:t>
            </w:r>
          </w:p>
        </w:tc>
      </w:tr>
      <w:tr>
        <w:trPr>
          <w:trHeight w:val="270" w:hRule="atLeast"/>
        </w:trPr>
        <w:tc>
          <w:tcPr>
            <w:tcW w:w="1705" w:type="dxa"/>
          </w:tcPr>
          <w:p>
            <w:pPr>
              <w:pStyle w:val="TableParagraph"/>
              <w:spacing w:line="247" w:lineRule="exact"/>
              <w:ind w:left="69"/>
              <w:jc w:val="left"/>
              <w:rPr>
                <w:sz w:val="22"/>
              </w:rPr>
            </w:pPr>
            <w:r>
              <w:rPr>
                <w:spacing w:val="-5"/>
                <w:sz w:val="22"/>
              </w:rPr>
              <w:t>AWP</w:t>
            </w:r>
          </w:p>
        </w:tc>
        <w:tc>
          <w:tcPr>
            <w:tcW w:w="2498" w:type="dxa"/>
          </w:tcPr>
          <w:p>
            <w:pPr>
              <w:pStyle w:val="TableParagraph"/>
              <w:spacing w:line="247" w:lineRule="exact"/>
              <w:ind w:left="188"/>
              <w:jc w:val="left"/>
              <w:rPr>
                <w:sz w:val="22"/>
              </w:rPr>
            </w:pPr>
            <w:r>
              <w:rPr>
                <w:spacing w:val="-4"/>
                <w:sz w:val="22"/>
              </w:rPr>
              <w:t>Token</w:t>
            </w:r>
            <w:r>
              <w:rPr>
                <w:spacing w:val="-3"/>
                <w:sz w:val="22"/>
              </w:rPr>
              <w:t> </w:t>
            </w:r>
            <w:r>
              <w:rPr>
                <w:spacing w:val="-2"/>
                <w:sz w:val="22"/>
              </w:rPr>
              <w:t>transfers</w:t>
            </w:r>
          </w:p>
          <w:p>
            <w:pPr>
              <w:pStyle w:val="TableParagraph"/>
              <w:spacing w:line="247" w:lineRule="exact"/>
              <w:ind w:left="188"/>
              <w:jc w:val="left"/>
              <w:rPr>
                <w:sz w:val="22"/>
              </w:rPr>
            </w:pPr>
            <w:r>
              <w:rPr>
                <w:i/>
              </w:rPr>
              <w:t>토큰 전송</w:t>
            </w:r>
          </w:p>
        </w:tc>
        <w:tc>
          <w:tcPr>
            <w:tcW w:w="2228" w:type="dxa"/>
          </w:tcPr>
          <w:p>
            <w:pPr>
              <w:pStyle w:val="TableParagraph"/>
              <w:spacing w:line="247" w:lineRule="exact"/>
              <w:ind w:left="75"/>
              <w:jc w:val="left"/>
              <w:rPr>
                <w:sz w:val="22"/>
              </w:rPr>
            </w:pPr>
            <w:r>
              <w:rPr>
                <w:sz w:val="22"/>
              </w:rPr>
              <w:t>Logistic</w:t>
            </w:r>
            <w:r>
              <w:rPr>
                <w:spacing w:val="-9"/>
                <w:sz w:val="22"/>
              </w:rPr>
              <w:t> </w:t>
            </w:r>
            <w:r>
              <w:rPr>
                <w:spacing w:val="-2"/>
                <w:sz w:val="22"/>
              </w:rPr>
              <w:t>decay</w:t>
            </w:r>
          </w:p>
          <w:p>
            <w:pPr>
              <w:pStyle w:val="TableParagraph"/>
              <w:spacing w:line="247" w:lineRule="exact"/>
              <w:ind w:left="75"/>
              <w:jc w:val="left"/>
              <w:rPr>
                <w:sz w:val="22"/>
              </w:rPr>
            </w:pPr>
            <w:r>
              <w:rPr>
                <w:i/>
              </w:rPr>
              <w:t>물류 붕괴</w:t>
            </w:r>
          </w:p>
        </w:tc>
        <w:tc>
          <w:tcPr>
            <w:tcW w:w="2921" w:type="dxa"/>
          </w:tcPr>
          <w:p>
            <w:pPr>
              <w:pStyle w:val="TableParagraph"/>
              <w:spacing w:line="247" w:lineRule="exact"/>
              <w:ind w:left="232"/>
              <w:jc w:val="left"/>
              <w:rPr>
                <w:sz w:val="22"/>
              </w:rPr>
            </w:pPr>
            <w:r>
              <w:rPr>
                <w:sz w:val="22"/>
              </w:rPr>
              <w:t>In-degree</w:t>
            </w:r>
            <w:r>
              <w:rPr>
                <w:spacing w:val="-7"/>
                <w:sz w:val="22"/>
              </w:rPr>
              <w:t> </w:t>
            </w:r>
            <w:r>
              <w:rPr>
                <w:sz w:val="22"/>
              </w:rPr>
              <w:t>/</w:t>
            </w:r>
            <w:r>
              <w:rPr>
                <w:spacing w:val="-7"/>
                <w:sz w:val="22"/>
              </w:rPr>
              <w:t> </w:t>
            </w:r>
            <w:r>
              <w:rPr>
                <w:sz w:val="22"/>
              </w:rPr>
              <w:t>in-</w:t>
            </w:r>
            <w:r>
              <w:rPr>
                <w:spacing w:val="-2"/>
                <w:sz w:val="22"/>
              </w:rPr>
              <w:t>value</w:t>
            </w:r>
          </w:p>
          <w:p>
            <w:pPr>
              <w:pStyle w:val="TableParagraph"/>
              <w:spacing w:line="247" w:lineRule="exact"/>
              <w:ind w:left="232"/>
              <w:jc w:val="left"/>
              <w:rPr>
                <w:sz w:val="22"/>
              </w:rPr>
            </w:pPr>
            <w:r>
              <w:rPr>
                <w:i/>
              </w:rPr>
              <w:t>차수/가치</w:t>
            </w:r>
          </w:p>
        </w:tc>
      </w:tr>
      <w:tr>
        <w:trPr>
          <w:trHeight w:val="270" w:hRule="atLeast"/>
        </w:trPr>
        <w:tc>
          <w:tcPr>
            <w:tcW w:w="1705" w:type="dxa"/>
          </w:tcPr>
          <w:p>
            <w:pPr>
              <w:pStyle w:val="TableParagraph"/>
              <w:spacing w:line="247" w:lineRule="exact"/>
              <w:ind w:left="69"/>
              <w:jc w:val="left"/>
              <w:rPr>
                <w:sz w:val="22"/>
              </w:rPr>
            </w:pPr>
            <w:r>
              <w:rPr>
                <w:spacing w:val="-2"/>
                <w:sz w:val="22"/>
              </w:rPr>
              <w:t>RiskProp</w:t>
            </w:r>
          </w:p>
        </w:tc>
        <w:tc>
          <w:tcPr>
            <w:tcW w:w="2498" w:type="dxa"/>
          </w:tcPr>
          <w:p>
            <w:pPr>
              <w:pStyle w:val="TableParagraph"/>
              <w:spacing w:line="247" w:lineRule="exact"/>
              <w:ind w:left="188"/>
              <w:jc w:val="left"/>
              <w:rPr>
                <w:sz w:val="22"/>
              </w:rPr>
            </w:pPr>
            <w:r>
              <w:rPr>
                <w:sz w:val="22"/>
              </w:rPr>
              <w:t>Risk-bearing</w:t>
            </w:r>
            <w:r>
              <w:rPr>
                <w:spacing w:val="-13"/>
                <w:sz w:val="22"/>
              </w:rPr>
              <w:t> </w:t>
            </w:r>
            <w:r>
              <w:rPr>
                <w:spacing w:val="-2"/>
                <w:sz w:val="22"/>
              </w:rPr>
              <w:t>links</w:t>
            </w:r>
          </w:p>
          <w:p>
            <w:pPr>
              <w:pStyle w:val="TableParagraph"/>
              <w:spacing w:line="247" w:lineRule="exact"/>
              <w:ind w:left="188"/>
              <w:jc w:val="left"/>
              <w:rPr>
                <w:sz w:val="22"/>
              </w:rPr>
            </w:pPr>
            <w:r>
              <w:rPr>
                <w:i/>
              </w:rPr>
              <w:t>위험을 감수하는 링크</w:t>
            </w:r>
          </w:p>
        </w:tc>
        <w:tc>
          <w:tcPr>
            <w:tcW w:w="2228" w:type="dxa"/>
          </w:tcPr>
          <w:p>
            <w:pPr>
              <w:pStyle w:val="TableParagraph"/>
              <w:spacing w:line="247" w:lineRule="exact"/>
              <w:ind w:left="75"/>
              <w:jc w:val="left"/>
              <w:rPr>
                <w:sz w:val="22"/>
              </w:rPr>
            </w:pPr>
            <w:r>
              <w:rPr>
                <w:sz w:val="22"/>
              </w:rPr>
              <w:t>Propagation</w:t>
            </w:r>
            <w:r>
              <w:rPr>
                <w:spacing w:val="-8"/>
                <w:sz w:val="22"/>
              </w:rPr>
              <w:t> </w:t>
            </w:r>
            <w:r>
              <w:rPr>
                <w:sz w:val="22"/>
              </w:rPr>
              <w:t>of</w:t>
            </w:r>
            <w:r>
              <w:rPr>
                <w:spacing w:val="-7"/>
                <w:sz w:val="22"/>
              </w:rPr>
              <w:t> </w:t>
            </w:r>
            <w:r>
              <w:rPr>
                <w:spacing w:val="-4"/>
                <w:sz w:val="22"/>
              </w:rPr>
              <w:t>risk</w:t>
            </w:r>
          </w:p>
          <w:p>
            <w:pPr>
              <w:pStyle w:val="TableParagraph"/>
              <w:spacing w:line="247" w:lineRule="exact"/>
              <w:ind w:left="75"/>
              <w:jc w:val="left"/>
              <w:rPr>
                <w:sz w:val="22"/>
              </w:rPr>
            </w:pPr>
            <w:r>
              <w:rPr>
                <w:i/>
              </w:rPr>
              <w:t>위험 전파</w:t>
            </w:r>
          </w:p>
        </w:tc>
        <w:tc>
          <w:tcPr>
            <w:tcW w:w="2921" w:type="dxa"/>
          </w:tcPr>
          <w:p>
            <w:pPr>
              <w:pStyle w:val="TableParagraph"/>
              <w:spacing w:line="247" w:lineRule="exact"/>
              <w:ind w:left="232"/>
              <w:jc w:val="left"/>
              <w:rPr>
                <w:sz w:val="22"/>
              </w:rPr>
            </w:pPr>
            <w:r>
              <w:rPr>
                <w:sz w:val="22"/>
              </w:rPr>
              <w:t>Account</w:t>
            </w:r>
            <w:r>
              <w:rPr>
                <w:spacing w:val="-7"/>
                <w:sz w:val="22"/>
              </w:rPr>
              <w:t> </w:t>
            </w:r>
            <w:r>
              <w:rPr>
                <w:sz w:val="22"/>
              </w:rPr>
              <w:t>risk</w:t>
            </w:r>
            <w:r>
              <w:rPr>
                <w:spacing w:val="-6"/>
                <w:sz w:val="22"/>
              </w:rPr>
              <w:t> </w:t>
            </w:r>
            <w:r>
              <w:rPr>
                <w:spacing w:val="-2"/>
                <w:sz w:val="22"/>
              </w:rPr>
              <w:t>labels</w:t>
            </w:r>
          </w:p>
          <w:p>
            <w:pPr>
              <w:pStyle w:val="TableParagraph"/>
              <w:spacing w:line="247" w:lineRule="exact"/>
              <w:ind w:left="232"/>
              <w:jc w:val="left"/>
              <w:rPr>
                <w:sz w:val="22"/>
              </w:rPr>
            </w:pPr>
            <w:r>
              <w:rPr>
                <w:i/>
              </w:rPr>
              <w:t>계정 위험 라벨</w:t>
            </w:r>
          </w:p>
        </w:tc>
      </w:tr>
      <w:tr>
        <w:trPr>
          <w:trHeight w:val="270" w:hRule="atLeast"/>
        </w:trPr>
        <w:tc>
          <w:tcPr>
            <w:tcW w:w="1705" w:type="dxa"/>
          </w:tcPr>
          <w:p>
            <w:pPr>
              <w:pStyle w:val="TableParagraph"/>
              <w:spacing w:line="247" w:lineRule="exact"/>
              <w:ind w:left="69"/>
              <w:jc w:val="left"/>
              <w:rPr>
                <w:sz w:val="22"/>
              </w:rPr>
            </w:pPr>
            <w:r>
              <w:rPr>
                <w:spacing w:val="-2"/>
                <w:sz w:val="22"/>
              </w:rPr>
              <w:t>EndorseRank</w:t>
            </w:r>
          </w:p>
        </w:tc>
        <w:tc>
          <w:tcPr>
            <w:tcW w:w="2498" w:type="dxa"/>
          </w:tcPr>
          <w:p>
            <w:pPr>
              <w:pStyle w:val="TableParagraph"/>
              <w:spacing w:line="247" w:lineRule="exact"/>
              <w:ind w:left="188"/>
              <w:jc w:val="left"/>
              <w:rPr>
                <w:sz w:val="22"/>
              </w:rPr>
            </w:pPr>
            <w:r>
              <w:rPr>
                <w:sz w:val="22"/>
              </w:rPr>
              <w:t>Latest</w:t>
            </w:r>
            <w:r>
              <w:rPr>
                <w:spacing w:val="-7"/>
                <w:sz w:val="22"/>
              </w:rPr>
              <w:t> </w:t>
            </w:r>
            <w:r>
              <w:rPr>
                <w:spacing w:val="-2"/>
                <w:sz w:val="22"/>
              </w:rPr>
              <w:t>allowances</w:t>
            </w:r>
          </w:p>
          <w:p>
            <w:pPr>
              <w:pStyle w:val="TableParagraph"/>
              <w:spacing w:line="247" w:lineRule="exact"/>
              <w:ind w:left="188"/>
              <w:jc w:val="left"/>
              <w:rPr>
                <w:sz w:val="22"/>
              </w:rPr>
            </w:pPr>
            <w:r>
              <w:rPr>
                <w:i/>
              </w:rPr>
              <w:t>최신 수당</w:t>
            </w:r>
          </w:p>
        </w:tc>
        <w:tc>
          <w:tcPr>
            <w:tcW w:w="2228" w:type="dxa"/>
          </w:tcPr>
          <w:p>
            <w:pPr>
              <w:pStyle w:val="TableParagraph"/>
              <w:spacing w:line="247" w:lineRule="exact"/>
              <w:ind w:left="75"/>
              <w:jc w:val="left"/>
              <w:rPr>
                <w:sz w:val="22"/>
              </w:rPr>
            </w:pPr>
            <w:r>
              <w:rPr>
                <w:sz w:val="22"/>
              </w:rPr>
              <w:t>Snapshot</w:t>
            </w:r>
            <w:r>
              <w:rPr>
                <w:spacing w:val="-10"/>
                <w:sz w:val="22"/>
              </w:rPr>
              <w:t> </w:t>
            </w:r>
            <w:r>
              <w:rPr>
                <w:spacing w:val="-2"/>
                <w:sz w:val="22"/>
              </w:rPr>
              <w:t>(override)</w:t>
            </w:r>
          </w:p>
          <w:p>
            <w:pPr>
              <w:pStyle w:val="TableParagraph"/>
              <w:spacing w:line="247" w:lineRule="exact"/>
              <w:ind w:left="75"/>
              <w:jc w:val="left"/>
              <w:rPr>
                <w:sz w:val="22"/>
              </w:rPr>
            </w:pPr>
            <w:r>
              <w:rPr>
                <w:i/>
              </w:rPr>
              <w:t>스냅샷(재정의)</w:t>
            </w:r>
          </w:p>
        </w:tc>
        <w:tc>
          <w:tcPr>
            <w:tcW w:w="2921" w:type="dxa"/>
          </w:tcPr>
          <w:p>
            <w:pPr>
              <w:pStyle w:val="TableParagraph"/>
              <w:spacing w:line="247" w:lineRule="exact"/>
              <w:ind w:left="232"/>
              <w:jc w:val="left"/>
              <w:rPr>
                <w:sz w:val="22"/>
              </w:rPr>
            </w:pPr>
            <w:r>
              <w:rPr>
                <w:spacing w:val="-2"/>
                <w:sz w:val="22"/>
              </w:rPr>
              <w:t>Allowance</w:t>
            </w:r>
            <w:r>
              <w:rPr>
                <w:spacing w:val="-3"/>
                <w:sz w:val="22"/>
              </w:rPr>
              <w:t> </w:t>
            </w:r>
            <w:r>
              <w:rPr>
                <w:spacing w:val="-2"/>
                <w:sz w:val="22"/>
              </w:rPr>
              <w:t>proxies;</w:t>
            </w:r>
            <w:r>
              <w:rPr>
                <w:spacing w:val="2"/>
                <w:sz w:val="22"/>
              </w:rPr>
              <w:t> </w:t>
            </w:r>
            <w:r>
              <w:rPr>
                <w:spacing w:val="-2"/>
                <w:sz w:val="22"/>
              </w:rPr>
              <w:t>secondary</w:t>
            </w:r>
          </w:p>
          <w:p>
            <w:pPr>
              <w:pStyle w:val="TableParagraph"/>
              <w:spacing w:line="247" w:lineRule="exact"/>
              <w:ind w:left="232"/>
              <w:jc w:val="left"/>
              <w:rPr>
                <w:sz w:val="22"/>
              </w:rPr>
            </w:pPr>
            <w:r>
              <w:rPr>
                <w:i/>
              </w:rPr>
              <w:t>수당 대리, 보조</w:t>
            </w:r>
          </w:p>
        </w:tc>
      </w:tr>
      <w:tr>
        <w:trPr>
          <w:trHeight w:val="270" w:hRule="atLeast"/>
        </w:trPr>
        <w:tc>
          <w:tcPr>
            <w:tcW w:w="1705" w:type="dxa"/>
          </w:tcPr>
          <w:p>
            <w:pPr>
              <w:pStyle w:val="TableParagraph"/>
              <w:spacing w:before="0"/>
              <w:jc w:val="left"/>
              <w:rPr>
                <w:sz w:val="20"/>
              </w:rPr>
            </w:pPr>
          </w:p>
        </w:tc>
        <w:tc>
          <w:tcPr>
            <w:tcW w:w="2498" w:type="dxa"/>
          </w:tcPr>
          <w:p>
            <w:pPr>
              <w:pStyle w:val="TableParagraph"/>
              <w:spacing w:before="0"/>
              <w:jc w:val="left"/>
              <w:rPr>
                <w:sz w:val="20"/>
              </w:rPr>
            </w:pPr>
          </w:p>
        </w:tc>
        <w:tc>
          <w:tcPr>
            <w:tcW w:w="2228" w:type="dxa"/>
          </w:tcPr>
          <w:p>
            <w:pPr>
              <w:pStyle w:val="TableParagraph"/>
              <w:spacing w:before="0"/>
              <w:jc w:val="left"/>
              <w:rPr>
                <w:sz w:val="20"/>
              </w:rPr>
            </w:pPr>
          </w:p>
        </w:tc>
        <w:tc>
          <w:tcPr>
            <w:tcW w:w="2921" w:type="dxa"/>
          </w:tcPr>
          <w:p>
            <w:pPr>
              <w:pStyle w:val="TableParagraph"/>
              <w:spacing w:line="247" w:lineRule="exact"/>
              <w:ind w:left="232"/>
              <w:jc w:val="left"/>
              <w:rPr>
                <w:sz w:val="22"/>
              </w:rPr>
            </w:pPr>
            <w:r>
              <w:rPr>
                <w:spacing w:val="-2"/>
                <w:sz w:val="22"/>
              </w:rPr>
              <w:t>families</w:t>
            </w:r>
          </w:p>
          <w:p>
            <w:pPr>
              <w:pStyle w:val="TableParagraph"/>
              <w:spacing w:line="247" w:lineRule="exact"/>
              <w:ind w:left="232"/>
              <w:jc w:val="left"/>
              <w:rPr>
                <w:sz w:val="22"/>
              </w:rPr>
            </w:pPr>
            <w:r>
              <w:rPr>
                <w:i/>
              </w:rPr>
              <w:t>가족</w:t>
            </w:r>
          </w:p>
        </w:tc>
      </w:tr>
      <w:tr>
        <w:trPr>
          <w:trHeight w:val="332" w:hRule="atLeast"/>
        </w:trPr>
        <w:tc>
          <w:tcPr>
            <w:tcW w:w="1705" w:type="dxa"/>
            <w:tcBorders>
              <w:bottom w:val="single" w:sz="8" w:space="0" w:color="000000"/>
            </w:tcBorders>
          </w:tcPr>
          <w:p>
            <w:pPr>
              <w:pStyle w:val="TableParagraph"/>
              <w:ind w:left="69"/>
              <w:jc w:val="left"/>
              <w:rPr>
                <w:sz w:val="22"/>
              </w:rPr>
            </w:pPr>
            <w:r>
              <w:rPr>
                <w:sz w:val="22"/>
              </w:rPr>
              <w:t>GF-PR</w:t>
            </w:r>
            <w:r>
              <w:rPr>
                <w:spacing w:val="-8"/>
                <w:sz w:val="22"/>
              </w:rPr>
              <w:t> </w:t>
            </w:r>
            <w:r>
              <w:rPr>
                <w:spacing w:val="-2"/>
                <w:sz w:val="22"/>
              </w:rPr>
              <w:t>(supp.)</w:t>
            </w:r>
          </w:p>
          <w:p>
            <w:pPr>
              <w:pStyle w:val="TableParagraph"/>
              <w:ind w:left="69"/>
              <w:jc w:val="left"/>
              <w:rPr>
                <w:sz w:val="22"/>
              </w:rPr>
            </w:pPr>
            <w:r>
              <w:rPr>
                <w:i/>
              </w:rPr>
              <w:t>GF-PR(공급)</w:t>
            </w:r>
          </w:p>
        </w:tc>
        <w:tc>
          <w:tcPr>
            <w:tcW w:w="2498" w:type="dxa"/>
            <w:tcBorders>
              <w:bottom w:val="single" w:sz="8" w:space="0" w:color="000000"/>
            </w:tcBorders>
          </w:tcPr>
          <w:p>
            <w:pPr>
              <w:pStyle w:val="TableParagraph"/>
              <w:ind w:left="188"/>
              <w:jc w:val="left"/>
              <w:rPr>
                <w:sz w:val="22"/>
              </w:rPr>
            </w:pPr>
            <w:r>
              <w:rPr>
                <w:sz w:val="22"/>
              </w:rPr>
              <w:t>PnL</w:t>
            </w:r>
            <w:r>
              <w:rPr>
                <w:spacing w:val="-6"/>
                <w:sz w:val="22"/>
              </w:rPr>
              <w:t> </w:t>
            </w:r>
            <w:r>
              <w:rPr>
                <w:sz w:val="22"/>
              </w:rPr>
              <w:t>flow</w:t>
            </w:r>
            <w:r>
              <w:rPr>
                <w:spacing w:val="-5"/>
                <w:sz w:val="22"/>
              </w:rPr>
              <w:t> </w:t>
            </w:r>
            <w:r>
              <w:rPr>
                <w:sz w:val="22"/>
              </w:rPr>
              <w:t>to</w:t>
            </w:r>
            <w:r>
              <w:rPr>
                <w:spacing w:val="-5"/>
                <w:sz w:val="22"/>
              </w:rPr>
              <w:t> </w:t>
            </w:r>
            <w:r>
              <w:rPr>
                <w:spacing w:val="-2"/>
                <w:sz w:val="22"/>
              </w:rPr>
              <w:t>POOL/SINK</w:t>
            </w:r>
          </w:p>
          <w:p>
            <w:pPr>
              <w:pStyle w:val="TableParagraph"/>
              <w:ind w:left="188"/>
              <w:jc w:val="left"/>
              <w:rPr>
                <w:sz w:val="22"/>
              </w:rPr>
            </w:pPr>
            <w:r>
              <w:rPr>
                <w:i/>
              </w:rPr>
              <w:t>POOL/SINK로의 손익 흐름</w:t>
            </w:r>
          </w:p>
        </w:tc>
        <w:tc>
          <w:tcPr>
            <w:tcW w:w="2228" w:type="dxa"/>
            <w:tcBorders>
              <w:bottom w:val="single" w:sz="8" w:space="0" w:color="000000"/>
            </w:tcBorders>
          </w:tcPr>
          <w:p>
            <w:pPr>
              <w:pStyle w:val="TableParagraph"/>
              <w:ind w:left="75"/>
              <w:jc w:val="left"/>
              <w:rPr>
                <w:sz w:val="22"/>
              </w:rPr>
            </w:pPr>
            <w:r>
              <w:rPr>
                <w:spacing w:val="-2"/>
                <w:sz w:val="22"/>
              </w:rPr>
              <w:t>Outcome-native</w:t>
            </w:r>
          </w:p>
          <w:p>
            <w:pPr>
              <w:pStyle w:val="TableParagraph"/>
              <w:ind w:left="75"/>
              <w:jc w:val="left"/>
              <w:rPr>
                <w:sz w:val="22"/>
              </w:rPr>
            </w:pPr>
            <w:r>
              <w:rPr>
                <w:i/>
              </w:rPr>
              <w:t>결과 기반</w:t>
            </w:r>
          </w:p>
        </w:tc>
        <w:tc>
          <w:tcPr>
            <w:tcW w:w="2921" w:type="dxa"/>
            <w:tcBorders>
              <w:bottom w:val="single" w:sz="8" w:space="0" w:color="000000"/>
            </w:tcBorders>
          </w:tcPr>
          <w:p>
            <w:pPr>
              <w:pStyle w:val="TableParagraph"/>
              <w:ind w:left="232"/>
              <w:jc w:val="left"/>
              <w:rPr>
                <w:sz w:val="22"/>
              </w:rPr>
            </w:pPr>
            <w:r>
              <w:rPr>
                <w:spacing w:val="-2"/>
                <w:sz w:val="22"/>
              </w:rPr>
              <w:t>Trading-success</w:t>
            </w:r>
            <w:r>
              <w:rPr>
                <w:spacing w:val="-7"/>
                <w:sz w:val="22"/>
              </w:rPr>
              <w:t> </w:t>
            </w:r>
            <w:r>
              <w:rPr>
                <w:spacing w:val="-2"/>
                <w:sz w:val="22"/>
              </w:rPr>
              <w:t>(overlap)</w:t>
            </w:r>
          </w:p>
          <w:p>
            <w:pPr>
              <w:pStyle w:val="TableParagraph"/>
              <w:ind w:left="232"/>
              <w:jc w:val="left"/>
              <w:rPr>
                <w:sz w:val="22"/>
              </w:rPr>
            </w:pPr>
            <w:r>
              <w:rPr>
                <w:i/>
              </w:rPr>
              <w:t>거래 성공(중복)</w:t>
            </w:r>
          </w:p>
        </w:tc>
      </w:tr>
    </w:tbl>
    <w:p>
      <w:pPr>
        <w:pStyle w:val="BodyText"/>
        <w:spacing w:before="180"/>
      </w:pPr>
    </w:p>
    <w:p>
      <w:pPr>
        <w:pStyle w:val="BodyText"/>
        <w:spacing w:line="396" w:lineRule="auto" w:before="1"/>
        <w:ind w:left="282" w:right="563" w:hanging="8"/>
        <w:jc w:val="both"/>
      </w:pPr>
      <w:r>
        <w:rPr/>
        <w:t>The</w:t>
      </w:r>
      <w:r>
        <w:rPr>
          <w:spacing w:val="-2"/>
        </w:rPr>
        <w:t> </w:t>
      </w:r>
      <w:r>
        <w:rPr/>
        <w:t>table</w:t>
      </w:r>
      <w:r>
        <w:rPr>
          <w:spacing w:val="-2"/>
        </w:rPr>
        <w:t> </w:t>
      </w:r>
      <w:r>
        <w:rPr/>
        <w:t>highlights</w:t>
      </w:r>
      <w:r>
        <w:rPr>
          <w:spacing w:val="-2"/>
        </w:rPr>
        <w:t> </w:t>
      </w:r>
      <w:r>
        <w:rPr/>
        <w:t>that</w:t>
      </w:r>
      <w:r>
        <w:rPr>
          <w:spacing w:val="-2"/>
        </w:rPr>
        <w:t> </w:t>
      </w:r>
      <w:r>
        <w:rPr/>
        <w:t>EndorseRank’s</w:t>
      </w:r>
      <w:r>
        <w:rPr>
          <w:spacing w:val="-2"/>
        </w:rPr>
        <w:t> </w:t>
      </w:r>
      <w:r>
        <w:rPr/>
        <w:t>novelty</w:t>
      </w:r>
      <w:r>
        <w:rPr>
          <w:spacing w:val="-2"/>
        </w:rPr>
        <w:t> </w:t>
      </w:r>
      <w:r>
        <w:rPr/>
        <w:t>is</w:t>
      </w:r>
      <w:r>
        <w:rPr>
          <w:spacing w:val="-2"/>
        </w:rPr>
        <w:t> </w:t>
      </w:r>
      <w:r>
        <w:rPr/>
        <w:t>not</w:t>
      </w:r>
      <w:r>
        <w:rPr>
          <w:spacing w:val="-2"/>
        </w:rPr>
        <w:t> </w:t>
      </w:r>
      <w:r>
        <w:rPr/>
        <w:t>the</w:t>
      </w:r>
      <w:r>
        <w:rPr>
          <w:spacing w:val="-2"/>
        </w:rPr>
        <w:t> </w:t>
      </w:r>
      <w:r>
        <w:rPr/>
        <w:t>use</w:t>
      </w:r>
      <w:r>
        <w:rPr>
          <w:spacing w:val="-2"/>
        </w:rPr>
        <w:t> </w:t>
      </w:r>
      <w:r>
        <w:rPr/>
        <w:t>of</w:t>
      </w:r>
      <w:r>
        <w:rPr>
          <w:spacing w:val="-2"/>
        </w:rPr>
        <w:t> </w:t>
      </w:r>
      <w:r>
        <w:rPr/>
        <w:t>PageRank</w:t>
      </w:r>
      <w:r>
        <w:rPr>
          <w:spacing w:val="-2"/>
        </w:rPr>
        <w:t> </w:t>
      </w:r>
      <w:r>
        <w:rPr/>
        <w:t>per</w:t>
      </w:r>
      <w:r>
        <w:rPr>
          <w:spacing w:val="-2"/>
        </w:rPr>
        <w:t> </w:t>
      </w:r>
      <w:r>
        <w:rPr/>
        <w:t>se,</w:t>
      </w:r>
      <w:r>
        <w:rPr>
          <w:spacing w:val="-1"/>
        </w:rPr>
        <w:t> </w:t>
      </w:r>
      <w:r>
        <w:rPr/>
        <w:t>but</w:t>
      </w:r>
      <w:r>
        <w:rPr>
          <w:spacing w:val="-2"/>
        </w:rPr>
        <w:t> </w:t>
      </w:r>
      <w:r>
        <w:rPr/>
        <w:t>the</w:t>
      </w:r>
      <w:r>
        <w:rPr>
          <w:spacing w:val="-2"/>
        </w:rPr>
        <w:t> </w:t>
      </w:r>
      <w:r>
        <w:rPr/>
        <w:t>choice of</w:t>
      </w:r>
      <w:r>
        <w:rPr>
          <w:spacing w:val="-4"/>
        </w:rPr>
        <w:t> </w:t>
      </w:r>
      <w:r>
        <w:rPr/>
        <w:t>latest-allowance</w:t>
      </w:r>
      <w:r>
        <w:rPr>
          <w:spacing w:val="-3"/>
        </w:rPr>
        <w:t> </w:t>
      </w:r>
      <w:r>
        <w:rPr/>
        <w:t>endorsement</w:t>
      </w:r>
      <w:r>
        <w:rPr>
          <w:spacing w:val="-3"/>
        </w:rPr>
        <w:t> </w:t>
      </w:r>
      <w:r>
        <w:rPr/>
        <w:t>edges</w:t>
      </w:r>
      <w:r>
        <w:rPr>
          <w:spacing w:val="-4"/>
        </w:rPr>
        <w:t> </w:t>
      </w:r>
      <w:r>
        <w:rPr/>
        <w:t>as</w:t>
      </w:r>
      <w:r>
        <w:rPr>
          <w:spacing w:val="-3"/>
        </w:rPr>
        <w:t> </w:t>
      </w:r>
      <w:r>
        <w:rPr/>
        <w:t>the</w:t>
      </w:r>
      <w:r>
        <w:rPr>
          <w:spacing w:val="-3"/>
        </w:rPr>
        <w:t> </w:t>
      </w:r>
      <w:r>
        <w:rPr/>
        <w:t>primary</w:t>
      </w:r>
      <w:r>
        <w:rPr>
          <w:spacing w:val="-4"/>
        </w:rPr>
        <w:t> </w:t>
      </w:r>
      <w:r>
        <w:rPr/>
        <w:t>social</w:t>
      </w:r>
      <w:r>
        <w:rPr>
          <w:spacing w:val="-3"/>
        </w:rPr>
        <w:t> </w:t>
      </w:r>
      <w:r>
        <w:rPr/>
        <w:t>construct</w:t>
      </w:r>
      <w:r>
        <w:rPr>
          <w:spacing w:val="-3"/>
        </w:rPr>
        <w:t> </w:t>
      </w:r>
      <w:r>
        <w:rPr/>
        <w:t>for</w:t>
      </w:r>
      <w:r>
        <w:rPr>
          <w:spacing w:val="-3"/>
        </w:rPr>
        <w:t> </w:t>
      </w:r>
      <w:r>
        <w:rPr/>
        <w:t>DeFi</w:t>
      </w:r>
      <w:r>
        <w:rPr>
          <w:spacing w:val="-4"/>
        </w:rPr>
        <w:t> </w:t>
      </w:r>
      <w:r>
        <w:rPr/>
        <w:t>wallets,</w:t>
      </w:r>
      <w:r>
        <w:rPr>
          <w:spacing w:val="-3"/>
        </w:rPr>
        <w:t> </w:t>
      </w:r>
      <w:r>
        <w:rPr/>
        <w:t>evaluated </w:t>
      </w:r>
      <w:bookmarkStart w:name="Open problems motivating this dissertati" w:id="86"/>
      <w:bookmarkEnd w:id="86"/>
      <w:r>
        <w:rPr>
          <w:w w:val="99"/>
        </w:rPr>
      </w:r>
      <w:bookmarkStart w:name="_bookmark47" w:id="87"/>
      <w:bookmarkEnd w:id="87"/>
      <w:r>
        <w:rPr/>
        <w:t>under</w:t>
      </w:r>
      <w:r>
        <w:rPr/>
        <w:t> a multi-family alignment protocol.</w:t>
      </w:r>
    </w:p>
    <w:p>
      <w:pPr>
        <w:pStyle w:val="BodyText"/>
        <w:spacing w:line="396" w:lineRule="auto" w:before="1"/>
        <w:ind w:left="282" w:right="563" w:hanging="8"/>
        <w:jc w:val="both"/>
      </w:pPr>
      <w:r>
        <w:rPr>
          <w:i/>
        </w:rPr>
        <w:t>표는 EndorseRank의 참신함은 PageRank 자체를 사용하는 것이 아니라 다가구 정렬 프로토콜에 따라 평가된 DeFi 지갑의 주요 사회적 구성으로 최신 허용 보증 가장자리를 선택한다는 점을 강조합니다.</w:t>
      </w:r>
    </w:p>
    <w:p>
      <w:pPr>
        <w:pStyle w:val="BodyText"/>
        <w:spacing w:after="0" w:line="396" w:lineRule="auto"/>
        <w:jc w:val="both"/>
        <w:sectPr>
          <w:pgSz w:w="11910" w:h="16840"/>
          <w:pgMar w:header="0" w:footer="2115" w:top="1920" w:bottom="2300" w:left="992" w:right="708"/>
        </w:sectPr>
      </w:pPr>
    </w:p>
    <w:p>
      <w:pPr>
        <w:pStyle w:val="Heading2"/>
        <w:numPr>
          <w:ilvl w:val="1"/>
          <w:numId w:val="8"/>
        </w:numPr>
        <w:tabs>
          <w:tab w:pos="927" w:val="left" w:leader="none"/>
        </w:tabs>
        <w:spacing w:line="240" w:lineRule="auto" w:before="112" w:after="0"/>
        <w:ind w:left="927" w:right="0" w:hanging="645"/>
        <w:jc w:val="left"/>
      </w:pPr>
      <w:r>
        <w:rPr/>
        <w:t>Open</w:t>
      </w:r>
      <w:r>
        <w:rPr>
          <w:spacing w:val="14"/>
        </w:rPr>
        <w:t> </w:t>
      </w:r>
      <w:r>
        <w:rPr/>
        <w:t>problems</w:t>
      </w:r>
      <w:r>
        <w:rPr>
          <w:spacing w:val="15"/>
        </w:rPr>
        <w:t> </w:t>
      </w:r>
      <w:r>
        <w:rPr/>
        <w:t>motivating</w:t>
      </w:r>
      <w:r>
        <w:rPr>
          <w:spacing w:val="14"/>
        </w:rPr>
        <w:t> </w:t>
      </w:r>
      <w:r>
        <w:rPr/>
        <w:t>this</w:t>
      </w:r>
      <w:r>
        <w:rPr>
          <w:spacing w:val="15"/>
        </w:rPr>
        <w:t> </w:t>
      </w:r>
      <w:r>
        <w:rPr>
          <w:spacing w:val="-2"/>
        </w:rPr>
        <w:t>dissertation</w:t>
      </w:r>
    </w:p>
    <w:p>
      <w:pPr>
        <w:pStyle w:val="Heading2"/>
        <w:numPr>
          <w:ilvl w:val="1"/>
          <w:numId w:val="8"/>
        </w:numPr>
        <w:tabs>
          <w:tab w:pos="927" w:val="left" w:leader="none"/>
        </w:tabs>
        <w:spacing w:line="240" w:lineRule="auto" w:before="112" w:after="0"/>
        <w:ind w:left="927" w:right="0" w:hanging="645"/>
        <w:jc w:val="left"/>
      </w:pPr>
      <w:r>
        <w:rPr>
          <w:i/>
        </w:rPr>
        <w:t>이 논문의 동기가 되는 공개 문제</w:t>
      </w:r>
    </w:p>
    <w:p>
      <w:pPr>
        <w:pStyle w:val="BodyText"/>
        <w:spacing w:before="24"/>
        <w:rPr>
          <w:b/>
          <w:sz w:val="28"/>
        </w:rPr>
      </w:pPr>
    </w:p>
    <w:p>
      <w:pPr>
        <w:pStyle w:val="BodyText"/>
        <w:spacing w:line="396" w:lineRule="auto"/>
        <w:ind w:left="282"/>
      </w:pPr>
      <w:r>
        <w:rPr/>
        <w:t>Several</w:t>
      </w:r>
      <w:r>
        <w:rPr>
          <w:spacing w:val="-7"/>
        </w:rPr>
        <w:t> </w:t>
      </w:r>
      <w:r>
        <w:rPr/>
        <w:t>open</w:t>
      </w:r>
      <w:r>
        <w:rPr>
          <w:spacing w:val="-7"/>
        </w:rPr>
        <w:t> </w:t>
      </w:r>
      <w:r>
        <w:rPr/>
        <w:t>problems</w:t>
      </w:r>
      <w:r>
        <w:rPr>
          <w:spacing w:val="-7"/>
        </w:rPr>
        <w:t> </w:t>
      </w:r>
      <w:r>
        <w:rPr/>
        <w:t>in</w:t>
      </w:r>
      <w:r>
        <w:rPr>
          <w:spacing w:val="-7"/>
        </w:rPr>
        <w:t> </w:t>
      </w:r>
      <w:r>
        <w:rPr/>
        <w:t>on-chain</w:t>
      </w:r>
      <w:r>
        <w:rPr>
          <w:spacing w:val="-6"/>
        </w:rPr>
        <w:t> </w:t>
      </w:r>
      <w:r>
        <w:rPr/>
        <w:t>reputation</w:t>
      </w:r>
      <w:r>
        <w:rPr>
          <w:spacing w:val="-7"/>
        </w:rPr>
        <w:t> </w:t>
      </w:r>
      <w:r>
        <w:rPr/>
        <w:t>remain</w:t>
      </w:r>
      <w:r>
        <w:rPr>
          <w:spacing w:val="-7"/>
        </w:rPr>
        <w:t> </w:t>
      </w:r>
      <w:r>
        <w:rPr/>
        <w:t>unresolved</w:t>
      </w:r>
      <w:r>
        <w:rPr>
          <w:spacing w:val="-7"/>
        </w:rPr>
        <w:t> </w:t>
      </w:r>
      <w:r>
        <w:rPr/>
        <w:t>in</w:t>
      </w:r>
      <w:r>
        <w:rPr>
          <w:spacing w:val="-7"/>
        </w:rPr>
        <w:t> </w:t>
      </w:r>
      <w:r>
        <w:rPr/>
        <w:t>the</w:t>
      </w:r>
      <w:r>
        <w:rPr>
          <w:spacing w:val="-6"/>
        </w:rPr>
        <w:t> </w:t>
      </w:r>
      <w:r>
        <w:rPr/>
        <w:t>literature</w:t>
      </w:r>
      <w:r>
        <w:rPr>
          <w:spacing w:val="-7"/>
        </w:rPr>
        <w:t> </w:t>
      </w:r>
      <w:r>
        <w:rPr/>
        <w:t>and</w:t>
      </w:r>
      <w:r>
        <w:rPr>
          <w:spacing w:val="-7"/>
        </w:rPr>
        <w:t> </w:t>
      </w:r>
      <w:r>
        <w:rPr/>
        <w:t>motivate</w:t>
      </w:r>
      <w:r>
        <w:rPr>
          <w:spacing w:val="-7"/>
        </w:rPr>
        <w:t> </w:t>
      </w:r>
      <w:r>
        <w:rPr/>
        <w:t>the present study:</w:t>
      </w:r>
    </w:p>
    <w:p>
      <w:pPr>
        <w:pStyle w:val="BodyText"/>
        <w:spacing w:line="396" w:lineRule="auto"/>
        <w:ind w:left="282"/>
      </w:pPr>
      <w:r>
        <w:rPr>
          <w:i/>
        </w:rPr>
        <w:t>온체인 평판에 대한 몇 가지 공개된 문제는 문헌에서 해결되지 않은 채로 남아 있으며 현재 연구에 동기를 부여합니다.</w:t>
      </w:r>
    </w:p>
    <w:p>
      <w:pPr>
        <w:pStyle w:val="ListParagraph"/>
        <w:numPr>
          <w:ilvl w:val="0"/>
          <w:numId w:val="14"/>
        </w:numPr>
        <w:tabs>
          <w:tab w:pos="856" w:val="left" w:leader="none"/>
          <w:tab w:pos="2803" w:val="left" w:leader="none"/>
        </w:tabs>
        <w:spacing w:line="396" w:lineRule="auto" w:before="122" w:after="0"/>
        <w:ind w:left="856" w:right="560" w:hanging="311"/>
        <w:jc w:val="left"/>
        <w:rPr>
          <w:sz w:val="24"/>
        </w:rPr>
      </w:pPr>
      <w:r>
        <w:rPr>
          <w:b/>
          <w:sz w:val="24"/>
        </w:rPr>
        <w:t>Edge</w:t>
      </w:r>
      <w:r>
        <w:rPr>
          <w:b/>
          <w:spacing w:val="40"/>
          <w:sz w:val="24"/>
        </w:rPr>
        <w:t> </w:t>
      </w:r>
      <w:r>
        <w:rPr>
          <w:b/>
          <w:sz w:val="24"/>
        </w:rPr>
        <w:t>semantics:</w:t>
        <w:tab/>
      </w:r>
      <w:r>
        <w:rPr>
          <w:sz w:val="24"/>
        </w:rPr>
        <w:t>Which</w:t>
      </w:r>
      <w:r>
        <w:rPr>
          <w:spacing w:val="40"/>
          <w:sz w:val="24"/>
        </w:rPr>
        <w:t> </w:t>
      </w:r>
      <w:r>
        <w:rPr>
          <w:sz w:val="24"/>
        </w:rPr>
        <w:t>on-chain</w:t>
      </w:r>
      <w:r>
        <w:rPr>
          <w:spacing w:val="40"/>
          <w:sz w:val="24"/>
        </w:rPr>
        <w:t> </w:t>
      </w:r>
      <w:r>
        <w:rPr>
          <w:sz w:val="24"/>
        </w:rPr>
        <w:t>relations</w:t>
      </w:r>
      <w:r>
        <w:rPr>
          <w:spacing w:val="40"/>
          <w:sz w:val="24"/>
        </w:rPr>
        <w:t> </w:t>
      </w:r>
      <w:r>
        <w:rPr>
          <w:sz w:val="24"/>
        </w:rPr>
        <w:t>best</w:t>
      </w:r>
      <w:r>
        <w:rPr>
          <w:spacing w:val="40"/>
          <w:sz w:val="24"/>
        </w:rPr>
        <w:t> </w:t>
      </w:r>
      <w:r>
        <w:rPr>
          <w:sz w:val="24"/>
        </w:rPr>
        <w:t>encode</w:t>
      </w:r>
      <w:r>
        <w:rPr>
          <w:spacing w:val="40"/>
          <w:sz w:val="24"/>
        </w:rPr>
        <w:t> </w:t>
      </w:r>
      <w:r>
        <w:rPr>
          <w:sz w:val="24"/>
        </w:rPr>
        <w:t>trust</w:t>
      </w:r>
      <w:r>
        <w:rPr>
          <w:spacing w:val="40"/>
          <w:sz w:val="24"/>
        </w:rPr>
        <w:t> </w:t>
      </w:r>
      <w:r>
        <w:rPr>
          <w:sz w:val="24"/>
        </w:rPr>
        <w:t>or</w:t>
      </w:r>
      <w:r>
        <w:rPr>
          <w:spacing w:val="40"/>
          <w:sz w:val="24"/>
        </w:rPr>
        <w:t> </w:t>
      </w:r>
      <w:r>
        <w:rPr>
          <w:sz w:val="24"/>
        </w:rPr>
        <w:t>authorization</w:t>
      </w:r>
      <w:r>
        <w:rPr>
          <w:spacing w:val="40"/>
          <w:sz w:val="24"/>
        </w:rPr>
        <w:t> </w:t>
      </w:r>
      <w:r>
        <w:rPr>
          <w:sz w:val="24"/>
        </w:rPr>
        <w:t>under pseudonymity </w:t>
      </w:r>
      <w:hyperlink w:history="true" w:anchor="_bookmark181">
        <w:r>
          <w:rPr>
            <w:sz w:val="24"/>
            <w:vertAlign w:val="superscript"/>
          </w:rPr>
          <w:t>[48]</w:t>
        </w:r>
      </w:hyperlink>
      <w:r>
        <w:rPr>
          <w:sz w:val="24"/>
          <w:vertAlign w:val="baseline"/>
        </w:rPr>
        <w:t>?</w:t>
      </w:r>
    </w:p>
    <w:p>
      <w:pPr>
        <w:pStyle w:val="ListParagraph"/>
        <w:numPr>
          <w:ilvl w:val="0"/>
          <w:numId w:val="14"/>
        </w:numPr>
        <w:tabs>
          <w:tab w:pos="856" w:val="left" w:leader="none"/>
          <w:tab w:pos="2803" w:val="left" w:leader="none"/>
        </w:tabs>
        <w:spacing w:line="396" w:lineRule="auto" w:before="122" w:after="0"/>
        <w:ind w:left="856" w:right="560" w:hanging="311"/>
        <w:jc w:val="left"/>
        <w:rPr>
          <w:sz w:val="24"/>
        </w:rPr>
      </w:pPr>
      <w:r>
        <w:rPr>
          <w:i/>
        </w:rPr>
        <w:t>엣지 의미론:</w:t>
        <w:tab/>
        <w:t>가명하에 신뢰 또는 승인을 가장 잘 인코딩하는 온체인 관계는 무엇입니까[48]?</w:t>
      </w:r>
    </w:p>
    <w:p>
      <w:pPr>
        <w:pStyle w:val="ListParagraph"/>
        <w:numPr>
          <w:ilvl w:val="0"/>
          <w:numId w:val="14"/>
        </w:numPr>
        <w:tabs>
          <w:tab w:pos="846" w:val="left" w:leader="none"/>
          <w:tab w:pos="856" w:val="left" w:leader="none"/>
        </w:tabs>
        <w:spacing w:line="386" w:lineRule="auto" w:before="39" w:after="0"/>
        <w:ind w:left="856" w:right="564" w:hanging="311"/>
        <w:jc w:val="left"/>
        <w:rPr>
          <w:position w:val="-8"/>
          <w:sz w:val="24"/>
        </w:rPr>
      </w:pPr>
      <w:r>
        <w:rPr>
          <w:b/>
          <w:sz w:val="24"/>
        </w:rPr>
        <w:t>Validation</w:t>
      </w:r>
      <w:r>
        <w:rPr>
          <w:b/>
          <w:spacing w:val="-1"/>
          <w:sz w:val="24"/>
        </w:rPr>
        <w:t> </w:t>
      </w:r>
      <w:r>
        <w:rPr>
          <w:b/>
          <w:sz w:val="24"/>
        </w:rPr>
        <w:t>without defaults:</w:t>
      </w:r>
      <w:r>
        <w:rPr>
          <w:b/>
          <w:spacing w:val="24"/>
          <w:sz w:val="24"/>
        </w:rPr>
        <w:t> </w:t>
      </w:r>
      <w:r>
        <w:rPr>
          <w:sz w:val="24"/>
        </w:rPr>
        <w:t>How</w:t>
      </w:r>
      <w:r>
        <w:rPr>
          <w:spacing w:val="-1"/>
          <w:sz w:val="24"/>
        </w:rPr>
        <w:t> </w:t>
      </w:r>
      <w:r>
        <w:rPr>
          <w:sz w:val="24"/>
        </w:rPr>
        <w:t>can methods be</w:t>
      </w:r>
      <w:r>
        <w:rPr>
          <w:spacing w:val="-1"/>
          <w:sz w:val="24"/>
        </w:rPr>
        <w:t> </w:t>
      </w:r>
      <w:r>
        <w:rPr>
          <w:sz w:val="24"/>
        </w:rPr>
        <w:t>compared when loan-default</w:t>
      </w:r>
      <w:r>
        <w:rPr>
          <w:spacing w:val="-1"/>
          <w:sz w:val="24"/>
        </w:rPr>
        <w:t> </w:t>
      </w:r>
      <w:r>
        <w:rPr>
          <w:sz w:val="24"/>
        </w:rPr>
        <w:t>labels are </w:t>
      </w:r>
      <w:r>
        <w:rPr>
          <w:position w:val="-8"/>
          <w:sz w:val="24"/>
        </w:rPr>
        <w:t>scarce </w:t>
      </w:r>
      <w:hyperlink w:history="true" w:anchor="_bookmark147">
        <w:r>
          <w:rPr>
            <w:sz w:val="16"/>
          </w:rPr>
          <w:t>[14]</w:t>
        </w:r>
      </w:hyperlink>
      <w:r>
        <w:rPr>
          <w:sz w:val="16"/>
        </w:rPr>
        <w:t>,</w:t>
      </w:r>
      <w:hyperlink w:history="true" w:anchor="_bookmark149">
        <w:r>
          <w:rPr>
            <w:sz w:val="16"/>
          </w:rPr>
          <w:t>[16]</w:t>
        </w:r>
      </w:hyperlink>
      <w:r>
        <w:rPr>
          <w:position w:val="-8"/>
          <w:sz w:val="24"/>
        </w:rPr>
        <w:t>?</w:t>
      </w:r>
    </w:p>
    <w:p>
      <w:pPr>
        <w:pStyle w:val="ListParagraph"/>
        <w:numPr>
          <w:ilvl w:val="0"/>
          <w:numId w:val="14"/>
        </w:numPr>
        <w:tabs>
          <w:tab w:pos="846" w:val="left" w:leader="none"/>
          <w:tab w:pos="856" w:val="left" w:leader="none"/>
        </w:tabs>
        <w:spacing w:line="386" w:lineRule="auto" w:before="39" w:after="0"/>
        <w:ind w:left="856" w:right="564" w:hanging="311"/>
        <w:jc w:val="left"/>
        <w:rPr>
          <w:position w:val="-8"/>
          <w:sz w:val="24"/>
        </w:rPr>
      </w:pPr>
      <w:r>
        <w:rPr>
          <w:i/>
        </w:rPr>
        <w:t>기본값 없는 검증: 대출 기본값 레이블이 부족한 경우 방법을 어떻게 비교할 수 있습니까[14],[16]?</w:t>
      </w:r>
    </w:p>
    <w:p>
      <w:pPr>
        <w:pStyle w:val="ListParagraph"/>
        <w:numPr>
          <w:ilvl w:val="0"/>
          <w:numId w:val="14"/>
        </w:numPr>
        <w:tabs>
          <w:tab w:pos="855" w:val="left" w:leader="none"/>
        </w:tabs>
        <w:spacing w:line="240" w:lineRule="auto" w:before="45" w:after="0"/>
        <w:ind w:left="855" w:right="0" w:hanging="310"/>
        <w:jc w:val="left"/>
        <w:rPr>
          <w:sz w:val="24"/>
        </w:rPr>
      </w:pPr>
      <w:r>
        <w:rPr>
          <w:b/>
          <w:sz w:val="24"/>
        </w:rPr>
        <w:t>Computational</w:t>
      </w:r>
      <w:r>
        <w:rPr>
          <w:b/>
          <w:spacing w:val="1"/>
          <w:sz w:val="24"/>
        </w:rPr>
        <w:t> </w:t>
      </w:r>
      <w:r>
        <w:rPr>
          <w:b/>
          <w:sz w:val="24"/>
        </w:rPr>
        <w:t>cost:</w:t>
      </w:r>
      <w:r>
        <w:rPr>
          <w:b/>
          <w:spacing w:val="29"/>
          <w:sz w:val="24"/>
        </w:rPr>
        <w:t> </w:t>
      </w:r>
      <w:r>
        <w:rPr>
          <w:sz w:val="24"/>
        </w:rPr>
        <w:t>Can</w:t>
      </w:r>
      <w:r>
        <w:rPr>
          <w:spacing w:val="2"/>
          <w:sz w:val="24"/>
        </w:rPr>
        <w:t> </w:t>
      </w:r>
      <w:r>
        <w:rPr>
          <w:sz w:val="24"/>
        </w:rPr>
        <w:t>reputation</w:t>
      </w:r>
      <w:r>
        <w:rPr>
          <w:spacing w:val="2"/>
          <w:sz w:val="24"/>
        </w:rPr>
        <w:t> </w:t>
      </w:r>
      <w:r>
        <w:rPr>
          <w:sz w:val="24"/>
        </w:rPr>
        <w:t>scores</w:t>
      </w:r>
      <w:r>
        <w:rPr>
          <w:spacing w:val="2"/>
          <w:sz w:val="24"/>
        </w:rPr>
        <w:t> </w:t>
      </w:r>
      <w:r>
        <w:rPr>
          <w:sz w:val="24"/>
        </w:rPr>
        <w:t>refresh</w:t>
      </w:r>
      <w:r>
        <w:rPr>
          <w:spacing w:val="2"/>
          <w:sz w:val="24"/>
        </w:rPr>
        <w:t> </w:t>
      </w:r>
      <w:r>
        <w:rPr>
          <w:sz w:val="24"/>
        </w:rPr>
        <w:t>at</w:t>
      </w:r>
      <w:r>
        <w:rPr>
          <w:spacing w:val="2"/>
          <w:sz w:val="24"/>
        </w:rPr>
        <w:t> </w:t>
      </w:r>
      <w:r>
        <w:rPr>
          <w:sz w:val="24"/>
        </w:rPr>
        <w:t>interactive</w:t>
      </w:r>
      <w:r>
        <w:rPr>
          <w:spacing w:val="2"/>
          <w:sz w:val="24"/>
        </w:rPr>
        <w:t> </w:t>
      </w:r>
      <w:r>
        <w:rPr>
          <w:sz w:val="24"/>
        </w:rPr>
        <w:t>latencies</w:t>
      </w:r>
      <w:r>
        <w:rPr>
          <w:spacing w:val="2"/>
          <w:sz w:val="24"/>
        </w:rPr>
        <w:t> </w:t>
      </w:r>
      <w:r>
        <w:rPr>
          <w:sz w:val="24"/>
        </w:rPr>
        <w:t>as</w:t>
      </w:r>
      <w:r>
        <w:rPr>
          <w:spacing w:val="2"/>
          <w:sz w:val="24"/>
        </w:rPr>
        <w:t> </w:t>
      </w:r>
      <w:r>
        <w:rPr>
          <w:sz w:val="24"/>
        </w:rPr>
        <w:t>graphs</w:t>
      </w:r>
      <w:r>
        <w:rPr>
          <w:spacing w:val="1"/>
          <w:sz w:val="24"/>
        </w:rPr>
        <w:t> </w:t>
      </w:r>
      <w:r>
        <w:rPr>
          <w:spacing w:val="-4"/>
          <w:sz w:val="24"/>
        </w:rPr>
        <w:t>grow</w:t>
      </w:r>
    </w:p>
    <w:p>
      <w:pPr>
        <w:pStyle w:val="ListParagraph"/>
        <w:numPr>
          <w:ilvl w:val="0"/>
          <w:numId w:val="14"/>
        </w:numPr>
        <w:tabs>
          <w:tab w:pos="855" w:val="left" w:leader="none"/>
        </w:tabs>
        <w:spacing w:line="240" w:lineRule="auto" w:before="45" w:after="0"/>
        <w:ind w:left="855" w:right="0" w:hanging="310"/>
        <w:jc w:val="left"/>
        <w:rPr>
          <w:sz w:val="24"/>
        </w:rPr>
      </w:pPr>
      <w:r>
        <w:rPr>
          <w:i/>
        </w:rPr>
        <w:t>계산 비용: 그래프가 증가함에 따라 대화형 지연 시간에 평판 점수를 새로 고칠 수 있습니까?</w:t>
      </w:r>
    </w:p>
    <w:p>
      <w:pPr>
        <w:spacing w:before="168"/>
        <w:ind w:left="856" w:right="0" w:firstLine="0"/>
        <w:jc w:val="left"/>
        <w:rPr>
          <w:position w:val="-8"/>
          <w:sz w:val="24"/>
        </w:rPr>
      </w:pPr>
      <w:hyperlink w:history="true" w:anchor="_bookmark173">
        <w:r>
          <w:rPr>
            <w:spacing w:val="-2"/>
            <w:sz w:val="16"/>
          </w:rPr>
          <w:t>[40]</w:t>
        </w:r>
      </w:hyperlink>
      <w:r>
        <w:rPr>
          <w:spacing w:val="-2"/>
          <w:position w:val="-8"/>
          <w:sz w:val="24"/>
        </w:rPr>
        <w:t>?</w:t>
      </w:r>
    </w:p>
    <w:p>
      <w:pPr>
        <w:pStyle w:val="BodyText"/>
        <w:spacing w:before="30"/>
        <w:rPr>
          <w:sz w:val="16"/>
        </w:rPr>
      </w:pPr>
    </w:p>
    <w:p>
      <w:pPr>
        <w:pStyle w:val="ListParagraph"/>
        <w:numPr>
          <w:ilvl w:val="0"/>
          <w:numId w:val="14"/>
        </w:numPr>
        <w:tabs>
          <w:tab w:pos="848" w:val="left" w:leader="none"/>
          <w:tab w:pos="855" w:val="left" w:leader="none"/>
        </w:tabs>
        <w:spacing w:line="396" w:lineRule="auto" w:before="0" w:after="0"/>
        <w:ind w:left="848" w:right="560" w:hanging="303"/>
        <w:jc w:val="left"/>
        <w:rPr>
          <w:sz w:val="24"/>
        </w:rPr>
      </w:pPr>
      <w:r>
        <w:rPr>
          <w:b/>
          <w:sz w:val="24"/>
        </w:rPr>
        <w:t>Construct</w:t>
      </w:r>
      <w:r>
        <w:rPr>
          <w:b/>
          <w:spacing w:val="-8"/>
          <w:sz w:val="24"/>
        </w:rPr>
        <w:t> </w:t>
      </w:r>
      <w:r>
        <w:rPr>
          <w:b/>
          <w:sz w:val="24"/>
        </w:rPr>
        <w:t>overlap:</w:t>
      </w:r>
      <w:r>
        <w:rPr>
          <w:b/>
          <w:spacing w:val="8"/>
          <w:sz w:val="24"/>
        </w:rPr>
        <w:t> </w:t>
      </w:r>
      <w:r>
        <w:rPr>
          <w:sz w:val="24"/>
        </w:rPr>
        <w:t>How</w:t>
      </w:r>
      <w:r>
        <w:rPr>
          <w:spacing w:val="-13"/>
          <w:sz w:val="24"/>
        </w:rPr>
        <w:t> </w:t>
      </w:r>
      <w:r>
        <w:rPr>
          <w:sz w:val="24"/>
        </w:rPr>
        <w:t>can</w:t>
      </w:r>
      <w:r>
        <w:rPr>
          <w:spacing w:val="-12"/>
          <w:sz w:val="24"/>
        </w:rPr>
        <w:t> </w:t>
      </w:r>
      <w:r>
        <w:rPr>
          <w:sz w:val="24"/>
        </w:rPr>
        <w:t>evaluation</w:t>
      </w:r>
      <w:r>
        <w:rPr>
          <w:spacing w:val="-12"/>
          <w:sz w:val="24"/>
        </w:rPr>
        <w:t> </w:t>
      </w:r>
      <w:r>
        <w:rPr>
          <w:sz w:val="24"/>
        </w:rPr>
        <w:t>avoid</w:t>
      </w:r>
      <w:r>
        <w:rPr>
          <w:spacing w:val="-12"/>
          <w:sz w:val="24"/>
        </w:rPr>
        <w:t> </w:t>
      </w:r>
      <w:r>
        <w:rPr>
          <w:sz w:val="24"/>
        </w:rPr>
        <w:t>mistaking</w:t>
      </w:r>
      <w:r>
        <w:rPr>
          <w:spacing w:val="-13"/>
          <w:sz w:val="24"/>
        </w:rPr>
        <w:t> </w:t>
      </w:r>
      <w:r>
        <w:rPr>
          <w:sz w:val="24"/>
        </w:rPr>
        <w:t>shared</w:t>
      </w:r>
      <w:r>
        <w:rPr>
          <w:spacing w:val="-12"/>
          <w:sz w:val="24"/>
        </w:rPr>
        <w:t> </w:t>
      </w:r>
      <w:r>
        <w:rPr>
          <w:sz w:val="24"/>
        </w:rPr>
        <w:t>inputs</w:t>
      </w:r>
      <w:r>
        <w:rPr>
          <w:spacing w:val="-12"/>
          <w:sz w:val="24"/>
        </w:rPr>
        <w:t> </w:t>
      </w:r>
      <w:r>
        <w:rPr>
          <w:sz w:val="24"/>
        </w:rPr>
        <w:t>for</w:t>
      </w:r>
      <w:r>
        <w:rPr>
          <w:spacing w:val="-12"/>
          <w:sz w:val="24"/>
        </w:rPr>
        <w:t> </w:t>
      </w:r>
      <w:r>
        <w:rPr>
          <w:sz w:val="24"/>
        </w:rPr>
        <w:t>predictive</w:t>
      </w:r>
      <w:r>
        <w:rPr>
          <w:spacing w:val="-13"/>
          <w:sz w:val="24"/>
        </w:rPr>
        <w:t> </w:t>
      </w:r>
      <w:r>
        <w:rPr>
          <w:sz w:val="24"/>
        </w:rPr>
        <w:t>power </w:t>
      </w:r>
      <w:r>
        <w:rPr>
          <w:spacing w:val="-2"/>
          <w:sz w:val="24"/>
        </w:rPr>
        <w:t>(SRQ1)?</w:t>
      </w:r>
    </w:p>
    <w:p>
      <w:pPr>
        <w:pStyle w:val="ListParagraph"/>
        <w:numPr>
          <w:ilvl w:val="0"/>
          <w:numId w:val="14"/>
        </w:numPr>
        <w:tabs>
          <w:tab w:pos="848" w:val="left" w:leader="none"/>
          <w:tab w:pos="855" w:val="left" w:leader="none"/>
        </w:tabs>
        <w:spacing w:line="396" w:lineRule="auto" w:before="0" w:after="0"/>
        <w:ind w:left="848" w:right="560" w:hanging="303"/>
        <w:jc w:val="left"/>
        <w:rPr>
          <w:sz w:val="24"/>
        </w:rPr>
      </w:pPr>
      <w:r>
        <w:rPr>
          <w:i/>
        </w:rPr>
        <w:t>구성 중복: 평가에서 공유 입력을 예측력(SRQ1)으로 착각하는 것을 방지하려면 어떻게 해야 합니까?</w:t>
      </w:r>
    </w:p>
    <w:p>
      <w:pPr>
        <w:pStyle w:val="ListParagraph"/>
        <w:numPr>
          <w:ilvl w:val="0"/>
          <w:numId w:val="14"/>
        </w:numPr>
        <w:tabs>
          <w:tab w:pos="846" w:val="left" w:leader="none"/>
        </w:tabs>
        <w:spacing w:line="240" w:lineRule="auto" w:before="39" w:after="0"/>
        <w:ind w:left="846" w:right="0" w:hanging="301"/>
        <w:jc w:val="left"/>
        <w:rPr>
          <w:sz w:val="24"/>
        </w:rPr>
      </w:pPr>
      <w:r>
        <w:rPr>
          <w:b/>
          <w:sz w:val="24"/>
        </w:rPr>
        <w:t>Adversarial</w:t>
      </w:r>
      <w:r>
        <w:rPr>
          <w:b/>
          <w:spacing w:val="-9"/>
          <w:sz w:val="24"/>
        </w:rPr>
        <w:t> </w:t>
      </w:r>
      <w:r>
        <w:rPr>
          <w:b/>
          <w:sz w:val="24"/>
        </w:rPr>
        <w:t>robustness:</w:t>
      </w:r>
      <w:r>
        <w:rPr>
          <w:b/>
          <w:spacing w:val="8"/>
          <w:sz w:val="24"/>
        </w:rPr>
        <w:t> </w:t>
      </w:r>
      <w:r>
        <w:rPr>
          <w:sz w:val="24"/>
        </w:rPr>
        <w:t>What</w:t>
      </w:r>
      <w:r>
        <w:rPr>
          <w:spacing w:val="-8"/>
          <w:sz w:val="24"/>
        </w:rPr>
        <w:t> </w:t>
      </w:r>
      <w:r>
        <w:rPr>
          <w:sz w:val="24"/>
        </w:rPr>
        <w:t>is</w:t>
      </w:r>
      <w:r>
        <w:rPr>
          <w:spacing w:val="-9"/>
          <w:sz w:val="24"/>
        </w:rPr>
        <w:t> </w:t>
      </w:r>
      <w:r>
        <w:rPr>
          <w:sz w:val="24"/>
        </w:rPr>
        <w:t>the</w:t>
      </w:r>
      <w:r>
        <w:rPr>
          <w:spacing w:val="-9"/>
          <w:sz w:val="24"/>
        </w:rPr>
        <w:t> </w:t>
      </w:r>
      <w:r>
        <w:rPr>
          <w:sz w:val="24"/>
        </w:rPr>
        <w:t>cost</w:t>
      </w:r>
      <w:r>
        <w:rPr>
          <w:spacing w:val="-9"/>
          <w:sz w:val="24"/>
        </w:rPr>
        <w:t> </w:t>
      </w:r>
      <w:r>
        <w:rPr>
          <w:sz w:val="24"/>
        </w:rPr>
        <w:t>of</w:t>
      </w:r>
      <w:r>
        <w:rPr>
          <w:spacing w:val="-9"/>
          <w:sz w:val="24"/>
        </w:rPr>
        <w:t> </w:t>
      </w:r>
      <w:r>
        <w:rPr>
          <w:sz w:val="24"/>
        </w:rPr>
        <w:t>forging</w:t>
      </w:r>
      <w:r>
        <w:rPr>
          <w:spacing w:val="-8"/>
          <w:sz w:val="24"/>
        </w:rPr>
        <w:t> </w:t>
      </w:r>
      <w:r>
        <w:rPr>
          <w:sz w:val="24"/>
        </w:rPr>
        <w:t>reputation</w:t>
      </w:r>
      <w:r>
        <w:rPr>
          <w:spacing w:val="-9"/>
          <w:sz w:val="24"/>
        </w:rPr>
        <w:t> </w:t>
      </w:r>
      <w:r>
        <w:rPr>
          <w:sz w:val="24"/>
        </w:rPr>
        <w:t>under</w:t>
      </w:r>
      <w:r>
        <w:rPr>
          <w:spacing w:val="-9"/>
          <w:sz w:val="24"/>
        </w:rPr>
        <w:t> </w:t>
      </w:r>
      <w:r>
        <w:rPr>
          <w:sz w:val="24"/>
        </w:rPr>
        <w:t>cheap</w:t>
      </w:r>
      <w:r>
        <w:rPr>
          <w:spacing w:val="-9"/>
          <w:sz w:val="24"/>
        </w:rPr>
        <w:t> </w:t>
      </w:r>
      <w:r>
        <w:rPr>
          <w:sz w:val="24"/>
        </w:rPr>
        <w:t>identities</w:t>
      </w:r>
      <w:r>
        <w:rPr>
          <w:spacing w:val="-8"/>
          <w:sz w:val="24"/>
        </w:rPr>
        <w:t> </w:t>
      </w:r>
      <w:hyperlink w:history="true" w:anchor="_bookmark150">
        <w:r>
          <w:rPr>
            <w:spacing w:val="-2"/>
            <w:sz w:val="24"/>
            <w:vertAlign w:val="superscript"/>
          </w:rPr>
          <w:t>[17]</w:t>
        </w:r>
      </w:hyperlink>
      <w:r>
        <w:rPr>
          <w:spacing w:val="-2"/>
          <w:sz w:val="24"/>
          <w:vertAlign w:val="baseline"/>
        </w:rPr>
        <w:t>?</w:t>
      </w:r>
    </w:p>
    <w:p>
      <w:pPr>
        <w:pStyle w:val="ListParagraph"/>
        <w:numPr>
          <w:ilvl w:val="0"/>
          <w:numId w:val="14"/>
        </w:numPr>
        <w:tabs>
          <w:tab w:pos="846" w:val="left" w:leader="none"/>
        </w:tabs>
        <w:spacing w:line="240" w:lineRule="auto" w:before="39" w:after="0"/>
        <w:ind w:left="846" w:right="0" w:hanging="301"/>
        <w:jc w:val="left"/>
        <w:rPr>
          <w:sz w:val="24"/>
        </w:rPr>
      </w:pPr>
      <w:r>
        <w:rPr>
          <w:i/>
        </w:rPr>
        <w:t>적대적 견고성: 저렴한 ID로 평판을 구축하는 데 드는 비용은 얼마입니까[17]?</w:t>
      </w:r>
    </w:p>
    <w:p>
      <w:pPr>
        <w:pStyle w:val="BodyText"/>
        <w:spacing w:before="24"/>
      </w:pPr>
    </w:p>
    <w:p>
      <w:pPr>
        <w:pStyle w:val="BodyText"/>
        <w:ind w:left="282"/>
      </w:pPr>
      <w:r>
        <w:rPr/>
        <w:t>EndorseRank</w:t>
      </w:r>
      <w:r>
        <w:rPr>
          <w:spacing w:val="-4"/>
        </w:rPr>
        <w:t> </w:t>
      </w:r>
      <w:r>
        <w:rPr/>
        <w:t>addresses</w:t>
      </w:r>
      <w:r>
        <w:rPr>
          <w:spacing w:val="-4"/>
        </w:rPr>
        <w:t> </w:t>
      </w:r>
      <w:r>
        <w:rPr/>
        <w:t>(1)–(3)</w:t>
      </w:r>
      <w:r>
        <w:rPr>
          <w:spacing w:val="-3"/>
        </w:rPr>
        <w:t> </w:t>
      </w:r>
      <w:r>
        <w:rPr/>
        <w:t>directly,</w:t>
      </w:r>
      <w:r>
        <w:rPr>
          <w:spacing w:val="-3"/>
        </w:rPr>
        <w:t> </w:t>
      </w:r>
      <w:r>
        <w:rPr/>
        <w:t>contributes</w:t>
      </w:r>
      <w:r>
        <w:rPr>
          <w:spacing w:val="-4"/>
        </w:rPr>
        <w:t> </w:t>
      </w:r>
      <w:r>
        <w:rPr/>
        <w:t>a</w:t>
      </w:r>
      <w:r>
        <w:rPr>
          <w:spacing w:val="-3"/>
        </w:rPr>
        <w:t> </w:t>
      </w:r>
      <w:r>
        <w:rPr/>
        <w:t>diagnostic</w:t>
      </w:r>
      <w:r>
        <w:rPr>
          <w:spacing w:val="-4"/>
        </w:rPr>
        <w:t> </w:t>
      </w:r>
      <w:r>
        <w:rPr/>
        <w:t>for</w:t>
      </w:r>
      <w:r>
        <w:rPr>
          <w:spacing w:val="-3"/>
        </w:rPr>
        <w:t> </w:t>
      </w:r>
      <w:r>
        <w:rPr/>
        <w:t>(4)</w:t>
      </w:r>
      <w:r>
        <w:rPr>
          <w:spacing w:val="-3"/>
        </w:rPr>
        <w:t> </w:t>
      </w:r>
      <w:r>
        <w:rPr/>
        <w:t>via</w:t>
      </w:r>
      <w:r>
        <w:rPr>
          <w:spacing w:val="-4"/>
        </w:rPr>
        <w:t> </w:t>
      </w:r>
      <w:r>
        <w:rPr/>
        <w:t>GF-PR,</w:t>
      </w:r>
      <w:r>
        <w:rPr>
          <w:spacing w:val="-3"/>
        </w:rPr>
        <w:t> </w:t>
      </w:r>
      <w:r>
        <w:rPr/>
        <w:t>and</w:t>
      </w:r>
      <w:r>
        <w:rPr>
          <w:spacing w:val="-3"/>
        </w:rPr>
        <w:t> </w:t>
      </w:r>
      <w:r>
        <w:rPr>
          <w:spacing w:val="-2"/>
        </w:rPr>
        <w:t>analyzes</w:t>
      </w:r>
    </w:p>
    <w:p>
      <w:pPr>
        <w:pStyle w:val="BodyText"/>
        <w:ind w:left="282"/>
      </w:pPr>
      <w:r>
        <w:rPr>
          <w:i/>
        </w:rPr>
        <w:t>EndorseRank (1)~(3)을 직접 다루고, GF-PR을 통해 (4)에 대한 진단에 기여하고 분석합니다.</w:t>
      </w:r>
    </w:p>
    <w:p>
      <w:pPr>
        <w:pStyle w:val="BodyText"/>
        <w:spacing w:before="180"/>
        <w:ind w:left="274"/>
      </w:pPr>
      <w:r>
        <w:rPr/>
        <w:t>(5)</w:t>
      </w:r>
      <w:r>
        <w:rPr>
          <w:spacing w:val="-7"/>
        </w:rPr>
        <w:t> </w:t>
      </w:r>
      <w:r>
        <w:rPr/>
        <w:t>at</w:t>
      </w:r>
      <w:r>
        <w:rPr>
          <w:spacing w:val="-7"/>
        </w:rPr>
        <w:t> </w:t>
      </w:r>
      <w:r>
        <w:rPr/>
        <w:t>a</w:t>
      </w:r>
      <w:r>
        <w:rPr>
          <w:spacing w:val="-6"/>
        </w:rPr>
        <w:t> </w:t>
      </w:r>
      <w:r>
        <w:rPr/>
        <w:t>model</w:t>
      </w:r>
      <w:r>
        <w:rPr>
          <w:spacing w:val="-7"/>
        </w:rPr>
        <w:t> </w:t>
      </w:r>
      <w:r>
        <w:rPr/>
        <w:t>level</w:t>
      </w:r>
      <w:r>
        <w:rPr>
          <w:spacing w:val="-6"/>
        </w:rPr>
        <w:t> </w:t>
      </w:r>
      <w:r>
        <w:rPr/>
        <w:t>in</w:t>
      </w:r>
      <w:r>
        <w:rPr>
          <w:spacing w:val="-7"/>
        </w:rPr>
        <w:t> </w:t>
      </w:r>
      <w:r>
        <w:rPr/>
        <w:t>Chapter</w:t>
      </w:r>
      <w:r>
        <w:rPr>
          <w:spacing w:val="-7"/>
        </w:rPr>
        <w:t> </w:t>
      </w:r>
      <w:hyperlink w:history="true" w:anchor="_bookmark114">
        <w:r>
          <w:rPr/>
          <w:t>5</w:t>
        </w:r>
      </w:hyperlink>
      <w:r>
        <w:rPr/>
        <w:t>.</w:t>
      </w:r>
      <w:r>
        <w:rPr>
          <w:spacing w:val="12"/>
        </w:rPr>
        <w:t> </w:t>
      </w:r>
      <w:r>
        <w:rPr/>
        <w:t>Full</w:t>
      </w:r>
      <w:r>
        <w:rPr>
          <w:spacing w:val="-7"/>
        </w:rPr>
        <w:t> </w:t>
      </w:r>
      <w:r>
        <w:rPr/>
        <w:t>empirical</w:t>
      </w:r>
      <w:r>
        <w:rPr>
          <w:spacing w:val="-6"/>
        </w:rPr>
        <w:t> </w:t>
      </w:r>
      <w:r>
        <w:rPr/>
        <w:t>adversarial</w:t>
      </w:r>
      <w:r>
        <w:rPr>
          <w:spacing w:val="-7"/>
        </w:rPr>
        <w:t> </w:t>
      </w:r>
      <w:r>
        <w:rPr/>
        <w:t>evaluation</w:t>
      </w:r>
      <w:r>
        <w:rPr>
          <w:spacing w:val="-7"/>
        </w:rPr>
        <w:t> </w:t>
      </w:r>
      <w:r>
        <w:rPr/>
        <w:t>remains</w:t>
      </w:r>
      <w:r>
        <w:rPr>
          <w:spacing w:val="-6"/>
        </w:rPr>
        <w:t> </w:t>
      </w:r>
      <w:r>
        <w:rPr/>
        <w:t>future</w:t>
      </w:r>
      <w:r>
        <w:rPr>
          <w:spacing w:val="-7"/>
        </w:rPr>
        <w:t> </w:t>
      </w:r>
      <w:r>
        <w:rPr>
          <w:spacing w:val="-2"/>
        </w:rPr>
        <w:t>work.</w:t>
      </w:r>
    </w:p>
    <w:p>
      <w:pPr>
        <w:pStyle w:val="BodyText"/>
        <w:spacing w:before="180"/>
        <w:ind w:left="274"/>
      </w:pPr>
      <w:r>
        <w:rPr>
          <w:i/>
        </w:rPr>
        <w:t>(5) 5장의 모델 수준에서. 완전한 경험적 적대적 평가는 향후 작업으로 남아 있습니다.</w:t>
      </w:r>
    </w:p>
    <w:p>
      <w:pPr>
        <w:pStyle w:val="BodyText"/>
        <w:spacing w:after="0"/>
        <w:sectPr>
          <w:pgSz w:w="11910" w:h="16840"/>
          <w:pgMar w:header="0" w:footer="2115" w:top="192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Research Methodology" w:id="88"/>
      <w:bookmarkEnd w:id="88"/>
      <w:r>
        <w:rPr>
          <w:b w:val="0"/>
        </w:rPr>
      </w:r>
      <w:bookmarkStart w:name="_bookmark48" w:id="89"/>
      <w:bookmarkEnd w:id="89"/>
      <w:r>
        <w:rPr>
          <w:b w:val="0"/>
        </w:rPr>
      </w:r>
      <w:r>
        <w:rPr/>
        <w:t>Research</w:t>
      </w:r>
      <w:r>
        <w:rPr>
          <w:spacing w:val="6"/>
        </w:rPr>
        <w:t> </w:t>
      </w:r>
      <w:r>
        <w:rPr>
          <w:spacing w:val="-2"/>
        </w:rPr>
        <w:t>Methodology</w:t>
      </w:r>
    </w:p>
    <w:p>
      <w:pPr>
        <w:pStyle w:val="Heading1"/>
        <w:numPr>
          <w:ilvl w:val="0"/>
          <w:numId w:val="8"/>
        </w:numPr>
        <w:tabs>
          <w:tab w:pos="625" w:val="left" w:leader="none"/>
        </w:tabs>
        <w:spacing w:line="240" w:lineRule="auto" w:before="0" w:after="0"/>
        <w:ind w:left="625" w:right="0" w:hanging="343"/>
        <w:jc w:val="both"/>
      </w:pPr>
      <w:r>
        <w:rPr>
          <w:i/>
        </w:rPr>
        <w:t>연구 방법론</w:t>
      </w:r>
    </w:p>
    <w:p>
      <w:pPr>
        <w:pStyle w:val="BodyText"/>
        <w:spacing w:before="28"/>
        <w:rPr>
          <w:b/>
          <w:sz w:val="34"/>
        </w:rPr>
      </w:pPr>
    </w:p>
    <w:p>
      <w:pPr>
        <w:pStyle w:val="BodyText"/>
        <w:spacing w:line="396" w:lineRule="auto"/>
        <w:ind w:left="274" w:right="558"/>
        <w:jc w:val="both"/>
      </w:pPr>
      <w:r>
        <w:rPr/>
        <w:t>This</w:t>
      </w:r>
      <w:r>
        <w:rPr>
          <w:spacing w:val="-8"/>
        </w:rPr>
        <w:t> </w:t>
      </w:r>
      <w:r>
        <w:rPr/>
        <w:t>chapter</w:t>
      </w:r>
      <w:r>
        <w:rPr>
          <w:spacing w:val="-8"/>
        </w:rPr>
        <w:t> </w:t>
      </w:r>
      <w:r>
        <w:rPr/>
        <w:t>specifies</w:t>
      </w:r>
      <w:r>
        <w:rPr>
          <w:spacing w:val="-8"/>
        </w:rPr>
        <w:t> </w:t>
      </w:r>
      <w:r>
        <w:rPr/>
        <w:t>the</w:t>
      </w:r>
      <w:r>
        <w:rPr>
          <w:spacing w:val="-8"/>
        </w:rPr>
        <w:t> </w:t>
      </w:r>
      <w:r>
        <w:rPr/>
        <w:t>empirical</w:t>
      </w:r>
      <w:r>
        <w:rPr>
          <w:spacing w:val="-8"/>
        </w:rPr>
        <w:t> </w:t>
      </w:r>
      <w:r>
        <w:rPr/>
        <w:t>design</w:t>
      </w:r>
      <w:r>
        <w:rPr>
          <w:spacing w:val="-8"/>
        </w:rPr>
        <w:t> </w:t>
      </w:r>
      <w:r>
        <w:rPr/>
        <w:t>used</w:t>
      </w:r>
      <w:r>
        <w:rPr>
          <w:spacing w:val="-8"/>
        </w:rPr>
        <w:t> </w:t>
      </w:r>
      <w:r>
        <w:rPr/>
        <w:t>to</w:t>
      </w:r>
      <w:r>
        <w:rPr>
          <w:spacing w:val="-8"/>
        </w:rPr>
        <w:t> </w:t>
      </w:r>
      <w:r>
        <w:rPr/>
        <w:t>compare</w:t>
      </w:r>
      <w:r>
        <w:rPr>
          <w:spacing w:val="-8"/>
        </w:rPr>
        <w:t> </w:t>
      </w:r>
      <w:r>
        <w:rPr/>
        <w:t>EndorseRank</w:t>
      </w:r>
      <w:r>
        <w:rPr>
          <w:spacing w:val="-8"/>
        </w:rPr>
        <w:t> </w:t>
      </w:r>
      <w:r>
        <w:rPr/>
        <w:t>and</w:t>
      </w:r>
      <w:r>
        <w:rPr>
          <w:spacing w:val="-8"/>
        </w:rPr>
        <w:t> </w:t>
      </w:r>
      <w:r>
        <w:rPr/>
        <w:t>Adaptive</w:t>
      </w:r>
      <w:r>
        <w:rPr>
          <w:spacing w:val="-8"/>
        </w:rPr>
        <w:t> </w:t>
      </w:r>
      <w:r>
        <w:rPr/>
        <w:t>Weighted PageRank (AWP) as social reputation scores on Arbitrum One.</w:t>
      </w:r>
      <w:r>
        <w:rPr>
          <w:spacing w:val="40"/>
        </w:rPr>
        <w:t> </w:t>
      </w:r>
      <w:r>
        <w:rPr/>
        <w:t>The design covers notation, data sources,</w:t>
      </w:r>
      <w:r>
        <w:rPr>
          <w:spacing w:val="-15"/>
        </w:rPr>
        <w:t> </w:t>
      </w:r>
      <w:r>
        <w:rPr/>
        <w:t>a</w:t>
      </w:r>
      <w:r>
        <w:rPr>
          <w:spacing w:val="-15"/>
        </w:rPr>
        <w:t> </w:t>
      </w:r>
      <w:r>
        <w:rPr/>
        <w:t>three-phase</w:t>
      </w:r>
      <w:r>
        <w:rPr>
          <w:spacing w:val="-15"/>
        </w:rPr>
        <w:t> </w:t>
      </w:r>
      <w:r>
        <w:rPr/>
        <w:t>collection</w:t>
      </w:r>
      <w:r>
        <w:rPr>
          <w:spacing w:val="-15"/>
        </w:rPr>
        <w:t> </w:t>
      </w:r>
      <w:r>
        <w:rPr/>
        <w:t>strategy,</w:t>
      </w:r>
      <w:r>
        <w:rPr>
          <w:spacing w:val="-15"/>
        </w:rPr>
        <w:t> </w:t>
      </w:r>
      <w:r>
        <w:rPr/>
        <w:t>pipeline</w:t>
      </w:r>
      <w:r>
        <w:rPr>
          <w:spacing w:val="-15"/>
        </w:rPr>
        <w:t> </w:t>
      </w:r>
      <w:r>
        <w:rPr/>
        <w:t>architecture,</w:t>
      </w:r>
      <w:r>
        <w:rPr>
          <w:spacing w:val="-15"/>
        </w:rPr>
        <w:t> </w:t>
      </w:r>
      <w:r>
        <w:rPr/>
        <w:t>event</w:t>
      </w:r>
      <w:r>
        <w:rPr>
          <w:spacing w:val="-15"/>
        </w:rPr>
        <w:t> </w:t>
      </w:r>
      <w:r>
        <w:rPr/>
        <w:t>decoding,</w:t>
      </w:r>
      <w:r>
        <w:rPr>
          <w:spacing w:val="-15"/>
        </w:rPr>
        <w:t> </w:t>
      </w:r>
      <w:r>
        <w:rPr/>
        <w:t>graph</w:t>
      </w:r>
      <w:r>
        <w:rPr>
          <w:spacing w:val="-15"/>
        </w:rPr>
        <w:t> </w:t>
      </w:r>
      <w:r>
        <w:rPr/>
        <w:t>construction algorithms,</w:t>
      </w:r>
      <w:r>
        <w:rPr>
          <w:spacing w:val="-5"/>
        </w:rPr>
        <w:t> </w:t>
      </w:r>
      <w:r>
        <w:rPr/>
        <w:t>validation</w:t>
      </w:r>
      <w:r>
        <w:rPr>
          <w:spacing w:val="-6"/>
        </w:rPr>
        <w:t> </w:t>
      </w:r>
      <w:r>
        <w:rPr/>
        <w:t>proxies,</w:t>
      </w:r>
      <w:r>
        <w:rPr>
          <w:spacing w:val="-5"/>
        </w:rPr>
        <w:t> </w:t>
      </w:r>
      <w:r>
        <w:rPr/>
        <w:t>statistical</w:t>
      </w:r>
      <w:r>
        <w:rPr>
          <w:spacing w:val="-5"/>
        </w:rPr>
        <w:t> </w:t>
      </w:r>
      <w:r>
        <w:rPr/>
        <w:t>tests,</w:t>
      </w:r>
      <w:r>
        <w:rPr>
          <w:spacing w:val="-5"/>
        </w:rPr>
        <w:t> </w:t>
      </w:r>
      <w:r>
        <w:rPr/>
        <w:t>computational</w:t>
      </w:r>
      <w:r>
        <w:rPr>
          <w:spacing w:val="-5"/>
        </w:rPr>
        <w:t> </w:t>
      </w:r>
      <w:r>
        <w:rPr/>
        <w:t>benchmarks,</w:t>
      </w:r>
      <w:r>
        <w:rPr>
          <w:spacing w:val="-5"/>
        </w:rPr>
        <w:t> </w:t>
      </w:r>
      <w:r>
        <w:rPr/>
        <w:t>scaling</w:t>
      </w:r>
      <w:r>
        <w:rPr>
          <w:spacing w:val="-5"/>
        </w:rPr>
        <w:t> </w:t>
      </w:r>
      <w:r>
        <w:rPr/>
        <w:t>and</w:t>
      </w:r>
      <w:r>
        <w:rPr>
          <w:spacing w:val="-6"/>
        </w:rPr>
        <w:t> </w:t>
      </w:r>
      <w:r>
        <w:rPr/>
        <w:t>robustness extensions, reproducibility, and ethics.</w:t>
      </w:r>
      <w:r>
        <w:rPr>
          <w:spacing w:val="40"/>
        </w:rPr>
        <w:t> </w:t>
      </w:r>
      <w:r>
        <w:rPr/>
        <w:t>The primary comparison is between EndorseRank on the </w:t>
      </w:r>
      <w:r>
        <w:rPr>
          <w:spacing w:val="-2"/>
        </w:rPr>
        <w:t>ERC-20</w:t>
      </w:r>
      <w:r>
        <w:rPr>
          <w:spacing w:val="-10"/>
        </w:rPr>
        <w:t> </w:t>
      </w:r>
      <w:r>
        <w:rPr>
          <w:spacing w:val="-2"/>
        </w:rPr>
        <w:t>allowance</w:t>
      </w:r>
      <w:r>
        <w:rPr>
          <w:spacing w:val="-10"/>
        </w:rPr>
        <w:t> </w:t>
      </w:r>
      <w:r>
        <w:rPr>
          <w:spacing w:val="-2"/>
        </w:rPr>
        <w:t>graph</w:t>
      </w:r>
      <w:r>
        <w:rPr>
          <w:spacing w:val="-10"/>
        </w:rPr>
        <w:t> </w:t>
      </w:r>
      <w:r>
        <w:rPr>
          <w:spacing w:val="-2"/>
        </w:rPr>
        <w:t>and</w:t>
      </w:r>
      <w:r>
        <w:rPr>
          <w:spacing w:val="-10"/>
        </w:rPr>
        <w:t> </w:t>
      </w:r>
      <w:r>
        <w:rPr>
          <w:spacing w:val="-2"/>
        </w:rPr>
        <w:t>AWP</w:t>
      </w:r>
      <w:r>
        <w:rPr>
          <w:spacing w:val="-10"/>
        </w:rPr>
        <w:t> </w:t>
      </w:r>
      <w:r>
        <w:rPr>
          <w:spacing w:val="-2"/>
        </w:rPr>
        <w:t>on</w:t>
      </w:r>
      <w:r>
        <w:rPr>
          <w:spacing w:val="-10"/>
        </w:rPr>
        <w:t> </w:t>
      </w:r>
      <w:r>
        <w:rPr>
          <w:spacing w:val="-2"/>
        </w:rPr>
        <w:t>the</w:t>
      </w:r>
      <w:r>
        <w:rPr>
          <w:spacing w:val="-10"/>
        </w:rPr>
        <w:t> </w:t>
      </w:r>
      <w:r>
        <w:rPr>
          <w:spacing w:val="-2"/>
        </w:rPr>
        <w:t>time-decayed</w:t>
      </w:r>
      <w:r>
        <w:rPr>
          <w:spacing w:val="-10"/>
        </w:rPr>
        <w:t> </w:t>
      </w:r>
      <w:r>
        <w:rPr>
          <w:spacing w:val="-2"/>
        </w:rPr>
        <w:t>transfer</w:t>
      </w:r>
      <w:r>
        <w:rPr>
          <w:spacing w:val="-10"/>
        </w:rPr>
        <w:t> </w:t>
      </w:r>
      <w:r>
        <w:rPr>
          <w:spacing w:val="-2"/>
        </w:rPr>
        <w:t>graph</w:t>
      </w:r>
      <w:r>
        <w:rPr>
          <w:spacing w:val="-10"/>
        </w:rPr>
        <w:t> </w:t>
      </w:r>
      <w:hyperlink w:history="true" w:anchor="_bookmark149">
        <w:r>
          <w:rPr>
            <w:spacing w:val="-2"/>
            <w:vertAlign w:val="superscript"/>
          </w:rPr>
          <w:t>[16]</w:t>
        </w:r>
      </w:hyperlink>
      <w:r>
        <w:rPr>
          <w:spacing w:val="-2"/>
          <w:vertAlign w:val="superscript"/>
        </w:rPr>
        <w:t>,</w:t>
      </w:r>
      <w:hyperlink w:history="true" w:anchor="_bookmark182">
        <w:r>
          <w:rPr>
            <w:spacing w:val="-2"/>
            <w:vertAlign w:val="superscript"/>
          </w:rPr>
          <w:t>[49]</w:t>
        </w:r>
      </w:hyperlink>
      <w:r>
        <w:rPr>
          <w:spacing w:val="-2"/>
          <w:vertAlign w:val="baseline"/>
        </w:rPr>
        <w:t>.</w:t>
      </w:r>
      <w:r>
        <w:rPr>
          <w:spacing w:val="29"/>
          <w:vertAlign w:val="baseline"/>
        </w:rPr>
        <w:t> </w:t>
      </w:r>
      <w:r>
        <w:rPr>
          <w:spacing w:val="-2"/>
          <w:vertAlign w:val="baseline"/>
        </w:rPr>
        <w:t>GainFlow</w:t>
      </w:r>
      <w:r>
        <w:rPr>
          <w:spacing w:val="-10"/>
          <w:vertAlign w:val="baseline"/>
        </w:rPr>
        <w:t> </w:t>
      </w:r>
      <w:r>
        <w:rPr>
          <w:spacing w:val="-2"/>
          <w:vertAlign w:val="baseline"/>
        </w:rPr>
        <w:t>PageRank </w:t>
      </w:r>
      <w:r>
        <w:rPr>
          <w:vertAlign w:val="baseline"/>
        </w:rPr>
        <w:t>(GF-PR)</w:t>
      </w:r>
      <w:r>
        <w:rPr>
          <w:spacing w:val="-3"/>
          <w:vertAlign w:val="baseline"/>
        </w:rPr>
        <w:t> </w:t>
      </w:r>
      <w:r>
        <w:rPr>
          <w:vertAlign w:val="baseline"/>
        </w:rPr>
        <w:t>appears</w:t>
      </w:r>
      <w:r>
        <w:rPr>
          <w:spacing w:val="-3"/>
          <w:vertAlign w:val="baseline"/>
        </w:rPr>
        <w:t> </w:t>
      </w:r>
      <w:r>
        <w:rPr>
          <w:vertAlign w:val="baseline"/>
        </w:rPr>
        <w:t>only</w:t>
      </w:r>
      <w:r>
        <w:rPr>
          <w:spacing w:val="-3"/>
          <w:vertAlign w:val="baseline"/>
        </w:rPr>
        <w:t> </w:t>
      </w:r>
      <w:r>
        <w:rPr>
          <w:vertAlign w:val="baseline"/>
        </w:rPr>
        <w:t>as</w:t>
      </w:r>
      <w:r>
        <w:rPr>
          <w:spacing w:val="-3"/>
          <w:vertAlign w:val="baseline"/>
        </w:rPr>
        <w:t> </w:t>
      </w:r>
      <w:r>
        <w:rPr>
          <w:vertAlign w:val="baseline"/>
        </w:rPr>
        <w:t>a</w:t>
      </w:r>
      <w:r>
        <w:rPr>
          <w:spacing w:val="-3"/>
          <w:vertAlign w:val="baseline"/>
        </w:rPr>
        <w:t> </w:t>
      </w:r>
      <w:r>
        <w:rPr>
          <w:vertAlign w:val="baseline"/>
        </w:rPr>
        <w:t>supplementary</w:t>
      </w:r>
      <w:r>
        <w:rPr>
          <w:spacing w:val="-3"/>
          <w:vertAlign w:val="baseline"/>
        </w:rPr>
        <w:t> </w:t>
      </w:r>
      <w:r>
        <w:rPr>
          <w:vertAlign w:val="baseline"/>
        </w:rPr>
        <w:t>outcome-native</w:t>
      </w:r>
      <w:r>
        <w:rPr>
          <w:spacing w:val="-3"/>
          <w:vertAlign w:val="baseline"/>
        </w:rPr>
        <w:t> </w:t>
      </w:r>
      <w:r>
        <w:rPr>
          <w:vertAlign w:val="baseline"/>
        </w:rPr>
        <w:t>ceiling</w:t>
      </w:r>
      <w:r>
        <w:rPr>
          <w:spacing w:val="-3"/>
          <w:vertAlign w:val="baseline"/>
        </w:rPr>
        <w:t> </w:t>
      </w:r>
      <w:r>
        <w:rPr>
          <w:vertAlign w:val="baseline"/>
        </w:rPr>
        <w:t>reference</w:t>
      </w:r>
      <w:r>
        <w:rPr>
          <w:spacing w:val="-3"/>
          <w:vertAlign w:val="baseline"/>
        </w:rPr>
        <w:t> </w:t>
      </w:r>
      <w:r>
        <w:rPr>
          <w:vertAlign w:val="baseline"/>
        </w:rPr>
        <w:t>and</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treated</w:t>
      </w:r>
      <w:r>
        <w:rPr>
          <w:spacing w:val="-3"/>
          <w:vertAlign w:val="baseline"/>
        </w:rPr>
        <w:t> </w:t>
      </w:r>
      <w:r>
        <w:rPr>
          <w:vertAlign w:val="baseline"/>
        </w:rPr>
        <w:t>as</w:t>
      </w:r>
      <w:r>
        <w:rPr>
          <w:spacing w:val="-3"/>
          <w:vertAlign w:val="baseline"/>
        </w:rPr>
        <w:t> </w:t>
      </w:r>
      <w:r>
        <w:rPr>
          <w:vertAlign w:val="baseline"/>
        </w:rPr>
        <w:t>a peer social method.</w:t>
      </w:r>
    </w:p>
    <w:p>
      <w:pPr>
        <w:pStyle w:val="BodyText"/>
        <w:spacing w:line="396" w:lineRule="auto"/>
        <w:ind w:left="274" w:right="558"/>
        <w:jc w:val="both"/>
      </w:pPr>
      <w:r>
        <w:rPr>
          <w:i/>
        </w:rPr>
        <w:t>이 장에서는 Arbitrum One의 사회적 평판 점수로 EndorseRank과 Adaptive Weighted PageRank(AWP)를 비교하는 데 사용된 실증적 설계를 명시합니다. 설계에는 표기법, 데이터 소스, 3단계 수집 전략, 파이프라인 아키텍처, 이벤트 디코딩, 그래프 구성 알고리즘, 검증 프록시, 통계 테스트, 계산 벤치마크, 확장 및 견고성 확장, 재현성 및 윤리가 포함됩니다. 주요 비교는 ERC-20 허용량 그래프의 EndorseRank와 시간 감쇠 전송 그래프의 AWP 사이입니다[16],[49]. GainFlow PageRank(GF-PR)은 보충 결과 기본 상한 참조로만 나타나며 동료 사회적 방법으로 처리되지 않습니다.</w:t>
      </w:r>
    </w:p>
    <w:p>
      <w:pPr>
        <w:pStyle w:val="BodyText"/>
        <w:spacing w:line="396" w:lineRule="auto" w:before="23"/>
        <w:ind w:left="282" w:right="523" w:hanging="8"/>
        <w:jc w:val="both"/>
      </w:pPr>
      <w:r>
        <w:rPr/>
        <w:t>The methodological stance follows construct (domain) alignment:</w:t>
      </w:r>
      <w:r>
        <w:rPr>
          <w:spacing w:val="40"/>
        </w:rPr>
        <w:t> </w:t>
      </w:r>
      <w:r>
        <w:rPr/>
        <w:t>reputation scores are continu-ous rankings, and validation uses observable wallet-level proxies rather than binary default labels</w:t>
      </w:r>
    </w:p>
    <w:p>
      <w:pPr>
        <w:pStyle w:val="BodyText"/>
        <w:spacing w:line="396" w:lineRule="auto" w:before="23"/>
        <w:ind w:left="282" w:right="523" w:hanging="8"/>
        <w:jc w:val="both"/>
      </w:pPr>
      <w:r>
        <w:rPr>
          <w:i/>
        </w:rPr>
        <w:t>방법론적 입장은 구성(도메인) 정렬을 따릅니다. 평판 점수는 연속 순위이며 검증에서는 바이너리 기본 레이블이 아닌 관찰 가능한 지갑 수준 프록시를 사용합니다.</w:t>
      </w:r>
    </w:p>
    <w:p>
      <w:pPr>
        <w:pStyle w:val="BodyText"/>
        <w:spacing w:line="396" w:lineRule="auto" w:before="2"/>
        <w:ind w:left="273" w:right="522" w:firstLine="8"/>
        <w:jc w:val="both"/>
      </w:pPr>
      <w:hyperlink w:history="true" w:anchor="_bookmark147">
        <w:r>
          <w:rPr>
            <w:vertAlign w:val="superscript"/>
          </w:rPr>
          <w:t>[14]</w:t>
        </w:r>
      </w:hyperlink>
      <w:r>
        <w:rPr>
          <w:vertAlign w:val="superscript"/>
        </w:rPr>
        <w:t>,</w:t>
      </w:r>
      <w:hyperlink w:history="true" w:anchor="_bookmark149">
        <w:r>
          <w:rPr>
            <w:vertAlign w:val="superscript"/>
          </w:rPr>
          <w:t>[16]</w:t>
        </w:r>
      </w:hyperlink>
      <w:r>
        <w:rPr>
          <w:vertAlign w:val="baseline"/>
        </w:rPr>
        <w:t>.</w:t>
      </w:r>
      <w:r>
        <w:rPr>
          <w:spacing w:val="40"/>
          <w:vertAlign w:val="baseline"/>
        </w:rPr>
        <w:t> </w:t>
      </w:r>
      <w:r>
        <w:rPr>
          <w:vertAlign w:val="baseline"/>
        </w:rPr>
        <w:t>In measurement terms, each ranking method is an indicator of an unobserved reputation construct; proxies</w:t>
      </w:r>
      <w:r>
        <w:rPr>
          <w:spacing w:val="-2"/>
          <w:vertAlign w:val="baseline"/>
        </w:rPr>
        <w:t> </w:t>
      </w:r>
      <w:r>
        <w:rPr>
          <w:vertAlign w:val="baseline"/>
        </w:rPr>
        <w:t>are</w:t>
      </w:r>
      <w:r>
        <w:rPr>
          <w:spacing w:val="-2"/>
          <w:vertAlign w:val="baseline"/>
        </w:rPr>
        <w:t> </w:t>
      </w:r>
      <w:r>
        <w:rPr>
          <w:vertAlign w:val="baseline"/>
        </w:rPr>
        <w:t>alternative</w:t>
      </w:r>
      <w:r>
        <w:rPr>
          <w:spacing w:val="-2"/>
          <w:vertAlign w:val="baseline"/>
        </w:rPr>
        <w:t> </w:t>
      </w:r>
      <w:r>
        <w:rPr>
          <w:vertAlign w:val="baseline"/>
        </w:rPr>
        <w:t>indicators</w:t>
      </w:r>
      <w:r>
        <w:rPr>
          <w:spacing w:val="-2"/>
          <w:vertAlign w:val="baseline"/>
        </w:rPr>
        <w:t> </w:t>
      </w:r>
      <w:r>
        <w:rPr>
          <w:vertAlign w:val="baseline"/>
        </w:rPr>
        <w:t>chosen</w:t>
      </w:r>
      <w:r>
        <w:rPr>
          <w:spacing w:val="-2"/>
          <w:vertAlign w:val="baseline"/>
        </w:rPr>
        <w:t> </w:t>
      </w:r>
      <w:r>
        <w:rPr>
          <w:vertAlign w:val="baseline"/>
        </w:rPr>
        <w:t>for</w:t>
      </w:r>
      <w:r>
        <w:rPr>
          <w:spacing w:val="-2"/>
          <w:vertAlign w:val="baseline"/>
        </w:rPr>
        <w:t> </w:t>
      </w:r>
      <w:r>
        <w:rPr>
          <w:vertAlign w:val="baseline"/>
        </w:rPr>
        <w:t>domain</w:t>
      </w:r>
      <w:r>
        <w:rPr>
          <w:spacing w:val="-2"/>
          <w:vertAlign w:val="baseline"/>
        </w:rPr>
        <w:t> </w:t>
      </w:r>
      <w:r>
        <w:rPr>
          <w:vertAlign w:val="baseline"/>
        </w:rPr>
        <w:t>intuition</w:t>
      </w:r>
      <w:r>
        <w:rPr>
          <w:spacing w:val="-2"/>
          <w:vertAlign w:val="baseline"/>
        </w:rPr>
        <w:t> </w:t>
      </w:r>
      <w:r>
        <w:rPr>
          <w:vertAlign w:val="baseline"/>
        </w:rPr>
        <w:t>(inbound</w:t>
      </w:r>
      <w:r>
        <w:rPr>
          <w:spacing w:val="-2"/>
          <w:vertAlign w:val="baseline"/>
        </w:rPr>
        <w:t> </w:t>
      </w:r>
      <w:r>
        <w:rPr>
          <w:vertAlign w:val="baseline"/>
        </w:rPr>
        <w:t>economic</w:t>
      </w:r>
      <w:r>
        <w:rPr>
          <w:spacing w:val="-2"/>
          <w:vertAlign w:val="baseline"/>
        </w:rPr>
        <w:t> </w:t>
      </w:r>
      <w:r>
        <w:rPr>
          <w:vertAlign w:val="baseline"/>
        </w:rPr>
        <w:t>activ-ity,</w:t>
      </w:r>
      <w:r>
        <w:rPr>
          <w:spacing w:val="-3"/>
          <w:vertAlign w:val="baseline"/>
        </w:rPr>
        <w:t> </w:t>
      </w:r>
      <w:r>
        <w:rPr>
          <w:vertAlign w:val="baseline"/>
        </w:rPr>
        <w:t>received</w:t>
      </w:r>
      <w:r>
        <w:rPr>
          <w:spacing w:val="-4"/>
          <w:vertAlign w:val="baseline"/>
        </w:rPr>
        <w:t> </w:t>
      </w:r>
      <w:r>
        <w:rPr>
          <w:vertAlign w:val="baseline"/>
        </w:rPr>
        <w:t>endorsements,</w:t>
      </w:r>
      <w:r>
        <w:rPr>
          <w:spacing w:val="-3"/>
          <w:vertAlign w:val="baseline"/>
        </w:rPr>
        <w:t> </w:t>
      </w:r>
      <w:r>
        <w:rPr>
          <w:vertAlign w:val="baseline"/>
        </w:rPr>
        <w:t>risk-avoiding</w:t>
      </w:r>
      <w:r>
        <w:rPr>
          <w:spacing w:val="-4"/>
          <w:vertAlign w:val="baseline"/>
        </w:rPr>
        <w:t> </w:t>
      </w:r>
      <w:r>
        <w:rPr>
          <w:vertAlign w:val="baseline"/>
        </w:rPr>
        <w:t>trading</w:t>
      </w:r>
      <w:r>
        <w:rPr>
          <w:spacing w:val="-4"/>
          <w:vertAlign w:val="baseline"/>
        </w:rPr>
        <w:t> </w:t>
      </w:r>
      <w:r>
        <w:rPr>
          <w:vertAlign w:val="baseline"/>
        </w:rPr>
        <w:t>behavior,</w:t>
      </w:r>
      <w:r>
        <w:rPr>
          <w:spacing w:val="-3"/>
          <w:vertAlign w:val="baseline"/>
        </w:rPr>
        <w:t> </w:t>
      </w:r>
      <w:r>
        <w:rPr>
          <w:vertAlign w:val="baseline"/>
        </w:rPr>
        <w:t>activity</w:t>
      </w:r>
      <w:r>
        <w:rPr>
          <w:spacing w:val="-4"/>
          <w:vertAlign w:val="baseline"/>
        </w:rPr>
        <w:t> </w:t>
      </w:r>
      <w:r>
        <w:rPr>
          <w:vertAlign w:val="baseline"/>
        </w:rPr>
        <w:t>stability,</w:t>
      </w:r>
      <w:r>
        <w:rPr>
          <w:spacing w:val="-3"/>
          <w:vertAlign w:val="baseline"/>
        </w:rPr>
        <w:t> </w:t>
      </w:r>
      <w:r>
        <w:rPr>
          <w:vertAlign w:val="baseline"/>
        </w:rPr>
        <w:t>and</w:t>
      </w:r>
      <w:r>
        <w:rPr>
          <w:spacing w:val="-4"/>
          <w:vertAlign w:val="baseline"/>
        </w:rPr>
        <w:t> </w:t>
      </w:r>
      <w:r>
        <w:rPr>
          <w:vertAlign w:val="baseline"/>
        </w:rPr>
        <w:t>trading</w:t>
      </w:r>
      <w:r>
        <w:rPr>
          <w:spacing w:val="-4"/>
          <w:vertAlign w:val="baseline"/>
        </w:rPr>
        <w:t> </w:t>
      </w:r>
      <w:r>
        <w:rPr>
          <w:vertAlign w:val="baseline"/>
        </w:rPr>
        <w:t>success). Alignment</w:t>
      </w:r>
      <w:r>
        <w:rPr>
          <w:spacing w:val="-2"/>
          <w:vertAlign w:val="baseline"/>
        </w:rPr>
        <w:t> </w:t>
      </w:r>
      <w:r>
        <w:rPr>
          <w:vertAlign w:val="baseline"/>
        </w:rPr>
        <w:t>statistics</w:t>
      </w:r>
      <w:r>
        <w:rPr>
          <w:spacing w:val="-2"/>
          <w:vertAlign w:val="baseline"/>
        </w:rPr>
        <w:t> </w:t>
      </w:r>
      <w:r>
        <w:rPr>
          <w:vertAlign w:val="baseline"/>
        </w:rPr>
        <w:t>ask</w:t>
      </w:r>
      <w:r>
        <w:rPr>
          <w:spacing w:val="-2"/>
          <w:vertAlign w:val="baseline"/>
        </w:rPr>
        <w:t> </w:t>
      </w:r>
      <w:r>
        <w:rPr>
          <w:vertAlign w:val="baseline"/>
        </w:rPr>
        <w:t>whether</w:t>
      </w:r>
      <w:r>
        <w:rPr>
          <w:spacing w:val="-2"/>
          <w:vertAlign w:val="baseline"/>
        </w:rPr>
        <w:t> </w:t>
      </w:r>
      <w:r>
        <w:rPr>
          <w:vertAlign w:val="baseline"/>
        </w:rPr>
        <w:t>the</w:t>
      </w:r>
      <w:r>
        <w:rPr>
          <w:spacing w:val="-2"/>
          <w:vertAlign w:val="baseline"/>
        </w:rPr>
        <w:t> </w:t>
      </w:r>
      <w:r>
        <w:rPr>
          <w:vertAlign w:val="baseline"/>
        </w:rPr>
        <w:t>ordering</w:t>
      </w:r>
      <w:r>
        <w:rPr>
          <w:spacing w:val="-2"/>
          <w:vertAlign w:val="baseline"/>
        </w:rPr>
        <w:t> </w:t>
      </w:r>
      <w:r>
        <w:rPr>
          <w:vertAlign w:val="baseline"/>
        </w:rPr>
        <w:t>induced</w:t>
      </w:r>
      <w:r>
        <w:rPr>
          <w:spacing w:val="-2"/>
          <w:vertAlign w:val="baseline"/>
        </w:rPr>
        <w:t> </w:t>
      </w:r>
      <w:r>
        <w:rPr>
          <w:vertAlign w:val="baseline"/>
        </w:rPr>
        <w:t>by</w:t>
      </w:r>
      <w:r>
        <w:rPr>
          <w:spacing w:val="-2"/>
          <w:vertAlign w:val="baseline"/>
        </w:rPr>
        <w:t> </w:t>
      </w:r>
      <w:r>
        <w:rPr>
          <w:vertAlign w:val="baseline"/>
        </w:rPr>
        <w:t>a</w:t>
      </w:r>
      <w:r>
        <w:rPr>
          <w:spacing w:val="-2"/>
          <w:vertAlign w:val="baseline"/>
        </w:rPr>
        <w:t> </w:t>
      </w:r>
      <w:r>
        <w:rPr>
          <w:vertAlign w:val="baseline"/>
        </w:rPr>
        <w:t>method</w:t>
      </w:r>
      <w:r>
        <w:rPr>
          <w:spacing w:val="-2"/>
          <w:vertAlign w:val="baseline"/>
        </w:rPr>
        <w:t> </w:t>
      </w:r>
      <w:r>
        <w:rPr>
          <w:vertAlign w:val="baseline"/>
        </w:rPr>
        <w:t>co-varies</w:t>
      </w:r>
      <w:r>
        <w:rPr>
          <w:spacing w:val="-2"/>
          <w:vertAlign w:val="baseline"/>
        </w:rPr>
        <w:t> </w:t>
      </w:r>
      <w:r>
        <w:rPr>
          <w:vertAlign w:val="baseline"/>
        </w:rPr>
        <w:t>with</w:t>
      </w:r>
      <w:r>
        <w:rPr>
          <w:spacing w:val="-2"/>
          <w:vertAlign w:val="baseline"/>
        </w:rPr>
        <w:t> </w:t>
      </w:r>
      <w:r>
        <w:rPr>
          <w:vertAlign w:val="baseline"/>
        </w:rPr>
        <w:t>the</w:t>
      </w:r>
      <w:r>
        <w:rPr>
          <w:spacing w:val="-2"/>
          <w:vertAlign w:val="baseline"/>
        </w:rPr>
        <w:t> </w:t>
      </w:r>
      <w:r>
        <w:rPr>
          <w:vertAlign w:val="baseline"/>
        </w:rPr>
        <w:t>ordering</w:t>
      </w:r>
      <w:r>
        <w:rPr>
          <w:spacing w:val="-2"/>
          <w:vertAlign w:val="baseline"/>
        </w:rPr>
        <w:t> </w:t>
      </w:r>
      <w:r>
        <w:rPr>
          <w:vertAlign w:val="baseline"/>
        </w:rPr>
        <w:t>in-duced</w:t>
      </w:r>
      <w:r>
        <w:rPr>
          <w:spacing w:val="-10"/>
          <w:vertAlign w:val="baseline"/>
        </w:rPr>
        <w:t> </w:t>
      </w:r>
      <w:r>
        <w:rPr>
          <w:vertAlign w:val="baseline"/>
        </w:rPr>
        <w:t>by</w:t>
      </w:r>
      <w:r>
        <w:rPr>
          <w:spacing w:val="-10"/>
          <w:vertAlign w:val="baseline"/>
        </w:rPr>
        <w:t> </w:t>
      </w:r>
      <w:r>
        <w:rPr>
          <w:vertAlign w:val="baseline"/>
        </w:rPr>
        <w:t>each</w:t>
      </w:r>
      <w:r>
        <w:rPr>
          <w:spacing w:val="-10"/>
          <w:vertAlign w:val="baseline"/>
        </w:rPr>
        <w:t> </w:t>
      </w:r>
      <w:r>
        <w:rPr>
          <w:vertAlign w:val="baseline"/>
        </w:rPr>
        <w:t>proxy</w:t>
      </w:r>
      <w:r>
        <w:rPr>
          <w:spacing w:val="-10"/>
          <w:vertAlign w:val="baseline"/>
        </w:rPr>
        <w:t> </w:t>
      </w:r>
      <w:r>
        <w:rPr>
          <w:vertAlign w:val="baseline"/>
        </w:rPr>
        <w:t>on</w:t>
      </w:r>
      <w:r>
        <w:rPr>
          <w:spacing w:val="-10"/>
          <w:vertAlign w:val="baseline"/>
        </w:rPr>
        <w:t> </w:t>
      </w:r>
      <w:r>
        <w:rPr>
          <w:vertAlign w:val="baseline"/>
        </w:rPr>
        <w:t>the</w:t>
      </w:r>
      <w:r>
        <w:rPr>
          <w:spacing w:val="-10"/>
          <w:vertAlign w:val="baseline"/>
        </w:rPr>
        <w:t> </w:t>
      </w:r>
      <w:r>
        <w:rPr>
          <w:vertAlign w:val="baseline"/>
        </w:rPr>
        <w:t>same</w:t>
      </w:r>
      <w:r>
        <w:rPr>
          <w:spacing w:val="-10"/>
          <w:vertAlign w:val="baseline"/>
        </w:rPr>
        <w:t> </w:t>
      </w:r>
      <w:r>
        <w:rPr>
          <w:vertAlign w:val="baseline"/>
        </w:rPr>
        <w:t>wallets.</w:t>
      </w:r>
      <w:r>
        <w:rPr>
          <w:spacing w:val="12"/>
          <w:vertAlign w:val="baseline"/>
        </w:rPr>
        <w:t> </w:t>
      </w:r>
      <w:r>
        <w:rPr>
          <w:vertAlign w:val="baseline"/>
        </w:rPr>
        <w:t>This</w:t>
      </w:r>
      <w:r>
        <w:rPr>
          <w:spacing w:val="-10"/>
          <w:vertAlign w:val="baseline"/>
        </w:rPr>
        <w:t> </w:t>
      </w:r>
      <w:r>
        <w:rPr>
          <w:vertAlign w:val="baseline"/>
        </w:rPr>
        <w:t>approach</w:t>
      </w:r>
      <w:r>
        <w:rPr>
          <w:spacing w:val="-10"/>
          <w:vertAlign w:val="baseline"/>
        </w:rPr>
        <w:t> </w:t>
      </w:r>
      <w:r>
        <w:rPr>
          <w:vertAlign w:val="baseline"/>
        </w:rPr>
        <w:t>is</w:t>
      </w:r>
      <w:r>
        <w:rPr>
          <w:spacing w:val="-10"/>
          <w:vertAlign w:val="baseline"/>
        </w:rPr>
        <w:t> </w:t>
      </w:r>
      <w:r>
        <w:rPr>
          <w:vertAlign w:val="baseline"/>
        </w:rPr>
        <w:t>appropriate</w:t>
      </w:r>
      <w:r>
        <w:rPr>
          <w:spacing w:val="-10"/>
          <w:vertAlign w:val="baseline"/>
        </w:rPr>
        <w:t> </w:t>
      </w:r>
      <w:r>
        <w:rPr>
          <w:vertAlign w:val="baseline"/>
        </w:rPr>
        <w:t>when</w:t>
      </w:r>
      <w:r>
        <w:rPr>
          <w:spacing w:val="-10"/>
          <w:vertAlign w:val="baseline"/>
        </w:rPr>
        <w:t> </w:t>
      </w:r>
      <w:r>
        <w:rPr>
          <w:vertAlign w:val="baseline"/>
        </w:rPr>
        <w:t>ground-truth</w:t>
      </w:r>
      <w:r>
        <w:rPr>
          <w:spacing w:val="-10"/>
          <w:vertAlign w:val="baseline"/>
        </w:rPr>
        <w:t> </w:t>
      </w:r>
      <w:r>
        <w:rPr>
          <w:vertAlign w:val="baseline"/>
        </w:rPr>
        <w:t>loan</w:t>
      </w:r>
      <w:r>
        <w:rPr>
          <w:spacing w:val="-10"/>
          <w:vertAlign w:val="baseline"/>
        </w:rPr>
        <w:t> </w:t>
      </w:r>
      <w:r>
        <w:rPr>
          <w:vertAlign w:val="baseline"/>
        </w:rPr>
        <w:t>de-faults</w:t>
      </w:r>
      <w:r>
        <w:rPr>
          <w:spacing w:val="-10"/>
          <w:vertAlign w:val="baseline"/>
        </w:rPr>
        <w:t> </w:t>
      </w:r>
      <w:r>
        <w:rPr>
          <w:vertAlign w:val="baseline"/>
        </w:rPr>
        <w:t>are</w:t>
      </w:r>
      <w:r>
        <w:rPr>
          <w:spacing w:val="-10"/>
          <w:vertAlign w:val="baseline"/>
        </w:rPr>
        <w:t> </w:t>
      </w:r>
      <w:r>
        <w:rPr>
          <w:vertAlign w:val="baseline"/>
        </w:rPr>
        <w:t>sparse</w:t>
      </w:r>
      <w:r>
        <w:rPr>
          <w:spacing w:val="-10"/>
          <w:vertAlign w:val="baseline"/>
        </w:rPr>
        <w:t> </w:t>
      </w:r>
      <w:r>
        <w:rPr>
          <w:vertAlign w:val="baseline"/>
        </w:rPr>
        <w:t>and</w:t>
      </w:r>
      <w:r>
        <w:rPr>
          <w:spacing w:val="-10"/>
          <w:vertAlign w:val="baseline"/>
        </w:rPr>
        <w:t> </w:t>
      </w:r>
      <w:r>
        <w:rPr>
          <w:vertAlign w:val="baseline"/>
        </w:rPr>
        <w:t>when</w:t>
      </w:r>
      <w:r>
        <w:rPr>
          <w:spacing w:val="-10"/>
          <w:vertAlign w:val="baseline"/>
        </w:rPr>
        <w:t> </w:t>
      </w:r>
      <w:r>
        <w:rPr>
          <w:vertAlign w:val="baseline"/>
        </w:rPr>
        <w:t>the</w:t>
      </w:r>
      <w:r>
        <w:rPr>
          <w:spacing w:val="-10"/>
          <w:vertAlign w:val="baseline"/>
        </w:rPr>
        <w:t> </w:t>
      </w:r>
      <w:r>
        <w:rPr>
          <w:vertAlign w:val="baseline"/>
        </w:rPr>
        <w:t>scientific</w:t>
      </w:r>
      <w:r>
        <w:rPr>
          <w:spacing w:val="-10"/>
          <w:vertAlign w:val="baseline"/>
        </w:rPr>
        <w:t> </w:t>
      </w:r>
      <w:r>
        <w:rPr>
          <w:vertAlign w:val="baseline"/>
        </w:rPr>
        <w:t>claim</w:t>
      </w:r>
      <w:r>
        <w:rPr>
          <w:spacing w:val="-10"/>
          <w:vertAlign w:val="baseline"/>
        </w:rPr>
        <w:t> </w:t>
      </w:r>
      <w:r>
        <w:rPr>
          <w:vertAlign w:val="baseline"/>
        </w:rPr>
        <w:t>is</w:t>
      </w:r>
      <w:r>
        <w:rPr>
          <w:spacing w:val="-10"/>
          <w:vertAlign w:val="baseline"/>
        </w:rPr>
        <w:t> </w:t>
      </w:r>
      <w:r>
        <w:rPr>
          <w:vertAlign w:val="baseline"/>
        </w:rPr>
        <w:t>comparative—EndorseRank</w:t>
      </w:r>
      <w:r>
        <w:rPr>
          <w:spacing w:val="-10"/>
          <w:vertAlign w:val="baseline"/>
        </w:rPr>
        <w:t> </w:t>
      </w:r>
      <w:r>
        <w:rPr>
          <w:vertAlign w:val="baseline"/>
        </w:rPr>
        <w:t>versus</w:t>
      </w:r>
      <w:r>
        <w:rPr>
          <w:spacing w:val="-10"/>
          <w:vertAlign w:val="baseline"/>
        </w:rPr>
        <w:t> </w:t>
      </w:r>
      <w:r>
        <w:rPr>
          <w:vertAlign w:val="baseline"/>
        </w:rPr>
        <w:t>AWP—rather than absolute prediction of an external credit bureau label.</w:t>
      </w:r>
    </w:p>
    <w:p>
      <w:pPr>
        <w:pStyle w:val="BodyText"/>
        <w:spacing w:line="396" w:lineRule="auto" w:before="2"/>
        <w:ind w:left="273" w:right="522" w:firstLine="8"/>
        <w:jc w:val="both"/>
      </w:pPr>
      <w:r>
        <w:rPr>
          <w:i/>
        </w:rPr>
        <w:t>[14],[16]. 측정 측면에서 각 순위 방법은 관찰되지 않은 평판 구성의 지표이고, 프록시는 도메인 직관(인바운드 경제 활동, 승인 받은 것, 위험 회피 거래 행동, 활동 안정성 및 거래 성공)을 위해 선택된 대체 지표입니다. 정렬 통계는 메소드에 의해 유도된 순서가 동일한 지갑의 각 프록시에 의해 유도된 순서와 함께 변화하는지 여부를 묻습니다. 이 접근 방식은 외부 신용 조사 기관 레이블에 대한 절대적인 예측보다는 실제 대출 채무 불이행이 드물고 과학적 주장이 비교(EndorseRank 대 AWP)할 때 적합합니다.</w:t>
      </w:r>
    </w:p>
    <w:p>
      <w:pPr>
        <w:pStyle w:val="BodyText"/>
        <w:spacing w:line="396" w:lineRule="auto" w:before="22"/>
        <w:ind w:left="273" w:right="522"/>
        <w:jc w:val="both"/>
      </w:pPr>
      <w:r>
        <w:rPr/>
        <w:t>All procedures operate on publicly available blockchain logs within a fixed observation window, with</w:t>
      </w:r>
      <w:r>
        <w:rPr>
          <w:spacing w:val="-7"/>
        </w:rPr>
        <w:t> </w:t>
      </w:r>
      <w:r>
        <w:rPr/>
        <w:t>deterministic</w:t>
      </w:r>
      <w:r>
        <w:rPr>
          <w:spacing w:val="-7"/>
        </w:rPr>
        <w:t> </w:t>
      </w:r>
      <w:r>
        <w:rPr/>
        <w:t>seeds</w:t>
      </w:r>
      <w:r>
        <w:rPr>
          <w:spacing w:val="-7"/>
        </w:rPr>
        <w:t> </w:t>
      </w:r>
      <w:r>
        <w:rPr/>
        <w:t>and</w:t>
      </w:r>
      <w:r>
        <w:rPr>
          <w:spacing w:val="-7"/>
        </w:rPr>
        <w:t> </w:t>
      </w:r>
      <w:r>
        <w:rPr/>
        <w:t>an</w:t>
      </w:r>
      <w:r>
        <w:rPr>
          <w:spacing w:val="-7"/>
        </w:rPr>
        <w:t> </w:t>
      </w:r>
      <w:r>
        <w:rPr/>
        <w:t>open</w:t>
      </w:r>
      <w:r>
        <w:rPr>
          <w:spacing w:val="-7"/>
        </w:rPr>
        <w:t> </w:t>
      </w:r>
      <w:r>
        <w:rPr/>
        <w:t>evaluation</w:t>
      </w:r>
      <w:r>
        <w:rPr>
          <w:spacing w:val="-7"/>
        </w:rPr>
        <w:t> </w:t>
      </w:r>
      <w:r>
        <w:rPr/>
        <w:t>pipeline</w:t>
      </w:r>
      <w:r>
        <w:rPr>
          <w:spacing w:val="-7"/>
        </w:rPr>
        <w:t> </w:t>
      </w:r>
      <w:r>
        <w:rPr/>
        <w:t>so</w:t>
      </w:r>
      <w:r>
        <w:rPr>
          <w:spacing w:val="-7"/>
        </w:rPr>
        <w:t> </w:t>
      </w:r>
      <w:r>
        <w:rPr/>
        <w:t>that</w:t>
      </w:r>
      <w:r>
        <w:rPr>
          <w:spacing w:val="-7"/>
        </w:rPr>
        <w:t> </w:t>
      </w:r>
      <w:r>
        <w:rPr/>
        <w:t>reported</w:t>
      </w:r>
      <w:r>
        <w:rPr>
          <w:spacing w:val="-7"/>
        </w:rPr>
        <w:t> </w:t>
      </w:r>
      <w:r>
        <w:rPr/>
        <w:t>tables</w:t>
      </w:r>
      <w:r>
        <w:rPr>
          <w:spacing w:val="-7"/>
        </w:rPr>
        <w:t> </w:t>
      </w:r>
      <w:r>
        <w:rPr/>
        <w:t>can</w:t>
      </w:r>
      <w:r>
        <w:rPr>
          <w:spacing w:val="-7"/>
        </w:rPr>
        <w:t> </w:t>
      </w:r>
      <w:r>
        <w:rPr/>
        <w:t>be</w:t>
      </w:r>
      <w:r>
        <w:rPr>
          <w:spacing w:val="-7"/>
        </w:rPr>
        <w:t> </w:t>
      </w:r>
      <w:r>
        <w:rPr/>
        <w:t>regenerated from</w:t>
      </w:r>
      <w:r>
        <w:rPr>
          <w:spacing w:val="-14"/>
        </w:rPr>
        <w:t> </w:t>
      </w:r>
      <w:r>
        <w:rPr/>
        <w:t>cached</w:t>
      </w:r>
      <w:r>
        <w:rPr>
          <w:spacing w:val="-14"/>
        </w:rPr>
        <w:t> </w:t>
      </w:r>
      <w:r>
        <w:rPr/>
        <w:t>parquet.</w:t>
      </w:r>
      <w:r>
        <w:rPr>
          <w:spacing w:val="13"/>
        </w:rPr>
        <w:t> </w:t>
      </w:r>
      <w:r>
        <w:rPr/>
        <w:t>The</w:t>
      </w:r>
      <w:r>
        <w:rPr>
          <w:spacing w:val="-14"/>
        </w:rPr>
        <w:t> </w:t>
      </w:r>
      <w:r>
        <w:rPr/>
        <w:t>chapter</w:t>
      </w:r>
      <w:r>
        <w:rPr>
          <w:spacing w:val="-14"/>
        </w:rPr>
        <w:t> </w:t>
      </w:r>
      <w:r>
        <w:rPr/>
        <w:t>is</w:t>
      </w:r>
      <w:r>
        <w:rPr>
          <w:spacing w:val="-14"/>
        </w:rPr>
        <w:t> </w:t>
      </w:r>
      <w:r>
        <w:rPr/>
        <w:t>organized</w:t>
      </w:r>
      <w:r>
        <w:rPr>
          <w:spacing w:val="-15"/>
        </w:rPr>
        <w:t> </w:t>
      </w:r>
      <w:r>
        <w:rPr/>
        <w:t>to</w:t>
      </w:r>
      <w:r>
        <w:rPr>
          <w:spacing w:val="-14"/>
        </w:rPr>
        <w:t> </w:t>
      </w:r>
      <w:r>
        <w:rPr/>
        <w:t>move</w:t>
      </w:r>
      <w:r>
        <w:rPr>
          <w:spacing w:val="-14"/>
        </w:rPr>
        <w:t> </w:t>
      </w:r>
      <w:r>
        <w:rPr/>
        <w:t>from</w:t>
      </w:r>
      <w:r>
        <w:rPr>
          <w:spacing w:val="-14"/>
        </w:rPr>
        <w:t> </w:t>
      </w:r>
      <w:r>
        <w:rPr/>
        <w:t>symbols</w:t>
      </w:r>
      <w:r>
        <w:rPr>
          <w:spacing w:val="-14"/>
        </w:rPr>
        <w:t> </w:t>
      </w:r>
      <w:r>
        <w:rPr/>
        <w:t>and</w:t>
      </w:r>
      <w:r>
        <w:rPr>
          <w:spacing w:val="-14"/>
        </w:rPr>
        <w:t> </w:t>
      </w:r>
      <w:r>
        <w:rPr/>
        <w:t>data</w:t>
      </w:r>
      <w:r>
        <w:rPr>
          <w:spacing w:val="-14"/>
        </w:rPr>
        <w:t> </w:t>
      </w:r>
      <w:r>
        <w:rPr/>
        <w:t>acquisition,</w:t>
      </w:r>
      <w:r>
        <w:rPr>
          <w:spacing w:val="-12"/>
        </w:rPr>
        <w:t> </w:t>
      </w:r>
      <w:r>
        <w:rPr/>
        <w:t>through graph and proxy formalisms, to evaluation statistics, computational protocol, and research ethics. Readers primarily interested in empirical outcomes may skim Sections </w:t>
      </w:r>
      <w:hyperlink w:history="true" w:anchor="_bookmark49">
        <w:r>
          <w:rPr/>
          <w:t>3.1</w:t>
        </w:r>
      </w:hyperlink>
      <w:r>
        <w:rPr/>
        <w:t>–</w:t>
      </w:r>
      <w:hyperlink w:history="true" w:anchor="_bookmark58">
        <w:r>
          <w:rPr/>
          <w:t>3.5</w:t>
        </w:r>
      </w:hyperlink>
      <w:r>
        <w:rPr/>
        <w:t> and focus on Sec-tions </w:t>
      </w:r>
      <w:hyperlink w:history="true" w:anchor="_bookmark59">
        <w:r>
          <w:rPr/>
          <w:t>3.6</w:t>
        </w:r>
      </w:hyperlink>
      <w:r>
        <w:rPr/>
        <w:t>–</w:t>
      </w:r>
      <w:hyperlink w:history="true" w:anchor="_bookmark71">
        <w:r>
          <w:rPr/>
          <w:t>3.10</w:t>
        </w:r>
      </w:hyperlink>
      <w:r>
        <w:rPr/>
        <w:t>; readers implementing a replication should follow the full pipeline description and</w:t>
      </w:r>
    </w:p>
    <w:p>
      <w:pPr>
        <w:pStyle w:val="BodyText"/>
        <w:spacing w:line="396" w:lineRule="auto" w:before="22"/>
        <w:ind w:left="273" w:right="522"/>
        <w:jc w:val="both"/>
      </w:pPr>
      <w:r>
        <w:rPr>
          <w:i/>
        </w:rPr>
        <w:t>모든 절차는 고정된 관찰 창 내에서 공개적으로 사용 가능한 블록체인 로그에서 작동하며, 결정론적 시드와 개방형 평가 파이프라인을 통해 보고된 테이블을 캐시된 마루에서 재생성할 수 있습니다. 이 장은 그래프와 프록시 형식을 통해 기호와 데이터 수집에서 평가 통계, 계산 프로토콜 및 연구 윤리로 이동하도록 구성되어 있습니다. 실증적 결과에 주로 관심이 있는 독자는 섹션 3.1~3.5를 훑어보고 섹션 3.6~3.10에 집중할 수 있습니다. 복제를 구현하는 독자는 전체 파이프라인 설명을 따라야 하며</w:t>
      </w:r>
    </w:p>
    <w:p>
      <w:pPr>
        <w:pStyle w:val="BodyText"/>
        <w:spacing w:after="0" w:line="396" w:lineRule="auto"/>
        <w:jc w:val="both"/>
        <w:sectPr>
          <w:pgSz w:w="11910" w:h="16840"/>
          <w:pgMar w:header="0" w:footer="2115" w:top="1920" w:bottom="2300" w:left="992" w:right="708"/>
        </w:sectPr>
      </w:pPr>
    </w:p>
    <w:p>
      <w:pPr>
        <w:pStyle w:val="BodyText"/>
        <w:spacing w:before="72"/>
        <w:ind w:left="282"/>
      </w:pPr>
      <w:r>
        <w:rPr/>
        <w:t>Section</w:t>
      </w:r>
      <w:r>
        <w:rPr>
          <w:spacing w:val="-9"/>
        </w:rPr>
        <w:t> </w:t>
      </w:r>
      <w:hyperlink w:history="true" w:anchor="_bookmark74">
        <w:r>
          <w:rPr>
            <w:spacing w:val="-2"/>
          </w:rPr>
          <w:t>3.13</w:t>
        </w:r>
      </w:hyperlink>
      <w:r>
        <w:rPr>
          <w:spacing w:val="-2"/>
        </w:rPr>
        <w:t>.</w:t>
      </w:r>
    </w:p>
    <w:p>
      <w:pPr>
        <w:pStyle w:val="BodyText"/>
        <w:spacing w:before="72"/>
        <w:ind w:left="282"/>
      </w:pPr>
      <w:r>
        <w:rPr>
          <w:i/>
        </w:rPr>
        <w:t>섹션 3.13.</w:t>
      </w:r>
    </w:p>
    <w:p>
      <w:pPr>
        <w:pStyle w:val="BodyText"/>
        <w:spacing w:before="194"/>
        <w:ind w:left="282"/>
      </w:pPr>
      <w:r>
        <w:rPr/>
        <w:t>Four</w:t>
      </w:r>
      <w:r>
        <w:rPr>
          <w:spacing w:val="-11"/>
        </w:rPr>
        <w:t> </w:t>
      </w:r>
      <w:r>
        <w:rPr/>
        <w:t>principles</w:t>
      </w:r>
      <w:r>
        <w:rPr>
          <w:spacing w:val="-10"/>
        </w:rPr>
        <w:t> </w:t>
      </w:r>
      <w:r>
        <w:rPr/>
        <w:t>govern</w:t>
      </w:r>
      <w:r>
        <w:rPr>
          <w:spacing w:val="-10"/>
        </w:rPr>
        <w:t> </w:t>
      </w:r>
      <w:r>
        <w:rPr/>
        <w:t>every</w:t>
      </w:r>
      <w:r>
        <w:rPr>
          <w:spacing w:val="-10"/>
        </w:rPr>
        <w:t> </w:t>
      </w:r>
      <w:r>
        <w:rPr/>
        <w:t>operational</w:t>
      </w:r>
      <w:r>
        <w:rPr>
          <w:spacing w:val="-10"/>
        </w:rPr>
        <w:t> </w:t>
      </w:r>
      <w:r>
        <w:rPr>
          <w:spacing w:val="-2"/>
        </w:rPr>
        <w:t>choice.</w:t>
      </w:r>
    </w:p>
    <w:p>
      <w:pPr>
        <w:pStyle w:val="BodyText"/>
        <w:spacing w:before="194"/>
        <w:ind w:left="282"/>
      </w:pPr>
      <w:r>
        <w:rPr>
          <w:i/>
        </w:rPr>
        <w:t>모든 운영 선택에는 네 가지 원칙이 적용됩니다.</w:t>
      </w:r>
    </w:p>
    <w:p>
      <w:pPr>
        <w:pStyle w:val="ListParagraph"/>
        <w:numPr>
          <w:ilvl w:val="0"/>
          <w:numId w:val="15"/>
        </w:numPr>
        <w:tabs>
          <w:tab w:pos="806" w:val="left" w:leader="none"/>
          <w:tab w:pos="808" w:val="left" w:leader="none"/>
        </w:tabs>
        <w:spacing w:line="396" w:lineRule="auto" w:before="240" w:after="0"/>
        <w:ind w:left="808" w:right="564" w:hanging="216"/>
        <w:jc w:val="both"/>
        <w:rPr>
          <w:sz w:val="24"/>
        </w:rPr>
      </w:pPr>
      <w:r>
        <w:rPr>
          <w:b/>
          <w:sz w:val="24"/>
        </w:rPr>
        <w:t>Same-seed comparability:</w:t>
      </w:r>
      <w:r>
        <w:rPr>
          <w:b/>
          <w:spacing w:val="40"/>
          <w:sz w:val="24"/>
        </w:rPr>
        <w:t> </w:t>
      </w:r>
      <w:r>
        <w:rPr>
          <w:sz w:val="24"/>
        </w:rPr>
        <w:t>EndorseRank and AWP are always scored on identical wallet sets so that differences cannot be attributed to sampling inconsistency.</w:t>
      </w:r>
    </w:p>
    <w:p>
      <w:pPr>
        <w:pStyle w:val="ListParagraph"/>
        <w:numPr>
          <w:ilvl w:val="0"/>
          <w:numId w:val="15"/>
        </w:numPr>
        <w:tabs>
          <w:tab w:pos="806" w:val="left" w:leader="none"/>
          <w:tab w:pos="808" w:val="left" w:leader="none"/>
        </w:tabs>
        <w:spacing w:line="396" w:lineRule="auto" w:before="240" w:after="0"/>
        <w:ind w:left="808" w:right="564" w:hanging="216"/>
        <w:jc w:val="both"/>
        <w:rPr>
          <w:sz w:val="24"/>
        </w:rPr>
      </w:pPr>
      <w:r>
        <w:rPr>
          <w:i/>
        </w:rPr>
        <w:t>동일 시드 비교: EndorseRank 및 AWP는 항상 동일한 지갑 세트에서 점수가 매겨지므로 샘플링 불일치로 인해 차이가 발생하지 않습니다.</w:t>
      </w:r>
    </w:p>
    <w:p>
      <w:pPr>
        <w:pStyle w:val="ListParagraph"/>
        <w:numPr>
          <w:ilvl w:val="0"/>
          <w:numId w:val="15"/>
        </w:numPr>
        <w:tabs>
          <w:tab w:pos="806" w:val="left" w:leader="none"/>
          <w:tab w:pos="808" w:val="left" w:leader="none"/>
        </w:tabs>
        <w:spacing w:line="396" w:lineRule="auto" w:before="39" w:after="0"/>
        <w:ind w:left="808" w:right="524" w:hanging="216"/>
        <w:jc w:val="both"/>
        <w:rPr>
          <w:sz w:val="24"/>
        </w:rPr>
      </w:pPr>
      <w:r>
        <w:rPr>
          <w:b/>
          <w:sz w:val="24"/>
        </w:rPr>
        <w:t>Pre-registration by configuration:</w:t>
      </w:r>
      <w:r>
        <w:rPr>
          <w:b/>
          <w:spacing w:val="27"/>
          <w:sz w:val="24"/>
        </w:rPr>
        <w:t> </w:t>
      </w:r>
      <w:r>
        <w:rPr>
          <w:sz w:val="24"/>
        </w:rPr>
        <w:t>observation window, topic hashes, damping, decay pa-</w:t>
      </w:r>
      <w:r>
        <w:rPr>
          <w:spacing w:val="-2"/>
          <w:sz w:val="24"/>
        </w:rPr>
        <w:t>rameters, minimum</w:t>
      </w:r>
      <w:r>
        <w:rPr>
          <w:spacing w:val="-7"/>
          <w:sz w:val="24"/>
        </w:rPr>
        <w:t> </w:t>
      </w:r>
      <w:r>
        <w:rPr>
          <w:spacing w:val="-2"/>
          <w:sz w:val="24"/>
        </w:rPr>
        <w:t>closes, and</w:t>
      </w:r>
      <w:r>
        <w:rPr>
          <w:spacing w:val="-7"/>
          <w:sz w:val="24"/>
        </w:rPr>
        <w:t> </w:t>
      </w:r>
      <w:r>
        <w:rPr>
          <w:spacing w:val="-2"/>
          <w:sz w:val="24"/>
        </w:rPr>
        <w:t>benchmark</w:t>
      </w:r>
      <w:r>
        <w:rPr>
          <w:spacing w:val="-7"/>
          <w:sz w:val="24"/>
        </w:rPr>
        <w:t> </w:t>
      </w:r>
      <w:r>
        <w:rPr>
          <w:spacing w:val="-2"/>
          <w:sz w:val="24"/>
        </w:rPr>
        <w:t>seeds</w:t>
      </w:r>
      <w:r>
        <w:rPr>
          <w:spacing w:val="-7"/>
          <w:sz w:val="24"/>
        </w:rPr>
        <w:t> </w:t>
      </w:r>
      <w:r>
        <w:rPr>
          <w:spacing w:val="-2"/>
          <w:sz w:val="24"/>
        </w:rPr>
        <w:t>are</w:t>
      </w:r>
      <w:r>
        <w:rPr>
          <w:spacing w:val="-7"/>
          <w:sz w:val="24"/>
        </w:rPr>
        <w:t> </w:t>
      </w:r>
      <w:r>
        <w:rPr>
          <w:spacing w:val="-2"/>
          <w:sz w:val="24"/>
        </w:rPr>
        <w:t>fixed</w:t>
      </w:r>
      <w:r>
        <w:rPr>
          <w:spacing w:val="-7"/>
          <w:sz w:val="24"/>
        </w:rPr>
        <w:t> </w:t>
      </w:r>
      <w:r>
        <w:rPr>
          <w:spacing w:val="-2"/>
          <w:sz w:val="24"/>
        </w:rPr>
        <w:t>in</w:t>
      </w:r>
      <w:r>
        <w:rPr>
          <w:spacing w:val="-7"/>
          <w:sz w:val="24"/>
        </w:rPr>
        <w:t> </w:t>
      </w:r>
      <w:r>
        <w:rPr>
          <w:spacing w:val="-2"/>
          <w:sz w:val="24"/>
        </w:rPr>
        <w:t>configuration</w:t>
      </w:r>
      <w:r>
        <w:rPr>
          <w:spacing w:val="-7"/>
          <w:sz w:val="24"/>
        </w:rPr>
        <w:t> </w:t>
      </w:r>
      <w:r>
        <w:rPr>
          <w:spacing w:val="-2"/>
          <w:sz w:val="24"/>
        </w:rPr>
        <w:t>before</w:t>
      </w:r>
      <w:r>
        <w:rPr>
          <w:spacing w:val="-7"/>
          <w:sz w:val="24"/>
        </w:rPr>
        <w:t> </w:t>
      </w:r>
      <w:r>
        <w:rPr>
          <w:spacing w:val="-2"/>
          <w:sz w:val="24"/>
        </w:rPr>
        <w:t>interpreting results.</w:t>
      </w:r>
    </w:p>
    <w:p>
      <w:pPr>
        <w:pStyle w:val="ListParagraph"/>
        <w:numPr>
          <w:ilvl w:val="0"/>
          <w:numId w:val="15"/>
        </w:numPr>
        <w:tabs>
          <w:tab w:pos="806" w:val="left" w:leader="none"/>
          <w:tab w:pos="808" w:val="left" w:leader="none"/>
        </w:tabs>
        <w:spacing w:line="396" w:lineRule="auto" w:before="39" w:after="0"/>
        <w:ind w:left="808" w:right="524" w:hanging="216"/>
        <w:jc w:val="both"/>
        <w:rPr>
          <w:sz w:val="24"/>
        </w:rPr>
      </w:pPr>
      <w:r>
        <w:rPr>
          <w:i/>
        </w:rPr>
        <w:t>구성별 사전 등록: 관찰 창, 주제 해시, 감쇠, 붕괴 매개변수, 최소 마감 및 벤치마크 시드는 결과를 해석하기 전에 구성에서 고정됩니다.</w:t>
      </w:r>
    </w:p>
    <w:p>
      <w:pPr>
        <w:pStyle w:val="ListParagraph"/>
        <w:numPr>
          <w:ilvl w:val="0"/>
          <w:numId w:val="15"/>
        </w:numPr>
        <w:tabs>
          <w:tab w:pos="806" w:val="left" w:leader="none"/>
          <w:tab w:pos="808" w:val="left" w:leader="none"/>
        </w:tabs>
        <w:spacing w:line="396" w:lineRule="auto" w:before="40" w:after="0"/>
        <w:ind w:left="808" w:right="544" w:hanging="216"/>
        <w:jc w:val="both"/>
        <w:rPr>
          <w:sz w:val="24"/>
        </w:rPr>
      </w:pPr>
      <w:r>
        <w:rPr>
          <w:b/>
          <w:sz w:val="24"/>
        </w:rPr>
        <w:t>Separation of construction and timing:</w:t>
      </w:r>
      <w:r>
        <w:rPr>
          <w:b/>
          <w:spacing w:val="35"/>
          <w:sz w:val="24"/>
        </w:rPr>
        <w:t> </w:t>
      </w:r>
      <w:r>
        <w:rPr>
          <w:sz w:val="24"/>
        </w:rPr>
        <w:t>graph construction is performed once per cohort; computational benchmarks time only the PageRank solve.</w:t>
      </w:r>
    </w:p>
    <w:p>
      <w:pPr>
        <w:pStyle w:val="ListParagraph"/>
        <w:numPr>
          <w:ilvl w:val="0"/>
          <w:numId w:val="15"/>
        </w:numPr>
        <w:tabs>
          <w:tab w:pos="806" w:val="left" w:leader="none"/>
          <w:tab w:pos="808" w:val="left" w:leader="none"/>
        </w:tabs>
        <w:spacing w:line="396" w:lineRule="auto" w:before="40" w:after="0"/>
        <w:ind w:left="808" w:right="544" w:hanging="216"/>
        <w:jc w:val="both"/>
        <w:rPr>
          <w:sz w:val="24"/>
        </w:rPr>
      </w:pPr>
      <w:r>
        <w:rPr>
          <w:i/>
        </w:rPr>
        <w:t>구성과 타이밍의 분리: 그래프 구성은 집단당 한 번 수행되며 계산 벤치마크 시간은 PageRank 해결에만 적용됩니다.</w:t>
      </w:r>
    </w:p>
    <w:p>
      <w:pPr>
        <w:pStyle w:val="ListParagraph"/>
        <w:numPr>
          <w:ilvl w:val="0"/>
          <w:numId w:val="15"/>
        </w:numPr>
        <w:tabs>
          <w:tab w:pos="806" w:val="left" w:leader="none"/>
          <w:tab w:pos="808" w:val="left" w:leader="none"/>
        </w:tabs>
        <w:spacing w:line="396" w:lineRule="auto" w:before="39" w:after="0"/>
        <w:ind w:left="808" w:right="525" w:hanging="216"/>
        <w:jc w:val="both"/>
        <w:rPr>
          <w:sz w:val="24"/>
        </w:rPr>
      </w:pPr>
      <w:r>
        <w:rPr>
          <w:b/>
          <w:sz w:val="24"/>
        </w:rPr>
        <w:t>Primary</w:t>
      </w:r>
      <w:r>
        <w:rPr>
          <w:b/>
          <w:spacing w:val="-1"/>
          <w:sz w:val="24"/>
        </w:rPr>
        <w:t> </w:t>
      </w:r>
      <w:r>
        <w:rPr>
          <w:b/>
          <w:sz w:val="24"/>
        </w:rPr>
        <w:t>versus</w:t>
      </w:r>
      <w:r>
        <w:rPr>
          <w:b/>
          <w:spacing w:val="-1"/>
          <w:sz w:val="24"/>
        </w:rPr>
        <w:t> </w:t>
      </w:r>
      <w:r>
        <w:rPr>
          <w:b/>
          <w:sz w:val="24"/>
        </w:rPr>
        <w:t>supplementary</w:t>
      </w:r>
      <w:r>
        <w:rPr>
          <w:b/>
          <w:spacing w:val="-1"/>
          <w:sz w:val="24"/>
        </w:rPr>
        <w:t> </w:t>
      </w:r>
      <w:r>
        <w:rPr>
          <w:b/>
          <w:sz w:val="24"/>
        </w:rPr>
        <w:t>scope: </w:t>
      </w:r>
      <w:r>
        <w:rPr>
          <w:sz w:val="24"/>
        </w:rPr>
        <w:t>claims</w:t>
      </w:r>
      <w:r>
        <w:rPr>
          <w:spacing w:val="-1"/>
          <w:sz w:val="24"/>
        </w:rPr>
        <w:t> </w:t>
      </w:r>
      <w:r>
        <w:rPr>
          <w:sz w:val="24"/>
        </w:rPr>
        <w:t>C1–C4</w:t>
      </w:r>
      <w:r>
        <w:rPr>
          <w:spacing w:val="-1"/>
          <w:sz w:val="24"/>
        </w:rPr>
        <w:t> </w:t>
      </w:r>
      <w:r>
        <w:rPr>
          <w:sz w:val="24"/>
        </w:rPr>
        <w:t>and</w:t>
      </w:r>
      <w:r>
        <w:rPr>
          <w:spacing w:val="-1"/>
          <w:sz w:val="24"/>
        </w:rPr>
        <w:t> </w:t>
      </w:r>
      <w:r>
        <w:rPr>
          <w:sz w:val="24"/>
        </w:rPr>
        <w:t>hypotheses</w:t>
      </w:r>
      <w:r>
        <w:rPr>
          <w:spacing w:val="-1"/>
          <w:sz w:val="24"/>
        </w:rPr>
        <w:t> </w:t>
      </w:r>
      <w:r>
        <w:rPr>
          <w:sz w:val="24"/>
        </w:rPr>
        <w:t>H1–H3</w:t>
      </w:r>
      <w:r>
        <w:rPr>
          <w:spacing w:val="-1"/>
          <w:sz w:val="24"/>
        </w:rPr>
        <w:t> </w:t>
      </w:r>
      <w:r>
        <w:rPr>
          <w:sz w:val="24"/>
        </w:rPr>
        <w:t>concern</w:t>
      </w:r>
      <w:r>
        <w:rPr>
          <w:spacing w:val="-1"/>
          <w:sz w:val="24"/>
        </w:rPr>
        <w:t> </w:t>
      </w:r>
      <w:r>
        <w:rPr>
          <w:sz w:val="24"/>
        </w:rPr>
        <w:t>En-dorseRank and AWP; GF-PR enters only SRQ1 as an outcome-native ceiling.</w:t>
      </w:r>
    </w:p>
    <w:p>
      <w:pPr>
        <w:pStyle w:val="ListParagraph"/>
        <w:numPr>
          <w:ilvl w:val="0"/>
          <w:numId w:val="15"/>
        </w:numPr>
        <w:tabs>
          <w:tab w:pos="806" w:val="left" w:leader="none"/>
          <w:tab w:pos="808" w:val="left" w:leader="none"/>
        </w:tabs>
        <w:spacing w:line="396" w:lineRule="auto" w:before="39" w:after="0"/>
        <w:ind w:left="808" w:right="525" w:hanging="216"/>
        <w:jc w:val="both"/>
        <w:rPr>
          <w:sz w:val="24"/>
        </w:rPr>
      </w:pPr>
      <w:r>
        <w:rPr>
          <w:i/>
        </w:rPr>
        <w:t>기본 범위 대 보충 범위: 주장 C1~C4 및 가설 H1~H3은 En-dorseRank 및 AWP에 관련되며 GF-PR은 결과 기본 상한선으로 SRQ1만 입력합니다.</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bookmarkStart w:name="Notation" w:id="90"/>
      <w:bookmarkEnd w:id="90"/>
      <w:r>
        <w:rPr>
          <w:b w:val="0"/>
        </w:rPr>
      </w:r>
      <w:bookmarkStart w:name="_bookmark49" w:id="91"/>
      <w:bookmarkEnd w:id="91"/>
      <w:r>
        <w:rPr>
          <w:b w:val="0"/>
        </w:rPr>
      </w:r>
      <w:r>
        <w:rPr>
          <w:spacing w:val="-2"/>
        </w:rPr>
        <w:t>Notation</w:t>
      </w:r>
    </w:p>
    <w:p>
      <w:pPr>
        <w:pStyle w:val="Heading2"/>
        <w:numPr>
          <w:ilvl w:val="1"/>
          <w:numId w:val="8"/>
        </w:numPr>
        <w:tabs>
          <w:tab w:pos="783" w:val="left" w:leader="none"/>
        </w:tabs>
        <w:spacing w:line="240" w:lineRule="auto" w:before="0" w:after="0"/>
        <w:ind w:left="783" w:right="0" w:hanging="501"/>
        <w:jc w:val="left"/>
      </w:pPr>
      <w:r>
        <w:rPr>
          <w:i/>
        </w:rPr>
        <w:t>표기법</w:t>
      </w:r>
    </w:p>
    <w:p>
      <w:pPr>
        <w:pStyle w:val="BodyText"/>
        <w:spacing w:before="24"/>
        <w:rPr>
          <w:b/>
          <w:sz w:val="28"/>
        </w:rPr>
      </w:pPr>
    </w:p>
    <w:p>
      <w:pPr>
        <w:pStyle w:val="BodyText"/>
        <w:spacing w:line="396" w:lineRule="auto"/>
        <w:ind w:left="273" w:right="540" w:firstLine="1"/>
        <w:jc w:val="both"/>
      </w:pPr>
      <w:r>
        <w:rPr/>
        <w:t>Table</w:t>
      </w:r>
      <w:r>
        <w:rPr>
          <w:spacing w:val="18"/>
        </w:rPr>
        <w:t> </w:t>
      </w:r>
      <w:hyperlink w:history="true" w:anchor="_bookmark51">
        <w:r>
          <w:rPr/>
          <w:t>3.1</w:t>
        </w:r>
      </w:hyperlink>
      <w:r>
        <w:rPr>
          <w:spacing w:val="18"/>
        </w:rPr>
        <w:t> </w:t>
      </w:r>
      <w:r>
        <w:rPr/>
        <w:t>summarizes</w:t>
      </w:r>
      <w:r>
        <w:rPr>
          <w:spacing w:val="18"/>
        </w:rPr>
        <w:t> </w:t>
      </w:r>
      <w:r>
        <w:rPr/>
        <w:t>the</w:t>
      </w:r>
      <w:r>
        <w:rPr>
          <w:spacing w:val="18"/>
        </w:rPr>
        <w:t> </w:t>
      </w:r>
      <w:r>
        <w:rPr/>
        <w:t>operational</w:t>
      </w:r>
      <w:r>
        <w:rPr>
          <w:spacing w:val="18"/>
        </w:rPr>
        <w:t> </w:t>
      </w:r>
      <w:r>
        <w:rPr/>
        <w:t>symbols</w:t>
      </w:r>
      <w:r>
        <w:rPr>
          <w:spacing w:val="18"/>
        </w:rPr>
        <w:t> </w:t>
      </w:r>
      <w:r>
        <w:rPr/>
        <w:t>used</w:t>
      </w:r>
      <w:r>
        <w:rPr>
          <w:spacing w:val="18"/>
        </w:rPr>
        <w:t> </w:t>
      </w:r>
      <w:r>
        <w:rPr/>
        <w:t>throughout</w:t>
      </w:r>
      <w:r>
        <w:rPr>
          <w:spacing w:val="18"/>
        </w:rPr>
        <w:t> </w:t>
      </w:r>
      <w:r>
        <w:rPr/>
        <w:t>this</w:t>
      </w:r>
      <w:r>
        <w:rPr>
          <w:spacing w:val="18"/>
        </w:rPr>
        <w:t> </w:t>
      </w:r>
      <w:r>
        <w:rPr/>
        <w:t>chapter</w:t>
      </w:r>
      <w:r>
        <w:rPr>
          <w:spacing w:val="18"/>
        </w:rPr>
        <w:t> </w:t>
      </w:r>
      <w:r>
        <w:rPr/>
        <w:t>and</w:t>
      </w:r>
      <w:r>
        <w:rPr>
          <w:spacing w:val="18"/>
        </w:rPr>
        <w:t> </w:t>
      </w:r>
      <w:r>
        <w:rPr/>
        <w:t>in</w:t>
      </w:r>
      <w:r>
        <w:rPr>
          <w:spacing w:val="18"/>
        </w:rPr>
        <w:t> </w:t>
      </w:r>
      <w:r>
        <w:rPr/>
        <w:t>Chapters</w:t>
      </w:r>
      <w:r>
        <w:rPr>
          <w:spacing w:val="18"/>
        </w:rPr>
        <w:t> </w:t>
      </w:r>
      <w:hyperlink w:history="true" w:anchor="_bookmark84">
        <w:r>
          <w:rPr/>
          <w:t>4</w:t>
        </w:r>
      </w:hyperlink>
      <w:r>
        <w:rPr/>
        <w:t>–</w:t>
      </w:r>
      <w:hyperlink w:history="true" w:anchor="_bookmark114">
        <w:r>
          <w:rPr/>
          <w:t>5</w:t>
        </w:r>
      </w:hyperlink>
      <w:r>
        <w:rPr/>
        <w:t> (a compact front-matter summary appears in Table </w:t>
      </w:r>
      <w:hyperlink w:history="true" w:anchor="_bookmark3">
        <w:r>
          <w:rPr/>
          <w:t>2</w:t>
        </w:r>
      </w:hyperlink>
      <w:r>
        <w:rPr/>
        <w:t>).</w:t>
      </w:r>
      <w:r>
        <w:rPr>
          <w:spacing w:val="40"/>
        </w:rPr>
        <w:t> </w:t>
      </w:r>
      <w:r>
        <w:rPr/>
        <w:t>Vectors are bold; sets are calligraphic when helpful.</w:t>
      </w:r>
      <w:r>
        <w:rPr>
          <w:spacing w:val="31"/>
        </w:rPr>
        <w:t> </w:t>
      </w:r>
      <w:r>
        <w:rPr/>
        <w:t>Wallet addresses are treated as opaque identifiers and are never linked to off-chain </w:t>
      </w:r>
      <w:r>
        <w:rPr>
          <w:spacing w:val="-2"/>
        </w:rPr>
        <w:t>identities.</w:t>
      </w:r>
    </w:p>
    <w:p>
      <w:pPr>
        <w:pStyle w:val="BodyText"/>
        <w:spacing w:line="396" w:lineRule="auto"/>
        <w:ind w:left="273" w:right="540" w:firstLine="1"/>
        <w:jc w:val="both"/>
      </w:pPr>
      <w:r>
        <w:rPr>
          <w:i/>
        </w:rPr>
        <w:t>표 3.1은 이 장 전체와 4~5장에서 사용된 연산 기호를 요약합니다(간단한 서문 요약은 표 2에 나와 있습니다). 벡터는 굵은 글씨로, 세트는 도움이 될 때 붓글씨로 표현합니다. 지갑 주소는 불투명한 식별자로 취급되며 오프체인 ID와 연결되지 않습니다.</w:t>
      </w:r>
    </w:p>
    <w:p>
      <w:pPr>
        <w:pStyle w:val="BodyText"/>
        <w:spacing w:before="14"/>
        <w:ind w:left="282"/>
        <w:jc w:val="both"/>
      </w:pPr>
      <w:r>
        <w:rPr/>
        <w:t>Unless</w:t>
      </w:r>
      <w:r>
        <w:rPr>
          <w:spacing w:val="-7"/>
        </w:rPr>
        <w:t> </w:t>
      </w:r>
      <w:r>
        <w:rPr/>
        <w:t>otherwise</w:t>
      </w:r>
      <w:r>
        <w:rPr>
          <w:spacing w:val="-6"/>
        </w:rPr>
        <w:t> </w:t>
      </w:r>
      <w:r>
        <w:rPr/>
        <w:t>stated,</w:t>
      </w:r>
      <w:r>
        <w:rPr>
          <w:spacing w:val="-7"/>
        </w:rPr>
        <w:t> </w:t>
      </w:r>
      <w:r>
        <w:rPr/>
        <w:t>PageRank</w:t>
      </w:r>
      <w:r>
        <w:rPr>
          <w:spacing w:val="-6"/>
        </w:rPr>
        <w:t> </w:t>
      </w:r>
      <w:r>
        <w:rPr/>
        <w:t>is</w:t>
      </w:r>
      <w:r>
        <w:rPr>
          <w:spacing w:val="-7"/>
        </w:rPr>
        <w:t> </w:t>
      </w:r>
      <w:r>
        <w:rPr/>
        <w:t>the</w:t>
      </w:r>
      <w:r>
        <w:rPr>
          <w:spacing w:val="-6"/>
        </w:rPr>
        <w:t> </w:t>
      </w:r>
      <w:r>
        <w:rPr/>
        <w:t>weighted</w:t>
      </w:r>
      <w:r>
        <w:rPr>
          <w:spacing w:val="-7"/>
        </w:rPr>
        <w:t> </w:t>
      </w:r>
      <w:r>
        <w:rPr/>
        <w:t>formulation</w:t>
      </w:r>
      <w:r>
        <w:rPr>
          <w:spacing w:val="-6"/>
        </w:rPr>
        <w:t> </w:t>
      </w:r>
      <w:r>
        <w:rPr/>
        <w:t>of</w:t>
      </w:r>
      <w:r>
        <w:rPr>
          <w:spacing w:val="-7"/>
        </w:rPr>
        <w:t> </w:t>
      </w:r>
      <w:r>
        <w:rPr/>
        <w:t>Page</w:t>
      </w:r>
      <w:r>
        <w:rPr>
          <w:spacing w:val="-6"/>
        </w:rPr>
        <w:t> </w:t>
      </w:r>
      <w:r>
        <w:rPr/>
        <w:t>et</w:t>
      </w:r>
      <w:r>
        <w:rPr>
          <w:spacing w:val="-7"/>
        </w:rPr>
        <w:t> </w:t>
      </w:r>
      <w:r>
        <w:rPr/>
        <w:t>al.</w:t>
      </w:r>
      <w:hyperlink w:history="true" w:anchor="_bookmark182">
        <w:r>
          <w:rPr>
            <w:vertAlign w:val="superscript"/>
          </w:rPr>
          <w:t>[49]</w:t>
        </w:r>
      </w:hyperlink>
      <w:r>
        <w:rPr>
          <w:vertAlign w:val="baseline"/>
        </w:rPr>
        <w:t>:</w:t>
      </w:r>
      <w:r>
        <w:rPr>
          <w:spacing w:val="12"/>
          <w:vertAlign w:val="baseline"/>
        </w:rPr>
        <w:t> </w:t>
      </w:r>
      <w:r>
        <w:rPr>
          <w:vertAlign w:val="baseline"/>
        </w:rPr>
        <w:t>at</w:t>
      </w:r>
      <w:r>
        <w:rPr>
          <w:spacing w:val="-6"/>
          <w:vertAlign w:val="baseline"/>
        </w:rPr>
        <w:t> </w:t>
      </w:r>
      <w:r>
        <w:rPr>
          <w:vertAlign w:val="baseline"/>
        </w:rPr>
        <w:t>iteration</w:t>
      </w:r>
      <w:r>
        <w:rPr>
          <w:spacing w:val="-7"/>
          <w:vertAlign w:val="baseline"/>
        </w:rPr>
        <w:t> </w:t>
      </w:r>
      <w:r>
        <w:rPr>
          <w:rFonts w:ascii="Calibri"/>
          <w:i/>
          <w:spacing w:val="-5"/>
          <w:vertAlign w:val="baseline"/>
        </w:rPr>
        <w:t>t</w:t>
      </w:r>
      <w:r>
        <w:rPr>
          <w:spacing w:val="-5"/>
          <w:vertAlign w:val="baseline"/>
        </w:rPr>
        <w:t>,</w:t>
      </w:r>
    </w:p>
    <w:p>
      <w:pPr>
        <w:pStyle w:val="BodyText"/>
        <w:spacing w:before="14"/>
        <w:ind w:left="282"/>
        <w:jc w:val="both"/>
      </w:pPr>
      <w:r>
        <w:rPr>
          <w:i/>
        </w:rPr>
        <w:t>달리 명시하지 않는 한, PageRank는 Page et al.[49]의 가중 공식입니다. 반복 t에서,</w:t>
      </w:r>
    </w:p>
    <w:p>
      <w:pPr>
        <w:pStyle w:val="BodyText"/>
        <w:spacing w:before="230"/>
      </w:pPr>
    </w:p>
    <w:p>
      <w:pPr>
        <w:tabs>
          <w:tab w:pos="9196" w:val="left" w:leader="none"/>
        </w:tabs>
        <w:spacing w:before="0"/>
        <w:ind w:left="273" w:right="0" w:firstLine="2349"/>
        <w:jc w:val="left"/>
        <w:rPr>
          <w:sz w:val="24"/>
        </w:rPr>
      </w:pPr>
      <w:bookmarkStart w:name="_bookmark50" w:id="92"/>
      <w:bookmarkEnd w:id="92"/>
      <w:r>
        <w:rPr/>
      </w:r>
      <w:r>
        <w:rPr>
          <w:b/>
          <w:w w:val="115"/>
          <w:sz w:val="24"/>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+1)</w:t>
      </w:r>
      <w:r>
        <w:rPr>
          <w:rFonts w:ascii="Calibri" w:hAnsi="Calibri"/>
          <w:spacing w:val="1"/>
          <w:w w:val="125"/>
          <w:sz w:val="24"/>
          <w:vertAlign w:val="baseline"/>
        </w:rPr>
        <w:t> </w:t>
      </w:r>
      <w:r>
        <w:rPr>
          <w:rFonts w:ascii="Calibri" w:hAnsi="Calibri"/>
          <w:w w:val="125"/>
          <w:sz w:val="24"/>
          <w:vertAlign w:val="baseline"/>
        </w:rPr>
        <w:t>=</w:t>
      </w:r>
      <w:r>
        <w:rPr>
          <w:rFonts w:ascii="Calibri" w:hAnsi="Calibri"/>
          <w:spacing w:val="-4"/>
          <w:w w:val="125"/>
          <w:sz w:val="24"/>
          <w:vertAlign w:val="baseline"/>
        </w:rPr>
        <w:t> </w:t>
      </w:r>
      <w:r>
        <w:rPr>
          <w:rFonts w:ascii="Calibri" w:hAnsi="Calibri"/>
          <w:w w:val="115"/>
          <w:sz w:val="24"/>
          <w:vertAlign w:val="baseline"/>
        </w:rPr>
        <w:t>(1</w:t>
      </w:r>
      <w:r>
        <w:rPr>
          <w:rFonts w:ascii="Calibri" w:hAnsi="Calibri"/>
          <w:spacing w:val="-11"/>
          <w:w w:val="11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15"/>
          <w:sz w:val="24"/>
          <w:vertAlign w:val="baseline"/>
        </w:rPr>
        <w:t>d</w:t>
      </w:r>
      <w:r>
        <w:rPr>
          <w:rFonts w:ascii="Calibri" w:hAnsi="Calibri"/>
          <w:w w:val="115"/>
          <w:sz w:val="24"/>
          <w:vertAlign w:val="baseline"/>
        </w:rPr>
        <w:t>)</w:t>
      </w:r>
      <w:r>
        <w:rPr>
          <w:rFonts w:ascii="Calibri" w:hAnsi="Calibri"/>
          <w:spacing w:val="-23"/>
          <w:w w:val="115"/>
          <w:sz w:val="24"/>
          <w:vertAlign w:val="baseline"/>
        </w:rPr>
        <w:t> </w:t>
      </w:r>
      <w:r>
        <w:rPr>
          <w:rFonts w:ascii="Calibri" w:hAnsi="Calibri"/>
          <w:b/>
          <w:i/>
          <w:w w:val="115"/>
          <w:sz w:val="24"/>
          <w:vertAlign w:val="baseline"/>
        </w:rPr>
        <w:t>π</w:t>
      </w:r>
      <w:r>
        <w:rPr>
          <w:rFonts w:ascii="Calibri" w:hAnsi="Calibri"/>
          <w:b/>
          <w:i/>
          <w:spacing w:val="-3"/>
          <w:w w:val="115"/>
          <w:sz w:val="24"/>
          <w:vertAlign w:val="baseline"/>
        </w:rPr>
        <w:t> </w:t>
      </w:r>
      <w:r>
        <w:rPr>
          <w:rFonts w:ascii="Calibri" w:hAnsi="Calibri"/>
          <w:w w:val="125"/>
          <w:sz w:val="24"/>
          <w:vertAlign w:val="baseline"/>
        </w:rPr>
        <w:t>+</w:t>
      </w:r>
      <w:r>
        <w:rPr>
          <w:rFonts w:ascii="Calibri" w:hAnsi="Calibri"/>
          <w:spacing w:val="-16"/>
          <w:w w:val="125"/>
          <w:sz w:val="24"/>
          <w:vertAlign w:val="baseline"/>
        </w:rPr>
        <w:t> </w:t>
      </w:r>
      <w:r>
        <w:rPr>
          <w:rFonts w:ascii="Calibri" w:hAnsi="Calibri"/>
          <w:i/>
          <w:w w:val="115"/>
          <w:sz w:val="24"/>
          <w:vertAlign w:val="baseline"/>
        </w:rPr>
        <w:t>d</w:t>
      </w:r>
      <w:r>
        <w:rPr>
          <w:rFonts w:ascii="Calibri" w:hAnsi="Calibri"/>
          <w:i/>
          <w:spacing w:val="-23"/>
          <w:w w:val="115"/>
          <w:sz w:val="24"/>
          <w:vertAlign w:val="baseline"/>
        </w:rPr>
        <w:t> </w:t>
      </w:r>
      <w:r>
        <w:rPr>
          <w:rFonts w:ascii="Calibri" w:hAnsi="Calibri"/>
          <w:i/>
          <w:w w:val="115"/>
          <w:sz w:val="24"/>
          <w:vertAlign w:val="baseline"/>
        </w:rPr>
        <w:t>P</w:t>
      </w:r>
      <w:r>
        <w:rPr>
          <w:rFonts w:ascii="Calibri" w:hAnsi="Calibri"/>
          <w:i/>
          <w:spacing w:val="-30"/>
          <w:w w:val="115"/>
          <w:sz w:val="24"/>
          <w:vertAlign w:val="baseline"/>
        </w:rPr>
        <w:t> </w:t>
      </w:r>
      <w:r>
        <w:rPr>
          <w:rFonts w:ascii="Cambria" w:hAnsi="Cambria"/>
          <w:w w:val="115"/>
          <w:sz w:val="24"/>
          <w:vertAlign w:val="superscript"/>
        </w:rPr>
        <w:t>⊤</w:t>
      </w:r>
      <w:r>
        <w:rPr>
          <w:b/>
          <w:w w:val="115"/>
          <w:sz w:val="24"/>
          <w:vertAlign w:val="baseline"/>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w:t>
      </w:r>
      <w:r>
        <w:rPr>
          <w:rFonts w:ascii="Calibri" w:hAnsi="Calibri"/>
          <w:spacing w:val="-2"/>
          <w:w w:val="115"/>
          <w:sz w:val="24"/>
          <w:vertAlign w:val="baseline"/>
        </w:rPr>
        <w:t> </w:t>
      </w:r>
      <w:r>
        <w:rPr>
          <w:rFonts w:ascii="Calibri" w:hAnsi="Calibri"/>
          <w:w w:val="125"/>
          <w:sz w:val="24"/>
          <w:vertAlign w:val="baseline"/>
        </w:rPr>
        <w:t>+</w:t>
      </w:r>
      <w:r>
        <w:rPr>
          <w:rFonts w:ascii="Calibri" w:hAnsi="Calibri"/>
          <w:spacing w:val="-16"/>
          <w:w w:val="125"/>
          <w:sz w:val="24"/>
          <w:vertAlign w:val="baseline"/>
        </w:rPr>
        <w:t> </w:t>
      </w:r>
      <w:r>
        <w:rPr>
          <w:rFonts w:ascii="Calibri" w:hAnsi="Calibri"/>
          <w:i/>
          <w:w w:val="115"/>
          <w:sz w:val="24"/>
          <w:vertAlign w:val="baseline"/>
        </w:rPr>
        <w:t>d</w:t>
      </w:r>
      <w:r>
        <w:rPr>
          <w:spacing w:val="75"/>
          <w:w w:val="115"/>
          <w:position w:val="19"/>
          <w:sz w:val="24"/>
          <w:vertAlign w:val="baseline"/>
        </w:rPr>
        <w:t> </w:t>
      </w:r>
      <w:r>
        <w:rPr>
          <w:b/>
          <w:w w:val="115"/>
          <w:sz w:val="24"/>
          <w:vertAlign w:val="baseline"/>
        </w:rPr>
        <w:t>r</w:t>
      </w:r>
      <w:r>
        <w:rPr>
          <w:rFonts w:ascii="Calibri" w:hAnsi="Calibri"/>
          <w:w w:val="115"/>
          <w:sz w:val="24"/>
          <w:vertAlign w:val="superscript"/>
        </w:rPr>
        <w:t>(</w:t>
      </w:r>
      <w:r>
        <w:rPr>
          <w:rFonts w:ascii="Cambria" w:hAnsi="Cambria"/>
          <w:w w:val="115"/>
          <w:sz w:val="24"/>
          <w:vertAlign w:val="superscript"/>
        </w:rPr>
        <w:t>t</w:t>
      </w:r>
      <w:r>
        <w:rPr>
          <w:rFonts w:ascii="Calibri" w:hAnsi="Calibri"/>
          <w:w w:val="115"/>
          <w:sz w:val="24"/>
          <w:vertAlign w:val="superscript"/>
        </w:rPr>
        <w:t>)</w:t>
      </w:r>
      <w:r>
        <w:rPr>
          <w:rFonts w:ascii="Cambria" w:hAnsi="Cambria"/>
          <w:w w:val="115"/>
          <w:sz w:val="24"/>
          <w:vertAlign w:val="superscript"/>
        </w:rPr>
        <w:t>⊤</w:t>
      </w:r>
      <w:r>
        <w:rPr>
          <w:b/>
          <w:w w:val="115"/>
          <w:sz w:val="24"/>
          <w:vertAlign w:val="baseline"/>
        </w:rPr>
        <w:t>1</w:t>
      </w:r>
      <w:r>
        <w:rPr>
          <w:w w:val="115"/>
          <w:sz w:val="24"/>
          <w:vertAlign w:val="subscript"/>
        </w:rPr>
        <w:t>dang</w:t>
      </w:r>
      <w:r>
        <w:rPr>
          <w:spacing w:val="75"/>
          <w:w w:val="115"/>
          <w:position w:val="19"/>
          <w:sz w:val="24"/>
          <w:vertAlign w:val="baseline"/>
        </w:rPr>
        <w:t> </w:t>
      </w:r>
      <w:r>
        <w:rPr>
          <w:rFonts w:ascii="Calibri" w:hAnsi="Calibri"/>
          <w:b/>
          <w:i/>
          <w:spacing w:val="-5"/>
          <w:w w:val="115"/>
          <w:sz w:val="24"/>
          <w:vertAlign w:val="baseline"/>
        </w:rPr>
        <w:t>π</w:t>
      </w:r>
      <w:r>
        <w:rPr>
          <w:rFonts w:ascii="Calibri" w:hAnsi="Calibri"/>
          <w:i/>
          <w:spacing w:val="-5"/>
          <w:w w:val="115"/>
          <w:sz w:val="24"/>
          <w:vertAlign w:val="baseline"/>
        </w:rPr>
        <w:t>,</w:t>
      </w:r>
      <w:r>
        <w:rPr>
          <w:rFonts w:ascii="Calibri" w:hAnsi="Calibri"/>
          <w:i/>
          <w:sz w:val="24"/>
          <w:vertAlign w:val="baseline"/>
        </w:rPr>
        <w:tab/>
      </w:r>
      <w:r>
        <w:rPr>
          <w:spacing w:val="-4"/>
          <w:w w:val="115"/>
          <w:sz w:val="24"/>
          <w:vertAlign w:val="baseline"/>
        </w:rPr>
        <w:t>(3.1)</w:t>
      </w:r>
    </w:p>
    <w:p>
      <w:pPr>
        <w:pStyle w:val="BodyText"/>
        <w:spacing w:before="88"/>
      </w:pPr>
    </w:p>
    <w:p>
      <w:pPr>
        <w:pStyle w:val="BodyText"/>
        <w:spacing w:line="456" w:lineRule="exact"/>
        <w:ind w:left="282" w:right="534" w:hanging="9"/>
        <w:jc w:val="both"/>
      </w:pPr>
      <w:r>
        <w:rPr/>
        <w:t>where</w:t>
      </w:r>
      <w:r>
        <w:rPr>
          <w:spacing w:val="-5"/>
        </w:rPr>
        <w:t> </w:t>
      </w:r>
      <w:r>
        <w:rPr>
          <w:rFonts w:ascii="Calibri" w:hAnsi="Calibri"/>
          <w:i/>
        </w:rPr>
        <w:t>P</w:t>
      </w:r>
      <w:r>
        <w:rPr>
          <w:rFonts w:ascii="Calibri" w:hAnsi="Calibri"/>
          <w:i/>
          <w:spacing w:val="35"/>
        </w:rPr>
        <w:t> </w:t>
      </w:r>
      <w:r>
        <w:rPr/>
        <w:t>is</w:t>
      </w:r>
      <w:r>
        <w:rPr>
          <w:spacing w:val="-5"/>
        </w:rPr>
        <w:t> </w:t>
      </w:r>
      <w:r>
        <w:rPr/>
        <w:t>the</w:t>
      </w:r>
      <w:r>
        <w:rPr>
          <w:spacing w:val="-5"/>
        </w:rPr>
        <w:t> </w:t>
      </w:r>
      <w:r>
        <w:rPr/>
        <w:t>row-stochastic</w:t>
      </w:r>
      <w:r>
        <w:rPr>
          <w:spacing w:val="-5"/>
        </w:rPr>
        <w:t> </w:t>
      </w:r>
      <w:r>
        <w:rPr/>
        <w:t>transition</w:t>
      </w:r>
      <w:r>
        <w:rPr>
          <w:spacing w:val="-5"/>
        </w:rPr>
        <w:t> </w:t>
      </w:r>
      <w:r>
        <w:rPr/>
        <w:t>matrix</w:t>
      </w:r>
      <w:r>
        <w:rPr>
          <w:spacing w:val="-5"/>
        </w:rPr>
        <w:t> </w:t>
      </w:r>
      <w:r>
        <w:rPr/>
        <w:t>induced</w:t>
      </w:r>
      <w:r>
        <w:rPr>
          <w:spacing w:val="-5"/>
        </w:rPr>
        <w:t> </w:t>
      </w:r>
      <w:r>
        <w:rPr/>
        <w:t>by</w:t>
      </w:r>
      <w:r>
        <w:rPr>
          <w:spacing w:val="-5"/>
        </w:rPr>
        <w:t> </w:t>
      </w:r>
      <w:r>
        <w:rPr/>
        <w:t>positive</w:t>
      </w:r>
      <w:r>
        <w:rPr>
          <w:spacing w:val="-5"/>
        </w:rPr>
        <w:t> </w:t>
      </w:r>
      <w:r>
        <w:rPr/>
        <w:t>edge</w:t>
      </w:r>
      <w:r>
        <w:rPr>
          <w:spacing w:val="-5"/>
        </w:rPr>
        <w:t> </w:t>
      </w:r>
      <w:r>
        <w:rPr/>
        <w:t>weights,</w:t>
      </w:r>
      <w:r>
        <w:rPr>
          <w:spacing w:val="-5"/>
        </w:rPr>
        <w:t> </w:t>
      </w:r>
      <w:r>
        <w:rPr>
          <w:rFonts w:ascii="Calibri" w:hAnsi="Calibri"/>
          <w:b/>
          <w:i/>
        </w:rPr>
        <w:t>π </w:t>
      </w:r>
      <w:r>
        <w:rPr/>
        <w:t>is</w:t>
      </w:r>
      <w:r>
        <w:rPr>
          <w:spacing w:val="-5"/>
        </w:rPr>
        <w:t> </w:t>
      </w:r>
      <w:r>
        <w:rPr/>
        <w:t>the</w:t>
      </w:r>
      <w:r>
        <w:rPr>
          <w:spacing w:val="-5"/>
        </w:rPr>
        <w:t> </w:t>
      </w:r>
      <w:r>
        <w:rPr/>
        <w:t>uniform </w:t>
      </w:r>
      <w:r>
        <w:rPr>
          <w:spacing w:val="-2"/>
        </w:rPr>
        <w:t>teleportation</w:t>
      </w:r>
      <w:r>
        <w:rPr>
          <w:spacing w:val="-11"/>
        </w:rPr>
        <w:t> </w:t>
      </w:r>
      <w:r>
        <w:rPr>
          <w:spacing w:val="-2"/>
        </w:rPr>
        <w:t>distribution</w:t>
      </w:r>
      <w:r>
        <w:rPr>
          <w:spacing w:val="-11"/>
        </w:rPr>
        <w:t> </w:t>
      </w:r>
      <w:r>
        <w:rPr>
          <w:spacing w:val="-2"/>
        </w:rPr>
        <w:t>over</w:t>
      </w:r>
      <w:r>
        <w:rPr>
          <w:spacing w:val="-11"/>
        </w:rPr>
        <w:t> </w:t>
      </w:r>
      <w:r>
        <w:rPr>
          <w:spacing w:val="-2"/>
        </w:rPr>
        <w:t>nodes,</w:t>
      </w:r>
      <w:r>
        <w:rPr>
          <w:spacing w:val="-6"/>
        </w:rPr>
        <w:t> </w:t>
      </w:r>
      <w:r>
        <w:rPr>
          <w:spacing w:val="-2"/>
        </w:rPr>
        <w:t>and</w:t>
      </w:r>
      <w:r>
        <w:rPr>
          <w:spacing w:val="-11"/>
        </w:rPr>
        <w:t> </w:t>
      </w:r>
      <w:r>
        <w:rPr>
          <w:b/>
          <w:spacing w:val="-2"/>
        </w:rPr>
        <w:t>1</w:t>
      </w:r>
      <w:r>
        <w:rPr>
          <w:spacing w:val="-2"/>
          <w:vertAlign w:val="subscript"/>
        </w:rPr>
        <w:t>dang</w:t>
      </w:r>
      <w:r>
        <w:rPr>
          <w:spacing w:val="-2"/>
          <w:vertAlign w:val="baseline"/>
        </w:rPr>
        <w:t> marks</w:t>
      </w:r>
      <w:r>
        <w:rPr>
          <w:spacing w:val="-11"/>
          <w:vertAlign w:val="baseline"/>
        </w:rPr>
        <w:t> </w:t>
      </w:r>
      <w:r>
        <w:rPr>
          <w:spacing w:val="-2"/>
          <w:vertAlign w:val="baseline"/>
        </w:rPr>
        <w:t>dangling</w:t>
      </w:r>
      <w:r>
        <w:rPr>
          <w:spacing w:val="-11"/>
          <w:vertAlign w:val="baseline"/>
        </w:rPr>
        <w:t> </w:t>
      </w:r>
      <w:r>
        <w:rPr>
          <w:spacing w:val="-2"/>
          <w:vertAlign w:val="baseline"/>
        </w:rPr>
        <w:t>nodes</w:t>
      </w:r>
      <w:r>
        <w:rPr>
          <w:spacing w:val="-9"/>
          <w:vertAlign w:val="baseline"/>
        </w:rPr>
        <w:t> </w:t>
      </w:r>
      <w:r>
        <w:rPr>
          <w:spacing w:val="-2"/>
          <w:vertAlign w:val="baseline"/>
        </w:rPr>
        <w:t>(zero</w:t>
      </w:r>
      <w:r>
        <w:rPr>
          <w:spacing w:val="-11"/>
          <w:vertAlign w:val="baseline"/>
        </w:rPr>
        <w:t> </w:t>
      </w:r>
      <w:r>
        <w:rPr>
          <w:spacing w:val="-2"/>
          <w:vertAlign w:val="baseline"/>
        </w:rPr>
        <w:t>out-strength).</w:t>
      </w:r>
      <w:r>
        <w:rPr>
          <w:spacing w:val="28"/>
          <w:vertAlign w:val="baseline"/>
        </w:rPr>
        <w:t> </w:t>
      </w:r>
      <w:r>
        <w:rPr>
          <w:spacing w:val="-2"/>
          <w:vertAlign w:val="baseline"/>
        </w:rPr>
        <w:t>Explicitly, </w:t>
      </w:r>
      <w:r>
        <w:rPr>
          <w:w w:val="105"/>
          <w:vertAlign w:val="baseline"/>
        </w:rPr>
        <w:t>if</w:t>
      </w:r>
      <w:r>
        <w:rPr>
          <w:spacing w:val="-17"/>
          <w:w w:val="105"/>
          <w:vertAlign w:val="baseline"/>
        </w:rPr>
        <w:t> </w:t>
      </w:r>
      <w:r>
        <w:rPr>
          <w:rFonts w:ascii="Calibri" w:hAnsi="Calibri"/>
          <w:i/>
          <w:w w:val="105"/>
          <w:vertAlign w:val="baseline"/>
        </w:rPr>
        <w:t>w</w:t>
      </w:r>
      <w:r>
        <w:rPr>
          <w:rFonts w:ascii="Calibri" w:hAnsi="Calibri"/>
          <w:w w:val="105"/>
          <w:vertAlign w:val="baseline"/>
        </w:rPr>
        <w:t>(</w:t>
      </w:r>
      <w:r>
        <w:rPr>
          <w:rFonts w:ascii="Calibri" w:hAnsi="Calibri"/>
          <w:i/>
          <w:w w:val="105"/>
          <w:vertAlign w:val="baseline"/>
        </w:rPr>
        <w:t>u,</w:t>
      </w:r>
      <w:r>
        <w:rPr>
          <w:rFonts w:ascii="Calibri" w:hAnsi="Calibri"/>
          <w:i/>
          <w:spacing w:val="-18"/>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spacing w:val="-14"/>
          <w:w w:val="105"/>
          <w:vertAlign w:val="baseline"/>
        </w:rPr>
        <w:t> </w:t>
      </w:r>
      <w:r>
        <w:rPr>
          <w:w w:val="105"/>
          <w:vertAlign w:val="baseline"/>
        </w:rPr>
        <w:t>denotes</w:t>
      </w:r>
      <w:r>
        <w:rPr>
          <w:spacing w:val="-17"/>
          <w:w w:val="105"/>
          <w:vertAlign w:val="baseline"/>
        </w:rPr>
        <w:t> </w:t>
      </w:r>
      <w:r>
        <w:rPr>
          <w:w w:val="105"/>
          <w:vertAlign w:val="baseline"/>
        </w:rPr>
        <w:t>the</w:t>
      </w:r>
      <w:r>
        <w:rPr>
          <w:spacing w:val="-17"/>
          <w:w w:val="105"/>
          <w:vertAlign w:val="baseline"/>
        </w:rPr>
        <w:t> </w:t>
      </w:r>
      <w:r>
        <w:rPr>
          <w:w w:val="105"/>
          <w:vertAlign w:val="baseline"/>
        </w:rPr>
        <w:t>weight</w:t>
      </w:r>
      <w:r>
        <w:rPr>
          <w:spacing w:val="-17"/>
          <w:w w:val="105"/>
          <w:vertAlign w:val="baseline"/>
        </w:rPr>
        <w:t> </w:t>
      </w:r>
      <w:r>
        <w:rPr>
          <w:w w:val="105"/>
          <w:vertAlign w:val="baseline"/>
        </w:rPr>
        <w:t>of</w:t>
      </w:r>
      <w:r>
        <w:rPr>
          <w:spacing w:val="-17"/>
          <w:w w:val="105"/>
          <w:vertAlign w:val="baseline"/>
        </w:rPr>
        <w:t> </w:t>
      </w:r>
      <w:r>
        <w:rPr>
          <w:w w:val="105"/>
          <w:vertAlign w:val="baseline"/>
        </w:rPr>
        <w:t>the</w:t>
      </w:r>
      <w:r>
        <w:rPr>
          <w:spacing w:val="-17"/>
          <w:w w:val="105"/>
          <w:vertAlign w:val="baseline"/>
        </w:rPr>
        <w:t> </w:t>
      </w:r>
      <w:r>
        <w:rPr>
          <w:w w:val="105"/>
          <w:vertAlign w:val="baseline"/>
        </w:rPr>
        <w:t>directed</w:t>
      </w:r>
      <w:r>
        <w:rPr>
          <w:spacing w:val="-17"/>
          <w:w w:val="105"/>
          <w:vertAlign w:val="baseline"/>
        </w:rPr>
        <w:t> </w:t>
      </w:r>
      <w:r>
        <w:rPr>
          <w:w w:val="105"/>
          <w:vertAlign w:val="baseline"/>
        </w:rPr>
        <w:t>edge</w:t>
      </w:r>
      <w:r>
        <w:rPr>
          <w:spacing w:val="-17"/>
          <w:w w:val="105"/>
          <w:vertAlign w:val="baseline"/>
        </w:rPr>
        <w:t> </w:t>
      </w:r>
      <w:r>
        <w:rPr>
          <w:rFonts w:ascii="Calibri" w:hAnsi="Calibri"/>
          <w:i/>
          <w:w w:val="105"/>
          <w:vertAlign w:val="baseline"/>
        </w:rPr>
        <w:t>u</w:t>
      </w:r>
      <w:r>
        <w:rPr>
          <w:rFonts w:ascii="Calibri" w:hAnsi="Calibri"/>
          <w:i/>
          <w:spacing w:val="-14"/>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i/>
          <w:w w:val="105"/>
          <w:vertAlign w:val="baseline"/>
        </w:rPr>
        <w:t>v</w:t>
      </w:r>
      <w:r>
        <w:rPr>
          <w:rFonts w:ascii="Calibri" w:hAnsi="Calibri"/>
          <w:i/>
          <w:spacing w:val="-15"/>
          <w:w w:val="105"/>
          <w:vertAlign w:val="baseline"/>
        </w:rPr>
        <w:t> </w:t>
      </w:r>
      <w:r>
        <w:rPr>
          <w:w w:val="105"/>
          <w:vertAlign w:val="baseline"/>
        </w:rPr>
        <w:t>and</w:t>
      </w:r>
      <w:r>
        <w:rPr>
          <w:spacing w:val="-17"/>
          <w:w w:val="105"/>
          <w:vertAlign w:val="baseline"/>
        </w:rPr>
        <w:t> </w:t>
      </w:r>
      <w:r>
        <w:rPr>
          <w:rFonts w:ascii="Calibri" w:hAnsi="Calibri"/>
          <w:i/>
          <w:w w:val="105"/>
          <w:vertAlign w:val="baseline"/>
        </w:rPr>
        <w:t>s</w:t>
      </w:r>
      <w:r>
        <w:rPr>
          <w:rFonts w:ascii="Calibri" w:hAnsi="Calibri"/>
          <w:w w:val="105"/>
          <w:vertAlign w:val="baseline"/>
        </w:rPr>
        <w:t>(</w:t>
      </w:r>
      <w:r>
        <w:rPr>
          <w:rFonts w:ascii="Calibri" w:hAnsi="Calibri"/>
          <w:i/>
          <w:w w:val="105"/>
          <w:vertAlign w:val="baseline"/>
        </w:rPr>
        <w:t>u</w:t>
      </w:r>
      <w:r>
        <w:rPr>
          <w:rFonts w:ascii="Calibri" w:hAnsi="Calibri"/>
          <w:w w:val="105"/>
          <w:vertAlign w:val="baseline"/>
        </w:rPr>
        <w:t>)</w:t>
      </w:r>
      <w:r>
        <w:rPr>
          <w:rFonts w:ascii="Calibri" w:hAnsi="Calibri"/>
          <w:spacing w:val="-3"/>
          <w:w w:val="105"/>
          <w:vertAlign w:val="baseline"/>
        </w:rPr>
        <w:t> </w:t>
      </w:r>
      <w:r>
        <w:rPr>
          <w:rFonts w:ascii="Calibri" w:hAnsi="Calibri"/>
          <w:w w:val="120"/>
          <w:vertAlign w:val="baseline"/>
        </w:rPr>
        <w:t>=</w:t>
      </w:r>
      <w:r>
        <w:rPr>
          <w:rFonts w:ascii="Calibri" w:hAnsi="Calibri"/>
          <w:spacing w:val="-3"/>
          <w:w w:val="120"/>
          <w:vertAlign w:val="baseline"/>
        </w:rPr>
        <w:t> </w:t>
      </w:r>
      <w:r>
        <w:rPr>
          <w:w w:val="120"/>
          <w:position w:val="18"/>
          <w:vertAlign w:val="baseline"/>
        </w:rPr>
        <w:t>Σ</w:t>
      </w:r>
      <w:r>
        <w:rPr>
          <w:rFonts w:ascii="Cambria" w:hAnsi="Cambria"/>
          <w:w w:val="120"/>
          <w:position w:val="-6"/>
          <w:sz w:val="16"/>
          <w:vertAlign w:val="baseline"/>
        </w:rPr>
        <w:t>v</w:t>
      </w:r>
      <w:r>
        <w:rPr>
          <w:rFonts w:ascii="Cambria" w:hAnsi="Cambria"/>
          <w:spacing w:val="10"/>
          <w:w w:val="120"/>
          <w:position w:val="-6"/>
          <w:sz w:val="16"/>
          <w:vertAlign w:val="baseline"/>
        </w:rPr>
        <w:t> </w:t>
      </w:r>
      <w:r>
        <w:rPr>
          <w:rFonts w:ascii="Calibri" w:hAnsi="Calibri"/>
          <w:i/>
          <w:w w:val="105"/>
          <w:vertAlign w:val="baseline"/>
        </w:rPr>
        <w:t>w</w:t>
      </w:r>
      <w:r>
        <w:rPr>
          <w:rFonts w:ascii="Calibri" w:hAnsi="Calibri"/>
          <w:w w:val="105"/>
          <w:vertAlign w:val="baseline"/>
        </w:rPr>
        <w:t>(</w:t>
      </w:r>
      <w:r>
        <w:rPr>
          <w:rFonts w:ascii="Calibri" w:hAnsi="Calibri"/>
          <w:i/>
          <w:w w:val="105"/>
          <w:vertAlign w:val="baseline"/>
        </w:rPr>
        <w:t>u,</w:t>
      </w:r>
      <w:r>
        <w:rPr>
          <w:rFonts w:ascii="Calibri" w:hAnsi="Calibri"/>
          <w:i/>
          <w:spacing w:val="-18"/>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spacing w:val="-14"/>
          <w:w w:val="105"/>
          <w:vertAlign w:val="baseline"/>
        </w:rPr>
        <w:t> </w:t>
      </w:r>
      <w:r>
        <w:rPr>
          <w:w w:val="105"/>
          <w:vertAlign w:val="baseline"/>
        </w:rPr>
        <w:t>is</w:t>
      </w:r>
      <w:r>
        <w:rPr>
          <w:spacing w:val="-17"/>
          <w:w w:val="105"/>
          <w:vertAlign w:val="baseline"/>
        </w:rPr>
        <w:t> </w:t>
      </w:r>
      <w:r>
        <w:rPr>
          <w:w w:val="105"/>
          <w:vertAlign w:val="baseline"/>
        </w:rPr>
        <w:t>the</w:t>
      </w:r>
      <w:r>
        <w:rPr>
          <w:spacing w:val="-17"/>
          <w:w w:val="105"/>
          <w:vertAlign w:val="baseline"/>
        </w:rPr>
        <w:t> </w:t>
      </w:r>
      <w:r>
        <w:rPr>
          <w:w w:val="105"/>
          <w:vertAlign w:val="baseline"/>
        </w:rPr>
        <w:t>out-</w:t>
      </w:r>
      <w:r>
        <w:rPr>
          <w:spacing w:val="-2"/>
          <w:vertAlign w:val="baseline"/>
        </w:rPr>
        <w:t>strength,</w:t>
      </w:r>
    </w:p>
    <w:p>
      <w:pPr>
        <w:pStyle w:val="BodyText"/>
        <w:spacing w:line="456" w:lineRule="exact"/>
        <w:ind w:left="282" w:right="534" w:hanging="9"/>
        <w:jc w:val="both"/>
      </w:pPr>
      <w:r>
        <w:rPr>
          <w:i/>
        </w:rPr>
        <w:t>여기서 P는 양의 가장자리 가중치에 의해 유도된 행 확률론적 전이 행렬이고, π는 노드에 대한 균일한 순간 이동 분포이며, 1dang은 매달려 있는 노드(아웃 강도 0)를 표시합니다. 명시적으로, w(u, v)가 방향이 지정된 모서리 u → v의 가중치를 나타내고 s(u) = Σv인 경우 w(u, v)는 아웃강도입니다.</w:t>
      </w:r>
    </w:p>
    <w:p>
      <w:pPr>
        <w:pStyle w:val="BodyText"/>
        <w:spacing w:after="0" w:line="456" w:lineRule="exact"/>
        <w:jc w:val="both"/>
        <w:sectPr>
          <w:pgSz w:w="11910" w:h="16840"/>
          <w:pgMar w:header="0" w:footer="2115" w:top="1840" w:bottom="2300" w:left="992"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ind w:right="290"/>
        <w:jc w:val="center"/>
      </w:pPr>
      <w:bookmarkStart w:name="_bookmark51" w:id="93"/>
      <w:bookmarkEnd w:id="93"/>
      <w:r>
        <w:rPr/>
      </w:r>
      <w:r>
        <w:rPr/>
        <w:t>Table</w:t>
      </w:r>
      <w:r>
        <w:rPr>
          <w:spacing w:val="-9"/>
        </w:rPr>
        <w:t> </w:t>
      </w:r>
      <w:r>
        <w:rPr/>
        <w:t>3.1:</w:t>
      </w:r>
      <w:r>
        <w:rPr>
          <w:spacing w:val="9"/>
        </w:rPr>
        <w:t> </w:t>
      </w:r>
      <w:r>
        <w:rPr/>
        <w:t>Notation</w:t>
      </w:r>
      <w:r>
        <w:rPr>
          <w:spacing w:val="-8"/>
        </w:rPr>
        <w:t> </w:t>
      </w:r>
      <w:r>
        <w:rPr/>
        <w:t>for</w:t>
      </w:r>
      <w:r>
        <w:rPr>
          <w:spacing w:val="-9"/>
        </w:rPr>
        <w:t> </w:t>
      </w:r>
      <w:r>
        <w:rPr/>
        <w:t>graphs,</w:t>
      </w:r>
      <w:r>
        <w:rPr>
          <w:spacing w:val="-8"/>
        </w:rPr>
        <w:t> </w:t>
      </w:r>
      <w:r>
        <w:rPr/>
        <w:t>scores,</w:t>
      </w:r>
      <w:r>
        <w:rPr>
          <w:spacing w:val="-9"/>
        </w:rPr>
        <w:t> </w:t>
      </w:r>
      <w:r>
        <w:rPr/>
        <w:t>proxies,</w:t>
      </w:r>
      <w:r>
        <w:rPr>
          <w:spacing w:val="-8"/>
        </w:rPr>
        <w:t> </w:t>
      </w:r>
      <w:r>
        <w:rPr/>
        <w:t>and</w:t>
      </w:r>
      <w:r>
        <w:rPr>
          <w:spacing w:val="-9"/>
        </w:rPr>
        <w:t> </w:t>
      </w:r>
      <w:r>
        <w:rPr>
          <w:spacing w:val="-2"/>
        </w:rPr>
        <w:t>parameters.</w:t>
      </w:r>
    </w:p>
    <w:p>
      <w:pPr>
        <w:pStyle w:val="BodyText"/>
        <w:ind w:right="290"/>
        <w:jc w:val="center"/>
      </w:pPr>
      <w:r>
        <w:rPr>
          <w:i/>
        </w:rPr>
        <w:t>표 3.1: 그래프, 점수, 프록시 및 매개변수에 대한 표기법.</w:t>
      </w:r>
    </w:p>
    <w:p>
      <w:pPr>
        <w:pStyle w:val="BodyText"/>
        <w:spacing w:before="1"/>
        <w:rPr>
          <w:sz w:val="19"/>
        </w:rPr>
      </w:pPr>
      <w:r>
        <w:rPr>
          <w:sz w:val="19"/>
        </w:rPr>
        <mc:AlternateContent>
          <mc:Choice Requires="wps">
            <w:drawing>
              <wp:anchor distT="0" distB="0" distL="0" distR="0" allowOverlap="1" layoutInCell="1" locked="0" behindDoc="1" simplePos="0" relativeHeight="487604736">
                <wp:simplePos x="0" y="0"/>
                <wp:positionH relativeFrom="page">
                  <wp:posOffset>852576</wp:posOffset>
                </wp:positionH>
                <wp:positionV relativeFrom="paragraph">
                  <wp:posOffset>155129</wp:posOffset>
                </wp:positionV>
                <wp:extent cx="5855335"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855335" cy="1270"/>
                        </a:xfrm>
                        <a:custGeom>
                          <a:avLst/>
                          <a:gdLst/>
                          <a:ahLst/>
                          <a:cxnLst/>
                          <a:rect l="l" t="t" r="r" b="b"/>
                          <a:pathLst>
                            <a:path w="5855335" h="0">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12.21489pt;width:461.05pt;height:.1pt;mso-position-horizontal-relative:page;mso-position-vertical-relative:paragraph;z-index:-15711744;mso-wrap-distance-left:0;mso-wrap-distance-right:0" id="docshape83" coordorigin="1343,244" coordsize="9221,0" path="m1343,244l10563,244e" filled="false" stroked="true" strokeweight=".9564pt" strokecolor="#000000">
                <v:path arrowok="t"/>
                <v:stroke dashstyle="solid"/>
                <w10:wrap type="topAndBottom"/>
              </v:shape>
            </w:pict>
          </mc:Fallback>
        </mc:AlternateContent>
      </w:r>
    </w:p>
    <w:p>
      <w:pPr>
        <w:tabs>
          <w:tab w:pos="2764" w:val="left" w:leader="none"/>
        </w:tabs>
        <w:spacing w:before="54"/>
        <w:ind w:left="420" w:right="0" w:firstLine="0"/>
        <w:jc w:val="left"/>
        <w:rPr>
          <w:sz w:val="22"/>
        </w:rPr>
      </w:pPr>
      <w:r>
        <w:rPr>
          <w:spacing w:val="-2"/>
          <w:sz w:val="22"/>
        </w:rPr>
        <w:t>Symbol</w:t>
      </w:r>
      <w:r>
        <w:rPr>
          <w:sz w:val="22"/>
        </w:rPr>
        <w:tab/>
      </w:r>
      <w:r>
        <w:rPr>
          <w:spacing w:val="-2"/>
          <w:sz w:val="22"/>
        </w:rPr>
        <w:t>Meaning</w:t>
      </w:r>
    </w:p>
    <w:p>
      <w:pPr>
        <w:tabs>
          <w:tab w:pos="2764" w:val="left" w:leader="none"/>
        </w:tabs>
        <w:spacing w:before="54"/>
        <w:ind w:left="420" w:right="0" w:firstLine="0"/>
        <w:jc w:val="left"/>
        <w:rPr>
          <w:sz w:val="22"/>
        </w:rPr>
      </w:pPr>
      <w:r>
        <w:rPr>
          <w:i/>
        </w:rPr>
        <w:t>상징</w:t>
        <w:tab/>
        <w:t>의미</w:t>
      </w:r>
    </w:p>
    <w:p>
      <w:pPr>
        <w:pStyle w:val="BodyText"/>
        <w:rPr>
          <w:sz w:val="5"/>
        </w:rPr>
      </w:pPr>
      <w:r>
        <w:rPr>
          <w:sz w:val="5"/>
        </w:rPr>
        <mc:AlternateContent>
          <mc:Choice Requires="wps">
            <w:drawing>
              <wp:anchor distT="0" distB="0" distL="0" distR="0" allowOverlap="1" layoutInCell="1" locked="0" behindDoc="1" simplePos="0" relativeHeight="487605248">
                <wp:simplePos x="0" y="0"/>
                <wp:positionH relativeFrom="page">
                  <wp:posOffset>852576</wp:posOffset>
                </wp:positionH>
                <wp:positionV relativeFrom="paragraph">
                  <wp:posOffset>52233</wp:posOffset>
                </wp:positionV>
                <wp:extent cx="5855335"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855335" cy="1270"/>
                        </a:xfrm>
                        <a:custGeom>
                          <a:avLst/>
                          <a:gdLst/>
                          <a:ahLst/>
                          <a:cxnLst/>
                          <a:rect l="l" t="t" r="r" b="b"/>
                          <a:pathLst>
                            <a:path w="5855335" h="0">
                              <a:moveTo>
                                <a:pt x="0" y="0"/>
                              </a:moveTo>
                              <a:lnTo>
                                <a:pt x="5854852"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4.112874pt;width:461.05pt;height:.1pt;mso-position-horizontal-relative:page;mso-position-vertical-relative:paragraph;z-index:-15711232;mso-wrap-distance-left:0;mso-wrap-distance-right:0" id="docshape84" coordorigin="1343,82" coordsize="9221,0" path="m1343,82l10563,82e" filled="false" stroked="true" strokeweight=".5978pt" strokecolor="#000000">
                <v:path arrowok="t"/>
                <v:stroke dashstyle="solid"/>
                <w10:wrap type="topAndBottom"/>
              </v:shape>
            </w:pict>
          </mc:Fallback>
        </mc:AlternateContent>
      </w:r>
    </w:p>
    <w:p>
      <w:pPr>
        <w:tabs>
          <w:tab w:pos="2764" w:val="left" w:leader="none"/>
        </w:tabs>
        <w:spacing w:line="305" w:lineRule="exact" w:before="18"/>
        <w:ind w:left="420" w:right="0" w:firstLine="0"/>
        <w:jc w:val="left"/>
        <w:rPr>
          <w:sz w:val="22"/>
        </w:rPr>
      </w:pPr>
      <w:r>
        <w:rPr>
          <w:rFonts w:ascii="Lucida Sans Unicode"/>
          <w:spacing w:val="-10"/>
          <w:w w:val="110"/>
          <w:sz w:val="22"/>
        </w:rPr>
        <w:t>M</w:t>
      </w:r>
      <w:r>
        <w:rPr>
          <w:rFonts w:ascii="Lucida Sans Unicode"/>
          <w:sz w:val="22"/>
        </w:rPr>
        <w:tab/>
      </w:r>
      <w:r>
        <w:rPr>
          <w:w w:val="105"/>
          <w:sz w:val="22"/>
        </w:rPr>
        <w:t>Matched</w:t>
      </w:r>
      <w:r>
        <w:rPr>
          <w:spacing w:val="-7"/>
          <w:w w:val="105"/>
          <w:sz w:val="22"/>
        </w:rPr>
        <w:t> </w:t>
      </w:r>
      <w:r>
        <w:rPr>
          <w:w w:val="105"/>
          <w:sz w:val="22"/>
        </w:rPr>
        <w:t>wallet</w:t>
      </w:r>
      <w:r>
        <w:rPr>
          <w:spacing w:val="-6"/>
          <w:w w:val="105"/>
          <w:sz w:val="22"/>
        </w:rPr>
        <w:t> </w:t>
      </w:r>
      <w:r>
        <w:rPr>
          <w:w w:val="105"/>
          <w:sz w:val="22"/>
        </w:rPr>
        <w:t>cohort</w:t>
      </w:r>
      <w:r>
        <w:rPr>
          <w:spacing w:val="-6"/>
          <w:w w:val="105"/>
          <w:sz w:val="22"/>
        </w:rPr>
        <w:t> </w:t>
      </w:r>
      <w:r>
        <w:rPr>
          <w:w w:val="105"/>
          <w:sz w:val="22"/>
        </w:rPr>
        <w:t>(</w:t>
      </w:r>
      <w:r>
        <w:rPr>
          <w:rFonts w:ascii="Lucida Sans Unicode"/>
          <w:w w:val="105"/>
          <w:sz w:val="22"/>
        </w:rPr>
        <w:t>|M|</w:t>
      </w:r>
      <w:r>
        <w:rPr>
          <w:rFonts w:ascii="Lucida Sans Unicode"/>
          <w:spacing w:val="-16"/>
          <w:w w:val="105"/>
          <w:sz w:val="22"/>
        </w:rPr>
        <w:t> </w:t>
      </w:r>
      <w:r>
        <w:rPr>
          <w:rFonts w:ascii="Calibri"/>
          <w:w w:val="105"/>
          <w:sz w:val="22"/>
        </w:rPr>
        <w:t>=</w:t>
      </w:r>
      <w:r>
        <w:rPr>
          <w:rFonts w:ascii="Calibri"/>
          <w:spacing w:val="6"/>
          <w:w w:val="105"/>
          <w:sz w:val="22"/>
        </w:rPr>
        <w:t> </w:t>
      </w:r>
      <w:r>
        <w:rPr>
          <w:rFonts w:ascii="Calibri"/>
          <w:i/>
          <w:w w:val="105"/>
          <w:sz w:val="22"/>
        </w:rPr>
        <w:t>n</w:t>
      </w:r>
      <w:r>
        <w:rPr>
          <w:rFonts w:ascii="Calibri"/>
          <w:i/>
          <w:spacing w:val="5"/>
          <w:w w:val="105"/>
          <w:sz w:val="22"/>
        </w:rPr>
        <w:t> </w:t>
      </w:r>
      <w:r>
        <w:rPr>
          <w:rFonts w:ascii="Calibri"/>
          <w:w w:val="105"/>
          <w:sz w:val="22"/>
        </w:rPr>
        <w:t>=</w:t>
      </w:r>
      <w:r>
        <w:rPr>
          <w:rFonts w:ascii="Calibri"/>
          <w:spacing w:val="4"/>
          <w:w w:val="105"/>
          <w:sz w:val="22"/>
        </w:rPr>
        <w:t> </w:t>
      </w:r>
      <w:r>
        <w:rPr>
          <w:rFonts w:ascii="Calibri"/>
          <w:spacing w:val="-2"/>
          <w:w w:val="105"/>
          <w:sz w:val="22"/>
        </w:rPr>
        <w:t>5</w:t>
      </w:r>
      <w:r>
        <w:rPr>
          <w:rFonts w:ascii="Calibri"/>
          <w:i/>
          <w:spacing w:val="-2"/>
          <w:w w:val="105"/>
          <w:sz w:val="22"/>
        </w:rPr>
        <w:t>,</w:t>
      </w:r>
      <w:r>
        <w:rPr>
          <w:rFonts w:ascii="Calibri"/>
          <w:spacing w:val="-2"/>
          <w:w w:val="105"/>
          <w:sz w:val="22"/>
        </w:rPr>
        <w:t>521</w:t>
      </w:r>
      <w:r>
        <w:rPr>
          <w:spacing w:val="-2"/>
          <w:w w:val="105"/>
          <w:sz w:val="22"/>
        </w:rPr>
        <w:t>)</w:t>
      </w:r>
    </w:p>
    <w:p>
      <w:pPr>
        <w:tabs>
          <w:tab w:pos="2764" w:val="left" w:leader="none"/>
        </w:tabs>
        <w:spacing w:line="305" w:lineRule="exact" w:before="18"/>
        <w:ind w:left="420" w:right="0" w:firstLine="0"/>
        <w:jc w:val="left"/>
        <w:rPr>
          <w:sz w:val="22"/>
        </w:rPr>
      </w:pPr>
      <w:r>
        <w:rPr>
          <w:i/>
        </w:rPr>
        <w:t>중</w:t>
        <w:tab/>
        <w:t>일치하는 지갑 코호트(|M| = n = 5,521)</w:t>
      </w:r>
    </w:p>
    <w:p>
      <w:pPr>
        <w:tabs>
          <w:tab w:pos="2764" w:val="left" w:leader="none"/>
        </w:tabs>
        <w:spacing w:line="287" w:lineRule="exact" w:before="0"/>
        <w:ind w:left="420" w:right="0" w:firstLine="0"/>
        <w:jc w:val="left"/>
        <w:rPr>
          <w:sz w:val="22"/>
        </w:rPr>
      </w:pPr>
      <w:r>
        <w:rPr>
          <w:rFonts w:ascii="Lucida Sans Unicode"/>
          <w:spacing w:val="-2"/>
          <w:w w:val="110"/>
          <w:sz w:val="22"/>
        </w:rPr>
        <w:t>M</w:t>
      </w:r>
      <w:r>
        <w:rPr>
          <w:spacing w:val="-2"/>
          <w:w w:val="110"/>
          <w:sz w:val="22"/>
          <w:vertAlign w:val="subscript"/>
        </w:rPr>
        <w:t>pool</w:t>
      </w:r>
      <w:r>
        <w:rPr>
          <w:sz w:val="22"/>
          <w:vertAlign w:val="baseline"/>
        </w:rPr>
        <w:tab/>
      </w:r>
      <w:r>
        <w:rPr>
          <w:w w:val="105"/>
          <w:sz w:val="22"/>
          <w:vertAlign w:val="baseline"/>
        </w:rPr>
        <w:t>Expanded</w:t>
      </w:r>
      <w:r>
        <w:rPr>
          <w:spacing w:val="-3"/>
          <w:w w:val="105"/>
          <w:sz w:val="22"/>
          <w:vertAlign w:val="baseline"/>
        </w:rPr>
        <w:t> </w:t>
      </w:r>
      <w:r>
        <w:rPr>
          <w:w w:val="105"/>
          <w:sz w:val="22"/>
          <w:vertAlign w:val="baseline"/>
        </w:rPr>
        <w:t>wallet</w:t>
      </w:r>
      <w:r>
        <w:rPr>
          <w:spacing w:val="-2"/>
          <w:w w:val="105"/>
          <w:sz w:val="22"/>
          <w:vertAlign w:val="baseline"/>
        </w:rPr>
        <w:t> </w:t>
      </w:r>
      <w:r>
        <w:rPr>
          <w:w w:val="105"/>
          <w:sz w:val="22"/>
          <w:vertAlign w:val="baseline"/>
        </w:rPr>
        <w:t>pool</w:t>
      </w:r>
      <w:r>
        <w:rPr>
          <w:spacing w:val="-3"/>
          <w:w w:val="105"/>
          <w:sz w:val="22"/>
          <w:vertAlign w:val="baseline"/>
        </w:rPr>
        <w:t> </w:t>
      </w:r>
      <w:r>
        <w:rPr>
          <w:w w:val="105"/>
          <w:sz w:val="22"/>
          <w:vertAlign w:val="baseline"/>
        </w:rPr>
        <w:t>(</w:t>
      </w:r>
      <w:r>
        <w:rPr>
          <w:rFonts w:ascii="Lucida Sans Unicode"/>
          <w:w w:val="105"/>
          <w:sz w:val="22"/>
          <w:vertAlign w:val="baseline"/>
        </w:rPr>
        <w:t>|M</w:t>
      </w:r>
      <w:r>
        <w:rPr>
          <w:w w:val="105"/>
          <w:sz w:val="22"/>
          <w:vertAlign w:val="subscript"/>
        </w:rPr>
        <w:t>pool</w:t>
      </w:r>
      <w:r>
        <w:rPr>
          <w:rFonts w:ascii="Lucida Sans Unicode"/>
          <w:w w:val="105"/>
          <w:sz w:val="22"/>
          <w:vertAlign w:val="baseline"/>
        </w:rPr>
        <w:t>|</w:t>
      </w:r>
      <w:r>
        <w:rPr>
          <w:rFonts w:ascii="Lucida Sans Unicode"/>
          <w:spacing w:val="-11"/>
          <w:w w:val="105"/>
          <w:sz w:val="22"/>
          <w:vertAlign w:val="baseline"/>
        </w:rPr>
        <w:t> </w:t>
      </w:r>
      <w:r>
        <w:rPr>
          <w:rFonts w:ascii="Calibri"/>
          <w:w w:val="105"/>
          <w:sz w:val="22"/>
          <w:vertAlign w:val="baseline"/>
        </w:rPr>
        <w:t>=</w:t>
      </w:r>
      <w:r>
        <w:rPr>
          <w:rFonts w:ascii="Calibri"/>
          <w:spacing w:val="10"/>
          <w:w w:val="105"/>
          <w:sz w:val="22"/>
          <w:vertAlign w:val="baseline"/>
        </w:rPr>
        <w:t> </w:t>
      </w:r>
      <w:r>
        <w:rPr>
          <w:rFonts w:ascii="Calibri"/>
          <w:i/>
          <w:w w:val="105"/>
          <w:sz w:val="22"/>
          <w:vertAlign w:val="baseline"/>
        </w:rPr>
        <w:t>N</w:t>
      </w:r>
      <w:r>
        <w:rPr>
          <w:rFonts w:ascii="Calibri"/>
          <w:i/>
          <w:spacing w:val="34"/>
          <w:w w:val="105"/>
          <w:sz w:val="22"/>
          <w:vertAlign w:val="baseline"/>
        </w:rPr>
        <w:t> </w:t>
      </w:r>
      <w:r>
        <w:rPr>
          <w:rFonts w:ascii="Calibri"/>
          <w:w w:val="105"/>
          <w:sz w:val="22"/>
          <w:vertAlign w:val="baseline"/>
        </w:rPr>
        <w:t>=</w:t>
      </w:r>
      <w:r>
        <w:rPr>
          <w:rFonts w:ascii="Calibri"/>
          <w:spacing w:val="9"/>
          <w:w w:val="105"/>
          <w:sz w:val="22"/>
          <w:vertAlign w:val="baseline"/>
        </w:rPr>
        <w:t> </w:t>
      </w:r>
      <w:r>
        <w:rPr>
          <w:rFonts w:ascii="Calibri"/>
          <w:spacing w:val="-2"/>
          <w:w w:val="105"/>
          <w:sz w:val="22"/>
          <w:vertAlign w:val="baseline"/>
        </w:rPr>
        <w:t>31</w:t>
      </w:r>
      <w:r>
        <w:rPr>
          <w:rFonts w:ascii="Calibri"/>
          <w:i/>
          <w:spacing w:val="-2"/>
          <w:w w:val="105"/>
          <w:sz w:val="22"/>
          <w:vertAlign w:val="baseline"/>
        </w:rPr>
        <w:t>,</w:t>
      </w:r>
      <w:r>
        <w:rPr>
          <w:rFonts w:ascii="Calibri"/>
          <w:spacing w:val="-2"/>
          <w:w w:val="105"/>
          <w:sz w:val="22"/>
          <w:vertAlign w:val="baseline"/>
        </w:rPr>
        <w:t>612</w:t>
      </w:r>
      <w:r>
        <w:rPr>
          <w:spacing w:val="-2"/>
          <w:w w:val="105"/>
          <w:sz w:val="22"/>
          <w:vertAlign w:val="baseline"/>
        </w:rPr>
        <w:t>)</w:t>
      </w:r>
    </w:p>
    <w:p>
      <w:pPr>
        <w:tabs>
          <w:tab w:pos="2764" w:val="left" w:leader="none"/>
        </w:tabs>
        <w:spacing w:line="287" w:lineRule="exact" w:before="0"/>
        <w:ind w:left="420" w:right="0" w:firstLine="0"/>
        <w:jc w:val="left"/>
        <w:rPr>
          <w:sz w:val="22"/>
        </w:rPr>
      </w:pPr>
      <w:r>
        <w:rPr>
          <w:i/>
        </w:rPr>
        <w:t>엠풀</w:t>
        <w:tab/>
        <w:t>확장된 지갑 풀 (|Mpool| = N = 31,612)</w:t>
      </w:r>
    </w:p>
    <w:p>
      <w:pPr>
        <w:spacing w:line="251" w:lineRule="exact" w:before="0"/>
        <w:ind w:left="420" w:right="0" w:firstLine="0"/>
        <w:jc w:val="left"/>
        <w:rPr>
          <w:sz w:val="22"/>
        </w:rPr>
      </w:pPr>
      <w:r>
        <w:rPr>
          <w:rFonts w:ascii="Calibri"/>
          <w:i/>
          <w:w w:val="110"/>
          <w:sz w:val="22"/>
        </w:rPr>
        <w:t>G</w:t>
      </w:r>
      <w:r>
        <w:rPr>
          <w:w w:val="110"/>
          <w:sz w:val="22"/>
          <w:vertAlign w:val="subscript"/>
        </w:rPr>
        <w:t>approve</w:t>
      </w:r>
      <w:r>
        <w:rPr>
          <w:spacing w:val="-11"/>
          <w:w w:val="110"/>
          <w:sz w:val="22"/>
          <w:vertAlign w:val="baseline"/>
        </w:rPr>
        <w:t> </w:t>
      </w:r>
      <w:r>
        <w:rPr>
          <w:rFonts w:ascii="Calibri"/>
          <w:w w:val="120"/>
          <w:sz w:val="22"/>
          <w:vertAlign w:val="baseline"/>
        </w:rPr>
        <w:t>=</w:t>
      </w:r>
      <w:r>
        <w:rPr>
          <w:rFonts w:ascii="Calibri"/>
          <w:spacing w:val="-8"/>
          <w:w w:val="120"/>
          <w:sz w:val="22"/>
          <w:vertAlign w:val="baseline"/>
        </w:rPr>
        <w:t> </w:t>
      </w:r>
      <w:r>
        <w:rPr>
          <w:rFonts w:ascii="Calibri"/>
          <w:w w:val="110"/>
          <w:sz w:val="22"/>
          <w:vertAlign w:val="baseline"/>
        </w:rPr>
        <w:t>(</w:t>
      </w:r>
      <w:r>
        <w:rPr>
          <w:rFonts w:ascii="Calibri"/>
          <w:i/>
          <w:w w:val="110"/>
          <w:sz w:val="22"/>
          <w:vertAlign w:val="baseline"/>
        </w:rPr>
        <w:t>V</w:t>
      </w:r>
      <w:r>
        <w:rPr>
          <w:rFonts w:ascii="Cambria"/>
          <w:w w:val="110"/>
          <w:sz w:val="22"/>
          <w:vertAlign w:val="subscript"/>
        </w:rPr>
        <w:t>A</w:t>
      </w:r>
      <w:r>
        <w:rPr>
          <w:rFonts w:ascii="Calibri"/>
          <w:i/>
          <w:w w:val="110"/>
          <w:sz w:val="22"/>
          <w:vertAlign w:val="baseline"/>
        </w:rPr>
        <w:t>,</w:t>
      </w:r>
      <w:r>
        <w:rPr>
          <w:rFonts w:ascii="Calibri"/>
          <w:i/>
          <w:spacing w:val="-19"/>
          <w:w w:val="110"/>
          <w:sz w:val="22"/>
          <w:vertAlign w:val="baseline"/>
        </w:rPr>
        <w:t> </w:t>
      </w:r>
      <w:r>
        <w:rPr>
          <w:rFonts w:ascii="Calibri"/>
          <w:i/>
          <w:w w:val="120"/>
          <w:sz w:val="22"/>
          <w:vertAlign w:val="baseline"/>
        </w:rPr>
        <w:t>E</w:t>
      </w:r>
      <w:r>
        <w:rPr>
          <w:rFonts w:ascii="Cambria"/>
          <w:w w:val="120"/>
          <w:sz w:val="22"/>
          <w:vertAlign w:val="subscript"/>
        </w:rPr>
        <w:t>A</w:t>
      </w:r>
      <w:r>
        <w:rPr>
          <w:rFonts w:ascii="Calibri"/>
          <w:i/>
          <w:w w:val="120"/>
          <w:sz w:val="22"/>
          <w:vertAlign w:val="baseline"/>
        </w:rPr>
        <w:t>,</w:t>
      </w:r>
      <w:r>
        <w:rPr>
          <w:rFonts w:ascii="Calibri"/>
          <w:i/>
          <w:spacing w:val="-24"/>
          <w:w w:val="120"/>
          <w:sz w:val="22"/>
          <w:vertAlign w:val="baseline"/>
        </w:rPr>
        <w:t> </w:t>
      </w:r>
      <w:r>
        <w:rPr>
          <w:rFonts w:ascii="Calibri"/>
          <w:i/>
          <w:w w:val="120"/>
          <w:sz w:val="22"/>
          <w:vertAlign w:val="baseline"/>
        </w:rPr>
        <w:t>w</w:t>
      </w:r>
      <w:r>
        <w:rPr>
          <w:rFonts w:ascii="Cambria"/>
          <w:w w:val="120"/>
          <w:sz w:val="22"/>
          <w:vertAlign w:val="subscript"/>
        </w:rPr>
        <w:t>A</w:t>
      </w:r>
      <w:r>
        <w:rPr>
          <w:rFonts w:ascii="Calibri"/>
          <w:w w:val="120"/>
          <w:sz w:val="22"/>
          <w:vertAlign w:val="baseline"/>
        </w:rPr>
        <w:t>)</w:t>
      </w:r>
      <w:r>
        <w:rPr>
          <w:rFonts w:ascii="Calibri"/>
          <w:spacing w:val="60"/>
          <w:w w:val="120"/>
          <w:sz w:val="22"/>
          <w:vertAlign w:val="baseline"/>
        </w:rPr>
        <w:t> </w:t>
      </w:r>
      <w:r>
        <w:rPr>
          <w:w w:val="110"/>
          <w:sz w:val="22"/>
          <w:vertAlign w:val="baseline"/>
        </w:rPr>
        <w:t>EndorseRank</w:t>
      </w:r>
      <w:r>
        <w:rPr>
          <w:spacing w:val="-14"/>
          <w:w w:val="110"/>
          <w:sz w:val="22"/>
          <w:vertAlign w:val="baseline"/>
        </w:rPr>
        <w:t> </w:t>
      </w:r>
      <w:r>
        <w:rPr>
          <w:w w:val="110"/>
          <w:sz w:val="22"/>
          <w:vertAlign w:val="baseline"/>
        </w:rPr>
        <w:t>allowance</w:t>
      </w:r>
      <w:r>
        <w:rPr>
          <w:spacing w:val="-14"/>
          <w:w w:val="110"/>
          <w:sz w:val="22"/>
          <w:vertAlign w:val="baseline"/>
        </w:rPr>
        <w:t> </w:t>
      </w:r>
      <w:r>
        <w:rPr>
          <w:spacing w:val="-2"/>
          <w:w w:val="110"/>
          <w:sz w:val="22"/>
          <w:vertAlign w:val="baseline"/>
        </w:rPr>
        <w:t>graph</w:t>
      </w:r>
    </w:p>
    <w:p>
      <w:pPr>
        <w:spacing w:line="251" w:lineRule="exact" w:before="0"/>
        <w:ind w:left="420" w:right="0" w:firstLine="0"/>
        <w:jc w:val="left"/>
        <w:rPr>
          <w:sz w:val="22"/>
        </w:rPr>
      </w:pPr>
      <w:r>
        <w:rPr>
          <w:i/>
        </w:rPr>
        <w:t>Gapprove = (VA, EA, wA) EndorseRank 허용 그래프</w:t>
      </w:r>
    </w:p>
    <w:p>
      <w:pPr>
        <w:spacing w:before="2"/>
        <w:ind w:left="420" w:right="0" w:firstLine="0"/>
        <w:jc w:val="left"/>
        <w:rPr>
          <w:sz w:val="22"/>
        </w:rPr>
      </w:pPr>
      <w:r>
        <w:rPr>
          <w:rFonts w:ascii="Calibri"/>
          <w:i/>
          <w:w w:val="110"/>
          <w:sz w:val="22"/>
        </w:rPr>
        <w:t>G</w:t>
      </w:r>
      <w:r>
        <w:rPr>
          <w:w w:val="110"/>
          <w:sz w:val="22"/>
          <w:vertAlign w:val="subscript"/>
        </w:rPr>
        <w:t>transfer</w:t>
      </w:r>
      <w:r>
        <w:rPr>
          <w:spacing w:val="-3"/>
          <w:w w:val="110"/>
          <w:sz w:val="22"/>
          <w:vertAlign w:val="baseline"/>
        </w:rPr>
        <w:t> </w:t>
      </w:r>
      <w:r>
        <w:rPr>
          <w:rFonts w:ascii="Calibri"/>
          <w:w w:val="125"/>
          <w:sz w:val="22"/>
          <w:vertAlign w:val="baseline"/>
        </w:rPr>
        <w:t>=</w:t>
      </w:r>
      <w:r>
        <w:rPr>
          <w:rFonts w:ascii="Calibri"/>
          <w:spacing w:val="-5"/>
          <w:w w:val="125"/>
          <w:sz w:val="22"/>
          <w:vertAlign w:val="baseline"/>
        </w:rPr>
        <w:t> </w:t>
      </w:r>
      <w:r>
        <w:rPr>
          <w:rFonts w:ascii="Calibri"/>
          <w:w w:val="110"/>
          <w:sz w:val="22"/>
          <w:vertAlign w:val="baseline"/>
        </w:rPr>
        <w:t>(</w:t>
      </w:r>
      <w:r>
        <w:rPr>
          <w:rFonts w:ascii="Calibri"/>
          <w:i/>
          <w:w w:val="110"/>
          <w:sz w:val="22"/>
          <w:vertAlign w:val="baseline"/>
        </w:rPr>
        <w:t>V</w:t>
      </w:r>
      <w:r>
        <w:rPr>
          <w:rFonts w:ascii="Cambria"/>
          <w:w w:val="110"/>
          <w:sz w:val="22"/>
          <w:vertAlign w:val="subscript"/>
        </w:rPr>
        <w:t>T</w:t>
      </w:r>
      <w:r>
        <w:rPr>
          <w:rFonts w:ascii="Cambria"/>
          <w:spacing w:val="-20"/>
          <w:w w:val="110"/>
          <w:sz w:val="22"/>
          <w:vertAlign w:val="baseline"/>
        </w:rPr>
        <w:t> </w:t>
      </w:r>
      <w:r>
        <w:rPr>
          <w:rFonts w:ascii="Calibri"/>
          <w:i/>
          <w:w w:val="110"/>
          <w:sz w:val="22"/>
          <w:vertAlign w:val="baseline"/>
        </w:rPr>
        <w:t>,</w:t>
      </w:r>
      <w:r>
        <w:rPr>
          <w:rFonts w:ascii="Calibri"/>
          <w:i/>
          <w:spacing w:val="-19"/>
          <w:w w:val="110"/>
          <w:sz w:val="22"/>
          <w:vertAlign w:val="baseline"/>
        </w:rPr>
        <w:t> </w:t>
      </w:r>
      <w:r>
        <w:rPr>
          <w:rFonts w:ascii="Calibri"/>
          <w:i/>
          <w:w w:val="110"/>
          <w:sz w:val="22"/>
          <w:vertAlign w:val="baseline"/>
        </w:rPr>
        <w:t>E</w:t>
      </w:r>
      <w:r>
        <w:rPr>
          <w:rFonts w:ascii="Cambria"/>
          <w:w w:val="110"/>
          <w:sz w:val="22"/>
          <w:vertAlign w:val="subscript"/>
        </w:rPr>
        <w:t>T</w:t>
      </w:r>
      <w:r>
        <w:rPr>
          <w:rFonts w:ascii="Cambria"/>
          <w:spacing w:val="-20"/>
          <w:w w:val="110"/>
          <w:sz w:val="22"/>
          <w:vertAlign w:val="baseline"/>
        </w:rPr>
        <w:t> </w:t>
      </w:r>
      <w:r>
        <w:rPr>
          <w:rFonts w:ascii="Calibri"/>
          <w:i/>
          <w:w w:val="110"/>
          <w:sz w:val="22"/>
          <w:vertAlign w:val="baseline"/>
        </w:rPr>
        <w:t>,</w:t>
      </w:r>
      <w:r>
        <w:rPr>
          <w:rFonts w:ascii="Calibri"/>
          <w:i/>
          <w:spacing w:val="-19"/>
          <w:w w:val="110"/>
          <w:sz w:val="22"/>
          <w:vertAlign w:val="baseline"/>
        </w:rPr>
        <w:t> </w:t>
      </w:r>
      <w:r>
        <w:rPr>
          <w:rFonts w:ascii="Calibri"/>
          <w:i/>
          <w:w w:val="110"/>
          <w:sz w:val="22"/>
          <w:vertAlign w:val="baseline"/>
        </w:rPr>
        <w:t>w</w:t>
      </w:r>
      <w:r>
        <w:rPr>
          <w:rFonts w:ascii="Cambria"/>
          <w:w w:val="110"/>
          <w:sz w:val="22"/>
          <w:vertAlign w:val="subscript"/>
        </w:rPr>
        <w:t>T</w:t>
      </w:r>
      <w:r>
        <w:rPr>
          <w:rFonts w:ascii="Cambria"/>
          <w:spacing w:val="-20"/>
          <w:w w:val="110"/>
          <w:sz w:val="22"/>
          <w:vertAlign w:val="baseline"/>
        </w:rPr>
        <w:t> </w:t>
      </w:r>
      <w:r>
        <w:rPr>
          <w:rFonts w:ascii="Calibri"/>
          <w:w w:val="110"/>
          <w:sz w:val="22"/>
          <w:vertAlign w:val="baseline"/>
        </w:rPr>
        <w:t>)</w:t>
      </w:r>
      <w:r>
        <w:rPr>
          <w:rFonts w:ascii="Calibri"/>
          <w:spacing w:val="30"/>
          <w:w w:val="110"/>
          <w:sz w:val="22"/>
          <w:vertAlign w:val="baseline"/>
        </w:rPr>
        <w:t>  </w:t>
      </w:r>
      <w:r>
        <w:rPr>
          <w:w w:val="110"/>
          <w:sz w:val="22"/>
          <w:vertAlign w:val="baseline"/>
        </w:rPr>
        <w:t>AWP</w:t>
      </w:r>
      <w:r>
        <w:rPr>
          <w:spacing w:val="-8"/>
          <w:w w:val="110"/>
          <w:sz w:val="22"/>
          <w:vertAlign w:val="baseline"/>
        </w:rPr>
        <w:t> </w:t>
      </w:r>
      <w:r>
        <w:rPr>
          <w:w w:val="110"/>
          <w:sz w:val="22"/>
          <w:vertAlign w:val="baseline"/>
        </w:rPr>
        <w:t>transfer</w:t>
      </w:r>
      <w:r>
        <w:rPr>
          <w:spacing w:val="-9"/>
          <w:w w:val="110"/>
          <w:sz w:val="22"/>
          <w:vertAlign w:val="baseline"/>
        </w:rPr>
        <w:t> </w:t>
      </w:r>
      <w:r>
        <w:rPr>
          <w:spacing w:val="-2"/>
          <w:w w:val="110"/>
          <w:sz w:val="22"/>
          <w:vertAlign w:val="baseline"/>
        </w:rPr>
        <w:t>graph</w:t>
      </w:r>
    </w:p>
    <w:p>
      <w:pPr>
        <w:spacing w:before="2"/>
        <w:ind w:left="420" w:right="0" w:firstLine="0"/>
        <w:jc w:val="left"/>
        <w:rPr>
          <w:sz w:val="22"/>
        </w:rPr>
      </w:pPr>
      <w:r>
        <w:rPr>
          <w:i/>
        </w:rPr>
        <w:t>Gtransfer = (VT , ET , wT ) AWP 전송 그래프</w:t>
      </w:r>
    </w:p>
    <w:p>
      <w:pPr>
        <w:tabs>
          <w:tab w:pos="2764" w:val="left" w:leader="none"/>
        </w:tabs>
        <w:spacing w:line="254" w:lineRule="exact" w:before="2"/>
        <w:ind w:left="420" w:right="0" w:firstLine="0"/>
        <w:jc w:val="left"/>
        <w:rPr>
          <w:sz w:val="22"/>
        </w:rPr>
      </w:pPr>
      <w:r>
        <w:rPr>
          <w:rFonts w:ascii="Calibri"/>
          <w:i/>
          <w:sz w:val="22"/>
        </w:rPr>
        <w:t>G</w:t>
      </w:r>
      <w:r>
        <w:rPr>
          <w:sz w:val="22"/>
          <w:vertAlign w:val="subscript"/>
        </w:rPr>
        <w:t>GF-</w:t>
      </w:r>
      <w:r>
        <w:rPr>
          <w:spacing w:val="-5"/>
          <w:sz w:val="22"/>
          <w:vertAlign w:val="subscript"/>
        </w:rPr>
        <w:t>PR</w:t>
      </w:r>
      <w:r>
        <w:rPr>
          <w:sz w:val="22"/>
          <w:vertAlign w:val="baseline"/>
        </w:rPr>
        <w:tab/>
        <w:t>Supplementary</w:t>
      </w:r>
      <w:r>
        <w:rPr>
          <w:spacing w:val="-9"/>
          <w:sz w:val="22"/>
          <w:vertAlign w:val="baseline"/>
        </w:rPr>
        <w:t> </w:t>
      </w:r>
      <w:r>
        <w:rPr>
          <w:sz w:val="22"/>
          <w:vertAlign w:val="baseline"/>
        </w:rPr>
        <w:t>GF-PR</w:t>
      </w:r>
      <w:r>
        <w:rPr>
          <w:spacing w:val="-9"/>
          <w:sz w:val="22"/>
          <w:vertAlign w:val="baseline"/>
        </w:rPr>
        <w:t> </w:t>
      </w:r>
      <w:r>
        <w:rPr>
          <w:sz w:val="22"/>
          <w:vertAlign w:val="baseline"/>
        </w:rPr>
        <w:t>star</w:t>
      </w:r>
      <w:r>
        <w:rPr>
          <w:spacing w:val="-8"/>
          <w:sz w:val="22"/>
          <w:vertAlign w:val="baseline"/>
        </w:rPr>
        <w:t> </w:t>
      </w:r>
      <w:r>
        <w:rPr>
          <w:spacing w:val="-4"/>
          <w:sz w:val="22"/>
          <w:vertAlign w:val="baseline"/>
        </w:rPr>
        <w:t>graph</w:t>
      </w:r>
    </w:p>
    <w:p>
      <w:pPr>
        <w:tabs>
          <w:tab w:pos="2764" w:val="left" w:leader="none"/>
        </w:tabs>
        <w:spacing w:line="254" w:lineRule="exact" w:before="2"/>
        <w:ind w:left="420" w:right="0" w:firstLine="0"/>
        <w:jc w:val="left"/>
        <w:rPr>
          <w:sz w:val="22"/>
        </w:rPr>
      </w:pPr>
      <w:r>
        <w:rPr>
          <w:i/>
        </w:rPr>
        <w:t>GGF-PR</w:t>
        <w:tab/>
        <w:t>보충 GF-PR 별 그래프</w:t>
      </w:r>
    </w:p>
    <w:p>
      <w:pPr>
        <w:tabs>
          <w:tab w:pos="2764" w:val="left" w:leader="none"/>
        </w:tabs>
        <w:spacing w:line="290" w:lineRule="exact" w:before="0"/>
        <w:ind w:left="420" w:right="0" w:firstLine="0"/>
        <w:jc w:val="left"/>
        <w:rPr>
          <w:rFonts w:ascii="Calibri" w:hAnsi="Calibri"/>
          <w:i/>
          <w:sz w:val="22"/>
        </w:rPr>
      </w:pPr>
      <w:r>
        <w:rPr>
          <w:rFonts w:ascii="Calibri" w:hAnsi="Calibri"/>
          <w:i/>
          <w:spacing w:val="10"/>
          <w:sz w:val="22"/>
        </w:rPr>
        <w:t>w</w:t>
      </w:r>
      <w:r>
        <w:rPr>
          <w:rFonts w:ascii="Cambria" w:hAnsi="Cambria"/>
          <w:spacing w:val="10"/>
          <w:sz w:val="22"/>
          <w:vertAlign w:val="subscript"/>
        </w:rPr>
        <w:t>A</w:t>
      </w:r>
      <w:r>
        <w:rPr>
          <w:rFonts w:ascii="Calibri" w:hAnsi="Calibri"/>
          <w:spacing w:val="10"/>
          <w:sz w:val="22"/>
          <w:vertAlign w:val="baseline"/>
        </w:rPr>
        <w:t>(</w:t>
      </w:r>
      <w:r>
        <w:rPr>
          <w:rFonts w:ascii="Calibri" w:hAnsi="Calibri"/>
          <w:i/>
          <w:spacing w:val="10"/>
          <w:sz w:val="22"/>
          <w:vertAlign w:val="baseline"/>
        </w:rPr>
        <w:t>u,</w:t>
      </w:r>
      <w:r>
        <w:rPr>
          <w:rFonts w:ascii="Calibri" w:hAnsi="Calibri"/>
          <w:i/>
          <w:spacing w:val="16"/>
          <w:sz w:val="22"/>
          <w:vertAlign w:val="baseline"/>
        </w:rPr>
        <w:t> </w:t>
      </w:r>
      <w:r>
        <w:rPr>
          <w:rFonts w:ascii="Calibri" w:hAnsi="Calibri"/>
          <w:i/>
          <w:spacing w:val="-5"/>
          <w:sz w:val="22"/>
          <w:vertAlign w:val="baseline"/>
        </w:rPr>
        <w:t>v</w:t>
      </w:r>
      <w:r>
        <w:rPr>
          <w:rFonts w:ascii="Calibri" w:hAnsi="Calibri"/>
          <w:spacing w:val="-5"/>
          <w:sz w:val="22"/>
          <w:vertAlign w:val="baseline"/>
        </w:rPr>
        <w:t>)</w:t>
      </w:r>
      <w:r>
        <w:rPr>
          <w:rFonts w:ascii="Calibri" w:hAnsi="Calibri"/>
          <w:sz w:val="22"/>
          <w:vertAlign w:val="baseline"/>
        </w:rPr>
        <w:tab/>
      </w:r>
      <w:r>
        <w:rPr>
          <w:sz w:val="22"/>
          <w:vertAlign w:val="baseline"/>
        </w:rPr>
        <w:t>Latest</w:t>
      </w:r>
      <w:r>
        <w:rPr>
          <w:spacing w:val="-3"/>
          <w:sz w:val="22"/>
          <w:vertAlign w:val="baseline"/>
        </w:rPr>
        <w:t> </w:t>
      </w:r>
      <w:r>
        <w:rPr>
          <w:sz w:val="22"/>
          <w:vertAlign w:val="baseline"/>
        </w:rPr>
        <w:t>allowance</w:t>
      </w:r>
      <w:r>
        <w:rPr>
          <w:spacing w:val="-3"/>
          <w:sz w:val="22"/>
          <w:vertAlign w:val="baseline"/>
        </w:rPr>
        <w:t> </w:t>
      </w:r>
      <w:r>
        <w:rPr>
          <w:sz w:val="22"/>
          <w:vertAlign w:val="baseline"/>
        </w:rPr>
        <w:t>weight,</w:t>
      </w:r>
      <w:r>
        <w:rPr>
          <w:spacing w:val="-3"/>
          <w:sz w:val="22"/>
          <w:vertAlign w:val="baseline"/>
        </w:rPr>
        <w:t> </w:t>
      </w:r>
      <w:r>
        <w:rPr>
          <w:sz w:val="22"/>
          <w:vertAlign w:val="baseline"/>
        </w:rPr>
        <w:t>owner</w:t>
      </w:r>
      <w:r>
        <w:rPr>
          <w:spacing w:val="-2"/>
          <w:sz w:val="22"/>
          <w:vertAlign w:val="baseline"/>
        </w:rPr>
        <w:t> </w:t>
      </w:r>
      <w:r>
        <w:rPr>
          <w:rFonts w:ascii="Calibri" w:hAnsi="Calibri"/>
          <w:i/>
          <w:sz w:val="22"/>
          <w:vertAlign w:val="baseline"/>
        </w:rPr>
        <w:t>u</w:t>
      </w:r>
      <w:r>
        <w:rPr>
          <w:rFonts w:ascii="Calibri" w:hAnsi="Calibri"/>
          <w:i/>
          <w:spacing w:val="8"/>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sz w:val="22"/>
          <w:vertAlign w:val="baseline"/>
        </w:rPr>
        <w:t>spender</w:t>
      </w:r>
      <w:r>
        <w:rPr>
          <w:spacing w:val="-3"/>
          <w:sz w:val="22"/>
          <w:vertAlign w:val="baseline"/>
        </w:rPr>
        <w:t> </w:t>
      </w:r>
      <w:r>
        <w:rPr>
          <w:rFonts w:ascii="Calibri" w:hAnsi="Calibri"/>
          <w:i/>
          <w:spacing w:val="-10"/>
          <w:sz w:val="22"/>
          <w:vertAlign w:val="baseline"/>
        </w:rPr>
        <w:t>v</w:t>
      </w:r>
    </w:p>
    <w:p>
      <w:pPr>
        <w:tabs>
          <w:tab w:pos="2764" w:val="left" w:leader="none"/>
        </w:tabs>
        <w:spacing w:line="290" w:lineRule="exact" w:before="0"/>
        <w:ind w:left="420" w:right="0" w:firstLine="0"/>
        <w:jc w:val="left"/>
        <w:rPr>
          <w:rFonts w:ascii="Calibri" w:hAnsi="Calibri"/>
          <w:i/>
          <w:sz w:val="22"/>
        </w:rPr>
      </w:pPr>
      <w:r>
        <w:rPr>
          <w:i/>
        </w:rPr>
        <w:t>와(유, v)</w:t>
        <w:tab/>
        <w:t>최신 허용 중량, 소유자 u → 지출자 v</w:t>
      </w:r>
    </w:p>
    <w:p>
      <w:pPr>
        <w:tabs>
          <w:tab w:pos="2764" w:val="left" w:leader="none"/>
        </w:tabs>
        <w:spacing w:line="287" w:lineRule="exact" w:before="0"/>
        <w:ind w:left="420" w:right="0" w:firstLine="0"/>
        <w:jc w:val="left"/>
        <w:rPr>
          <w:rFonts w:ascii="Calibri" w:hAnsi="Calibri"/>
          <w:i/>
          <w:sz w:val="22"/>
        </w:rPr>
      </w:pPr>
      <w:r>
        <w:rPr>
          <w:rFonts w:ascii="Calibri" w:hAnsi="Calibri"/>
          <w:i/>
          <w:sz w:val="22"/>
        </w:rPr>
        <w:t>w</w:t>
      </w:r>
      <w:r>
        <w:rPr>
          <w:rFonts w:ascii="Cambria" w:hAnsi="Cambria"/>
          <w:sz w:val="22"/>
          <w:vertAlign w:val="subscript"/>
        </w:rPr>
        <w:t>T</w:t>
      </w:r>
      <w:r>
        <w:rPr>
          <w:rFonts w:ascii="Cambria" w:hAnsi="Cambria"/>
          <w:spacing w:val="7"/>
          <w:sz w:val="22"/>
          <w:vertAlign w:val="baseline"/>
        </w:rPr>
        <w:t> </w:t>
      </w:r>
      <w:r>
        <w:rPr>
          <w:rFonts w:ascii="Calibri" w:hAnsi="Calibri"/>
          <w:sz w:val="22"/>
          <w:vertAlign w:val="baseline"/>
        </w:rPr>
        <w:t>(</w:t>
      </w:r>
      <w:r>
        <w:rPr>
          <w:rFonts w:ascii="Calibri" w:hAnsi="Calibri"/>
          <w:i/>
          <w:sz w:val="22"/>
          <w:vertAlign w:val="baseline"/>
        </w:rPr>
        <w:t>u,</w:t>
      </w:r>
      <w:r>
        <w:rPr>
          <w:rFonts w:ascii="Calibri" w:hAnsi="Calibri"/>
          <w:i/>
          <w:spacing w:val="11"/>
          <w:sz w:val="22"/>
          <w:vertAlign w:val="baseline"/>
        </w:rPr>
        <w:t> </w:t>
      </w:r>
      <w:r>
        <w:rPr>
          <w:rFonts w:ascii="Calibri" w:hAnsi="Calibri"/>
          <w:i/>
          <w:spacing w:val="-5"/>
          <w:sz w:val="22"/>
          <w:vertAlign w:val="baseline"/>
        </w:rPr>
        <w:t>v</w:t>
      </w:r>
      <w:r>
        <w:rPr>
          <w:rFonts w:ascii="Calibri" w:hAnsi="Calibri"/>
          <w:spacing w:val="-5"/>
          <w:sz w:val="22"/>
          <w:vertAlign w:val="baseline"/>
        </w:rPr>
        <w:t>)</w:t>
      </w:r>
      <w:r>
        <w:rPr>
          <w:rFonts w:ascii="Calibri" w:hAnsi="Calibri"/>
          <w:sz w:val="22"/>
          <w:vertAlign w:val="baseline"/>
        </w:rPr>
        <w:tab/>
      </w:r>
      <w:r>
        <w:rPr>
          <w:sz w:val="22"/>
          <w:vertAlign w:val="baseline"/>
        </w:rPr>
        <w:t>Time-decayed</w:t>
      </w:r>
      <w:r>
        <w:rPr>
          <w:spacing w:val="-7"/>
          <w:sz w:val="22"/>
          <w:vertAlign w:val="baseline"/>
        </w:rPr>
        <w:t> </w:t>
      </w:r>
      <w:r>
        <w:rPr>
          <w:sz w:val="22"/>
          <w:vertAlign w:val="baseline"/>
        </w:rPr>
        <w:t>transfer</w:t>
      </w:r>
      <w:r>
        <w:rPr>
          <w:spacing w:val="-5"/>
          <w:sz w:val="22"/>
          <w:vertAlign w:val="baseline"/>
        </w:rPr>
        <w:t> </w:t>
      </w:r>
      <w:r>
        <w:rPr>
          <w:sz w:val="22"/>
          <w:vertAlign w:val="baseline"/>
        </w:rPr>
        <w:t>weight,</w:t>
      </w:r>
      <w:r>
        <w:rPr>
          <w:spacing w:val="-4"/>
          <w:sz w:val="22"/>
          <w:vertAlign w:val="baseline"/>
        </w:rPr>
        <w:t> </w:t>
      </w:r>
      <w:r>
        <w:rPr>
          <w:sz w:val="22"/>
          <w:vertAlign w:val="baseline"/>
        </w:rPr>
        <w:t>sender</w:t>
      </w:r>
      <w:r>
        <w:rPr>
          <w:spacing w:val="-5"/>
          <w:sz w:val="22"/>
          <w:vertAlign w:val="baseline"/>
        </w:rPr>
        <w:t> </w:t>
      </w:r>
      <w:r>
        <w:rPr>
          <w:rFonts w:ascii="Calibri" w:hAnsi="Calibri"/>
          <w:i/>
          <w:sz w:val="22"/>
          <w:vertAlign w:val="baseline"/>
        </w:rPr>
        <w:t>u</w:t>
      </w:r>
      <w:r>
        <w:rPr>
          <w:rFonts w:ascii="Calibri" w:hAnsi="Calibri"/>
          <w:i/>
          <w:spacing w:val="6"/>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sz w:val="22"/>
          <w:vertAlign w:val="baseline"/>
        </w:rPr>
        <w:t>receiver</w:t>
      </w:r>
      <w:r>
        <w:rPr>
          <w:spacing w:val="-5"/>
          <w:sz w:val="22"/>
          <w:vertAlign w:val="baseline"/>
        </w:rPr>
        <w:t> </w:t>
      </w:r>
      <w:r>
        <w:rPr>
          <w:rFonts w:ascii="Calibri" w:hAnsi="Calibri"/>
          <w:i/>
          <w:spacing w:val="-10"/>
          <w:sz w:val="22"/>
          <w:vertAlign w:val="baseline"/>
        </w:rPr>
        <w:t>v</w:t>
      </w:r>
    </w:p>
    <w:p>
      <w:pPr>
        <w:tabs>
          <w:tab w:pos="2764" w:val="left" w:leader="none"/>
        </w:tabs>
        <w:spacing w:line="287" w:lineRule="exact" w:before="0"/>
        <w:ind w:left="420" w:right="0" w:firstLine="0"/>
        <w:jc w:val="left"/>
        <w:rPr>
          <w:rFonts w:ascii="Calibri" w:hAnsi="Calibri"/>
          <w:i/>
          <w:sz w:val="22"/>
        </w:rPr>
      </w:pPr>
      <w:r>
        <w:rPr>
          <w:i/>
        </w:rPr>
        <w:t>wT (유, v)</w:t>
        <w:tab/>
        <w:t>시간에 따른 전송 가중치, 송신자 u → 수신자 v</w:t>
      </w:r>
    </w:p>
    <w:p>
      <w:pPr>
        <w:tabs>
          <w:tab w:pos="2764" w:val="left" w:leader="none"/>
        </w:tabs>
        <w:spacing w:line="251" w:lineRule="exact" w:before="0"/>
        <w:ind w:left="420" w:right="0" w:firstLine="0"/>
        <w:jc w:val="left"/>
        <w:rPr>
          <w:rFonts w:ascii="Calibri"/>
          <w:i/>
          <w:sz w:val="22"/>
        </w:rPr>
      </w:pPr>
      <w:r>
        <w:rPr>
          <w:b/>
          <w:spacing w:val="-5"/>
          <w:sz w:val="22"/>
        </w:rPr>
        <w:t>s</w:t>
      </w:r>
      <w:r>
        <w:rPr>
          <w:rFonts w:ascii="Cambria"/>
          <w:spacing w:val="-5"/>
          <w:sz w:val="22"/>
          <w:vertAlign w:val="subscript"/>
        </w:rPr>
        <w:t>M</w:t>
      </w:r>
      <w:r>
        <w:rPr>
          <w:rFonts w:ascii="Cambria"/>
          <w:sz w:val="22"/>
          <w:vertAlign w:val="baseline"/>
        </w:rPr>
        <w:tab/>
      </w:r>
      <w:r>
        <w:rPr>
          <w:sz w:val="22"/>
          <w:vertAlign w:val="baseline"/>
        </w:rPr>
        <w:t>Reputation</w:t>
      </w:r>
      <w:r>
        <w:rPr>
          <w:spacing w:val="-7"/>
          <w:sz w:val="22"/>
          <w:vertAlign w:val="baseline"/>
        </w:rPr>
        <w:t> </w:t>
      </w:r>
      <w:r>
        <w:rPr>
          <w:sz w:val="22"/>
          <w:vertAlign w:val="baseline"/>
        </w:rPr>
        <w:t>score</w:t>
      </w:r>
      <w:r>
        <w:rPr>
          <w:spacing w:val="-7"/>
          <w:sz w:val="22"/>
          <w:vertAlign w:val="baseline"/>
        </w:rPr>
        <w:t> </w:t>
      </w:r>
      <w:r>
        <w:rPr>
          <w:sz w:val="22"/>
          <w:vertAlign w:val="baseline"/>
        </w:rPr>
        <w:t>vector</w:t>
      </w:r>
      <w:r>
        <w:rPr>
          <w:spacing w:val="-7"/>
          <w:sz w:val="22"/>
          <w:vertAlign w:val="baseline"/>
        </w:rPr>
        <w:t> </w:t>
      </w:r>
      <w:r>
        <w:rPr>
          <w:sz w:val="22"/>
          <w:vertAlign w:val="baseline"/>
        </w:rPr>
        <w:t>for</w:t>
      </w:r>
      <w:r>
        <w:rPr>
          <w:spacing w:val="-7"/>
          <w:sz w:val="22"/>
          <w:vertAlign w:val="baseline"/>
        </w:rPr>
        <w:t> </w:t>
      </w:r>
      <w:r>
        <w:rPr>
          <w:sz w:val="22"/>
          <w:vertAlign w:val="baseline"/>
        </w:rPr>
        <w:t>method</w:t>
      </w:r>
      <w:r>
        <w:rPr>
          <w:spacing w:val="-6"/>
          <w:sz w:val="22"/>
          <w:vertAlign w:val="baseline"/>
        </w:rPr>
        <w:t> </w:t>
      </w:r>
      <w:r>
        <w:rPr>
          <w:rFonts w:ascii="Calibri"/>
          <w:i/>
          <w:spacing w:val="-10"/>
          <w:sz w:val="22"/>
          <w:vertAlign w:val="baseline"/>
        </w:rPr>
        <w:t>M</w:t>
      </w:r>
    </w:p>
    <w:p>
      <w:pPr>
        <w:tabs>
          <w:tab w:pos="2764" w:val="left" w:leader="none"/>
        </w:tabs>
        <w:spacing w:line="251" w:lineRule="exact" w:before="0"/>
        <w:ind w:left="420" w:right="0" w:firstLine="0"/>
        <w:jc w:val="left"/>
        <w:rPr>
          <w:rFonts w:ascii="Calibri"/>
          <w:i/>
          <w:sz w:val="22"/>
        </w:rPr>
      </w:pPr>
      <w:r>
        <w:rPr>
          <w:i/>
        </w:rPr>
        <w:t>SM</w:t>
        <w:tab/>
        <w:t>방법 M에 대한 평판 점수 벡터</w:t>
      </w:r>
    </w:p>
    <w:p>
      <w:pPr>
        <w:tabs>
          <w:tab w:pos="2764" w:val="left" w:leader="none"/>
        </w:tabs>
        <w:spacing w:before="3"/>
        <w:ind w:left="420" w:right="0" w:firstLine="0"/>
        <w:jc w:val="left"/>
        <w:rPr>
          <w:rFonts w:ascii="Calibri"/>
          <w:i/>
          <w:sz w:val="22"/>
        </w:rPr>
      </w:pPr>
      <w:r>
        <w:rPr>
          <w:b/>
          <w:spacing w:val="-5"/>
          <w:sz w:val="22"/>
        </w:rPr>
        <w:t>p</w:t>
      </w:r>
      <w:r>
        <w:rPr>
          <w:rFonts w:ascii="Cambria"/>
          <w:spacing w:val="-5"/>
          <w:sz w:val="22"/>
          <w:vertAlign w:val="subscript"/>
        </w:rPr>
        <w:t>P</w:t>
      </w:r>
      <w:r>
        <w:rPr>
          <w:rFonts w:ascii="Cambria"/>
          <w:sz w:val="22"/>
          <w:vertAlign w:val="baseline"/>
        </w:rPr>
        <w:tab/>
      </w:r>
      <w:r>
        <w:rPr>
          <w:sz w:val="22"/>
          <w:vertAlign w:val="baseline"/>
        </w:rPr>
        <w:t>Proxy</w:t>
      </w:r>
      <w:r>
        <w:rPr>
          <w:spacing w:val="-6"/>
          <w:sz w:val="22"/>
          <w:vertAlign w:val="baseline"/>
        </w:rPr>
        <w:t> </w:t>
      </w:r>
      <w:r>
        <w:rPr>
          <w:sz w:val="22"/>
          <w:vertAlign w:val="baseline"/>
        </w:rPr>
        <w:t>value</w:t>
      </w:r>
      <w:r>
        <w:rPr>
          <w:spacing w:val="-6"/>
          <w:sz w:val="22"/>
          <w:vertAlign w:val="baseline"/>
        </w:rPr>
        <w:t> </w:t>
      </w:r>
      <w:r>
        <w:rPr>
          <w:sz w:val="22"/>
          <w:vertAlign w:val="baseline"/>
        </w:rPr>
        <w:t>vector</w:t>
      </w:r>
      <w:r>
        <w:rPr>
          <w:spacing w:val="-5"/>
          <w:sz w:val="22"/>
          <w:vertAlign w:val="baseline"/>
        </w:rPr>
        <w:t> </w:t>
      </w:r>
      <w:r>
        <w:rPr>
          <w:sz w:val="22"/>
          <w:vertAlign w:val="baseline"/>
        </w:rPr>
        <w:t>for</w:t>
      </w:r>
      <w:r>
        <w:rPr>
          <w:spacing w:val="-6"/>
          <w:sz w:val="22"/>
          <w:vertAlign w:val="baseline"/>
        </w:rPr>
        <w:t> </w:t>
      </w:r>
      <w:r>
        <w:rPr>
          <w:sz w:val="22"/>
          <w:vertAlign w:val="baseline"/>
        </w:rPr>
        <w:t>proxy</w:t>
      </w:r>
      <w:r>
        <w:rPr>
          <w:spacing w:val="-6"/>
          <w:sz w:val="22"/>
          <w:vertAlign w:val="baseline"/>
        </w:rPr>
        <w:t> </w:t>
      </w:r>
      <w:r>
        <w:rPr>
          <w:rFonts w:ascii="Calibri"/>
          <w:i/>
          <w:spacing w:val="-10"/>
          <w:sz w:val="22"/>
          <w:vertAlign w:val="baseline"/>
        </w:rPr>
        <w:t>P</w:t>
      </w:r>
    </w:p>
    <w:p>
      <w:pPr>
        <w:tabs>
          <w:tab w:pos="2764" w:val="left" w:leader="none"/>
        </w:tabs>
        <w:spacing w:before="3"/>
        <w:ind w:left="420" w:right="0" w:firstLine="0"/>
        <w:jc w:val="left"/>
        <w:rPr>
          <w:rFonts w:ascii="Calibri"/>
          <w:i/>
          <w:sz w:val="22"/>
        </w:rPr>
      </w:pPr>
      <w:r>
        <w:rPr>
          <w:i/>
        </w:rPr>
        <w:t>pP</w:t>
        <w:tab/>
        <w:t>프록시 P에 대한 프록시 값 벡터</w:t>
      </w:r>
    </w:p>
    <w:p>
      <w:pPr>
        <w:tabs>
          <w:tab w:pos="2764" w:val="left" w:leader="none"/>
        </w:tabs>
        <w:spacing w:before="2"/>
        <w:ind w:left="420" w:right="0" w:firstLine="0"/>
        <w:jc w:val="left"/>
        <w:rPr>
          <w:sz w:val="22"/>
        </w:rPr>
      </w:pPr>
      <w:r>
        <w:rPr>
          <w:rFonts w:ascii="Calibri"/>
          <w:i/>
          <w:spacing w:val="-10"/>
          <w:sz w:val="22"/>
        </w:rPr>
        <w:t>d</w:t>
      </w:r>
      <w:r>
        <w:rPr>
          <w:rFonts w:ascii="Calibri"/>
          <w:i/>
          <w:sz w:val="22"/>
        </w:rPr>
        <w:tab/>
      </w:r>
      <w:r>
        <w:rPr>
          <w:sz w:val="22"/>
        </w:rPr>
        <w:t>PageRank</w:t>
      </w:r>
      <w:r>
        <w:rPr>
          <w:spacing w:val="-9"/>
          <w:sz w:val="22"/>
        </w:rPr>
        <w:t> </w:t>
      </w:r>
      <w:r>
        <w:rPr>
          <w:sz w:val="22"/>
        </w:rPr>
        <w:t>damping</w:t>
      </w:r>
      <w:r>
        <w:rPr>
          <w:spacing w:val="-8"/>
          <w:sz w:val="22"/>
        </w:rPr>
        <w:t> </w:t>
      </w:r>
      <w:r>
        <w:rPr>
          <w:sz w:val="22"/>
        </w:rPr>
        <w:t>factor</w:t>
      </w:r>
      <w:r>
        <w:rPr>
          <w:spacing w:val="-8"/>
          <w:sz w:val="22"/>
        </w:rPr>
        <w:t> </w:t>
      </w:r>
      <w:r>
        <w:rPr>
          <w:sz w:val="22"/>
        </w:rPr>
        <w:t>(default</w:t>
      </w:r>
      <w:r>
        <w:rPr>
          <w:spacing w:val="-8"/>
          <w:sz w:val="22"/>
        </w:rPr>
        <w:t> </w:t>
      </w:r>
      <w:r>
        <w:rPr>
          <w:rFonts w:ascii="Calibri"/>
          <w:spacing w:val="-2"/>
          <w:sz w:val="22"/>
        </w:rPr>
        <w:t>0</w:t>
      </w:r>
      <w:r>
        <w:rPr>
          <w:rFonts w:ascii="Calibri"/>
          <w:i/>
          <w:spacing w:val="-2"/>
          <w:sz w:val="22"/>
        </w:rPr>
        <w:t>.</w:t>
      </w:r>
      <w:r>
        <w:rPr>
          <w:rFonts w:ascii="Calibri"/>
          <w:spacing w:val="-2"/>
          <w:sz w:val="22"/>
        </w:rPr>
        <w:t>85</w:t>
      </w:r>
      <w:r>
        <w:rPr>
          <w:spacing w:val="-2"/>
          <w:sz w:val="22"/>
        </w:rPr>
        <w:t>)</w:t>
      </w:r>
    </w:p>
    <w:p>
      <w:pPr>
        <w:tabs>
          <w:tab w:pos="2764" w:val="left" w:leader="none"/>
        </w:tabs>
        <w:spacing w:before="2"/>
        <w:ind w:left="420" w:right="0" w:firstLine="0"/>
        <w:jc w:val="left"/>
        <w:rPr>
          <w:sz w:val="22"/>
        </w:rPr>
      </w:pPr>
      <w:r>
        <w:rPr>
          <w:i/>
        </w:rPr>
        <w:t>디</w:t>
        <w:tab/>
        <w:t>PageRank 감쇠 계수(기본값 0.85)</w:t>
      </w:r>
    </w:p>
    <w:p>
      <w:pPr>
        <w:tabs>
          <w:tab w:pos="2764" w:val="left" w:leader="none"/>
        </w:tabs>
        <w:spacing w:before="3"/>
        <w:ind w:left="420" w:right="0" w:firstLine="0"/>
        <w:jc w:val="left"/>
        <w:rPr>
          <w:sz w:val="22"/>
        </w:rPr>
      </w:pPr>
      <w:r>
        <w:rPr>
          <w:rFonts w:ascii="Calibri" w:hAnsi="Calibri"/>
          <w:i/>
          <w:spacing w:val="-4"/>
          <w:sz w:val="22"/>
        </w:rPr>
        <w:t>τ</w:t>
      </w:r>
      <w:r>
        <w:rPr>
          <w:spacing w:val="-4"/>
          <w:sz w:val="22"/>
          <w:vertAlign w:val="subscript"/>
        </w:rPr>
        <w:t>tol</w:t>
      </w:r>
      <w:r>
        <w:rPr>
          <w:sz w:val="22"/>
          <w:vertAlign w:val="baseline"/>
        </w:rPr>
        <w:tab/>
        <w:t>PageRank</w:t>
      </w:r>
      <w:r>
        <w:rPr>
          <w:spacing w:val="-12"/>
          <w:sz w:val="22"/>
          <w:vertAlign w:val="baseline"/>
        </w:rPr>
        <w:t> </w:t>
      </w:r>
      <w:r>
        <w:rPr>
          <w:sz w:val="22"/>
          <w:vertAlign w:val="baseline"/>
        </w:rPr>
        <w:t>convergence</w:t>
      </w:r>
      <w:r>
        <w:rPr>
          <w:spacing w:val="-12"/>
          <w:sz w:val="22"/>
          <w:vertAlign w:val="baseline"/>
        </w:rPr>
        <w:t> </w:t>
      </w:r>
      <w:r>
        <w:rPr>
          <w:sz w:val="22"/>
          <w:vertAlign w:val="baseline"/>
        </w:rPr>
        <w:t>tolerance</w:t>
      </w:r>
      <w:r>
        <w:rPr>
          <w:spacing w:val="-12"/>
          <w:sz w:val="22"/>
          <w:vertAlign w:val="baseline"/>
        </w:rPr>
        <w:t> </w:t>
      </w:r>
      <w:r>
        <w:rPr>
          <w:spacing w:val="-2"/>
          <w:sz w:val="22"/>
          <w:vertAlign w:val="baseline"/>
        </w:rPr>
        <w:t>(</w:t>
      </w:r>
      <w:r>
        <w:rPr>
          <w:rFonts w:ascii="Calibri" w:hAnsi="Calibri"/>
          <w:spacing w:val="-2"/>
          <w:sz w:val="22"/>
          <w:vertAlign w:val="baseline"/>
        </w:rPr>
        <w:t>10</w:t>
      </w:r>
      <w:r>
        <w:rPr>
          <w:rFonts w:ascii="Cambria" w:hAnsi="Cambria"/>
          <w:spacing w:val="-2"/>
          <w:sz w:val="22"/>
          <w:vertAlign w:val="superscript"/>
        </w:rPr>
        <w:t>−</w:t>
      </w:r>
      <w:r>
        <w:rPr>
          <w:rFonts w:ascii="Calibri" w:hAnsi="Calibri"/>
          <w:spacing w:val="-2"/>
          <w:sz w:val="22"/>
          <w:vertAlign w:val="superscript"/>
        </w:rPr>
        <w:t>8</w:t>
      </w:r>
      <w:r>
        <w:rPr>
          <w:spacing w:val="-2"/>
          <w:sz w:val="22"/>
          <w:vertAlign w:val="baseline"/>
        </w:rPr>
        <w:t>)</w:t>
      </w:r>
    </w:p>
    <w:p>
      <w:pPr>
        <w:tabs>
          <w:tab w:pos="2764" w:val="left" w:leader="none"/>
        </w:tabs>
        <w:spacing w:before="3"/>
        <w:ind w:left="420" w:right="0" w:firstLine="0"/>
        <w:jc w:val="left"/>
        <w:rPr>
          <w:sz w:val="22"/>
        </w:rPr>
      </w:pPr>
      <w:r>
        <w:rPr>
          <w:i/>
        </w:rPr>
        <w:t>τ톨</w:t>
        <w:tab/>
        <w:t>PageRank 수렴 허용오차(10−8)</w:t>
      </w:r>
    </w:p>
    <w:p>
      <w:pPr>
        <w:tabs>
          <w:tab w:pos="2764" w:val="left" w:leader="none"/>
        </w:tabs>
        <w:spacing w:before="2"/>
        <w:ind w:left="420" w:right="0" w:firstLine="0"/>
        <w:jc w:val="left"/>
        <w:rPr>
          <w:sz w:val="22"/>
        </w:rPr>
      </w:pPr>
      <w:r>
        <w:rPr>
          <w:rFonts w:ascii="Calibri"/>
          <w:i/>
          <w:spacing w:val="-4"/>
          <w:sz w:val="22"/>
        </w:rPr>
        <w:t>I</w:t>
      </w:r>
      <w:r>
        <w:rPr>
          <w:spacing w:val="-4"/>
          <w:sz w:val="22"/>
          <w:vertAlign w:val="subscript"/>
        </w:rPr>
        <w:t>max</w:t>
      </w:r>
      <w:r>
        <w:rPr>
          <w:sz w:val="22"/>
          <w:vertAlign w:val="baseline"/>
        </w:rPr>
        <w:tab/>
        <w:t>Maximum</w:t>
      </w:r>
      <w:r>
        <w:rPr>
          <w:spacing w:val="-13"/>
          <w:sz w:val="22"/>
          <w:vertAlign w:val="baseline"/>
        </w:rPr>
        <w:t> </w:t>
      </w:r>
      <w:r>
        <w:rPr>
          <w:sz w:val="22"/>
          <w:vertAlign w:val="baseline"/>
        </w:rPr>
        <w:t>PageRank</w:t>
      </w:r>
      <w:r>
        <w:rPr>
          <w:spacing w:val="-13"/>
          <w:sz w:val="22"/>
          <w:vertAlign w:val="baseline"/>
        </w:rPr>
        <w:t> </w:t>
      </w:r>
      <w:r>
        <w:rPr>
          <w:sz w:val="22"/>
          <w:vertAlign w:val="baseline"/>
        </w:rPr>
        <w:t>iterations</w:t>
      </w:r>
      <w:r>
        <w:rPr>
          <w:spacing w:val="-13"/>
          <w:sz w:val="22"/>
          <w:vertAlign w:val="baseline"/>
        </w:rPr>
        <w:t> </w:t>
      </w:r>
      <w:r>
        <w:rPr>
          <w:spacing w:val="-2"/>
          <w:sz w:val="22"/>
          <w:vertAlign w:val="baseline"/>
        </w:rPr>
        <w:t>(</w:t>
      </w:r>
      <w:r>
        <w:rPr>
          <w:rFonts w:ascii="Calibri"/>
          <w:spacing w:val="-2"/>
          <w:sz w:val="22"/>
          <w:vertAlign w:val="baseline"/>
        </w:rPr>
        <w:t>300</w:t>
      </w:r>
      <w:r>
        <w:rPr>
          <w:spacing w:val="-2"/>
          <w:sz w:val="22"/>
          <w:vertAlign w:val="baseline"/>
        </w:rPr>
        <w:t>)</w:t>
      </w:r>
    </w:p>
    <w:p>
      <w:pPr>
        <w:tabs>
          <w:tab w:pos="2764" w:val="left" w:leader="none"/>
        </w:tabs>
        <w:spacing w:before="2"/>
        <w:ind w:left="420" w:right="0" w:firstLine="0"/>
        <w:jc w:val="left"/>
        <w:rPr>
          <w:sz w:val="22"/>
        </w:rPr>
      </w:pPr>
      <w:r>
        <w:rPr>
          <w:i/>
        </w:rPr>
        <w:t>아이맥스</w:t>
        <w:tab/>
        <w:t>최대 PageRank 반복(300)</w:t>
      </w:r>
    </w:p>
    <w:p>
      <w:pPr>
        <w:tabs>
          <w:tab w:pos="2764" w:val="left" w:leader="none"/>
        </w:tabs>
        <w:spacing w:before="3"/>
        <w:ind w:left="420" w:right="0" w:firstLine="0"/>
        <w:jc w:val="left"/>
        <w:rPr>
          <w:sz w:val="22"/>
        </w:rPr>
      </w:pPr>
      <w:r>
        <w:rPr>
          <w:rFonts w:ascii="Calibri" w:hAnsi="Calibri"/>
          <w:i/>
          <w:spacing w:val="-2"/>
          <w:sz w:val="22"/>
        </w:rPr>
        <w:t>σ</w:t>
      </w:r>
      <w:r>
        <w:rPr>
          <w:rFonts w:ascii="Calibri" w:hAnsi="Calibri"/>
          <w:spacing w:val="-2"/>
          <w:sz w:val="22"/>
        </w:rPr>
        <w:t>(∆</w:t>
      </w:r>
      <w:r>
        <w:rPr>
          <w:rFonts w:ascii="Calibri" w:hAnsi="Calibri"/>
          <w:i/>
          <w:spacing w:val="-2"/>
          <w:sz w:val="22"/>
        </w:rPr>
        <w:t>t</w:t>
      </w:r>
      <w:r>
        <w:rPr>
          <w:rFonts w:ascii="Calibri" w:hAnsi="Calibri"/>
          <w:spacing w:val="-2"/>
          <w:sz w:val="22"/>
        </w:rPr>
        <w:t>)</w:t>
      </w:r>
      <w:r>
        <w:rPr>
          <w:rFonts w:ascii="Calibri" w:hAnsi="Calibri"/>
          <w:sz w:val="22"/>
        </w:rPr>
        <w:tab/>
      </w:r>
      <w:r>
        <w:rPr>
          <w:sz w:val="22"/>
        </w:rPr>
        <w:t>Logistic</w:t>
      </w:r>
      <w:r>
        <w:rPr>
          <w:spacing w:val="-8"/>
          <w:sz w:val="22"/>
        </w:rPr>
        <w:t> </w:t>
      </w:r>
      <w:r>
        <w:rPr>
          <w:sz w:val="22"/>
        </w:rPr>
        <w:t>time-decay</w:t>
      </w:r>
      <w:r>
        <w:rPr>
          <w:spacing w:val="-7"/>
          <w:sz w:val="22"/>
        </w:rPr>
        <w:t> </w:t>
      </w:r>
      <w:r>
        <w:rPr>
          <w:sz w:val="22"/>
        </w:rPr>
        <w:t>on</w:t>
      </w:r>
      <w:r>
        <w:rPr>
          <w:spacing w:val="-8"/>
          <w:sz w:val="22"/>
        </w:rPr>
        <w:t> </w:t>
      </w:r>
      <w:r>
        <w:rPr>
          <w:sz w:val="22"/>
        </w:rPr>
        <w:t>transfer</w:t>
      </w:r>
      <w:r>
        <w:rPr>
          <w:spacing w:val="-7"/>
          <w:sz w:val="22"/>
        </w:rPr>
        <w:t> </w:t>
      </w:r>
      <w:r>
        <w:rPr>
          <w:spacing w:val="-5"/>
          <w:sz w:val="22"/>
        </w:rPr>
        <w:t>age</w:t>
      </w:r>
    </w:p>
    <w:p>
      <w:pPr>
        <w:tabs>
          <w:tab w:pos="2764" w:val="left" w:leader="none"/>
        </w:tabs>
        <w:spacing w:before="3"/>
        <w:ind w:left="420" w:right="0" w:firstLine="0"/>
        <w:jc w:val="left"/>
        <w:rPr>
          <w:sz w:val="22"/>
        </w:rPr>
      </w:pPr>
      <w:r>
        <w:rPr>
          <w:i/>
        </w:rPr>
        <w:t>σ(Δt)</w:t>
        <w:tab/>
        <w:t>전송 연령에 대한 로지스틱 시간 감쇠</w:t>
      </w:r>
    </w:p>
    <w:p>
      <w:pPr>
        <w:tabs>
          <w:tab w:pos="2764" w:val="left" w:leader="none"/>
        </w:tabs>
        <w:spacing w:before="2"/>
        <w:ind w:left="420" w:right="0" w:firstLine="0"/>
        <w:jc w:val="left"/>
        <w:rPr>
          <w:sz w:val="22"/>
        </w:rPr>
      </w:pPr>
      <w:r>
        <w:rPr>
          <w:rFonts w:ascii="Calibri"/>
          <w:i/>
          <w:sz w:val="22"/>
        </w:rPr>
        <w:t>k</w:t>
      </w:r>
      <w:r>
        <w:rPr>
          <w:sz w:val="22"/>
        </w:rPr>
        <w:t>,</w:t>
      </w:r>
      <w:r>
        <w:rPr>
          <w:spacing w:val="17"/>
          <w:sz w:val="22"/>
        </w:rPr>
        <w:t> </w:t>
      </w:r>
      <w:r>
        <w:rPr>
          <w:rFonts w:ascii="Calibri"/>
          <w:i/>
          <w:spacing w:val="-7"/>
          <w:sz w:val="22"/>
        </w:rPr>
        <w:t>t</w:t>
      </w:r>
      <w:r>
        <w:rPr>
          <w:rFonts w:ascii="Calibri"/>
          <w:spacing w:val="-7"/>
          <w:sz w:val="22"/>
          <w:vertAlign w:val="subscript"/>
        </w:rPr>
        <w:t>0</w:t>
      </w:r>
      <w:r>
        <w:rPr>
          <w:rFonts w:ascii="Calibri"/>
          <w:sz w:val="22"/>
          <w:vertAlign w:val="baseline"/>
        </w:rPr>
        <w:tab/>
      </w:r>
      <w:r>
        <w:rPr>
          <w:sz w:val="22"/>
          <w:vertAlign w:val="baseline"/>
        </w:rPr>
        <w:t>Decay</w:t>
      </w:r>
      <w:r>
        <w:rPr>
          <w:spacing w:val="-10"/>
          <w:sz w:val="22"/>
          <w:vertAlign w:val="baseline"/>
        </w:rPr>
        <w:t> </w:t>
      </w:r>
      <w:r>
        <w:rPr>
          <w:sz w:val="22"/>
          <w:vertAlign w:val="baseline"/>
        </w:rPr>
        <w:t>steepness</w:t>
      </w:r>
      <w:r>
        <w:rPr>
          <w:spacing w:val="-10"/>
          <w:sz w:val="22"/>
          <w:vertAlign w:val="baseline"/>
        </w:rPr>
        <w:t> </w:t>
      </w:r>
      <w:r>
        <w:rPr>
          <w:sz w:val="22"/>
          <w:vertAlign w:val="baseline"/>
        </w:rPr>
        <w:t>(</w:t>
      </w:r>
      <w:r>
        <w:rPr>
          <w:rFonts w:ascii="Calibri"/>
          <w:sz w:val="22"/>
          <w:vertAlign w:val="baseline"/>
        </w:rPr>
        <w:t>0</w:t>
      </w:r>
      <w:r>
        <w:rPr>
          <w:rFonts w:ascii="Calibri"/>
          <w:i/>
          <w:sz w:val="22"/>
          <w:vertAlign w:val="baseline"/>
        </w:rPr>
        <w:t>.</w:t>
      </w:r>
      <w:r>
        <w:rPr>
          <w:rFonts w:ascii="Calibri"/>
          <w:sz w:val="22"/>
          <w:vertAlign w:val="baseline"/>
        </w:rPr>
        <w:t>01</w:t>
      </w:r>
      <w:r>
        <w:rPr>
          <w:sz w:val="22"/>
          <w:vertAlign w:val="baseline"/>
        </w:rPr>
        <w:t>)</w:t>
      </w:r>
      <w:r>
        <w:rPr>
          <w:spacing w:val="-9"/>
          <w:sz w:val="22"/>
          <w:vertAlign w:val="baseline"/>
        </w:rPr>
        <w:t> </w:t>
      </w:r>
      <w:r>
        <w:rPr>
          <w:sz w:val="22"/>
          <w:vertAlign w:val="baseline"/>
        </w:rPr>
        <w:t>and</w:t>
      </w:r>
      <w:r>
        <w:rPr>
          <w:spacing w:val="-10"/>
          <w:sz w:val="22"/>
          <w:vertAlign w:val="baseline"/>
        </w:rPr>
        <w:t> </w:t>
      </w:r>
      <w:r>
        <w:rPr>
          <w:sz w:val="22"/>
          <w:vertAlign w:val="baseline"/>
        </w:rPr>
        <w:t>midpoint</w:t>
      </w:r>
      <w:r>
        <w:rPr>
          <w:spacing w:val="-10"/>
          <w:sz w:val="22"/>
          <w:vertAlign w:val="baseline"/>
        </w:rPr>
        <w:t> </w:t>
      </w:r>
      <w:r>
        <w:rPr>
          <w:sz w:val="22"/>
          <w:vertAlign w:val="baseline"/>
        </w:rPr>
        <w:t>(</w:t>
      </w:r>
      <w:r>
        <w:rPr>
          <w:rFonts w:ascii="Calibri"/>
          <w:sz w:val="22"/>
          <w:vertAlign w:val="baseline"/>
        </w:rPr>
        <w:t>180</w:t>
      </w:r>
      <w:r>
        <w:rPr>
          <w:rFonts w:ascii="Calibri"/>
          <w:spacing w:val="-4"/>
          <w:sz w:val="22"/>
          <w:vertAlign w:val="baseline"/>
        </w:rPr>
        <w:t> </w:t>
      </w:r>
      <w:r>
        <w:rPr>
          <w:spacing w:val="-2"/>
          <w:sz w:val="22"/>
          <w:vertAlign w:val="baseline"/>
        </w:rPr>
        <w:t>days)</w:t>
      </w:r>
    </w:p>
    <w:p>
      <w:pPr>
        <w:tabs>
          <w:tab w:pos="2764" w:val="left" w:leader="none"/>
        </w:tabs>
        <w:spacing w:before="2"/>
        <w:ind w:left="420" w:right="0" w:firstLine="0"/>
        <w:jc w:val="left"/>
        <w:rPr>
          <w:sz w:val="22"/>
        </w:rPr>
      </w:pPr>
      <w:r>
        <w:rPr>
          <w:i/>
        </w:rPr>
        <w:t>케이, 티0</w:t>
        <w:tab/>
        <w:t>부패 가파른 정도(0.01) 및 중간점(180일)</w:t>
      </w:r>
    </w:p>
    <w:p>
      <w:pPr>
        <w:tabs>
          <w:tab w:pos="2764" w:val="left" w:leader="none"/>
        </w:tabs>
        <w:spacing w:before="2"/>
        <w:ind w:left="420" w:right="0" w:firstLine="0"/>
        <w:jc w:val="left"/>
        <w:rPr>
          <w:sz w:val="22"/>
        </w:rPr>
      </w:pPr>
      <w:r>
        <w:rPr>
          <w:rFonts w:ascii="Calibri" w:hAnsi="Calibri"/>
          <w:spacing w:val="-5"/>
          <w:sz w:val="22"/>
        </w:rPr>
        <w:t>∆</w:t>
      </w:r>
      <w:r>
        <w:rPr>
          <w:rFonts w:ascii="Calibri" w:hAnsi="Calibri"/>
          <w:i/>
          <w:spacing w:val="-5"/>
          <w:sz w:val="22"/>
        </w:rPr>
        <w:t>t</w:t>
      </w:r>
      <w:r>
        <w:rPr>
          <w:rFonts w:ascii="Calibri" w:hAnsi="Calibri"/>
          <w:i/>
          <w:sz w:val="22"/>
        </w:rPr>
        <w:tab/>
      </w:r>
      <w:r>
        <w:rPr>
          <w:sz w:val="22"/>
        </w:rPr>
        <w:t>Age</w:t>
      </w:r>
      <w:r>
        <w:rPr>
          <w:spacing w:val="-6"/>
          <w:sz w:val="22"/>
        </w:rPr>
        <w:t> </w:t>
      </w:r>
      <w:r>
        <w:rPr>
          <w:sz w:val="22"/>
        </w:rPr>
        <w:t>of</w:t>
      </w:r>
      <w:r>
        <w:rPr>
          <w:spacing w:val="-6"/>
          <w:sz w:val="22"/>
        </w:rPr>
        <w:t> </w:t>
      </w:r>
      <w:r>
        <w:rPr>
          <w:sz w:val="22"/>
        </w:rPr>
        <w:t>an</w:t>
      </w:r>
      <w:r>
        <w:rPr>
          <w:spacing w:val="-5"/>
          <w:sz w:val="22"/>
        </w:rPr>
        <w:t> </w:t>
      </w:r>
      <w:r>
        <w:rPr>
          <w:sz w:val="22"/>
        </w:rPr>
        <w:t>event</w:t>
      </w:r>
      <w:r>
        <w:rPr>
          <w:spacing w:val="-6"/>
          <w:sz w:val="22"/>
        </w:rPr>
        <w:t> </w:t>
      </w:r>
      <w:r>
        <w:rPr>
          <w:sz w:val="22"/>
        </w:rPr>
        <w:t>in</w:t>
      </w:r>
      <w:r>
        <w:rPr>
          <w:spacing w:val="-6"/>
          <w:sz w:val="22"/>
        </w:rPr>
        <w:t> </w:t>
      </w:r>
      <w:r>
        <w:rPr>
          <w:sz w:val="22"/>
        </w:rPr>
        <w:t>days</w:t>
      </w:r>
      <w:r>
        <w:rPr>
          <w:spacing w:val="-5"/>
          <w:sz w:val="22"/>
        </w:rPr>
        <w:t> </w:t>
      </w:r>
      <w:r>
        <w:rPr>
          <w:sz w:val="22"/>
        </w:rPr>
        <w:t>before</w:t>
      </w:r>
      <w:r>
        <w:rPr>
          <w:spacing w:val="-6"/>
          <w:sz w:val="22"/>
        </w:rPr>
        <w:t> </w:t>
      </w:r>
      <w:r>
        <w:rPr>
          <w:sz w:val="22"/>
        </w:rPr>
        <w:t>observation</w:t>
      </w:r>
      <w:r>
        <w:rPr>
          <w:spacing w:val="-5"/>
          <w:sz w:val="22"/>
        </w:rPr>
        <w:t> end</w:t>
      </w:r>
    </w:p>
    <w:p>
      <w:pPr>
        <w:tabs>
          <w:tab w:pos="2764" w:val="left" w:leader="none"/>
        </w:tabs>
        <w:spacing w:before="2"/>
        <w:ind w:left="420" w:right="0" w:firstLine="0"/>
        <w:jc w:val="left"/>
        <w:rPr>
          <w:sz w:val="22"/>
        </w:rPr>
      </w:pPr>
      <w:r>
        <w:rPr>
          <w:i/>
        </w:rPr>
        <w:t>Δt</w:t>
        <w:tab/>
        <w:t>관찰 종료 전 일수(일)의 이벤트 기간</w:t>
      </w:r>
    </w:p>
    <w:p>
      <w:pPr>
        <w:tabs>
          <w:tab w:pos="2764" w:val="left" w:leader="none"/>
        </w:tabs>
        <w:spacing w:before="3"/>
        <w:ind w:left="420" w:right="0" w:firstLine="0"/>
        <w:jc w:val="left"/>
        <w:rPr>
          <w:sz w:val="22"/>
        </w:rPr>
      </w:pPr>
      <w:r>
        <w:rPr>
          <w:rFonts w:ascii="Calibri" w:hAnsi="Calibri"/>
          <w:i/>
          <w:sz w:val="22"/>
        </w:rPr>
        <w:t>ε</w:t>
      </w:r>
      <w:r>
        <w:rPr>
          <w:sz w:val="22"/>
          <w:vertAlign w:val="subscript"/>
        </w:rPr>
        <w:t>loss</w:t>
      </w:r>
      <w:r>
        <w:rPr>
          <w:sz w:val="22"/>
          <w:vertAlign w:val="baseline"/>
        </w:rPr>
        <w:t>,</w:t>
      </w:r>
      <w:r>
        <w:rPr>
          <w:spacing w:val="34"/>
          <w:sz w:val="22"/>
          <w:vertAlign w:val="baseline"/>
        </w:rPr>
        <w:t> </w:t>
      </w:r>
      <w:r>
        <w:rPr>
          <w:rFonts w:ascii="Calibri" w:hAnsi="Calibri"/>
          <w:i/>
          <w:spacing w:val="-4"/>
          <w:sz w:val="22"/>
          <w:vertAlign w:val="baseline"/>
        </w:rPr>
        <w:t>ε</w:t>
      </w:r>
      <w:r>
        <w:rPr>
          <w:spacing w:val="-4"/>
          <w:sz w:val="22"/>
          <w:vertAlign w:val="subscript"/>
        </w:rPr>
        <w:t>liq</w:t>
      </w:r>
      <w:r>
        <w:rPr>
          <w:sz w:val="22"/>
          <w:vertAlign w:val="baseline"/>
        </w:rPr>
        <w:tab/>
        <w:t>GF-PR</w:t>
      </w:r>
      <w:r>
        <w:rPr>
          <w:spacing w:val="-9"/>
          <w:sz w:val="22"/>
          <w:vertAlign w:val="baseline"/>
        </w:rPr>
        <w:t> </w:t>
      </w:r>
      <w:r>
        <w:rPr>
          <w:sz w:val="22"/>
          <w:vertAlign w:val="baseline"/>
        </w:rPr>
        <w:t>sink</w:t>
      </w:r>
      <w:r>
        <w:rPr>
          <w:spacing w:val="-8"/>
          <w:sz w:val="22"/>
          <w:vertAlign w:val="baseline"/>
        </w:rPr>
        <w:t> </w:t>
      </w:r>
      <w:r>
        <w:rPr>
          <w:sz w:val="22"/>
          <w:vertAlign w:val="baseline"/>
        </w:rPr>
        <w:t>additives</w:t>
      </w:r>
      <w:r>
        <w:rPr>
          <w:spacing w:val="-9"/>
          <w:sz w:val="22"/>
          <w:vertAlign w:val="baseline"/>
        </w:rPr>
        <w:t> </w:t>
      </w:r>
      <w:r>
        <w:rPr>
          <w:sz w:val="22"/>
          <w:vertAlign w:val="baseline"/>
        </w:rPr>
        <w:t>(</w:t>
      </w:r>
      <w:r>
        <w:rPr>
          <w:rFonts w:ascii="Calibri" w:hAnsi="Calibri"/>
          <w:sz w:val="22"/>
          <w:vertAlign w:val="baseline"/>
        </w:rPr>
        <w:t>0</w:t>
      </w:r>
      <w:r>
        <w:rPr>
          <w:rFonts w:ascii="Calibri" w:hAnsi="Calibri"/>
          <w:i/>
          <w:sz w:val="22"/>
          <w:vertAlign w:val="baseline"/>
        </w:rPr>
        <w:t>.</w:t>
      </w:r>
      <w:r>
        <w:rPr>
          <w:rFonts w:ascii="Calibri" w:hAnsi="Calibri"/>
          <w:sz w:val="22"/>
          <w:vertAlign w:val="baseline"/>
        </w:rPr>
        <w:t>1</w:t>
      </w:r>
      <w:r>
        <w:rPr>
          <w:sz w:val="22"/>
          <w:vertAlign w:val="baseline"/>
        </w:rPr>
        <w:t>,</w:t>
      </w:r>
      <w:r>
        <w:rPr>
          <w:spacing w:val="-8"/>
          <w:sz w:val="22"/>
          <w:vertAlign w:val="baseline"/>
        </w:rPr>
        <w:t> </w:t>
      </w:r>
      <w:r>
        <w:rPr>
          <w:rFonts w:ascii="Calibri" w:hAnsi="Calibri"/>
          <w:spacing w:val="-4"/>
          <w:sz w:val="22"/>
          <w:vertAlign w:val="baseline"/>
        </w:rPr>
        <w:t>1</w:t>
      </w:r>
      <w:r>
        <w:rPr>
          <w:rFonts w:ascii="Calibri" w:hAnsi="Calibri"/>
          <w:i/>
          <w:spacing w:val="-4"/>
          <w:sz w:val="22"/>
          <w:vertAlign w:val="baseline"/>
        </w:rPr>
        <w:t>.</w:t>
      </w:r>
      <w:r>
        <w:rPr>
          <w:rFonts w:ascii="Calibri" w:hAnsi="Calibri"/>
          <w:spacing w:val="-4"/>
          <w:sz w:val="22"/>
          <w:vertAlign w:val="baseline"/>
        </w:rPr>
        <w:t>0</w:t>
      </w:r>
      <w:r>
        <w:rPr>
          <w:spacing w:val="-4"/>
          <w:sz w:val="22"/>
          <w:vertAlign w:val="baseline"/>
        </w:rPr>
        <w:t>)</w:t>
      </w:r>
    </w:p>
    <w:p>
      <w:pPr>
        <w:tabs>
          <w:tab w:pos="2764" w:val="left" w:leader="none"/>
        </w:tabs>
        <w:spacing w:before="3"/>
        <w:ind w:left="420" w:right="0" w:firstLine="0"/>
        <w:jc w:val="left"/>
        <w:rPr>
          <w:sz w:val="22"/>
        </w:rPr>
      </w:pPr>
      <w:r>
        <w:rPr>
          <w:i/>
        </w:rPr>
        <w:t>ε손실, εliq</w:t>
        <w:tab/>
        <w:t>GF-PR 흡수원 첨가제(0.1, 1.0)</w:t>
      </w:r>
    </w:p>
    <w:p>
      <w:pPr>
        <w:tabs>
          <w:tab w:pos="2764" w:val="left" w:leader="none"/>
        </w:tabs>
        <w:spacing w:before="2"/>
        <w:ind w:left="420" w:right="0" w:firstLine="0"/>
        <w:jc w:val="left"/>
        <w:rPr>
          <w:sz w:val="22"/>
        </w:rPr>
      </w:pPr>
      <w:r>
        <w:rPr>
          <w:rFonts w:ascii="Calibri" w:hAnsi="Calibri"/>
          <w:i/>
          <w:spacing w:val="-10"/>
          <w:sz w:val="22"/>
        </w:rPr>
        <w:t>ρ</w:t>
      </w:r>
      <w:r>
        <w:rPr>
          <w:rFonts w:ascii="Calibri" w:hAnsi="Calibri"/>
          <w:i/>
          <w:sz w:val="22"/>
        </w:rPr>
        <w:tab/>
      </w:r>
      <w:r>
        <w:rPr>
          <w:spacing w:val="-2"/>
          <w:sz w:val="22"/>
        </w:rPr>
        <w:t>Spearman’s</w:t>
      </w:r>
      <w:r>
        <w:rPr>
          <w:spacing w:val="-1"/>
          <w:sz w:val="22"/>
        </w:rPr>
        <w:t> </w:t>
      </w:r>
      <w:r>
        <w:rPr>
          <w:spacing w:val="-2"/>
          <w:sz w:val="22"/>
        </w:rPr>
        <w:t>rank</w:t>
      </w:r>
      <w:r>
        <w:rPr>
          <w:sz w:val="22"/>
        </w:rPr>
        <w:t> </w:t>
      </w:r>
      <w:r>
        <w:rPr>
          <w:spacing w:val="-2"/>
          <w:sz w:val="22"/>
        </w:rPr>
        <w:t>correlation</w:t>
      </w:r>
    </w:p>
    <w:p>
      <w:pPr>
        <w:tabs>
          <w:tab w:pos="2764" w:val="left" w:leader="none"/>
        </w:tabs>
        <w:spacing w:before="2"/>
        <w:ind w:left="420" w:right="0" w:firstLine="0"/>
        <w:jc w:val="left"/>
        <w:rPr>
          <w:sz w:val="22"/>
        </w:rPr>
      </w:pPr>
      <w:r>
        <w:rPr>
          <w:i/>
        </w:rPr>
        <w:t>ρ</w:t>
        <w:tab/>
        <w:t>Spearman의 순위 상관관계</w:t>
      </w:r>
    </w:p>
    <w:p>
      <w:pPr>
        <w:tabs>
          <w:tab w:pos="2764" w:val="left" w:leader="none"/>
        </w:tabs>
        <w:spacing w:before="3"/>
        <w:ind w:left="420" w:right="0" w:firstLine="0"/>
        <w:jc w:val="left"/>
        <w:rPr>
          <w:sz w:val="22"/>
        </w:rPr>
      </w:pPr>
      <w:r>
        <w:rPr>
          <w:rFonts w:ascii="Calibri" w:hAnsi="Calibri"/>
          <w:i/>
          <w:spacing w:val="-10"/>
          <w:sz w:val="22"/>
        </w:rPr>
        <w:t>τ</w:t>
      </w:r>
      <w:r>
        <w:rPr>
          <w:rFonts w:ascii="Calibri" w:hAnsi="Calibri"/>
          <w:i/>
          <w:sz w:val="22"/>
        </w:rPr>
        <w:tab/>
      </w:r>
      <w:r>
        <w:rPr>
          <w:sz w:val="22"/>
        </w:rPr>
        <w:t>Kendall’s</w:t>
      </w:r>
      <w:r>
        <w:rPr>
          <w:spacing w:val="-14"/>
          <w:sz w:val="22"/>
        </w:rPr>
        <w:t> </w:t>
      </w:r>
      <w:r>
        <w:rPr>
          <w:sz w:val="22"/>
        </w:rPr>
        <w:t>rank</w:t>
      </w:r>
      <w:r>
        <w:rPr>
          <w:spacing w:val="-13"/>
          <w:sz w:val="22"/>
        </w:rPr>
        <w:t> </w:t>
      </w:r>
      <w:r>
        <w:rPr>
          <w:spacing w:val="-2"/>
          <w:sz w:val="22"/>
        </w:rPr>
        <w:t>correlation</w:t>
      </w:r>
    </w:p>
    <w:p>
      <w:pPr>
        <w:tabs>
          <w:tab w:pos="2764" w:val="left" w:leader="none"/>
        </w:tabs>
        <w:spacing w:before="3"/>
        <w:ind w:left="420" w:right="0" w:firstLine="0"/>
        <w:jc w:val="left"/>
        <w:rPr>
          <w:sz w:val="22"/>
        </w:rPr>
      </w:pPr>
      <w:r>
        <w:rPr>
          <w:i/>
        </w:rPr>
        <w:t>τ</w:t>
        <w:tab/>
        <w:t>Kendall의 순위 상관관계</w:t>
      </w:r>
    </w:p>
    <w:p>
      <w:pPr>
        <w:tabs>
          <w:tab w:pos="2764" w:val="left" w:leader="none"/>
        </w:tabs>
        <w:spacing w:before="2"/>
        <w:ind w:left="420" w:right="0" w:firstLine="0"/>
        <w:jc w:val="left"/>
        <w:rPr>
          <w:sz w:val="22"/>
        </w:rPr>
      </w:pPr>
      <w:r>
        <w:rPr>
          <w:rFonts w:ascii="Calibri"/>
          <w:i/>
          <w:spacing w:val="-4"/>
          <w:sz w:val="22"/>
        </w:rPr>
        <w:t>T</w:t>
      </w:r>
      <w:r>
        <w:rPr>
          <w:spacing w:val="-4"/>
          <w:sz w:val="22"/>
          <w:vertAlign w:val="subscript"/>
        </w:rPr>
        <w:t>obs</w:t>
      </w:r>
      <w:r>
        <w:rPr>
          <w:sz w:val="22"/>
          <w:vertAlign w:val="baseline"/>
        </w:rPr>
        <w:tab/>
        <w:t>Observation</w:t>
      </w:r>
      <w:r>
        <w:rPr>
          <w:spacing w:val="-10"/>
          <w:sz w:val="22"/>
          <w:vertAlign w:val="baseline"/>
        </w:rPr>
        <w:t> </w:t>
      </w:r>
      <w:r>
        <w:rPr>
          <w:sz w:val="22"/>
          <w:vertAlign w:val="baseline"/>
        </w:rPr>
        <w:t>end</w:t>
      </w:r>
      <w:r>
        <w:rPr>
          <w:spacing w:val="-10"/>
          <w:sz w:val="22"/>
          <w:vertAlign w:val="baseline"/>
        </w:rPr>
        <w:t> </w:t>
      </w:r>
      <w:r>
        <w:rPr>
          <w:sz w:val="22"/>
          <w:vertAlign w:val="baseline"/>
        </w:rPr>
        <w:t>timestamp</w:t>
      </w:r>
      <w:r>
        <w:rPr>
          <w:spacing w:val="-9"/>
          <w:sz w:val="22"/>
          <w:vertAlign w:val="baseline"/>
        </w:rPr>
        <w:t> </w:t>
      </w:r>
      <w:r>
        <w:rPr>
          <w:sz w:val="22"/>
          <w:vertAlign w:val="baseline"/>
        </w:rPr>
        <w:t>(2026-05-31</w:t>
      </w:r>
      <w:r>
        <w:rPr>
          <w:spacing w:val="-10"/>
          <w:sz w:val="22"/>
          <w:vertAlign w:val="baseline"/>
        </w:rPr>
        <w:t> </w:t>
      </w:r>
      <w:r>
        <w:rPr>
          <w:spacing w:val="-4"/>
          <w:sz w:val="22"/>
          <w:vertAlign w:val="baseline"/>
        </w:rPr>
        <w:t>UTC)</w:t>
      </w:r>
    </w:p>
    <w:p>
      <w:pPr>
        <w:tabs>
          <w:tab w:pos="2764" w:val="left" w:leader="none"/>
        </w:tabs>
        <w:spacing w:before="2"/>
        <w:ind w:left="420" w:right="0" w:firstLine="0"/>
        <w:jc w:val="left"/>
        <w:rPr>
          <w:sz w:val="22"/>
        </w:rPr>
      </w:pPr>
      <w:r>
        <w:rPr>
          <w:i/>
        </w:rPr>
        <w:t>토브스</w:t>
        <w:tab/>
        <w:t>관찰 종료 타임스탬프(2026-05-31 UTC)</w:t>
      </w:r>
    </w:p>
    <w:p>
      <w:pPr>
        <w:pStyle w:val="BodyText"/>
        <w:spacing w:before="5"/>
        <w:rPr>
          <w:sz w:val="4"/>
        </w:rPr>
      </w:pPr>
      <w:r>
        <w:rPr>
          <w:sz w:val="4"/>
        </w:rPr>
        <mc:AlternateContent>
          <mc:Choice Requires="wps">
            <w:drawing>
              <wp:anchor distT="0" distB="0" distL="0" distR="0" allowOverlap="1" layoutInCell="1" locked="0" behindDoc="1" simplePos="0" relativeHeight="487605760">
                <wp:simplePos x="0" y="0"/>
                <wp:positionH relativeFrom="page">
                  <wp:posOffset>852576</wp:posOffset>
                </wp:positionH>
                <wp:positionV relativeFrom="paragraph">
                  <wp:posOffset>47650</wp:posOffset>
                </wp:positionV>
                <wp:extent cx="5855335"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855335" cy="1270"/>
                        </a:xfrm>
                        <a:custGeom>
                          <a:avLst/>
                          <a:gdLst/>
                          <a:ahLst/>
                          <a:cxnLst/>
                          <a:rect l="l" t="t" r="r" b="b"/>
                          <a:pathLst>
                            <a:path w="5855335" h="0">
                              <a:moveTo>
                                <a:pt x="0" y="0"/>
                              </a:moveTo>
                              <a:lnTo>
                                <a:pt x="5854852"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32004pt;margin-top:3.751996pt;width:461.05pt;height:.1pt;mso-position-horizontal-relative:page;mso-position-vertical-relative:paragraph;z-index:-15710720;mso-wrap-distance-left:0;mso-wrap-distance-right:0" id="docshape85" coordorigin="1343,75" coordsize="9221,0" path="m1343,75l10563,75e" filled="false" stroked="true" strokeweight=".9564pt" strokecolor="#000000">
                <v:path arrowok="t"/>
                <v:stroke dashstyle="solid"/>
                <w10:wrap type="topAndBottom"/>
              </v:shape>
            </w:pict>
          </mc:Fallback>
        </mc:AlternateContent>
      </w:r>
    </w:p>
    <w:p>
      <w:pPr>
        <w:pStyle w:val="BodyText"/>
        <w:spacing w:after="0"/>
        <w:rPr>
          <w:sz w:val="4"/>
        </w:rPr>
        <w:sectPr>
          <w:pgSz w:w="11910" w:h="16840"/>
          <w:pgMar w:header="0" w:footer="2115" w:top="1920" w:bottom="2300" w:left="992" w:right="708"/>
        </w:sectPr>
      </w:pPr>
    </w:p>
    <w:p>
      <w:pPr>
        <w:pStyle w:val="BodyText"/>
        <w:spacing w:before="72"/>
        <w:ind w:left="282"/>
      </w:pPr>
      <w:r>
        <w:rPr>
          <w:spacing w:val="-4"/>
        </w:rPr>
        <w:t>then</w:t>
      </w:r>
    </w:p>
    <w:p>
      <w:pPr>
        <w:pStyle w:val="BodyText"/>
        <w:spacing w:before="72"/>
        <w:ind w:left="282"/>
      </w:pPr>
      <w:r>
        <w:rPr>
          <w:i/>
        </w:rPr>
        <w:t>그 다음에</w:t>
      </w:r>
    </w:p>
    <w:p>
      <w:pPr>
        <w:pStyle w:val="BodyText"/>
        <w:rPr>
          <w:sz w:val="16"/>
        </w:rPr>
      </w:pPr>
      <w:r>
        <w:rPr/>
        <w:br w:type="column"/>
      </w:r>
      <w:r>
        <w:rPr>
          <w:sz w:val="16"/>
        </w:rPr>
      </w:r>
    </w:p>
    <w:p>
      <w:pPr>
        <w:pStyle w:val="BodyText"/>
        <w:rPr>
          <w:sz w:val="16"/>
        </w:rPr>
      </w:pPr>
    </w:p>
    <w:p>
      <w:pPr>
        <w:pStyle w:val="BodyText"/>
        <w:spacing w:before="142"/>
        <w:rPr>
          <w:sz w:val="16"/>
        </w:rPr>
      </w:pPr>
    </w:p>
    <w:p>
      <w:pPr>
        <w:spacing w:before="0"/>
        <w:ind w:left="282" w:right="0" w:firstLine="0"/>
        <w:jc w:val="left"/>
        <w:rPr>
          <w:rFonts w:ascii="Cambria"/>
          <w:sz w:val="16"/>
        </w:rPr>
      </w:pPr>
      <w:bookmarkStart w:name="_bookmark52" w:id="94"/>
      <w:bookmarkEnd w:id="94"/>
      <w:r>
        <w:rPr/>
      </w:r>
      <w:r>
        <w:rPr>
          <w:rFonts w:ascii="Calibri"/>
          <w:i/>
          <w:spacing w:val="-4"/>
          <w:w w:val="115"/>
          <w:position w:val="4"/>
          <w:sz w:val="24"/>
        </w:rPr>
        <w:t>P</w:t>
      </w:r>
      <w:r>
        <w:rPr>
          <w:rFonts w:ascii="Cambria"/>
          <w:spacing w:val="-4"/>
          <w:w w:val="115"/>
          <w:sz w:val="16"/>
        </w:rPr>
        <w:t>u,v</w:t>
      </w:r>
    </w:p>
    <w:p>
      <w:pPr>
        <w:spacing w:before="0"/>
        <w:ind w:left="282" w:right="0" w:firstLine="0"/>
        <w:jc w:val="left"/>
        <w:rPr>
          <w:rFonts w:ascii="Cambria"/>
          <w:sz w:val="16"/>
        </w:rPr>
      </w:pPr>
      <w:r>
        <w:rPr>
          <w:i/>
        </w:rPr>
        <w:t>푸,v</w:t>
      </w:r>
    </w:p>
    <w:p>
      <w:pPr>
        <w:tabs>
          <w:tab w:pos="2000" w:val="left" w:leader="none"/>
        </w:tabs>
        <w:spacing w:line="184" w:lineRule="auto" w:before="141"/>
        <w:ind w:left="42" w:right="0" w:firstLine="0"/>
        <w:jc w:val="left"/>
        <w:rPr>
          <w:rFonts w:ascii="Calibri" w:hAnsi="Calibri"/>
          <w:i/>
          <w:sz w:val="24"/>
        </w:rPr>
      </w:pPr>
      <w:r>
        <w:rPr/>
        <w:br w:type="column"/>
      </w:r>
      <w:r>
        <w:rPr>
          <w:rFonts w:ascii="Calibri" w:hAnsi="Calibri"/>
          <w:w w:val="110"/>
          <w:position w:val="-21"/>
          <w:sz w:val="24"/>
        </w:rPr>
        <w:t>=</w:t>
      </w:r>
      <w:r>
        <w:rPr>
          <w:rFonts w:ascii="Calibri" w:hAnsi="Calibri"/>
          <w:spacing w:val="65"/>
          <w:w w:val="110"/>
          <w:position w:val="-21"/>
          <w:sz w:val="24"/>
        </w:rPr>
        <w:t> </w:t>
      </w:r>
      <w:r>
        <w:rPr>
          <w:spacing w:val="-34"/>
          <w:w w:val="110"/>
          <w:position w:val="34"/>
          <w:sz w:val="24"/>
        </w:rPr>
        <w:t>,</w:t>
      </w:r>
      <w:r>
        <w:rPr>
          <w:spacing w:val="-34"/>
          <w:w w:val="110"/>
          <w:position w:val="12"/>
          <w:sz w:val="24"/>
        </w:rPr>
        <w:t>,</w:t>
      </w:r>
      <w:r>
        <w:rPr>
          <w:spacing w:val="-34"/>
          <w:w w:val="110"/>
          <w:position w:val="5"/>
          <w:sz w:val="24"/>
        </w:rPr>
        <w:t></w:t>
      </w:r>
      <w:r>
        <w:rPr>
          <w:rFonts w:ascii="Calibri" w:hAnsi="Calibri"/>
          <w:i/>
          <w:spacing w:val="-34"/>
          <w:w w:val="110"/>
          <w:sz w:val="24"/>
        </w:rPr>
        <w:t>w</w:t>
      </w:r>
      <w:r>
        <w:rPr>
          <w:rFonts w:ascii="Calibri" w:hAnsi="Calibri"/>
          <w:spacing w:val="-34"/>
          <w:w w:val="110"/>
          <w:sz w:val="24"/>
        </w:rPr>
        <w:t>(</w:t>
      </w:r>
      <w:r>
        <w:rPr>
          <w:rFonts w:ascii="Calibri" w:hAnsi="Calibri"/>
          <w:i/>
          <w:spacing w:val="-34"/>
          <w:w w:val="110"/>
          <w:sz w:val="24"/>
        </w:rPr>
        <w:t>u,</w:t>
      </w:r>
      <w:r>
        <w:rPr>
          <w:rFonts w:ascii="Calibri" w:hAnsi="Calibri"/>
          <w:i/>
          <w:spacing w:val="14"/>
          <w:w w:val="110"/>
          <w:sz w:val="24"/>
        </w:rPr>
        <w:t> </w:t>
      </w:r>
      <w:r>
        <w:rPr>
          <w:rFonts w:ascii="Calibri" w:hAnsi="Calibri"/>
          <w:i/>
          <w:spacing w:val="-2"/>
          <w:w w:val="110"/>
          <w:sz w:val="24"/>
        </w:rPr>
        <w:t>v</w:t>
      </w:r>
      <w:r>
        <w:rPr>
          <w:rFonts w:ascii="Calibri" w:hAnsi="Calibri"/>
          <w:spacing w:val="-2"/>
          <w:w w:val="110"/>
          <w:sz w:val="24"/>
        </w:rPr>
        <w:t>)/</w:t>
      </w:r>
      <w:r>
        <w:rPr>
          <w:rFonts w:ascii="Calibri" w:hAnsi="Calibri"/>
          <w:i/>
          <w:spacing w:val="-2"/>
          <w:w w:val="110"/>
          <w:sz w:val="24"/>
        </w:rPr>
        <w:t>s</w:t>
      </w:r>
      <w:r>
        <w:rPr>
          <w:rFonts w:ascii="Calibri" w:hAnsi="Calibri"/>
          <w:spacing w:val="-2"/>
          <w:w w:val="110"/>
          <w:sz w:val="24"/>
        </w:rPr>
        <w:t>(</w:t>
      </w:r>
      <w:r>
        <w:rPr>
          <w:rFonts w:ascii="Calibri" w:hAnsi="Calibri"/>
          <w:i/>
          <w:spacing w:val="-2"/>
          <w:w w:val="110"/>
          <w:sz w:val="24"/>
        </w:rPr>
        <w:t>u</w:t>
      </w:r>
      <w:r>
        <w:rPr>
          <w:rFonts w:ascii="Calibri" w:hAnsi="Calibri"/>
          <w:spacing w:val="-2"/>
          <w:w w:val="110"/>
          <w:sz w:val="24"/>
        </w:rPr>
        <w:t>)</w:t>
      </w:r>
      <w:r>
        <w:rPr>
          <w:rFonts w:ascii="Calibri" w:hAnsi="Calibri"/>
          <w:sz w:val="24"/>
        </w:rPr>
        <w:tab/>
      </w:r>
      <w:r>
        <w:rPr>
          <w:w w:val="120"/>
          <w:sz w:val="24"/>
        </w:rPr>
        <w:t>if</w:t>
      </w:r>
      <w:r>
        <w:rPr>
          <w:spacing w:val="-18"/>
          <w:w w:val="120"/>
          <w:sz w:val="24"/>
        </w:rPr>
        <w:t> </w:t>
      </w:r>
      <w:r>
        <w:rPr>
          <w:rFonts w:ascii="Calibri" w:hAnsi="Calibri"/>
          <w:i/>
          <w:w w:val="125"/>
          <w:sz w:val="24"/>
        </w:rPr>
        <w:t>s</w:t>
      </w:r>
      <w:r>
        <w:rPr>
          <w:rFonts w:ascii="Calibri" w:hAnsi="Calibri"/>
          <w:w w:val="125"/>
          <w:sz w:val="24"/>
        </w:rPr>
        <w:t>(</w:t>
      </w:r>
      <w:r>
        <w:rPr>
          <w:rFonts w:ascii="Calibri" w:hAnsi="Calibri"/>
          <w:i/>
          <w:w w:val="125"/>
          <w:sz w:val="24"/>
        </w:rPr>
        <w:t>u</w:t>
      </w:r>
      <w:r>
        <w:rPr>
          <w:rFonts w:ascii="Calibri" w:hAnsi="Calibri"/>
          <w:w w:val="125"/>
          <w:sz w:val="24"/>
        </w:rPr>
        <w:t>)</w:t>
      </w:r>
      <w:r>
        <w:rPr>
          <w:rFonts w:ascii="Calibri" w:hAnsi="Calibri"/>
          <w:spacing w:val="-16"/>
          <w:w w:val="125"/>
          <w:sz w:val="24"/>
        </w:rPr>
        <w:t> </w:t>
      </w:r>
      <w:r>
        <w:rPr>
          <w:rFonts w:ascii="Calibri" w:hAnsi="Calibri"/>
          <w:i/>
          <w:w w:val="125"/>
          <w:sz w:val="24"/>
        </w:rPr>
        <w:t>&gt;</w:t>
      </w:r>
      <w:r>
        <w:rPr>
          <w:rFonts w:ascii="Calibri" w:hAnsi="Calibri"/>
          <w:i/>
          <w:spacing w:val="-11"/>
          <w:w w:val="125"/>
          <w:sz w:val="24"/>
        </w:rPr>
        <w:t> </w:t>
      </w:r>
      <w:r>
        <w:rPr>
          <w:rFonts w:ascii="Calibri" w:hAnsi="Calibri"/>
          <w:spacing w:val="-5"/>
          <w:w w:val="120"/>
          <w:sz w:val="24"/>
        </w:rPr>
        <w:t>0</w:t>
      </w:r>
      <w:r>
        <w:rPr>
          <w:rFonts w:ascii="Calibri" w:hAnsi="Calibri"/>
          <w:i/>
          <w:spacing w:val="-5"/>
          <w:w w:val="120"/>
          <w:sz w:val="24"/>
        </w:rPr>
        <w:t>,</w:t>
      </w:r>
    </w:p>
    <w:p>
      <w:pPr>
        <w:tabs>
          <w:tab w:pos="2000" w:val="left" w:leader="none"/>
        </w:tabs>
        <w:spacing w:line="184" w:lineRule="auto" w:before="141"/>
        <w:ind w:left="42" w:right="0" w:firstLine="0"/>
        <w:jc w:val="left"/>
        <w:rPr>
          <w:rFonts w:ascii="Calibri" w:hAnsi="Calibri"/>
          <w:i/>
          <w:sz w:val="24"/>
        </w:rPr>
      </w:pPr>
      <w:r>
        <w:rPr>
          <w:i/>
        </w:rPr>
        <w:t>= ,,w(u, v)/s(u)</w:t>
        <w:tab/>
        <w:t>s(u) &gt; 0이면,</w:t>
      </w:r>
    </w:p>
    <w:p>
      <w:pPr>
        <w:pStyle w:val="BodyText"/>
        <w:tabs>
          <w:tab w:pos="2000" w:val="left" w:leader="none"/>
        </w:tabs>
        <w:spacing w:line="393" w:lineRule="exact"/>
        <w:ind w:left="290"/>
      </w:pPr>
      <w:r>
        <w:rPr>
          <w:spacing w:val="-218"/>
          <w:w w:val="325"/>
          <w:position w:val="17"/>
        </w:rPr>
        <w:t>,</w:t>
      </w:r>
      <w:r>
        <w:rPr>
          <w:spacing w:val="-5"/>
          <w:w w:val="325"/>
          <w:position w:val="10"/>
        </w:rPr>
        <w:t>,</w:t>
      </w:r>
      <w:r>
        <w:rPr>
          <w:rFonts w:ascii="Calibri"/>
          <w:spacing w:val="-5"/>
          <w:w w:val="68"/>
        </w:rPr>
        <w:t>0</w:t>
      </w:r>
      <w:r>
        <w:rPr>
          <w:rFonts w:ascii="Calibri"/>
        </w:rPr>
        <w:tab/>
      </w:r>
      <w:r>
        <w:rPr>
          <w:spacing w:val="-2"/>
          <w:w w:val="115"/>
        </w:rPr>
        <w:t>otherwise.</w:t>
      </w:r>
    </w:p>
    <w:p>
      <w:pPr>
        <w:pStyle w:val="BodyText"/>
        <w:tabs>
          <w:tab w:pos="2000" w:val="left" w:leader="none"/>
        </w:tabs>
        <w:spacing w:line="393" w:lineRule="exact"/>
        <w:ind w:left="290"/>
      </w:pPr>
      <w:r>
        <w:rPr>
          <w:i/>
        </w:rPr>
        <w:t>,,0</w:t>
        <w:tab/>
        <w:t>그렇지 않으면.</w:t>
      </w:r>
    </w:p>
    <w:p>
      <w:pPr>
        <w:pStyle w:val="BodyText"/>
      </w:pPr>
      <w:r>
        <w:rPr/>
        <w:br w:type="column"/>
      </w:r>
      <w:r>
        <w:rPr/>
      </w:r>
    </w:p>
    <w:p>
      <w:pPr>
        <w:pStyle w:val="BodyText"/>
        <w:spacing w:before="151"/>
      </w:pPr>
    </w:p>
    <w:p>
      <w:pPr>
        <w:pStyle w:val="BodyText"/>
        <w:ind w:left="282"/>
      </w:pPr>
      <w:r>
        <w:rPr>
          <w:spacing w:val="-2"/>
        </w:rPr>
        <w:t>(3.2)</w:t>
      </w:r>
    </w:p>
    <w:p>
      <w:pPr>
        <w:pStyle w:val="BodyText"/>
        <w:spacing w:after="0"/>
        <w:sectPr>
          <w:pgSz w:w="11910" w:h="16840"/>
          <w:pgMar w:header="0" w:footer="2115" w:top="1840" w:bottom="2300" w:left="992" w:right="708"/>
          <w:cols w:num="4" w:equalWidth="0">
            <w:col w:w="735" w:space="2158"/>
            <w:col w:w="661" w:space="39"/>
            <w:col w:w="3170" w:space="2152"/>
            <w:col w:w="1295"/>
          </w:cols>
        </w:sectPr>
      </w:pPr>
    </w:p>
    <w:p>
      <w:pPr>
        <w:pStyle w:val="BodyText"/>
        <w:spacing w:line="456" w:lineRule="exact" w:before="125"/>
        <w:ind w:left="282" w:right="560"/>
        <w:jc w:val="both"/>
      </w:pPr>
      <w:r>
        <w:rPr>
          <w:w w:val="105"/>
        </w:rPr>
        <w:t>Dangling</w:t>
      </w:r>
      <w:r>
        <w:rPr>
          <w:spacing w:val="-14"/>
          <w:w w:val="105"/>
        </w:rPr>
        <w:t> </w:t>
      </w:r>
      <w:r>
        <w:rPr>
          <w:w w:val="105"/>
        </w:rPr>
        <w:t>mass</w:t>
      </w:r>
      <w:r>
        <w:rPr>
          <w:spacing w:val="-14"/>
          <w:w w:val="105"/>
        </w:rPr>
        <w:t> </w:t>
      </w:r>
      <w:r>
        <w:rPr>
          <w:w w:val="105"/>
        </w:rPr>
        <w:t>is</w:t>
      </w:r>
      <w:r>
        <w:rPr>
          <w:spacing w:val="-14"/>
          <w:w w:val="105"/>
        </w:rPr>
        <w:t> </w:t>
      </w:r>
      <w:r>
        <w:rPr>
          <w:w w:val="105"/>
        </w:rPr>
        <w:t>redistributed</w:t>
      </w:r>
      <w:r>
        <w:rPr>
          <w:spacing w:val="-14"/>
          <w:w w:val="105"/>
        </w:rPr>
        <w:t> </w:t>
      </w:r>
      <w:r>
        <w:rPr>
          <w:w w:val="105"/>
        </w:rPr>
        <w:t>uniformly</w:t>
      </w:r>
      <w:r>
        <w:rPr>
          <w:spacing w:val="-14"/>
          <w:w w:val="105"/>
        </w:rPr>
        <w:t> </w:t>
      </w:r>
      <w:r>
        <w:rPr>
          <w:w w:val="105"/>
        </w:rPr>
        <w:t>through</w:t>
      </w:r>
      <w:r>
        <w:rPr>
          <w:spacing w:val="-14"/>
          <w:w w:val="105"/>
        </w:rPr>
        <w:t> </w:t>
      </w:r>
      <w:r>
        <w:rPr>
          <w:w w:val="105"/>
        </w:rPr>
        <w:t>the</w:t>
      </w:r>
      <w:r>
        <w:rPr>
          <w:spacing w:val="-14"/>
          <w:w w:val="105"/>
        </w:rPr>
        <w:t> </w:t>
      </w:r>
      <w:r>
        <w:rPr>
          <w:w w:val="105"/>
        </w:rPr>
        <w:t>teleportation</w:t>
      </w:r>
      <w:r>
        <w:rPr>
          <w:spacing w:val="-14"/>
          <w:w w:val="105"/>
        </w:rPr>
        <w:t> </w:t>
      </w:r>
      <w:r>
        <w:rPr>
          <w:w w:val="105"/>
        </w:rPr>
        <w:t>term,</w:t>
      </w:r>
      <w:r>
        <w:rPr>
          <w:spacing w:val="-10"/>
          <w:w w:val="105"/>
        </w:rPr>
        <w:t> </w:t>
      </w:r>
      <w:r>
        <w:rPr>
          <w:w w:val="105"/>
        </w:rPr>
        <w:t>which</w:t>
      </w:r>
      <w:r>
        <w:rPr>
          <w:spacing w:val="-14"/>
          <w:w w:val="105"/>
        </w:rPr>
        <w:t> </w:t>
      </w:r>
      <w:r>
        <w:rPr>
          <w:w w:val="105"/>
        </w:rPr>
        <w:t>is</w:t>
      </w:r>
      <w:r>
        <w:rPr>
          <w:spacing w:val="-14"/>
          <w:w w:val="105"/>
        </w:rPr>
        <w:t> </w:t>
      </w:r>
      <w:r>
        <w:rPr>
          <w:w w:val="105"/>
        </w:rPr>
        <w:t>the</w:t>
      </w:r>
      <w:r>
        <w:rPr>
          <w:spacing w:val="-14"/>
          <w:w w:val="105"/>
        </w:rPr>
        <w:t> </w:t>
      </w:r>
      <w:r>
        <w:rPr>
          <w:w w:val="105"/>
        </w:rPr>
        <w:t>standard treatment</w:t>
      </w:r>
      <w:r>
        <w:rPr>
          <w:spacing w:val="-16"/>
          <w:w w:val="105"/>
        </w:rPr>
        <w:t> </w:t>
      </w:r>
      <w:r>
        <w:rPr>
          <w:w w:val="105"/>
        </w:rPr>
        <w:t>in</w:t>
      </w:r>
      <w:r>
        <w:rPr>
          <w:spacing w:val="-16"/>
          <w:w w:val="105"/>
        </w:rPr>
        <w:t> </w:t>
      </w:r>
      <w:r>
        <w:rPr>
          <w:w w:val="105"/>
        </w:rPr>
        <w:t>sparse</w:t>
      </w:r>
      <w:r>
        <w:rPr>
          <w:spacing w:val="-16"/>
          <w:w w:val="105"/>
        </w:rPr>
        <w:t> </w:t>
      </w:r>
      <w:r>
        <w:rPr>
          <w:w w:val="105"/>
        </w:rPr>
        <w:t>web</w:t>
      </w:r>
      <w:r>
        <w:rPr>
          <w:spacing w:val="-2"/>
          <w:w w:val="105"/>
        </w:rPr>
        <w:t> </w:t>
      </w:r>
      <w:r>
        <w:rPr>
          <w:w w:val="105"/>
        </w:rPr>
        <w:t>and transaction graphs.</w:t>
      </w:r>
      <w:r>
        <w:rPr>
          <w:spacing w:val="40"/>
          <w:w w:val="105"/>
        </w:rPr>
        <w:t> </w:t>
      </w:r>
      <w:r>
        <w:rPr>
          <w:w w:val="105"/>
        </w:rPr>
        <w:t>Iteration stops when</w:t>
      </w:r>
      <w:r>
        <w:rPr>
          <w:spacing w:val="26"/>
          <w:w w:val="105"/>
        </w:rPr>
        <w:t> </w:t>
      </w:r>
      <w:r>
        <w:rPr>
          <w:spacing w:val="-8"/>
          <w:position w:val="-5"/>
        </w:rPr>
        <w:drawing>
          <wp:inline distT="0" distB="0" distL="0" distR="0">
            <wp:extent cx="38100" cy="15240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 cstate="print"/>
                    <a:stretch>
                      <a:fillRect/>
                    </a:stretch>
                  </pic:blipFill>
                  <pic:spPr>
                    <a:xfrm>
                      <a:off x="0" y="0"/>
                      <a:ext cx="38100" cy="152400"/>
                    </a:xfrm>
                    <a:prstGeom prst="rect">
                      <a:avLst/>
                    </a:prstGeom>
                  </pic:spPr>
                </pic:pic>
              </a:graphicData>
            </a:graphic>
          </wp:inline>
        </w:drawing>
      </w:r>
      <w:r>
        <w:rPr>
          <w:spacing w:val="-8"/>
          <w:position w:val="-5"/>
        </w:rPr>
      </w:r>
      <w:r>
        <w:rPr>
          <w:spacing w:val="-7"/>
        </w:rPr>
        <w:t> </w:t>
      </w:r>
      <w:r>
        <w:rPr>
          <w:b/>
          <w:w w:val="105"/>
        </w:rPr>
        <w:t>r</w:t>
      </w:r>
      <w:r>
        <w:rPr>
          <w:rFonts w:ascii="Calibri" w:hAnsi="Calibri"/>
          <w:w w:val="105"/>
          <w:vertAlign w:val="superscript"/>
        </w:rPr>
        <w:t>(</w:t>
      </w:r>
      <w:r>
        <w:rPr>
          <w:rFonts w:ascii="Cambria" w:hAnsi="Cambria"/>
          <w:w w:val="105"/>
          <w:vertAlign w:val="superscript"/>
        </w:rPr>
        <w:t>t</w:t>
      </w:r>
      <w:r>
        <w:rPr>
          <w:rFonts w:ascii="Calibri" w:hAnsi="Calibri"/>
          <w:w w:val="105"/>
          <w:vertAlign w:val="superscript"/>
        </w:rPr>
        <w:t>+1)</w:t>
      </w:r>
      <w:r>
        <w:rPr>
          <w:rFonts w:ascii="Calibri" w:hAnsi="Calibri"/>
          <w:w w:val="105"/>
          <w:vertAlign w:val="baseline"/>
        </w:rPr>
        <w:t> </w:t>
      </w:r>
      <w:r>
        <w:rPr>
          <w:rFonts w:ascii="Lucida Sans Unicode" w:hAnsi="Lucida Sans Unicode"/>
          <w:vertAlign w:val="baseline"/>
        </w:rPr>
        <w:t>—</w:t>
      </w:r>
      <w:r>
        <w:rPr>
          <w:rFonts w:ascii="Lucida Sans Unicode" w:hAnsi="Lucida Sans Unicode"/>
          <w:spacing w:val="-18"/>
          <w:vertAlign w:val="baseline"/>
        </w:rPr>
        <w:t> </w:t>
      </w:r>
      <w:r>
        <w:rPr>
          <w:b/>
          <w:w w:val="105"/>
          <w:vertAlign w:val="baseline"/>
        </w:rPr>
        <w:t>r</w:t>
      </w:r>
      <w:r>
        <w:rPr>
          <w:rFonts w:ascii="Calibri" w:hAnsi="Calibri"/>
          <w:w w:val="105"/>
          <w:vertAlign w:val="superscript"/>
        </w:rPr>
        <w:t>(</w:t>
      </w:r>
      <w:r>
        <w:rPr>
          <w:rFonts w:ascii="Cambria" w:hAnsi="Cambria"/>
          <w:w w:val="105"/>
          <w:vertAlign w:val="superscript"/>
        </w:rPr>
        <w:t>t</w:t>
      </w:r>
      <w:r>
        <w:rPr>
          <w:rFonts w:ascii="Calibri" w:hAnsi="Calibri"/>
          <w:w w:val="105"/>
          <w:vertAlign w:val="superscript"/>
        </w:rPr>
        <w:t>)</w:t>
      </w:r>
      <w:r>
        <w:rPr>
          <w:rFonts w:ascii="Calibri" w:hAnsi="Calibri"/>
          <w:spacing w:val="-15"/>
          <w:w w:val="105"/>
          <w:vertAlign w:val="baseline"/>
        </w:rPr>
        <w:t> </w:t>
      </w:r>
      <w:r>
        <w:rPr>
          <w:rFonts w:ascii="Calibri" w:hAnsi="Calibri"/>
          <w:spacing w:val="-15"/>
          <w:position w:val="-5"/>
          <w:vertAlign w:val="baseline"/>
        </w:rPr>
        <w:drawing>
          <wp:inline distT="0" distB="0" distL="0" distR="0">
            <wp:extent cx="38100" cy="15240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6" cstate="print"/>
                    <a:stretch>
                      <a:fillRect/>
                    </a:stretch>
                  </pic:blipFill>
                  <pic:spPr>
                    <a:xfrm>
                      <a:off x="0" y="0"/>
                      <a:ext cx="38100" cy="152400"/>
                    </a:xfrm>
                    <a:prstGeom prst="rect">
                      <a:avLst/>
                    </a:prstGeom>
                  </pic:spPr>
                </pic:pic>
              </a:graphicData>
            </a:graphic>
          </wp:inline>
        </w:drawing>
      </w:r>
      <w:r>
        <w:rPr>
          <w:rFonts w:ascii="Calibri" w:hAnsi="Calibri"/>
          <w:spacing w:val="-15"/>
          <w:position w:val="-5"/>
          <w:vertAlign w:val="baseline"/>
        </w:rPr>
      </w:r>
      <w:r>
        <w:rPr>
          <w:spacing w:val="-3"/>
          <w:w w:val="105"/>
          <w:position w:val="-3"/>
          <w:vertAlign w:val="baseline"/>
        </w:rPr>
        <w:t> </w:t>
      </w:r>
      <w:r>
        <w:rPr>
          <w:rFonts w:ascii="Calibri" w:hAnsi="Calibri"/>
          <w:w w:val="105"/>
          <w:position w:val="-3"/>
          <w:vertAlign w:val="subscript"/>
        </w:rPr>
        <w:t>1</w:t>
      </w:r>
      <w:r>
        <w:rPr>
          <w:rFonts w:ascii="Calibri" w:hAnsi="Calibri"/>
          <w:spacing w:val="33"/>
          <w:w w:val="125"/>
          <w:position w:val="-3"/>
          <w:vertAlign w:val="baseline"/>
        </w:rPr>
        <w:t> </w:t>
      </w:r>
      <w:r>
        <w:rPr>
          <w:rFonts w:ascii="Calibri" w:hAnsi="Calibri"/>
          <w:i/>
          <w:w w:val="125"/>
          <w:vertAlign w:val="baseline"/>
        </w:rPr>
        <w:t>&lt;</w:t>
      </w:r>
      <w:r>
        <w:rPr>
          <w:rFonts w:ascii="Calibri" w:hAnsi="Calibri"/>
          <w:i/>
          <w:w w:val="125"/>
          <w:vertAlign w:val="baseline"/>
        </w:rPr>
        <w:t> </w:t>
      </w:r>
      <w:r>
        <w:rPr>
          <w:rFonts w:ascii="Calibri" w:hAnsi="Calibri"/>
          <w:i/>
          <w:w w:val="105"/>
          <w:vertAlign w:val="baseline"/>
        </w:rPr>
        <w:t>τ</w:t>
      </w:r>
      <w:r>
        <w:rPr>
          <w:w w:val="105"/>
          <w:vertAlign w:val="subscript"/>
        </w:rPr>
        <w:t>tol</w:t>
      </w:r>
      <w:r>
        <w:rPr>
          <w:w w:val="105"/>
          <w:vertAlign w:val="baseline"/>
        </w:rPr>
        <w:t> </w:t>
      </w:r>
      <w:r>
        <w:rPr>
          <w:w w:val="105"/>
          <w:vertAlign w:val="baseline"/>
        </w:rPr>
        <w:t>or </w:t>
      </w:r>
      <w:r>
        <w:rPr>
          <w:vertAlign w:val="baseline"/>
        </w:rPr>
        <w:t>after</w:t>
      </w:r>
      <w:r>
        <w:rPr>
          <w:spacing w:val="-3"/>
          <w:vertAlign w:val="baseline"/>
        </w:rPr>
        <w:t> </w:t>
      </w:r>
      <w:r>
        <w:rPr>
          <w:rFonts w:ascii="Calibri" w:hAnsi="Calibri"/>
          <w:i/>
          <w:vertAlign w:val="baseline"/>
        </w:rPr>
        <w:t>I</w:t>
      </w:r>
      <w:r>
        <w:rPr>
          <w:vertAlign w:val="subscript"/>
        </w:rPr>
        <w:t>max</w:t>
      </w:r>
      <w:r>
        <w:rPr>
          <w:vertAlign w:val="baseline"/>
        </w:rPr>
        <w:t> iterations. Scores</w:t>
      </w:r>
      <w:r>
        <w:rPr>
          <w:spacing w:val="-3"/>
          <w:vertAlign w:val="baseline"/>
        </w:rPr>
        <w:t> </w:t>
      </w:r>
      <w:r>
        <w:rPr>
          <w:vertAlign w:val="baseline"/>
        </w:rPr>
        <w:t>are</w:t>
      </w:r>
      <w:r>
        <w:rPr>
          <w:spacing w:val="-3"/>
          <w:vertAlign w:val="baseline"/>
        </w:rPr>
        <w:t> </w:t>
      </w:r>
      <w:r>
        <w:rPr>
          <w:vertAlign w:val="baseline"/>
        </w:rPr>
        <w:t>renormalized</w:t>
      </w:r>
      <w:r>
        <w:rPr>
          <w:spacing w:val="-3"/>
          <w:vertAlign w:val="baseline"/>
        </w:rPr>
        <w:t> </w:t>
      </w:r>
      <w:r>
        <w:rPr>
          <w:vertAlign w:val="baseline"/>
        </w:rPr>
        <w:t>to</w:t>
      </w:r>
      <w:r>
        <w:rPr>
          <w:spacing w:val="-3"/>
          <w:vertAlign w:val="baseline"/>
        </w:rPr>
        <w:t> </w:t>
      </w:r>
      <w:r>
        <w:rPr>
          <w:vertAlign w:val="baseline"/>
        </w:rPr>
        <w:t>sum</w:t>
      </w:r>
      <w:r>
        <w:rPr>
          <w:spacing w:val="-3"/>
          <w:vertAlign w:val="baseline"/>
        </w:rPr>
        <w:t> </w:t>
      </w:r>
      <w:r>
        <w:rPr>
          <w:vertAlign w:val="baseline"/>
        </w:rPr>
        <w:t>to</w:t>
      </w:r>
      <w:r>
        <w:rPr>
          <w:spacing w:val="-3"/>
          <w:vertAlign w:val="baseline"/>
        </w:rPr>
        <w:t> </w:t>
      </w:r>
      <w:r>
        <w:rPr>
          <w:vertAlign w:val="baseline"/>
        </w:rPr>
        <w:t>one</w:t>
      </w:r>
      <w:r>
        <w:rPr>
          <w:spacing w:val="-3"/>
          <w:vertAlign w:val="baseline"/>
        </w:rPr>
        <w:t> </w:t>
      </w:r>
      <w:r>
        <w:rPr>
          <w:vertAlign w:val="baseline"/>
        </w:rPr>
        <w:t>over</w:t>
      </w:r>
      <w:r>
        <w:rPr>
          <w:spacing w:val="-3"/>
          <w:vertAlign w:val="baseline"/>
        </w:rPr>
        <w:t> </w:t>
      </w:r>
      <w:r>
        <w:rPr>
          <w:vertAlign w:val="baseline"/>
        </w:rPr>
        <w:t>reachable</w:t>
      </w:r>
      <w:r>
        <w:rPr>
          <w:spacing w:val="-3"/>
          <w:vertAlign w:val="baseline"/>
        </w:rPr>
        <w:t> </w:t>
      </w:r>
      <w:r>
        <w:rPr>
          <w:vertAlign w:val="baseline"/>
        </w:rPr>
        <w:t>nodes. Dense</w:t>
      </w:r>
      <w:r>
        <w:rPr>
          <w:spacing w:val="-3"/>
          <w:vertAlign w:val="baseline"/>
        </w:rPr>
        <w:t> </w:t>
      </w:r>
      <w:r>
        <w:rPr>
          <w:vertAlign w:val="baseline"/>
        </w:rPr>
        <w:t>ranks</w:t>
      </w:r>
      <w:r>
        <w:rPr>
          <w:spacing w:val="-3"/>
          <w:vertAlign w:val="baseline"/>
        </w:rPr>
        <w:t> </w:t>
      </w:r>
      <w:r>
        <w:rPr>
          <w:vertAlign w:val="baseline"/>
        </w:rPr>
        <w:t>for alignment</w:t>
      </w:r>
      <w:r>
        <w:rPr>
          <w:spacing w:val="-2"/>
          <w:vertAlign w:val="baseline"/>
        </w:rPr>
        <w:t> </w:t>
      </w:r>
      <w:r>
        <w:rPr>
          <w:vertAlign w:val="baseline"/>
        </w:rPr>
        <w:t>are</w:t>
      </w:r>
      <w:r>
        <w:rPr>
          <w:spacing w:val="-2"/>
          <w:vertAlign w:val="baseline"/>
        </w:rPr>
        <w:t> </w:t>
      </w:r>
      <w:r>
        <w:rPr>
          <w:vertAlign w:val="baseline"/>
        </w:rPr>
        <w:t>assigned</w:t>
      </w:r>
      <w:r>
        <w:rPr>
          <w:spacing w:val="-2"/>
          <w:vertAlign w:val="baseline"/>
        </w:rPr>
        <w:t> </w:t>
      </w:r>
      <w:r>
        <w:rPr>
          <w:vertAlign w:val="baseline"/>
        </w:rPr>
        <w:t>by</w:t>
      </w:r>
      <w:r>
        <w:rPr>
          <w:spacing w:val="-2"/>
          <w:vertAlign w:val="baseline"/>
        </w:rPr>
        <w:t> </w:t>
      </w:r>
      <w:r>
        <w:rPr>
          <w:vertAlign w:val="baseline"/>
        </w:rPr>
        <w:t>sorting</w:t>
      </w:r>
      <w:r>
        <w:rPr>
          <w:spacing w:val="-2"/>
          <w:vertAlign w:val="baseline"/>
        </w:rPr>
        <w:t> </w:t>
      </w:r>
      <w:r>
        <w:rPr>
          <w:vertAlign w:val="baseline"/>
        </w:rPr>
        <w:t>scores</w:t>
      </w:r>
      <w:r>
        <w:rPr>
          <w:spacing w:val="-2"/>
          <w:vertAlign w:val="baseline"/>
        </w:rPr>
        <w:t> </w:t>
      </w:r>
      <w:r>
        <w:rPr>
          <w:vertAlign w:val="baseline"/>
        </w:rPr>
        <w:t>descending</w:t>
      </w:r>
      <w:r>
        <w:rPr>
          <w:spacing w:val="-2"/>
          <w:vertAlign w:val="baseline"/>
        </w:rPr>
        <w:t> </w:t>
      </w:r>
      <w:r>
        <w:rPr>
          <w:vertAlign w:val="baseline"/>
        </w:rPr>
        <w:t>(rank</w:t>
      </w:r>
      <w:r>
        <w:rPr>
          <w:spacing w:val="-2"/>
          <w:vertAlign w:val="baseline"/>
        </w:rPr>
        <w:t> </w:t>
      </w:r>
      <w:r>
        <w:rPr>
          <w:rFonts w:ascii="Calibri" w:hAnsi="Calibri"/>
          <w:vertAlign w:val="baseline"/>
        </w:rPr>
        <w:t>1 </w:t>
      </w:r>
      <w:r>
        <w:rPr>
          <w:vertAlign w:val="baseline"/>
        </w:rPr>
        <w:t>=</w:t>
      </w:r>
      <w:r>
        <w:rPr>
          <w:spacing w:val="-2"/>
          <w:vertAlign w:val="baseline"/>
        </w:rPr>
        <w:t> </w:t>
      </w:r>
      <w:r>
        <w:rPr>
          <w:vertAlign w:val="baseline"/>
        </w:rPr>
        <w:t>highest</w:t>
      </w:r>
      <w:r>
        <w:rPr>
          <w:spacing w:val="-2"/>
          <w:vertAlign w:val="baseline"/>
        </w:rPr>
        <w:t> </w:t>
      </w:r>
      <w:r>
        <w:rPr>
          <w:vertAlign w:val="baseline"/>
        </w:rPr>
        <w:t>score),</w:t>
      </w:r>
      <w:r>
        <w:rPr>
          <w:spacing w:val="-1"/>
          <w:vertAlign w:val="baseline"/>
        </w:rPr>
        <w:t> </w:t>
      </w:r>
      <w:r>
        <w:rPr>
          <w:vertAlign w:val="baseline"/>
        </w:rPr>
        <w:t>with</w:t>
      </w:r>
      <w:r>
        <w:rPr>
          <w:spacing w:val="-2"/>
          <w:vertAlign w:val="baseline"/>
        </w:rPr>
        <w:t> </w:t>
      </w:r>
      <w:r>
        <w:rPr>
          <w:vertAlign w:val="baseline"/>
        </w:rPr>
        <w:t>wallet</w:t>
      </w:r>
      <w:r>
        <w:rPr>
          <w:spacing w:val="-2"/>
          <w:vertAlign w:val="baseline"/>
        </w:rPr>
        <w:t> </w:t>
      </w:r>
      <w:r>
        <w:rPr>
          <w:vertAlign w:val="baseline"/>
        </w:rPr>
        <w:t>address </w:t>
      </w:r>
      <w:r>
        <w:rPr>
          <w:w w:val="105"/>
          <w:vertAlign w:val="baseline"/>
        </w:rPr>
        <w:t>as</w:t>
      </w:r>
      <w:r>
        <w:rPr>
          <w:spacing w:val="-16"/>
          <w:w w:val="105"/>
          <w:vertAlign w:val="baseline"/>
        </w:rPr>
        <w:t> </w:t>
      </w:r>
      <w:r>
        <w:rPr>
          <w:w w:val="105"/>
          <w:vertAlign w:val="baseline"/>
        </w:rPr>
        <w:t>a</w:t>
      </w:r>
      <w:r>
        <w:rPr>
          <w:spacing w:val="-16"/>
          <w:w w:val="105"/>
          <w:vertAlign w:val="baseline"/>
        </w:rPr>
        <w:t> </w:t>
      </w:r>
      <w:r>
        <w:rPr>
          <w:w w:val="105"/>
          <w:vertAlign w:val="baseline"/>
        </w:rPr>
        <w:t>deterministic</w:t>
      </w:r>
      <w:r>
        <w:rPr>
          <w:spacing w:val="-16"/>
          <w:w w:val="105"/>
          <w:vertAlign w:val="baseline"/>
        </w:rPr>
        <w:t> </w:t>
      </w:r>
      <w:r>
        <w:rPr>
          <w:w w:val="105"/>
          <w:vertAlign w:val="baseline"/>
        </w:rPr>
        <w:t>tie-break</w:t>
      </w:r>
      <w:r>
        <w:rPr>
          <w:spacing w:val="-15"/>
          <w:w w:val="105"/>
          <w:vertAlign w:val="baseline"/>
        </w:rPr>
        <w:t> </w:t>
      </w:r>
      <w:r>
        <w:rPr>
          <w:w w:val="105"/>
          <w:vertAlign w:val="baseline"/>
        </w:rPr>
        <w:t>when</w:t>
      </w:r>
      <w:r>
        <w:rPr>
          <w:spacing w:val="-16"/>
          <w:w w:val="105"/>
          <w:vertAlign w:val="baseline"/>
        </w:rPr>
        <w:t> </w:t>
      </w:r>
      <w:r>
        <w:rPr>
          <w:w w:val="105"/>
          <w:vertAlign w:val="baseline"/>
        </w:rPr>
        <w:t>scores</w:t>
      </w:r>
      <w:r>
        <w:rPr>
          <w:spacing w:val="-16"/>
          <w:w w:val="105"/>
          <w:vertAlign w:val="baseline"/>
        </w:rPr>
        <w:t> </w:t>
      </w:r>
      <w:r>
        <w:rPr>
          <w:w w:val="105"/>
          <w:vertAlign w:val="baseline"/>
        </w:rPr>
        <w:t>are</w:t>
      </w:r>
      <w:r>
        <w:rPr>
          <w:spacing w:val="-16"/>
          <w:w w:val="105"/>
          <w:vertAlign w:val="baseline"/>
        </w:rPr>
        <w:t> </w:t>
      </w:r>
      <w:r>
        <w:rPr>
          <w:w w:val="105"/>
          <w:vertAlign w:val="baseline"/>
        </w:rPr>
        <w:t>equal.</w:t>
      </w:r>
    </w:p>
    <w:p>
      <w:pPr>
        <w:pStyle w:val="BodyText"/>
        <w:spacing w:line="456" w:lineRule="exact" w:before="125"/>
        <w:ind w:left="282" w:right="560"/>
        <w:jc w:val="both"/>
      </w:pPr>
      <w:r>
        <w:rPr>
          <w:i/>
        </w:rPr>
        <w:t>매달린 질량은 희소 웹 및 트랜잭션 그래프의 표준 처리인 순간 이동 용어를 통해 균일하게 재분배됩니다. r(t+1) — r(t) 1 &lt; τtol인 경우 또는 Imax 반복 후에 반복이 중지됩니다. 점수는 도달 가능한 노드에 대한 합계를 1로 다시 정규화합니다. 정렬을 위한 밀집 순위는 점수를 내림차순으로 정렬하여(순위 1 = 최고 점수) 할당되며, 점수가 같을 때 결정론적 타이브레이크로 지갑 주소를 사용합니다.</w:t>
      </w:r>
    </w:p>
    <w:p>
      <w:pPr>
        <w:pStyle w:val="BodyText"/>
        <w:spacing w:line="456" w:lineRule="exact" w:before="17"/>
        <w:ind w:left="274" w:right="563"/>
        <w:jc w:val="both"/>
      </w:pPr>
      <w:r>
        <w:rPr/>
        <w:t>The damping factor </w:t>
      </w:r>
      <w:r>
        <w:rPr>
          <w:rFonts w:ascii="Calibri" w:hAnsi="Calibri"/>
          <w:i/>
        </w:rPr>
        <w:t>d </w:t>
      </w:r>
      <w:r>
        <w:rPr/>
        <w:t>interpolates between pure graph propagation (</w:t>
      </w:r>
      <w:r>
        <w:rPr>
          <w:rFonts w:ascii="Calibri" w:hAnsi="Calibri"/>
          <w:i/>
        </w:rPr>
        <w:t>d</w:t>
      </w:r>
      <w:r>
        <w:rPr>
          <w:rFonts w:ascii="Calibri" w:hAnsi="Calibri"/>
          <w:i/>
          <w:spacing w:val="40"/>
        </w:rPr>
        <w:t> </w:t>
      </w:r>
      <w:r>
        <w:rPr>
          <w:rFonts w:ascii="Lucida Sans Unicode" w:hAnsi="Lucida Sans Unicode"/>
        </w:rPr>
        <w:t>→ </w:t>
      </w:r>
      <w:r>
        <w:rPr>
          <w:rFonts w:ascii="Calibri" w:hAnsi="Calibri"/>
        </w:rPr>
        <w:t>1</w:t>
      </w:r>
      <w:r>
        <w:rPr/>
        <w:t>) and uniform scores (</w:t>
      </w:r>
      <w:r>
        <w:rPr>
          <w:rFonts w:ascii="Calibri" w:hAnsi="Calibri"/>
          <w:i/>
        </w:rPr>
        <w:t>d</w:t>
      </w:r>
      <w:r>
        <w:rPr>
          <w:rFonts w:ascii="Calibri" w:hAnsi="Calibri"/>
          <w:i/>
          <w:spacing w:val="40"/>
        </w:rPr>
        <w:t> </w:t>
      </w:r>
      <w:r>
        <w:rPr>
          <w:rFonts w:ascii="Lucida Sans Unicode" w:hAnsi="Lucida Sans Unicode"/>
        </w:rPr>
        <w:t>→</w:t>
      </w:r>
      <w:r>
        <w:rPr>
          <w:rFonts w:ascii="Lucida Sans Unicode" w:hAnsi="Lucida Sans Unicode"/>
          <w:spacing w:val="33"/>
        </w:rPr>
        <w:t> </w:t>
      </w:r>
      <w:r>
        <w:rPr>
          <w:rFonts w:ascii="Calibri" w:hAnsi="Calibri"/>
        </w:rPr>
        <w:t>0</w:t>
      </w:r>
      <w:r>
        <w:rPr/>
        <w:t>).</w:t>
      </w:r>
      <w:r>
        <w:rPr>
          <w:spacing w:val="77"/>
        </w:rPr>
        <w:t> </w:t>
      </w:r>
      <w:r>
        <w:rPr/>
        <w:t>The</w:t>
      </w:r>
      <w:r>
        <w:rPr>
          <w:spacing w:val="18"/>
        </w:rPr>
        <w:t> </w:t>
      </w:r>
      <w:r>
        <w:rPr/>
        <w:t>default</w:t>
      </w:r>
      <w:r>
        <w:rPr>
          <w:spacing w:val="17"/>
        </w:rPr>
        <w:t> </w:t>
      </w:r>
      <w:r>
        <w:rPr>
          <w:rFonts w:ascii="Calibri" w:hAnsi="Calibri"/>
          <w:i/>
        </w:rPr>
        <w:t>d</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rPr>
        <w:t>0</w:t>
      </w:r>
      <w:r>
        <w:rPr>
          <w:rFonts w:ascii="Calibri" w:hAnsi="Calibri"/>
          <w:i/>
        </w:rPr>
        <w:t>.</w:t>
      </w:r>
      <w:r>
        <w:rPr>
          <w:rFonts w:ascii="Calibri" w:hAnsi="Calibri"/>
        </w:rPr>
        <w:t>85</w:t>
      </w:r>
      <w:r>
        <w:rPr>
          <w:rFonts w:ascii="Calibri" w:hAnsi="Calibri"/>
          <w:spacing w:val="24"/>
        </w:rPr>
        <w:t> </w:t>
      </w:r>
      <w:r>
        <w:rPr/>
        <w:t>follows</w:t>
      </w:r>
      <w:r>
        <w:rPr>
          <w:spacing w:val="18"/>
        </w:rPr>
        <w:t> </w:t>
      </w:r>
      <w:r>
        <w:rPr/>
        <w:t>the</w:t>
      </w:r>
      <w:r>
        <w:rPr>
          <w:spacing w:val="18"/>
        </w:rPr>
        <w:t> </w:t>
      </w:r>
      <w:r>
        <w:rPr/>
        <w:t>classical</w:t>
      </w:r>
      <w:r>
        <w:rPr>
          <w:spacing w:val="18"/>
        </w:rPr>
        <w:t> </w:t>
      </w:r>
      <w:r>
        <w:rPr/>
        <w:t>web</w:t>
      </w:r>
      <w:r>
        <w:rPr>
          <w:spacing w:val="18"/>
        </w:rPr>
        <w:t> </w:t>
      </w:r>
      <w:r>
        <w:rPr/>
        <w:t>setting</w:t>
      </w:r>
      <w:r>
        <w:rPr>
          <w:spacing w:val="18"/>
        </w:rPr>
        <w:t> </w:t>
      </w:r>
      <w:r>
        <w:rPr/>
        <w:t>and</w:t>
      </w:r>
      <w:r>
        <w:rPr>
          <w:spacing w:val="18"/>
        </w:rPr>
        <w:t> </w:t>
      </w:r>
      <w:r>
        <w:rPr/>
        <w:t>the</w:t>
      </w:r>
      <w:r>
        <w:rPr>
          <w:spacing w:val="18"/>
        </w:rPr>
        <w:t> </w:t>
      </w:r>
      <w:r>
        <w:rPr/>
        <w:t>AWP</w:t>
      </w:r>
      <w:r>
        <w:rPr>
          <w:spacing w:val="17"/>
        </w:rPr>
        <w:t> </w:t>
      </w:r>
      <w:r>
        <w:rPr/>
        <w:t>baseline</w:t>
      </w:r>
      <w:r>
        <w:rPr>
          <w:spacing w:val="18"/>
        </w:rPr>
        <w:t> </w:t>
      </w:r>
      <w:r>
        <w:rPr/>
        <w:t>of</w:t>
      </w:r>
      <w:r>
        <w:rPr>
          <w:spacing w:val="18"/>
        </w:rPr>
        <w:t> </w:t>
      </w:r>
      <w:r>
        <w:rPr/>
        <w:t>Do et al.</w:t>
      </w:r>
      <w:hyperlink w:history="true" w:anchor="_bookmark149">
        <w:r>
          <w:rPr>
            <w:vertAlign w:val="superscript"/>
          </w:rPr>
          <w:t>[16]</w:t>
        </w:r>
      </w:hyperlink>
      <w:r>
        <w:rPr>
          <w:vertAlign w:val="baseline"/>
        </w:rPr>
        <w:t>.</w:t>
      </w:r>
      <w:r>
        <w:rPr>
          <w:spacing w:val="40"/>
          <w:vertAlign w:val="baseline"/>
        </w:rPr>
        <w:t> </w:t>
      </w:r>
      <w:r>
        <w:rPr>
          <w:vertAlign w:val="baseline"/>
        </w:rPr>
        <w:t>Robustness sweeps vary </w:t>
      </w:r>
      <w:r>
        <w:rPr>
          <w:rFonts w:ascii="Calibri" w:hAnsi="Calibri"/>
          <w:i/>
          <w:vertAlign w:val="baseline"/>
        </w:rPr>
        <w:t>d </w:t>
      </w:r>
      <w:r>
        <w:rPr>
          <w:vertAlign w:val="baseline"/>
        </w:rPr>
        <w:t>while holding edge weights fixed (Section </w:t>
      </w:r>
      <w:hyperlink w:history="true" w:anchor="_bookmark73">
        <w:r>
          <w:rPr>
            <w:vertAlign w:val="baseline"/>
          </w:rPr>
          <w:t>3.12</w:t>
        </w:r>
      </w:hyperlink>
      <w:r>
        <w:rPr>
          <w:vertAlign w:val="baseline"/>
        </w:rPr>
        <w:t>).</w:t>
      </w:r>
      <w:r>
        <w:rPr>
          <w:spacing w:val="40"/>
          <w:vertAlign w:val="baseline"/>
        </w:rPr>
        <w:t> </w:t>
      </w:r>
      <w:r>
        <w:rPr>
          <w:vertAlign w:val="baseline"/>
        </w:rPr>
        <w:t>Tolerance </w:t>
      </w:r>
      <w:r>
        <w:rPr>
          <w:rFonts w:ascii="Calibri" w:hAnsi="Calibri"/>
          <w:i/>
          <w:vertAlign w:val="baseline"/>
        </w:rPr>
        <w:t>τ</w:t>
      </w:r>
      <w:r>
        <w:rPr>
          <w:vertAlign w:val="subscript"/>
        </w:rPr>
        <w:t>tol</w:t>
      </w:r>
      <w:r>
        <w:rPr>
          <w:vertAlign w:val="baseline"/>
        </w:rPr>
        <w:t> </w:t>
      </w:r>
      <w:r>
        <w:rPr>
          <w:rFonts w:ascii="Calibri" w:hAnsi="Calibri"/>
          <w:w w:val="125"/>
          <w:vertAlign w:val="baseline"/>
        </w:rPr>
        <w:t>= </w:t>
      </w:r>
      <w:r>
        <w:rPr>
          <w:rFonts w:ascii="Calibri" w:hAnsi="Calibri"/>
          <w:vertAlign w:val="baseline"/>
        </w:rPr>
        <w:t>10</w:t>
      </w:r>
      <w:r>
        <w:rPr>
          <w:rFonts w:ascii="Cambria" w:hAnsi="Cambria"/>
          <w:vertAlign w:val="superscript"/>
        </w:rPr>
        <w:t>−</w:t>
      </w:r>
      <w:r>
        <w:rPr>
          <w:rFonts w:ascii="Calibri" w:hAnsi="Calibri"/>
          <w:vertAlign w:val="superscript"/>
        </w:rPr>
        <w:t>8</w:t>
      </w:r>
      <w:r>
        <w:rPr>
          <w:rFonts w:ascii="Calibri" w:hAnsi="Calibri"/>
          <w:vertAlign w:val="baseline"/>
        </w:rPr>
        <w:t> </w:t>
      </w:r>
      <w:r>
        <w:rPr>
          <w:vertAlign w:val="baseline"/>
        </w:rPr>
        <w:t>and </w:t>
      </w:r>
      <w:r>
        <w:rPr>
          <w:rFonts w:ascii="Calibri" w:hAnsi="Calibri"/>
          <w:i/>
          <w:vertAlign w:val="baseline"/>
        </w:rPr>
        <w:t>I</w:t>
      </w:r>
      <w:r>
        <w:rPr>
          <w:vertAlign w:val="subscript"/>
        </w:rPr>
        <w:t>max</w:t>
      </w:r>
      <w:r>
        <w:rPr>
          <w:vertAlign w:val="baseline"/>
        </w:rPr>
        <w:t> </w:t>
      </w:r>
      <w:r>
        <w:rPr>
          <w:rFonts w:ascii="Calibri" w:hAnsi="Calibri"/>
          <w:w w:val="125"/>
          <w:vertAlign w:val="baseline"/>
        </w:rPr>
        <w:t>= </w:t>
      </w:r>
      <w:r>
        <w:rPr>
          <w:rFonts w:ascii="Calibri" w:hAnsi="Calibri"/>
          <w:vertAlign w:val="baseline"/>
        </w:rPr>
        <w:t>300 </w:t>
      </w:r>
      <w:r>
        <w:rPr>
          <w:vertAlign w:val="baseline"/>
        </w:rPr>
        <w:t>are intentionally strict relative to interactive analytics settings, so that </w:t>
      </w:r>
      <w:bookmarkStart w:name="Data sources and sampling" w:id="95"/>
      <w:bookmarkEnd w:id="95"/>
      <w:r>
        <w:rPr>
          <w:w w:val="99"/>
          <w:vertAlign w:val="baseline"/>
        </w:rPr>
      </w:r>
      <w:bookmarkStart w:name="_bookmark53" w:id="96"/>
      <w:bookmarkEnd w:id="96"/>
      <w:r>
        <w:rPr>
          <w:vertAlign w:val="baseline"/>
        </w:rPr>
        <w:t>runtime</w:t>
      </w:r>
      <w:r>
        <w:rPr>
          <w:vertAlign w:val="baseline"/>
        </w:rPr>
        <w:t> differences reflect graph structure rather than early stopping.</w:t>
      </w:r>
    </w:p>
    <w:p>
      <w:pPr>
        <w:pStyle w:val="BodyText"/>
        <w:spacing w:line="456" w:lineRule="exact" w:before="17"/>
        <w:ind w:left="274" w:right="563"/>
        <w:jc w:val="both"/>
      </w:pPr>
      <w:r>
        <w:rPr>
          <w:i/>
        </w:rPr>
        <w:t>감쇠 인자 d는 순수 그래프 전파(d → 1)와 균일 점수(d → 0) 사이를 보간합니다. 기본 d = 0.85는 고전적인 웹 설정과 Do et al.[16]의 AWP 기준선을 따릅니다. 견고성 스윕은 가장자리 가중치를 고정한 상태에서 d 로 달라집니다(3.12 단원). 공차 τtol = 10−8 및 Imax = 300은 대화형 분석 설정에 대해 의도적으로 엄격하므로 런타임 차이는 조기 중지가 아닌 그래프 구조를 반영합니다.</w:t>
      </w:r>
    </w:p>
    <w:p>
      <w:pPr>
        <w:pStyle w:val="BodyText"/>
      </w:pPr>
    </w:p>
    <w:p>
      <w:pPr>
        <w:pStyle w:val="BodyText"/>
        <w:spacing w:before="25"/>
      </w:pPr>
    </w:p>
    <w:p>
      <w:pPr>
        <w:pStyle w:val="Heading2"/>
        <w:numPr>
          <w:ilvl w:val="1"/>
          <w:numId w:val="8"/>
        </w:numPr>
        <w:tabs>
          <w:tab w:pos="783" w:val="left" w:leader="none"/>
        </w:tabs>
        <w:spacing w:line="240" w:lineRule="auto" w:before="0" w:after="0"/>
        <w:ind w:left="783" w:right="0" w:hanging="501"/>
        <w:jc w:val="left"/>
      </w:pPr>
      <w:r>
        <w:rPr/>
        <w:t>Data</w:t>
      </w:r>
      <w:r>
        <w:rPr>
          <w:spacing w:val="10"/>
        </w:rPr>
        <w:t> </w:t>
      </w:r>
      <w:r>
        <w:rPr/>
        <w:t>sources</w:t>
      </w:r>
      <w:r>
        <w:rPr>
          <w:spacing w:val="10"/>
        </w:rPr>
        <w:t> </w:t>
      </w:r>
      <w:r>
        <w:rPr/>
        <w:t>and</w:t>
      </w:r>
      <w:r>
        <w:rPr>
          <w:spacing w:val="11"/>
        </w:rPr>
        <w:t> </w:t>
      </w:r>
      <w:r>
        <w:rPr>
          <w:spacing w:val="-2"/>
        </w:rPr>
        <w:t>sampling</w:t>
      </w:r>
    </w:p>
    <w:p>
      <w:pPr>
        <w:pStyle w:val="Heading2"/>
        <w:numPr>
          <w:ilvl w:val="1"/>
          <w:numId w:val="8"/>
        </w:numPr>
        <w:tabs>
          <w:tab w:pos="783" w:val="left" w:leader="none"/>
        </w:tabs>
        <w:spacing w:line="240" w:lineRule="auto" w:before="0" w:after="0"/>
        <w:ind w:left="783" w:right="0" w:hanging="501"/>
        <w:jc w:val="left"/>
      </w:pPr>
      <w:r>
        <w:rPr>
          <w:i/>
        </w:rPr>
        <w:t>데이터 소스 및 샘플링</w:t>
      </w:r>
    </w:p>
    <w:p>
      <w:pPr>
        <w:pStyle w:val="BodyText"/>
        <w:spacing w:before="24"/>
        <w:rPr>
          <w:b/>
          <w:sz w:val="28"/>
        </w:rPr>
      </w:pPr>
    </w:p>
    <w:p>
      <w:pPr>
        <w:pStyle w:val="BodyText"/>
        <w:spacing w:line="396" w:lineRule="auto"/>
        <w:ind w:left="273" w:right="534" w:firstLine="1"/>
        <w:jc w:val="both"/>
      </w:pPr>
      <w:r>
        <w:rPr/>
        <w:t>This section fixes the empirical universe:</w:t>
      </w:r>
      <w:r>
        <w:rPr>
          <w:spacing w:val="35"/>
        </w:rPr>
        <w:t> </w:t>
      </w:r>
      <w:r>
        <w:rPr/>
        <w:t>which chain, which time window, which public tables, which event types, and which wallets enter the primary sample.</w:t>
      </w:r>
      <w:r>
        <w:rPr>
          <w:spacing w:val="40"/>
        </w:rPr>
        <w:t> </w:t>
      </w:r>
      <w:r>
        <w:rPr/>
        <w:t>Downstream graph construction and proxy formulas never invent events outside this universe.</w:t>
      </w:r>
    </w:p>
    <w:p>
      <w:pPr>
        <w:pStyle w:val="BodyText"/>
        <w:spacing w:line="396" w:lineRule="auto"/>
        <w:ind w:left="273" w:right="534" w:firstLine="1"/>
        <w:jc w:val="both"/>
      </w:pPr>
      <w:r>
        <w:rPr>
          <w:i/>
        </w:rPr>
        <w:t>이 섹션에서는 어떤 체인, 어떤 기간, 어떤 공개 테이블, 어떤 이벤트 유형, 어떤 지갑이 기본 샘플에 들어가는지 등 경험적 세계를 수정합니다. 다운스트림 그래프 구성 및 프록시 공식은 이 우주 외부의 이벤트를 생성하지 않습니다.</w:t>
      </w:r>
    </w:p>
    <w:p>
      <w:pPr>
        <w:pStyle w:val="ListParagraph"/>
        <w:numPr>
          <w:ilvl w:val="0"/>
          <w:numId w:val="16"/>
        </w:numPr>
        <w:tabs>
          <w:tab w:pos="806" w:val="left" w:leader="none"/>
          <w:tab w:pos="808" w:val="left" w:leader="none"/>
        </w:tabs>
        <w:spacing w:line="393" w:lineRule="auto" w:before="118" w:after="0"/>
        <w:ind w:left="808" w:right="523" w:hanging="216"/>
        <w:jc w:val="both"/>
        <w:rPr>
          <w:sz w:val="24"/>
        </w:rPr>
      </w:pPr>
      <w:r>
        <w:rPr>
          <w:b/>
          <w:sz w:val="24"/>
        </w:rPr>
        <w:t>Primary chain:</w:t>
      </w:r>
      <w:r>
        <w:rPr>
          <w:b/>
          <w:spacing w:val="40"/>
          <w:sz w:val="24"/>
        </w:rPr>
        <w:t> </w:t>
      </w:r>
      <w:r>
        <w:rPr>
          <w:sz w:val="24"/>
        </w:rPr>
        <w:t>All on-chain events are drawn from Arbitrum One (chain ID </w:t>
      </w:r>
      <w:r>
        <w:rPr>
          <w:rFonts w:ascii="Calibri" w:hAnsi="Calibri"/>
          <w:sz w:val="24"/>
        </w:rPr>
        <w:t>42161</w:t>
      </w:r>
      <w:r>
        <w:rPr>
          <w:sz w:val="24"/>
        </w:rPr>
        <w:t>), an Ethereum</w:t>
      </w:r>
      <w:r>
        <w:rPr>
          <w:spacing w:val="-5"/>
          <w:sz w:val="24"/>
        </w:rPr>
        <w:t> </w:t>
      </w:r>
      <w:r>
        <w:rPr>
          <w:sz w:val="24"/>
        </w:rPr>
        <w:t>Layer-2</w:t>
      </w:r>
      <w:r>
        <w:rPr>
          <w:spacing w:val="-5"/>
          <w:sz w:val="24"/>
        </w:rPr>
        <w:t> </w:t>
      </w:r>
      <w:r>
        <w:rPr>
          <w:sz w:val="24"/>
        </w:rPr>
        <w:t>rollup</w:t>
      </w:r>
      <w:r>
        <w:rPr>
          <w:spacing w:val="-5"/>
          <w:sz w:val="24"/>
        </w:rPr>
        <w:t> </w:t>
      </w:r>
      <w:r>
        <w:rPr>
          <w:sz w:val="24"/>
        </w:rPr>
        <w:t>with</w:t>
      </w:r>
      <w:r>
        <w:rPr>
          <w:spacing w:val="-5"/>
          <w:sz w:val="24"/>
        </w:rPr>
        <w:t> </w:t>
      </w:r>
      <w:r>
        <w:rPr>
          <w:sz w:val="24"/>
        </w:rPr>
        <w:t>dense</w:t>
      </w:r>
      <w:r>
        <w:rPr>
          <w:spacing w:val="-5"/>
          <w:sz w:val="24"/>
        </w:rPr>
        <w:t> </w:t>
      </w:r>
      <w:r>
        <w:rPr>
          <w:sz w:val="24"/>
        </w:rPr>
        <w:t>DeFi</w:t>
      </w:r>
      <w:r>
        <w:rPr>
          <w:spacing w:val="-5"/>
          <w:sz w:val="24"/>
        </w:rPr>
        <w:t> </w:t>
      </w:r>
      <w:r>
        <w:rPr>
          <w:sz w:val="24"/>
        </w:rPr>
        <w:t>activity</w:t>
      </w:r>
      <w:r>
        <w:rPr>
          <w:spacing w:val="-5"/>
          <w:sz w:val="24"/>
        </w:rPr>
        <w:t> </w:t>
      </w:r>
      <w:r>
        <w:rPr>
          <w:sz w:val="24"/>
        </w:rPr>
        <w:t>and</w:t>
      </w:r>
      <w:r>
        <w:rPr>
          <w:spacing w:val="-5"/>
          <w:sz w:val="24"/>
        </w:rPr>
        <w:t> </w:t>
      </w:r>
      <w:r>
        <w:rPr>
          <w:sz w:val="24"/>
        </w:rPr>
        <w:t>public</w:t>
      </w:r>
      <w:r>
        <w:rPr>
          <w:spacing w:val="-5"/>
          <w:sz w:val="24"/>
        </w:rPr>
        <w:t> </w:t>
      </w:r>
      <w:r>
        <w:rPr>
          <w:sz w:val="24"/>
        </w:rPr>
        <w:t>log</w:t>
      </w:r>
      <w:r>
        <w:rPr>
          <w:spacing w:val="-5"/>
          <w:sz w:val="24"/>
        </w:rPr>
        <w:t> </w:t>
      </w:r>
      <w:r>
        <w:rPr>
          <w:sz w:val="24"/>
        </w:rPr>
        <w:t>availability</w:t>
      </w:r>
      <w:r>
        <w:rPr>
          <w:spacing w:val="-5"/>
          <w:sz w:val="24"/>
        </w:rPr>
        <w:t> </w:t>
      </w:r>
      <w:hyperlink w:history="true" w:anchor="_bookmark186">
        <w:r>
          <w:rPr>
            <w:sz w:val="24"/>
            <w:vertAlign w:val="superscript"/>
          </w:rPr>
          <w:t>[53]</w:t>
        </w:r>
      </w:hyperlink>
      <w:r>
        <w:rPr>
          <w:sz w:val="24"/>
          <w:vertAlign w:val="baseline"/>
        </w:rPr>
        <w:t>.</w:t>
      </w:r>
      <w:r>
        <w:rPr>
          <w:spacing w:val="17"/>
          <w:sz w:val="24"/>
          <w:vertAlign w:val="baseline"/>
        </w:rPr>
        <w:t> </w:t>
      </w:r>
      <w:r>
        <w:rPr>
          <w:sz w:val="24"/>
          <w:vertAlign w:val="baseline"/>
        </w:rPr>
        <w:t>Restricting to a single chain avoids cross-chain address aliasing—the same private key controlling ad-dresses on multiple chains would otherwise appear as unrelated nodes—and keeps gas-cost and</w:t>
      </w:r>
      <w:r>
        <w:rPr>
          <w:spacing w:val="-1"/>
          <w:sz w:val="24"/>
          <w:vertAlign w:val="baseline"/>
        </w:rPr>
        <w:t> </w:t>
      </w:r>
      <w:r>
        <w:rPr>
          <w:sz w:val="24"/>
          <w:vertAlign w:val="baseline"/>
        </w:rPr>
        <w:t>latency</w:t>
      </w:r>
      <w:r>
        <w:rPr>
          <w:spacing w:val="-1"/>
          <w:sz w:val="24"/>
          <w:vertAlign w:val="baseline"/>
        </w:rPr>
        <w:t> </w:t>
      </w:r>
      <w:r>
        <w:rPr>
          <w:sz w:val="24"/>
          <w:vertAlign w:val="baseline"/>
        </w:rPr>
        <w:t>regimes</w:t>
      </w:r>
      <w:r>
        <w:rPr>
          <w:spacing w:val="-1"/>
          <w:sz w:val="24"/>
          <w:vertAlign w:val="baseline"/>
        </w:rPr>
        <w:t> </w:t>
      </w:r>
      <w:r>
        <w:rPr>
          <w:sz w:val="24"/>
          <w:vertAlign w:val="baseline"/>
        </w:rPr>
        <w:t>comparable</w:t>
      </w:r>
      <w:r>
        <w:rPr>
          <w:spacing w:val="-1"/>
          <w:sz w:val="24"/>
          <w:vertAlign w:val="baseline"/>
        </w:rPr>
        <w:t> </w:t>
      </w:r>
      <w:r>
        <w:rPr>
          <w:sz w:val="24"/>
          <w:vertAlign w:val="baseline"/>
        </w:rPr>
        <w:t>across</w:t>
      </w:r>
      <w:r>
        <w:rPr>
          <w:spacing w:val="-1"/>
          <w:sz w:val="24"/>
          <w:vertAlign w:val="baseline"/>
        </w:rPr>
        <w:t> </w:t>
      </w:r>
      <w:r>
        <w:rPr>
          <w:sz w:val="24"/>
          <w:vertAlign w:val="baseline"/>
        </w:rPr>
        <w:t>wallets.</w:t>
      </w:r>
      <w:r>
        <w:rPr>
          <w:spacing w:val="23"/>
          <w:sz w:val="24"/>
          <w:vertAlign w:val="baseline"/>
        </w:rPr>
        <w:t> </w:t>
      </w:r>
      <w:r>
        <w:rPr>
          <w:sz w:val="24"/>
          <w:vertAlign w:val="baseline"/>
        </w:rPr>
        <w:t>Arbitrum</w:t>
      </w:r>
      <w:r>
        <w:rPr>
          <w:spacing w:val="-1"/>
          <w:sz w:val="24"/>
          <w:vertAlign w:val="baseline"/>
        </w:rPr>
        <w:t> </w:t>
      </w:r>
      <w:r>
        <w:rPr>
          <w:sz w:val="24"/>
          <w:vertAlign w:val="baseline"/>
        </w:rPr>
        <w:t>One</w:t>
      </w:r>
      <w:r>
        <w:rPr>
          <w:spacing w:val="-1"/>
          <w:sz w:val="24"/>
          <w:vertAlign w:val="baseline"/>
        </w:rPr>
        <w:t> </w:t>
      </w:r>
      <w:r>
        <w:rPr>
          <w:sz w:val="24"/>
          <w:vertAlign w:val="baseline"/>
        </w:rPr>
        <w:t>is</w:t>
      </w:r>
      <w:r>
        <w:rPr>
          <w:spacing w:val="-1"/>
          <w:sz w:val="24"/>
          <w:vertAlign w:val="baseline"/>
        </w:rPr>
        <w:t> </w:t>
      </w:r>
      <w:r>
        <w:rPr>
          <w:sz w:val="24"/>
          <w:vertAlign w:val="baseline"/>
        </w:rPr>
        <w:t>also</w:t>
      </w:r>
      <w:r>
        <w:rPr>
          <w:spacing w:val="-1"/>
          <w:sz w:val="24"/>
          <w:vertAlign w:val="baseline"/>
        </w:rPr>
        <w:t> </w:t>
      </w:r>
      <w:r>
        <w:rPr>
          <w:sz w:val="24"/>
          <w:vertAlign w:val="baseline"/>
        </w:rPr>
        <w:t>the</w:t>
      </w:r>
      <w:r>
        <w:rPr>
          <w:spacing w:val="-1"/>
          <w:sz w:val="24"/>
          <w:vertAlign w:val="baseline"/>
        </w:rPr>
        <w:t> </w:t>
      </w:r>
      <w:r>
        <w:rPr>
          <w:sz w:val="24"/>
          <w:vertAlign w:val="baseline"/>
        </w:rPr>
        <w:t>deployment</w:t>
      </w:r>
      <w:r>
        <w:rPr>
          <w:spacing w:val="-1"/>
          <w:sz w:val="24"/>
          <w:vertAlign w:val="baseline"/>
        </w:rPr>
        <w:t> </w:t>
      </w:r>
      <w:r>
        <w:rPr>
          <w:sz w:val="24"/>
          <w:vertAlign w:val="baseline"/>
        </w:rPr>
        <w:t>venue for GMX V2’s high-volume perpetual markets, which supply wallet-attributed realized PnL at a density that lending defaults do not match within scope.</w:t>
      </w:r>
    </w:p>
    <w:p>
      <w:pPr>
        <w:pStyle w:val="ListParagraph"/>
        <w:numPr>
          <w:ilvl w:val="0"/>
          <w:numId w:val="16"/>
        </w:numPr>
        <w:tabs>
          <w:tab w:pos="806" w:val="left" w:leader="none"/>
          <w:tab w:pos="808" w:val="left" w:leader="none"/>
        </w:tabs>
        <w:spacing w:line="393" w:lineRule="auto" w:before="118" w:after="0"/>
        <w:ind w:left="808" w:right="523" w:hanging="216"/>
        <w:jc w:val="both"/>
        <w:rPr>
          <w:sz w:val="24"/>
        </w:rPr>
      </w:pPr>
      <w:r>
        <w:rPr>
          <w:i/>
        </w:rPr>
        <w:t>기본 체인: 모든 온체인 이벤트는 DeFi 활동이 밀집되어 있고 공개 로그 가용성이 있는 이더리움 레이어 2 롤업인 Arbitrum One(체인 ID 42161)에서 가져옵니다[53]. 단일 체인으로 제한하면 크로스 체인 주소 앨리어싱을 방지할 수 있습니다. 즉, 여러 체인의 동일한 개인 키 제어 주소가 관련 없는 노드로 표시될 수 있으며 지갑 전체에서 가스 비용 및 대기 시간 체계를 비교할 수 있게 유지합니다. Arbitrum One은 또한 GMX V2의 대규모 영구 시장을 위한 배포 장소이기도 합니다. 이 시장은 대출 불이행이 범위 내에서 일치하지 않는 밀도로 지갑에 귀속된 실현 손익을 공급합니다.</w:t>
      </w:r>
    </w:p>
    <w:p>
      <w:pPr>
        <w:pStyle w:val="ListParagraph"/>
        <w:numPr>
          <w:ilvl w:val="0"/>
          <w:numId w:val="16"/>
        </w:numPr>
        <w:tabs>
          <w:tab w:pos="807" w:val="left" w:leader="none"/>
        </w:tabs>
        <w:spacing w:line="240" w:lineRule="auto" w:before="40" w:after="0"/>
        <w:ind w:left="807" w:right="0" w:hanging="214"/>
        <w:jc w:val="both"/>
        <w:rPr>
          <w:sz w:val="24"/>
        </w:rPr>
      </w:pPr>
      <w:r>
        <w:rPr>
          <w:b/>
          <w:sz w:val="24"/>
        </w:rPr>
        <w:t>Observation</w:t>
      </w:r>
      <w:r>
        <w:rPr>
          <w:b/>
          <w:spacing w:val="11"/>
          <w:sz w:val="24"/>
        </w:rPr>
        <w:t> </w:t>
      </w:r>
      <w:r>
        <w:rPr>
          <w:b/>
          <w:sz w:val="24"/>
        </w:rPr>
        <w:t>window:</w:t>
      </w:r>
      <w:r>
        <w:rPr>
          <w:b/>
          <w:spacing w:val="48"/>
          <w:sz w:val="24"/>
        </w:rPr>
        <w:t> </w:t>
      </w:r>
      <w:r>
        <w:rPr>
          <w:sz w:val="24"/>
        </w:rPr>
        <w:t>The</w:t>
      </w:r>
      <w:r>
        <w:rPr>
          <w:spacing w:val="11"/>
          <w:sz w:val="24"/>
        </w:rPr>
        <w:t> </w:t>
      </w:r>
      <w:r>
        <w:rPr>
          <w:sz w:val="24"/>
        </w:rPr>
        <w:t>study</w:t>
      </w:r>
      <w:r>
        <w:rPr>
          <w:spacing w:val="11"/>
          <w:sz w:val="24"/>
        </w:rPr>
        <w:t> </w:t>
      </w:r>
      <w:r>
        <w:rPr>
          <w:sz w:val="24"/>
        </w:rPr>
        <w:t>window</w:t>
      </w:r>
      <w:r>
        <w:rPr>
          <w:spacing w:val="12"/>
          <w:sz w:val="24"/>
        </w:rPr>
        <w:t> </w:t>
      </w:r>
      <w:r>
        <w:rPr>
          <w:sz w:val="24"/>
        </w:rPr>
        <w:t>is</w:t>
      </w:r>
      <w:r>
        <w:rPr>
          <w:spacing w:val="11"/>
          <w:sz w:val="24"/>
        </w:rPr>
        <w:t> </w:t>
      </w:r>
      <w:r>
        <w:rPr>
          <w:sz w:val="24"/>
        </w:rPr>
        <w:t>2025-12-01</w:t>
      </w:r>
      <w:r>
        <w:rPr>
          <w:spacing w:val="11"/>
          <w:sz w:val="24"/>
        </w:rPr>
        <w:t> </w:t>
      </w:r>
      <w:r>
        <w:rPr>
          <w:sz w:val="24"/>
        </w:rPr>
        <w:t>00:00:00</w:t>
      </w:r>
      <w:r>
        <w:rPr>
          <w:spacing w:val="11"/>
          <w:sz w:val="24"/>
        </w:rPr>
        <w:t> </w:t>
      </w:r>
      <w:r>
        <w:rPr>
          <w:sz w:val="24"/>
        </w:rPr>
        <w:t>UTC</w:t>
      </w:r>
      <w:r>
        <w:rPr>
          <w:spacing w:val="11"/>
          <w:sz w:val="24"/>
        </w:rPr>
        <w:t> </w:t>
      </w:r>
      <w:r>
        <w:rPr>
          <w:sz w:val="24"/>
        </w:rPr>
        <w:t>through</w:t>
      </w:r>
      <w:r>
        <w:rPr>
          <w:spacing w:val="11"/>
          <w:sz w:val="24"/>
        </w:rPr>
        <w:t> </w:t>
      </w:r>
      <w:r>
        <w:rPr>
          <w:sz w:val="24"/>
        </w:rPr>
        <w:t>2026-</w:t>
      </w:r>
      <w:r>
        <w:rPr>
          <w:spacing w:val="-5"/>
          <w:sz w:val="24"/>
        </w:rPr>
        <w:t>05-</w:t>
      </w:r>
    </w:p>
    <w:p>
      <w:pPr>
        <w:pStyle w:val="ListParagraph"/>
        <w:numPr>
          <w:ilvl w:val="0"/>
          <w:numId w:val="16"/>
        </w:numPr>
        <w:tabs>
          <w:tab w:pos="807" w:val="left" w:leader="none"/>
        </w:tabs>
        <w:spacing w:line="240" w:lineRule="auto" w:before="40" w:after="0"/>
        <w:ind w:left="807" w:right="0" w:hanging="214"/>
        <w:jc w:val="both"/>
        <w:rPr>
          <w:sz w:val="24"/>
        </w:rPr>
      </w:pPr>
      <w:r>
        <w:rPr>
          <w:i/>
        </w:rPr>
        <w:t>관찰 창: 연구 창은 2025-12-01 00:00:00 UTC부터 2026-05-까지입니다.</w:t>
      </w:r>
    </w:p>
    <w:p>
      <w:pPr>
        <w:pStyle w:val="ListParagraph"/>
        <w:spacing w:after="0" w:line="240" w:lineRule="auto"/>
        <w:jc w:val="both"/>
        <w:rPr>
          <w:sz w:val="24"/>
        </w:rPr>
        <w:sectPr>
          <w:type w:val="continuous"/>
          <w:pgSz w:w="11910" w:h="16840"/>
          <w:pgMar w:header="0" w:footer="2115" w:top="1920" w:bottom="280" w:left="992" w:right="708"/>
        </w:sectPr>
      </w:pPr>
    </w:p>
    <w:p>
      <w:pPr>
        <w:pStyle w:val="BodyText"/>
        <w:spacing w:line="396" w:lineRule="auto" w:before="72"/>
        <w:ind w:left="808" w:right="523"/>
        <w:jc w:val="both"/>
      </w:pPr>
      <w:r>
        <w:rPr/>
        <w:t>31</w:t>
      </w:r>
      <w:r>
        <w:rPr>
          <w:spacing w:val="19"/>
        </w:rPr>
        <w:t> </w:t>
      </w:r>
      <w:r>
        <w:rPr/>
        <w:t>23:59:59</w:t>
      </w:r>
      <w:r>
        <w:rPr>
          <w:spacing w:val="19"/>
        </w:rPr>
        <w:t> </w:t>
      </w:r>
      <w:r>
        <w:rPr/>
        <w:t>UTC</w:t>
      </w:r>
      <w:r>
        <w:rPr>
          <w:spacing w:val="19"/>
        </w:rPr>
        <w:t> </w:t>
      </w:r>
      <w:r>
        <w:rPr/>
        <w:t>(six</w:t>
      </w:r>
      <w:r>
        <w:rPr>
          <w:spacing w:val="19"/>
        </w:rPr>
        <w:t> </w:t>
      </w:r>
      <w:r>
        <w:rPr/>
        <w:t>calendar</w:t>
      </w:r>
      <w:r>
        <w:rPr>
          <w:spacing w:val="19"/>
        </w:rPr>
        <w:t> </w:t>
      </w:r>
      <w:r>
        <w:rPr/>
        <w:t>months).</w:t>
      </w:r>
      <w:r>
        <w:rPr>
          <w:spacing w:val="80"/>
        </w:rPr>
        <w:t> </w:t>
      </w:r>
      <w:r>
        <w:rPr/>
        <w:t>Exclusive</w:t>
      </w:r>
      <w:r>
        <w:rPr>
          <w:spacing w:val="19"/>
        </w:rPr>
        <w:t> </w:t>
      </w:r>
      <w:r>
        <w:rPr/>
        <w:t>end</w:t>
      </w:r>
      <w:r>
        <w:rPr>
          <w:spacing w:val="19"/>
        </w:rPr>
        <w:t> </w:t>
      </w:r>
      <w:r>
        <w:rPr/>
        <w:t>timestamps</w:t>
      </w:r>
      <w:r>
        <w:rPr>
          <w:spacing w:val="19"/>
        </w:rPr>
        <w:t> </w:t>
      </w:r>
      <w:r>
        <w:rPr/>
        <w:t>in</w:t>
      </w:r>
      <w:r>
        <w:rPr>
          <w:spacing w:val="19"/>
        </w:rPr>
        <w:t> </w:t>
      </w:r>
      <w:r>
        <w:rPr/>
        <w:t>SQL</w:t>
      </w:r>
      <w:r>
        <w:rPr>
          <w:spacing w:val="19"/>
        </w:rPr>
        <w:t> </w:t>
      </w:r>
      <w:r>
        <w:rPr/>
        <w:t>use</w:t>
      </w:r>
      <w:r>
        <w:rPr>
          <w:spacing w:val="19"/>
        </w:rPr>
        <w:t> </w:t>
      </w:r>
      <w:r>
        <w:rPr/>
        <w:t>2026-06-01 00:00:00 UTC so that the inclusive calendar end is 2026-05-31.</w:t>
      </w:r>
      <w:r>
        <w:rPr>
          <w:spacing w:val="40"/>
        </w:rPr>
        <w:t> </w:t>
      </w:r>
      <w:r>
        <w:rPr/>
        <w:t>This window is long enough to accumulate multiple GMX closes per active trader—the minimum-close filter re-</w:t>
      </w:r>
      <w:r>
        <w:rPr>
          <w:spacing w:val="-2"/>
        </w:rPr>
        <w:t>quires</w:t>
      </w:r>
      <w:r>
        <w:rPr>
          <w:spacing w:val="-10"/>
        </w:rPr>
        <w:t> </w:t>
      </w:r>
      <w:r>
        <w:rPr>
          <w:spacing w:val="-2"/>
        </w:rPr>
        <w:t>at</w:t>
      </w:r>
      <w:r>
        <w:rPr>
          <w:spacing w:val="-9"/>
        </w:rPr>
        <w:t> </w:t>
      </w:r>
      <w:r>
        <w:rPr>
          <w:spacing w:val="-2"/>
        </w:rPr>
        <w:t>least</w:t>
      </w:r>
      <w:r>
        <w:rPr>
          <w:spacing w:val="-10"/>
        </w:rPr>
        <w:t> </w:t>
      </w:r>
      <w:r>
        <w:rPr>
          <w:spacing w:val="-2"/>
        </w:rPr>
        <w:t>three—while</w:t>
      </w:r>
      <w:r>
        <w:rPr>
          <w:spacing w:val="-9"/>
        </w:rPr>
        <w:t> </w:t>
      </w:r>
      <w:r>
        <w:rPr>
          <w:spacing w:val="-2"/>
        </w:rPr>
        <w:t>remaining</w:t>
      </w:r>
      <w:r>
        <w:rPr>
          <w:spacing w:val="-10"/>
        </w:rPr>
        <w:t> </w:t>
      </w:r>
      <w:r>
        <w:rPr>
          <w:spacing w:val="-2"/>
        </w:rPr>
        <w:t>tractable</w:t>
      </w:r>
      <w:r>
        <w:rPr>
          <w:spacing w:val="-9"/>
        </w:rPr>
        <w:t> </w:t>
      </w:r>
      <w:r>
        <w:rPr>
          <w:spacing w:val="-2"/>
        </w:rPr>
        <w:t>for</w:t>
      </w:r>
      <w:r>
        <w:rPr>
          <w:spacing w:val="-10"/>
        </w:rPr>
        <w:t> </w:t>
      </w:r>
      <w:r>
        <w:rPr>
          <w:spacing w:val="-2"/>
        </w:rPr>
        <w:t>monthly-batched</w:t>
      </w:r>
      <w:r>
        <w:rPr>
          <w:spacing w:val="-9"/>
        </w:rPr>
        <w:t> </w:t>
      </w:r>
      <w:r>
        <w:rPr>
          <w:spacing w:val="-2"/>
        </w:rPr>
        <w:t>reputation</w:t>
      </w:r>
      <w:r>
        <w:rPr>
          <w:spacing w:val="-10"/>
        </w:rPr>
        <w:t> </w:t>
      </w:r>
      <w:r>
        <w:rPr>
          <w:spacing w:val="-2"/>
        </w:rPr>
        <w:t>extracts</w:t>
      </w:r>
      <w:r>
        <w:rPr>
          <w:spacing w:val="-9"/>
        </w:rPr>
        <w:t> </w:t>
      </w:r>
      <w:r>
        <w:rPr>
          <w:spacing w:val="-2"/>
        </w:rPr>
        <w:t>under</w:t>
      </w:r>
    </w:p>
    <w:p>
      <w:pPr>
        <w:pStyle w:val="BodyText"/>
        <w:spacing w:line="396" w:lineRule="auto" w:before="72"/>
        <w:ind w:left="808" w:right="523"/>
        <w:jc w:val="both"/>
      </w:pPr>
      <w:r>
        <w:rPr>
          <w:i/>
        </w:rPr>
        <w:t>31 23:59:59 UTC(6개월). SQL의 단독 종료 타임스탬프는 2026-06-01 00:00:00 UTC를 사용하므로 포함 달력 종료는 2026-05-31입니다. 이 창은 활성 거래자당 여러 번의 GMX 청산을 누적할 수 있을 만큼 충분히 길며(최소 청산 필터에는 최소 3번이 필요함) 월별 일괄 평판 추출을 처리할 수 있습니다.</w:t>
      </w:r>
    </w:p>
    <w:p>
      <w:pPr>
        <w:pStyle w:val="BodyText"/>
        <w:spacing w:line="333" w:lineRule="auto"/>
        <w:ind w:left="808" w:right="558"/>
        <w:jc w:val="both"/>
      </w:pPr>
      <w:r>
        <w:rPr/>
        <w:t>BigQuery byte budgets. AWP time-decay is anchored at observation end </w:t>
      </w:r>
      <w:r>
        <w:rPr>
          <w:rFonts w:ascii="Calibri" w:hAnsi="Calibri"/>
          <w:i/>
        </w:rPr>
        <w:t>T</w:t>
      </w:r>
      <w:r>
        <w:rPr>
          <w:vertAlign w:val="subscript"/>
        </w:rPr>
        <w:t>obs</w:t>
      </w:r>
      <w:r>
        <w:rPr>
          <w:vertAlign w:val="baseline"/>
        </w:rPr>
        <w:t> </w:t>
      </w:r>
      <w:r>
        <w:rPr>
          <w:rFonts w:ascii="Calibri" w:hAnsi="Calibri"/>
          <w:vertAlign w:val="baseline"/>
        </w:rPr>
        <w:t>= </w:t>
      </w:r>
      <w:r>
        <w:rPr>
          <w:vertAlign w:val="baseline"/>
        </w:rPr>
        <w:t>2026-05-31 </w:t>
      </w:r>
      <w:r>
        <w:rPr>
          <w:w w:val="105"/>
          <w:vertAlign w:val="baseline"/>
        </w:rPr>
        <w:t>23:59:59</w:t>
      </w:r>
      <w:r>
        <w:rPr>
          <w:spacing w:val="-16"/>
          <w:w w:val="105"/>
          <w:vertAlign w:val="baseline"/>
        </w:rPr>
        <w:t> </w:t>
      </w:r>
      <w:r>
        <w:rPr>
          <w:w w:val="105"/>
          <w:vertAlign w:val="baseline"/>
        </w:rPr>
        <w:t>UTC,</w:t>
      </w:r>
      <w:r>
        <w:rPr>
          <w:spacing w:val="-16"/>
          <w:w w:val="105"/>
          <w:vertAlign w:val="baseline"/>
        </w:rPr>
        <w:t> </w:t>
      </w:r>
      <w:r>
        <w:rPr>
          <w:w w:val="105"/>
          <w:vertAlign w:val="baseline"/>
        </w:rPr>
        <w:t>so</w:t>
      </w:r>
      <w:r>
        <w:rPr>
          <w:spacing w:val="-16"/>
          <w:w w:val="105"/>
          <w:vertAlign w:val="baseline"/>
        </w:rPr>
        <w:t> </w:t>
      </w:r>
      <w:r>
        <w:rPr>
          <w:rFonts w:ascii="Calibri" w:hAnsi="Calibri"/>
          <w:w w:val="105"/>
          <w:vertAlign w:val="baseline"/>
        </w:rPr>
        <w:t>∆</w:t>
      </w:r>
      <w:r>
        <w:rPr>
          <w:rFonts w:ascii="Calibri" w:hAnsi="Calibri"/>
          <w:i/>
          <w:w w:val="105"/>
          <w:vertAlign w:val="baseline"/>
        </w:rPr>
        <w:t>t</w:t>
      </w:r>
      <w:r>
        <w:rPr>
          <w:rFonts w:ascii="Calibri" w:hAnsi="Calibri"/>
          <w:i/>
          <w:spacing w:val="-14"/>
          <w:w w:val="105"/>
          <w:vertAlign w:val="baseline"/>
        </w:rPr>
        <w:t> </w:t>
      </w:r>
      <w:r>
        <w:rPr>
          <w:rFonts w:ascii="Calibri" w:hAnsi="Calibri"/>
          <w:w w:val="125"/>
          <w:vertAlign w:val="baseline"/>
        </w:rPr>
        <w:t>=</w:t>
      </w:r>
      <w:r>
        <w:rPr>
          <w:rFonts w:ascii="Calibri" w:hAnsi="Calibri"/>
          <w:spacing w:val="-16"/>
          <w:w w:val="125"/>
          <w:vertAlign w:val="baseline"/>
        </w:rPr>
        <w:t> </w:t>
      </w:r>
      <w:r>
        <w:rPr>
          <w:rFonts w:ascii="Calibri" w:hAnsi="Calibri"/>
          <w:w w:val="105"/>
          <w:vertAlign w:val="baseline"/>
        </w:rPr>
        <w:t>0</w:t>
      </w:r>
      <w:r>
        <w:rPr>
          <w:rFonts w:ascii="Calibri" w:hAnsi="Calibri"/>
          <w:spacing w:val="-9"/>
          <w:w w:val="105"/>
          <w:vertAlign w:val="baseline"/>
        </w:rPr>
        <w:t> </w:t>
      </w:r>
      <w:r>
        <w:rPr>
          <w:w w:val="105"/>
          <w:vertAlign w:val="baseline"/>
        </w:rPr>
        <w:t>for</w:t>
      </w:r>
      <w:r>
        <w:rPr>
          <w:spacing w:val="-16"/>
          <w:w w:val="105"/>
          <w:vertAlign w:val="baseline"/>
        </w:rPr>
        <w:t> </w:t>
      </w:r>
      <w:r>
        <w:rPr>
          <w:w w:val="105"/>
          <w:vertAlign w:val="baseline"/>
        </w:rPr>
        <w:t>events</w:t>
      </w:r>
      <w:r>
        <w:rPr>
          <w:spacing w:val="-16"/>
          <w:w w:val="105"/>
          <w:vertAlign w:val="baseline"/>
        </w:rPr>
        <w:t> </w:t>
      </w:r>
      <w:r>
        <w:rPr>
          <w:w w:val="105"/>
          <w:vertAlign w:val="baseline"/>
        </w:rPr>
        <w:t>at</w:t>
      </w:r>
      <w:r>
        <w:rPr>
          <w:spacing w:val="-16"/>
          <w:w w:val="105"/>
          <w:vertAlign w:val="baseline"/>
        </w:rPr>
        <w:t> </w:t>
      </w:r>
      <w:r>
        <w:rPr>
          <w:w w:val="105"/>
          <w:vertAlign w:val="baseline"/>
        </w:rPr>
        <w:t>the</w:t>
      </w:r>
      <w:r>
        <w:rPr>
          <w:spacing w:val="-15"/>
          <w:w w:val="105"/>
          <w:vertAlign w:val="baseline"/>
        </w:rPr>
        <w:t> </w:t>
      </w:r>
      <w:r>
        <w:rPr>
          <w:w w:val="105"/>
          <w:vertAlign w:val="baseline"/>
        </w:rPr>
        <w:t>window’s</w:t>
      </w:r>
      <w:r>
        <w:rPr>
          <w:spacing w:val="-16"/>
          <w:w w:val="105"/>
          <w:vertAlign w:val="baseline"/>
        </w:rPr>
        <w:t> </w:t>
      </w:r>
      <w:r>
        <w:rPr>
          <w:w w:val="105"/>
          <w:vertAlign w:val="baseline"/>
        </w:rPr>
        <w:t>close</w:t>
      </w:r>
      <w:r>
        <w:rPr>
          <w:spacing w:val="-16"/>
          <w:w w:val="105"/>
          <w:vertAlign w:val="baseline"/>
        </w:rPr>
        <w:t> </w:t>
      </w:r>
      <w:r>
        <w:rPr>
          <w:w w:val="105"/>
          <w:vertAlign w:val="baseline"/>
        </w:rPr>
        <w:t>and</w:t>
      </w:r>
      <w:r>
        <w:rPr>
          <w:spacing w:val="-16"/>
          <w:w w:val="105"/>
          <w:vertAlign w:val="baseline"/>
        </w:rPr>
        <w:t> </w:t>
      </w:r>
      <w:r>
        <w:rPr>
          <w:rFonts w:ascii="Calibri" w:hAnsi="Calibri"/>
          <w:w w:val="105"/>
          <w:vertAlign w:val="baseline"/>
        </w:rPr>
        <w:t>∆</w:t>
      </w:r>
      <w:r>
        <w:rPr>
          <w:rFonts w:ascii="Calibri" w:hAnsi="Calibri"/>
          <w:i/>
          <w:w w:val="105"/>
          <w:vertAlign w:val="baseline"/>
        </w:rPr>
        <w:t>t</w:t>
      </w:r>
      <w:r>
        <w:rPr>
          <w:rFonts w:ascii="Calibri" w:hAnsi="Calibri"/>
          <w:i/>
          <w:spacing w:val="-2"/>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181</w:t>
      </w:r>
      <w:r>
        <w:rPr>
          <w:rFonts w:ascii="Calibri" w:hAnsi="Calibri"/>
          <w:spacing w:val="-10"/>
          <w:w w:val="105"/>
          <w:vertAlign w:val="baseline"/>
        </w:rPr>
        <w:t> </w:t>
      </w:r>
      <w:r>
        <w:rPr>
          <w:w w:val="105"/>
          <w:vertAlign w:val="baseline"/>
        </w:rPr>
        <w:t>days</w:t>
      </w:r>
      <w:r>
        <w:rPr>
          <w:spacing w:val="-16"/>
          <w:w w:val="105"/>
          <w:vertAlign w:val="baseline"/>
        </w:rPr>
        <w:t> </w:t>
      </w:r>
      <w:r>
        <w:rPr>
          <w:w w:val="105"/>
          <w:vertAlign w:val="baseline"/>
        </w:rPr>
        <w:t>for</w:t>
      </w:r>
      <w:r>
        <w:rPr>
          <w:spacing w:val="-16"/>
          <w:w w:val="105"/>
          <w:vertAlign w:val="baseline"/>
        </w:rPr>
        <w:t> </w:t>
      </w:r>
      <w:r>
        <w:rPr>
          <w:w w:val="105"/>
          <w:vertAlign w:val="baseline"/>
        </w:rPr>
        <w:t>events</w:t>
      </w:r>
      <w:r>
        <w:rPr>
          <w:spacing w:val="-16"/>
          <w:w w:val="105"/>
          <w:vertAlign w:val="baseline"/>
        </w:rPr>
        <w:t> </w:t>
      </w:r>
      <w:r>
        <w:rPr>
          <w:w w:val="105"/>
          <w:vertAlign w:val="baseline"/>
        </w:rPr>
        <w:t>at the window’s open.</w:t>
      </w:r>
    </w:p>
    <w:p>
      <w:pPr>
        <w:pStyle w:val="BodyText"/>
        <w:spacing w:line="333" w:lineRule="auto"/>
        <w:ind w:left="808" w:right="558"/>
        <w:jc w:val="both"/>
      </w:pPr>
      <w:r>
        <w:rPr>
          <w:i/>
        </w:rPr>
        <w:t>BigQuery 바이트 예산. AWP 시간 감쇠는 관찰 끝 Tobs = 2026-05-31 23:59:59 UTC에 고정되어 있으므로 창 닫기 이벤트의 경우 Δt = 0이고 창 열기 이벤트의 경우 Δt ≒ 181일입니다.</w:t>
      </w:r>
    </w:p>
    <w:p>
      <w:pPr>
        <w:pStyle w:val="ListParagraph"/>
        <w:numPr>
          <w:ilvl w:val="0"/>
          <w:numId w:val="16"/>
        </w:numPr>
        <w:tabs>
          <w:tab w:pos="807" w:val="left" w:leader="none"/>
        </w:tabs>
        <w:spacing w:line="240" w:lineRule="auto" w:before="107" w:after="0"/>
        <w:ind w:left="807" w:right="0" w:hanging="214"/>
        <w:jc w:val="both"/>
        <w:rPr>
          <w:sz w:val="24"/>
        </w:rPr>
      </w:pPr>
      <w:r>
        <w:rPr>
          <w:b/>
          <w:sz w:val="24"/>
        </w:rPr>
        <w:t>BigQuery</w:t>
      </w:r>
      <w:r>
        <w:rPr>
          <w:b/>
          <w:spacing w:val="-7"/>
          <w:sz w:val="24"/>
        </w:rPr>
        <w:t> </w:t>
      </w:r>
      <w:r>
        <w:rPr>
          <w:b/>
          <w:sz w:val="24"/>
        </w:rPr>
        <w:t>source:</w:t>
      </w:r>
      <w:r>
        <w:rPr>
          <w:b/>
          <w:spacing w:val="11"/>
          <w:sz w:val="24"/>
        </w:rPr>
        <w:t> </w:t>
      </w:r>
      <w:r>
        <w:rPr>
          <w:sz w:val="24"/>
        </w:rPr>
        <w:t>Event</w:t>
      </w:r>
      <w:r>
        <w:rPr>
          <w:spacing w:val="-7"/>
          <w:sz w:val="24"/>
        </w:rPr>
        <w:t> </w:t>
      </w:r>
      <w:r>
        <w:rPr>
          <w:sz w:val="24"/>
        </w:rPr>
        <w:t>logs</w:t>
      </w:r>
      <w:r>
        <w:rPr>
          <w:spacing w:val="-7"/>
          <w:sz w:val="24"/>
        </w:rPr>
        <w:t> </w:t>
      </w:r>
      <w:r>
        <w:rPr>
          <w:sz w:val="24"/>
        </w:rPr>
        <w:t>are</w:t>
      </w:r>
      <w:r>
        <w:rPr>
          <w:spacing w:val="-7"/>
          <w:sz w:val="24"/>
        </w:rPr>
        <w:t> </w:t>
      </w:r>
      <w:r>
        <w:rPr>
          <w:sz w:val="24"/>
        </w:rPr>
        <w:t>read</w:t>
      </w:r>
      <w:r>
        <w:rPr>
          <w:spacing w:val="-7"/>
          <w:sz w:val="24"/>
        </w:rPr>
        <w:t> </w:t>
      </w:r>
      <w:r>
        <w:rPr>
          <w:sz w:val="24"/>
        </w:rPr>
        <w:t>from</w:t>
      </w:r>
      <w:r>
        <w:rPr>
          <w:spacing w:val="-7"/>
          <w:sz w:val="24"/>
        </w:rPr>
        <w:t> </w:t>
      </w:r>
      <w:r>
        <w:rPr>
          <w:sz w:val="24"/>
        </w:rPr>
        <w:t>the</w:t>
      </w:r>
      <w:r>
        <w:rPr>
          <w:spacing w:val="-7"/>
          <w:sz w:val="24"/>
        </w:rPr>
        <w:t> </w:t>
      </w:r>
      <w:r>
        <w:rPr>
          <w:sz w:val="24"/>
        </w:rPr>
        <w:t>public</w:t>
      </w:r>
      <w:r>
        <w:rPr>
          <w:spacing w:val="-7"/>
          <w:sz w:val="24"/>
        </w:rPr>
        <w:t> </w:t>
      </w:r>
      <w:r>
        <w:rPr>
          <w:spacing w:val="-2"/>
          <w:sz w:val="24"/>
        </w:rPr>
        <w:t>dataset</w:t>
      </w:r>
    </w:p>
    <w:p>
      <w:pPr>
        <w:pStyle w:val="ListParagraph"/>
        <w:numPr>
          <w:ilvl w:val="0"/>
          <w:numId w:val="16"/>
        </w:numPr>
        <w:tabs>
          <w:tab w:pos="807" w:val="left" w:leader="none"/>
        </w:tabs>
        <w:spacing w:line="240" w:lineRule="auto" w:before="107" w:after="0"/>
        <w:ind w:left="807" w:right="0" w:hanging="214"/>
        <w:jc w:val="both"/>
        <w:rPr>
          <w:sz w:val="24"/>
        </w:rPr>
      </w:pPr>
      <w:r>
        <w:rPr>
          <w:i/>
        </w:rPr>
        <w:t>BigQuery 소스: 공개 데이터세트에서 이벤트 로그를 읽습니다.</w:t>
      </w:r>
    </w:p>
    <w:p>
      <w:pPr>
        <w:pStyle w:val="BodyText"/>
        <w:spacing w:before="54"/>
      </w:pPr>
    </w:p>
    <w:p>
      <w:pPr>
        <w:pStyle w:val="BodyText"/>
        <w:ind w:left="283"/>
        <w:jc w:val="center"/>
      </w:pPr>
      <w:r>
        <w:rPr>
          <w:rFonts w:ascii="Calibri"/>
          <w:w w:val="115"/>
        </w:rPr>
        <w:t>bigquery-public-</w:t>
      </w:r>
      <w:r>
        <w:rPr>
          <w:rFonts w:ascii="Calibri"/>
          <w:spacing w:val="-2"/>
          <w:w w:val="115"/>
        </w:rPr>
        <w:t>data.goog_blockchain_arbitrum_one_us.logs</w:t>
      </w:r>
      <w:r>
        <w:rPr>
          <w:spacing w:val="-2"/>
          <w:w w:val="115"/>
        </w:rPr>
        <w:t>.</w:t>
      </w:r>
    </w:p>
    <w:p>
      <w:pPr>
        <w:pStyle w:val="BodyText"/>
        <w:spacing w:before="46"/>
      </w:pPr>
    </w:p>
    <w:p>
      <w:pPr>
        <w:pStyle w:val="BodyText"/>
        <w:spacing w:line="391" w:lineRule="auto"/>
        <w:ind w:left="808" w:right="534"/>
        <w:jc w:val="both"/>
      </w:pPr>
      <w:r>
        <w:rPr/>
        <w:t>Each</w:t>
      </w:r>
      <w:r>
        <w:rPr>
          <w:spacing w:val="-6"/>
        </w:rPr>
        <w:t> </w:t>
      </w:r>
      <w:r>
        <w:rPr/>
        <w:t>row</w:t>
      </w:r>
      <w:r>
        <w:rPr>
          <w:spacing w:val="-6"/>
        </w:rPr>
        <w:t> </w:t>
      </w:r>
      <w:r>
        <w:rPr/>
        <w:t>corresponds</w:t>
      </w:r>
      <w:r>
        <w:rPr>
          <w:spacing w:val="-6"/>
        </w:rPr>
        <w:t> </w:t>
      </w:r>
      <w:r>
        <w:rPr/>
        <w:t>to</w:t>
      </w:r>
      <w:r>
        <w:rPr>
          <w:spacing w:val="-5"/>
        </w:rPr>
        <w:t> </w:t>
      </w:r>
      <w:r>
        <w:rPr/>
        <w:t>a</w:t>
      </w:r>
      <w:r>
        <w:rPr>
          <w:spacing w:val="-5"/>
        </w:rPr>
        <w:t> </w:t>
      </w:r>
      <w:r>
        <w:rPr/>
        <w:t>contract</w:t>
      </w:r>
      <w:r>
        <w:rPr>
          <w:spacing w:val="-6"/>
        </w:rPr>
        <w:t> </w:t>
      </w:r>
      <w:r>
        <w:rPr/>
        <w:t>log</w:t>
      </w:r>
      <w:r>
        <w:rPr>
          <w:spacing w:val="-5"/>
        </w:rPr>
        <w:t> </w:t>
      </w:r>
      <w:r>
        <w:rPr/>
        <w:t>entry</w:t>
      </w:r>
      <w:r>
        <w:rPr>
          <w:spacing w:val="-5"/>
        </w:rPr>
        <w:t> </w:t>
      </w:r>
      <w:r>
        <w:rPr/>
        <w:t>with</w:t>
      </w:r>
      <w:r>
        <w:rPr>
          <w:spacing w:val="-5"/>
        </w:rPr>
        <w:t> </w:t>
      </w:r>
      <w:r>
        <w:rPr/>
        <w:t>block</w:t>
      </w:r>
      <w:r>
        <w:rPr>
          <w:spacing w:val="-5"/>
        </w:rPr>
        <w:t> </w:t>
      </w:r>
      <w:r>
        <w:rPr/>
        <w:t>timestamp,</w:t>
      </w:r>
      <w:r>
        <w:rPr>
          <w:spacing w:val="-5"/>
        </w:rPr>
        <w:t> </w:t>
      </w:r>
      <w:r>
        <w:rPr/>
        <w:t>emitting</w:t>
      </w:r>
      <w:r>
        <w:rPr>
          <w:spacing w:val="-5"/>
        </w:rPr>
        <w:t> </w:t>
      </w:r>
      <w:r>
        <w:rPr/>
        <w:t>address,</w:t>
      </w:r>
      <w:r>
        <w:rPr>
          <w:spacing w:val="-5"/>
        </w:rPr>
        <w:t> </w:t>
      </w:r>
      <w:r>
        <w:rPr/>
        <w:t>topics, and data.</w:t>
      </w:r>
      <w:r>
        <w:rPr>
          <w:spacing w:val="34"/>
        </w:rPr>
        <w:t> </w:t>
      </w:r>
      <w:r>
        <w:rPr/>
        <w:t>Queries filter on </w:t>
      </w:r>
      <w:r>
        <w:rPr>
          <w:rFonts w:ascii="Calibri"/>
        </w:rPr>
        <w:t>block_timestamp</w:t>
      </w:r>
      <w:r>
        <w:rPr/>
        <w:t>, contract address (when applicable), and event topic</w:t>
      </w:r>
      <w:r>
        <w:rPr>
          <w:spacing w:val="-11"/>
        </w:rPr>
        <w:t> </w:t>
      </w:r>
      <w:r>
        <w:rPr/>
        <w:t>hashes.</w:t>
      </w:r>
      <w:r>
        <w:rPr>
          <w:spacing w:val="14"/>
        </w:rPr>
        <w:t> </w:t>
      </w:r>
      <w:r>
        <w:rPr/>
        <w:t>The</w:t>
      </w:r>
      <w:r>
        <w:rPr>
          <w:spacing w:val="-11"/>
        </w:rPr>
        <w:t> </w:t>
      </w:r>
      <w:r>
        <w:rPr/>
        <w:t>public</w:t>
      </w:r>
      <w:r>
        <w:rPr>
          <w:spacing w:val="-11"/>
        </w:rPr>
        <w:t> </w:t>
      </w:r>
      <w:r>
        <w:rPr/>
        <w:t>dataset</w:t>
      </w:r>
      <w:r>
        <w:rPr>
          <w:spacing w:val="-11"/>
        </w:rPr>
        <w:t> </w:t>
      </w:r>
      <w:r>
        <w:rPr/>
        <w:t>removes</w:t>
      </w:r>
      <w:r>
        <w:rPr>
          <w:spacing w:val="-11"/>
        </w:rPr>
        <w:t> </w:t>
      </w:r>
      <w:r>
        <w:rPr/>
        <w:t>the</w:t>
      </w:r>
      <w:r>
        <w:rPr>
          <w:spacing w:val="-11"/>
        </w:rPr>
        <w:t> </w:t>
      </w:r>
      <w:r>
        <w:rPr/>
        <w:t>need</w:t>
      </w:r>
      <w:r>
        <w:rPr>
          <w:spacing w:val="-11"/>
        </w:rPr>
        <w:t> </w:t>
      </w:r>
      <w:r>
        <w:rPr/>
        <w:t>for</w:t>
      </w:r>
      <w:r>
        <w:rPr>
          <w:spacing w:val="-11"/>
        </w:rPr>
        <w:t> </w:t>
      </w:r>
      <w:r>
        <w:rPr/>
        <w:t>a</w:t>
      </w:r>
      <w:r>
        <w:rPr>
          <w:spacing w:val="-11"/>
        </w:rPr>
        <w:t> </w:t>
      </w:r>
      <w:r>
        <w:rPr/>
        <w:t>private</w:t>
      </w:r>
      <w:r>
        <w:rPr>
          <w:spacing w:val="-11"/>
        </w:rPr>
        <w:t> </w:t>
      </w:r>
      <w:r>
        <w:rPr/>
        <w:t>archive</w:t>
      </w:r>
      <w:r>
        <w:rPr>
          <w:spacing w:val="-11"/>
        </w:rPr>
        <w:t> </w:t>
      </w:r>
      <w:r>
        <w:rPr/>
        <w:t>node</w:t>
      </w:r>
      <w:r>
        <w:rPr>
          <w:spacing w:val="-11"/>
        </w:rPr>
        <w:t> </w:t>
      </w:r>
      <w:r>
        <w:rPr/>
        <w:t>while</w:t>
      </w:r>
      <w:r>
        <w:rPr>
          <w:spacing w:val="-11"/>
        </w:rPr>
        <w:t> </w:t>
      </w:r>
      <w:r>
        <w:rPr/>
        <w:t>remaining auditable:</w:t>
      </w:r>
      <w:r>
        <w:rPr>
          <w:spacing w:val="38"/>
        </w:rPr>
        <w:t> </w:t>
      </w:r>
      <w:r>
        <w:rPr/>
        <w:t>any researcher with Google Cloud access can re-issue the same SQL against the same</w:t>
      </w:r>
      <w:r>
        <w:rPr>
          <w:spacing w:val="-15"/>
        </w:rPr>
        <w:t> </w:t>
      </w:r>
      <w:r>
        <w:rPr/>
        <w:t>table.</w:t>
      </w:r>
      <w:r>
        <w:rPr>
          <w:spacing w:val="4"/>
        </w:rPr>
        <w:t> </w:t>
      </w:r>
      <w:r>
        <w:rPr/>
        <w:t>SQL</w:t>
      </w:r>
      <w:r>
        <w:rPr>
          <w:spacing w:val="-15"/>
        </w:rPr>
        <w:t> </w:t>
      </w:r>
      <w:r>
        <w:rPr/>
        <w:t>templates,</w:t>
      </w:r>
      <w:r>
        <w:rPr>
          <w:spacing w:val="-13"/>
        </w:rPr>
        <w:t> </w:t>
      </w:r>
      <w:r>
        <w:rPr/>
        <w:t>dry-run</w:t>
      </w:r>
      <w:r>
        <w:rPr>
          <w:spacing w:val="-15"/>
        </w:rPr>
        <w:t> </w:t>
      </w:r>
      <w:r>
        <w:rPr/>
        <w:t>cost</w:t>
      </w:r>
      <w:r>
        <w:rPr>
          <w:spacing w:val="-15"/>
        </w:rPr>
        <w:t> </w:t>
      </w:r>
      <w:r>
        <w:rPr/>
        <w:t>guardrails,</w:t>
      </w:r>
      <w:r>
        <w:rPr>
          <w:spacing w:val="-14"/>
        </w:rPr>
        <w:t> </w:t>
      </w:r>
      <w:r>
        <w:rPr/>
        <w:t>and</w:t>
      </w:r>
      <w:r>
        <w:rPr>
          <w:spacing w:val="-15"/>
        </w:rPr>
        <w:t> </w:t>
      </w:r>
      <w:r>
        <w:rPr/>
        <w:t>acquisition</w:t>
      </w:r>
      <w:r>
        <w:rPr>
          <w:spacing w:val="-15"/>
        </w:rPr>
        <w:t> </w:t>
      </w:r>
      <w:r>
        <w:rPr/>
        <w:t>metadata</w:t>
      </w:r>
      <w:r>
        <w:rPr>
          <w:spacing w:val="-15"/>
        </w:rPr>
        <w:t> </w:t>
      </w:r>
      <w:r>
        <w:rPr/>
        <w:t>are</w:t>
      </w:r>
      <w:r>
        <w:rPr>
          <w:spacing w:val="-15"/>
        </w:rPr>
        <w:t> </w:t>
      </w:r>
      <w:r>
        <w:rPr/>
        <w:t>documented in Appendix </w:t>
      </w:r>
      <w:hyperlink w:history="true" w:anchor="_bookmark198">
        <w:r>
          <w:rPr/>
          <w:t>8.1</w:t>
        </w:r>
      </w:hyperlink>
      <w:r>
        <w:rPr/>
        <w:t>.</w:t>
      </w:r>
    </w:p>
    <w:p>
      <w:pPr>
        <w:pStyle w:val="BodyText"/>
        <w:spacing w:line="391" w:lineRule="auto"/>
        <w:ind w:left="808" w:right="534"/>
        <w:jc w:val="both"/>
      </w:pPr>
      <w:r>
        <w:rPr>
          <w:i/>
        </w:rPr>
        <w:t>각 행은 블록 타임스탬프, 발신 주소, 주제 및 데이터가 포함된 계약 로그 항목에 해당합니다. block_timestamp, 계약 주소(해당되는 경우) 및 이벤트 주제 해시에 대한 쿼리 필터입니다. 공개 데이터 세트를 사용하면 감사 가능 상태를 유지하면서 비공개 보관 노드가 필요하지 않습니다. Google Cloud 액세스 권한이 있는 모든 연구원은 동일한 테이블에 대해 동일한 SQL을 다시 실행할 수 있습니다. SQL 템플릿, 테스트 실행 비용 가드레일, 획득 메타데이터는 부록 8.1에 문서화되어 있습니다.</w:t>
      </w:r>
    </w:p>
    <w:p>
      <w:pPr>
        <w:pStyle w:val="ListParagraph"/>
        <w:numPr>
          <w:ilvl w:val="0"/>
          <w:numId w:val="16"/>
        </w:numPr>
        <w:tabs>
          <w:tab w:pos="799" w:val="left" w:leader="none"/>
          <w:tab w:pos="806" w:val="left" w:leader="none"/>
        </w:tabs>
        <w:spacing w:line="388" w:lineRule="auto" w:before="44" w:after="0"/>
        <w:ind w:left="799" w:right="522" w:hanging="207"/>
        <w:jc w:val="both"/>
        <w:rPr>
          <w:sz w:val="24"/>
        </w:rPr>
      </w:pPr>
      <w:r>
        <w:rPr>
          <w:b/>
          <w:sz w:val="24"/>
        </w:rPr>
        <w:t>Reputation</w:t>
      </w:r>
      <w:r>
        <w:rPr>
          <w:b/>
          <w:sz w:val="24"/>
        </w:rPr>
        <w:t> events:</w:t>
      </w:r>
      <w:r>
        <w:rPr>
          <w:b/>
          <w:spacing w:val="40"/>
          <w:sz w:val="24"/>
        </w:rPr>
        <w:t> </w:t>
      </w:r>
      <w:r>
        <w:rPr>
          <w:sz w:val="24"/>
        </w:rPr>
        <w:t>EndorseRank uses ERC-20 </w:t>
      </w:r>
      <w:r>
        <w:rPr>
          <w:rFonts w:ascii="Calibri" w:hAnsi="Calibri"/>
          <w:sz w:val="24"/>
        </w:rPr>
        <w:t>Approval </w:t>
      </w:r>
      <w:r>
        <w:rPr>
          <w:sz w:val="24"/>
        </w:rPr>
        <w:t>logs </w:t>
      </w:r>
      <w:hyperlink w:history="true" w:anchor="_bookmark151">
        <w:r>
          <w:rPr>
            <w:sz w:val="24"/>
            <w:vertAlign w:val="superscript"/>
          </w:rPr>
          <w:t>[18]</w:t>
        </w:r>
      </w:hyperlink>
      <w:r>
        <w:rPr>
          <w:sz w:val="24"/>
          <w:vertAlign w:val="baseline"/>
        </w:rPr>
        <w:t>, including allowances established via EIP-2612 </w:t>
      </w:r>
      <w:r>
        <w:rPr>
          <w:rFonts w:ascii="Calibri" w:hAnsi="Calibri"/>
          <w:sz w:val="24"/>
          <w:vertAlign w:val="baseline"/>
        </w:rPr>
        <w:t>permit </w:t>
      </w:r>
      <w:r>
        <w:rPr>
          <w:sz w:val="24"/>
          <w:vertAlign w:val="baseline"/>
        </w:rPr>
        <w:t>flows that ultimately emit the same </w:t>
      </w:r>
      <w:r>
        <w:rPr>
          <w:rFonts w:ascii="Calibri" w:hAnsi="Calibri"/>
          <w:sz w:val="24"/>
          <w:vertAlign w:val="baseline"/>
        </w:rPr>
        <w:t>Approval </w:t>
      </w:r>
      <w:r>
        <w:rPr>
          <w:sz w:val="24"/>
          <w:vertAlign w:val="baseline"/>
        </w:rPr>
        <w:t>event </w:t>
      </w:r>
      <w:hyperlink w:history="true" w:anchor="_bookmark152">
        <w:r>
          <w:rPr>
            <w:sz w:val="24"/>
            <w:vertAlign w:val="superscript"/>
          </w:rPr>
          <w:t>[19]</w:t>
        </w:r>
      </w:hyperlink>
      <w:r>
        <w:rPr>
          <w:sz w:val="24"/>
          <w:vertAlign w:val="baseline"/>
        </w:rPr>
        <w:t>. AWP</w:t>
      </w:r>
      <w:r>
        <w:rPr>
          <w:spacing w:val="-4"/>
          <w:sz w:val="24"/>
          <w:vertAlign w:val="baseline"/>
        </w:rPr>
        <w:t> </w:t>
      </w:r>
      <w:r>
        <w:rPr>
          <w:sz w:val="24"/>
          <w:vertAlign w:val="baseline"/>
        </w:rPr>
        <w:t>uses</w:t>
      </w:r>
      <w:r>
        <w:rPr>
          <w:spacing w:val="-4"/>
          <w:sz w:val="24"/>
          <w:vertAlign w:val="baseline"/>
        </w:rPr>
        <w:t> </w:t>
      </w:r>
      <w:r>
        <w:rPr>
          <w:sz w:val="24"/>
          <w:vertAlign w:val="baseline"/>
        </w:rPr>
        <w:t>ERC-20</w:t>
      </w:r>
      <w:r>
        <w:rPr>
          <w:spacing w:val="-3"/>
          <w:sz w:val="24"/>
          <w:vertAlign w:val="baseline"/>
        </w:rPr>
        <w:t> </w:t>
      </w:r>
      <w:r>
        <w:rPr>
          <w:rFonts w:ascii="Calibri" w:hAnsi="Calibri"/>
          <w:sz w:val="24"/>
          <w:vertAlign w:val="baseline"/>
        </w:rPr>
        <w:t>Transfer </w:t>
      </w:r>
      <w:r>
        <w:rPr>
          <w:sz w:val="24"/>
          <w:vertAlign w:val="baseline"/>
        </w:rPr>
        <w:t>logs.</w:t>
      </w:r>
      <w:r>
        <w:rPr>
          <w:spacing w:val="28"/>
          <w:sz w:val="24"/>
          <w:vertAlign w:val="baseline"/>
        </w:rPr>
        <w:t> </w:t>
      </w:r>
      <w:r>
        <w:rPr>
          <w:sz w:val="24"/>
          <w:vertAlign w:val="baseline"/>
        </w:rPr>
        <w:t>Both</w:t>
      </w:r>
      <w:r>
        <w:rPr>
          <w:spacing w:val="-4"/>
          <w:sz w:val="24"/>
          <w:vertAlign w:val="baseline"/>
        </w:rPr>
        <w:t> </w:t>
      </w:r>
      <w:r>
        <w:rPr>
          <w:sz w:val="24"/>
          <w:vertAlign w:val="baseline"/>
        </w:rPr>
        <w:t>streams</w:t>
      </w:r>
      <w:r>
        <w:rPr>
          <w:spacing w:val="-4"/>
          <w:sz w:val="24"/>
          <w:vertAlign w:val="baseline"/>
        </w:rPr>
        <w:t> </w:t>
      </w:r>
      <w:r>
        <w:rPr>
          <w:sz w:val="24"/>
          <w:vertAlign w:val="baseline"/>
        </w:rPr>
        <w:t>are</w:t>
      </w:r>
      <w:r>
        <w:rPr>
          <w:spacing w:val="-4"/>
          <w:sz w:val="24"/>
          <w:vertAlign w:val="baseline"/>
        </w:rPr>
        <w:t> </w:t>
      </w:r>
      <w:r>
        <w:rPr>
          <w:sz w:val="24"/>
          <w:vertAlign w:val="baseline"/>
        </w:rPr>
        <w:t>wallet-filtered</w:t>
      </w:r>
      <w:r>
        <w:rPr>
          <w:spacing w:val="-4"/>
          <w:sz w:val="24"/>
          <w:vertAlign w:val="baseline"/>
        </w:rPr>
        <w:t> </w:t>
      </w:r>
      <w:r>
        <w:rPr>
          <w:sz w:val="24"/>
          <w:vertAlign w:val="baseline"/>
        </w:rPr>
        <w:t>to</w:t>
      </w:r>
      <w:r>
        <w:rPr>
          <w:spacing w:val="-3"/>
          <w:sz w:val="24"/>
          <w:vertAlign w:val="baseline"/>
        </w:rPr>
        <w:t> </w:t>
      </w:r>
      <w:r>
        <w:rPr>
          <w:sz w:val="24"/>
          <w:vertAlign w:val="baseline"/>
        </w:rPr>
        <w:t>the</w:t>
      </w:r>
      <w:r>
        <w:rPr>
          <w:spacing w:val="-4"/>
          <w:sz w:val="24"/>
          <w:vertAlign w:val="baseline"/>
        </w:rPr>
        <w:t> </w:t>
      </w:r>
      <w:r>
        <w:rPr>
          <w:sz w:val="24"/>
          <w:vertAlign w:val="baseline"/>
        </w:rPr>
        <w:t>cohort</w:t>
      </w:r>
      <w:r>
        <w:rPr>
          <w:spacing w:val="-4"/>
          <w:sz w:val="24"/>
          <w:vertAlign w:val="baseline"/>
        </w:rPr>
        <w:t> </w:t>
      </w:r>
      <w:r>
        <w:rPr>
          <w:sz w:val="24"/>
          <w:vertAlign w:val="baseline"/>
        </w:rPr>
        <w:t>under</w:t>
      </w:r>
      <w:r>
        <w:rPr>
          <w:spacing w:val="-4"/>
          <w:sz w:val="24"/>
          <w:vertAlign w:val="baseline"/>
        </w:rPr>
        <w:t> </w:t>
      </w:r>
      <w:r>
        <w:rPr>
          <w:sz w:val="24"/>
          <w:vertAlign w:val="baseline"/>
        </w:rPr>
        <w:t>study: a</w:t>
      </w:r>
      <w:r>
        <w:rPr>
          <w:spacing w:val="-2"/>
          <w:sz w:val="24"/>
          <w:vertAlign w:val="baseline"/>
        </w:rPr>
        <w:t> </w:t>
      </w:r>
      <w:r>
        <w:rPr>
          <w:sz w:val="24"/>
          <w:vertAlign w:val="baseline"/>
        </w:rPr>
        <w:t>log</w:t>
      </w:r>
      <w:r>
        <w:rPr>
          <w:spacing w:val="-2"/>
          <w:sz w:val="24"/>
          <w:vertAlign w:val="baseline"/>
        </w:rPr>
        <w:t> </w:t>
      </w:r>
      <w:r>
        <w:rPr>
          <w:sz w:val="24"/>
          <w:vertAlign w:val="baseline"/>
        </w:rPr>
        <w:t>is</w:t>
      </w:r>
      <w:r>
        <w:rPr>
          <w:spacing w:val="-2"/>
          <w:sz w:val="24"/>
          <w:vertAlign w:val="baseline"/>
        </w:rPr>
        <w:t> </w:t>
      </w:r>
      <w:r>
        <w:rPr>
          <w:sz w:val="24"/>
          <w:vertAlign w:val="baseline"/>
        </w:rPr>
        <w:t>retained</w:t>
      </w:r>
      <w:r>
        <w:rPr>
          <w:spacing w:val="-2"/>
          <w:sz w:val="24"/>
          <w:vertAlign w:val="baseline"/>
        </w:rPr>
        <w:t> </w:t>
      </w:r>
      <w:r>
        <w:rPr>
          <w:sz w:val="24"/>
          <w:vertAlign w:val="baseline"/>
        </w:rPr>
        <w:t>if</w:t>
      </w:r>
      <w:r>
        <w:rPr>
          <w:spacing w:val="-2"/>
          <w:sz w:val="24"/>
          <w:vertAlign w:val="baseline"/>
        </w:rPr>
        <w:t> </w:t>
      </w:r>
      <w:r>
        <w:rPr>
          <w:sz w:val="24"/>
          <w:vertAlign w:val="baseline"/>
        </w:rPr>
        <w:t>the</w:t>
      </w:r>
      <w:r>
        <w:rPr>
          <w:spacing w:val="-2"/>
          <w:sz w:val="24"/>
          <w:vertAlign w:val="baseline"/>
        </w:rPr>
        <w:t> </w:t>
      </w:r>
      <w:r>
        <w:rPr>
          <w:sz w:val="24"/>
          <w:vertAlign w:val="baseline"/>
        </w:rPr>
        <w:t>owner</w:t>
      </w:r>
      <w:r>
        <w:rPr>
          <w:spacing w:val="-1"/>
          <w:sz w:val="24"/>
          <w:vertAlign w:val="baseline"/>
        </w:rPr>
        <w:t> </w:t>
      </w:r>
      <w:r>
        <w:rPr>
          <w:sz w:val="24"/>
          <w:vertAlign w:val="baseline"/>
        </w:rPr>
        <w:t>or</w:t>
      </w:r>
      <w:r>
        <w:rPr>
          <w:spacing w:val="-2"/>
          <w:sz w:val="24"/>
          <w:vertAlign w:val="baseline"/>
        </w:rPr>
        <w:t> </w:t>
      </w:r>
      <w:r>
        <w:rPr>
          <w:sz w:val="24"/>
          <w:vertAlign w:val="baseline"/>
        </w:rPr>
        <w:t>spender</w:t>
      </w:r>
      <w:r>
        <w:rPr>
          <w:spacing w:val="-2"/>
          <w:sz w:val="24"/>
          <w:vertAlign w:val="baseline"/>
        </w:rPr>
        <w:t> </w:t>
      </w:r>
      <w:r>
        <w:rPr>
          <w:sz w:val="24"/>
          <w:vertAlign w:val="baseline"/>
        </w:rPr>
        <w:t>(approvals)</w:t>
      </w:r>
      <w:r>
        <w:rPr>
          <w:spacing w:val="-2"/>
          <w:sz w:val="24"/>
          <w:vertAlign w:val="baseline"/>
        </w:rPr>
        <w:t> </w:t>
      </w:r>
      <w:r>
        <w:rPr>
          <w:sz w:val="24"/>
          <w:vertAlign w:val="baseline"/>
        </w:rPr>
        <w:t>or</w:t>
      </w:r>
      <w:r>
        <w:rPr>
          <w:spacing w:val="-2"/>
          <w:sz w:val="24"/>
          <w:vertAlign w:val="baseline"/>
        </w:rPr>
        <w:t> </w:t>
      </w:r>
      <w:r>
        <w:rPr>
          <w:sz w:val="24"/>
          <w:vertAlign w:val="baseline"/>
        </w:rPr>
        <w:t>the</w:t>
      </w:r>
      <w:r>
        <w:rPr>
          <w:spacing w:val="-2"/>
          <w:sz w:val="24"/>
          <w:vertAlign w:val="baseline"/>
        </w:rPr>
        <w:t> </w:t>
      </w:r>
      <w:r>
        <w:rPr>
          <w:sz w:val="24"/>
          <w:vertAlign w:val="baseline"/>
        </w:rPr>
        <w:t>sender</w:t>
      </w:r>
      <w:r>
        <w:rPr>
          <w:spacing w:val="-2"/>
          <w:sz w:val="24"/>
          <w:vertAlign w:val="baseline"/>
        </w:rPr>
        <w:t> </w:t>
      </w:r>
      <w:r>
        <w:rPr>
          <w:sz w:val="24"/>
          <w:vertAlign w:val="baseline"/>
        </w:rPr>
        <w:t>or</w:t>
      </w:r>
      <w:r>
        <w:rPr>
          <w:spacing w:val="-1"/>
          <w:sz w:val="24"/>
          <w:vertAlign w:val="baseline"/>
        </w:rPr>
        <w:t> </w:t>
      </w:r>
      <w:r>
        <w:rPr>
          <w:sz w:val="24"/>
          <w:vertAlign w:val="baseline"/>
        </w:rPr>
        <w:t>recipient</w:t>
      </w:r>
      <w:r>
        <w:rPr>
          <w:spacing w:val="-2"/>
          <w:sz w:val="24"/>
          <w:vertAlign w:val="baseline"/>
        </w:rPr>
        <w:t> </w:t>
      </w:r>
      <w:r>
        <w:rPr>
          <w:sz w:val="24"/>
          <w:vertAlign w:val="baseline"/>
        </w:rPr>
        <w:t>(transfers)</w:t>
      </w:r>
      <w:r>
        <w:rPr>
          <w:spacing w:val="-2"/>
          <w:sz w:val="24"/>
          <w:vertAlign w:val="baseline"/>
        </w:rPr>
        <w:t> </w:t>
      </w:r>
      <w:r>
        <w:rPr>
          <w:sz w:val="24"/>
          <w:vertAlign w:val="baseline"/>
        </w:rPr>
        <w:t>lies in the seed wallet set.</w:t>
      </w:r>
      <w:r>
        <w:rPr>
          <w:spacing w:val="38"/>
          <w:sz w:val="24"/>
          <w:vertAlign w:val="baseline"/>
        </w:rPr>
        <w:t> </w:t>
      </w:r>
      <w:r>
        <w:rPr>
          <w:sz w:val="24"/>
          <w:vertAlign w:val="baseline"/>
        </w:rPr>
        <w:t>Filtering at query time reduces scanned payload relative to full-chain </w:t>
      </w:r>
      <w:r>
        <w:rPr>
          <w:spacing w:val="-2"/>
          <w:sz w:val="24"/>
          <w:vertAlign w:val="baseline"/>
        </w:rPr>
        <w:t>extracts</w:t>
      </w:r>
      <w:r>
        <w:rPr>
          <w:spacing w:val="-8"/>
          <w:sz w:val="24"/>
          <w:vertAlign w:val="baseline"/>
        </w:rPr>
        <w:t> </w:t>
      </w:r>
      <w:r>
        <w:rPr>
          <w:spacing w:val="-2"/>
          <w:sz w:val="24"/>
          <w:vertAlign w:val="baseline"/>
        </w:rPr>
        <w:t>and</w:t>
      </w:r>
      <w:r>
        <w:rPr>
          <w:spacing w:val="-7"/>
          <w:sz w:val="24"/>
          <w:vertAlign w:val="baseline"/>
        </w:rPr>
        <w:t> </w:t>
      </w:r>
      <w:r>
        <w:rPr>
          <w:spacing w:val="-2"/>
          <w:sz w:val="24"/>
          <w:vertAlign w:val="baseline"/>
        </w:rPr>
        <w:t>focuses</w:t>
      </w:r>
      <w:r>
        <w:rPr>
          <w:spacing w:val="-8"/>
          <w:sz w:val="24"/>
          <w:vertAlign w:val="baseline"/>
        </w:rPr>
        <w:t> </w:t>
      </w:r>
      <w:r>
        <w:rPr>
          <w:spacing w:val="-2"/>
          <w:sz w:val="24"/>
          <w:vertAlign w:val="baseline"/>
        </w:rPr>
        <w:t>the</w:t>
      </w:r>
      <w:r>
        <w:rPr>
          <w:spacing w:val="-7"/>
          <w:sz w:val="24"/>
          <w:vertAlign w:val="baseline"/>
        </w:rPr>
        <w:t> </w:t>
      </w:r>
      <w:r>
        <w:rPr>
          <w:spacing w:val="-2"/>
          <w:sz w:val="24"/>
          <w:vertAlign w:val="baseline"/>
        </w:rPr>
        <w:t>reputation</w:t>
      </w:r>
      <w:r>
        <w:rPr>
          <w:spacing w:val="-7"/>
          <w:sz w:val="24"/>
          <w:vertAlign w:val="baseline"/>
        </w:rPr>
        <w:t> </w:t>
      </w:r>
      <w:r>
        <w:rPr>
          <w:spacing w:val="-2"/>
          <w:sz w:val="24"/>
          <w:vertAlign w:val="baseline"/>
        </w:rPr>
        <w:t>subgraph</w:t>
      </w:r>
      <w:r>
        <w:rPr>
          <w:spacing w:val="-8"/>
          <w:sz w:val="24"/>
          <w:vertAlign w:val="baseline"/>
        </w:rPr>
        <w:t> </w:t>
      </w:r>
      <w:r>
        <w:rPr>
          <w:spacing w:val="-2"/>
          <w:sz w:val="24"/>
          <w:vertAlign w:val="baseline"/>
        </w:rPr>
        <w:t>on</w:t>
      </w:r>
      <w:r>
        <w:rPr>
          <w:spacing w:val="-7"/>
          <w:sz w:val="24"/>
          <w:vertAlign w:val="baseline"/>
        </w:rPr>
        <w:t> </w:t>
      </w:r>
      <w:r>
        <w:rPr>
          <w:spacing w:val="-2"/>
          <w:sz w:val="24"/>
          <w:vertAlign w:val="baseline"/>
        </w:rPr>
        <w:t>economically</w:t>
      </w:r>
      <w:r>
        <w:rPr>
          <w:spacing w:val="-8"/>
          <w:sz w:val="24"/>
          <w:vertAlign w:val="baseline"/>
        </w:rPr>
        <w:t> </w:t>
      </w:r>
      <w:r>
        <w:rPr>
          <w:spacing w:val="-2"/>
          <w:sz w:val="24"/>
          <w:vertAlign w:val="baseline"/>
        </w:rPr>
        <w:t>relevant</w:t>
      </w:r>
      <w:r>
        <w:rPr>
          <w:spacing w:val="-7"/>
          <w:sz w:val="24"/>
          <w:vertAlign w:val="baseline"/>
        </w:rPr>
        <w:t> </w:t>
      </w:r>
      <w:r>
        <w:rPr>
          <w:spacing w:val="-2"/>
          <w:sz w:val="24"/>
          <w:vertAlign w:val="baseline"/>
        </w:rPr>
        <w:t>neighbors</w:t>
      </w:r>
      <w:r>
        <w:rPr>
          <w:spacing w:val="-8"/>
          <w:sz w:val="24"/>
          <w:vertAlign w:val="baseline"/>
        </w:rPr>
        <w:t> </w:t>
      </w:r>
      <w:r>
        <w:rPr>
          <w:spacing w:val="-2"/>
          <w:sz w:val="24"/>
          <w:vertAlign w:val="baseline"/>
        </w:rPr>
        <w:t>of</w:t>
      </w:r>
      <w:r>
        <w:rPr>
          <w:spacing w:val="-8"/>
          <w:sz w:val="24"/>
          <w:vertAlign w:val="baseline"/>
        </w:rPr>
        <w:t> </w:t>
      </w:r>
      <w:r>
        <w:rPr>
          <w:spacing w:val="-2"/>
          <w:sz w:val="24"/>
          <w:vertAlign w:val="baseline"/>
        </w:rPr>
        <w:t>the</w:t>
      </w:r>
      <w:r>
        <w:rPr>
          <w:spacing w:val="-7"/>
          <w:sz w:val="24"/>
          <w:vertAlign w:val="baseline"/>
        </w:rPr>
        <w:t> </w:t>
      </w:r>
      <w:r>
        <w:rPr>
          <w:spacing w:val="-2"/>
          <w:sz w:val="24"/>
          <w:vertAlign w:val="baseline"/>
        </w:rPr>
        <w:t>cohort. </w:t>
      </w:r>
      <w:r>
        <w:rPr>
          <w:sz w:val="24"/>
          <w:vertAlign w:val="baseline"/>
        </w:rPr>
        <w:t>Extracts run in six monthly batches to respect per-query byte caps and to allow resumable checkpoints if a month fails.</w:t>
      </w:r>
    </w:p>
    <w:p>
      <w:pPr>
        <w:pStyle w:val="ListParagraph"/>
        <w:numPr>
          <w:ilvl w:val="0"/>
          <w:numId w:val="16"/>
        </w:numPr>
        <w:tabs>
          <w:tab w:pos="799" w:val="left" w:leader="none"/>
          <w:tab w:pos="806" w:val="left" w:leader="none"/>
        </w:tabs>
        <w:spacing w:line="388" w:lineRule="auto" w:before="44" w:after="0"/>
        <w:ind w:left="799" w:right="522" w:hanging="207"/>
        <w:jc w:val="both"/>
        <w:rPr>
          <w:sz w:val="24"/>
        </w:rPr>
      </w:pPr>
      <w:r>
        <w:rPr>
          <w:i/>
        </w:rPr>
        <w:t>평판 이벤트: EndorseRank는 궁극적으로 동일한 승인 이벤트[19]를 발생시키는 EIP-2612 허가 흐름을 통해 설정된 허용량을 포함하여 ERC-20 승인 로그[18]를 사용합니다. AWP는 ERC-20 전송 로그를 사용합니다. 두 스트림 모두 연구 중인 코호트에 대해 지갑 필터링됩니다. 소유자 또는 지출자(승인) 또는 보낸 사람 또는 수신자(전송)가 시드 지갑 세트에 있는 경우 로그가 유지됩니다. 쿼리 시간에 필터링하면 전체 체인 추출에 비해 스캔된 페이로드가 줄어들고 코호트의 경제적으로 관련성이 높은 이웃에 대한 평판 하위 그래프에 집중됩니다. 추출은 쿼리당 바이트 한도를 준수하고 한 달이 실패할 경우 재개 가능한 검사점을 허용하기 위해 6개의 월별 배치로 실행됩니다.</w:t>
      </w:r>
    </w:p>
    <w:p>
      <w:pPr>
        <w:pStyle w:val="ListParagraph"/>
        <w:numPr>
          <w:ilvl w:val="0"/>
          <w:numId w:val="16"/>
        </w:numPr>
        <w:tabs>
          <w:tab w:pos="806" w:val="left" w:leader="none"/>
          <w:tab w:pos="808" w:val="left" w:leader="none"/>
        </w:tabs>
        <w:spacing w:line="374" w:lineRule="auto" w:before="29" w:after="0"/>
        <w:ind w:left="808" w:right="564" w:hanging="216"/>
        <w:jc w:val="both"/>
        <w:rPr>
          <w:sz w:val="24"/>
        </w:rPr>
      </w:pPr>
      <w:r>
        <w:rPr>
          <w:b/>
          <w:sz w:val="24"/>
        </w:rPr>
        <w:t>GMX events: </w:t>
      </w:r>
      <w:r>
        <w:rPr>
          <w:sz w:val="24"/>
        </w:rPr>
        <w:t>Trading-success and risk proxies are derived from GMX V2 </w:t>
      </w:r>
      <w:r>
        <w:rPr>
          <w:rFonts w:ascii="Calibri" w:hAnsi="Calibri"/>
          <w:sz w:val="24"/>
        </w:rPr>
        <w:t>PositionDecre ase</w:t>
      </w:r>
      <w:r>
        <w:rPr>
          <w:rFonts w:ascii="Calibri" w:hAnsi="Calibri"/>
          <w:spacing w:val="40"/>
          <w:sz w:val="24"/>
        </w:rPr>
        <w:t> </w:t>
      </w:r>
      <w:r>
        <w:rPr>
          <w:sz w:val="24"/>
        </w:rPr>
        <w:t>events</w:t>
      </w:r>
      <w:r>
        <w:rPr>
          <w:spacing w:val="40"/>
          <w:sz w:val="24"/>
        </w:rPr>
        <w:t> </w:t>
      </w:r>
      <w:r>
        <w:rPr>
          <w:sz w:val="24"/>
        </w:rPr>
        <w:t>emitted</w:t>
      </w:r>
      <w:r>
        <w:rPr>
          <w:spacing w:val="40"/>
          <w:sz w:val="24"/>
        </w:rPr>
        <w:t> </w:t>
      </w:r>
      <w:r>
        <w:rPr>
          <w:sz w:val="24"/>
        </w:rPr>
        <w:t>by</w:t>
      </w:r>
      <w:r>
        <w:rPr>
          <w:spacing w:val="40"/>
          <w:sz w:val="24"/>
        </w:rPr>
        <w:t> </w:t>
      </w:r>
      <w:r>
        <w:rPr>
          <w:sz w:val="24"/>
        </w:rPr>
        <w:t>the</w:t>
      </w:r>
      <w:r>
        <w:rPr>
          <w:spacing w:val="40"/>
          <w:sz w:val="24"/>
        </w:rPr>
        <w:t> </w:t>
      </w:r>
      <w:r>
        <w:rPr>
          <w:sz w:val="24"/>
        </w:rPr>
        <w:t>GMX</w:t>
      </w:r>
      <w:r>
        <w:rPr>
          <w:spacing w:val="40"/>
          <w:sz w:val="24"/>
        </w:rPr>
        <w:t> </w:t>
      </w:r>
      <w:r>
        <w:rPr>
          <w:rFonts w:ascii="Calibri" w:hAnsi="Calibri"/>
          <w:sz w:val="24"/>
        </w:rPr>
        <w:t>EventEmitter</w:t>
      </w:r>
      <w:r>
        <w:rPr>
          <w:rFonts w:ascii="Calibri" w:hAnsi="Calibri"/>
          <w:spacing w:val="40"/>
          <w:sz w:val="24"/>
        </w:rPr>
        <w:t> </w:t>
      </w:r>
      <w:r>
        <w:rPr>
          <w:sz w:val="24"/>
        </w:rPr>
        <w:t>at</w:t>
      </w:r>
    </w:p>
    <w:p>
      <w:pPr>
        <w:pStyle w:val="ListParagraph"/>
        <w:numPr>
          <w:ilvl w:val="0"/>
          <w:numId w:val="16"/>
        </w:numPr>
        <w:tabs>
          <w:tab w:pos="806" w:val="left" w:leader="none"/>
          <w:tab w:pos="808" w:val="left" w:leader="none"/>
        </w:tabs>
        <w:spacing w:line="374" w:lineRule="auto" w:before="29" w:after="0"/>
        <w:ind w:left="808" w:right="564" w:hanging="216"/>
        <w:jc w:val="both"/>
        <w:rPr>
          <w:sz w:val="24"/>
        </w:rPr>
      </w:pPr>
      <w:r>
        <w:rPr>
          <w:i/>
        </w:rPr>
        <w:t>GMX 이벤트: 거래 성공 및 위험 프록시는 GMX EventEmitter에서 발생하는 GMX V2 PositionDecree 이벤트에서 파생됩니다.</w:t>
      </w:r>
    </w:p>
    <w:p>
      <w:pPr>
        <w:pStyle w:val="BodyText"/>
        <w:spacing w:before="153"/>
        <w:ind w:left="241"/>
        <w:jc w:val="center"/>
        <w:rPr>
          <w:rFonts w:ascii="Calibri"/>
        </w:rPr>
      </w:pPr>
      <w:r>
        <w:rPr>
          <w:rFonts w:ascii="Calibri"/>
          <w:spacing w:val="-2"/>
        </w:rPr>
        <w:t>0xC8ee91A54287DB53897056e12D9819156D3822Fb</w:t>
      </w:r>
    </w:p>
    <w:p>
      <w:pPr>
        <w:pStyle w:val="BodyText"/>
        <w:spacing w:after="0"/>
        <w:jc w:val="center"/>
        <w:rPr>
          <w:rFonts w:ascii="Calibri"/>
        </w:rPr>
        <w:sectPr>
          <w:pgSz w:w="11910" w:h="16840"/>
          <w:pgMar w:header="0" w:footer="2115" w:top="1840" w:bottom="2300" w:left="992" w:right="708"/>
        </w:sectPr>
      </w:pPr>
    </w:p>
    <w:p>
      <w:pPr>
        <w:pStyle w:val="BodyText"/>
        <w:spacing w:line="391" w:lineRule="auto" w:before="77"/>
        <w:ind w:left="808" w:right="555"/>
        <w:jc w:val="both"/>
      </w:pPr>
      <w:bookmarkStart w:name="Three-phase collection strategy" w:id="97"/>
      <w:bookmarkEnd w:id="97"/>
      <w:r>
        <w:rPr/>
      </w:r>
      <w:bookmarkStart w:name="_bookmark54" w:id="98"/>
      <w:bookmarkEnd w:id="98"/>
      <w:r>
        <w:rPr/>
      </w:r>
      <w:hyperlink w:history="true" w:anchor="_bookmark156">
        <w:r>
          <w:rPr>
            <w:position w:val="9"/>
            <w:sz w:val="16"/>
          </w:rPr>
          <w:t>[23]</w:t>
        </w:r>
      </w:hyperlink>
      <w:r>
        <w:rPr/>
        <w:t>.</w:t>
      </w:r>
      <w:r>
        <w:rPr>
          <w:spacing w:val="40"/>
        </w:rPr>
        <w:t> </w:t>
      </w:r>
      <w:r>
        <w:rPr/>
        <w:t>Traders are identified via the event </w:t>
      </w:r>
      <w:r>
        <w:rPr>
          <w:rFonts w:ascii="Calibri" w:hAnsi="Calibri"/>
        </w:rPr>
        <w:t>account </w:t>
      </w:r>
      <w:r>
        <w:rPr/>
        <w:t>field.</w:t>
      </w:r>
      <w:r>
        <w:rPr>
          <w:spacing w:val="40"/>
        </w:rPr>
        <w:t> </w:t>
      </w:r>
      <w:r>
        <w:rPr/>
        <w:t>Realized profit and loss use </w:t>
      </w:r>
      <w:r>
        <w:rPr>
          <w:rFonts w:ascii="Calibri" w:hAnsi="Calibri"/>
        </w:rPr>
        <w:t>basePn lUsd</w:t>
      </w:r>
      <w:r>
        <w:rPr/>
        <w:t>; position size changes use </w:t>
      </w:r>
      <w:r>
        <w:rPr>
          <w:rFonts w:ascii="Calibri" w:hAnsi="Calibri"/>
        </w:rPr>
        <w:t>sizeDeltaUsd </w:t>
      </w:r>
      <w:r>
        <w:rPr/>
        <w:t>when size-weighted robustness variants are computed;</w:t>
      </w:r>
      <w:r>
        <w:rPr>
          <w:spacing w:val="-2"/>
        </w:rPr>
        <w:t> </w:t>
      </w:r>
      <w:r>
        <w:rPr/>
        <w:t>liquidations</w:t>
      </w:r>
      <w:r>
        <w:rPr>
          <w:spacing w:val="-3"/>
        </w:rPr>
        <w:t> </w:t>
      </w:r>
      <w:r>
        <w:rPr/>
        <w:t>are</w:t>
      </w:r>
      <w:r>
        <w:rPr>
          <w:spacing w:val="-3"/>
        </w:rPr>
        <w:t> </w:t>
      </w:r>
      <w:r>
        <w:rPr/>
        <w:t>flagged</w:t>
      </w:r>
      <w:r>
        <w:rPr>
          <w:spacing w:val="-3"/>
        </w:rPr>
        <w:t> </w:t>
      </w:r>
      <w:r>
        <w:rPr/>
        <w:t>from</w:t>
      </w:r>
      <w:r>
        <w:rPr>
          <w:spacing w:val="-3"/>
        </w:rPr>
        <w:t> </w:t>
      </w:r>
      <w:r>
        <w:rPr/>
        <w:t>order-type</w:t>
      </w:r>
      <w:r>
        <w:rPr>
          <w:spacing w:val="-3"/>
        </w:rPr>
        <w:t> </w:t>
      </w:r>
      <w:r>
        <w:rPr/>
        <w:t>metadata</w:t>
      </w:r>
      <w:r>
        <w:rPr>
          <w:spacing w:val="-3"/>
        </w:rPr>
        <w:t> </w:t>
      </w:r>
      <w:r>
        <w:rPr/>
        <w:t>in</w:t>
      </w:r>
      <w:r>
        <w:rPr>
          <w:spacing w:val="-3"/>
        </w:rPr>
        <w:t> </w:t>
      </w:r>
      <w:r>
        <w:rPr/>
        <w:t>the</w:t>
      </w:r>
      <w:r>
        <w:rPr>
          <w:spacing w:val="-3"/>
        </w:rPr>
        <w:t> </w:t>
      </w:r>
      <w:r>
        <w:rPr/>
        <w:t>decoded</w:t>
      </w:r>
      <w:r>
        <w:rPr>
          <w:spacing w:val="-3"/>
        </w:rPr>
        <w:t> </w:t>
      </w:r>
      <w:r>
        <w:rPr/>
        <w:t>payload.</w:t>
      </w:r>
      <w:r>
        <w:rPr>
          <w:spacing w:val="21"/>
        </w:rPr>
        <w:t> </w:t>
      </w:r>
      <w:r>
        <w:rPr/>
        <w:t>GMX is</w:t>
      </w:r>
      <w:r>
        <w:rPr>
          <w:spacing w:val="-2"/>
        </w:rPr>
        <w:t> </w:t>
      </w:r>
      <w:r>
        <w:rPr/>
        <w:t>used</w:t>
      </w:r>
      <w:r>
        <w:rPr>
          <w:spacing w:val="-2"/>
        </w:rPr>
        <w:t> </w:t>
      </w:r>
      <w:r>
        <w:rPr/>
        <w:t>because</w:t>
      </w:r>
      <w:r>
        <w:rPr>
          <w:spacing w:val="-2"/>
        </w:rPr>
        <w:t> </w:t>
      </w:r>
      <w:r>
        <w:rPr/>
        <w:t>it</w:t>
      </w:r>
      <w:r>
        <w:rPr>
          <w:spacing w:val="-2"/>
        </w:rPr>
        <w:t> </w:t>
      </w:r>
      <w:r>
        <w:rPr/>
        <w:t>provides</w:t>
      </w:r>
      <w:r>
        <w:rPr>
          <w:spacing w:val="-2"/>
        </w:rPr>
        <w:t> </w:t>
      </w:r>
      <w:r>
        <w:rPr/>
        <w:t>dense,</w:t>
      </w:r>
      <w:r>
        <w:rPr>
          <w:spacing w:val="-1"/>
        </w:rPr>
        <w:t> </w:t>
      </w:r>
      <w:r>
        <w:rPr/>
        <w:t>wallet-level</w:t>
      </w:r>
      <w:r>
        <w:rPr>
          <w:spacing w:val="-2"/>
        </w:rPr>
        <w:t> </w:t>
      </w:r>
      <w:r>
        <w:rPr/>
        <w:t>realized</w:t>
      </w:r>
      <w:r>
        <w:rPr>
          <w:spacing w:val="-2"/>
        </w:rPr>
        <w:t> </w:t>
      </w:r>
      <w:r>
        <w:rPr/>
        <w:t>outcomes</w:t>
      </w:r>
      <w:r>
        <w:rPr>
          <w:spacing w:val="-2"/>
        </w:rPr>
        <w:t> </w:t>
      </w:r>
      <w:r>
        <w:rPr/>
        <w:t>on</w:t>
      </w:r>
      <w:r>
        <w:rPr>
          <w:spacing w:val="-2"/>
        </w:rPr>
        <w:t> </w:t>
      </w:r>
      <w:r>
        <w:rPr/>
        <w:t>collateralized</w:t>
      </w:r>
      <w:r>
        <w:rPr>
          <w:spacing w:val="-2"/>
        </w:rPr>
        <w:t> </w:t>
      </w:r>
      <w:r>
        <w:rPr/>
        <w:t>perpetual trading—a</w:t>
      </w:r>
      <w:r>
        <w:rPr>
          <w:spacing w:val="-13"/>
        </w:rPr>
        <w:t> </w:t>
      </w:r>
      <w:r>
        <w:rPr/>
        <w:t>domain-intuition</w:t>
      </w:r>
      <w:r>
        <w:rPr>
          <w:spacing w:val="-12"/>
        </w:rPr>
        <w:t> </w:t>
      </w:r>
      <w:r>
        <w:rPr/>
        <w:t>validation</w:t>
      </w:r>
      <w:r>
        <w:rPr>
          <w:spacing w:val="-12"/>
        </w:rPr>
        <w:t> </w:t>
      </w:r>
      <w:r>
        <w:rPr/>
        <w:t>frame</w:t>
      </w:r>
      <w:r>
        <w:rPr>
          <w:spacing w:val="-13"/>
        </w:rPr>
        <w:t> </w:t>
      </w:r>
      <w:r>
        <w:rPr/>
        <w:t>analogous</w:t>
      </w:r>
      <w:r>
        <w:rPr>
          <w:spacing w:val="-12"/>
        </w:rPr>
        <w:t> </w:t>
      </w:r>
      <w:r>
        <w:rPr/>
        <w:t>to</w:t>
      </w:r>
      <w:r>
        <w:rPr>
          <w:spacing w:val="-12"/>
        </w:rPr>
        <w:t> </w:t>
      </w:r>
      <w:r>
        <w:rPr/>
        <w:t>Do</w:t>
      </w:r>
      <w:r>
        <w:rPr>
          <w:spacing w:val="-13"/>
        </w:rPr>
        <w:t> </w:t>
      </w:r>
      <w:r>
        <w:rPr/>
        <w:t>et</w:t>
      </w:r>
      <w:r>
        <w:rPr>
          <w:spacing w:val="-12"/>
        </w:rPr>
        <w:t> </w:t>
      </w:r>
      <w:r>
        <w:rPr/>
        <w:t>al.’s</w:t>
      </w:r>
      <w:r>
        <w:rPr>
          <w:spacing w:val="-13"/>
        </w:rPr>
        <w:t> </w:t>
      </w:r>
      <w:r>
        <w:rPr/>
        <w:t>use</w:t>
      </w:r>
      <w:r>
        <w:rPr>
          <w:spacing w:val="-13"/>
        </w:rPr>
        <w:t> </w:t>
      </w:r>
      <w:r>
        <w:rPr/>
        <w:t>of</w:t>
      </w:r>
      <w:r>
        <w:rPr>
          <w:spacing w:val="-12"/>
        </w:rPr>
        <w:t> </w:t>
      </w:r>
      <w:r>
        <w:rPr/>
        <w:t>inbound</w:t>
      </w:r>
      <w:r>
        <w:rPr>
          <w:spacing w:val="-12"/>
        </w:rPr>
        <w:t> </w:t>
      </w:r>
      <w:r>
        <w:rPr/>
        <w:t>transfer activity,</w:t>
      </w:r>
      <w:r>
        <w:rPr>
          <w:spacing w:val="-2"/>
        </w:rPr>
        <w:t> </w:t>
      </w:r>
      <w:r>
        <w:rPr/>
        <w:t>but</w:t>
      </w:r>
      <w:r>
        <w:rPr>
          <w:spacing w:val="-2"/>
        </w:rPr>
        <w:t> </w:t>
      </w:r>
      <w:r>
        <w:rPr/>
        <w:t>targeted</w:t>
      </w:r>
      <w:r>
        <w:rPr>
          <w:spacing w:val="-3"/>
        </w:rPr>
        <w:t> </w:t>
      </w:r>
      <w:r>
        <w:rPr/>
        <w:t>at</w:t>
      </w:r>
      <w:r>
        <w:rPr>
          <w:spacing w:val="-3"/>
        </w:rPr>
        <w:t> </w:t>
      </w:r>
      <w:r>
        <w:rPr/>
        <w:t>trading</w:t>
      </w:r>
      <w:r>
        <w:rPr>
          <w:spacing w:val="-2"/>
        </w:rPr>
        <w:t> </w:t>
      </w:r>
      <w:r>
        <w:rPr/>
        <w:t>success</w:t>
      </w:r>
      <w:r>
        <w:rPr>
          <w:spacing w:val="-3"/>
        </w:rPr>
        <w:t> </w:t>
      </w:r>
      <w:r>
        <w:rPr/>
        <w:t>rather</w:t>
      </w:r>
      <w:r>
        <w:rPr>
          <w:spacing w:val="-3"/>
        </w:rPr>
        <w:t> </w:t>
      </w:r>
      <w:r>
        <w:rPr/>
        <w:t>than</w:t>
      </w:r>
      <w:r>
        <w:rPr>
          <w:spacing w:val="-2"/>
        </w:rPr>
        <w:t> </w:t>
      </w:r>
      <w:r>
        <w:rPr/>
        <w:t>passive</w:t>
      </w:r>
      <w:r>
        <w:rPr>
          <w:spacing w:val="-3"/>
        </w:rPr>
        <w:t> </w:t>
      </w:r>
      <w:r>
        <w:rPr/>
        <w:t>inflows</w:t>
      </w:r>
      <w:r>
        <w:rPr>
          <w:spacing w:val="-2"/>
        </w:rPr>
        <w:t> </w:t>
      </w:r>
      <w:hyperlink w:history="true" w:anchor="_bookmark149">
        <w:r>
          <w:rPr>
            <w:vertAlign w:val="superscript"/>
          </w:rPr>
          <w:t>[16]</w:t>
        </w:r>
      </w:hyperlink>
      <w:r>
        <w:rPr>
          <w:vertAlign w:val="superscript"/>
        </w:rPr>
        <w:t>,</w:t>
      </w:r>
      <w:hyperlink w:history="true" w:anchor="_bookmark186">
        <w:r>
          <w:rPr>
            <w:vertAlign w:val="superscript"/>
          </w:rPr>
          <w:t>[53]</w:t>
        </w:r>
      </w:hyperlink>
      <w:r>
        <w:rPr>
          <w:vertAlign w:val="baseline"/>
        </w:rPr>
        <w:t>.</w:t>
      </w:r>
      <w:r>
        <w:rPr>
          <w:spacing w:val="21"/>
          <w:vertAlign w:val="baseline"/>
        </w:rPr>
        <w:t> </w:t>
      </w:r>
      <w:r>
        <w:rPr>
          <w:vertAlign w:val="baseline"/>
        </w:rPr>
        <w:t>Lending-protocol default</w:t>
      </w:r>
      <w:r>
        <w:rPr>
          <w:spacing w:val="-5"/>
          <w:vertAlign w:val="baseline"/>
        </w:rPr>
        <w:t> </w:t>
      </w:r>
      <w:r>
        <w:rPr>
          <w:vertAlign w:val="baseline"/>
        </w:rPr>
        <w:t>labels</w:t>
      </w:r>
      <w:r>
        <w:rPr>
          <w:spacing w:val="-5"/>
          <w:vertAlign w:val="baseline"/>
        </w:rPr>
        <w:t> </w:t>
      </w:r>
      <w:r>
        <w:rPr>
          <w:vertAlign w:val="baseline"/>
        </w:rPr>
        <w:t>are</w:t>
      </w:r>
      <w:r>
        <w:rPr>
          <w:spacing w:val="-5"/>
          <w:vertAlign w:val="baseline"/>
        </w:rPr>
        <w:t> </w:t>
      </w:r>
      <w:r>
        <w:rPr>
          <w:vertAlign w:val="baseline"/>
        </w:rPr>
        <w:t>excluded</w:t>
      </w:r>
      <w:r>
        <w:rPr>
          <w:spacing w:val="-5"/>
          <w:vertAlign w:val="baseline"/>
        </w:rPr>
        <w:t> </w:t>
      </w:r>
      <w:r>
        <w:rPr>
          <w:vertAlign w:val="baseline"/>
        </w:rPr>
        <w:t>because</w:t>
      </w:r>
      <w:r>
        <w:rPr>
          <w:spacing w:val="-5"/>
          <w:vertAlign w:val="baseline"/>
        </w:rPr>
        <w:t> </w:t>
      </w:r>
      <w:r>
        <w:rPr>
          <w:vertAlign w:val="baseline"/>
        </w:rPr>
        <w:t>under-collateralized</w:t>
      </w:r>
      <w:r>
        <w:rPr>
          <w:spacing w:val="-5"/>
          <w:vertAlign w:val="baseline"/>
        </w:rPr>
        <w:t> </w:t>
      </w:r>
      <w:r>
        <w:rPr>
          <w:vertAlign w:val="baseline"/>
        </w:rPr>
        <w:t>lending</w:t>
      </w:r>
      <w:r>
        <w:rPr>
          <w:spacing w:val="-5"/>
          <w:vertAlign w:val="baseline"/>
        </w:rPr>
        <w:t> </w:t>
      </w:r>
      <w:r>
        <w:rPr>
          <w:vertAlign w:val="baseline"/>
        </w:rPr>
        <w:t>volume</w:t>
      </w:r>
      <w:r>
        <w:rPr>
          <w:spacing w:val="-5"/>
          <w:vertAlign w:val="baseline"/>
        </w:rPr>
        <w:t> </w:t>
      </w:r>
      <w:r>
        <w:rPr>
          <w:vertAlign w:val="baseline"/>
        </w:rPr>
        <w:t>on</w:t>
      </w:r>
      <w:r>
        <w:rPr>
          <w:spacing w:val="-5"/>
          <w:vertAlign w:val="baseline"/>
        </w:rPr>
        <w:t> </w:t>
      </w:r>
      <w:r>
        <w:rPr>
          <w:vertAlign w:val="baseline"/>
        </w:rPr>
        <w:t>Arbitrum</w:t>
      </w:r>
      <w:r>
        <w:rPr>
          <w:spacing w:val="-5"/>
          <w:vertAlign w:val="baseline"/>
        </w:rPr>
        <w:t> </w:t>
      </w:r>
      <w:r>
        <w:rPr>
          <w:vertAlign w:val="baseline"/>
        </w:rPr>
        <w:t>within scope is insufficient for stable wallet-level labels.</w:t>
      </w:r>
    </w:p>
    <w:p>
      <w:pPr>
        <w:pStyle w:val="BodyText"/>
        <w:spacing w:line="391" w:lineRule="auto" w:before="77"/>
        <w:ind w:left="808" w:right="555"/>
        <w:jc w:val="both"/>
      </w:pPr>
      <w:r>
        <w:rPr>
          <w:i/>
        </w:rPr>
        <w:t>[23]. 거래자는 이벤트 계정 필드를 통해 식별됩니다. 실현된 손익은 basePn lUsd를 사용하고, 위치 크기 변경은 크기 가중 견고성 변형이 계산될 때 sizeDeltaUsd를 사용하며, 청산은 디코딩된 페이로드의 주문 유형 메타데이터에서 플래그 지정됩니다. GMX는 담보 영구 거래에 대해 조밀하고 지갑 수준에서 실현된 결과를 제공하기 때문에 사용됩니다. 이는 Do 등의 인바운드 이체 활동 사용과 유사하지만 수동적 유입이 아닌 거래 성공을 목표로 하는 도메인 직관 검증 프레임입니다[16],[53]. 범위 내 Arbitrum의 과소담보 대출량이 안정적인 지갑 수준 라벨에 충분하지 않기 때문에 대출 프로토콜 기본 라벨은 제외됩니다.</w:t>
      </w:r>
    </w:p>
    <w:p>
      <w:pPr>
        <w:pStyle w:val="ListParagraph"/>
        <w:numPr>
          <w:ilvl w:val="0"/>
          <w:numId w:val="16"/>
        </w:numPr>
        <w:tabs>
          <w:tab w:pos="799" w:val="left" w:leader="none"/>
          <w:tab w:pos="806" w:val="left" w:leader="none"/>
        </w:tabs>
        <w:spacing w:line="391" w:lineRule="auto" w:before="39" w:after="0"/>
        <w:ind w:left="799" w:right="524" w:hanging="207"/>
        <w:jc w:val="both"/>
        <w:rPr>
          <w:sz w:val="24"/>
        </w:rPr>
      </w:pPr>
      <w:r>
        <w:rPr>
          <w:b/>
          <w:sz w:val="24"/>
        </w:rPr>
        <w:t>Matched</w:t>
      </w:r>
      <w:r>
        <w:rPr>
          <w:b/>
          <w:sz w:val="24"/>
        </w:rPr>
        <w:t> cohort definition: </w:t>
      </w:r>
      <w:r>
        <w:rPr>
          <w:sz w:val="24"/>
        </w:rPr>
        <w:t>The primary alignment sample is the intersection of (i) wallets with</w:t>
      </w:r>
      <w:r>
        <w:rPr>
          <w:spacing w:val="-14"/>
          <w:sz w:val="24"/>
        </w:rPr>
        <w:t> </w:t>
      </w:r>
      <w:r>
        <w:rPr>
          <w:sz w:val="24"/>
        </w:rPr>
        <w:t>at</w:t>
      </w:r>
      <w:r>
        <w:rPr>
          <w:spacing w:val="-12"/>
          <w:sz w:val="24"/>
        </w:rPr>
        <w:t> </w:t>
      </w:r>
      <w:r>
        <w:rPr>
          <w:sz w:val="24"/>
        </w:rPr>
        <w:t>least</w:t>
      </w:r>
      <w:r>
        <w:rPr>
          <w:spacing w:val="-11"/>
          <w:sz w:val="24"/>
        </w:rPr>
        <w:t> </w:t>
      </w:r>
      <w:r>
        <w:rPr>
          <w:sz w:val="24"/>
        </w:rPr>
        <w:t>three</w:t>
      </w:r>
      <w:r>
        <w:rPr>
          <w:spacing w:val="-11"/>
          <w:sz w:val="24"/>
        </w:rPr>
        <w:t> </w:t>
      </w:r>
      <w:r>
        <w:rPr>
          <w:sz w:val="24"/>
        </w:rPr>
        <w:t>GMX</w:t>
      </w:r>
      <w:r>
        <w:rPr>
          <w:spacing w:val="-12"/>
          <w:sz w:val="24"/>
        </w:rPr>
        <w:t> </w:t>
      </w:r>
      <w:r>
        <w:rPr>
          <w:rFonts w:ascii="Calibri" w:hAnsi="Calibri"/>
          <w:w w:val="125"/>
          <w:sz w:val="24"/>
        </w:rPr>
        <w:t>PositionDecrease</w:t>
      </w:r>
      <w:r>
        <w:rPr>
          <w:rFonts w:ascii="Calibri" w:hAnsi="Calibri"/>
          <w:spacing w:val="-17"/>
          <w:w w:val="125"/>
          <w:sz w:val="24"/>
        </w:rPr>
        <w:t> </w:t>
      </w:r>
      <w:r>
        <w:rPr>
          <w:sz w:val="24"/>
        </w:rPr>
        <w:t>closes</w:t>
      </w:r>
      <w:r>
        <w:rPr>
          <w:spacing w:val="-12"/>
          <w:sz w:val="24"/>
        </w:rPr>
        <w:t> </w:t>
      </w:r>
      <w:r>
        <w:rPr>
          <w:sz w:val="24"/>
        </w:rPr>
        <w:t>in</w:t>
      </w:r>
      <w:r>
        <w:rPr>
          <w:spacing w:val="-11"/>
          <w:sz w:val="24"/>
        </w:rPr>
        <w:t> </w:t>
      </w:r>
      <w:r>
        <w:rPr>
          <w:sz w:val="24"/>
        </w:rPr>
        <w:t>the</w:t>
      </w:r>
      <w:r>
        <w:rPr>
          <w:spacing w:val="-12"/>
          <w:sz w:val="24"/>
        </w:rPr>
        <w:t> </w:t>
      </w:r>
      <w:r>
        <w:rPr>
          <w:sz w:val="24"/>
        </w:rPr>
        <w:t>observation</w:t>
      </w:r>
      <w:r>
        <w:rPr>
          <w:spacing w:val="-11"/>
          <w:sz w:val="24"/>
        </w:rPr>
        <w:t> </w:t>
      </w:r>
      <w:r>
        <w:rPr>
          <w:sz w:val="24"/>
        </w:rPr>
        <w:t>window</w:t>
      </w:r>
      <w:r>
        <w:rPr>
          <w:spacing w:val="-12"/>
          <w:sz w:val="24"/>
        </w:rPr>
        <w:t> </w:t>
      </w:r>
      <w:r>
        <w:rPr>
          <w:sz w:val="24"/>
        </w:rPr>
        <w:t>and</w:t>
      </w:r>
      <w:r>
        <w:rPr>
          <w:spacing w:val="-11"/>
          <w:sz w:val="24"/>
        </w:rPr>
        <w:t> </w:t>
      </w:r>
      <w:r>
        <w:rPr>
          <w:sz w:val="24"/>
        </w:rPr>
        <w:t>(ii)</w:t>
      </w:r>
      <w:r>
        <w:rPr>
          <w:spacing w:val="-12"/>
          <w:sz w:val="24"/>
        </w:rPr>
        <w:t> </w:t>
      </w:r>
      <w:r>
        <w:rPr>
          <w:sz w:val="24"/>
        </w:rPr>
        <w:t>wal-lets with non-zero connectivity in the reputation subgraph induced by approval or transfer edges.</w:t>
      </w:r>
      <w:r>
        <w:rPr>
          <w:spacing w:val="40"/>
          <w:sz w:val="24"/>
        </w:rPr>
        <w:t> </w:t>
      </w:r>
      <w:r>
        <w:rPr>
          <w:sz w:val="24"/>
        </w:rPr>
        <w:t>The minimum-close threshold </w:t>
      </w:r>
      <w:r>
        <w:rPr>
          <w:rFonts w:ascii="Calibri" w:hAnsi="Calibri"/>
          <w:i/>
          <w:sz w:val="24"/>
        </w:rPr>
        <w:t>m</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3 </w:t>
      </w:r>
      <w:r>
        <w:rPr>
          <w:sz w:val="24"/>
        </w:rPr>
        <w:t>excludes one-off traders whose success rates are</w:t>
      </w:r>
      <w:r>
        <w:rPr>
          <w:spacing w:val="-7"/>
          <w:sz w:val="24"/>
        </w:rPr>
        <w:t> </w:t>
      </w:r>
      <w:r>
        <w:rPr>
          <w:sz w:val="24"/>
        </w:rPr>
        <w:t>dominated</w:t>
      </w:r>
      <w:r>
        <w:rPr>
          <w:spacing w:val="-7"/>
          <w:sz w:val="24"/>
        </w:rPr>
        <w:t> </w:t>
      </w:r>
      <w:r>
        <w:rPr>
          <w:sz w:val="24"/>
        </w:rPr>
        <w:t>by</w:t>
      </w:r>
      <w:r>
        <w:rPr>
          <w:spacing w:val="-7"/>
          <w:sz w:val="24"/>
        </w:rPr>
        <w:t> </w:t>
      </w:r>
      <w:r>
        <w:rPr>
          <w:sz w:val="24"/>
        </w:rPr>
        <w:t>sampling</w:t>
      </w:r>
      <w:r>
        <w:rPr>
          <w:spacing w:val="-7"/>
          <w:sz w:val="24"/>
        </w:rPr>
        <w:t> </w:t>
      </w:r>
      <w:r>
        <w:rPr>
          <w:sz w:val="24"/>
        </w:rPr>
        <w:t>noise,</w:t>
      </w:r>
      <w:r>
        <w:rPr>
          <w:spacing w:val="-6"/>
          <w:sz w:val="24"/>
        </w:rPr>
        <w:t> </w:t>
      </w:r>
      <w:r>
        <w:rPr>
          <w:sz w:val="24"/>
        </w:rPr>
        <w:t>while</w:t>
      </w:r>
      <w:r>
        <w:rPr>
          <w:spacing w:val="-7"/>
          <w:sz w:val="24"/>
        </w:rPr>
        <w:t> </w:t>
      </w:r>
      <w:r>
        <w:rPr>
          <w:sz w:val="24"/>
        </w:rPr>
        <w:t>remaining</w:t>
      </w:r>
      <w:r>
        <w:rPr>
          <w:spacing w:val="-7"/>
          <w:sz w:val="24"/>
        </w:rPr>
        <w:t> </w:t>
      </w:r>
      <w:r>
        <w:rPr>
          <w:sz w:val="24"/>
        </w:rPr>
        <w:t>inclusive</w:t>
      </w:r>
      <w:r>
        <w:rPr>
          <w:spacing w:val="-7"/>
          <w:sz w:val="24"/>
        </w:rPr>
        <w:t> </w:t>
      </w:r>
      <w:r>
        <w:rPr>
          <w:sz w:val="24"/>
        </w:rPr>
        <w:t>of</w:t>
      </w:r>
      <w:r>
        <w:rPr>
          <w:spacing w:val="-7"/>
          <w:sz w:val="24"/>
        </w:rPr>
        <w:t> </w:t>
      </w:r>
      <w:r>
        <w:rPr>
          <w:sz w:val="24"/>
        </w:rPr>
        <w:t>active</w:t>
      </w:r>
      <w:r>
        <w:rPr>
          <w:spacing w:val="-7"/>
          <w:sz w:val="24"/>
        </w:rPr>
        <w:t> </w:t>
      </w:r>
      <w:r>
        <w:rPr>
          <w:sz w:val="24"/>
        </w:rPr>
        <w:t>retail</w:t>
      </w:r>
      <w:r>
        <w:rPr>
          <w:spacing w:val="-7"/>
          <w:sz w:val="24"/>
        </w:rPr>
        <w:t> </w:t>
      </w:r>
      <w:r>
        <w:rPr>
          <w:sz w:val="24"/>
        </w:rPr>
        <w:t>participants.</w:t>
      </w:r>
      <w:r>
        <w:rPr>
          <w:spacing w:val="15"/>
          <w:sz w:val="24"/>
        </w:rPr>
        <w:t> </w:t>
      </w:r>
      <w:r>
        <w:rPr>
          <w:sz w:val="24"/>
        </w:rPr>
        <w:t>The connectivity</w:t>
      </w:r>
      <w:r>
        <w:rPr>
          <w:spacing w:val="-15"/>
          <w:sz w:val="24"/>
        </w:rPr>
        <w:t> </w:t>
      </w:r>
      <w:r>
        <w:rPr>
          <w:sz w:val="24"/>
        </w:rPr>
        <w:t>requirement</w:t>
      </w:r>
      <w:r>
        <w:rPr>
          <w:spacing w:val="-15"/>
          <w:sz w:val="24"/>
        </w:rPr>
        <w:t> </w:t>
      </w:r>
      <w:r>
        <w:rPr>
          <w:sz w:val="24"/>
        </w:rPr>
        <w:t>excludes</w:t>
      </w:r>
      <w:r>
        <w:rPr>
          <w:spacing w:val="-15"/>
          <w:sz w:val="24"/>
        </w:rPr>
        <w:t> </w:t>
      </w:r>
      <w:r>
        <w:rPr>
          <w:sz w:val="24"/>
        </w:rPr>
        <w:t>wallets</w:t>
      </w:r>
      <w:r>
        <w:rPr>
          <w:spacing w:val="-15"/>
          <w:sz w:val="24"/>
        </w:rPr>
        <w:t> </w:t>
      </w:r>
      <w:r>
        <w:rPr>
          <w:sz w:val="24"/>
        </w:rPr>
        <w:t>that</w:t>
      </w:r>
      <w:r>
        <w:rPr>
          <w:spacing w:val="-15"/>
          <w:sz w:val="24"/>
        </w:rPr>
        <w:t> </w:t>
      </w:r>
      <w:r>
        <w:rPr>
          <w:sz w:val="24"/>
        </w:rPr>
        <w:t>appear</w:t>
      </w:r>
      <w:r>
        <w:rPr>
          <w:spacing w:val="-15"/>
          <w:sz w:val="24"/>
        </w:rPr>
        <w:t> </w:t>
      </w:r>
      <w:r>
        <w:rPr>
          <w:sz w:val="24"/>
        </w:rPr>
        <w:t>in</w:t>
      </w:r>
      <w:r>
        <w:rPr>
          <w:spacing w:val="-15"/>
          <w:sz w:val="24"/>
        </w:rPr>
        <w:t> </w:t>
      </w:r>
      <w:r>
        <w:rPr>
          <w:sz w:val="24"/>
        </w:rPr>
        <w:t>GMX</w:t>
      </w:r>
      <w:r>
        <w:rPr>
          <w:spacing w:val="-15"/>
          <w:sz w:val="24"/>
        </w:rPr>
        <w:t> </w:t>
      </w:r>
      <w:r>
        <w:rPr>
          <w:sz w:val="24"/>
        </w:rPr>
        <w:t>events</w:t>
      </w:r>
      <w:r>
        <w:rPr>
          <w:spacing w:val="-15"/>
          <w:sz w:val="24"/>
        </w:rPr>
        <w:t> </w:t>
      </w:r>
      <w:r>
        <w:rPr>
          <w:sz w:val="24"/>
        </w:rPr>
        <w:t>but</w:t>
      </w:r>
      <w:r>
        <w:rPr>
          <w:spacing w:val="-15"/>
          <w:sz w:val="24"/>
        </w:rPr>
        <w:t> </w:t>
      </w:r>
      <w:r>
        <w:rPr>
          <w:sz w:val="24"/>
        </w:rPr>
        <w:t>have</w:t>
      </w:r>
      <w:r>
        <w:rPr>
          <w:spacing w:val="-15"/>
          <w:sz w:val="24"/>
        </w:rPr>
        <w:t> </w:t>
      </w:r>
      <w:r>
        <w:rPr>
          <w:sz w:val="24"/>
        </w:rPr>
        <w:t>no</w:t>
      </w:r>
      <w:r>
        <w:rPr>
          <w:spacing w:val="-15"/>
          <w:sz w:val="24"/>
        </w:rPr>
        <w:t> </w:t>
      </w:r>
      <w:r>
        <w:rPr>
          <w:sz w:val="24"/>
        </w:rPr>
        <w:t>approval</w:t>
      </w:r>
      <w:r>
        <w:rPr>
          <w:spacing w:val="-15"/>
          <w:sz w:val="24"/>
        </w:rPr>
        <w:t> </w:t>
      </w:r>
      <w:r>
        <w:rPr>
          <w:sz w:val="24"/>
        </w:rPr>
        <w:t>or </w:t>
      </w:r>
      <w:r>
        <w:rPr>
          <w:spacing w:val="-2"/>
          <w:sz w:val="24"/>
        </w:rPr>
        <w:t>transfer</w:t>
      </w:r>
      <w:r>
        <w:rPr>
          <w:spacing w:val="-8"/>
          <w:sz w:val="24"/>
        </w:rPr>
        <w:t> </w:t>
      </w:r>
      <w:r>
        <w:rPr>
          <w:spacing w:val="-2"/>
          <w:sz w:val="24"/>
        </w:rPr>
        <w:t>edges</w:t>
      </w:r>
      <w:r>
        <w:rPr>
          <w:spacing w:val="-8"/>
          <w:sz w:val="24"/>
        </w:rPr>
        <w:t> </w:t>
      </w:r>
      <w:r>
        <w:rPr>
          <w:spacing w:val="-2"/>
          <w:sz w:val="24"/>
        </w:rPr>
        <w:t>touching</w:t>
      </w:r>
      <w:r>
        <w:rPr>
          <w:spacing w:val="-8"/>
          <w:sz w:val="24"/>
        </w:rPr>
        <w:t> </w:t>
      </w:r>
      <w:r>
        <w:rPr>
          <w:spacing w:val="-2"/>
          <w:sz w:val="24"/>
        </w:rPr>
        <w:t>the</w:t>
      </w:r>
      <w:r>
        <w:rPr>
          <w:spacing w:val="-8"/>
          <w:sz w:val="24"/>
        </w:rPr>
        <w:t> </w:t>
      </w:r>
      <w:r>
        <w:rPr>
          <w:spacing w:val="-2"/>
          <w:sz w:val="24"/>
        </w:rPr>
        <w:t>reputation</w:t>
      </w:r>
      <w:r>
        <w:rPr>
          <w:spacing w:val="-8"/>
          <w:sz w:val="24"/>
        </w:rPr>
        <w:t> </w:t>
      </w:r>
      <w:r>
        <w:rPr>
          <w:spacing w:val="-2"/>
          <w:sz w:val="24"/>
        </w:rPr>
        <w:t>extract,</w:t>
      </w:r>
      <w:r>
        <w:rPr>
          <w:spacing w:val="-5"/>
          <w:sz w:val="24"/>
        </w:rPr>
        <w:t> </w:t>
      </w:r>
      <w:r>
        <w:rPr>
          <w:spacing w:val="-2"/>
          <w:sz w:val="24"/>
        </w:rPr>
        <w:t>for</w:t>
      </w:r>
      <w:r>
        <w:rPr>
          <w:spacing w:val="-8"/>
          <w:sz w:val="24"/>
        </w:rPr>
        <w:t> </w:t>
      </w:r>
      <w:r>
        <w:rPr>
          <w:spacing w:val="-2"/>
          <w:sz w:val="24"/>
        </w:rPr>
        <w:t>whom</w:t>
      </w:r>
      <w:r>
        <w:rPr>
          <w:spacing w:val="-8"/>
          <w:sz w:val="24"/>
        </w:rPr>
        <w:t> </w:t>
      </w:r>
      <w:r>
        <w:rPr>
          <w:spacing w:val="-2"/>
          <w:sz w:val="24"/>
        </w:rPr>
        <w:t>social</w:t>
      </w:r>
      <w:r>
        <w:rPr>
          <w:spacing w:val="-8"/>
          <w:sz w:val="24"/>
        </w:rPr>
        <w:t> </w:t>
      </w:r>
      <w:r>
        <w:rPr>
          <w:spacing w:val="-2"/>
          <w:sz w:val="24"/>
        </w:rPr>
        <w:t>PageRank</w:t>
      </w:r>
      <w:r>
        <w:rPr>
          <w:spacing w:val="-8"/>
          <w:sz w:val="24"/>
        </w:rPr>
        <w:t> </w:t>
      </w:r>
      <w:r>
        <w:rPr>
          <w:spacing w:val="-2"/>
          <w:sz w:val="24"/>
        </w:rPr>
        <w:t>scores</w:t>
      </w:r>
      <w:r>
        <w:rPr>
          <w:spacing w:val="-8"/>
          <w:sz w:val="24"/>
        </w:rPr>
        <w:t> </w:t>
      </w:r>
      <w:r>
        <w:rPr>
          <w:spacing w:val="-2"/>
          <w:sz w:val="24"/>
        </w:rPr>
        <w:t>would</w:t>
      </w:r>
      <w:r>
        <w:rPr>
          <w:spacing w:val="-8"/>
          <w:sz w:val="24"/>
        </w:rPr>
        <w:t> </w:t>
      </w:r>
      <w:r>
        <w:rPr>
          <w:spacing w:val="-2"/>
          <w:sz w:val="24"/>
        </w:rPr>
        <w:t>be</w:t>
      </w:r>
      <w:r>
        <w:rPr>
          <w:spacing w:val="-8"/>
          <w:sz w:val="24"/>
        </w:rPr>
        <w:t> </w:t>
      </w:r>
      <w:r>
        <w:rPr>
          <w:spacing w:val="-2"/>
          <w:sz w:val="24"/>
        </w:rPr>
        <w:t>uni-</w:t>
      </w:r>
      <w:r>
        <w:rPr>
          <w:sz w:val="24"/>
        </w:rPr>
        <w:t>formly zero and uninformative.</w:t>
      </w:r>
      <w:r>
        <w:rPr>
          <w:spacing w:val="40"/>
          <w:sz w:val="24"/>
        </w:rPr>
        <w:t> </w:t>
      </w:r>
      <w:r>
        <w:rPr>
          <w:sz w:val="24"/>
        </w:rPr>
        <w:t>After BigQuery extraction and preprocessing, this matched wallet cohort has size </w:t>
      </w:r>
      <w:r>
        <w:rPr>
          <w:rFonts w:ascii="Calibri" w:hAnsi="Calibri"/>
          <w:i/>
          <w:sz w:val="24"/>
        </w:rPr>
        <w:t>n </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w:t>
      </w:r>
      <w:r>
        <w:rPr>
          <w:sz w:val="24"/>
        </w:rPr>
        <w:t>.</w:t>
      </w:r>
      <w:r>
        <w:rPr>
          <w:spacing w:val="30"/>
          <w:sz w:val="24"/>
        </w:rPr>
        <w:t> </w:t>
      </w:r>
      <w:r>
        <w:rPr>
          <w:sz w:val="24"/>
        </w:rPr>
        <w:t>Both EndorseRank and AWP are scored on the same seed set so that differences in alignment and runtime are attributable to ranking logic and graph structure, not to inconsistent sampling.</w:t>
      </w:r>
    </w:p>
    <w:p>
      <w:pPr>
        <w:pStyle w:val="ListParagraph"/>
        <w:numPr>
          <w:ilvl w:val="0"/>
          <w:numId w:val="16"/>
        </w:numPr>
        <w:tabs>
          <w:tab w:pos="799" w:val="left" w:leader="none"/>
          <w:tab w:pos="806" w:val="left" w:leader="none"/>
        </w:tabs>
        <w:spacing w:line="391" w:lineRule="auto" w:before="39" w:after="0"/>
        <w:ind w:left="799" w:right="524" w:hanging="207"/>
        <w:jc w:val="both"/>
        <w:rPr>
          <w:sz w:val="24"/>
        </w:rPr>
      </w:pPr>
      <w:r>
        <w:rPr>
          <w:i/>
        </w:rPr>
        <w:t>일치하는 코호트 정의: 기본 정렬 샘플은 (i) 관찰 창에서 3개 이상의 GMX PositionDecrease 마감이 있는 지갑과 (ii) 승인 또는 전송 에지에 의해 유도된 평판 하위 그래프에서 연결성이 0이 아닌 지갑의 교차점입니다. 최소 마감 임계값 m = 3은 성공률이 샘플링 노이즈에 의해 지배되는 일회성 거래자를 제외하는 동시에 활성 소매 참가자를 포함합니다. 연결 요구 사항에서는 GMX 이벤트에 나타나지만 승인이 없거나 평판 추출과 관련된 전송 가장자리가 없는 지갑은 제외됩니다. 이러한 지갑의 소셜 PageRank 점수는 균일하게 0이고 정보가 없습니다. BigQuery 추출 및 전처리 후 이 일치하는 지갑 코호트의 크기는 n = 5,521입니다. EndorseRank 및 AWP 모두 동일한 시드 세트에서 점수가 매겨지므로 정렬 및 실행 시간의 차이는 일관성 없는 샘플링이 아닌 순위 논리 및 그래프 구조에 기인합니다.</w:t>
      </w:r>
    </w:p>
    <w:p>
      <w:pPr>
        <w:pStyle w:val="ListParagraph"/>
        <w:numPr>
          <w:ilvl w:val="0"/>
          <w:numId w:val="16"/>
        </w:numPr>
        <w:tabs>
          <w:tab w:pos="794" w:val="left" w:leader="none"/>
          <w:tab w:pos="808" w:val="left" w:leader="none"/>
        </w:tabs>
        <w:spacing w:line="396" w:lineRule="auto" w:before="26" w:after="0"/>
        <w:ind w:left="808" w:right="523" w:hanging="216"/>
        <w:jc w:val="both"/>
        <w:rPr>
          <w:sz w:val="24"/>
        </w:rPr>
      </w:pPr>
      <w:r>
        <w:rPr>
          <w:b/>
          <w:sz w:val="24"/>
        </w:rPr>
        <w:t>What is not in scope:</w:t>
      </w:r>
      <w:r>
        <w:rPr>
          <w:b/>
          <w:spacing w:val="40"/>
          <w:sz w:val="24"/>
        </w:rPr>
        <w:t> </w:t>
      </w:r>
      <w:r>
        <w:rPr>
          <w:sz w:val="24"/>
        </w:rPr>
        <w:t>The study does not ingest mempool data, off-chain order books, centralized-exchange account maps, or cross-chain bridges.</w:t>
      </w:r>
      <w:r>
        <w:rPr>
          <w:spacing w:val="40"/>
          <w:sz w:val="24"/>
        </w:rPr>
        <w:t> </w:t>
      </w:r>
      <w:r>
        <w:rPr>
          <w:sz w:val="24"/>
        </w:rPr>
        <w:t>It does not attempt entity res-olution across multiple addresses controlled by one actor.</w:t>
      </w:r>
      <w:r>
        <w:rPr>
          <w:spacing w:val="40"/>
          <w:sz w:val="24"/>
        </w:rPr>
        <w:t> </w:t>
      </w:r>
      <w:r>
        <w:rPr>
          <w:sz w:val="24"/>
        </w:rPr>
        <w:t>It does not use proprietary GMX indexer</w:t>
      </w:r>
      <w:r>
        <w:rPr>
          <w:spacing w:val="-13"/>
          <w:sz w:val="24"/>
        </w:rPr>
        <w:t> </w:t>
      </w:r>
      <w:r>
        <w:rPr>
          <w:sz w:val="24"/>
        </w:rPr>
        <w:t>APIs</w:t>
      </w:r>
      <w:r>
        <w:rPr>
          <w:spacing w:val="-13"/>
          <w:sz w:val="24"/>
        </w:rPr>
        <w:t> </w:t>
      </w:r>
      <w:r>
        <w:rPr>
          <w:sz w:val="24"/>
        </w:rPr>
        <w:t>as</w:t>
      </w:r>
      <w:r>
        <w:rPr>
          <w:spacing w:val="-13"/>
          <w:sz w:val="24"/>
        </w:rPr>
        <w:t> </w:t>
      </w:r>
      <w:r>
        <w:rPr>
          <w:sz w:val="24"/>
        </w:rPr>
        <w:t>the</w:t>
      </w:r>
      <w:r>
        <w:rPr>
          <w:spacing w:val="-13"/>
          <w:sz w:val="24"/>
        </w:rPr>
        <w:t> </w:t>
      </w:r>
      <w:r>
        <w:rPr>
          <w:sz w:val="24"/>
        </w:rPr>
        <w:t>primary</w:t>
      </w:r>
      <w:r>
        <w:rPr>
          <w:spacing w:val="-13"/>
          <w:sz w:val="24"/>
        </w:rPr>
        <w:t> </w:t>
      </w:r>
      <w:r>
        <w:rPr>
          <w:sz w:val="24"/>
        </w:rPr>
        <w:t>source</w:t>
      </w:r>
      <w:r>
        <w:rPr>
          <w:spacing w:val="-13"/>
          <w:sz w:val="24"/>
        </w:rPr>
        <w:t> </w:t>
      </w:r>
      <w:r>
        <w:rPr>
          <w:sz w:val="24"/>
        </w:rPr>
        <w:t>of</w:t>
      </w:r>
      <w:r>
        <w:rPr>
          <w:spacing w:val="-13"/>
          <w:sz w:val="24"/>
        </w:rPr>
        <w:t> </w:t>
      </w:r>
      <w:r>
        <w:rPr>
          <w:sz w:val="24"/>
        </w:rPr>
        <w:t>truth;</w:t>
      </w:r>
      <w:r>
        <w:rPr>
          <w:spacing w:val="-9"/>
          <w:sz w:val="24"/>
        </w:rPr>
        <w:t> </w:t>
      </w:r>
      <w:r>
        <w:rPr>
          <w:sz w:val="24"/>
        </w:rPr>
        <w:t>the</w:t>
      </w:r>
      <w:r>
        <w:rPr>
          <w:spacing w:val="-13"/>
          <w:sz w:val="24"/>
        </w:rPr>
        <w:t> </w:t>
      </w:r>
      <w:r>
        <w:rPr>
          <w:sz w:val="24"/>
        </w:rPr>
        <w:t>public</w:t>
      </w:r>
      <w:r>
        <w:rPr>
          <w:spacing w:val="-13"/>
          <w:sz w:val="24"/>
        </w:rPr>
        <w:t> </w:t>
      </w:r>
      <w:r>
        <w:rPr>
          <w:sz w:val="24"/>
        </w:rPr>
        <w:t>log</w:t>
      </w:r>
      <w:r>
        <w:rPr>
          <w:spacing w:val="-13"/>
          <w:sz w:val="24"/>
        </w:rPr>
        <w:t> </w:t>
      </w:r>
      <w:r>
        <w:rPr>
          <w:sz w:val="24"/>
        </w:rPr>
        <w:t>table</w:t>
      </w:r>
      <w:r>
        <w:rPr>
          <w:spacing w:val="-13"/>
          <w:sz w:val="24"/>
        </w:rPr>
        <w:t> </w:t>
      </w:r>
      <w:r>
        <w:rPr>
          <w:sz w:val="24"/>
        </w:rPr>
        <w:t>is</w:t>
      </w:r>
      <w:r>
        <w:rPr>
          <w:spacing w:val="-13"/>
          <w:sz w:val="24"/>
        </w:rPr>
        <w:t> </w:t>
      </w:r>
      <w:r>
        <w:rPr>
          <w:sz w:val="24"/>
        </w:rPr>
        <w:t>authoritative,</w:t>
      </w:r>
      <w:r>
        <w:rPr>
          <w:spacing w:val="-11"/>
          <w:sz w:val="24"/>
        </w:rPr>
        <w:t> </w:t>
      </w:r>
      <w:r>
        <w:rPr>
          <w:sz w:val="24"/>
        </w:rPr>
        <w:t>and</w:t>
      </w:r>
      <w:r>
        <w:rPr>
          <w:spacing w:val="-13"/>
          <w:sz w:val="24"/>
        </w:rPr>
        <w:t> </w:t>
      </w:r>
      <w:r>
        <w:rPr>
          <w:sz w:val="24"/>
        </w:rPr>
        <w:t>decoding is performed in the open pipeline.</w:t>
      </w:r>
    </w:p>
    <w:p>
      <w:pPr>
        <w:pStyle w:val="ListParagraph"/>
        <w:numPr>
          <w:ilvl w:val="0"/>
          <w:numId w:val="16"/>
        </w:numPr>
        <w:tabs>
          <w:tab w:pos="794" w:val="left" w:leader="none"/>
          <w:tab w:pos="808" w:val="left" w:leader="none"/>
        </w:tabs>
        <w:spacing w:line="396" w:lineRule="auto" w:before="26" w:after="0"/>
        <w:ind w:left="808" w:right="523" w:hanging="216"/>
        <w:jc w:val="both"/>
        <w:rPr>
          <w:sz w:val="24"/>
        </w:rPr>
      </w:pPr>
      <w:r>
        <w:rPr>
          <w:i/>
        </w:rPr>
        <w:t>범위에 포함되지 않는 것: 이 연구는 멤풀 데이터, 오프체인 주문장, 중앙화된 거래소 계정 맵 또는 크로스체인 브리지를 수집하지 않습니다. 한 행위자가 제어하는 ​​여러 주소에 걸쳐 엔터티 해결을 시도하지 않습니다. 독점 GMX 인덱서 API를 기본 진실 소스로 사용하지 않습니다. 공개 로그 테이블은 신뢰할 수 있으며 오픈 파이프라인에서 디코딩이 수행됩니다.</w:t>
      </w:r>
    </w:p>
    <w:p>
      <w:pPr>
        <w:pStyle w:val="ListParagraph"/>
        <w:spacing w:after="0" w:line="396" w:lineRule="auto"/>
        <w:jc w:val="both"/>
        <w:rPr>
          <w:sz w:val="24"/>
        </w:rPr>
        <w:sectPr>
          <w:pgSz w:w="11910" w:h="16840"/>
          <w:pgMar w:header="0" w:footer="2115" w:top="1820" w:bottom="2300" w:left="992" w:right="708"/>
        </w:sectPr>
      </w:pPr>
    </w:p>
    <w:p>
      <w:pPr>
        <w:pStyle w:val="Heading2"/>
        <w:numPr>
          <w:ilvl w:val="1"/>
          <w:numId w:val="8"/>
        </w:numPr>
        <w:tabs>
          <w:tab w:pos="783" w:val="left" w:leader="none"/>
        </w:tabs>
        <w:spacing w:line="240" w:lineRule="auto" w:before="112" w:after="0"/>
        <w:ind w:left="783" w:right="0" w:hanging="501"/>
        <w:jc w:val="left"/>
      </w:pPr>
      <w:r>
        <w:rPr/>
        <w:t>Three-phase</w:t>
      </w:r>
      <w:r>
        <w:rPr>
          <w:spacing w:val="19"/>
        </w:rPr>
        <w:t> </w:t>
      </w:r>
      <w:r>
        <w:rPr/>
        <w:t>collection</w:t>
      </w:r>
      <w:r>
        <w:rPr>
          <w:spacing w:val="20"/>
        </w:rPr>
        <w:t> </w:t>
      </w:r>
      <w:r>
        <w:rPr>
          <w:spacing w:val="-2"/>
        </w:rPr>
        <w:t>strategy</w:t>
      </w:r>
    </w:p>
    <w:p>
      <w:pPr>
        <w:pStyle w:val="Heading2"/>
        <w:numPr>
          <w:ilvl w:val="1"/>
          <w:numId w:val="8"/>
        </w:numPr>
        <w:tabs>
          <w:tab w:pos="783" w:val="left" w:leader="none"/>
        </w:tabs>
        <w:spacing w:line="240" w:lineRule="auto" w:before="112" w:after="0"/>
        <w:ind w:left="783" w:right="0" w:hanging="501"/>
        <w:jc w:val="left"/>
      </w:pPr>
      <w:r>
        <w:rPr>
          <w:i/>
        </w:rPr>
        <w:t>3단계 수집 전략</w:t>
      </w:r>
    </w:p>
    <w:p>
      <w:pPr>
        <w:pStyle w:val="BodyText"/>
        <w:spacing w:before="24"/>
        <w:rPr>
          <w:b/>
          <w:sz w:val="28"/>
        </w:rPr>
      </w:pPr>
    </w:p>
    <w:p>
      <w:pPr>
        <w:pStyle w:val="BodyText"/>
        <w:spacing w:line="396" w:lineRule="auto"/>
        <w:ind w:left="282" w:right="563"/>
        <w:jc w:val="both"/>
      </w:pPr>
      <w:r>
        <w:rPr/>
        <w:t>Data</w:t>
      </w:r>
      <w:r>
        <w:rPr>
          <w:spacing w:val="-11"/>
        </w:rPr>
        <w:t> </w:t>
      </w:r>
      <w:r>
        <w:rPr/>
        <w:t>acquisition</w:t>
      </w:r>
      <w:r>
        <w:rPr>
          <w:spacing w:val="-11"/>
        </w:rPr>
        <w:t> </w:t>
      </w:r>
      <w:r>
        <w:rPr/>
        <w:t>and</w:t>
      </w:r>
      <w:r>
        <w:rPr>
          <w:spacing w:val="-11"/>
        </w:rPr>
        <w:t> </w:t>
      </w:r>
      <w:r>
        <w:rPr/>
        <w:t>evaluation</w:t>
      </w:r>
      <w:r>
        <w:rPr>
          <w:spacing w:val="-10"/>
        </w:rPr>
        <w:t> </w:t>
      </w:r>
      <w:r>
        <w:rPr/>
        <w:t>proceed</w:t>
      </w:r>
      <w:r>
        <w:rPr>
          <w:spacing w:val="-11"/>
        </w:rPr>
        <w:t> </w:t>
      </w:r>
      <w:r>
        <w:rPr/>
        <w:t>in</w:t>
      </w:r>
      <w:r>
        <w:rPr>
          <w:spacing w:val="-11"/>
        </w:rPr>
        <w:t> </w:t>
      </w:r>
      <w:r>
        <w:rPr/>
        <w:t>three</w:t>
      </w:r>
      <w:r>
        <w:rPr>
          <w:spacing w:val="-10"/>
        </w:rPr>
        <w:t> </w:t>
      </w:r>
      <w:r>
        <w:rPr/>
        <w:t>phases</w:t>
      </w:r>
      <w:r>
        <w:rPr>
          <w:spacing w:val="-11"/>
        </w:rPr>
        <w:t> </w:t>
      </w:r>
      <w:r>
        <w:rPr/>
        <w:t>that</w:t>
      </w:r>
      <w:r>
        <w:rPr>
          <w:spacing w:val="-11"/>
        </w:rPr>
        <w:t> </w:t>
      </w:r>
      <w:r>
        <w:rPr/>
        <w:t>separate</w:t>
      </w:r>
      <w:r>
        <w:rPr>
          <w:spacing w:val="-10"/>
        </w:rPr>
        <w:t> </w:t>
      </w:r>
      <w:r>
        <w:rPr/>
        <w:t>expensive</w:t>
      </w:r>
      <w:r>
        <w:rPr>
          <w:spacing w:val="-11"/>
        </w:rPr>
        <w:t> </w:t>
      </w:r>
      <w:r>
        <w:rPr/>
        <w:t>remote</w:t>
      </w:r>
      <w:r>
        <w:rPr>
          <w:spacing w:val="-11"/>
        </w:rPr>
        <w:t> </w:t>
      </w:r>
      <w:r>
        <w:rPr/>
        <w:t>scans</w:t>
      </w:r>
      <w:r>
        <w:rPr>
          <w:spacing w:val="-11"/>
        </w:rPr>
        <w:t> </w:t>
      </w:r>
      <w:r>
        <w:rPr/>
        <w:t>from local, repeatable analysis.</w:t>
      </w:r>
      <w:r>
        <w:rPr>
          <w:spacing w:val="40"/>
        </w:rPr>
        <w:t> </w:t>
      </w:r>
      <w:r>
        <w:rPr/>
        <w:t>The separation is intentional:</w:t>
      </w:r>
      <w:r>
        <w:rPr>
          <w:spacing w:val="40"/>
        </w:rPr>
        <w:t> </w:t>
      </w:r>
      <w:r>
        <w:rPr/>
        <w:t>once parquet artifacts exist, alignment tables,</w:t>
      </w:r>
      <w:r>
        <w:rPr>
          <w:spacing w:val="-10"/>
        </w:rPr>
        <w:t> </w:t>
      </w:r>
      <w:r>
        <w:rPr/>
        <w:t>benchmarks,</w:t>
      </w:r>
      <w:r>
        <w:rPr>
          <w:spacing w:val="-10"/>
        </w:rPr>
        <w:t> </w:t>
      </w:r>
      <w:r>
        <w:rPr/>
        <w:t>and</w:t>
      </w:r>
      <w:r>
        <w:rPr>
          <w:spacing w:val="-11"/>
        </w:rPr>
        <w:t> </w:t>
      </w:r>
      <w:r>
        <w:rPr/>
        <w:t>robustness</w:t>
      </w:r>
      <w:r>
        <w:rPr>
          <w:spacing w:val="-12"/>
        </w:rPr>
        <w:t> </w:t>
      </w:r>
      <w:r>
        <w:rPr/>
        <w:t>sweeps</w:t>
      </w:r>
      <w:r>
        <w:rPr>
          <w:spacing w:val="-11"/>
        </w:rPr>
        <w:t> </w:t>
      </w:r>
      <w:r>
        <w:rPr/>
        <w:t>can</w:t>
      </w:r>
      <w:r>
        <w:rPr>
          <w:spacing w:val="-11"/>
        </w:rPr>
        <w:t> </w:t>
      </w:r>
      <w:r>
        <w:rPr/>
        <w:t>be</w:t>
      </w:r>
      <w:r>
        <w:rPr>
          <w:spacing w:val="-11"/>
        </w:rPr>
        <w:t> </w:t>
      </w:r>
      <w:r>
        <w:rPr/>
        <w:t>regenerated</w:t>
      </w:r>
      <w:r>
        <w:rPr>
          <w:spacing w:val="-11"/>
        </w:rPr>
        <w:t> </w:t>
      </w:r>
      <w:r>
        <w:rPr/>
        <w:t>without</w:t>
      </w:r>
      <w:r>
        <w:rPr>
          <w:spacing w:val="-12"/>
        </w:rPr>
        <w:t> </w:t>
      </w:r>
      <w:r>
        <w:rPr/>
        <w:t>further</w:t>
      </w:r>
      <w:r>
        <w:rPr>
          <w:spacing w:val="-11"/>
        </w:rPr>
        <w:t> </w:t>
      </w:r>
      <w:r>
        <w:rPr/>
        <w:t>cloud</w:t>
      </w:r>
      <w:r>
        <w:rPr>
          <w:spacing w:val="-11"/>
        </w:rPr>
        <w:t> </w:t>
      </w:r>
      <w:r>
        <w:rPr/>
        <w:t>cost,</w:t>
      </w:r>
      <w:r>
        <w:rPr>
          <w:spacing w:val="-10"/>
        </w:rPr>
        <w:t> </w:t>
      </w:r>
      <w:r>
        <w:rPr/>
        <w:t>which</w:t>
      </w:r>
      <w:r>
        <w:rPr>
          <w:spacing w:val="-12"/>
        </w:rPr>
        <w:t> </w:t>
      </w:r>
      <w:r>
        <w:rPr/>
        <w:t>is essential for third-party replication and reanalysis.</w:t>
      </w:r>
    </w:p>
    <w:p>
      <w:pPr>
        <w:pStyle w:val="BodyText"/>
        <w:spacing w:line="396" w:lineRule="auto"/>
        <w:ind w:left="282" w:right="563"/>
        <w:jc w:val="both"/>
      </w:pPr>
      <w:r>
        <w:rPr>
          <w:i/>
        </w:rPr>
        <w:t>데이터 수집 및 평가는 비용이 많이 드는 원격 스캔과 반복 가능한 로컬 분석을 분리하는 3단계로 진행됩니다. 분리는 의도적인 것입니다. 쪽모이 세공 아티팩트가 존재하면 추가 클라우드 비용 없이 정렬 테이블, 벤치마크 및 견고성 스윕을 다시 생성할 수 있습니다. 이는 타사 복제 및 재분석에 필수적입니다.</w:t>
      </w:r>
    </w:p>
    <w:p>
      <w:pPr>
        <w:pStyle w:val="ListParagraph"/>
        <w:numPr>
          <w:ilvl w:val="0"/>
          <w:numId w:val="17"/>
        </w:numPr>
        <w:tabs>
          <w:tab w:pos="806" w:val="left" w:leader="none"/>
          <w:tab w:pos="808" w:val="left" w:leader="none"/>
        </w:tabs>
        <w:spacing w:line="386" w:lineRule="auto" w:before="120" w:after="0"/>
        <w:ind w:left="808" w:right="523" w:hanging="216"/>
        <w:jc w:val="both"/>
        <w:rPr>
          <w:sz w:val="24"/>
        </w:rPr>
      </w:pPr>
      <w:r>
        <w:rPr>
          <w:b/>
          <w:sz w:val="24"/>
        </w:rPr>
        <w:t>Phase 1 (GMX validation stream): </w:t>
      </w:r>
      <w:r>
        <w:rPr>
          <w:sz w:val="24"/>
        </w:rPr>
        <w:t>Extract and decode all GMX </w:t>
      </w:r>
      <w:r>
        <w:rPr>
          <w:rFonts w:ascii="Calibri" w:hAnsi="Calibri"/>
          <w:sz w:val="24"/>
        </w:rPr>
        <w:t>PositionDecrease </w:t>
      </w:r>
      <w:r>
        <w:rPr>
          <w:sz w:val="24"/>
        </w:rPr>
        <w:t>logs from</w:t>
      </w:r>
      <w:r>
        <w:rPr>
          <w:spacing w:val="16"/>
          <w:sz w:val="24"/>
        </w:rPr>
        <w:t> </w:t>
      </w:r>
      <w:r>
        <w:rPr>
          <w:sz w:val="24"/>
        </w:rPr>
        <w:t>the</w:t>
      </w:r>
      <w:r>
        <w:rPr>
          <w:spacing w:val="16"/>
          <w:sz w:val="24"/>
        </w:rPr>
        <w:t> </w:t>
      </w:r>
      <w:r>
        <w:rPr>
          <w:rFonts w:ascii="Calibri" w:hAnsi="Calibri"/>
          <w:sz w:val="24"/>
        </w:rPr>
        <w:t>EventEmitter</w:t>
      </w:r>
      <w:r>
        <w:rPr>
          <w:rFonts w:ascii="Calibri" w:hAnsi="Calibri"/>
          <w:spacing w:val="22"/>
          <w:sz w:val="24"/>
        </w:rPr>
        <w:t> </w:t>
      </w:r>
      <w:r>
        <w:rPr>
          <w:sz w:val="24"/>
        </w:rPr>
        <w:t>over</w:t>
      </w:r>
      <w:r>
        <w:rPr>
          <w:spacing w:val="16"/>
          <w:sz w:val="24"/>
        </w:rPr>
        <w:t> </w:t>
      </w:r>
      <w:r>
        <w:rPr>
          <w:sz w:val="24"/>
        </w:rPr>
        <w:t>the</w:t>
      </w:r>
      <w:r>
        <w:rPr>
          <w:spacing w:val="16"/>
          <w:sz w:val="24"/>
        </w:rPr>
        <w:t> </w:t>
      </w:r>
      <w:r>
        <w:rPr>
          <w:sz w:val="24"/>
        </w:rPr>
        <w:t>full</w:t>
      </w:r>
      <w:r>
        <w:rPr>
          <w:spacing w:val="16"/>
          <w:sz w:val="24"/>
        </w:rPr>
        <w:t> </w:t>
      </w:r>
      <w:r>
        <w:rPr>
          <w:sz w:val="24"/>
        </w:rPr>
        <w:t>observation</w:t>
      </w:r>
      <w:r>
        <w:rPr>
          <w:spacing w:val="16"/>
          <w:sz w:val="24"/>
        </w:rPr>
        <w:t> </w:t>
      </w:r>
      <w:r>
        <w:rPr>
          <w:sz w:val="24"/>
        </w:rPr>
        <w:t>window.</w:t>
      </w:r>
      <w:r>
        <w:rPr>
          <w:spacing w:val="40"/>
          <w:sz w:val="24"/>
        </w:rPr>
        <w:t> </w:t>
      </w:r>
      <w:r>
        <w:rPr>
          <w:sz w:val="24"/>
        </w:rPr>
        <w:t>The</w:t>
      </w:r>
      <w:r>
        <w:rPr>
          <w:spacing w:val="16"/>
          <w:sz w:val="24"/>
        </w:rPr>
        <w:t> </w:t>
      </w:r>
      <w:r>
        <w:rPr>
          <w:sz w:val="24"/>
        </w:rPr>
        <w:t>extract</w:t>
      </w:r>
      <w:r>
        <w:rPr>
          <w:spacing w:val="16"/>
          <w:sz w:val="24"/>
        </w:rPr>
        <w:t> </w:t>
      </w:r>
      <w:r>
        <w:rPr>
          <w:sz w:val="24"/>
        </w:rPr>
        <w:t>is</w:t>
      </w:r>
      <w:r>
        <w:rPr>
          <w:spacing w:val="16"/>
          <w:sz w:val="24"/>
        </w:rPr>
        <w:t> </w:t>
      </w:r>
      <w:r>
        <w:rPr>
          <w:sz w:val="24"/>
        </w:rPr>
        <w:t>not</w:t>
      </w:r>
      <w:r>
        <w:rPr>
          <w:spacing w:val="16"/>
          <w:sz w:val="24"/>
        </w:rPr>
        <w:t> </w:t>
      </w:r>
      <w:r>
        <w:rPr>
          <w:sz w:val="24"/>
        </w:rPr>
        <w:t>wallet-filtered a priori because eligibility is defined from this stream:</w:t>
      </w:r>
      <w:r>
        <w:rPr>
          <w:spacing w:val="40"/>
          <w:sz w:val="24"/>
        </w:rPr>
        <w:t> </w:t>
      </w:r>
      <w:r>
        <w:rPr>
          <w:sz w:val="24"/>
        </w:rPr>
        <w:t>every decrease in the window is a candidate</w:t>
      </w:r>
      <w:r>
        <w:rPr>
          <w:spacing w:val="-5"/>
          <w:sz w:val="24"/>
        </w:rPr>
        <w:t> </w:t>
      </w:r>
      <w:r>
        <w:rPr>
          <w:sz w:val="24"/>
        </w:rPr>
        <w:t>label. After</w:t>
      </w:r>
      <w:r>
        <w:rPr>
          <w:spacing w:val="-4"/>
          <w:sz w:val="24"/>
        </w:rPr>
        <w:t> </w:t>
      </w:r>
      <w:r>
        <w:rPr>
          <w:sz w:val="24"/>
        </w:rPr>
        <w:t>decoding,</w:t>
      </w:r>
      <w:r>
        <w:rPr>
          <w:spacing w:val="-4"/>
          <w:sz w:val="24"/>
        </w:rPr>
        <w:t> </w:t>
      </w:r>
      <w:r>
        <w:rPr>
          <w:sz w:val="24"/>
        </w:rPr>
        <w:t>wallets</w:t>
      </w:r>
      <w:r>
        <w:rPr>
          <w:spacing w:val="-5"/>
          <w:sz w:val="24"/>
        </w:rPr>
        <w:t> </w:t>
      </w:r>
      <w:r>
        <w:rPr>
          <w:sz w:val="24"/>
        </w:rPr>
        <w:t>with</w:t>
      </w:r>
      <w:r>
        <w:rPr>
          <w:spacing w:val="-4"/>
          <w:sz w:val="24"/>
        </w:rPr>
        <w:t> </w:t>
      </w:r>
      <w:r>
        <w:rPr>
          <w:sz w:val="24"/>
        </w:rPr>
        <w:t>fewer</w:t>
      </w:r>
      <w:r>
        <w:rPr>
          <w:spacing w:val="-4"/>
          <w:sz w:val="24"/>
        </w:rPr>
        <w:t> </w:t>
      </w:r>
      <w:r>
        <w:rPr>
          <w:sz w:val="24"/>
        </w:rPr>
        <w:t>than</w:t>
      </w:r>
      <w:r>
        <w:rPr>
          <w:spacing w:val="-5"/>
          <w:sz w:val="24"/>
        </w:rPr>
        <w:t> </w:t>
      </w:r>
      <w:r>
        <w:rPr>
          <w:sz w:val="24"/>
        </w:rPr>
        <w:t>three</w:t>
      </w:r>
      <w:r>
        <w:rPr>
          <w:spacing w:val="-4"/>
          <w:sz w:val="24"/>
        </w:rPr>
        <w:t> </w:t>
      </w:r>
      <w:r>
        <w:rPr>
          <w:sz w:val="24"/>
        </w:rPr>
        <w:t>closes</w:t>
      </w:r>
      <w:r>
        <w:rPr>
          <w:spacing w:val="-4"/>
          <w:sz w:val="24"/>
        </w:rPr>
        <w:t> </w:t>
      </w:r>
      <w:r>
        <w:rPr>
          <w:sz w:val="24"/>
        </w:rPr>
        <w:t>form</w:t>
      </w:r>
      <w:r>
        <w:rPr>
          <w:spacing w:val="-5"/>
          <w:sz w:val="24"/>
        </w:rPr>
        <w:t> </w:t>
      </w:r>
      <w:r>
        <w:rPr>
          <w:sz w:val="24"/>
        </w:rPr>
        <w:t>the</w:t>
      </w:r>
      <w:r>
        <w:rPr>
          <w:spacing w:val="-4"/>
          <w:sz w:val="24"/>
        </w:rPr>
        <w:t> </w:t>
      </w:r>
      <w:r>
        <w:rPr>
          <w:sz w:val="24"/>
        </w:rPr>
        <w:t>GMX-eligible set.</w:t>
      </w:r>
      <w:r>
        <w:rPr>
          <w:spacing w:val="40"/>
          <w:sz w:val="24"/>
        </w:rPr>
        <w:t> </w:t>
      </w:r>
      <w:r>
        <w:rPr>
          <w:sz w:val="24"/>
        </w:rPr>
        <w:t>This stream supplies trading-success, inverse-risk, and liquidation-family proxies.</w:t>
      </w:r>
      <w:r>
        <w:rPr>
          <w:spacing w:val="40"/>
          <w:sz w:val="24"/>
        </w:rPr>
        <w:t> </w:t>
      </w:r>
      <w:r>
        <w:rPr>
          <w:sz w:val="24"/>
        </w:rPr>
        <w:t>The matched</w:t>
      </w:r>
      <w:r>
        <w:rPr>
          <w:spacing w:val="-2"/>
          <w:sz w:val="24"/>
        </w:rPr>
        <w:t> </w:t>
      </w:r>
      <w:r>
        <w:rPr>
          <w:sz w:val="24"/>
        </w:rPr>
        <w:t>wallet</w:t>
      </w:r>
      <w:r>
        <w:rPr>
          <w:spacing w:val="-2"/>
          <w:sz w:val="24"/>
        </w:rPr>
        <w:t> </w:t>
      </w:r>
      <w:r>
        <w:rPr>
          <w:sz w:val="24"/>
        </w:rPr>
        <w:t>cohort</w:t>
      </w:r>
      <w:r>
        <w:rPr>
          <w:spacing w:val="-2"/>
          <w:sz w:val="24"/>
        </w:rPr>
        <w:t> </w:t>
      </w:r>
      <w:r>
        <w:rPr>
          <w:sz w:val="24"/>
        </w:rPr>
        <w:t>used</w:t>
      </w:r>
      <w:r>
        <w:rPr>
          <w:spacing w:val="-2"/>
          <w:sz w:val="24"/>
        </w:rPr>
        <w:t> </w:t>
      </w:r>
      <w:r>
        <w:rPr>
          <w:sz w:val="24"/>
        </w:rPr>
        <w:t>for</w:t>
      </w:r>
      <w:r>
        <w:rPr>
          <w:spacing w:val="-2"/>
          <w:sz w:val="24"/>
        </w:rPr>
        <w:t> </w:t>
      </w:r>
      <w:r>
        <w:rPr>
          <w:sz w:val="24"/>
        </w:rPr>
        <w:t>primary</w:t>
      </w:r>
      <w:r>
        <w:rPr>
          <w:spacing w:val="-2"/>
          <w:sz w:val="24"/>
        </w:rPr>
        <w:t> </w:t>
      </w:r>
      <w:r>
        <w:rPr>
          <w:sz w:val="24"/>
        </w:rPr>
        <w:t>alignment</w:t>
      </w:r>
      <w:r>
        <w:rPr>
          <w:spacing w:val="-2"/>
          <w:sz w:val="24"/>
        </w:rPr>
        <w:t> </w:t>
      </w:r>
      <w:r>
        <w:rPr>
          <w:sz w:val="24"/>
        </w:rPr>
        <w:t>(</w:t>
      </w:r>
      <w:r>
        <w:rPr>
          <w:rFonts w:ascii="Calibri" w:hAnsi="Calibri"/>
          <w:i/>
          <w:sz w:val="24"/>
        </w:rPr>
        <w:t>n </w:t>
      </w:r>
      <w:r>
        <w:rPr>
          <w:rFonts w:ascii="Calibri" w:hAnsi="Calibri"/>
          <w:sz w:val="24"/>
        </w:rPr>
        <w:t>= 5</w:t>
      </w:r>
      <w:r>
        <w:rPr>
          <w:rFonts w:ascii="Calibri" w:hAnsi="Calibri"/>
          <w:i/>
          <w:sz w:val="24"/>
        </w:rPr>
        <w:t>,</w:t>
      </w:r>
      <w:r>
        <w:rPr>
          <w:rFonts w:ascii="Calibri" w:hAnsi="Calibri"/>
          <w:sz w:val="24"/>
        </w:rPr>
        <w:t>521</w:t>
      </w:r>
      <w:r>
        <w:rPr>
          <w:sz w:val="24"/>
        </w:rPr>
        <w:t>)</w:t>
      </w:r>
      <w:r>
        <w:rPr>
          <w:spacing w:val="-2"/>
          <w:sz w:val="24"/>
        </w:rPr>
        <w:t> </w:t>
      </w:r>
      <w:r>
        <w:rPr>
          <w:sz w:val="24"/>
        </w:rPr>
        <w:t>is</w:t>
      </w:r>
      <w:r>
        <w:rPr>
          <w:spacing w:val="-2"/>
          <w:sz w:val="24"/>
        </w:rPr>
        <w:t> </w:t>
      </w:r>
      <w:r>
        <w:rPr>
          <w:sz w:val="24"/>
        </w:rPr>
        <w:t>the</w:t>
      </w:r>
      <w:r>
        <w:rPr>
          <w:spacing w:val="-2"/>
          <w:sz w:val="24"/>
        </w:rPr>
        <w:t> </w:t>
      </w:r>
      <w:r>
        <w:rPr>
          <w:sz w:val="24"/>
        </w:rPr>
        <w:t>GMX-eligible</w:t>
      </w:r>
      <w:r>
        <w:rPr>
          <w:spacing w:val="-2"/>
          <w:sz w:val="24"/>
        </w:rPr>
        <w:t> </w:t>
      </w:r>
      <w:r>
        <w:rPr>
          <w:sz w:val="24"/>
        </w:rPr>
        <w:t>set</w:t>
      </w:r>
      <w:r>
        <w:rPr>
          <w:spacing w:val="-2"/>
          <w:sz w:val="24"/>
        </w:rPr>
        <w:t> </w:t>
      </w:r>
      <w:r>
        <w:rPr>
          <w:sz w:val="24"/>
        </w:rPr>
        <w:t>inter-sected with non-zero reputation connectivity after Phase 2.</w:t>
      </w:r>
    </w:p>
    <w:p>
      <w:pPr>
        <w:pStyle w:val="ListParagraph"/>
        <w:numPr>
          <w:ilvl w:val="0"/>
          <w:numId w:val="17"/>
        </w:numPr>
        <w:tabs>
          <w:tab w:pos="806" w:val="left" w:leader="none"/>
          <w:tab w:pos="808" w:val="left" w:leader="none"/>
        </w:tabs>
        <w:spacing w:line="386" w:lineRule="auto" w:before="120" w:after="0"/>
        <w:ind w:left="808" w:right="523" w:hanging="216"/>
        <w:jc w:val="both"/>
        <w:rPr>
          <w:sz w:val="24"/>
        </w:rPr>
      </w:pPr>
      <w:r>
        <w:rPr>
          <w:i/>
        </w:rPr>
        <w:t>1단계(GMX 검증 스트림): 전체 관찰 기간 동안 EventEmitter에서 모든 GMX PositionDecrease 로그를 추출하고 디코딩합니다. 적격성은 이 스트림에서 정의되기 때문에 추출은 사전에 지갑 필터링되지 않습니다. 창의 모든 감소는 후보 레이블입니다. 디코딩 후 3회 미만의 마감이 발생한 지갑은 GMX 적격 세트를 형성합니다. 이 스트림은 거래 성공, 역위험 및 청산 계열 프록시를 제공합니다. 기본 정렬에 사용된 일치 지갑 코호트(n = 5,521)는 2단계 이후 0이 아닌 평판 연결과 교차된 GMX 적격 세트입니다.</w:t>
      </w:r>
    </w:p>
    <w:p>
      <w:pPr>
        <w:pStyle w:val="ListParagraph"/>
        <w:numPr>
          <w:ilvl w:val="0"/>
          <w:numId w:val="17"/>
        </w:numPr>
        <w:tabs>
          <w:tab w:pos="799" w:val="left" w:leader="none"/>
          <w:tab w:pos="806" w:val="left" w:leader="none"/>
        </w:tabs>
        <w:spacing w:line="391" w:lineRule="auto" w:before="39" w:after="0"/>
        <w:ind w:left="799" w:right="557" w:hanging="207"/>
        <w:jc w:val="both"/>
        <w:rPr>
          <w:sz w:val="24"/>
        </w:rPr>
      </w:pPr>
      <w:r>
        <w:rPr>
          <w:b/>
          <w:sz w:val="24"/>
        </w:rPr>
        <w:t>Phase</w:t>
      </w:r>
      <w:r>
        <w:rPr>
          <w:b/>
          <w:sz w:val="24"/>
        </w:rPr>
        <w:t> 2 (reputation streams):</w:t>
      </w:r>
      <w:r>
        <w:rPr>
          <w:b/>
          <w:spacing w:val="29"/>
          <w:sz w:val="24"/>
        </w:rPr>
        <w:t> </w:t>
      </w:r>
      <w:r>
        <w:rPr>
          <w:sz w:val="24"/>
        </w:rPr>
        <w:t>For the GMX-eligible set, extract wallet-filtered ERC-20 </w:t>
      </w:r>
      <w:r>
        <w:rPr>
          <w:rFonts w:ascii="Calibri" w:hAnsi="Calibri"/>
          <w:sz w:val="24"/>
        </w:rPr>
        <w:t>A </w:t>
      </w:r>
      <w:r>
        <w:rPr>
          <w:rFonts w:ascii="Calibri" w:hAnsi="Calibri"/>
          <w:w w:val="105"/>
          <w:sz w:val="24"/>
        </w:rPr>
        <w:t>pproval </w:t>
      </w:r>
      <w:r>
        <w:rPr>
          <w:w w:val="105"/>
          <w:sz w:val="24"/>
        </w:rPr>
        <w:t>and </w:t>
      </w:r>
      <w:r>
        <w:rPr>
          <w:rFonts w:ascii="Calibri" w:hAnsi="Calibri"/>
          <w:w w:val="105"/>
          <w:sz w:val="24"/>
        </w:rPr>
        <w:t>Transfer </w:t>
      </w:r>
      <w:r>
        <w:rPr>
          <w:w w:val="105"/>
          <w:sz w:val="24"/>
        </w:rPr>
        <w:t>events in monthly batches.</w:t>
      </w:r>
      <w:r>
        <w:rPr>
          <w:spacing w:val="40"/>
          <w:w w:val="105"/>
          <w:sz w:val="24"/>
        </w:rPr>
        <w:t> </w:t>
      </w:r>
      <w:r>
        <w:rPr>
          <w:w w:val="105"/>
          <w:sz w:val="24"/>
        </w:rPr>
        <w:t>The matched wallet cohort is then the </w:t>
      </w:r>
      <w:r>
        <w:rPr>
          <w:sz w:val="24"/>
        </w:rPr>
        <w:t>subset</w:t>
      </w:r>
      <w:r>
        <w:rPr>
          <w:spacing w:val="-3"/>
          <w:sz w:val="24"/>
        </w:rPr>
        <w:t> </w:t>
      </w:r>
      <w:r>
        <w:rPr>
          <w:sz w:val="24"/>
        </w:rPr>
        <w:t>with</w:t>
      </w:r>
      <w:r>
        <w:rPr>
          <w:spacing w:val="-3"/>
          <w:sz w:val="24"/>
        </w:rPr>
        <w:t> </w:t>
      </w:r>
      <w:r>
        <w:rPr>
          <w:sz w:val="24"/>
        </w:rPr>
        <w:t>non-zero</w:t>
      </w:r>
      <w:r>
        <w:rPr>
          <w:spacing w:val="-3"/>
          <w:sz w:val="24"/>
        </w:rPr>
        <w:t> </w:t>
      </w:r>
      <w:r>
        <w:rPr>
          <w:sz w:val="24"/>
        </w:rPr>
        <w:t>approval</w:t>
      </w:r>
      <w:r>
        <w:rPr>
          <w:spacing w:val="-3"/>
          <w:sz w:val="24"/>
        </w:rPr>
        <w:t> </w:t>
      </w:r>
      <w:r>
        <w:rPr>
          <w:sz w:val="24"/>
        </w:rPr>
        <w:t>or</w:t>
      </w:r>
      <w:r>
        <w:rPr>
          <w:spacing w:val="-3"/>
          <w:sz w:val="24"/>
        </w:rPr>
        <w:t> </w:t>
      </w:r>
      <w:r>
        <w:rPr>
          <w:sz w:val="24"/>
        </w:rPr>
        <w:t>transfer</w:t>
      </w:r>
      <w:r>
        <w:rPr>
          <w:spacing w:val="-3"/>
          <w:sz w:val="24"/>
        </w:rPr>
        <w:t> </w:t>
      </w:r>
      <w:r>
        <w:rPr>
          <w:sz w:val="24"/>
        </w:rPr>
        <w:t>connectivity.</w:t>
      </w:r>
      <w:r>
        <w:rPr>
          <w:spacing w:val="21"/>
          <w:sz w:val="24"/>
        </w:rPr>
        <w:t> </w:t>
      </w:r>
      <w:r>
        <w:rPr>
          <w:sz w:val="24"/>
        </w:rPr>
        <w:t>Each</w:t>
      </w:r>
      <w:r>
        <w:rPr>
          <w:spacing w:val="-3"/>
          <w:sz w:val="24"/>
        </w:rPr>
        <w:t> </w:t>
      </w:r>
      <w:r>
        <w:rPr>
          <w:sz w:val="24"/>
        </w:rPr>
        <w:t>month</w:t>
      </w:r>
      <w:r>
        <w:rPr>
          <w:spacing w:val="-3"/>
          <w:sz w:val="24"/>
        </w:rPr>
        <w:t> </w:t>
      </w:r>
      <w:r>
        <w:rPr>
          <w:sz w:val="24"/>
        </w:rPr>
        <w:t>is</w:t>
      </w:r>
      <w:r>
        <w:rPr>
          <w:spacing w:val="-3"/>
          <w:sz w:val="24"/>
        </w:rPr>
        <w:t> </w:t>
      </w:r>
      <w:r>
        <w:rPr>
          <w:sz w:val="24"/>
        </w:rPr>
        <w:t>an</w:t>
      </w:r>
      <w:r>
        <w:rPr>
          <w:spacing w:val="-3"/>
          <w:sz w:val="24"/>
        </w:rPr>
        <w:t> </w:t>
      </w:r>
      <w:r>
        <w:rPr>
          <w:sz w:val="24"/>
        </w:rPr>
        <w:t>independent</w:t>
      </w:r>
      <w:r>
        <w:rPr>
          <w:spacing w:val="-3"/>
          <w:sz w:val="24"/>
        </w:rPr>
        <w:t> </w:t>
      </w:r>
      <w:r>
        <w:rPr>
          <w:sz w:val="24"/>
        </w:rPr>
        <w:t>query with its own dry-run estimate and checkpoint, so a failure in one month does not invalidate </w:t>
      </w:r>
      <w:r>
        <w:rPr>
          <w:w w:val="105"/>
          <w:sz w:val="24"/>
        </w:rPr>
        <w:t>prior</w:t>
      </w:r>
      <w:r>
        <w:rPr>
          <w:spacing w:val="-16"/>
          <w:w w:val="105"/>
          <w:sz w:val="24"/>
        </w:rPr>
        <w:t> </w:t>
      </w:r>
      <w:r>
        <w:rPr>
          <w:w w:val="105"/>
          <w:sz w:val="24"/>
        </w:rPr>
        <w:t>months.</w:t>
      </w:r>
      <w:r>
        <w:rPr>
          <w:spacing w:val="-16"/>
          <w:w w:val="105"/>
          <w:sz w:val="24"/>
        </w:rPr>
        <w:t> </w:t>
      </w:r>
      <w:r>
        <w:rPr>
          <w:w w:val="105"/>
          <w:sz w:val="24"/>
        </w:rPr>
        <w:t>Preprocess</w:t>
      </w:r>
      <w:r>
        <w:rPr>
          <w:spacing w:val="-16"/>
          <w:w w:val="105"/>
          <w:sz w:val="24"/>
        </w:rPr>
        <w:t> </w:t>
      </w:r>
      <w:r>
        <w:rPr>
          <w:w w:val="105"/>
          <w:sz w:val="24"/>
        </w:rPr>
        <w:t>approvals</w:t>
      </w:r>
      <w:r>
        <w:rPr>
          <w:spacing w:val="-15"/>
          <w:w w:val="105"/>
          <w:sz w:val="24"/>
        </w:rPr>
        <w:t> </w:t>
      </w:r>
      <w:r>
        <w:rPr>
          <w:w w:val="105"/>
          <w:sz w:val="24"/>
        </w:rPr>
        <w:t>to</w:t>
      </w:r>
      <w:r>
        <w:rPr>
          <w:spacing w:val="-16"/>
          <w:w w:val="105"/>
          <w:sz w:val="24"/>
        </w:rPr>
        <w:t> </w:t>
      </w:r>
      <w:r>
        <w:rPr>
          <w:w w:val="105"/>
          <w:sz w:val="24"/>
        </w:rPr>
        <w:t>latest</w:t>
      </w:r>
      <w:r>
        <w:rPr>
          <w:spacing w:val="-16"/>
          <w:w w:val="105"/>
          <w:sz w:val="24"/>
        </w:rPr>
        <w:t> </w:t>
      </w:r>
      <w:r>
        <w:rPr>
          <w:w w:val="105"/>
          <w:sz w:val="24"/>
        </w:rPr>
        <w:t>allowances</w:t>
      </w:r>
      <w:r>
        <w:rPr>
          <w:spacing w:val="-16"/>
          <w:w w:val="105"/>
          <w:sz w:val="24"/>
        </w:rPr>
        <w:t> </w:t>
      </w:r>
      <w:r>
        <w:rPr>
          <w:w w:val="105"/>
          <w:sz w:val="24"/>
        </w:rPr>
        <w:t>per</w:t>
      </w:r>
      <w:r>
        <w:rPr>
          <w:spacing w:val="-15"/>
          <w:w w:val="105"/>
          <w:sz w:val="24"/>
        </w:rPr>
        <w:t> </w:t>
      </w:r>
      <w:r>
        <w:rPr>
          <w:w w:val="105"/>
          <w:sz w:val="24"/>
        </w:rPr>
        <w:t>owner–spender–token:</w:t>
      </w:r>
      <w:r>
        <w:rPr>
          <w:spacing w:val="-16"/>
          <w:w w:val="105"/>
          <w:sz w:val="24"/>
        </w:rPr>
        <w:t> </w:t>
      </w:r>
      <w:r>
        <w:rPr>
          <w:w w:val="105"/>
          <w:sz w:val="24"/>
        </w:rPr>
        <w:t>given </w:t>
      </w:r>
      <w:r>
        <w:rPr>
          <w:sz w:val="24"/>
        </w:rPr>
        <w:t>multiple</w:t>
      </w:r>
      <w:r>
        <w:rPr>
          <w:spacing w:val="-5"/>
          <w:sz w:val="24"/>
        </w:rPr>
        <w:t> </w:t>
      </w:r>
      <w:r>
        <w:rPr>
          <w:sz w:val="24"/>
        </w:rPr>
        <w:t>approvals</w:t>
      </w:r>
      <w:r>
        <w:rPr>
          <w:spacing w:val="-5"/>
          <w:sz w:val="24"/>
        </w:rPr>
        <w:t> </w:t>
      </w:r>
      <w:r>
        <w:rPr>
          <w:sz w:val="24"/>
        </w:rPr>
        <w:t>for</w:t>
      </w:r>
      <w:r>
        <w:rPr>
          <w:spacing w:val="-5"/>
          <w:sz w:val="24"/>
        </w:rPr>
        <w:t> </w:t>
      </w:r>
      <w:r>
        <w:rPr>
          <w:sz w:val="24"/>
        </w:rPr>
        <w:t>the</w:t>
      </w:r>
      <w:r>
        <w:rPr>
          <w:spacing w:val="-5"/>
          <w:sz w:val="24"/>
        </w:rPr>
        <w:t> </w:t>
      </w:r>
      <w:r>
        <w:rPr>
          <w:sz w:val="24"/>
        </w:rPr>
        <w:t>same</w:t>
      </w:r>
      <w:r>
        <w:rPr>
          <w:spacing w:val="-5"/>
          <w:sz w:val="24"/>
        </w:rPr>
        <w:t> </w:t>
      </w:r>
      <w:r>
        <w:rPr>
          <w:sz w:val="24"/>
        </w:rPr>
        <w:t>triple,</w:t>
      </w:r>
      <w:r>
        <w:rPr>
          <w:spacing w:val="-5"/>
          <w:sz w:val="24"/>
        </w:rPr>
        <w:t> </w:t>
      </w:r>
      <w:r>
        <w:rPr>
          <w:sz w:val="24"/>
        </w:rPr>
        <w:t>only</w:t>
      </w:r>
      <w:r>
        <w:rPr>
          <w:spacing w:val="-5"/>
          <w:sz w:val="24"/>
        </w:rPr>
        <w:t> </w:t>
      </w:r>
      <w:r>
        <w:rPr>
          <w:sz w:val="24"/>
        </w:rPr>
        <w:t>the</w:t>
      </w:r>
      <w:r>
        <w:rPr>
          <w:spacing w:val="-5"/>
          <w:sz w:val="24"/>
        </w:rPr>
        <w:t> </w:t>
      </w:r>
      <w:r>
        <w:rPr>
          <w:sz w:val="24"/>
        </w:rPr>
        <w:t>last</w:t>
      </w:r>
      <w:r>
        <w:rPr>
          <w:spacing w:val="-5"/>
          <w:sz w:val="24"/>
        </w:rPr>
        <w:t> </w:t>
      </w:r>
      <w:r>
        <w:rPr>
          <w:sz w:val="24"/>
        </w:rPr>
        <w:t>timestamp</w:t>
      </w:r>
      <w:r>
        <w:rPr>
          <w:spacing w:val="-5"/>
          <w:sz w:val="24"/>
        </w:rPr>
        <w:t> </w:t>
      </w:r>
      <w:r>
        <w:rPr>
          <w:sz w:val="24"/>
        </w:rPr>
        <w:t>in</w:t>
      </w:r>
      <w:r>
        <w:rPr>
          <w:spacing w:val="-5"/>
          <w:sz w:val="24"/>
        </w:rPr>
        <w:t> </w:t>
      </w:r>
      <w:r>
        <w:rPr>
          <w:sz w:val="24"/>
        </w:rPr>
        <w:t>the</w:t>
      </w:r>
      <w:r>
        <w:rPr>
          <w:spacing w:val="-5"/>
          <w:sz w:val="24"/>
        </w:rPr>
        <w:t> </w:t>
      </w:r>
      <w:r>
        <w:rPr>
          <w:sz w:val="24"/>
        </w:rPr>
        <w:t>window</w:t>
      </w:r>
      <w:r>
        <w:rPr>
          <w:spacing w:val="-5"/>
          <w:sz w:val="24"/>
        </w:rPr>
        <w:t> </w:t>
      </w:r>
      <w:r>
        <w:rPr>
          <w:sz w:val="24"/>
        </w:rPr>
        <w:t>survives,</w:t>
      </w:r>
      <w:r>
        <w:rPr>
          <w:spacing w:val="-5"/>
          <w:sz w:val="24"/>
        </w:rPr>
        <w:t> </w:t>
      </w:r>
      <w:r>
        <w:rPr>
          <w:sz w:val="24"/>
        </w:rPr>
        <w:t>and</w:t>
      </w:r>
      <w:r>
        <w:rPr>
          <w:spacing w:val="-5"/>
          <w:sz w:val="24"/>
        </w:rPr>
        <w:t> </w:t>
      </w:r>
      <w:r>
        <w:rPr>
          <w:sz w:val="24"/>
        </w:rPr>
        <w:t>a final</w:t>
      </w:r>
      <w:r>
        <w:rPr>
          <w:spacing w:val="-8"/>
          <w:sz w:val="24"/>
        </w:rPr>
        <w:t> </w:t>
      </w:r>
      <w:r>
        <w:rPr>
          <w:sz w:val="24"/>
        </w:rPr>
        <w:t>zero</w:t>
      </w:r>
      <w:r>
        <w:rPr>
          <w:spacing w:val="-8"/>
          <w:sz w:val="24"/>
        </w:rPr>
        <w:t> </w:t>
      </w:r>
      <w:r>
        <w:rPr>
          <w:sz w:val="24"/>
        </w:rPr>
        <w:t>allowance</w:t>
      </w:r>
      <w:r>
        <w:rPr>
          <w:spacing w:val="-8"/>
          <w:sz w:val="24"/>
        </w:rPr>
        <w:t> </w:t>
      </w:r>
      <w:r>
        <w:rPr>
          <w:sz w:val="24"/>
        </w:rPr>
        <w:t>removes</w:t>
      </w:r>
      <w:r>
        <w:rPr>
          <w:spacing w:val="-8"/>
          <w:sz w:val="24"/>
        </w:rPr>
        <w:t> </w:t>
      </w:r>
      <w:r>
        <w:rPr>
          <w:sz w:val="24"/>
        </w:rPr>
        <w:t>the</w:t>
      </w:r>
      <w:r>
        <w:rPr>
          <w:spacing w:val="-8"/>
          <w:sz w:val="24"/>
        </w:rPr>
        <w:t> </w:t>
      </w:r>
      <w:r>
        <w:rPr>
          <w:sz w:val="24"/>
        </w:rPr>
        <w:t>edge.</w:t>
      </w:r>
      <w:r>
        <w:rPr>
          <w:spacing w:val="13"/>
          <w:sz w:val="24"/>
        </w:rPr>
        <w:t> </w:t>
      </w:r>
      <w:r>
        <w:rPr>
          <w:sz w:val="24"/>
        </w:rPr>
        <w:t>Preprocess</w:t>
      </w:r>
      <w:r>
        <w:rPr>
          <w:spacing w:val="-8"/>
          <w:sz w:val="24"/>
        </w:rPr>
        <w:t> </w:t>
      </w:r>
      <w:r>
        <w:rPr>
          <w:sz w:val="24"/>
        </w:rPr>
        <w:t>transfers</w:t>
      </w:r>
      <w:r>
        <w:rPr>
          <w:spacing w:val="-8"/>
          <w:sz w:val="24"/>
        </w:rPr>
        <w:t> </w:t>
      </w:r>
      <w:r>
        <w:rPr>
          <w:sz w:val="24"/>
        </w:rPr>
        <w:t>to</w:t>
      </w:r>
      <w:r>
        <w:rPr>
          <w:spacing w:val="-8"/>
          <w:sz w:val="24"/>
        </w:rPr>
        <w:t> </w:t>
      </w:r>
      <w:r>
        <w:rPr>
          <w:sz w:val="24"/>
        </w:rPr>
        <w:t>decimal-adjusted</w:t>
      </w:r>
      <w:r>
        <w:rPr>
          <w:spacing w:val="-8"/>
          <w:sz w:val="24"/>
        </w:rPr>
        <w:t> </w:t>
      </w:r>
      <w:r>
        <w:rPr>
          <w:sz w:val="24"/>
        </w:rPr>
        <w:t>event</w:t>
      </w:r>
      <w:r>
        <w:rPr>
          <w:spacing w:val="-8"/>
          <w:sz w:val="24"/>
        </w:rPr>
        <w:t> </w:t>
      </w:r>
      <w:r>
        <w:rPr>
          <w:sz w:val="24"/>
        </w:rPr>
        <w:t>tables with</w:t>
      </w:r>
      <w:r>
        <w:rPr>
          <w:spacing w:val="-6"/>
          <w:sz w:val="24"/>
        </w:rPr>
        <w:t> </w:t>
      </w:r>
      <w:r>
        <w:rPr>
          <w:sz w:val="24"/>
        </w:rPr>
        <w:t>timestamps,</w:t>
      </w:r>
      <w:r>
        <w:rPr>
          <w:spacing w:val="-6"/>
          <w:sz w:val="24"/>
        </w:rPr>
        <w:t> </w:t>
      </w:r>
      <w:r>
        <w:rPr>
          <w:sz w:val="24"/>
        </w:rPr>
        <w:t>preserving</w:t>
      </w:r>
      <w:r>
        <w:rPr>
          <w:spacing w:val="-6"/>
          <w:sz w:val="24"/>
        </w:rPr>
        <w:t> </w:t>
      </w:r>
      <w:r>
        <w:rPr>
          <w:sz w:val="24"/>
        </w:rPr>
        <w:t>sender,</w:t>
      </w:r>
      <w:r>
        <w:rPr>
          <w:spacing w:val="-6"/>
          <w:sz w:val="24"/>
        </w:rPr>
        <w:t> </w:t>
      </w:r>
      <w:r>
        <w:rPr>
          <w:sz w:val="24"/>
        </w:rPr>
        <w:t>recipient,</w:t>
      </w:r>
      <w:r>
        <w:rPr>
          <w:spacing w:val="-6"/>
          <w:sz w:val="24"/>
        </w:rPr>
        <w:t> </w:t>
      </w:r>
      <w:r>
        <w:rPr>
          <w:sz w:val="24"/>
        </w:rPr>
        <w:t>value,</w:t>
      </w:r>
      <w:r>
        <w:rPr>
          <w:spacing w:val="-6"/>
          <w:sz w:val="24"/>
        </w:rPr>
        <w:t> </w:t>
      </w:r>
      <w:r>
        <w:rPr>
          <w:sz w:val="24"/>
        </w:rPr>
        <w:t>token,</w:t>
      </w:r>
      <w:r>
        <w:rPr>
          <w:spacing w:val="-6"/>
          <w:sz w:val="24"/>
        </w:rPr>
        <w:t> </w:t>
      </w:r>
      <w:r>
        <w:rPr>
          <w:sz w:val="24"/>
        </w:rPr>
        <w:t>and</w:t>
      </w:r>
      <w:r>
        <w:rPr>
          <w:spacing w:val="-6"/>
          <w:sz w:val="24"/>
        </w:rPr>
        <w:t> </w:t>
      </w:r>
      <w:r>
        <w:rPr>
          <w:sz w:val="24"/>
        </w:rPr>
        <w:t>block</w:t>
      </w:r>
      <w:r>
        <w:rPr>
          <w:spacing w:val="-6"/>
          <w:sz w:val="24"/>
        </w:rPr>
        <w:t> </w:t>
      </w:r>
      <w:r>
        <w:rPr>
          <w:sz w:val="24"/>
        </w:rPr>
        <w:t>time. These</w:t>
      </w:r>
      <w:r>
        <w:rPr>
          <w:spacing w:val="-6"/>
          <w:sz w:val="24"/>
        </w:rPr>
        <w:t> </w:t>
      </w:r>
      <w:r>
        <w:rPr>
          <w:sz w:val="24"/>
        </w:rPr>
        <w:t>tables</w:t>
      </w:r>
      <w:r>
        <w:rPr>
          <w:spacing w:val="-6"/>
          <w:sz w:val="24"/>
        </w:rPr>
        <w:t> </w:t>
      </w:r>
      <w:r>
        <w:rPr>
          <w:sz w:val="24"/>
        </w:rPr>
        <w:t>are the sole inputs to EndorseRank and AWP graph construction for the primary comparison.</w:t>
      </w:r>
    </w:p>
    <w:p>
      <w:pPr>
        <w:pStyle w:val="ListParagraph"/>
        <w:numPr>
          <w:ilvl w:val="0"/>
          <w:numId w:val="17"/>
        </w:numPr>
        <w:tabs>
          <w:tab w:pos="799" w:val="left" w:leader="none"/>
          <w:tab w:pos="806" w:val="left" w:leader="none"/>
        </w:tabs>
        <w:spacing w:line="391" w:lineRule="auto" w:before="39" w:after="0"/>
        <w:ind w:left="799" w:right="557" w:hanging="207"/>
        <w:jc w:val="both"/>
        <w:rPr>
          <w:sz w:val="24"/>
        </w:rPr>
      </w:pPr>
      <w:r>
        <w:rPr>
          <w:i/>
        </w:rPr>
        <w:t>2단계(평판 스트림): GMX 적격 세트의 경우 지갑 필터링 ERC-20 A 승인 및 전송 이벤트를 월별 배치로 추출합니다. 일치하는 지갑 코호트는 승인 또는 전송 연결이 0이 아닌 하위 집합입니다. 각 달은 자체 시험 실행 추정치와 체크포인트가 있는 독립적인 쿼리이므로 한 달의 실패로 인해 이전 달이 무효화되지는 않습니다. 소유자-소비자-토큰별 최신 허용량에 대한 사전 처리 승인: 동일한 트리플에 대해 여러 승인이 주어지면 창의 마지막 타임스탬프만 유지되고 최종 0 허용량은 가장자리를 제거합니다. 송신자, 수신자, 값, 토큰 및 블록 시간을 보존하면서 타임스탬프가 있는 소수 조정 이벤트 테이블로 전송을 전처리합니다. 이 표는 1차 비교를 위한 EndorseRank 및 AWP 그래프 구성에 대한 유일한 입력입니다.</w:t>
      </w:r>
    </w:p>
    <w:p>
      <w:pPr>
        <w:pStyle w:val="ListParagraph"/>
        <w:numPr>
          <w:ilvl w:val="0"/>
          <w:numId w:val="17"/>
        </w:numPr>
        <w:tabs>
          <w:tab w:pos="806" w:val="left" w:leader="none"/>
          <w:tab w:pos="808" w:val="left" w:leader="none"/>
        </w:tabs>
        <w:spacing w:line="396" w:lineRule="auto" w:before="46" w:after="0"/>
        <w:ind w:left="808" w:right="523" w:hanging="216"/>
        <w:jc w:val="both"/>
        <w:rPr>
          <w:sz w:val="24"/>
        </w:rPr>
      </w:pPr>
      <w:r>
        <w:rPr>
          <w:b/>
          <w:sz w:val="24"/>
        </w:rPr>
        <w:t>Phase 3 (local evaluation):</w:t>
      </w:r>
      <w:r>
        <w:rPr>
          <w:b/>
          <w:spacing w:val="40"/>
          <w:sz w:val="24"/>
        </w:rPr>
        <w:t> </w:t>
      </w:r>
      <w:r>
        <w:rPr>
          <w:sz w:val="24"/>
        </w:rPr>
        <w:t>From cached parquet, compute reputation ranks, five primary proxy families, Spearman and Kendall alignment, computational benchmarks, and </w:t>
      </w:r>
      <w:r>
        <w:rPr>
          <w:sz w:val="24"/>
        </w:rPr>
        <w:t>scal-ing/robustness extensions.</w:t>
      </w:r>
      <w:r>
        <w:rPr>
          <w:spacing w:val="40"/>
          <w:sz w:val="24"/>
        </w:rPr>
        <w:t> </w:t>
      </w:r>
      <w:r>
        <w:rPr>
          <w:sz w:val="24"/>
        </w:rPr>
        <w:t>Supplemental active wallets for the expanded pool are drawn from reputation-subgraph addresses (and optional supplemental parquet) without requiring</w:t>
      </w:r>
      <w:r>
        <w:rPr>
          <w:spacing w:val="80"/>
          <w:sz w:val="24"/>
        </w:rPr>
        <w:t> </w:t>
      </w:r>
      <w:r>
        <w:rPr>
          <w:sz w:val="24"/>
        </w:rPr>
        <w:t>a</w:t>
      </w:r>
      <w:r>
        <w:rPr>
          <w:spacing w:val="33"/>
          <w:sz w:val="24"/>
        </w:rPr>
        <w:t> </w:t>
      </w:r>
      <w:r>
        <w:rPr>
          <w:sz w:val="24"/>
        </w:rPr>
        <w:t>full-chain</w:t>
      </w:r>
      <w:r>
        <w:rPr>
          <w:spacing w:val="34"/>
          <w:sz w:val="24"/>
        </w:rPr>
        <w:t> </w:t>
      </w:r>
      <w:r>
        <w:rPr>
          <w:sz w:val="24"/>
        </w:rPr>
        <w:t>re-scan</w:t>
      </w:r>
      <w:r>
        <w:rPr>
          <w:spacing w:val="34"/>
          <w:sz w:val="24"/>
        </w:rPr>
        <w:t> </w:t>
      </w:r>
      <w:r>
        <w:rPr>
          <w:sz w:val="24"/>
        </w:rPr>
        <w:t>for</w:t>
      </w:r>
      <w:r>
        <w:rPr>
          <w:spacing w:val="34"/>
          <w:sz w:val="24"/>
        </w:rPr>
        <w:t> </w:t>
      </w:r>
      <w:r>
        <w:rPr>
          <w:sz w:val="24"/>
        </w:rPr>
        <w:t>every</w:t>
      </w:r>
      <w:r>
        <w:rPr>
          <w:spacing w:val="33"/>
          <w:sz w:val="24"/>
        </w:rPr>
        <w:t> </w:t>
      </w:r>
      <w:r>
        <w:rPr>
          <w:sz w:val="24"/>
        </w:rPr>
        <w:t>robustness</w:t>
      </w:r>
      <w:r>
        <w:rPr>
          <w:spacing w:val="34"/>
          <w:sz w:val="24"/>
        </w:rPr>
        <w:t> </w:t>
      </w:r>
      <w:r>
        <w:rPr>
          <w:sz w:val="24"/>
        </w:rPr>
        <w:t>experiment.</w:t>
      </w:r>
      <w:r>
        <w:rPr>
          <w:spacing w:val="80"/>
          <w:w w:val="150"/>
          <w:sz w:val="24"/>
        </w:rPr>
        <w:t> </w:t>
      </w:r>
      <w:r>
        <w:rPr>
          <w:sz w:val="24"/>
        </w:rPr>
        <w:t>No</w:t>
      </w:r>
      <w:r>
        <w:rPr>
          <w:spacing w:val="33"/>
          <w:sz w:val="24"/>
        </w:rPr>
        <w:t> </w:t>
      </w:r>
      <w:r>
        <w:rPr>
          <w:sz w:val="24"/>
        </w:rPr>
        <w:t>additional</w:t>
      </w:r>
      <w:r>
        <w:rPr>
          <w:spacing w:val="34"/>
          <w:sz w:val="24"/>
        </w:rPr>
        <w:t> </w:t>
      </w:r>
      <w:r>
        <w:rPr>
          <w:sz w:val="24"/>
        </w:rPr>
        <w:t>BigQuery</w:t>
      </w:r>
      <w:r>
        <w:rPr>
          <w:spacing w:val="34"/>
          <w:sz w:val="24"/>
        </w:rPr>
        <w:t> </w:t>
      </w:r>
      <w:r>
        <w:rPr>
          <w:sz w:val="24"/>
        </w:rPr>
        <w:t>scans</w:t>
      </w:r>
      <w:r>
        <w:rPr>
          <w:spacing w:val="34"/>
          <w:sz w:val="24"/>
        </w:rPr>
        <w:t> </w:t>
      </w:r>
      <w:r>
        <w:rPr>
          <w:sz w:val="24"/>
        </w:rPr>
        <w:t>are</w:t>
      </w:r>
    </w:p>
    <w:p>
      <w:pPr>
        <w:pStyle w:val="ListParagraph"/>
        <w:numPr>
          <w:ilvl w:val="0"/>
          <w:numId w:val="17"/>
        </w:numPr>
        <w:tabs>
          <w:tab w:pos="806" w:val="left" w:leader="none"/>
          <w:tab w:pos="808" w:val="left" w:leader="none"/>
        </w:tabs>
        <w:spacing w:line="396" w:lineRule="auto" w:before="46" w:after="0"/>
        <w:ind w:left="808" w:right="523" w:hanging="216"/>
        <w:jc w:val="both"/>
        <w:rPr>
          <w:sz w:val="24"/>
        </w:rPr>
      </w:pPr>
      <w:r>
        <w:rPr>
          <w:i/>
        </w:rPr>
        <w:t>3단계(로컬 평가): 캐시된 마루에서 평판 순위 계산, 5개의 기본 프록시 제품군, Spearman 및 Kendall 정렬, 계산 벤치마크, 확장/강건성 확장. 확장된 풀을 위한 보충 활성 지갑은 모든 견고성 실험에 대해 전체 체인을 다시 스캔할 필요 없이 평판 하위 그래프 주소(및 선택적 보충 마루)에서 가져옵니다. 추가 BigQuery 스캔은 없습니다.</w:t>
      </w:r>
    </w:p>
    <w:p>
      <w:pPr>
        <w:pStyle w:val="ListParagraph"/>
        <w:spacing w:after="0" w:line="396" w:lineRule="auto"/>
        <w:jc w:val="both"/>
        <w:rPr>
          <w:sz w:val="24"/>
        </w:rPr>
        <w:sectPr>
          <w:pgSz w:w="11910" w:h="16840"/>
          <w:pgMar w:header="0" w:footer="2115" w:top="1920" w:bottom="2300" w:left="992" w:right="708"/>
        </w:sectPr>
      </w:pPr>
    </w:p>
    <w:p>
      <w:pPr>
        <w:pStyle w:val="BodyText"/>
        <w:spacing w:line="396" w:lineRule="auto" w:before="72"/>
        <w:ind w:left="808" w:right="564"/>
        <w:jc w:val="both"/>
      </w:pPr>
      <w:r>
        <w:rPr/>
        <w:t>required once the Phase 1 and Phase 2 extracts and any supplemental active-wallet parquet are available.</w:t>
      </w:r>
    </w:p>
    <w:p>
      <w:pPr>
        <w:pStyle w:val="BodyText"/>
        <w:spacing w:line="396" w:lineRule="auto" w:before="72"/>
        <w:ind w:left="808" w:right="564"/>
        <w:jc w:val="both"/>
      </w:pPr>
      <w:r>
        <w:rPr>
          <w:i/>
        </w:rPr>
        <w:t>1단계와 2단계 추출 및 추가 활성 지갑 쪽 마루가 사용 가능해지면 필요합니다.</w:t>
      </w:r>
    </w:p>
    <w:p>
      <w:pPr>
        <w:pStyle w:val="ListParagraph"/>
        <w:numPr>
          <w:ilvl w:val="0"/>
          <w:numId w:val="17"/>
        </w:numPr>
        <w:tabs>
          <w:tab w:pos="806" w:val="left" w:leader="none"/>
          <w:tab w:pos="808" w:val="left" w:leader="none"/>
        </w:tabs>
        <w:spacing w:line="391" w:lineRule="auto" w:before="39" w:after="0"/>
        <w:ind w:left="808" w:right="522" w:hanging="216"/>
        <w:jc w:val="both"/>
        <w:rPr>
          <w:sz w:val="24"/>
        </w:rPr>
      </w:pPr>
      <w:r>
        <w:rPr>
          <w:b/>
          <w:sz w:val="24"/>
        </w:rPr>
        <w:t>Cost guardrails:</w:t>
      </w:r>
      <w:r>
        <w:rPr>
          <w:b/>
          <w:spacing w:val="40"/>
          <w:sz w:val="24"/>
        </w:rPr>
        <w:t> </w:t>
      </w:r>
      <w:r>
        <w:rPr>
          <w:sz w:val="24"/>
        </w:rPr>
        <w:t>Every remote query begins with a mandatory dry-run estimate of bytes processed before extraction.</w:t>
      </w:r>
      <w:r>
        <w:rPr>
          <w:spacing w:val="40"/>
          <w:sz w:val="24"/>
        </w:rPr>
        <w:t> </w:t>
      </w:r>
      <w:r>
        <w:rPr>
          <w:sz w:val="24"/>
        </w:rPr>
        <w:t>Each query is aborted if the estimate exceeds a </w:t>
      </w:r>
      <w:r>
        <w:rPr>
          <w:rFonts w:ascii="Calibri" w:hAnsi="Calibri"/>
          <w:sz w:val="24"/>
        </w:rPr>
        <w:t>150</w:t>
      </w:r>
      <w:r>
        <w:rPr>
          <w:rFonts w:ascii="Calibri" w:hAnsi="Calibri"/>
          <w:spacing w:val="-14"/>
          <w:sz w:val="24"/>
        </w:rPr>
        <w:t> </w:t>
      </w:r>
      <w:r>
        <w:rPr>
          <w:sz w:val="24"/>
        </w:rPr>
        <w:t>GiB per-query cap.</w:t>
      </w:r>
      <w:hyperlink w:history="true" w:anchor="_bookmark57">
        <w:r>
          <w:rPr>
            <w:sz w:val="24"/>
            <w:vertAlign w:val="superscript"/>
          </w:rPr>
          <w:t>1</w:t>
        </w:r>
      </w:hyperlink>
      <w:r>
        <w:rPr>
          <w:spacing w:val="40"/>
          <w:sz w:val="24"/>
          <w:vertAlign w:val="baseline"/>
        </w:rPr>
        <w:t> </w:t>
      </w:r>
      <w:r>
        <w:rPr>
          <w:sz w:val="24"/>
          <w:vertAlign w:val="baseline"/>
        </w:rPr>
        <w:t>Operators must pass an explicit confirmation flag before paid scans proceed. Extraction</w:t>
      </w:r>
      <w:r>
        <w:rPr>
          <w:spacing w:val="-15"/>
          <w:sz w:val="24"/>
          <w:vertAlign w:val="baseline"/>
        </w:rPr>
        <w:t> </w:t>
      </w:r>
      <w:r>
        <w:rPr>
          <w:sz w:val="24"/>
          <w:vertAlign w:val="baseline"/>
        </w:rPr>
        <w:t>metadata—wallet</w:t>
      </w:r>
      <w:r>
        <w:rPr>
          <w:spacing w:val="-15"/>
          <w:sz w:val="24"/>
          <w:vertAlign w:val="baseline"/>
        </w:rPr>
        <w:t> </w:t>
      </w:r>
      <w:r>
        <w:rPr>
          <w:sz w:val="24"/>
          <w:vertAlign w:val="baseline"/>
        </w:rPr>
        <w:t>counts,</w:t>
      </w:r>
      <w:r>
        <w:rPr>
          <w:spacing w:val="-15"/>
          <w:sz w:val="24"/>
          <w:vertAlign w:val="baseline"/>
        </w:rPr>
        <w:t> </w:t>
      </w:r>
      <w:r>
        <w:rPr>
          <w:sz w:val="24"/>
          <w:vertAlign w:val="baseline"/>
        </w:rPr>
        <w:t>row</w:t>
      </w:r>
      <w:r>
        <w:rPr>
          <w:spacing w:val="-15"/>
          <w:sz w:val="24"/>
          <w:vertAlign w:val="baseline"/>
        </w:rPr>
        <w:t> </w:t>
      </w:r>
      <w:r>
        <w:rPr>
          <w:sz w:val="24"/>
          <w:vertAlign w:val="baseline"/>
        </w:rPr>
        <w:t>counts,</w:t>
      </w:r>
      <w:r>
        <w:rPr>
          <w:spacing w:val="-15"/>
          <w:sz w:val="24"/>
          <w:vertAlign w:val="baseline"/>
        </w:rPr>
        <w:t> </w:t>
      </w:r>
      <w:r>
        <w:rPr>
          <w:sz w:val="24"/>
          <w:vertAlign w:val="baseline"/>
        </w:rPr>
        <w:t>bytes</w:t>
      </w:r>
      <w:r>
        <w:rPr>
          <w:spacing w:val="-15"/>
          <w:sz w:val="24"/>
          <w:vertAlign w:val="baseline"/>
        </w:rPr>
        <w:t> </w:t>
      </w:r>
      <w:r>
        <w:rPr>
          <w:sz w:val="24"/>
          <w:vertAlign w:val="baseline"/>
        </w:rPr>
        <w:t>processed,</w:t>
      </w:r>
      <w:r>
        <w:rPr>
          <w:spacing w:val="-15"/>
          <w:sz w:val="24"/>
          <w:vertAlign w:val="baseline"/>
        </w:rPr>
        <w:t> </w:t>
      </w:r>
      <w:r>
        <w:rPr>
          <w:sz w:val="24"/>
          <w:vertAlign w:val="baseline"/>
        </w:rPr>
        <w:t>and</w:t>
      </w:r>
      <w:r>
        <w:rPr>
          <w:spacing w:val="-15"/>
          <w:sz w:val="24"/>
          <w:vertAlign w:val="baseline"/>
        </w:rPr>
        <w:t> </w:t>
      </w:r>
      <w:r>
        <w:rPr>
          <w:sz w:val="24"/>
          <w:vertAlign w:val="baseline"/>
        </w:rPr>
        <w:t>timestamps—is</w:t>
      </w:r>
      <w:r>
        <w:rPr>
          <w:spacing w:val="-15"/>
          <w:sz w:val="24"/>
          <w:vertAlign w:val="baseline"/>
        </w:rPr>
        <w:t> </w:t>
      </w:r>
      <w:r>
        <w:rPr>
          <w:sz w:val="24"/>
          <w:vertAlign w:val="baseline"/>
        </w:rPr>
        <w:t>logged in the study’s acquisition record (Appendix </w:t>
      </w:r>
      <w:hyperlink w:history="true" w:anchor="_bookmark198">
        <w:r>
          <w:rPr>
            <w:sz w:val="24"/>
            <w:vertAlign w:val="baseline"/>
          </w:rPr>
          <w:t>8.1</w:t>
        </w:r>
      </w:hyperlink>
      <w:r>
        <w:rPr>
          <w:sz w:val="24"/>
          <w:vertAlign w:val="baseline"/>
        </w:rPr>
        <w:t>).</w:t>
      </w:r>
      <w:r>
        <w:rPr>
          <w:spacing w:val="39"/>
          <w:sz w:val="24"/>
          <w:vertAlign w:val="baseline"/>
        </w:rPr>
        <w:t> </w:t>
      </w:r>
      <w:r>
        <w:rPr>
          <w:sz w:val="24"/>
          <w:vertAlign w:val="baseline"/>
        </w:rPr>
        <w:t>These controls implement responsible use of public cloud resources and make the acquisition cost of the study auditable.</w:t>
      </w:r>
    </w:p>
    <w:p>
      <w:pPr>
        <w:pStyle w:val="ListParagraph"/>
        <w:numPr>
          <w:ilvl w:val="0"/>
          <w:numId w:val="17"/>
        </w:numPr>
        <w:tabs>
          <w:tab w:pos="806" w:val="left" w:leader="none"/>
          <w:tab w:pos="808" w:val="left" w:leader="none"/>
        </w:tabs>
        <w:spacing w:line="391" w:lineRule="auto" w:before="39" w:after="0"/>
        <w:ind w:left="808" w:right="522" w:hanging="216"/>
        <w:jc w:val="both"/>
        <w:rPr>
          <w:sz w:val="24"/>
        </w:rPr>
      </w:pPr>
      <w:r>
        <w:rPr>
          <w:i/>
        </w:rPr>
        <w:t>비용 가드레일: 모든 원격 쿼리는 추출 전에 처리된 바이트의 필수 테스트 실행 추정으로 시작됩니다. 추정치가 쿼리당 최대 150GiB를 초과하면 각 쿼리가 중단됩니다.1 유료 스캔을 진행하기 전에 운영자는 명시적인 확인 플래그를 전달해야 합니다. 추출 메타데이터(지갑 수, 행 수, 처리된 바이트 및 타임스탬프)는 연구의 획득 기록(부록 8.1)에 기록됩니다. 이러한 제어는 퍼블릭 클라우드 리소스의 책임감 있는 사용을 구현하고 연구 취득 비용을 감사 가능하게 만듭니다.</w:t>
      </w:r>
    </w:p>
    <w:p>
      <w:pPr>
        <w:pStyle w:val="BodyText"/>
        <w:spacing w:before="170"/>
      </w:pPr>
    </w:p>
    <w:p>
      <w:pPr>
        <w:pStyle w:val="Heading2"/>
        <w:numPr>
          <w:ilvl w:val="1"/>
          <w:numId w:val="8"/>
        </w:numPr>
        <w:tabs>
          <w:tab w:pos="783" w:val="left" w:leader="none"/>
        </w:tabs>
        <w:spacing w:line="240" w:lineRule="auto" w:before="0" w:after="0"/>
        <w:ind w:left="783" w:right="0" w:hanging="501"/>
        <w:jc w:val="left"/>
      </w:pPr>
      <w:bookmarkStart w:name="Pipeline architecture" w:id="99"/>
      <w:bookmarkEnd w:id="99"/>
      <w:r>
        <w:rPr>
          <w:b w:val="0"/>
        </w:rPr>
      </w:r>
      <w:bookmarkStart w:name="_bookmark55" w:id="100"/>
      <w:bookmarkEnd w:id="100"/>
      <w:r>
        <w:rPr>
          <w:b w:val="0"/>
        </w:rPr>
      </w:r>
      <w:r>
        <w:rPr/>
        <w:t>Pipeline</w:t>
      </w:r>
      <w:r>
        <w:rPr>
          <w:spacing w:val="20"/>
        </w:rPr>
        <w:t> </w:t>
      </w:r>
      <w:r>
        <w:rPr>
          <w:spacing w:val="-2"/>
        </w:rPr>
        <w:t>architecture</w:t>
      </w:r>
    </w:p>
    <w:p>
      <w:pPr>
        <w:pStyle w:val="Heading2"/>
        <w:numPr>
          <w:ilvl w:val="1"/>
          <w:numId w:val="8"/>
        </w:numPr>
        <w:tabs>
          <w:tab w:pos="783" w:val="left" w:leader="none"/>
        </w:tabs>
        <w:spacing w:line="240" w:lineRule="auto" w:before="0" w:after="0"/>
        <w:ind w:left="783" w:right="0" w:hanging="501"/>
        <w:jc w:val="left"/>
      </w:pPr>
      <w:r>
        <w:rPr>
          <w:i/>
        </w:rPr>
        <w:t>파이프라인 아키텍처</w:t>
      </w:r>
    </w:p>
    <w:p>
      <w:pPr>
        <w:pStyle w:val="BodyText"/>
        <w:spacing w:before="24"/>
        <w:rPr>
          <w:b/>
          <w:sz w:val="28"/>
        </w:rPr>
      </w:pPr>
    </w:p>
    <w:p>
      <w:pPr>
        <w:pStyle w:val="BodyText"/>
        <w:spacing w:line="396" w:lineRule="auto"/>
        <w:ind w:left="273" w:right="563" w:firstLine="8"/>
        <w:jc w:val="both"/>
      </w:pPr>
      <w:r>
        <w:rPr/>
        <w:t>Figure</w:t>
      </w:r>
      <w:r>
        <w:rPr>
          <w:spacing w:val="-4"/>
        </w:rPr>
        <w:t> </w:t>
      </w:r>
      <w:hyperlink w:history="true" w:anchor="_bookmark56">
        <w:r>
          <w:rPr/>
          <w:t>3.1</w:t>
        </w:r>
      </w:hyperlink>
      <w:r>
        <w:rPr>
          <w:spacing w:val="-3"/>
        </w:rPr>
        <w:t> </w:t>
      </w:r>
      <w:r>
        <w:rPr/>
        <w:t>summarizes</w:t>
      </w:r>
      <w:r>
        <w:rPr>
          <w:spacing w:val="-4"/>
        </w:rPr>
        <w:t> </w:t>
      </w:r>
      <w:r>
        <w:rPr/>
        <w:t>the</w:t>
      </w:r>
      <w:r>
        <w:rPr>
          <w:spacing w:val="-4"/>
        </w:rPr>
        <w:t> </w:t>
      </w:r>
      <w:r>
        <w:rPr/>
        <w:t>end-to-end</w:t>
      </w:r>
      <w:r>
        <w:rPr>
          <w:spacing w:val="-3"/>
        </w:rPr>
        <w:t> </w:t>
      </w:r>
      <w:r>
        <w:rPr/>
        <w:t>flow</w:t>
      </w:r>
      <w:r>
        <w:rPr>
          <w:spacing w:val="-4"/>
        </w:rPr>
        <w:t> </w:t>
      </w:r>
      <w:r>
        <w:rPr/>
        <w:t>from</w:t>
      </w:r>
      <w:r>
        <w:rPr>
          <w:spacing w:val="-4"/>
        </w:rPr>
        <w:t> </w:t>
      </w:r>
      <w:r>
        <w:rPr/>
        <w:t>public</w:t>
      </w:r>
      <w:r>
        <w:rPr>
          <w:spacing w:val="-3"/>
        </w:rPr>
        <w:t> </w:t>
      </w:r>
      <w:r>
        <w:rPr/>
        <w:t>logs</w:t>
      </w:r>
      <w:r>
        <w:rPr>
          <w:spacing w:val="-4"/>
        </w:rPr>
        <w:t> </w:t>
      </w:r>
      <w:r>
        <w:rPr/>
        <w:t>to</w:t>
      </w:r>
      <w:r>
        <w:rPr>
          <w:spacing w:val="-4"/>
        </w:rPr>
        <w:t> </w:t>
      </w:r>
      <w:r>
        <w:rPr/>
        <w:t>dissertation</w:t>
      </w:r>
      <w:r>
        <w:rPr>
          <w:spacing w:val="-3"/>
        </w:rPr>
        <w:t> </w:t>
      </w:r>
      <w:r>
        <w:rPr/>
        <w:t>tables.</w:t>
      </w:r>
      <w:r>
        <w:rPr>
          <w:spacing w:val="20"/>
        </w:rPr>
        <w:t> </w:t>
      </w:r>
      <w:r>
        <w:rPr/>
        <w:t>Remote</w:t>
      </w:r>
      <w:r>
        <w:rPr>
          <w:spacing w:val="-3"/>
        </w:rPr>
        <w:t> </w:t>
      </w:r>
      <w:r>
        <w:rPr/>
        <w:t>stages write immutable parquet; local stages are idempotent given those inputs and a single versioned configuration file.</w:t>
      </w:r>
    </w:p>
    <w:p>
      <w:pPr>
        <w:pStyle w:val="BodyText"/>
        <w:spacing w:line="396" w:lineRule="auto"/>
        <w:ind w:left="273" w:right="563" w:firstLine="8"/>
        <w:jc w:val="both"/>
      </w:pPr>
      <w:r>
        <w:rPr>
          <w:i/>
        </w:rPr>
        <w:t>그림 3.1에는 공개 로그에서 논문 테이블까지의 엔드투엔드 흐름이 요약되어 있습니다. 원격 단계는 불변의 쪽모이 세공 마루를 작성하고, 로컬 단계는 해당 입력과 단일 버전의 구성 파일이 주어지면 멱등성을 갖습니다.</w:t>
      </w:r>
    </w:p>
    <w:p>
      <w:pPr>
        <w:spacing w:before="141"/>
        <w:ind w:left="2168" w:right="0" w:firstLine="0"/>
        <w:jc w:val="left"/>
        <w:rPr>
          <w:sz w:val="19"/>
        </w:rPr>
      </w:pPr>
      <w:bookmarkStart w:name="_bookmark56" w:id="101"/>
      <w:bookmarkEnd w:id="101"/>
      <w:r>
        <w:rPr/>
      </w:r>
      <w:r>
        <w:rPr>
          <w:w w:val="105"/>
          <w:sz w:val="19"/>
        </w:rPr>
        <w:t>Remote</w:t>
      </w:r>
      <w:r>
        <w:rPr>
          <w:spacing w:val="-8"/>
          <w:w w:val="105"/>
          <w:sz w:val="19"/>
        </w:rPr>
        <w:t> </w:t>
      </w:r>
      <w:r>
        <w:rPr>
          <w:w w:val="105"/>
          <w:sz w:val="19"/>
        </w:rPr>
        <w:t>/</w:t>
      </w:r>
      <w:r>
        <w:rPr>
          <w:spacing w:val="-8"/>
          <w:w w:val="105"/>
          <w:sz w:val="19"/>
        </w:rPr>
        <w:t> </w:t>
      </w:r>
      <w:r>
        <w:rPr>
          <w:spacing w:val="-2"/>
          <w:w w:val="105"/>
          <w:sz w:val="19"/>
        </w:rPr>
        <w:t>acquisition</w:t>
      </w:r>
    </w:p>
    <w:p>
      <w:pPr>
        <w:spacing w:before="141"/>
        <w:ind w:left="2168" w:right="0" w:firstLine="0"/>
        <w:jc w:val="left"/>
        <w:rPr>
          <w:sz w:val="19"/>
        </w:rPr>
      </w:pPr>
      <w:r>
        <w:rPr>
          <w:i/>
        </w:rPr>
        <w:t>원격/획득</w:t>
      </w:r>
    </w:p>
    <w:p>
      <w:pPr>
        <w:pStyle w:val="BodyText"/>
        <w:spacing w:before="2"/>
        <w:rPr>
          <w:sz w:val="5"/>
        </w:rPr>
      </w:pPr>
      <w:r>
        <w:rPr>
          <w:sz w:val="5"/>
        </w:rPr>
        <mc:AlternateContent>
          <mc:Choice Requires="wps">
            <w:drawing>
              <wp:anchor distT="0" distB="0" distL="0" distR="0" allowOverlap="1" layoutInCell="1" locked="0" behindDoc="1" simplePos="0" relativeHeight="487606272">
                <wp:simplePos x="0" y="0"/>
                <wp:positionH relativeFrom="page">
                  <wp:posOffset>809231</wp:posOffset>
                </wp:positionH>
                <wp:positionV relativeFrom="paragraph">
                  <wp:posOffset>53297</wp:posOffset>
                </wp:positionV>
                <wp:extent cx="5942330" cy="152463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5942330" cy="1524635"/>
                          <a:chExt cx="5942330" cy="1524635"/>
                        </a:xfrm>
                      </wpg:grpSpPr>
                      <wps:wsp>
                        <wps:cNvPr id="114" name="Graphic 114"/>
                        <wps:cNvSpPr/>
                        <wps:spPr>
                          <a:xfrm>
                            <a:off x="105376" y="105376"/>
                            <a:ext cx="5731510" cy="1313815"/>
                          </a:xfrm>
                          <a:custGeom>
                            <a:avLst/>
                            <a:gdLst/>
                            <a:ahLst/>
                            <a:cxnLst/>
                            <a:rect l="l" t="t" r="r" b="b"/>
                            <a:pathLst>
                              <a:path w="5731510" h="1313815">
                                <a:moveTo>
                                  <a:pt x="902940" y="0"/>
                                </a:moveTo>
                                <a:lnTo>
                                  <a:pt x="25089" y="0"/>
                                </a:lnTo>
                                <a:lnTo>
                                  <a:pt x="15323" y="1971"/>
                                </a:lnTo>
                                <a:lnTo>
                                  <a:pt x="7348" y="7348"/>
                                </a:lnTo>
                                <a:lnTo>
                                  <a:pt x="1971" y="15323"/>
                                </a:lnTo>
                                <a:lnTo>
                                  <a:pt x="0" y="25089"/>
                                </a:lnTo>
                                <a:lnTo>
                                  <a:pt x="0" y="345811"/>
                                </a:lnTo>
                                <a:lnTo>
                                  <a:pt x="1971" y="355577"/>
                                </a:lnTo>
                                <a:lnTo>
                                  <a:pt x="7348" y="363552"/>
                                </a:lnTo>
                                <a:lnTo>
                                  <a:pt x="15323" y="368929"/>
                                </a:lnTo>
                                <a:lnTo>
                                  <a:pt x="25089" y="370901"/>
                                </a:lnTo>
                                <a:lnTo>
                                  <a:pt x="902940" y="370901"/>
                                </a:lnTo>
                                <a:lnTo>
                                  <a:pt x="912706" y="368929"/>
                                </a:lnTo>
                                <a:lnTo>
                                  <a:pt x="920681" y="363552"/>
                                </a:lnTo>
                                <a:lnTo>
                                  <a:pt x="926058" y="355577"/>
                                </a:lnTo>
                                <a:lnTo>
                                  <a:pt x="928029" y="345811"/>
                                </a:lnTo>
                                <a:lnTo>
                                  <a:pt x="928029" y="25089"/>
                                </a:lnTo>
                                <a:lnTo>
                                  <a:pt x="926058" y="15323"/>
                                </a:lnTo>
                                <a:lnTo>
                                  <a:pt x="920681" y="7348"/>
                                </a:lnTo>
                                <a:lnTo>
                                  <a:pt x="912706" y="1971"/>
                                </a:lnTo>
                                <a:lnTo>
                                  <a:pt x="902940" y="0"/>
                                </a:lnTo>
                                <a:close/>
                              </a:path>
                              <a:path w="5731510" h="1313815">
                                <a:moveTo>
                                  <a:pt x="2050144" y="2213"/>
                                </a:moveTo>
                                <a:lnTo>
                                  <a:pt x="1315070" y="2213"/>
                                </a:lnTo>
                                <a:lnTo>
                                  <a:pt x="1305304" y="4184"/>
                                </a:lnTo>
                                <a:lnTo>
                                  <a:pt x="1297329" y="9561"/>
                                </a:lnTo>
                                <a:lnTo>
                                  <a:pt x="1291952" y="17536"/>
                                </a:lnTo>
                                <a:lnTo>
                                  <a:pt x="1289981" y="27302"/>
                                </a:lnTo>
                                <a:lnTo>
                                  <a:pt x="1289981" y="343598"/>
                                </a:lnTo>
                                <a:lnTo>
                                  <a:pt x="1291952" y="353364"/>
                                </a:lnTo>
                                <a:lnTo>
                                  <a:pt x="1297329" y="361339"/>
                                </a:lnTo>
                                <a:lnTo>
                                  <a:pt x="1305304" y="366716"/>
                                </a:lnTo>
                                <a:lnTo>
                                  <a:pt x="1315070" y="368687"/>
                                </a:lnTo>
                                <a:lnTo>
                                  <a:pt x="2050144" y="368687"/>
                                </a:lnTo>
                                <a:lnTo>
                                  <a:pt x="2059910" y="366716"/>
                                </a:lnTo>
                                <a:lnTo>
                                  <a:pt x="2067885" y="361339"/>
                                </a:lnTo>
                                <a:lnTo>
                                  <a:pt x="2073262" y="353364"/>
                                </a:lnTo>
                                <a:lnTo>
                                  <a:pt x="2075234" y="343598"/>
                                </a:lnTo>
                                <a:lnTo>
                                  <a:pt x="2075234" y="27302"/>
                                </a:lnTo>
                                <a:lnTo>
                                  <a:pt x="2073262" y="17536"/>
                                </a:lnTo>
                                <a:lnTo>
                                  <a:pt x="2067885" y="9561"/>
                                </a:lnTo>
                                <a:lnTo>
                                  <a:pt x="2059910" y="4184"/>
                                </a:lnTo>
                                <a:lnTo>
                                  <a:pt x="2050144" y="2213"/>
                                </a:lnTo>
                                <a:close/>
                              </a:path>
                              <a:path w="5731510" h="1313815">
                                <a:moveTo>
                                  <a:pt x="3197348" y="13884"/>
                                </a:moveTo>
                                <a:lnTo>
                                  <a:pt x="2462275" y="13884"/>
                                </a:lnTo>
                                <a:lnTo>
                                  <a:pt x="2452509" y="15855"/>
                                </a:lnTo>
                                <a:lnTo>
                                  <a:pt x="2444534" y="21232"/>
                                </a:lnTo>
                                <a:lnTo>
                                  <a:pt x="2439157" y="29207"/>
                                </a:lnTo>
                                <a:lnTo>
                                  <a:pt x="2437185" y="38973"/>
                                </a:lnTo>
                                <a:lnTo>
                                  <a:pt x="2437185" y="331927"/>
                                </a:lnTo>
                                <a:lnTo>
                                  <a:pt x="2439157" y="341693"/>
                                </a:lnTo>
                                <a:lnTo>
                                  <a:pt x="2444534" y="349668"/>
                                </a:lnTo>
                                <a:lnTo>
                                  <a:pt x="2452509" y="355045"/>
                                </a:lnTo>
                                <a:lnTo>
                                  <a:pt x="2462275" y="357017"/>
                                </a:lnTo>
                                <a:lnTo>
                                  <a:pt x="3197348" y="357017"/>
                                </a:lnTo>
                                <a:lnTo>
                                  <a:pt x="3207114" y="355045"/>
                                </a:lnTo>
                                <a:lnTo>
                                  <a:pt x="3215089" y="349668"/>
                                </a:lnTo>
                                <a:lnTo>
                                  <a:pt x="3220466" y="341693"/>
                                </a:lnTo>
                                <a:lnTo>
                                  <a:pt x="3222438" y="331927"/>
                                </a:lnTo>
                                <a:lnTo>
                                  <a:pt x="3222438" y="38973"/>
                                </a:lnTo>
                                <a:lnTo>
                                  <a:pt x="3220466" y="29207"/>
                                </a:lnTo>
                                <a:lnTo>
                                  <a:pt x="3215089" y="21232"/>
                                </a:lnTo>
                                <a:lnTo>
                                  <a:pt x="3207114" y="15855"/>
                                </a:lnTo>
                                <a:lnTo>
                                  <a:pt x="3197348" y="13884"/>
                                </a:lnTo>
                                <a:close/>
                              </a:path>
                              <a:path w="5731510" h="1313815">
                                <a:moveTo>
                                  <a:pt x="831551" y="947015"/>
                                </a:moveTo>
                                <a:lnTo>
                                  <a:pt x="96477" y="947015"/>
                                </a:lnTo>
                                <a:lnTo>
                                  <a:pt x="86711" y="948987"/>
                                </a:lnTo>
                                <a:lnTo>
                                  <a:pt x="78736" y="954363"/>
                                </a:lnTo>
                                <a:lnTo>
                                  <a:pt x="73360" y="962338"/>
                                </a:lnTo>
                                <a:lnTo>
                                  <a:pt x="71388" y="972105"/>
                                </a:lnTo>
                                <a:lnTo>
                                  <a:pt x="71388" y="1288400"/>
                                </a:lnTo>
                                <a:lnTo>
                                  <a:pt x="73360" y="1298166"/>
                                </a:lnTo>
                                <a:lnTo>
                                  <a:pt x="78736" y="1306141"/>
                                </a:lnTo>
                                <a:lnTo>
                                  <a:pt x="86711" y="1311518"/>
                                </a:lnTo>
                                <a:lnTo>
                                  <a:pt x="96477" y="1313490"/>
                                </a:lnTo>
                                <a:lnTo>
                                  <a:pt x="831551" y="1313490"/>
                                </a:lnTo>
                                <a:lnTo>
                                  <a:pt x="841317" y="1311518"/>
                                </a:lnTo>
                                <a:lnTo>
                                  <a:pt x="849292" y="1306141"/>
                                </a:lnTo>
                                <a:lnTo>
                                  <a:pt x="854669" y="1298166"/>
                                </a:lnTo>
                                <a:lnTo>
                                  <a:pt x="856641" y="1288400"/>
                                </a:lnTo>
                                <a:lnTo>
                                  <a:pt x="856641" y="972105"/>
                                </a:lnTo>
                                <a:lnTo>
                                  <a:pt x="854669" y="962338"/>
                                </a:lnTo>
                                <a:lnTo>
                                  <a:pt x="849292" y="954363"/>
                                </a:lnTo>
                                <a:lnTo>
                                  <a:pt x="841317" y="948987"/>
                                </a:lnTo>
                                <a:lnTo>
                                  <a:pt x="831551" y="947015"/>
                                </a:lnTo>
                                <a:close/>
                              </a:path>
                              <a:path w="5731510" h="1313815">
                                <a:moveTo>
                                  <a:pt x="4415941" y="958585"/>
                                </a:moveTo>
                                <a:lnTo>
                                  <a:pt x="3538091" y="958585"/>
                                </a:lnTo>
                                <a:lnTo>
                                  <a:pt x="3528324" y="960557"/>
                                </a:lnTo>
                                <a:lnTo>
                                  <a:pt x="3520349" y="965933"/>
                                </a:lnTo>
                                <a:lnTo>
                                  <a:pt x="3514973" y="973909"/>
                                </a:lnTo>
                                <a:lnTo>
                                  <a:pt x="3513001" y="983675"/>
                                </a:lnTo>
                                <a:lnTo>
                                  <a:pt x="3513001" y="1276830"/>
                                </a:lnTo>
                                <a:lnTo>
                                  <a:pt x="3514973" y="1286596"/>
                                </a:lnTo>
                                <a:lnTo>
                                  <a:pt x="3520349" y="1294571"/>
                                </a:lnTo>
                                <a:lnTo>
                                  <a:pt x="3528324" y="1299948"/>
                                </a:lnTo>
                                <a:lnTo>
                                  <a:pt x="3538091" y="1301920"/>
                                </a:lnTo>
                                <a:lnTo>
                                  <a:pt x="4415941" y="1301920"/>
                                </a:lnTo>
                                <a:lnTo>
                                  <a:pt x="4425707" y="1299948"/>
                                </a:lnTo>
                                <a:lnTo>
                                  <a:pt x="4433682" y="1294571"/>
                                </a:lnTo>
                                <a:lnTo>
                                  <a:pt x="4439059" y="1286596"/>
                                </a:lnTo>
                                <a:lnTo>
                                  <a:pt x="4441031" y="1276830"/>
                                </a:lnTo>
                                <a:lnTo>
                                  <a:pt x="4441031" y="983675"/>
                                </a:lnTo>
                                <a:lnTo>
                                  <a:pt x="4439059" y="973909"/>
                                </a:lnTo>
                                <a:lnTo>
                                  <a:pt x="4433682" y="965933"/>
                                </a:lnTo>
                                <a:lnTo>
                                  <a:pt x="4425707" y="960557"/>
                                </a:lnTo>
                                <a:lnTo>
                                  <a:pt x="4415941" y="958585"/>
                                </a:lnTo>
                                <a:close/>
                              </a:path>
                              <a:path w="5731510" h="1313815">
                                <a:moveTo>
                                  <a:pt x="5705923" y="947149"/>
                                </a:moveTo>
                                <a:lnTo>
                                  <a:pt x="4828072" y="947149"/>
                                </a:lnTo>
                                <a:lnTo>
                                  <a:pt x="4818306" y="949121"/>
                                </a:lnTo>
                                <a:lnTo>
                                  <a:pt x="4810331" y="954498"/>
                                </a:lnTo>
                                <a:lnTo>
                                  <a:pt x="4804954" y="962473"/>
                                </a:lnTo>
                                <a:lnTo>
                                  <a:pt x="4802982" y="972239"/>
                                </a:lnTo>
                                <a:lnTo>
                                  <a:pt x="4802982" y="1288266"/>
                                </a:lnTo>
                                <a:lnTo>
                                  <a:pt x="4804954" y="1298032"/>
                                </a:lnTo>
                                <a:lnTo>
                                  <a:pt x="4810331" y="1306007"/>
                                </a:lnTo>
                                <a:lnTo>
                                  <a:pt x="4818306" y="1311384"/>
                                </a:lnTo>
                                <a:lnTo>
                                  <a:pt x="4828072" y="1313356"/>
                                </a:lnTo>
                                <a:lnTo>
                                  <a:pt x="5705923" y="1313356"/>
                                </a:lnTo>
                                <a:lnTo>
                                  <a:pt x="5715689" y="1311384"/>
                                </a:lnTo>
                                <a:lnTo>
                                  <a:pt x="5723664" y="1306007"/>
                                </a:lnTo>
                                <a:lnTo>
                                  <a:pt x="5729041" y="1298032"/>
                                </a:lnTo>
                                <a:lnTo>
                                  <a:pt x="5731012" y="1288266"/>
                                </a:lnTo>
                                <a:lnTo>
                                  <a:pt x="5731012" y="972239"/>
                                </a:lnTo>
                                <a:lnTo>
                                  <a:pt x="5729041" y="962473"/>
                                </a:lnTo>
                                <a:lnTo>
                                  <a:pt x="5723664" y="954498"/>
                                </a:lnTo>
                                <a:lnTo>
                                  <a:pt x="5715689" y="949121"/>
                                </a:lnTo>
                                <a:lnTo>
                                  <a:pt x="5705923" y="947149"/>
                                </a:lnTo>
                                <a:close/>
                              </a:path>
                            </a:pathLst>
                          </a:custGeom>
                          <a:ln w="5017">
                            <a:solidFill>
                              <a:srgbClr val="000000"/>
                            </a:solidFill>
                            <a:prstDash val="solid"/>
                          </a:ln>
                        </wps:spPr>
                        <wps:bodyPr wrap="square" lIns="0" tIns="0" rIns="0" bIns="0" rtlCol="0">
                          <a:prstTxWarp prst="textNoShape">
                            <a:avLst/>
                          </a:prstTxWarp>
                          <a:noAutofit/>
                        </wps:bodyPr>
                      </wps:wsp>
                      <wps:wsp>
                        <wps:cNvPr id="115" name="Graphic 115"/>
                        <wps:cNvSpPr/>
                        <wps:spPr>
                          <a:xfrm>
                            <a:off x="1035914" y="290826"/>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6" name="Graphic 116"/>
                        <wps:cNvSpPr/>
                        <wps:spPr>
                          <a:xfrm>
                            <a:off x="1319819"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1319819"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18" name="Graphic 118"/>
                        <wps:cNvSpPr/>
                        <wps:spPr>
                          <a:xfrm>
                            <a:off x="2183118" y="290826"/>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19" name="Graphic 119"/>
                        <wps:cNvSpPr/>
                        <wps:spPr>
                          <a:xfrm>
                            <a:off x="2467024" y="268635"/>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2467024" y="268635"/>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1" name="Graphic 121"/>
                        <wps:cNvSpPr/>
                        <wps:spPr>
                          <a:xfrm>
                            <a:off x="569390" y="464902"/>
                            <a:ext cx="2366010" cy="528955"/>
                          </a:xfrm>
                          <a:custGeom>
                            <a:avLst/>
                            <a:gdLst/>
                            <a:ahLst/>
                            <a:cxnLst/>
                            <a:rect l="l" t="t" r="r" b="b"/>
                            <a:pathLst>
                              <a:path w="2366010" h="528955">
                                <a:moveTo>
                                  <a:pt x="2365797" y="0"/>
                                </a:moveTo>
                                <a:lnTo>
                                  <a:pt x="2365797" y="160618"/>
                                </a:lnTo>
                                <a:lnTo>
                                  <a:pt x="0" y="160618"/>
                                </a:lnTo>
                                <a:lnTo>
                                  <a:pt x="0" y="528878"/>
                                </a:lnTo>
                              </a:path>
                            </a:pathLst>
                          </a:custGeom>
                          <a:ln w="10035">
                            <a:solidFill>
                              <a:srgbClr val="000000"/>
                            </a:solidFill>
                            <a:prstDash val="solid"/>
                          </a:ln>
                        </wps:spPr>
                        <wps:bodyPr wrap="square" lIns="0" tIns="0" rIns="0" bIns="0" rtlCol="0">
                          <a:prstTxWarp prst="textNoShape">
                            <a:avLst/>
                          </a:prstTxWarp>
                          <a:noAutofit/>
                        </wps:bodyPr>
                      </wps:wsp>
                      <wps:wsp>
                        <wps:cNvPr id="122" name="Graphic 122"/>
                        <wps:cNvSpPr/>
                        <wps:spPr>
                          <a:xfrm>
                            <a:off x="547199" y="976854"/>
                            <a:ext cx="44450" cy="59055"/>
                          </a:xfrm>
                          <a:custGeom>
                            <a:avLst/>
                            <a:gdLst/>
                            <a:ahLst/>
                            <a:cxnLst/>
                            <a:rect l="l" t="t" r="r" b="b"/>
                            <a:pathLst>
                              <a:path w="44450" h="59055">
                                <a:moveTo>
                                  <a:pt x="44382" y="0"/>
                                </a:moveTo>
                                <a:lnTo>
                                  <a:pt x="22191" y="19435"/>
                                </a:lnTo>
                                <a:lnTo>
                                  <a:pt x="0" y="0"/>
                                </a:lnTo>
                                <a:lnTo>
                                  <a:pt x="22191" y="58737"/>
                                </a:lnTo>
                                <a:lnTo>
                                  <a:pt x="44382"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47199" y="976854"/>
                            <a:ext cx="44450" cy="59055"/>
                          </a:xfrm>
                          <a:custGeom>
                            <a:avLst/>
                            <a:gdLst/>
                            <a:ahLst/>
                            <a:cxnLst/>
                            <a:rect l="l" t="t" r="r" b="b"/>
                            <a:pathLst>
                              <a:path w="44450" h="59055">
                                <a:moveTo>
                                  <a:pt x="22191" y="58737"/>
                                </a:moveTo>
                                <a:lnTo>
                                  <a:pt x="44382" y="0"/>
                                </a:lnTo>
                                <a:lnTo>
                                  <a:pt x="22191" y="19435"/>
                                </a:lnTo>
                                <a:lnTo>
                                  <a:pt x="0" y="0"/>
                                </a:lnTo>
                                <a:lnTo>
                                  <a:pt x="22191" y="58737"/>
                                </a:lnTo>
                                <a:close/>
                              </a:path>
                            </a:pathLst>
                          </a:custGeom>
                          <a:ln w="10035">
                            <a:solidFill>
                              <a:srgbClr val="000000"/>
                            </a:solidFill>
                            <a:prstDash val="solid"/>
                          </a:ln>
                        </wps:spPr>
                        <wps:bodyPr wrap="square" lIns="0" tIns="0" rIns="0" bIns="0" rtlCol="0">
                          <a:prstTxWarp prst="textNoShape">
                            <a:avLst/>
                          </a:prstTxWarp>
                          <a:noAutofit/>
                        </wps:bodyPr>
                      </wps:wsp>
                      <wps:wsp>
                        <wps:cNvPr id="124" name="Graphic 124"/>
                        <wps:cNvSpPr/>
                        <wps:spPr>
                          <a:xfrm>
                            <a:off x="964526"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5" name="Graphic 125"/>
                        <wps:cNvSpPr/>
                        <wps:spPr>
                          <a:xfrm>
                            <a:off x="124843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24843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27" name="Graphic 127"/>
                        <wps:cNvSpPr/>
                        <wps:spPr>
                          <a:xfrm>
                            <a:off x="2111730"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28" name="Graphic 128"/>
                        <wps:cNvSpPr/>
                        <wps:spPr>
                          <a:xfrm>
                            <a:off x="2395635"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2395635"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0" name="Graphic 130"/>
                        <wps:cNvSpPr/>
                        <wps:spPr>
                          <a:xfrm>
                            <a:off x="3258934"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1" name="Graphic 131"/>
                        <wps:cNvSpPr/>
                        <wps:spPr>
                          <a:xfrm>
                            <a:off x="3542839"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3542839"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3" name="Graphic 133"/>
                        <wps:cNvSpPr/>
                        <wps:spPr>
                          <a:xfrm>
                            <a:off x="4548916" y="1235629"/>
                            <a:ext cx="300990" cy="1270"/>
                          </a:xfrm>
                          <a:custGeom>
                            <a:avLst/>
                            <a:gdLst/>
                            <a:ahLst/>
                            <a:cxnLst/>
                            <a:rect l="l" t="t" r="r" b="b"/>
                            <a:pathLst>
                              <a:path w="300990" h="0">
                                <a:moveTo>
                                  <a:pt x="0" y="0"/>
                                </a:moveTo>
                                <a:lnTo>
                                  <a:pt x="300831" y="0"/>
                                </a:lnTo>
                              </a:path>
                            </a:pathLst>
                          </a:custGeom>
                          <a:ln w="10035">
                            <a:solidFill>
                              <a:srgbClr val="000000"/>
                            </a:solidFill>
                            <a:prstDash val="solid"/>
                          </a:ln>
                        </wps:spPr>
                        <wps:bodyPr wrap="square" lIns="0" tIns="0" rIns="0" bIns="0" rtlCol="0">
                          <a:prstTxWarp prst="textNoShape">
                            <a:avLst/>
                          </a:prstTxWarp>
                          <a:noAutofit/>
                        </wps:bodyPr>
                      </wps:wsp>
                      <wps:wsp>
                        <wps:cNvPr id="134" name="Graphic 134"/>
                        <wps:cNvSpPr/>
                        <wps:spPr>
                          <a:xfrm>
                            <a:off x="4832821" y="1213437"/>
                            <a:ext cx="59055" cy="44450"/>
                          </a:xfrm>
                          <a:custGeom>
                            <a:avLst/>
                            <a:gdLst/>
                            <a:ahLst/>
                            <a:cxnLst/>
                            <a:rect l="l" t="t" r="r" b="b"/>
                            <a:pathLst>
                              <a:path w="59055" h="44450">
                                <a:moveTo>
                                  <a:pt x="0" y="0"/>
                                </a:moveTo>
                                <a:lnTo>
                                  <a:pt x="19435" y="22191"/>
                                </a:lnTo>
                                <a:lnTo>
                                  <a:pt x="0" y="44382"/>
                                </a:lnTo>
                                <a:lnTo>
                                  <a:pt x="58737" y="22191"/>
                                </a:lnTo>
                                <a:lnTo>
                                  <a:pt x="0"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4832821" y="1213437"/>
                            <a:ext cx="59055" cy="44450"/>
                          </a:xfrm>
                          <a:custGeom>
                            <a:avLst/>
                            <a:gdLst/>
                            <a:ahLst/>
                            <a:cxnLst/>
                            <a:rect l="l" t="t" r="r" b="b"/>
                            <a:pathLst>
                              <a:path w="59055" h="44450">
                                <a:moveTo>
                                  <a:pt x="58737" y="22191"/>
                                </a:moveTo>
                                <a:lnTo>
                                  <a:pt x="0" y="0"/>
                                </a:lnTo>
                                <a:lnTo>
                                  <a:pt x="19435" y="22191"/>
                                </a:lnTo>
                                <a:lnTo>
                                  <a:pt x="0" y="44382"/>
                                </a:lnTo>
                                <a:lnTo>
                                  <a:pt x="58737" y="22191"/>
                                </a:lnTo>
                                <a:close/>
                              </a:path>
                            </a:pathLst>
                          </a:custGeom>
                          <a:ln w="10035">
                            <a:solidFill>
                              <a:srgbClr val="000000"/>
                            </a:solidFill>
                            <a:prstDash val="solid"/>
                          </a:ln>
                        </wps:spPr>
                        <wps:bodyPr wrap="square" lIns="0" tIns="0" rIns="0" bIns="0" rtlCol="0">
                          <a:prstTxWarp prst="textNoShape">
                            <a:avLst/>
                          </a:prstTxWarp>
                          <a:noAutofit/>
                        </wps:bodyPr>
                      </wps:wsp>
                      <wps:wsp>
                        <wps:cNvPr id="136" name="Graphic 136"/>
                        <wps:cNvSpPr/>
                        <wps:spPr>
                          <a:xfrm>
                            <a:off x="2508" y="2508"/>
                            <a:ext cx="5937250" cy="1519555"/>
                          </a:xfrm>
                          <a:custGeom>
                            <a:avLst/>
                            <a:gdLst/>
                            <a:ahLst/>
                            <a:cxnLst/>
                            <a:rect l="l" t="t" r="r" b="b"/>
                            <a:pathLst>
                              <a:path w="5937250" h="1519555">
                                <a:moveTo>
                                  <a:pt x="3377993" y="0"/>
                                </a:moveTo>
                                <a:lnTo>
                                  <a:pt x="50179" y="0"/>
                                </a:lnTo>
                                <a:lnTo>
                                  <a:pt x="30646" y="3943"/>
                                </a:lnTo>
                                <a:lnTo>
                                  <a:pt x="14696" y="14696"/>
                                </a:lnTo>
                                <a:lnTo>
                                  <a:pt x="3943" y="30646"/>
                                </a:lnTo>
                                <a:lnTo>
                                  <a:pt x="0" y="50179"/>
                                </a:lnTo>
                                <a:lnTo>
                                  <a:pt x="0" y="526456"/>
                                </a:lnTo>
                                <a:lnTo>
                                  <a:pt x="3943" y="545988"/>
                                </a:lnTo>
                                <a:lnTo>
                                  <a:pt x="14696" y="561938"/>
                                </a:lnTo>
                                <a:lnTo>
                                  <a:pt x="30646" y="572692"/>
                                </a:lnTo>
                                <a:lnTo>
                                  <a:pt x="50179" y="576635"/>
                                </a:lnTo>
                                <a:lnTo>
                                  <a:pt x="3377993" y="576635"/>
                                </a:lnTo>
                                <a:lnTo>
                                  <a:pt x="3397525" y="572692"/>
                                </a:lnTo>
                                <a:lnTo>
                                  <a:pt x="3413475" y="561938"/>
                                </a:lnTo>
                                <a:lnTo>
                                  <a:pt x="3424229" y="545988"/>
                                </a:lnTo>
                                <a:lnTo>
                                  <a:pt x="3428172" y="526456"/>
                                </a:lnTo>
                                <a:lnTo>
                                  <a:pt x="3428172" y="50179"/>
                                </a:lnTo>
                                <a:lnTo>
                                  <a:pt x="3424229" y="30646"/>
                                </a:lnTo>
                                <a:lnTo>
                                  <a:pt x="3413475" y="14696"/>
                                </a:lnTo>
                                <a:lnTo>
                                  <a:pt x="3397525" y="3943"/>
                                </a:lnTo>
                                <a:lnTo>
                                  <a:pt x="3377993" y="0"/>
                                </a:lnTo>
                                <a:close/>
                              </a:path>
                              <a:path w="5937250" h="1519555">
                                <a:moveTo>
                                  <a:pt x="5886567" y="947015"/>
                                </a:moveTo>
                                <a:lnTo>
                                  <a:pt x="121567" y="947015"/>
                                </a:lnTo>
                                <a:lnTo>
                                  <a:pt x="102035" y="950958"/>
                                </a:lnTo>
                                <a:lnTo>
                                  <a:pt x="86085" y="961712"/>
                                </a:lnTo>
                                <a:lnTo>
                                  <a:pt x="75331" y="977662"/>
                                </a:lnTo>
                                <a:lnTo>
                                  <a:pt x="71388" y="997194"/>
                                </a:lnTo>
                                <a:lnTo>
                                  <a:pt x="71388" y="1469045"/>
                                </a:lnTo>
                                <a:lnTo>
                                  <a:pt x="75331" y="1488577"/>
                                </a:lnTo>
                                <a:lnTo>
                                  <a:pt x="86085" y="1504527"/>
                                </a:lnTo>
                                <a:lnTo>
                                  <a:pt x="102035" y="1515281"/>
                                </a:lnTo>
                                <a:lnTo>
                                  <a:pt x="121567" y="1519224"/>
                                </a:lnTo>
                                <a:lnTo>
                                  <a:pt x="5886567" y="1519224"/>
                                </a:lnTo>
                                <a:lnTo>
                                  <a:pt x="5906099" y="1515281"/>
                                </a:lnTo>
                                <a:lnTo>
                                  <a:pt x="5922050" y="1504527"/>
                                </a:lnTo>
                                <a:lnTo>
                                  <a:pt x="5932803" y="1488577"/>
                                </a:lnTo>
                                <a:lnTo>
                                  <a:pt x="5936747" y="1469045"/>
                                </a:lnTo>
                                <a:lnTo>
                                  <a:pt x="5936747" y="997194"/>
                                </a:lnTo>
                                <a:lnTo>
                                  <a:pt x="5932803" y="977662"/>
                                </a:lnTo>
                                <a:lnTo>
                                  <a:pt x="5922050" y="961712"/>
                                </a:lnTo>
                                <a:lnTo>
                                  <a:pt x="5906099" y="950958"/>
                                </a:lnTo>
                                <a:lnTo>
                                  <a:pt x="5886567" y="947015"/>
                                </a:lnTo>
                                <a:close/>
                              </a:path>
                            </a:pathLst>
                          </a:custGeom>
                          <a:ln w="5017">
                            <a:solidFill>
                              <a:srgbClr val="000000"/>
                            </a:solidFill>
                            <a:prstDash val="dash"/>
                          </a:ln>
                        </wps:spPr>
                        <wps:bodyPr wrap="square" lIns="0" tIns="0" rIns="0" bIns="0" rtlCol="0">
                          <a:prstTxWarp prst="textNoShape">
                            <a:avLst/>
                          </a:prstTxWarp>
                          <a:noAutofit/>
                        </wps:bodyPr>
                      </wps:wsp>
                      <wps:wsp>
                        <wps:cNvPr id="137" name="Textbox 137"/>
                        <wps:cNvSpPr txBox="1"/>
                        <wps:spPr>
                          <a:xfrm>
                            <a:off x="266057" y="115988"/>
                            <a:ext cx="619760" cy="323215"/>
                          </a:xfrm>
                          <a:prstGeom prst="rect">
                            <a:avLst/>
                          </a:prstGeom>
                        </wps:spPr>
                        <wps:txbx>
                          <w:txbxContent>
                            <w:p>
                              <w:pPr>
                                <w:spacing w:line="266" w:lineRule="auto" w:before="0"/>
                                <w:ind w:left="0" w:right="18" w:firstLine="51"/>
                                <w:jc w:val="left"/>
                                <w:rPr>
                                  <w:sz w:val="21"/>
                                </w:rPr>
                              </w:pPr>
                              <w:r>
                                <w:rPr>
                                  <w:spacing w:val="-2"/>
                                  <w:w w:val="105"/>
                                  <w:sz w:val="21"/>
                                </w:rPr>
                                <w:t>BigQuery </w:t>
                              </w:r>
                              <w:r>
                                <w:rPr>
                                  <w:w w:val="105"/>
                                  <w:sz w:val="21"/>
                                </w:rPr>
                                <w:t>public</w:t>
                              </w:r>
                              <w:r>
                                <w:rPr>
                                  <w:spacing w:val="-13"/>
                                  <w:w w:val="105"/>
                                  <w:sz w:val="21"/>
                                </w:rPr>
                                <w:t> </w:t>
                              </w:r>
                              <w:r>
                                <w:rPr>
                                  <w:spacing w:val="-5"/>
                                  <w:w w:val="105"/>
                                  <w:sz w:val="21"/>
                                </w:rPr>
                                <w:t>logs</w:t>
                              </w:r>
                            </w:p>
                          </w:txbxContent>
                        </wps:txbx>
                        <wps:bodyPr wrap="square" lIns="0" tIns="0" rIns="0" bIns="0" rtlCol="0">
                          <a:noAutofit/>
                        </wps:bodyPr>
                      </wps:wsp>
                      <wps:wsp>
                        <wps:cNvPr id="138" name="Textbox 138"/>
                        <wps:cNvSpPr txBox="1"/>
                        <wps:spPr>
                          <a:xfrm>
                            <a:off x="271849" y="1058575"/>
                            <a:ext cx="607695" cy="323215"/>
                          </a:xfrm>
                          <a:prstGeom prst="rect">
                            <a:avLst/>
                          </a:prstGeom>
                        </wps:spPr>
                        <wps:txbx>
                          <w:txbxContent>
                            <w:p>
                              <w:pPr>
                                <w:spacing w:line="266" w:lineRule="auto" w:before="0"/>
                                <w:ind w:left="222" w:right="18" w:hanging="223"/>
                                <w:jc w:val="left"/>
                                <w:rPr>
                                  <w:sz w:val="21"/>
                                </w:rPr>
                              </w:pPr>
                              <w:r>
                                <w:rPr>
                                  <w:spacing w:val="-2"/>
                                  <w:sz w:val="21"/>
                                </w:rPr>
                                <w:t>Preprocess </w:t>
                              </w:r>
                              <w:r>
                                <w:rPr>
                                  <w:spacing w:val="-2"/>
                                  <w:w w:val="105"/>
                                  <w:sz w:val="21"/>
                                </w:rPr>
                                <w:t>edges</w:t>
                              </w:r>
                            </w:p>
                          </w:txbxContent>
                        </wps:txbx>
                        <wps:bodyPr wrap="square" lIns="0" tIns="0" rIns="0" bIns="0" rtlCol="0">
                          <a:noAutofit/>
                        </wps:bodyPr>
                      </wps:wsp>
                      <wps:wsp>
                        <wps:cNvPr id="139" name="Textbox 139"/>
                        <wps:cNvSpPr txBox="1"/>
                        <wps:spPr>
                          <a:xfrm>
                            <a:off x="3679961" y="1074567"/>
                            <a:ext cx="817244" cy="323215"/>
                          </a:xfrm>
                          <a:prstGeom prst="rect">
                            <a:avLst/>
                          </a:prstGeom>
                        </wps:spPr>
                        <wps:txbx>
                          <w:txbxContent>
                            <w:p>
                              <w:pPr>
                                <w:spacing w:line="266" w:lineRule="auto" w:before="0"/>
                                <w:ind w:left="0" w:right="18" w:firstLine="171"/>
                                <w:jc w:val="left"/>
                                <w:rPr>
                                  <w:sz w:val="21"/>
                                </w:rPr>
                              </w:pPr>
                              <w:r>
                                <w:rPr>
                                  <w:spacing w:val="-2"/>
                                  <w:w w:val="105"/>
                                  <w:sz w:val="21"/>
                                </w:rPr>
                                <w:t>Alignment &amp;</w:t>
                              </w:r>
                              <w:r>
                                <w:rPr>
                                  <w:spacing w:val="-12"/>
                                  <w:w w:val="105"/>
                                  <w:sz w:val="21"/>
                                </w:rPr>
                                <w:t> </w:t>
                              </w:r>
                              <w:r>
                                <w:rPr>
                                  <w:spacing w:val="-2"/>
                                  <w:w w:val="105"/>
                                  <w:sz w:val="21"/>
                                </w:rPr>
                                <w:t>benchmarks</w:t>
                              </w:r>
                            </w:p>
                          </w:txbxContent>
                        </wps:txbx>
                        <wps:bodyPr wrap="square" lIns="0" tIns="0" rIns="0" bIns="0" rtlCol="0">
                          <a:noAutofit/>
                        </wps:bodyPr>
                      </wps:wsp>
                      <wps:wsp>
                        <wps:cNvPr id="140" name="Textbox 140"/>
                        <wps:cNvSpPr txBox="1"/>
                        <wps:spPr>
                          <a:xfrm>
                            <a:off x="5182688" y="1058714"/>
                            <a:ext cx="392430" cy="323215"/>
                          </a:xfrm>
                          <a:prstGeom prst="rect">
                            <a:avLst/>
                          </a:prstGeom>
                        </wps:spPr>
                        <wps:txbx>
                          <w:txbxContent>
                            <w:p>
                              <w:pPr>
                                <w:spacing w:line="266" w:lineRule="auto" w:before="0"/>
                                <w:ind w:left="22" w:right="18" w:hanging="23"/>
                                <w:jc w:val="left"/>
                                <w:rPr>
                                  <w:sz w:val="21"/>
                                </w:rPr>
                              </w:pPr>
                              <w:r>
                                <w:rPr>
                                  <w:spacing w:val="-4"/>
                                  <w:sz w:val="21"/>
                                </w:rPr>
                                <w:t>LaTeX </w:t>
                              </w:r>
                              <w:r>
                                <w:rPr>
                                  <w:spacing w:val="-2"/>
                                  <w:w w:val="105"/>
                                  <w:sz w:val="21"/>
                                </w:rPr>
                                <w:t>export</w:t>
                              </w:r>
                            </w:p>
                          </w:txbxContent>
                        </wps:txbx>
                        <wps:bodyPr wrap="square" lIns="0" tIns="0" rIns="0" bIns="0" rtlCol="0">
                          <a:noAutofit/>
                        </wps:bodyPr>
                      </wps:wsp>
                      <wps:wsp>
                        <wps:cNvPr id="141" name="Textbox 141"/>
                        <wps:cNvSpPr txBox="1"/>
                        <wps:spPr>
                          <a:xfrm>
                            <a:off x="2546056" y="118353"/>
                            <a:ext cx="778510" cy="345440"/>
                          </a:xfrm>
                          <a:prstGeom prst="rect">
                            <a:avLst/>
                          </a:prstGeom>
                        </wps:spPr>
                        <wps:txbx>
                          <w:txbxContent>
                            <w:p>
                              <w:pPr>
                                <w:spacing w:line="266" w:lineRule="auto" w:before="7"/>
                                <w:ind w:left="336" w:right="0" w:hanging="54"/>
                                <w:jc w:val="left"/>
                                <w:rPr>
                                  <w:sz w:val="21"/>
                                </w:rPr>
                              </w:pPr>
                              <w:r>
                                <w:rPr>
                                  <w:spacing w:val="-2"/>
                                  <w:sz w:val="21"/>
                                </w:rPr>
                                <w:t>Decode </w:t>
                              </w:r>
                              <w:r>
                                <w:rPr>
                                  <w:spacing w:val="-2"/>
                                  <w:w w:val="105"/>
                                  <w:sz w:val="21"/>
                                </w:rPr>
                                <w:t>events</w:t>
                              </w:r>
                            </w:p>
                          </w:txbxContent>
                        </wps:txbx>
                        <wps:bodyPr wrap="square" lIns="0" tIns="0" rIns="0" bIns="0" rtlCol="0">
                          <a:noAutofit/>
                        </wps:bodyPr>
                      </wps:wsp>
                      <wps:wsp>
                        <wps:cNvPr id="142" name="Textbox 142"/>
                        <wps:cNvSpPr txBox="1"/>
                        <wps:spPr>
                          <a:xfrm>
                            <a:off x="1398851" y="127224"/>
                            <a:ext cx="778510" cy="327660"/>
                          </a:xfrm>
                          <a:prstGeom prst="rect">
                            <a:avLst/>
                          </a:prstGeom>
                        </wps:spPr>
                        <wps:txbx>
                          <w:txbxContent>
                            <w:p>
                              <w:pPr>
                                <w:spacing w:line="217" w:lineRule="exact" w:before="0"/>
                                <w:ind w:left="0" w:right="0" w:firstLine="0"/>
                                <w:jc w:val="center"/>
                                <w:rPr>
                                  <w:sz w:val="21"/>
                                </w:rPr>
                              </w:pPr>
                              <w:r>
                                <w:rPr>
                                  <w:spacing w:val="-2"/>
                                  <w:w w:val="105"/>
                                  <w:sz w:val="21"/>
                                </w:rPr>
                                <w:t>Extract</w:t>
                              </w:r>
                            </w:p>
                            <w:p>
                              <w:pPr>
                                <w:spacing w:before="27"/>
                                <w:ind w:left="0" w:right="0" w:firstLine="0"/>
                                <w:jc w:val="center"/>
                                <w:rPr>
                                  <w:sz w:val="21"/>
                                </w:rPr>
                              </w:pPr>
                              <w:r>
                                <w:rPr>
                                  <w:spacing w:val="-2"/>
                                  <w:w w:val="105"/>
                                  <w:sz w:val="21"/>
                                </w:rPr>
                                <w:t>(monthly)</w:t>
                              </w:r>
                            </w:p>
                          </w:txbxContent>
                        </wps:txbx>
                        <wps:bodyPr wrap="square" lIns="0" tIns="0" rIns="0" bIns="0" rtlCol="0">
                          <a:noAutofit/>
                        </wps:bodyPr>
                      </wps:wsp>
                      <wps:wsp>
                        <wps:cNvPr id="143" name="Textbox 143"/>
                        <wps:cNvSpPr txBox="1"/>
                        <wps:spPr>
                          <a:xfrm>
                            <a:off x="2471172" y="1066085"/>
                            <a:ext cx="785495" cy="339090"/>
                          </a:xfrm>
                          <a:prstGeom prst="rect">
                            <a:avLst/>
                          </a:prstGeom>
                          <a:ln w="6989">
                            <a:solidFill>
                              <a:srgbClr val="000000"/>
                            </a:solidFill>
                            <a:prstDash val="solid"/>
                          </a:ln>
                        </wps:spPr>
                        <wps:txbx>
                          <w:txbxContent>
                            <w:p>
                              <w:pPr>
                                <w:spacing w:line="266" w:lineRule="auto" w:before="0"/>
                                <w:ind w:left="294" w:right="292" w:firstLine="59"/>
                                <w:jc w:val="left"/>
                                <w:rPr>
                                  <w:sz w:val="21"/>
                                </w:rPr>
                              </w:pPr>
                              <w:r>
                                <w:rPr>
                                  <w:spacing w:val="-4"/>
                                  <w:w w:val="105"/>
                                  <w:sz w:val="21"/>
                                </w:rPr>
                                <w:t>Proxy </w:t>
                              </w:r>
                              <w:r>
                                <w:rPr>
                                  <w:spacing w:val="-2"/>
                                  <w:sz w:val="21"/>
                                </w:rPr>
                                <w:t>metrics</w:t>
                              </w:r>
                            </w:p>
                          </w:txbxContent>
                        </wps:txbx>
                        <wps:bodyPr wrap="square" lIns="0" tIns="0" rIns="0" bIns="0" rtlCol="0">
                          <a:noAutofit/>
                        </wps:bodyPr>
                      </wps:wsp>
                      <wps:wsp>
                        <wps:cNvPr id="144" name="Textbox 144"/>
                        <wps:cNvSpPr txBox="1"/>
                        <wps:spPr>
                          <a:xfrm>
                            <a:off x="1323968" y="1064062"/>
                            <a:ext cx="785495" cy="343535"/>
                          </a:xfrm>
                          <a:prstGeom prst="rect">
                            <a:avLst/>
                          </a:prstGeom>
                          <a:ln w="6989">
                            <a:solidFill>
                              <a:srgbClr val="000000"/>
                            </a:solidFill>
                            <a:prstDash val="solid"/>
                          </a:ln>
                        </wps:spPr>
                        <wps:txbx>
                          <w:txbxContent>
                            <w:p>
                              <w:pPr>
                                <w:spacing w:line="266" w:lineRule="auto" w:before="0"/>
                                <w:ind w:left="342" w:right="172" w:hanging="169"/>
                                <w:jc w:val="left"/>
                                <w:rPr>
                                  <w:sz w:val="21"/>
                                </w:rPr>
                              </w:pPr>
                              <w:r>
                                <w:rPr>
                                  <w:spacing w:val="-2"/>
                                  <w:sz w:val="21"/>
                                </w:rPr>
                                <w:t>PageRank </w:t>
                              </w:r>
                              <w:r>
                                <w:rPr>
                                  <w:spacing w:val="-2"/>
                                  <w:w w:val="105"/>
                                  <w:sz w:val="21"/>
                                </w:rPr>
                                <w:t>scores</w:t>
                              </w:r>
                            </w:p>
                          </w:txbxContent>
                        </wps:txbx>
                        <wps:bodyPr wrap="square" lIns="0" tIns="0" rIns="0" bIns="0" rtlCol="0">
                          <a:noAutofit/>
                        </wps:bodyPr>
                      </wps:wsp>
                    </wpg:wgp>
                  </a:graphicData>
                </a:graphic>
              </wp:anchor>
            </w:drawing>
          </mc:Choice>
          <mc:Fallback>
            <w:pict>
              <v:group style="position:absolute;margin-left:63.718987pt;margin-top:4.196637pt;width:467.9pt;height:120.05pt;mso-position-horizontal-relative:page;mso-position-vertical-relative:paragraph;z-index:-15710208;mso-wrap-distance-left:0;mso-wrap-distance-right:0" id="docshapegroup86" coordorigin="1274,84" coordsize="9358,2401">
                <v:shape style="position:absolute;left:1440;top:249;width:9026;height:2069" id="docshape87" coordorigin="1440,250" coordsize="9026,2069" path="m2862,250l1480,250,1464,253,1452,261,1443,274,1440,289,1440,794,1443,810,1452,822,1464,831,1480,834,2862,834,2878,831,2890,822,2899,810,2902,794,2902,289,2899,274,2890,261,2878,253,2862,250xm4669,253l3511,253,3496,256,3483,265,3475,277,3472,293,3472,791,3475,806,3483,819,3496,827,3511,830,4669,830,4684,827,4697,819,4705,806,4708,791,4708,293,4705,277,4697,265,4684,256,4669,253xm6476,272l5318,272,5303,275,5290,283,5282,296,5278,311,5278,773,5282,788,5290,801,5303,809,5318,812,6476,812,6491,809,6503,801,6512,788,6515,773,6515,311,6512,296,6503,283,6491,275,6476,272xm2750,1741l1592,1741,1577,1744,1564,1753,1556,1765,1553,1781,1553,2279,1556,2294,1564,2307,1577,2315,1592,2318,2750,2318,2765,2315,2778,2307,2786,2294,2789,2279,2789,1781,2786,1765,2778,1753,2765,1744,2750,1741xm8395,1759l7012,1759,6997,1763,6984,1771,6976,1784,6973,1799,6973,2261,6976,2276,6984,2289,6997,2297,7012,2300,8395,2300,8410,2297,8423,2289,8431,2276,8434,2261,8434,1799,8431,1784,8423,1771,8410,1763,8395,1759xm10426,1741l9044,1741,9028,1745,9016,1753,9007,1766,9004,1781,9004,2279,9007,2294,9016,2307,9028,2315,9044,2318,10426,2318,10441,2315,10454,2307,10462,2294,10466,2279,10466,1781,10462,1766,10454,1753,10441,1745,10426,1741xe" filled="false" stroked="true" strokeweight=".395101pt" strokecolor="#000000">
                  <v:path arrowok="t"/>
                  <v:stroke dashstyle="solid"/>
                </v:shape>
                <v:line style="position:absolute" from="2906,542" to="3379,542" stroked="true" strokeweight=".790211pt" strokecolor="#000000">
                  <v:stroke dashstyle="solid"/>
                </v:line>
                <v:shape style="position:absolute;left:3352;top:506;width:93;height:70" id="docshape88" coordorigin="3353,507" coordsize="93,70" path="m3353,507l3383,542,3353,577,3445,542,3353,507xe" filled="true" fillcolor="#000000" stroked="false">
                  <v:path arrowok="t"/>
                  <v:fill type="solid"/>
                </v:shape>
                <v:shape style="position:absolute;left:3352;top:506;width:93;height:70" id="docshape89" coordorigin="3353,507" coordsize="93,70" path="m3445,542l3353,507,3383,542,3353,577,3445,542xe" filled="false" stroked="true" strokeweight=".790211pt" strokecolor="#000000">
                  <v:path arrowok="t"/>
                  <v:stroke dashstyle="solid"/>
                </v:shape>
                <v:line style="position:absolute" from="4712,542" to="5186,542" stroked="true" strokeweight=".790211pt" strokecolor="#000000">
                  <v:stroke dashstyle="solid"/>
                </v:line>
                <v:shape style="position:absolute;left:5159;top:506;width:93;height:70" id="docshape90" coordorigin="5159,507" coordsize="93,70" path="m5159,507l5190,542,5159,577,5252,542,5159,507xe" filled="true" fillcolor="#000000" stroked="false">
                  <v:path arrowok="t"/>
                  <v:fill type="solid"/>
                </v:shape>
                <v:shape style="position:absolute;left:5159;top:506;width:93;height:70" id="docshape91" coordorigin="5159,507" coordsize="93,70" path="m5252,542l5159,507,5190,542,5159,577,5252,542xe" filled="false" stroked="true" strokeweight=".790211pt" strokecolor="#000000">
                  <v:path arrowok="t"/>
                  <v:stroke dashstyle="solid"/>
                </v:shape>
                <v:shape style="position:absolute;left:2171;top:816;width:3726;height:833" id="docshape92" coordorigin="2171,816" coordsize="3726,833" path="m5897,816l5897,1069,2171,1069,2171,1649e" filled="false" stroked="true" strokeweight=".790211pt" strokecolor="#000000">
                  <v:path arrowok="t"/>
                  <v:stroke dashstyle="solid"/>
                </v:shape>
                <v:shape style="position:absolute;left:2136;top:1622;width:70;height:93" id="docshape93" coordorigin="2136,1622" coordsize="70,93" path="m2206,1622l2171,1653,2136,1622,2171,1715,2206,1622xe" filled="true" fillcolor="#000000" stroked="false">
                  <v:path arrowok="t"/>
                  <v:fill type="solid"/>
                </v:shape>
                <v:shape style="position:absolute;left:2136;top:1622;width:70;height:93" id="docshape94" coordorigin="2136,1622" coordsize="70,93" path="m2171,1715l2206,1622,2171,1653,2136,1622,2171,1715xe" filled="false" stroked="true" strokeweight=".790211pt" strokecolor="#000000">
                  <v:path arrowok="t"/>
                  <v:stroke dashstyle="solid"/>
                </v:shape>
                <v:line style="position:absolute" from="2793,2030" to="3267,2030" stroked="true" strokeweight=".790211pt" strokecolor="#000000">
                  <v:stroke dashstyle="solid"/>
                </v:line>
                <v:shape style="position:absolute;left:3240;top:1994;width:93;height:70" id="docshape95" coordorigin="3240,1995" coordsize="93,70" path="m3240,1995l3271,2030,3240,2065,3333,2030,3240,1995xe" filled="true" fillcolor="#000000" stroked="false">
                  <v:path arrowok="t"/>
                  <v:fill type="solid"/>
                </v:shape>
                <v:shape style="position:absolute;left:3240;top:1994;width:93;height:70" id="docshape96" coordorigin="3240,1995" coordsize="93,70" path="m3333,2030l3240,1995,3271,2030,3240,2065,3333,2030xe" filled="false" stroked="true" strokeweight=".790211pt" strokecolor="#000000">
                  <v:path arrowok="t"/>
                  <v:stroke dashstyle="solid"/>
                </v:shape>
                <v:line style="position:absolute" from="4600,2030" to="5074,2030" stroked="true" strokeweight=".790211pt" strokecolor="#000000">
                  <v:stroke dashstyle="solid"/>
                </v:line>
                <v:shape style="position:absolute;left:5047;top:1994;width:93;height:70" id="docshape97" coordorigin="5047,1995" coordsize="93,70" path="m5047,1995l5078,2030,5047,2065,5140,2030,5047,1995xe" filled="true" fillcolor="#000000" stroked="false">
                  <v:path arrowok="t"/>
                  <v:fill type="solid"/>
                </v:shape>
                <v:shape style="position:absolute;left:5047;top:1994;width:93;height:70" id="docshape98" coordorigin="5047,1995" coordsize="93,70" path="m5140,2030l5047,1995,5078,2030,5047,2065,5140,2030xe" filled="false" stroked="true" strokeweight=".790211pt" strokecolor="#000000">
                  <v:path arrowok="t"/>
                  <v:stroke dashstyle="solid"/>
                </v:shape>
                <v:line style="position:absolute" from="6407,2030" to="6880,2030" stroked="true" strokeweight=".790211pt" strokecolor="#000000">
                  <v:stroke dashstyle="solid"/>
                </v:line>
                <v:shape style="position:absolute;left:6853;top:1994;width:93;height:70" id="docshape99" coordorigin="6854,1995" coordsize="93,70" path="m6854,1995l6884,2030,6854,2065,6946,2030,6854,1995xe" filled="true" fillcolor="#000000" stroked="false">
                  <v:path arrowok="t"/>
                  <v:fill type="solid"/>
                </v:shape>
                <v:shape style="position:absolute;left:6853;top:1994;width:93;height:70" id="docshape100" coordorigin="6854,1995" coordsize="93,70" path="m6946,2030l6854,1995,6884,2030,6854,2065,6946,2030xe" filled="false" stroked="true" strokeweight=".790211pt" strokecolor="#000000">
                  <v:path arrowok="t"/>
                  <v:stroke dashstyle="solid"/>
                </v:shape>
                <v:line style="position:absolute" from="8438,2030" to="8912,2030" stroked="true" strokeweight=".790211pt" strokecolor="#000000">
                  <v:stroke dashstyle="solid"/>
                </v:line>
                <v:shape style="position:absolute;left:8885;top:1994;width:93;height:70" id="docshape101" coordorigin="8885,1995" coordsize="93,70" path="m8885,1995l8916,2030,8885,2065,8978,2030,8885,1995xe" filled="true" fillcolor="#000000" stroked="false">
                  <v:path arrowok="t"/>
                  <v:fill type="solid"/>
                </v:shape>
                <v:shape style="position:absolute;left:8885;top:1994;width:93;height:70" id="docshape102" coordorigin="8885,1995" coordsize="93,70" path="m8978,2030l8885,1995,8916,2030,8885,2065,8978,2030xe" filled="false" stroked="true" strokeweight=".790211pt" strokecolor="#000000">
                  <v:path arrowok="t"/>
                  <v:stroke dashstyle="solid"/>
                </v:shape>
                <v:shape style="position:absolute;left:1278;top:87;width:9350;height:2393" id="docshape103" coordorigin="1278,88" coordsize="9350,2393" path="m6598,88l1357,88,1327,94,1301,111,1285,136,1278,167,1278,917,1285,948,1301,973,1327,990,1357,996,6598,996,6629,990,6654,973,6671,948,6677,917,6677,167,6671,136,6654,111,6629,94,6598,88xm10549,1579l1470,1579,1439,1585,1414,1602,1397,1628,1391,1658,1391,2401,1397,2432,1414,2457,1439,2474,1470,2480,10549,2480,10579,2474,10604,2457,10621,2432,10628,2401,10628,1658,10621,1628,10604,1602,10579,1585,10549,1579xe" filled="false" stroked="true" strokeweight=".395101pt" strokecolor="#000000">
                  <v:path arrowok="t"/>
                  <v:stroke dashstyle="dash"/>
                </v:shape>
                <v:shape style="position:absolute;left:1693;top:266;width:976;height:509" type="#_x0000_t202" id="docshape104" filled="false" stroked="false">
                  <v:textbox inset="0,0,0,0">
                    <w:txbxContent>
                      <w:p>
                        <w:pPr>
                          <w:spacing w:line="266" w:lineRule="auto" w:before="0"/>
                          <w:ind w:left="0" w:right="18" w:firstLine="51"/>
                          <w:jc w:val="left"/>
                          <w:rPr>
                            <w:sz w:val="21"/>
                          </w:rPr>
                        </w:pPr>
                        <w:r>
                          <w:rPr>
                            <w:spacing w:val="-2"/>
                            <w:w w:val="105"/>
                            <w:sz w:val="21"/>
                          </w:rPr>
                          <w:t>BigQuery </w:t>
                        </w:r>
                        <w:r>
                          <w:rPr>
                            <w:w w:val="105"/>
                            <w:sz w:val="21"/>
                          </w:rPr>
                          <w:t>public</w:t>
                        </w:r>
                        <w:r>
                          <w:rPr>
                            <w:spacing w:val="-13"/>
                            <w:w w:val="105"/>
                            <w:sz w:val="21"/>
                          </w:rPr>
                          <w:t> </w:t>
                        </w:r>
                        <w:r>
                          <w:rPr>
                            <w:spacing w:val="-5"/>
                            <w:w w:val="105"/>
                            <w:sz w:val="21"/>
                          </w:rPr>
                          <w:t>logs</w:t>
                        </w:r>
                      </w:p>
                    </w:txbxContent>
                  </v:textbox>
                  <w10:wrap type="none"/>
                </v:shape>
                <v:shape style="position:absolute;left:1702;top:1750;width:957;height:509" type="#_x0000_t202" id="docshape105" filled="false" stroked="false">
                  <v:textbox inset="0,0,0,0">
                    <w:txbxContent>
                      <w:p>
                        <w:pPr>
                          <w:spacing w:line="266" w:lineRule="auto" w:before="0"/>
                          <w:ind w:left="222" w:right="18" w:hanging="223"/>
                          <w:jc w:val="left"/>
                          <w:rPr>
                            <w:sz w:val="21"/>
                          </w:rPr>
                        </w:pPr>
                        <w:r>
                          <w:rPr>
                            <w:spacing w:val="-2"/>
                            <w:sz w:val="21"/>
                          </w:rPr>
                          <w:t>Preprocess </w:t>
                        </w:r>
                        <w:r>
                          <w:rPr>
                            <w:spacing w:val="-2"/>
                            <w:w w:val="105"/>
                            <w:sz w:val="21"/>
                          </w:rPr>
                          <w:t>edges</w:t>
                        </w:r>
                      </w:p>
                    </w:txbxContent>
                  </v:textbox>
                  <w10:wrap type="none"/>
                </v:shape>
                <v:shape style="position:absolute;left:7069;top:1776;width:1287;height:509" type="#_x0000_t202" id="docshape106" filled="false" stroked="false">
                  <v:textbox inset="0,0,0,0">
                    <w:txbxContent>
                      <w:p>
                        <w:pPr>
                          <w:spacing w:line="266" w:lineRule="auto" w:before="0"/>
                          <w:ind w:left="0" w:right="18" w:firstLine="171"/>
                          <w:jc w:val="left"/>
                          <w:rPr>
                            <w:sz w:val="21"/>
                          </w:rPr>
                        </w:pPr>
                        <w:r>
                          <w:rPr>
                            <w:spacing w:val="-2"/>
                            <w:w w:val="105"/>
                            <w:sz w:val="21"/>
                          </w:rPr>
                          <w:t>Alignment &amp;</w:t>
                        </w:r>
                        <w:r>
                          <w:rPr>
                            <w:spacing w:val="-12"/>
                            <w:w w:val="105"/>
                            <w:sz w:val="21"/>
                          </w:rPr>
                          <w:t> </w:t>
                        </w:r>
                        <w:r>
                          <w:rPr>
                            <w:spacing w:val="-2"/>
                            <w:w w:val="105"/>
                            <w:sz w:val="21"/>
                          </w:rPr>
                          <w:t>benchmarks</w:t>
                        </w:r>
                      </w:p>
                    </w:txbxContent>
                  </v:textbox>
                  <w10:wrap type="none"/>
                </v:shape>
                <v:shape style="position:absolute;left:9436;top:1751;width:618;height:509" type="#_x0000_t202" id="docshape107" filled="false" stroked="false">
                  <v:textbox inset="0,0,0,0">
                    <w:txbxContent>
                      <w:p>
                        <w:pPr>
                          <w:spacing w:line="266" w:lineRule="auto" w:before="0"/>
                          <w:ind w:left="22" w:right="18" w:hanging="23"/>
                          <w:jc w:val="left"/>
                          <w:rPr>
                            <w:sz w:val="21"/>
                          </w:rPr>
                        </w:pPr>
                        <w:r>
                          <w:rPr>
                            <w:spacing w:val="-4"/>
                            <w:sz w:val="21"/>
                          </w:rPr>
                          <w:t>LaTeX </w:t>
                        </w:r>
                        <w:r>
                          <w:rPr>
                            <w:spacing w:val="-2"/>
                            <w:w w:val="105"/>
                            <w:sz w:val="21"/>
                          </w:rPr>
                          <w:t>export</w:t>
                        </w:r>
                      </w:p>
                    </w:txbxContent>
                  </v:textbox>
                  <w10:wrap type="none"/>
                </v:shape>
                <v:shape style="position:absolute;left:5283;top:270;width:1226;height:544" type="#_x0000_t202" id="docshape108" filled="false" stroked="false">
                  <v:textbox inset="0,0,0,0">
                    <w:txbxContent>
                      <w:p>
                        <w:pPr>
                          <w:spacing w:line="266" w:lineRule="auto" w:before="7"/>
                          <w:ind w:left="336" w:right="0" w:hanging="54"/>
                          <w:jc w:val="left"/>
                          <w:rPr>
                            <w:sz w:val="21"/>
                          </w:rPr>
                        </w:pPr>
                        <w:r>
                          <w:rPr>
                            <w:spacing w:val="-2"/>
                            <w:sz w:val="21"/>
                          </w:rPr>
                          <w:t>Decode </w:t>
                        </w:r>
                        <w:r>
                          <w:rPr>
                            <w:spacing w:val="-2"/>
                            <w:w w:val="105"/>
                            <w:sz w:val="21"/>
                          </w:rPr>
                          <w:t>events</w:t>
                        </w:r>
                      </w:p>
                    </w:txbxContent>
                  </v:textbox>
                  <w10:wrap type="none"/>
                </v:shape>
                <v:shape style="position:absolute;left:3477;top:284;width:1226;height:516" type="#_x0000_t202" id="docshape109" filled="false" stroked="false">
                  <v:textbox inset="0,0,0,0">
                    <w:txbxContent>
                      <w:p>
                        <w:pPr>
                          <w:spacing w:line="217" w:lineRule="exact" w:before="0"/>
                          <w:ind w:left="0" w:right="0" w:firstLine="0"/>
                          <w:jc w:val="center"/>
                          <w:rPr>
                            <w:sz w:val="21"/>
                          </w:rPr>
                        </w:pPr>
                        <w:r>
                          <w:rPr>
                            <w:spacing w:val="-2"/>
                            <w:w w:val="105"/>
                            <w:sz w:val="21"/>
                          </w:rPr>
                          <w:t>Extract</w:t>
                        </w:r>
                      </w:p>
                      <w:p>
                        <w:pPr>
                          <w:spacing w:before="27"/>
                          <w:ind w:left="0" w:right="0" w:firstLine="0"/>
                          <w:jc w:val="center"/>
                          <w:rPr>
                            <w:sz w:val="21"/>
                          </w:rPr>
                        </w:pPr>
                        <w:r>
                          <w:rPr>
                            <w:spacing w:val="-2"/>
                            <w:w w:val="105"/>
                            <w:sz w:val="21"/>
                          </w:rPr>
                          <w:t>(monthly)</w:t>
                        </w:r>
                      </w:p>
                    </w:txbxContent>
                  </v:textbox>
                  <w10:wrap type="none"/>
                </v:shape>
                <v:shape style="position:absolute;left:5166;top:1762;width:1237;height:534" type="#_x0000_t202" id="docshape110" filled="false" stroked="true" strokeweight=".550349pt" strokecolor="#000000">
                  <v:textbox inset="0,0,0,0">
                    <w:txbxContent>
                      <w:p>
                        <w:pPr>
                          <w:spacing w:line="266" w:lineRule="auto" w:before="0"/>
                          <w:ind w:left="294" w:right="292" w:firstLine="59"/>
                          <w:jc w:val="left"/>
                          <w:rPr>
                            <w:sz w:val="21"/>
                          </w:rPr>
                        </w:pPr>
                        <w:r>
                          <w:rPr>
                            <w:spacing w:val="-4"/>
                            <w:w w:val="105"/>
                            <w:sz w:val="21"/>
                          </w:rPr>
                          <w:t>Proxy </w:t>
                        </w:r>
                        <w:r>
                          <w:rPr>
                            <w:spacing w:val="-2"/>
                            <w:sz w:val="21"/>
                          </w:rPr>
                          <w:t>metrics</w:t>
                        </w:r>
                      </w:p>
                    </w:txbxContent>
                  </v:textbox>
                  <v:stroke dashstyle="solid"/>
                  <w10:wrap type="none"/>
                </v:shape>
                <v:shape style="position:absolute;left:3359;top:1759;width:1237;height:541" type="#_x0000_t202" id="docshape111" filled="false" stroked="true" strokeweight=".550346pt" strokecolor="#000000">
                  <v:textbox inset="0,0,0,0">
                    <w:txbxContent>
                      <w:p>
                        <w:pPr>
                          <w:spacing w:line="266" w:lineRule="auto" w:before="0"/>
                          <w:ind w:left="342" w:right="172" w:hanging="169"/>
                          <w:jc w:val="left"/>
                          <w:rPr>
                            <w:sz w:val="21"/>
                          </w:rPr>
                        </w:pPr>
                        <w:r>
                          <w:rPr>
                            <w:spacing w:val="-2"/>
                            <w:sz w:val="21"/>
                          </w:rPr>
                          <w:t>PageRank </w:t>
                        </w:r>
                        <w:r>
                          <w:rPr>
                            <w:spacing w:val="-2"/>
                            <w:w w:val="105"/>
                            <w:sz w:val="21"/>
                          </w:rPr>
                          <w:t>scores</w:t>
                        </w:r>
                      </w:p>
                    </w:txbxContent>
                  </v:textbox>
                  <v:stroke dashstyle="solid"/>
                  <w10:wrap type="none"/>
                </v:shape>
                <w10:wrap type="topAndBottom"/>
              </v:group>
            </w:pict>
          </mc:Fallback>
        </mc:AlternateContent>
      </w:r>
    </w:p>
    <w:p>
      <w:pPr>
        <w:spacing w:before="42"/>
        <w:ind w:left="774" w:right="943" w:firstLine="0"/>
        <w:jc w:val="center"/>
        <w:rPr>
          <w:sz w:val="19"/>
        </w:rPr>
      </w:pPr>
      <w:r>
        <w:rPr>
          <w:w w:val="105"/>
          <w:sz w:val="19"/>
        </w:rPr>
        <w:t>Local</w:t>
      </w:r>
      <w:r>
        <w:rPr>
          <w:spacing w:val="-7"/>
          <w:w w:val="105"/>
          <w:sz w:val="19"/>
        </w:rPr>
        <w:t> </w:t>
      </w:r>
      <w:r>
        <w:rPr>
          <w:w w:val="105"/>
          <w:sz w:val="19"/>
        </w:rPr>
        <w:t>/</w:t>
      </w:r>
      <w:r>
        <w:rPr>
          <w:spacing w:val="-6"/>
          <w:w w:val="105"/>
          <w:sz w:val="19"/>
        </w:rPr>
        <w:t> </w:t>
      </w:r>
      <w:r>
        <w:rPr>
          <w:spacing w:val="-2"/>
          <w:w w:val="105"/>
          <w:sz w:val="19"/>
        </w:rPr>
        <w:t>reproducible</w:t>
      </w:r>
    </w:p>
    <w:p>
      <w:pPr>
        <w:spacing w:before="42"/>
        <w:ind w:left="774" w:right="943" w:firstLine="0"/>
        <w:jc w:val="center"/>
        <w:rPr>
          <w:sz w:val="19"/>
        </w:rPr>
      </w:pPr>
      <w:r>
        <w:rPr>
          <w:i/>
        </w:rPr>
        <w:t>로컬/재현 가능</w:t>
      </w:r>
    </w:p>
    <w:p>
      <w:pPr>
        <w:pStyle w:val="BodyText"/>
        <w:spacing w:before="39"/>
        <w:rPr>
          <w:sz w:val="19"/>
        </w:rPr>
      </w:pPr>
    </w:p>
    <w:p>
      <w:pPr>
        <w:pStyle w:val="BodyText"/>
        <w:spacing w:line="252" w:lineRule="auto" w:before="1"/>
        <w:ind w:left="282" w:right="563"/>
        <w:jc w:val="both"/>
      </w:pPr>
      <w:r>
        <w:rPr/>
        <w:t>Figure</w:t>
      </w:r>
      <w:r>
        <w:rPr>
          <w:spacing w:val="-9"/>
        </w:rPr>
        <w:t> </w:t>
      </w:r>
      <w:r>
        <w:rPr/>
        <w:t>3.1: Evaluation</w:t>
      </w:r>
      <w:r>
        <w:rPr>
          <w:spacing w:val="-9"/>
        </w:rPr>
        <w:t> </w:t>
      </w:r>
      <w:r>
        <w:rPr/>
        <w:t>pipeline: public</w:t>
      </w:r>
      <w:r>
        <w:rPr>
          <w:spacing w:val="-9"/>
        </w:rPr>
        <w:t> </w:t>
      </w:r>
      <w:r>
        <w:rPr/>
        <w:t>Arbitrum</w:t>
      </w:r>
      <w:r>
        <w:rPr>
          <w:spacing w:val="-9"/>
        </w:rPr>
        <w:t> </w:t>
      </w:r>
      <w:r>
        <w:rPr/>
        <w:t>logs</w:t>
      </w:r>
      <w:r>
        <w:rPr>
          <w:spacing w:val="-9"/>
        </w:rPr>
        <w:t> </w:t>
      </w:r>
      <w:r>
        <w:rPr/>
        <w:t>are</w:t>
      </w:r>
      <w:r>
        <w:rPr>
          <w:spacing w:val="-9"/>
        </w:rPr>
        <w:t> </w:t>
      </w:r>
      <w:r>
        <w:rPr/>
        <w:t>extracted</w:t>
      </w:r>
      <w:r>
        <w:rPr>
          <w:spacing w:val="-9"/>
        </w:rPr>
        <w:t> </w:t>
      </w:r>
      <w:r>
        <w:rPr/>
        <w:t>and</w:t>
      </w:r>
      <w:r>
        <w:rPr>
          <w:spacing w:val="-9"/>
        </w:rPr>
        <w:t> </w:t>
      </w:r>
      <w:r>
        <w:rPr/>
        <w:t>decoded,</w:t>
      </w:r>
      <w:r>
        <w:rPr>
          <w:spacing w:val="-8"/>
        </w:rPr>
        <w:t> </w:t>
      </w:r>
      <w:r>
        <w:rPr/>
        <w:t>reputation</w:t>
      </w:r>
      <w:r>
        <w:rPr>
          <w:spacing w:val="-9"/>
        </w:rPr>
        <w:t> </w:t>
      </w:r>
      <w:r>
        <w:rPr/>
        <w:t>edges and GMX outcomes are preprocessed, EndorseRank and AWP ranks are computed, proxies and alignment statistics are evaluated, and LaTeX result fragments are exported.</w:t>
      </w:r>
    </w:p>
    <w:p>
      <w:pPr>
        <w:pStyle w:val="BodyText"/>
        <w:spacing w:line="252" w:lineRule="auto" w:before="1"/>
        <w:ind w:left="282" w:right="563"/>
        <w:jc w:val="both"/>
      </w:pPr>
      <w:r>
        <w:rPr>
          <w:i/>
        </w:rPr>
        <w:t>그림 3.1: 평가 파이프라인: 공개 Arbitrum 로그가 추출 및 디코딩되고, 평판 에지 및 GMX 결과가 사전 처리되고, EndorseRank 및 AWP 순위가 계산되고, 프록시 및 정렬 통계가 평가되고, LaTeX 결과 조각이 내보내집니다.</w:t>
      </w:r>
    </w:p>
    <w:p>
      <w:pPr>
        <w:pStyle w:val="BodyText"/>
        <w:spacing w:before="202"/>
      </w:pPr>
    </w:p>
    <w:p>
      <w:pPr>
        <w:pStyle w:val="BodyText"/>
        <w:spacing w:line="396" w:lineRule="auto" w:before="1"/>
        <w:ind w:left="282" w:right="543"/>
        <w:jc w:val="both"/>
      </w:pPr>
      <w:r>
        <w:rPr/>
        <w:t>Operationally, Phase 1 scripts write GMX raw logs and decoded events; Phase 2 scripts write monthly</w:t>
      </w:r>
      <w:r>
        <w:rPr>
          <w:spacing w:val="44"/>
        </w:rPr>
        <w:t> </w:t>
      </w:r>
      <w:r>
        <w:rPr/>
        <w:t>approval/transfer</w:t>
      </w:r>
      <w:r>
        <w:rPr>
          <w:spacing w:val="45"/>
        </w:rPr>
        <w:t> </w:t>
      </w:r>
      <w:r>
        <w:rPr/>
        <w:t>shards</w:t>
      </w:r>
      <w:r>
        <w:rPr>
          <w:spacing w:val="46"/>
        </w:rPr>
        <w:t> </w:t>
      </w:r>
      <w:r>
        <w:rPr/>
        <w:t>and</w:t>
      </w:r>
      <w:r>
        <w:rPr>
          <w:spacing w:val="45"/>
        </w:rPr>
        <w:t> </w:t>
      </w:r>
      <w:r>
        <w:rPr/>
        <w:t>consolidated</w:t>
      </w:r>
      <w:r>
        <w:rPr>
          <w:spacing w:val="46"/>
        </w:rPr>
        <w:t> </w:t>
      </w:r>
      <w:r>
        <w:rPr/>
        <w:t>latest-allowance</w:t>
      </w:r>
      <w:r>
        <w:rPr>
          <w:spacing w:val="45"/>
        </w:rPr>
        <w:t> </w:t>
      </w:r>
      <w:r>
        <w:rPr/>
        <w:t>and</w:t>
      </w:r>
      <w:r>
        <w:rPr>
          <w:spacing w:val="46"/>
        </w:rPr>
        <w:t> </w:t>
      </w:r>
      <w:r>
        <w:rPr/>
        <w:t>transfer-event</w:t>
      </w:r>
      <w:r>
        <w:rPr>
          <w:spacing w:val="45"/>
        </w:rPr>
        <w:t> </w:t>
      </w:r>
      <w:r>
        <w:rPr>
          <w:spacing w:val="-2"/>
        </w:rPr>
        <w:t>tables;</w:t>
      </w:r>
    </w:p>
    <w:p>
      <w:pPr>
        <w:pStyle w:val="BodyText"/>
        <w:spacing w:line="396" w:lineRule="auto" w:before="1"/>
        <w:ind w:left="282" w:right="543"/>
        <w:jc w:val="both"/>
      </w:pPr>
      <w:r>
        <w:rPr>
          <w:i/>
        </w:rPr>
        <w:t>운영상 1단계 스크립트는 GMX 원시 로그 및 디코딩된 이벤트를 작성하고, 2단계 스크립트는 월별 승인/이전 샤드와 통합된 최신 허용 및 이전 이벤트 테이블을 작성합니다.</w:t>
      </w:r>
    </w:p>
    <w:p>
      <w:pPr>
        <w:pStyle w:val="BodyText"/>
        <w:spacing w:before="9"/>
        <w:rPr>
          <w:sz w:val="15"/>
        </w:rPr>
      </w:pPr>
      <w:r>
        <w:rPr>
          <w:sz w:val="15"/>
        </w:rPr>
        <mc:AlternateContent>
          <mc:Choice Requires="wps">
            <w:drawing>
              <wp:anchor distT="0" distB="0" distL="0" distR="0" allowOverlap="1" layoutInCell="1" locked="0" behindDoc="1" simplePos="0" relativeHeight="487606784">
                <wp:simplePos x="0" y="0"/>
                <wp:positionH relativeFrom="page">
                  <wp:posOffset>809244</wp:posOffset>
                </wp:positionH>
                <wp:positionV relativeFrom="paragraph">
                  <wp:posOffset>131050</wp:posOffset>
                </wp:positionV>
                <wp:extent cx="237680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0.318942pt;width:187.15pt;height:.1pt;mso-position-horizontal-relative:page;mso-position-vertical-relative:paragraph;z-index:-15709696;mso-wrap-distance-left:0;mso-wrap-distance-right:0" id="docshape112" coordorigin="1274,206" coordsize="3743,0" path="m1274,206l5017,206e" filled="false" stroked="true" strokeweight=".3985pt" strokecolor="#000000">
                <v:path arrowok="t"/>
                <v:stroke dashstyle="solid"/>
                <w10:wrap type="topAndBottom"/>
              </v:shape>
            </w:pict>
          </mc:Fallback>
        </mc:AlternateContent>
      </w:r>
    </w:p>
    <w:p>
      <w:pPr>
        <w:spacing w:before="32"/>
        <w:ind w:left="282" w:right="0" w:firstLine="0"/>
        <w:jc w:val="left"/>
        <w:rPr>
          <w:sz w:val="20"/>
        </w:rPr>
      </w:pPr>
      <w:r>
        <w:rPr>
          <w:sz w:val="20"/>
          <w:vertAlign w:val="superscript"/>
        </w:rPr>
        <w:t>1</w:t>
      </w:r>
      <w:bookmarkStart w:name="_bookmark57" w:id="102"/>
      <w:bookmarkEnd w:id="102"/>
      <w:r>
        <w:rPr>
          <w:sz w:val="20"/>
          <w:vertAlign w:val="baseline"/>
        </w:rPr>
        <w:t>The</w:t>
      </w:r>
      <w:r>
        <w:rPr>
          <w:spacing w:val="-8"/>
          <w:sz w:val="20"/>
          <w:vertAlign w:val="baseline"/>
        </w:rPr>
        <w:t> </w:t>
      </w:r>
      <w:r>
        <w:rPr>
          <w:sz w:val="20"/>
          <w:vertAlign w:val="baseline"/>
        </w:rPr>
        <w:t>per-query</w:t>
      </w:r>
      <w:r>
        <w:rPr>
          <w:spacing w:val="-8"/>
          <w:sz w:val="20"/>
          <w:vertAlign w:val="baseline"/>
        </w:rPr>
        <w:t> </w:t>
      </w:r>
      <w:r>
        <w:rPr>
          <w:sz w:val="20"/>
          <w:vertAlign w:val="baseline"/>
        </w:rPr>
        <w:t>byte</w:t>
      </w:r>
      <w:r>
        <w:rPr>
          <w:spacing w:val="-7"/>
          <w:sz w:val="20"/>
          <w:vertAlign w:val="baseline"/>
        </w:rPr>
        <w:t> </w:t>
      </w:r>
      <w:r>
        <w:rPr>
          <w:sz w:val="20"/>
          <w:vertAlign w:val="baseline"/>
        </w:rPr>
        <w:t>cap</w:t>
      </w:r>
      <w:r>
        <w:rPr>
          <w:spacing w:val="-7"/>
          <w:sz w:val="20"/>
          <w:vertAlign w:val="baseline"/>
        </w:rPr>
        <w:t> </w:t>
      </w:r>
      <w:r>
        <w:rPr>
          <w:sz w:val="20"/>
          <w:vertAlign w:val="baseline"/>
        </w:rPr>
        <w:t>is</w:t>
      </w:r>
      <w:r>
        <w:rPr>
          <w:spacing w:val="-7"/>
          <w:sz w:val="20"/>
          <w:vertAlign w:val="baseline"/>
        </w:rPr>
        <w:t> </w:t>
      </w:r>
      <w:r>
        <w:rPr>
          <w:sz w:val="20"/>
          <w:vertAlign w:val="baseline"/>
        </w:rPr>
        <w:t>an</w:t>
      </w:r>
      <w:r>
        <w:rPr>
          <w:spacing w:val="-7"/>
          <w:sz w:val="20"/>
          <w:vertAlign w:val="baseline"/>
        </w:rPr>
        <w:t> </w:t>
      </w:r>
      <w:r>
        <w:rPr>
          <w:sz w:val="20"/>
          <w:vertAlign w:val="baseline"/>
        </w:rPr>
        <w:t>operational</w:t>
      </w:r>
      <w:r>
        <w:rPr>
          <w:spacing w:val="-7"/>
          <w:sz w:val="20"/>
          <w:vertAlign w:val="baseline"/>
        </w:rPr>
        <w:t> </w:t>
      </w:r>
      <w:r>
        <w:rPr>
          <w:sz w:val="20"/>
          <w:vertAlign w:val="baseline"/>
        </w:rPr>
        <w:t>policy</w:t>
      </w:r>
      <w:r>
        <w:rPr>
          <w:spacing w:val="-8"/>
          <w:sz w:val="20"/>
          <w:vertAlign w:val="baseline"/>
        </w:rPr>
        <w:t> </w:t>
      </w:r>
      <w:r>
        <w:rPr>
          <w:sz w:val="20"/>
          <w:vertAlign w:val="baseline"/>
        </w:rPr>
        <w:t>of</w:t>
      </w:r>
      <w:r>
        <w:rPr>
          <w:spacing w:val="-7"/>
          <w:sz w:val="20"/>
          <w:vertAlign w:val="baseline"/>
        </w:rPr>
        <w:t> </w:t>
      </w:r>
      <w:r>
        <w:rPr>
          <w:sz w:val="20"/>
          <w:vertAlign w:val="baseline"/>
        </w:rPr>
        <w:t>this</w:t>
      </w:r>
      <w:r>
        <w:rPr>
          <w:spacing w:val="-8"/>
          <w:sz w:val="20"/>
          <w:vertAlign w:val="baseline"/>
        </w:rPr>
        <w:t> </w:t>
      </w:r>
      <w:r>
        <w:rPr>
          <w:sz w:val="20"/>
          <w:vertAlign w:val="baseline"/>
        </w:rPr>
        <w:t>study’s</w:t>
      </w:r>
      <w:r>
        <w:rPr>
          <w:spacing w:val="-8"/>
          <w:sz w:val="20"/>
          <w:vertAlign w:val="baseline"/>
        </w:rPr>
        <w:t> </w:t>
      </w:r>
      <w:r>
        <w:rPr>
          <w:sz w:val="20"/>
          <w:vertAlign w:val="baseline"/>
        </w:rPr>
        <w:t>acquisition</w:t>
      </w:r>
      <w:r>
        <w:rPr>
          <w:spacing w:val="-7"/>
          <w:sz w:val="20"/>
          <w:vertAlign w:val="baseline"/>
        </w:rPr>
        <w:t> </w:t>
      </w:r>
      <w:r>
        <w:rPr>
          <w:sz w:val="20"/>
          <w:vertAlign w:val="baseline"/>
        </w:rPr>
        <w:t>pipeline,</w:t>
      </w:r>
      <w:r>
        <w:rPr>
          <w:spacing w:val="-7"/>
          <w:sz w:val="20"/>
          <w:vertAlign w:val="baseline"/>
        </w:rPr>
        <w:t> </w:t>
      </w:r>
      <w:r>
        <w:rPr>
          <w:sz w:val="20"/>
          <w:vertAlign w:val="baseline"/>
        </w:rPr>
        <w:t>not</w:t>
      </w:r>
      <w:r>
        <w:rPr>
          <w:spacing w:val="-7"/>
          <w:sz w:val="20"/>
          <w:vertAlign w:val="baseline"/>
        </w:rPr>
        <w:t> </w:t>
      </w:r>
      <w:r>
        <w:rPr>
          <w:sz w:val="20"/>
          <w:vertAlign w:val="baseline"/>
        </w:rPr>
        <w:t>a</w:t>
      </w:r>
      <w:r>
        <w:rPr>
          <w:spacing w:val="-7"/>
          <w:sz w:val="20"/>
          <w:vertAlign w:val="baseline"/>
        </w:rPr>
        <w:t> </w:t>
      </w:r>
      <w:r>
        <w:rPr>
          <w:sz w:val="20"/>
          <w:vertAlign w:val="baseline"/>
        </w:rPr>
        <w:t>property</w:t>
      </w:r>
      <w:r>
        <w:rPr>
          <w:spacing w:val="-7"/>
          <w:sz w:val="20"/>
          <w:vertAlign w:val="baseline"/>
        </w:rPr>
        <w:t> </w:t>
      </w:r>
      <w:r>
        <w:rPr>
          <w:sz w:val="20"/>
          <w:vertAlign w:val="baseline"/>
        </w:rPr>
        <w:t>of</w:t>
      </w:r>
      <w:r>
        <w:rPr>
          <w:spacing w:val="-8"/>
          <w:sz w:val="20"/>
          <w:vertAlign w:val="baseline"/>
        </w:rPr>
        <w:t> </w:t>
      </w:r>
      <w:r>
        <w:rPr>
          <w:sz w:val="20"/>
          <w:vertAlign w:val="baseline"/>
        </w:rPr>
        <w:t>BigQuery</w:t>
      </w:r>
      <w:r>
        <w:rPr>
          <w:spacing w:val="-7"/>
          <w:sz w:val="20"/>
          <w:vertAlign w:val="baseline"/>
        </w:rPr>
        <w:t> </w:t>
      </w:r>
      <w:r>
        <w:rPr>
          <w:spacing w:val="-2"/>
          <w:sz w:val="20"/>
          <w:vertAlign w:val="baseline"/>
        </w:rPr>
        <w:t>itself.</w:t>
      </w:r>
    </w:p>
    <w:p>
      <w:pPr>
        <w:spacing w:before="32"/>
        <w:ind w:left="282" w:right="0" w:firstLine="0"/>
        <w:jc w:val="left"/>
        <w:rPr>
          <w:sz w:val="20"/>
        </w:rPr>
      </w:pPr>
      <w:r>
        <w:rPr>
          <w:i/>
        </w:rPr>
        <w:t>1쿼리당 바이트 한도는 본 연구의 획득 파이프라인의 운영 정책이지 BigQuery 자체의 속성이 아닙니다.</w:t>
      </w:r>
    </w:p>
    <w:p>
      <w:pPr>
        <w:spacing w:after="0"/>
        <w:jc w:val="left"/>
        <w:rPr>
          <w:sz w:val="20"/>
        </w:rPr>
        <w:sectPr>
          <w:pgSz w:w="11910" w:h="16840"/>
          <w:pgMar w:header="0" w:footer="2115" w:top="1840" w:bottom="2300" w:left="992" w:right="708"/>
        </w:sectPr>
      </w:pPr>
    </w:p>
    <w:p>
      <w:pPr>
        <w:pStyle w:val="BodyText"/>
        <w:spacing w:line="396" w:lineRule="auto" w:before="72"/>
        <w:ind w:left="282" w:right="563"/>
        <w:jc w:val="both"/>
      </w:pPr>
      <w:r>
        <w:rPr/>
        <w:t>Phase 3 scripts read those tables, build graphs, run PageRank, compute proxies, and export the result tables reported in Chapter </w:t>
      </w:r>
      <w:hyperlink w:history="true" w:anchor="_bookmark84">
        <w:r>
          <w:rPr/>
          <w:t>4</w:t>
        </w:r>
      </w:hyperlink>
      <w:r>
        <w:rPr/>
        <w:t>.</w:t>
      </w:r>
      <w:r>
        <w:rPr>
          <w:spacing w:val="40"/>
        </w:rPr>
        <w:t> </w:t>
      </w:r>
      <w:r>
        <w:rPr/>
        <w:t>The same pipeline supports offline verification on synthetic </w:t>
      </w:r>
      <w:bookmarkStart w:name="Event decoding" w:id="103"/>
      <w:bookmarkEnd w:id="103"/>
      <w:r>
        <w:rPr>
          <w:w w:val="99"/>
        </w:rPr>
      </w:r>
      <w:bookmarkStart w:name="_bookmark58" w:id="104"/>
      <w:bookmarkEnd w:id="104"/>
      <w:r>
        <w:rPr/>
        <w:t>fixture</w:t>
      </w:r>
      <w:r>
        <w:rPr/>
        <w:t>s without cloud credentials.</w:t>
      </w:r>
    </w:p>
    <w:p>
      <w:pPr>
        <w:pStyle w:val="BodyText"/>
        <w:spacing w:line="396" w:lineRule="auto" w:before="72"/>
        <w:ind w:left="282" w:right="563"/>
        <w:jc w:val="both"/>
      </w:pPr>
      <w:r>
        <w:rPr>
          <w:i/>
        </w:rPr>
        <w:t>3단계 스크립트는 해당 테이블을 읽고, 그래프를 작성하고, PageRank를 실행하고, 프록시를 계산하고, 4장에서 보고된 결과 테이블을 내보냅니다. 동일한 파이프라인은 클라우드 자격 증명 없이 합성 설비에 대한 오프라인 확인을 지원합니다.</w:t>
      </w:r>
    </w:p>
    <w:p>
      <w:pPr>
        <w:pStyle w:val="BodyText"/>
        <w:spacing w:before="149"/>
      </w:pPr>
    </w:p>
    <w:p>
      <w:pPr>
        <w:pStyle w:val="Heading2"/>
        <w:numPr>
          <w:ilvl w:val="1"/>
          <w:numId w:val="8"/>
        </w:numPr>
        <w:tabs>
          <w:tab w:pos="783" w:val="left" w:leader="none"/>
        </w:tabs>
        <w:spacing w:line="240" w:lineRule="auto" w:before="0" w:after="0"/>
        <w:ind w:left="783" w:right="0" w:hanging="501"/>
        <w:jc w:val="left"/>
      </w:pPr>
      <w:r>
        <w:rPr/>
        <w:t>Event</w:t>
      </w:r>
      <w:r>
        <w:rPr>
          <w:spacing w:val="15"/>
        </w:rPr>
        <w:t> </w:t>
      </w:r>
      <w:r>
        <w:rPr>
          <w:spacing w:val="-2"/>
        </w:rPr>
        <w:t>decoding</w:t>
      </w:r>
    </w:p>
    <w:p>
      <w:pPr>
        <w:pStyle w:val="Heading2"/>
        <w:numPr>
          <w:ilvl w:val="1"/>
          <w:numId w:val="8"/>
        </w:numPr>
        <w:tabs>
          <w:tab w:pos="783" w:val="left" w:leader="none"/>
        </w:tabs>
        <w:spacing w:line="240" w:lineRule="auto" w:before="0" w:after="0"/>
        <w:ind w:left="783" w:right="0" w:hanging="501"/>
        <w:jc w:val="left"/>
      </w:pPr>
      <w:r>
        <w:rPr>
          <w:i/>
        </w:rPr>
        <w:t>이벤트 디코딩</w:t>
      </w:r>
    </w:p>
    <w:p>
      <w:pPr>
        <w:pStyle w:val="BodyText"/>
        <w:spacing w:before="24"/>
        <w:rPr>
          <w:b/>
          <w:sz w:val="28"/>
        </w:rPr>
      </w:pPr>
    </w:p>
    <w:p>
      <w:pPr>
        <w:pStyle w:val="BodyText"/>
        <w:spacing w:line="396" w:lineRule="auto"/>
        <w:ind w:left="282" w:right="564"/>
        <w:jc w:val="both"/>
      </w:pPr>
      <w:r>
        <w:rPr/>
        <w:t>Blockchain logs store events as topics and a data payload rather than as named fields.</w:t>
      </w:r>
      <w:r>
        <w:rPr>
          <w:spacing w:val="40"/>
        </w:rPr>
        <w:t> </w:t>
      </w:r>
      <w:r>
        <w:rPr/>
        <w:t>Decoding maps</w:t>
      </w:r>
      <w:r>
        <w:rPr>
          <w:spacing w:val="-8"/>
        </w:rPr>
        <w:t> </w:t>
      </w:r>
      <w:r>
        <w:rPr/>
        <w:t>each</w:t>
      </w:r>
      <w:r>
        <w:rPr>
          <w:spacing w:val="-7"/>
        </w:rPr>
        <w:t> </w:t>
      </w:r>
      <w:r>
        <w:rPr/>
        <w:t>log</w:t>
      </w:r>
      <w:r>
        <w:rPr>
          <w:spacing w:val="-7"/>
        </w:rPr>
        <w:t> </w:t>
      </w:r>
      <w:r>
        <w:rPr/>
        <w:t>row</w:t>
      </w:r>
      <w:r>
        <w:rPr>
          <w:spacing w:val="-7"/>
        </w:rPr>
        <w:t> </w:t>
      </w:r>
      <w:r>
        <w:rPr/>
        <w:t>to</w:t>
      </w:r>
      <w:r>
        <w:rPr>
          <w:spacing w:val="-8"/>
        </w:rPr>
        <w:t> </w:t>
      </w:r>
      <w:r>
        <w:rPr/>
        <w:t>a</w:t>
      </w:r>
      <w:r>
        <w:rPr>
          <w:spacing w:val="-7"/>
        </w:rPr>
        <w:t> </w:t>
      </w:r>
      <w:r>
        <w:rPr/>
        <w:t>typed</w:t>
      </w:r>
      <w:r>
        <w:rPr>
          <w:spacing w:val="-7"/>
        </w:rPr>
        <w:t> </w:t>
      </w:r>
      <w:r>
        <w:rPr/>
        <w:t>record</w:t>
      </w:r>
      <w:r>
        <w:rPr>
          <w:spacing w:val="-7"/>
        </w:rPr>
        <w:t> </w:t>
      </w:r>
      <w:r>
        <w:rPr/>
        <w:t>used</w:t>
      </w:r>
      <w:r>
        <w:rPr>
          <w:spacing w:val="-7"/>
        </w:rPr>
        <w:t> </w:t>
      </w:r>
      <w:r>
        <w:rPr/>
        <w:t>by</w:t>
      </w:r>
      <w:r>
        <w:rPr>
          <w:spacing w:val="-8"/>
        </w:rPr>
        <w:t> </w:t>
      </w:r>
      <w:r>
        <w:rPr/>
        <w:t>graph</w:t>
      </w:r>
      <w:r>
        <w:rPr>
          <w:spacing w:val="-7"/>
        </w:rPr>
        <w:t> </w:t>
      </w:r>
      <w:r>
        <w:rPr/>
        <w:t>construction</w:t>
      </w:r>
      <w:r>
        <w:rPr>
          <w:spacing w:val="-7"/>
        </w:rPr>
        <w:t> </w:t>
      </w:r>
      <w:r>
        <w:rPr/>
        <w:t>and</w:t>
      </w:r>
      <w:r>
        <w:rPr>
          <w:spacing w:val="-7"/>
        </w:rPr>
        <w:t> </w:t>
      </w:r>
      <w:r>
        <w:rPr/>
        <w:t>proxy</w:t>
      </w:r>
      <w:r>
        <w:rPr>
          <w:spacing w:val="-8"/>
        </w:rPr>
        <w:t> </w:t>
      </w:r>
      <w:r>
        <w:rPr/>
        <w:t>computation.</w:t>
      </w:r>
      <w:r>
        <w:rPr>
          <w:spacing w:val="12"/>
        </w:rPr>
        <w:t> </w:t>
      </w:r>
      <w:r>
        <w:rPr/>
        <w:t>Incorrect decoding</w:t>
      </w:r>
      <w:r>
        <w:rPr>
          <w:spacing w:val="-12"/>
        </w:rPr>
        <w:t> </w:t>
      </w:r>
      <w:r>
        <w:rPr/>
        <w:t>would</w:t>
      </w:r>
      <w:r>
        <w:rPr>
          <w:spacing w:val="-12"/>
        </w:rPr>
        <w:t> </w:t>
      </w:r>
      <w:r>
        <w:rPr/>
        <w:t>silently</w:t>
      </w:r>
      <w:r>
        <w:rPr>
          <w:spacing w:val="-12"/>
        </w:rPr>
        <w:t> </w:t>
      </w:r>
      <w:r>
        <w:rPr/>
        <w:t>corrupt</w:t>
      </w:r>
      <w:r>
        <w:rPr>
          <w:spacing w:val="-12"/>
        </w:rPr>
        <w:t> </w:t>
      </w:r>
      <w:r>
        <w:rPr/>
        <w:t>both</w:t>
      </w:r>
      <w:r>
        <w:rPr>
          <w:spacing w:val="-12"/>
        </w:rPr>
        <w:t> </w:t>
      </w:r>
      <w:r>
        <w:rPr/>
        <w:t>reputation</w:t>
      </w:r>
      <w:r>
        <w:rPr>
          <w:spacing w:val="-12"/>
        </w:rPr>
        <w:t> </w:t>
      </w:r>
      <w:r>
        <w:rPr/>
        <w:t>graphs</w:t>
      </w:r>
      <w:r>
        <w:rPr>
          <w:spacing w:val="-12"/>
        </w:rPr>
        <w:t> </w:t>
      </w:r>
      <w:r>
        <w:rPr/>
        <w:t>and</w:t>
      </w:r>
      <w:r>
        <w:rPr>
          <w:spacing w:val="-12"/>
        </w:rPr>
        <w:t> </w:t>
      </w:r>
      <w:r>
        <w:rPr/>
        <w:t>validation</w:t>
      </w:r>
      <w:r>
        <w:rPr>
          <w:spacing w:val="-12"/>
        </w:rPr>
        <w:t> </w:t>
      </w:r>
      <w:r>
        <w:rPr/>
        <w:t>labels;</w:t>
      </w:r>
      <w:r>
        <w:rPr>
          <w:spacing w:val="-11"/>
        </w:rPr>
        <w:t> </w:t>
      </w:r>
      <w:r>
        <w:rPr/>
        <w:t>this</w:t>
      </w:r>
      <w:r>
        <w:rPr>
          <w:spacing w:val="-12"/>
        </w:rPr>
        <w:t> </w:t>
      </w:r>
      <w:r>
        <w:rPr/>
        <w:t>section</w:t>
      </w:r>
      <w:r>
        <w:rPr>
          <w:spacing w:val="-12"/>
        </w:rPr>
        <w:t> </w:t>
      </w:r>
      <w:r>
        <w:rPr/>
        <w:t>therefore records the exact topic hashes and field mappings used in the pipeline.</w:t>
      </w:r>
    </w:p>
    <w:p>
      <w:pPr>
        <w:pStyle w:val="BodyText"/>
        <w:spacing w:line="396" w:lineRule="auto"/>
        <w:ind w:left="282" w:right="564"/>
        <w:jc w:val="both"/>
      </w:pPr>
      <w:r>
        <w:rPr>
          <w:i/>
        </w:rPr>
        <w:t>블록체인 로그는 이벤트를 명명된 필드가 아닌 주제 및 데이터 페이로드로 저장합니다. 디코딩은 각 로그 행을 그래프 구성 및 프록시 계산에 사용되는 입력된 레코드에 매핑합니다. 잘못된 디코딩은 평판 그래프와 유효성 검사 레이블 모두를 자동으로 손상시킵니다. 따라서 이 섹션은 파이프라인에 사용된 정확한 주제 해시와 필드 매핑을 기록합니다.</w:t>
      </w:r>
    </w:p>
    <w:p>
      <w:pPr>
        <w:pStyle w:val="ListParagraph"/>
        <w:numPr>
          <w:ilvl w:val="0"/>
          <w:numId w:val="18"/>
        </w:numPr>
        <w:tabs>
          <w:tab w:pos="806" w:val="left" w:leader="none"/>
          <w:tab w:pos="808" w:val="left" w:leader="none"/>
        </w:tabs>
        <w:spacing w:line="388" w:lineRule="auto" w:before="101" w:after="0"/>
        <w:ind w:left="808" w:right="522" w:hanging="216"/>
        <w:jc w:val="both"/>
        <w:rPr>
          <w:sz w:val="24"/>
        </w:rPr>
      </w:pPr>
      <w:r>
        <w:rPr>
          <w:b/>
          <w:sz w:val="24"/>
        </w:rPr>
        <w:t>Log anatomy:</w:t>
      </w:r>
      <w:r>
        <w:rPr>
          <w:b/>
          <w:spacing w:val="40"/>
          <w:sz w:val="24"/>
        </w:rPr>
        <w:t> </w:t>
      </w:r>
      <w:r>
        <w:rPr>
          <w:sz w:val="24"/>
        </w:rPr>
        <w:t>An Ethereum-compatible log contains an emitting contract address, an or-dered list of topics, and an ABI-encoded data blob.</w:t>
      </w:r>
      <w:r>
        <w:rPr>
          <w:spacing w:val="40"/>
          <w:sz w:val="24"/>
        </w:rPr>
        <w:t> </w:t>
      </w:r>
      <w:r>
        <w:rPr>
          <w:sz w:val="24"/>
        </w:rPr>
        <w:t>Topic </w:t>
      </w:r>
      <w:r>
        <w:rPr>
          <w:rFonts w:ascii="Calibri" w:hAnsi="Calibri"/>
          <w:sz w:val="24"/>
        </w:rPr>
        <w:t>0 </w:t>
      </w:r>
      <w:r>
        <w:rPr>
          <w:sz w:val="24"/>
        </w:rPr>
        <w:t>is the keccak-256 hash of the event</w:t>
      </w:r>
      <w:r>
        <w:rPr>
          <w:spacing w:val="-13"/>
          <w:sz w:val="24"/>
        </w:rPr>
        <w:t> </w:t>
      </w:r>
      <w:r>
        <w:rPr>
          <w:sz w:val="24"/>
        </w:rPr>
        <w:t>signature</w:t>
      </w:r>
      <w:r>
        <w:rPr>
          <w:spacing w:val="-13"/>
          <w:sz w:val="24"/>
        </w:rPr>
        <w:t> </w:t>
      </w:r>
      <w:r>
        <w:rPr>
          <w:sz w:val="24"/>
        </w:rPr>
        <w:t>string,</w:t>
      </w:r>
      <w:r>
        <w:rPr>
          <w:spacing w:val="-12"/>
          <w:sz w:val="24"/>
        </w:rPr>
        <w:t> </w:t>
      </w:r>
      <w:r>
        <w:rPr>
          <w:sz w:val="24"/>
        </w:rPr>
        <w:t>which</w:t>
      </w:r>
      <w:r>
        <w:rPr>
          <w:spacing w:val="-13"/>
          <w:sz w:val="24"/>
        </w:rPr>
        <w:t> </w:t>
      </w:r>
      <w:r>
        <w:rPr>
          <w:sz w:val="24"/>
        </w:rPr>
        <w:t>uniquely</w:t>
      </w:r>
      <w:r>
        <w:rPr>
          <w:spacing w:val="-13"/>
          <w:sz w:val="24"/>
        </w:rPr>
        <w:t> </w:t>
      </w:r>
      <w:r>
        <w:rPr>
          <w:sz w:val="24"/>
        </w:rPr>
        <w:t>identifies</w:t>
      </w:r>
      <w:r>
        <w:rPr>
          <w:spacing w:val="-13"/>
          <w:sz w:val="24"/>
        </w:rPr>
        <w:t> </w:t>
      </w:r>
      <w:r>
        <w:rPr>
          <w:sz w:val="24"/>
        </w:rPr>
        <w:t>the</w:t>
      </w:r>
      <w:r>
        <w:rPr>
          <w:spacing w:val="-13"/>
          <w:sz w:val="24"/>
        </w:rPr>
        <w:t> </w:t>
      </w:r>
      <w:r>
        <w:rPr>
          <w:sz w:val="24"/>
        </w:rPr>
        <w:t>event</w:t>
      </w:r>
      <w:r>
        <w:rPr>
          <w:spacing w:val="-13"/>
          <w:sz w:val="24"/>
        </w:rPr>
        <w:t> </w:t>
      </w:r>
      <w:r>
        <w:rPr>
          <w:sz w:val="24"/>
        </w:rPr>
        <w:t>type</w:t>
      </w:r>
      <w:r>
        <w:rPr>
          <w:spacing w:val="-13"/>
          <w:sz w:val="24"/>
        </w:rPr>
        <w:t> </w:t>
      </w:r>
      <w:r>
        <w:rPr>
          <w:sz w:val="24"/>
        </w:rPr>
        <w:t>among</w:t>
      </w:r>
      <w:r>
        <w:rPr>
          <w:spacing w:val="-13"/>
          <w:sz w:val="24"/>
        </w:rPr>
        <w:t> </w:t>
      </w:r>
      <w:r>
        <w:rPr>
          <w:sz w:val="24"/>
        </w:rPr>
        <w:t>well-known</w:t>
      </w:r>
      <w:r>
        <w:rPr>
          <w:spacing w:val="-13"/>
          <w:sz w:val="24"/>
        </w:rPr>
        <w:t> </w:t>
      </w:r>
      <w:r>
        <w:rPr>
          <w:sz w:val="24"/>
        </w:rPr>
        <w:t>standards. Indexed parameters occupy subsequent topics as </w:t>
      </w:r>
      <w:r>
        <w:rPr>
          <w:rFonts w:ascii="Calibri" w:hAnsi="Calibri"/>
          <w:sz w:val="24"/>
        </w:rPr>
        <w:t>32</w:t>
      </w:r>
      <w:r>
        <w:rPr>
          <w:sz w:val="24"/>
        </w:rPr>
        <w:t>-byte words (addresses are left-padded); non-indexed</w:t>
      </w:r>
      <w:r>
        <w:rPr>
          <w:spacing w:val="-15"/>
          <w:sz w:val="24"/>
        </w:rPr>
        <w:t> </w:t>
      </w:r>
      <w:r>
        <w:rPr>
          <w:sz w:val="24"/>
        </w:rPr>
        <w:t>parameters</w:t>
      </w:r>
      <w:r>
        <w:rPr>
          <w:spacing w:val="-15"/>
          <w:sz w:val="24"/>
        </w:rPr>
        <w:t> </w:t>
      </w:r>
      <w:r>
        <w:rPr>
          <w:sz w:val="24"/>
        </w:rPr>
        <w:t>occupy</w:t>
      </w:r>
      <w:r>
        <w:rPr>
          <w:spacing w:val="-15"/>
          <w:sz w:val="24"/>
        </w:rPr>
        <w:t> </w:t>
      </w:r>
      <w:r>
        <w:rPr>
          <w:sz w:val="24"/>
        </w:rPr>
        <w:t>the</w:t>
      </w:r>
      <w:r>
        <w:rPr>
          <w:spacing w:val="-15"/>
          <w:sz w:val="24"/>
        </w:rPr>
        <w:t> </w:t>
      </w:r>
      <w:r>
        <w:rPr>
          <w:sz w:val="24"/>
        </w:rPr>
        <w:t>data</w:t>
      </w:r>
      <w:r>
        <w:rPr>
          <w:spacing w:val="-15"/>
          <w:sz w:val="24"/>
        </w:rPr>
        <w:t> </w:t>
      </w:r>
      <w:r>
        <w:rPr>
          <w:sz w:val="24"/>
        </w:rPr>
        <w:t>field</w:t>
      </w:r>
      <w:r>
        <w:rPr>
          <w:spacing w:val="-15"/>
          <w:sz w:val="24"/>
        </w:rPr>
        <w:t> </w:t>
      </w:r>
      <w:r>
        <w:rPr>
          <w:sz w:val="24"/>
        </w:rPr>
        <w:t>in</w:t>
      </w:r>
      <w:r>
        <w:rPr>
          <w:spacing w:val="-15"/>
          <w:sz w:val="24"/>
        </w:rPr>
        <w:t> </w:t>
      </w:r>
      <w:r>
        <w:rPr>
          <w:sz w:val="24"/>
        </w:rPr>
        <w:t>ABI</w:t>
      </w:r>
      <w:r>
        <w:rPr>
          <w:spacing w:val="-15"/>
          <w:sz w:val="24"/>
        </w:rPr>
        <w:t> </w:t>
      </w:r>
      <w:r>
        <w:rPr>
          <w:sz w:val="24"/>
        </w:rPr>
        <w:t>order</w:t>
      </w:r>
      <w:r>
        <w:rPr>
          <w:spacing w:val="-15"/>
          <w:sz w:val="24"/>
        </w:rPr>
        <w:t> </w:t>
      </w:r>
      <w:hyperlink w:history="true" w:anchor="_bookmark151">
        <w:r>
          <w:rPr>
            <w:sz w:val="24"/>
            <w:vertAlign w:val="superscript"/>
          </w:rPr>
          <w:t>[18]</w:t>
        </w:r>
      </w:hyperlink>
      <w:r>
        <w:rPr>
          <w:sz w:val="24"/>
          <w:vertAlign w:val="baseline"/>
        </w:rPr>
        <w:t>.</w:t>
      </w:r>
      <w:r>
        <w:rPr>
          <w:spacing w:val="-4"/>
          <w:sz w:val="24"/>
          <w:vertAlign w:val="baseline"/>
        </w:rPr>
        <w:t> </w:t>
      </w:r>
      <w:r>
        <w:rPr>
          <w:sz w:val="24"/>
          <w:vertAlign w:val="baseline"/>
        </w:rPr>
        <w:t>BigQuery</w:t>
      </w:r>
      <w:r>
        <w:rPr>
          <w:spacing w:val="-15"/>
          <w:sz w:val="24"/>
          <w:vertAlign w:val="baseline"/>
        </w:rPr>
        <w:t> </w:t>
      </w:r>
      <w:r>
        <w:rPr>
          <w:sz w:val="24"/>
          <w:vertAlign w:val="baseline"/>
        </w:rPr>
        <w:t>exposes</w:t>
      </w:r>
      <w:r>
        <w:rPr>
          <w:spacing w:val="-15"/>
          <w:sz w:val="24"/>
          <w:vertAlign w:val="baseline"/>
        </w:rPr>
        <w:t> </w:t>
      </w:r>
      <w:r>
        <w:rPr>
          <w:sz w:val="24"/>
          <w:vertAlign w:val="baseline"/>
        </w:rPr>
        <w:t>these</w:t>
      </w:r>
      <w:r>
        <w:rPr>
          <w:spacing w:val="-15"/>
          <w:sz w:val="24"/>
          <w:vertAlign w:val="baseline"/>
        </w:rPr>
        <w:t> </w:t>
      </w:r>
      <w:r>
        <w:rPr>
          <w:sz w:val="24"/>
          <w:vertAlign w:val="baseline"/>
        </w:rPr>
        <w:t>fields as columns; the pipeline applies topic filters in SQL and performs ABI decoding in Python for fields that require numeric interpretation.</w:t>
      </w:r>
    </w:p>
    <w:p>
      <w:pPr>
        <w:pStyle w:val="ListParagraph"/>
        <w:numPr>
          <w:ilvl w:val="0"/>
          <w:numId w:val="18"/>
        </w:numPr>
        <w:tabs>
          <w:tab w:pos="806" w:val="left" w:leader="none"/>
          <w:tab w:pos="808" w:val="left" w:leader="none"/>
        </w:tabs>
        <w:spacing w:line="388" w:lineRule="auto" w:before="101" w:after="0"/>
        <w:ind w:left="808" w:right="522" w:hanging="216"/>
        <w:jc w:val="both"/>
        <w:rPr>
          <w:sz w:val="24"/>
        </w:rPr>
      </w:pPr>
      <w:r>
        <w:rPr>
          <w:i/>
        </w:rPr>
        <w:t>로그 분석: Ethereum 호환 로그에는 방출 계약 주소, 순서가 지정된 주제 목록 및 ABI로 인코딩된 데이터 blob이 포함됩니다. 주제 0은 잘 알려진 표준 중에서 이벤트 유형을 고유하게 식별하는 이벤트 서명 문자열의 keccak-256 해시입니다. 색인화된 매개변수는 32바이트 단어로 후속 주제를 차지하며(주소는 왼쪽에 채워짐) 색인화되지 않은 매개변수는 ABI 순서로 데이터 필드를 차지합니다[18]. BigQuery는 이러한 필드를 열로 노출합니다. 파이프라인은 SQL에 주제 필터를 적용하고 숫자 해석이 필요한 필드에 대해 Python에서 ABI 디코딩을 수행합니다.</w:t>
      </w:r>
    </w:p>
    <w:p>
      <w:pPr>
        <w:pStyle w:val="ListParagraph"/>
        <w:numPr>
          <w:ilvl w:val="0"/>
          <w:numId w:val="18"/>
        </w:numPr>
        <w:tabs>
          <w:tab w:pos="807" w:val="left" w:leader="none"/>
        </w:tabs>
        <w:spacing w:line="240" w:lineRule="auto" w:before="43" w:after="0"/>
        <w:ind w:left="807" w:right="0" w:hanging="214"/>
        <w:jc w:val="both"/>
        <w:rPr>
          <w:sz w:val="24"/>
        </w:rPr>
      </w:pPr>
      <w:r>
        <w:rPr>
          <w:b/>
          <w:sz w:val="24"/>
        </w:rPr>
        <w:t>ERC-20</w:t>
      </w:r>
      <w:r>
        <w:rPr>
          <w:b/>
          <w:spacing w:val="-15"/>
          <w:sz w:val="24"/>
        </w:rPr>
        <w:t> </w:t>
      </w:r>
      <w:r>
        <w:rPr>
          <w:rFonts w:ascii="Cambria" w:hAnsi="Cambria"/>
          <w:b/>
          <w:sz w:val="24"/>
        </w:rPr>
        <w:t>Approval</w:t>
      </w:r>
      <w:r>
        <w:rPr>
          <w:b/>
          <w:sz w:val="24"/>
        </w:rPr>
        <w:t>:</w:t>
      </w:r>
      <w:r>
        <w:rPr>
          <w:b/>
          <w:spacing w:val="2"/>
          <w:sz w:val="24"/>
        </w:rPr>
        <w:t> </w:t>
      </w:r>
      <w:r>
        <w:rPr>
          <w:sz w:val="24"/>
        </w:rPr>
        <w:t>Topic</w:t>
      </w:r>
      <w:r>
        <w:rPr>
          <w:spacing w:val="-14"/>
          <w:sz w:val="24"/>
        </w:rPr>
        <w:t> </w:t>
      </w:r>
      <w:r>
        <w:rPr>
          <w:rFonts w:ascii="Calibri" w:hAnsi="Calibri"/>
          <w:sz w:val="24"/>
        </w:rPr>
        <w:t>0</w:t>
      </w:r>
      <w:r>
        <w:rPr>
          <w:rFonts w:ascii="Calibri" w:hAnsi="Calibri"/>
          <w:spacing w:val="-8"/>
          <w:sz w:val="24"/>
        </w:rPr>
        <w:t> </w:t>
      </w:r>
      <w:r>
        <w:rPr>
          <w:spacing w:val="-5"/>
          <w:sz w:val="24"/>
        </w:rPr>
        <w:t>is</w:t>
      </w:r>
    </w:p>
    <w:p>
      <w:pPr>
        <w:pStyle w:val="ListParagraph"/>
        <w:numPr>
          <w:ilvl w:val="0"/>
          <w:numId w:val="18"/>
        </w:numPr>
        <w:tabs>
          <w:tab w:pos="807" w:val="left" w:leader="none"/>
        </w:tabs>
        <w:spacing w:line="240" w:lineRule="auto" w:before="43" w:after="0"/>
        <w:ind w:left="807" w:right="0" w:hanging="214"/>
        <w:jc w:val="both"/>
        <w:rPr>
          <w:sz w:val="24"/>
        </w:rPr>
      </w:pPr>
      <w:r>
        <w:rPr>
          <w:i/>
        </w:rPr>
        <w:t>ERC-20 승인: 주제 0은</w:t>
      </w:r>
    </w:p>
    <w:p>
      <w:pPr>
        <w:pStyle w:val="BodyText"/>
        <w:spacing w:before="18"/>
      </w:pPr>
    </w:p>
    <w:p>
      <w:pPr>
        <w:pStyle w:val="BodyText"/>
        <w:ind w:left="1145"/>
      </w:pPr>
      <w:r>
        <w:rPr>
          <w:rFonts w:ascii="Calibri"/>
          <w:spacing w:val="-2"/>
          <w:w w:val="105"/>
        </w:rPr>
        <w:t>0x8c5be1e5ebec7d5bd14f71427d1e84f3dd0314c0f7b2291e5b200ac8c7c3b925</w:t>
      </w:r>
      <w:r>
        <w:rPr>
          <w:spacing w:val="-2"/>
          <w:w w:val="105"/>
        </w:rPr>
        <w:t>,</w:t>
      </w:r>
    </w:p>
    <w:p>
      <w:pPr>
        <w:pStyle w:val="BodyText"/>
        <w:spacing w:before="18"/>
      </w:pPr>
    </w:p>
    <w:p>
      <w:pPr>
        <w:pStyle w:val="BodyText"/>
        <w:spacing w:line="381" w:lineRule="auto" w:before="1"/>
        <w:ind w:left="799" w:right="533" w:firstLine="8"/>
        <w:jc w:val="both"/>
      </w:pPr>
      <w:r>
        <w:rPr>
          <w:w w:val="110"/>
        </w:rPr>
        <w:t>the hash of </w:t>
      </w:r>
      <w:r>
        <w:rPr>
          <w:rFonts w:ascii="Calibri" w:hAnsi="Calibri"/>
          <w:w w:val="110"/>
        </w:rPr>
        <w:t>Approval(address,address,uint256)</w:t>
      </w:r>
      <w:r>
        <w:rPr>
          <w:w w:val="110"/>
        </w:rPr>
        <w:t>.</w:t>
      </w:r>
      <w:r>
        <w:rPr>
          <w:spacing w:val="40"/>
          <w:w w:val="110"/>
        </w:rPr>
        <w:t> </w:t>
      </w:r>
      <w:r>
        <w:rPr>
          <w:w w:val="110"/>
        </w:rPr>
        <w:t>Topics </w:t>
      </w:r>
      <w:r>
        <w:rPr>
          <w:rFonts w:ascii="Calibri" w:hAnsi="Calibri"/>
          <w:w w:val="110"/>
        </w:rPr>
        <w:t>1 </w:t>
      </w:r>
      <w:r>
        <w:rPr>
          <w:w w:val="110"/>
        </w:rPr>
        <w:t>and </w:t>
      </w:r>
      <w:r>
        <w:rPr>
          <w:rFonts w:ascii="Calibri" w:hAnsi="Calibri"/>
          <w:w w:val="110"/>
        </w:rPr>
        <w:t>2 </w:t>
      </w:r>
      <w:r>
        <w:rPr>
          <w:w w:val="110"/>
        </w:rPr>
        <w:t>hold the owner and </w:t>
      </w:r>
      <w:r>
        <w:rPr/>
        <w:t>spender addresses (left-padded); the allowance amount is ABI-decoded from the data field and scaled by the token’s decimals.</w:t>
      </w:r>
      <w:r>
        <w:rPr>
          <w:spacing w:val="40"/>
        </w:rPr>
        <w:t> </w:t>
      </w:r>
      <w:r>
        <w:rPr/>
        <w:t>Unlimited approvals (</w:t>
      </w:r>
      <w:r>
        <w:rPr>
          <w:rFonts w:ascii="Calibri" w:hAnsi="Calibri"/>
        </w:rPr>
        <w:t>type(uint256).max</w:t>
      </w:r>
      <w:r>
        <w:rPr/>
        <w:t>) are retained as large finite weights after decimal adjustment; they contribute strong endorsement edges, which is intentional: an unlimited approval is a strong on-chain authorization.</w:t>
      </w:r>
      <w:r>
        <w:rPr>
          <w:spacing w:val="33"/>
        </w:rPr>
        <w:t> </w:t>
      </w:r>
      <w:r>
        <w:rPr/>
        <w:t>EIP-2612 </w:t>
      </w:r>
      <w:r>
        <w:rPr>
          <w:rFonts w:ascii="Calibri" w:hAnsi="Calibri"/>
        </w:rPr>
        <w:t>pe rmit </w:t>
      </w:r>
      <w:r>
        <w:rPr/>
        <w:t>does not introduce a separate reputation event: successful permits emit the same </w:t>
      </w:r>
      <w:r>
        <w:rPr>
          <w:rFonts w:ascii="Calibri" w:hAnsi="Calibri"/>
        </w:rPr>
        <w:t>Appr oval </w:t>
      </w:r>
      <w:r>
        <w:rPr/>
        <w:t>log, so EndorseRank observes the resulting allowance snapshot regardless of whether authorization was set by an on-chain </w:t>
      </w:r>
      <w:r>
        <w:rPr>
          <w:rFonts w:ascii="Calibri" w:hAnsi="Calibri"/>
        </w:rPr>
        <w:t>approve </w:t>
      </w:r>
      <w:r>
        <w:rPr/>
        <w:t>call or an off-chain signature </w:t>
      </w:r>
      <w:hyperlink w:history="true" w:anchor="_bookmark152">
        <w:r>
          <w:rPr>
            <w:vertAlign w:val="superscript"/>
          </w:rPr>
          <w:t>[19]</w:t>
        </w:r>
      </w:hyperlink>
      <w:r>
        <w:rPr>
          <w:vertAlign w:val="baseline"/>
        </w:rPr>
        <w:t>.</w:t>
      </w:r>
    </w:p>
    <w:p>
      <w:pPr>
        <w:pStyle w:val="BodyText"/>
        <w:spacing w:line="381" w:lineRule="auto" w:before="1"/>
        <w:ind w:left="799" w:right="533" w:firstLine="8"/>
        <w:jc w:val="both"/>
      </w:pPr>
      <w:r>
        <w:rPr>
          <w:i/>
        </w:rPr>
        <w:t>승인 해시(주소, 주소, uint256). 주제 1과 2에는 소유자 및 지출자 주소(왼쪽 패딩)가 포함되어 있으며, 허용 금액은 데이터 필드에서 ABI로 디코딩되고 토큰의 소수점 이하 자릿수로 조정됩니다. 무제한 승인(type(uint256).max)은 소수 조정 후 큰 유한 가중치로 유지되며 의도적인 강력한 보증 우위에 기여합니다. 무제한 승인은 강력한 온체인 인증입니다. EIP-2612 허가는 별도의 평판 이벤트를 도입하지 않습니다. 성공적인 허가는 동일한 승인 타원형 로그를 방출하므로 EndorseRank는 승인이 온체인 승인 호출 또는 오프체인 서명에 의해 설정되었는지 여부에 관계없이 결과 허용 스냅샷을 관찰합니다[19].</w:t>
      </w:r>
    </w:p>
    <w:p>
      <w:pPr>
        <w:pStyle w:val="BodyText"/>
        <w:spacing w:after="0" w:line="381" w:lineRule="auto"/>
        <w:jc w:val="both"/>
        <w:sectPr>
          <w:pgSz w:w="11910" w:h="16840"/>
          <w:pgMar w:header="0" w:footer="2115" w:top="1840" w:bottom="2300" w:left="992" w:right="708"/>
        </w:sectPr>
      </w:pPr>
    </w:p>
    <w:p>
      <w:pPr>
        <w:pStyle w:val="ListParagraph"/>
        <w:numPr>
          <w:ilvl w:val="0"/>
          <w:numId w:val="18"/>
        </w:numPr>
        <w:tabs>
          <w:tab w:pos="807" w:val="left" w:leader="none"/>
        </w:tabs>
        <w:spacing w:line="240" w:lineRule="auto" w:before="108" w:after="0"/>
        <w:ind w:left="807" w:right="0" w:hanging="214"/>
        <w:jc w:val="left"/>
        <w:rPr>
          <w:sz w:val="24"/>
        </w:rPr>
      </w:pPr>
      <w:r>
        <w:rPr>
          <w:b/>
          <w:sz w:val="24"/>
        </w:rPr>
        <w:t>ERC-20</w:t>
      </w:r>
      <w:r>
        <w:rPr>
          <w:b/>
          <w:spacing w:val="-1"/>
          <w:sz w:val="24"/>
        </w:rPr>
        <w:t> </w:t>
      </w:r>
      <w:r>
        <w:rPr>
          <w:rFonts w:ascii="Cambria" w:hAnsi="Cambria"/>
          <w:b/>
          <w:sz w:val="24"/>
        </w:rPr>
        <w:t>Transfer</w:t>
      </w:r>
      <w:r>
        <w:rPr>
          <w:b/>
          <w:sz w:val="24"/>
        </w:rPr>
        <w:t>:</w:t>
      </w:r>
      <w:r>
        <w:rPr>
          <w:b/>
          <w:spacing w:val="20"/>
          <w:sz w:val="24"/>
        </w:rPr>
        <w:t> </w:t>
      </w:r>
      <w:r>
        <w:rPr>
          <w:sz w:val="24"/>
        </w:rPr>
        <w:t>Topic</w:t>
      </w:r>
      <w:r>
        <w:rPr>
          <w:spacing w:val="-1"/>
          <w:sz w:val="24"/>
        </w:rPr>
        <w:t> </w:t>
      </w:r>
      <w:r>
        <w:rPr>
          <w:rFonts w:ascii="Calibri" w:hAnsi="Calibri"/>
          <w:sz w:val="24"/>
        </w:rPr>
        <w:t>0</w:t>
      </w:r>
      <w:r>
        <w:rPr>
          <w:rFonts w:ascii="Calibri" w:hAnsi="Calibri"/>
          <w:spacing w:val="6"/>
          <w:sz w:val="24"/>
        </w:rPr>
        <w:t> </w:t>
      </w:r>
      <w:r>
        <w:rPr>
          <w:spacing w:val="-5"/>
          <w:sz w:val="24"/>
        </w:rPr>
        <w:t>is</w:t>
      </w:r>
    </w:p>
    <w:p>
      <w:pPr>
        <w:pStyle w:val="ListParagraph"/>
        <w:numPr>
          <w:ilvl w:val="0"/>
          <w:numId w:val="18"/>
        </w:numPr>
        <w:tabs>
          <w:tab w:pos="807" w:val="left" w:leader="none"/>
        </w:tabs>
        <w:spacing w:line="240" w:lineRule="auto" w:before="108" w:after="0"/>
        <w:ind w:left="807" w:right="0" w:hanging="214"/>
        <w:jc w:val="left"/>
        <w:rPr>
          <w:sz w:val="24"/>
        </w:rPr>
      </w:pPr>
      <w:r>
        <w:rPr>
          <w:i/>
        </w:rPr>
        <w:t>ERC-20 전달: 주제 0은</w:t>
      </w:r>
    </w:p>
    <w:p>
      <w:pPr>
        <w:pStyle w:val="BodyText"/>
        <w:spacing w:before="45"/>
      </w:pPr>
    </w:p>
    <w:p>
      <w:pPr>
        <w:pStyle w:val="BodyText"/>
        <w:ind w:left="1146"/>
      </w:pPr>
      <w:r>
        <w:rPr>
          <w:rFonts w:ascii="Calibri"/>
          <w:spacing w:val="-2"/>
          <w:w w:val="105"/>
        </w:rPr>
        <w:t>0xddf252ad1be2c89b69c2b068fc378daa952ba7f163c4a11628f55a4df523b3ef</w:t>
      </w:r>
      <w:r>
        <w:rPr>
          <w:spacing w:val="-2"/>
          <w:w w:val="105"/>
        </w:rPr>
        <w:t>,</w:t>
      </w:r>
    </w:p>
    <w:p>
      <w:pPr>
        <w:pStyle w:val="BodyText"/>
        <w:spacing w:before="46"/>
      </w:pPr>
    </w:p>
    <w:p>
      <w:pPr>
        <w:pStyle w:val="BodyText"/>
        <w:spacing w:line="393" w:lineRule="auto"/>
        <w:ind w:left="802" w:right="523" w:firstLine="5"/>
        <w:jc w:val="both"/>
      </w:pPr>
      <w:r>
        <w:rPr>
          <w:w w:val="110"/>
        </w:rPr>
        <w:t>the hash of </w:t>
      </w:r>
      <w:r>
        <w:rPr>
          <w:rFonts w:ascii="Calibri" w:hAnsi="Calibri"/>
          <w:w w:val="110"/>
        </w:rPr>
        <w:t>Transfer(address,address,uint256)</w:t>
      </w:r>
      <w:r>
        <w:rPr>
          <w:w w:val="110"/>
        </w:rPr>
        <w:t>.</w:t>
      </w:r>
      <w:r>
        <w:rPr>
          <w:spacing w:val="40"/>
          <w:w w:val="110"/>
        </w:rPr>
        <w:t> </w:t>
      </w:r>
      <w:r>
        <w:rPr>
          <w:w w:val="110"/>
        </w:rPr>
        <w:t>Sender and recipient are indexed; </w:t>
      </w:r>
      <w:r>
        <w:rPr/>
        <w:t>value is decimal-adjusted.</w:t>
      </w:r>
      <w:r>
        <w:rPr>
          <w:spacing w:val="40"/>
        </w:rPr>
        <w:t> </w:t>
      </w:r>
      <w:r>
        <w:rPr/>
        <w:t>Mint and burn patterns that use the zero address are retained if they touch cohort wallets, but they are rare relative to wallet-to-wallet transfers in the fil-tered extract.</w:t>
      </w:r>
      <w:r>
        <w:rPr>
          <w:spacing w:val="40"/>
        </w:rPr>
        <w:t> </w:t>
      </w:r>
      <w:r>
        <w:rPr/>
        <w:t>Self-transfers are retained in the event table but excluded from Sybil-stability inbound-counterparty calculations (Section </w:t>
      </w:r>
      <w:hyperlink w:history="true" w:anchor="_bookmark66">
        <w:r>
          <w:rPr/>
          <w:t>3.9</w:t>
        </w:r>
      </w:hyperlink>
      <w:r>
        <w:rPr/>
        <w:t>), because a wallet transferring to itself does not evidence an external counterparty relationship.</w:t>
      </w:r>
    </w:p>
    <w:p>
      <w:pPr>
        <w:pStyle w:val="BodyText"/>
        <w:spacing w:line="393" w:lineRule="auto"/>
        <w:ind w:left="802" w:right="523" w:firstLine="5"/>
        <w:jc w:val="both"/>
      </w:pPr>
      <w:r>
        <w:rPr>
          <w:i/>
        </w:rPr>
        <w:t>전송 해시(주소, 주소, uint256). 보낸 사람과 받는 사람은 색인화되어 있으며 값은 소수점 이하 조정됩니다. 0 주소를 사용하는 민트 및 소각 패턴은 코호트 지갑에 닿으면 유지되지만 필터링된 추출에서 지갑 간 전송에 비해 드물다. 자체 이체는 이벤트 테이블에 유지되지만 Sybil-안정성 인바운드 거래상대방 계산(섹션 3.9)에서 제외됩니다. 자체로 이체하는 지갑은 외부 거래상대방 관계를 입증하지 않기 때문입니다.</w:t>
      </w:r>
    </w:p>
    <w:p>
      <w:pPr>
        <w:pStyle w:val="ListParagraph"/>
        <w:numPr>
          <w:ilvl w:val="0"/>
          <w:numId w:val="18"/>
        </w:numPr>
        <w:tabs>
          <w:tab w:pos="802" w:val="left" w:leader="none"/>
          <w:tab w:pos="806" w:val="left" w:leader="none"/>
        </w:tabs>
        <w:spacing w:line="388" w:lineRule="auto" w:before="32" w:after="0"/>
        <w:ind w:left="802" w:right="524" w:hanging="210"/>
        <w:jc w:val="both"/>
        <w:rPr>
          <w:sz w:val="24"/>
        </w:rPr>
      </w:pPr>
      <w:r>
        <w:rPr>
          <w:b/>
          <w:sz w:val="24"/>
        </w:rPr>
        <w:t>GMX</w:t>
      </w:r>
      <w:r>
        <w:rPr>
          <w:b/>
          <w:sz w:val="24"/>
        </w:rPr>
        <w:t> </w:t>
      </w:r>
      <w:r>
        <w:rPr>
          <w:rFonts w:ascii="Cambria" w:hAnsi="Cambria"/>
          <w:b/>
          <w:sz w:val="24"/>
        </w:rPr>
        <w:t>PositionDecrease</w:t>
      </w:r>
      <w:r>
        <w:rPr>
          <w:b/>
          <w:sz w:val="24"/>
        </w:rPr>
        <w:t>:</w:t>
      </w:r>
      <w:r>
        <w:rPr>
          <w:b/>
          <w:spacing w:val="40"/>
          <w:sz w:val="24"/>
        </w:rPr>
        <w:t> </w:t>
      </w:r>
      <w:r>
        <w:rPr>
          <w:sz w:val="24"/>
        </w:rPr>
        <w:t>GMX V2 emits structured events through </w:t>
      </w:r>
      <w:r>
        <w:rPr>
          <w:rFonts w:ascii="Calibri" w:hAnsi="Calibri"/>
          <w:sz w:val="24"/>
        </w:rPr>
        <w:t>EventEmitter </w:t>
      </w:r>
      <w:r>
        <w:rPr>
          <w:sz w:val="24"/>
        </w:rPr>
        <w:t>rather than a minimal ERC-20-style signature </w:t>
      </w:r>
      <w:hyperlink w:history="true" w:anchor="_bookmark156">
        <w:r>
          <w:rPr>
            <w:sz w:val="24"/>
            <w:vertAlign w:val="superscript"/>
          </w:rPr>
          <w:t>[23]</w:t>
        </w:r>
      </w:hyperlink>
      <w:r>
        <w:rPr>
          <w:sz w:val="24"/>
          <w:vertAlign w:val="baseline"/>
        </w:rPr>
        <w:t>.</w:t>
      </w:r>
      <w:r>
        <w:rPr>
          <w:spacing w:val="34"/>
          <w:sz w:val="24"/>
          <w:vertAlign w:val="baseline"/>
        </w:rPr>
        <w:t> </w:t>
      </w:r>
      <w:r>
        <w:rPr>
          <w:sz w:val="24"/>
          <w:vertAlign w:val="baseline"/>
        </w:rPr>
        <w:t>Extraction filters on the emitter address and the verified</w:t>
      </w:r>
      <w:r>
        <w:rPr>
          <w:spacing w:val="-1"/>
          <w:sz w:val="24"/>
          <w:vertAlign w:val="baseline"/>
        </w:rPr>
        <w:t> </w:t>
      </w:r>
      <w:r>
        <w:rPr>
          <w:rFonts w:ascii="Calibri" w:hAnsi="Calibri"/>
          <w:sz w:val="24"/>
          <w:vertAlign w:val="baseline"/>
        </w:rPr>
        <w:t>EventLog1 </w:t>
      </w:r>
      <w:r>
        <w:rPr>
          <w:sz w:val="24"/>
          <w:vertAlign w:val="baseline"/>
        </w:rPr>
        <w:t>topic</w:t>
      </w:r>
      <w:r>
        <w:rPr>
          <w:spacing w:val="-2"/>
          <w:sz w:val="24"/>
          <w:vertAlign w:val="baseline"/>
        </w:rPr>
        <w:t> </w:t>
      </w:r>
      <w:r>
        <w:rPr>
          <w:rFonts w:ascii="Calibri" w:hAnsi="Calibri"/>
          <w:sz w:val="24"/>
          <w:vertAlign w:val="baseline"/>
        </w:rPr>
        <w:t>0</w:t>
      </w:r>
      <w:r>
        <w:rPr>
          <w:sz w:val="24"/>
          <w:vertAlign w:val="baseline"/>
        </w:rPr>
        <w:t>, then</w:t>
      </w:r>
      <w:r>
        <w:rPr>
          <w:spacing w:val="-1"/>
          <w:sz w:val="24"/>
          <w:vertAlign w:val="baseline"/>
        </w:rPr>
        <w:t> </w:t>
      </w:r>
      <w:r>
        <w:rPr>
          <w:sz w:val="24"/>
          <w:vertAlign w:val="baseline"/>
        </w:rPr>
        <w:t>decodes</w:t>
      </w:r>
      <w:r>
        <w:rPr>
          <w:spacing w:val="-1"/>
          <w:sz w:val="24"/>
          <w:vertAlign w:val="baseline"/>
        </w:rPr>
        <w:t> </w:t>
      </w:r>
      <w:r>
        <w:rPr>
          <w:sz w:val="24"/>
          <w:vertAlign w:val="baseline"/>
        </w:rPr>
        <w:t>key–value</w:t>
      </w:r>
      <w:r>
        <w:rPr>
          <w:spacing w:val="-1"/>
          <w:sz w:val="24"/>
          <w:vertAlign w:val="baseline"/>
        </w:rPr>
        <w:t> </w:t>
      </w:r>
      <w:r>
        <w:rPr>
          <w:sz w:val="24"/>
          <w:vertAlign w:val="baseline"/>
        </w:rPr>
        <w:t>fields</w:t>
      </w:r>
      <w:r>
        <w:rPr>
          <w:spacing w:val="-1"/>
          <w:sz w:val="24"/>
          <w:vertAlign w:val="baseline"/>
        </w:rPr>
        <w:t> </w:t>
      </w:r>
      <w:r>
        <w:rPr>
          <w:sz w:val="24"/>
          <w:vertAlign w:val="baseline"/>
        </w:rPr>
        <w:t>from</w:t>
      </w:r>
      <w:r>
        <w:rPr>
          <w:spacing w:val="-1"/>
          <w:sz w:val="24"/>
          <w:vertAlign w:val="baseline"/>
        </w:rPr>
        <w:t> </w:t>
      </w:r>
      <w:r>
        <w:rPr>
          <w:sz w:val="24"/>
          <w:vertAlign w:val="baseline"/>
        </w:rPr>
        <w:t>the</w:t>
      </w:r>
      <w:r>
        <w:rPr>
          <w:spacing w:val="-1"/>
          <w:sz w:val="24"/>
          <w:vertAlign w:val="baseline"/>
        </w:rPr>
        <w:t> </w:t>
      </w:r>
      <w:r>
        <w:rPr>
          <w:sz w:val="24"/>
          <w:vertAlign w:val="baseline"/>
        </w:rPr>
        <w:t>event</w:t>
      </w:r>
      <w:r>
        <w:rPr>
          <w:spacing w:val="-1"/>
          <w:sz w:val="24"/>
          <w:vertAlign w:val="baseline"/>
        </w:rPr>
        <w:t> </w:t>
      </w:r>
      <w:r>
        <w:rPr>
          <w:sz w:val="24"/>
          <w:vertAlign w:val="baseline"/>
        </w:rPr>
        <w:t>payload</w:t>
      </w:r>
      <w:r>
        <w:rPr>
          <w:spacing w:val="-1"/>
          <w:sz w:val="24"/>
          <w:vertAlign w:val="baseline"/>
        </w:rPr>
        <w:t> </w:t>
      </w:r>
      <w:r>
        <w:rPr>
          <w:sz w:val="24"/>
          <w:vertAlign w:val="baseline"/>
        </w:rPr>
        <w:t>to</w:t>
      </w:r>
      <w:r>
        <w:rPr>
          <w:spacing w:val="-1"/>
          <w:sz w:val="24"/>
          <w:vertAlign w:val="baseline"/>
        </w:rPr>
        <w:t> </w:t>
      </w:r>
      <w:r>
        <w:rPr>
          <w:sz w:val="24"/>
          <w:vertAlign w:val="baseline"/>
        </w:rPr>
        <w:t>recover </w:t>
      </w:r>
      <w:r>
        <w:rPr>
          <w:rFonts w:ascii="Calibri" w:hAnsi="Calibri"/>
          <w:sz w:val="24"/>
          <w:vertAlign w:val="baseline"/>
        </w:rPr>
        <w:t>account</w:t>
      </w:r>
      <w:r>
        <w:rPr>
          <w:sz w:val="24"/>
          <w:vertAlign w:val="baseline"/>
        </w:rPr>
        <w:t>, </w:t>
      </w:r>
      <w:r>
        <w:rPr>
          <w:rFonts w:ascii="Calibri" w:hAnsi="Calibri"/>
          <w:sz w:val="24"/>
          <w:vertAlign w:val="baseline"/>
        </w:rPr>
        <w:t>basePnlUsd</w:t>
      </w:r>
      <w:r>
        <w:rPr>
          <w:sz w:val="24"/>
          <w:vertAlign w:val="baseline"/>
        </w:rPr>
        <w:t>, </w:t>
      </w:r>
      <w:r>
        <w:rPr>
          <w:rFonts w:ascii="Calibri" w:hAnsi="Calibri"/>
          <w:sz w:val="24"/>
          <w:vertAlign w:val="baseline"/>
        </w:rPr>
        <w:t>sizeDeltaUsd</w:t>
      </w:r>
      <w:r>
        <w:rPr>
          <w:sz w:val="24"/>
          <w:vertAlign w:val="baseline"/>
        </w:rPr>
        <w:t>, and liquidation indicators.</w:t>
      </w:r>
      <w:r>
        <w:rPr>
          <w:spacing w:val="40"/>
          <w:sz w:val="24"/>
          <w:vertAlign w:val="baseline"/>
        </w:rPr>
        <w:t> </w:t>
      </w:r>
      <w:r>
        <w:rPr>
          <w:sz w:val="24"/>
          <w:vertAlign w:val="baseline"/>
        </w:rPr>
        <w:t>Only decreases (closes, partial closes, and liquidations) enter the validation frame; increases open or enlarge posi-tions and do not realize PnL for the success proxies used here.</w:t>
      </w:r>
      <w:r>
        <w:rPr>
          <w:spacing w:val="27"/>
          <w:sz w:val="24"/>
          <w:vertAlign w:val="baseline"/>
        </w:rPr>
        <w:t> </w:t>
      </w:r>
      <w:r>
        <w:rPr>
          <w:sz w:val="24"/>
          <w:vertAlign w:val="baseline"/>
        </w:rPr>
        <w:t>Liquidation flags distinguish forced closes from voluntary ones, which matters for both inverse-risk proxies and GF-PR </w:t>
      </w:r>
      <w:r>
        <w:rPr>
          <w:w w:val="110"/>
          <w:sz w:val="24"/>
          <w:vertAlign w:val="baseline"/>
        </w:rPr>
        <w:t>sink weights.</w:t>
      </w:r>
    </w:p>
    <w:p>
      <w:pPr>
        <w:pStyle w:val="ListParagraph"/>
        <w:numPr>
          <w:ilvl w:val="0"/>
          <w:numId w:val="18"/>
        </w:numPr>
        <w:tabs>
          <w:tab w:pos="802" w:val="left" w:leader="none"/>
          <w:tab w:pos="806" w:val="left" w:leader="none"/>
        </w:tabs>
        <w:spacing w:line="388" w:lineRule="auto" w:before="32" w:after="0"/>
        <w:ind w:left="802" w:right="524" w:hanging="210"/>
        <w:jc w:val="both"/>
        <w:rPr>
          <w:sz w:val="24"/>
        </w:rPr>
      </w:pPr>
      <w:r>
        <w:rPr>
          <w:i/>
        </w:rPr>
        <w:t>GMX PositionDecrease: GMX V2는 최소한의 ERC-20 스타일 서명이 아닌 EventEmitter를 통해 구조화된 이벤트를 내보냅니다[23]. 이미터 주소와 확인된 EventLog1 주제 0에 대한 추출 필터를 적용한 다음 이벤트 페이로드의 키-값 필드를 디코딩하여 계정, basePnlUsd, sizeDeltaUsd 및 청산 표시기를 복구합니다. 감소(청산, 부분 청산 및 청산)만 검증 프레임에 들어가고, 포지션을 개시하거나 확대하며 여기에서 사용된 성공 프록시에 대한 손익을 실현하지 않습니다. 청산 플래그는 강제 종료와 자발적 종료를 구별하며 이는 역위험 프록시와 GF-PR 싱크 가중치 모두에 중요합니다.</w:t>
      </w:r>
    </w:p>
    <w:p>
      <w:pPr>
        <w:pStyle w:val="ListParagraph"/>
        <w:numPr>
          <w:ilvl w:val="0"/>
          <w:numId w:val="18"/>
        </w:numPr>
        <w:tabs>
          <w:tab w:pos="797" w:val="left" w:leader="none"/>
          <w:tab w:pos="808" w:val="left" w:leader="none"/>
        </w:tabs>
        <w:spacing w:line="396" w:lineRule="auto" w:before="34" w:after="0"/>
        <w:ind w:left="808" w:right="524" w:hanging="216"/>
        <w:jc w:val="both"/>
        <w:rPr>
          <w:sz w:val="24"/>
        </w:rPr>
      </w:pPr>
      <w:r>
        <w:rPr>
          <w:b/>
          <w:sz w:val="24"/>
        </w:rPr>
        <w:t>Address</w:t>
      </w:r>
      <w:r>
        <w:rPr>
          <w:b/>
          <w:spacing w:val="-10"/>
          <w:sz w:val="24"/>
        </w:rPr>
        <w:t> </w:t>
      </w:r>
      <w:r>
        <w:rPr>
          <w:b/>
          <w:sz w:val="24"/>
        </w:rPr>
        <w:t>normalization</w:t>
      </w:r>
      <w:r>
        <w:rPr>
          <w:b/>
          <w:spacing w:val="-10"/>
          <w:sz w:val="24"/>
        </w:rPr>
        <w:t> </w:t>
      </w:r>
      <w:r>
        <w:rPr>
          <w:b/>
          <w:sz w:val="24"/>
        </w:rPr>
        <w:t>and</w:t>
      </w:r>
      <w:r>
        <w:rPr>
          <w:b/>
          <w:spacing w:val="-10"/>
          <w:sz w:val="24"/>
        </w:rPr>
        <w:t> </w:t>
      </w:r>
      <w:r>
        <w:rPr>
          <w:b/>
          <w:sz w:val="24"/>
        </w:rPr>
        <w:t>units:</w:t>
      </w:r>
      <w:r>
        <w:rPr>
          <w:b/>
          <w:spacing w:val="10"/>
          <w:sz w:val="24"/>
        </w:rPr>
        <w:t> </w:t>
      </w:r>
      <w:r>
        <w:rPr>
          <w:sz w:val="24"/>
        </w:rPr>
        <w:t>All</w:t>
      </w:r>
      <w:r>
        <w:rPr>
          <w:spacing w:val="-10"/>
          <w:sz w:val="24"/>
        </w:rPr>
        <w:t> </w:t>
      </w:r>
      <w:r>
        <w:rPr>
          <w:sz w:val="24"/>
        </w:rPr>
        <w:t>addresses</w:t>
      </w:r>
      <w:r>
        <w:rPr>
          <w:spacing w:val="-10"/>
          <w:sz w:val="24"/>
        </w:rPr>
        <w:t> </w:t>
      </w:r>
      <w:r>
        <w:rPr>
          <w:sz w:val="24"/>
        </w:rPr>
        <w:t>are</w:t>
      </w:r>
      <w:r>
        <w:rPr>
          <w:spacing w:val="-10"/>
          <w:sz w:val="24"/>
        </w:rPr>
        <w:t> </w:t>
      </w:r>
      <w:r>
        <w:rPr>
          <w:sz w:val="24"/>
        </w:rPr>
        <w:t>lower-cased</w:t>
      </w:r>
      <w:r>
        <w:rPr>
          <w:spacing w:val="-10"/>
          <w:sz w:val="24"/>
        </w:rPr>
        <w:t> </w:t>
      </w:r>
      <w:r>
        <w:rPr>
          <w:sz w:val="24"/>
        </w:rPr>
        <w:t>before</w:t>
      </w:r>
      <w:r>
        <w:rPr>
          <w:spacing w:val="-10"/>
          <w:sz w:val="24"/>
        </w:rPr>
        <w:t> </w:t>
      </w:r>
      <w:r>
        <w:rPr>
          <w:sz w:val="24"/>
        </w:rPr>
        <w:t>joins</w:t>
      </w:r>
      <w:r>
        <w:rPr>
          <w:spacing w:val="-10"/>
          <w:sz w:val="24"/>
        </w:rPr>
        <w:t> </w:t>
      </w:r>
      <w:r>
        <w:rPr>
          <w:sz w:val="24"/>
        </w:rPr>
        <w:t>so</w:t>
      </w:r>
      <w:r>
        <w:rPr>
          <w:spacing w:val="-10"/>
          <w:sz w:val="24"/>
        </w:rPr>
        <w:t> </w:t>
      </w:r>
      <w:r>
        <w:rPr>
          <w:sz w:val="24"/>
        </w:rPr>
        <w:t>that</w:t>
      </w:r>
      <w:r>
        <w:rPr>
          <w:spacing w:val="-10"/>
          <w:sz w:val="24"/>
        </w:rPr>
        <w:t> </w:t>
      </w:r>
      <w:r>
        <w:rPr>
          <w:sz w:val="24"/>
        </w:rPr>
        <w:t>check-summed and non-checksummed hex forms collide correctly.</w:t>
      </w:r>
      <w:r>
        <w:rPr>
          <w:spacing w:val="40"/>
          <w:sz w:val="24"/>
        </w:rPr>
        <w:t> </w:t>
      </w:r>
      <w:r>
        <w:rPr>
          <w:sz w:val="24"/>
        </w:rPr>
        <w:t>Token amounts are stored as </w:t>
      </w:r>
      <w:r>
        <w:rPr>
          <w:spacing w:val="-2"/>
          <w:sz w:val="24"/>
        </w:rPr>
        <w:t>floating-point decimal-adjusted values for weighting; ranking uses relative magnitudes within </w:t>
      </w:r>
      <w:r>
        <w:rPr>
          <w:sz w:val="24"/>
        </w:rPr>
        <w:t>a cohort rather than absolute USD conversion for allowance and transfer edges.</w:t>
      </w:r>
      <w:r>
        <w:rPr>
          <w:spacing w:val="40"/>
          <w:sz w:val="24"/>
        </w:rPr>
        <w:t> </w:t>
      </w:r>
      <w:r>
        <w:rPr>
          <w:sz w:val="24"/>
        </w:rPr>
        <w:t>GMX PnL fields are already denominated in USD units in the protocol’s event schema and are used directly for trading-success and risk proxies.</w:t>
      </w:r>
    </w:p>
    <w:p>
      <w:pPr>
        <w:pStyle w:val="ListParagraph"/>
        <w:numPr>
          <w:ilvl w:val="0"/>
          <w:numId w:val="18"/>
        </w:numPr>
        <w:tabs>
          <w:tab w:pos="797" w:val="left" w:leader="none"/>
          <w:tab w:pos="808" w:val="left" w:leader="none"/>
        </w:tabs>
        <w:spacing w:line="396" w:lineRule="auto" w:before="34" w:after="0"/>
        <w:ind w:left="808" w:right="524" w:hanging="216"/>
        <w:jc w:val="both"/>
        <w:rPr>
          <w:sz w:val="24"/>
        </w:rPr>
      </w:pPr>
      <w:r>
        <w:rPr>
          <w:i/>
        </w:rPr>
        <w:t>주소 정규화 및 단위: 체크섬 및 비체크섬 16진수 형식이 올바르게 충돌하도록 조인 전에 모든 주소는 소문자입니다. 토큰 금액은 가중치를 위해 부동 소수점 소수점 조정 값으로 저장됩니다. 순위는 허용량 및 전송 가장자리에 대한 절대 USD 변환 대신 코호트 내 상대 크기를 사용합니다. GMX 손익 필드는 이미 프로토콜의 이벤트 스키마에서 USD 단위로 표시되어 있으며 거래 성공 및 위험 프록시에 직접 사용됩니다.</w:t>
      </w:r>
    </w:p>
    <w:p>
      <w:pPr>
        <w:pStyle w:val="BodyText"/>
        <w:spacing w:before="157"/>
      </w:pPr>
    </w:p>
    <w:p>
      <w:pPr>
        <w:pStyle w:val="Heading2"/>
        <w:numPr>
          <w:ilvl w:val="1"/>
          <w:numId w:val="8"/>
        </w:numPr>
        <w:tabs>
          <w:tab w:pos="783" w:val="left" w:leader="none"/>
        </w:tabs>
        <w:spacing w:line="240" w:lineRule="auto" w:before="0" w:after="0"/>
        <w:ind w:left="783" w:right="0" w:hanging="501"/>
        <w:jc w:val="left"/>
      </w:pPr>
      <w:bookmarkStart w:name="Graph construction" w:id="105"/>
      <w:bookmarkEnd w:id="105"/>
      <w:r>
        <w:rPr>
          <w:b w:val="0"/>
        </w:rPr>
      </w:r>
      <w:bookmarkStart w:name="_bookmark59" w:id="106"/>
      <w:bookmarkEnd w:id="106"/>
      <w:r>
        <w:rPr>
          <w:b w:val="0"/>
        </w:rPr>
      </w:r>
      <w:r>
        <w:rPr/>
        <w:t>Graph</w:t>
      </w:r>
      <w:r>
        <w:rPr>
          <w:spacing w:val="12"/>
        </w:rPr>
        <w:t> </w:t>
      </w:r>
      <w:r>
        <w:rPr>
          <w:spacing w:val="-2"/>
        </w:rPr>
        <w:t>construction</w:t>
      </w:r>
    </w:p>
    <w:p>
      <w:pPr>
        <w:pStyle w:val="Heading2"/>
        <w:numPr>
          <w:ilvl w:val="1"/>
          <w:numId w:val="8"/>
        </w:numPr>
        <w:tabs>
          <w:tab w:pos="783" w:val="left" w:leader="none"/>
        </w:tabs>
        <w:spacing w:line="240" w:lineRule="auto" w:before="0" w:after="0"/>
        <w:ind w:left="783" w:right="0" w:hanging="501"/>
        <w:jc w:val="left"/>
      </w:pPr>
      <w:r>
        <w:rPr>
          <w:i/>
        </w:rPr>
        <w:t>그래프 구성</w:t>
      </w:r>
    </w:p>
    <w:p>
      <w:pPr>
        <w:pStyle w:val="BodyText"/>
        <w:spacing w:before="24"/>
        <w:rPr>
          <w:b/>
          <w:sz w:val="28"/>
        </w:rPr>
      </w:pPr>
    </w:p>
    <w:p>
      <w:pPr>
        <w:pStyle w:val="BodyText"/>
        <w:spacing w:line="396" w:lineRule="auto"/>
        <w:ind w:left="282" w:right="524"/>
      </w:pPr>
      <w:r>
        <w:rPr/>
        <w:t>EndorseRank</w:t>
      </w:r>
      <w:r>
        <w:rPr>
          <w:spacing w:val="-1"/>
        </w:rPr>
        <w:t> </w:t>
      </w:r>
      <w:r>
        <w:rPr/>
        <w:t>and AWP</w:t>
      </w:r>
      <w:r>
        <w:rPr>
          <w:spacing w:val="-1"/>
        </w:rPr>
        <w:t> </w:t>
      </w:r>
      <w:r>
        <w:rPr/>
        <w:t>share</w:t>
      </w:r>
      <w:r>
        <w:rPr>
          <w:spacing w:val="-1"/>
        </w:rPr>
        <w:t> </w:t>
      </w:r>
      <w:r>
        <w:rPr/>
        <w:t>the PageRank solver in</w:t>
      </w:r>
      <w:r>
        <w:rPr>
          <w:spacing w:val="-1"/>
        </w:rPr>
        <w:t> </w:t>
      </w:r>
      <w:r>
        <w:rPr/>
        <w:t>Equation (</w:t>
      </w:r>
      <w:hyperlink w:history="true" w:anchor="_bookmark50">
        <w:r>
          <w:rPr/>
          <w:t>3.1</w:t>
        </w:r>
      </w:hyperlink>
      <w:r>
        <w:rPr/>
        <w:t>)</w:t>
      </w:r>
      <w:r>
        <w:rPr>
          <w:spacing w:val="-1"/>
        </w:rPr>
        <w:t> </w:t>
      </w:r>
      <w:r>
        <w:rPr/>
        <w:t>but differ</w:t>
      </w:r>
      <w:r>
        <w:rPr>
          <w:spacing w:val="-1"/>
        </w:rPr>
        <w:t> </w:t>
      </w:r>
      <w:r>
        <w:rPr/>
        <w:t>in</w:t>
      </w:r>
      <w:r>
        <w:rPr>
          <w:spacing w:val="-1"/>
        </w:rPr>
        <w:t> </w:t>
      </w:r>
      <w:r>
        <w:rPr/>
        <w:t>edge semantics. Both</w:t>
      </w:r>
      <w:r>
        <w:rPr>
          <w:spacing w:val="-6"/>
        </w:rPr>
        <w:t> </w:t>
      </w:r>
      <w:r>
        <w:rPr/>
        <w:t>methods</w:t>
      </w:r>
      <w:r>
        <w:rPr>
          <w:spacing w:val="-6"/>
        </w:rPr>
        <w:t> </w:t>
      </w:r>
      <w:r>
        <w:rPr/>
        <w:t>induce</w:t>
      </w:r>
      <w:r>
        <w:rPr>
          <w:spacing w:val="-6"/>
        </w:rPr>
        <w:t> </w:t>
      </w:r>
      <w:r>
        <w:rPr/>
        <w:t>a</w:t>
      </w:r>
      <w:r>
        <w:rPr>
          <w:spacing w:val="-6"/>
        </w:rPr>
        <w:t> </w:t>
      </w:r>
      <w:r>
        <w:rPr/>
        <w:t>directed,</w:t>
      </w:r>
      <w:r>
        <w:rPr>
          <w:spacing w:val="-6"/>
        </w:rPr>
        <w:t> </w:t>
      </w:r>
      <w:r>
        <w:rPr/>
        <w:t>weighted</w:t>
      </w:r>
      <w:r>
        <w:rPr>
          <w:spacing w:val="-6"/>
        </w:rPr>
        <w:t> </w:t>
      </w:r>
      <w:r>
        <w:rPr/>
        <w:t>graph</w:t>
      </w:r>
      <w:r>
        <w:rPr>
          <w:spacing w:val="-6"/>
        </w:rPr>
        <w:t> </w:t>
      </w:r>
      <w:r>
        <w:rPr/>
        <w:t>on</w:t>
      </w:r>
      <w:r>
        <w:rPr>
          <w:spacing w:val="-6"/>
        </w:rPr>
        <w:t> </w:t>
      </w:r>
      <w:r>
        <w:rPr/>
        <w:t>wallet</w:t>
      </w:r>
      <w:r>
        <w:rPr>
          <w:spacing w:val="-6"/>
        </w:rPr>
        <w:t> </w:t>
      </w:r>
      <w:r>
        <w:rPr/>
        <w:t>nodes,</w:t>
      </w:r>
      <w:r>
        <w:rPr>
          <w:spacing w:val="-5"/>
        </w:rPr>
        <w:t> </w:t>
      </w:r>
      <w:r>
        <w:rPr/>
        <w:t>restrict</w:t>
      </w:r>
      <w:r>
        <w:rPr>
          <w:spacing w:val="-6"/>
        </w:rPr>
        <w:t> </w:t>
      </w:r>
      <w:r>
        <w:rPr/>
        <w:t>attention</w:t>
      </w:r>
      <w:r>
        <w:rPr>
          <w:spacing w:val="-6"/>
        </w:rPr>
        <w:t> </w:t>
      </w:r>
      <w:r>
        <w:rPr/>
        <w:t>to</w:t>
      </w:r>
      <w:r>
        <w:rPr>
          <w:spacing w:val="-6"/>
        </w:rPr>
        <w:t> </w:t>
      </w:r>
      <w:r>
        <w:rPr/>
        <w:t>the</w:t>
      </w:r>
      <w:r>
        <w:rPr>
          <w:spacing w:val="-6"/>
        </w:rPr>
        <w:t> </w:t>
      </w:r>
      <w:r>
        <w:rPr/>
        <w:t>subgraph</w:t>
      </w:r>
    </w:p>
    <w:p>
      <w:pPr>
        <w:pStyle w:val="BodyText"/>
        <w:spacing w:line="396" w:lineRule="auto"/>
        <w:ind w:left="282" w:right="524"/>
      </w:pPr>
      <w:r>
        <w:rPr>
          <w:i/>
        </w:rPr>
        <w:t>EndorseRank 및 AWP는 방정식 (3.1)에서 PageRank 솔버를 공유하지만 가장자리 의미가 다릅니다. 두 방법 모두 지갑 노드에 방향성, 가중치 그래프를 유도하고 하위 그래프에 대한 주의를 제한합니다.</w:t>
      </w:r>
    </w:p>
    <w:p>
      <w:pPr>
        <w:pStyle w:val="BodyText"/>
        <w:spacing w:after="0" w:line="396" w:lineRule="auto"/>
        <w:sectPr>
          <w:pgSz w:w="11910" w:h="16840"/>
          <w:pgMar w:header="0" w:footer="2115" w:top="1800" w:bottom="2300" w:left="992" w:right="708"/>
        </w:sectPr>
      </w:pPr>
    </w:p>
    <w:p>
      <w:pPr>
        <w:pStyle w:val="BodyText"/>
        <w:spacing w:line="386" w:lineRule="auto" w:before="72"/>
        <w:ind w:left="282" w:right="522"/>
        <w:jc w:val="both"/>
      </w:pPr>
      <w:r>
        <w:rPr/>
        <w:t>touching the seed wallet set (edges with at least one endpoint in the cohort, including one-hop neighbors),</w:t>
      </w:r>
      <w:r>
        <w:rPr>
          <w:spacing w:val="-13"/>
        </w:rPr>
        <w:t> </w:t>
      </w:r>
      <w:r>
        <w:rPr/>
        <w:t>and</w:t>
      </w:r>
      <w:r>
        <w:rPr>
          <w:spacing w:val="-15"/>
        </w:rPr>
        <w:t> </w:t>
      </w:r>
      <w:r>
        <w:rPr/>
        <w:t>emit</w:t>
      </w:r>
      <w:r>
        <w:rPr>
          <w:spacing w:val="-15"/>
        </w:rPr>
        <w:t> </w:t>
      </w:r>
      <w:r>
        <w:rPr/>
        <w:t>a</w:t>
      </w:r>
      <w:r>
        <w:rPr>
          <w:spacing w:val="-15"/>
        </w:rPr>
        <w:t> </w:t>
      </w:r>
      <w:r>
        <w:rPr/>
        <w:t>score</w:t>
      </w:r>
      <w:r>
        <w:rPr>
          <w:spacing w:val="-15"/>
        </w:rPr>
        <w:t> </w:t>
      </w:r>
      <w:r>
        <w:rPr/>
        <w:t>for</w:t>
      </w:r>
      <w:r>
        <w:rPr>
          <w:spacing w:val="-15"/>
        </w:rPr>
        <w:t> </w:t>
      </w:r>
      <w:r>
        <w:rPr/>
        <w:t>every</w:t>
      </w:r>
      <w:r>
        <w:rPr>
          <w:spacing w:val="-15"/>
        </w:rPr>
        <w:t> </w:t>
      </w:r>
      <w:r>
        <w:rPr/>
        <w:t>cohort</w:t>
      </w:r>
      <w:r>
        <w:rPr>
          <w:spacing w:val="-15"/>
        </w:rPr>
        <w:t> </w:t>
      </w:r>
      <w:r>
        <w:rPr/>
        <w:t>wallet</w:t>
      </w:r>
      <w:r>
        <w:rPr>
          <w:spacing w:val="-15"/>
        </w:rPr>
        <w:t> </w:t>
      </w:r>
      <w:r>
        <w:rPr/>
        <w:t>(missing</w:t>
      </w:r>
      <w:r>
        <w:rPr>
          <w:spacing w:val="-15"/>
        </w:rPr>
        <w:t> </w:t>
      </w:r>
      <w:r>
        <w:rPr/>
        <w:t>nodes</w:t>
      </w:r>
      <w:r>
        <w:rPr>
          <w:spacing w:val="-15"/>
        </w:rPr>
        <w:t> </w:t>
      </w:r>
      <w:r>
        <w:rPr/>
        <w:t>receive</w:t>
      </w:r>
      <w:r>
        <w:rPr>
          <w:spacing w:val="-15"/>
        </w:rPr>
        <w:t> </w:t>
      </w:r>
      <w:r>
        <w:rPr/>
        <w:t>score</w:t>
      </w:r>
      <w:r>
        <w:rPr>
          <w:spacing w:val="-15"/>
        </w:rPr>
        <w:t> </w:t>
      </w:r>
      <w:r>
        <w:rPr>
          <w:rFonts w:ascii="Calibri"/>
        </w:rPr>
        <w:t>0</w:t>
      </w:r>
      <w:r>
        <w:rPr>
          <w:rFonts w:ascii="Calibri"/>
          <w:spacing w:val="-9"/>
        </w:rPr>
        <w:t> </w:t>
      </w:r>
      <w:r>
        <w:rPr/>
        <w:t>before</w:t>
      </w:r>
      <w:r>
        <w:rPr>
          <w:spacing w:val="-15"/>
        </w:rPr>
        <w:t> </w:t>
      </w:r>
      <w:r>
        <w:rPr/>
        <w:t>ranking). </w:t>
      </w:r>
      <w:r>
        <w:rPr>
          <w:spacing w:val="-2"/>
        </w:rPr>
        <w:t>Subgraph</w:t>
      </w:r>
      <w:r>
        <w:rPr>
          <w:spacing w:val="-6"/>
        </w:rPr>
        <w:t> </w:t>
      </w:r>
      <w:r>
        <w:rPr>
          <w:spacing w:val="-2"/>
        </w:rPr>
        <w:t>restriction</w:t>
      </w:r>
      <w:r>
        <w:rPr>
          <w:spacing w:val="-5"/>
        </w:rPr>
        <w:t> </w:t>
      </w:r>
      <w:r>
        <w:rPr>
          <w:spacing w:val="-2"/>
        </w:rPr>
        <w:t>is</w:t>
      </w:r>
      <w:r>
        <w:rPr>
          <w:spacing w:val="-6"/>
        </w:rPr>
        <w:t> </w:t>
      </w:r>
      <w:r>
        <w:rPr>
          <w:spacing w:val="-2"/>
        </w:rPr>
        <w:t>important</w:t>
      </w:r>
      <w:r>
        <w:rPr>
          <w:spacing w:val="-5"/>
        </w:rPr>
        <w:t> </w:t>
      </w:r>
      <w:r>
        <w:rPr>
          <w:spacing w:val="-2"/>
        </w:rPr>
        <w:t>for</w:t>
      </w:r>
      <w:r>
        <w:rPr>
          <w:spacing w:val="-5"/>
        </w:rPr>
        <w:t> </w:t>
      </w:r>
      <w:r>
        <w:rPr>
          <w:spacing w:val="-2"/>
        </w:rPr>
        <w:t>scalability</w:t>
      </w:r>
      <w:r>
        <w:rPr>
          <w:spacing w:val="-5"/>
        </w:rPr>
        <w:t> </w:t>
      </w:r>
      <w:r>
        <w:rPr>
          <w:spacing w:val="-2"/>
        </w:rPr>
        <w:t>and</w:t>
      </w:r>
      <w:r>
        <w:rPr>
          <w:spacing w:val="-5"/>
        </w:rPr>
        <w:t> </w:t>
      </w:r>
      <w:r>
        <w:rPr>
          <w:spacing w:val="-2"/>
        </w:rPr>
        <w:t>for</w:t>
      </w:r>
      <w:r>
        <w:rPr>
          <w:spacing w:val="-5"/>
        </w:rPr>
        <w:t> </w:t>
      </w:r>
      <w:r>
        <w:rPr>
          <w:spacing w:val="-2"/>
        </w:rPr>
        <w:t>interpretability:</w:t>
      </w:r>
      <w:r>
        <w:rPr>
          <w:spacing w:val="23"/>
        </w:rPr>
        <w:t> </w:t>
      </w:r>
      <w:r>
        <w:rPr>
          <w:spacing w:val="-2"/>
        </w:rPr>
        <w:t>the</w:t>
      </w:r>
      <w:r>
        <w:rPr>
          <w:spacing w:val="-5"/>
        </w:rPr>
        <w:t> </w:t>
      </w:r>
      <w:r>
        <w:rPr>
          <w:spacing w:val="-2"/>
        </w:rPr>
        <w:t>score</w:t>
      </w:r>
      <w:r>
        <w:rPr>
          <w:spacing w:val="-5"/>
        </w:rPr>
        <w:t> </w:t>
      </w:r>
      <w:r>
        <w:rPr>
          <w:spacing w:val="-2"/>
        </w:rPr>
        <w:t>of</w:t>
      </w:r>
      <w:r>
        <w:rPr>
          <w:spacing w:val="-5"/>
        </w:rPr>
        <w:t> </w:t>
      </w:r>
      <w:r>
        <w:rPr>
          <w:spacing w:val="-2"/>
        </w:rPr>
        <w:t>a</w:t>
      </w:r>
      <w:r>
        <w:rPr>
          <w:spacing w:val="-5"/>
        </w:rPr>
        <w:t> </w:t>
      </w:r>
      <w:r>
        <w:rPr>
          <w:spacing w:val="-2"/>
        </w:rPr>
        <w:t>cohort</w:t>
      </w:r>
      <w:r>
        <w:rPr>
          <w:spacing w:val="-5"/>
        </w:rPr>
        <w:t> </w:t>
      </w:r>
      <w:r>
        <w:rPr>
          <w:spacing w:val="-2"/>
        </w:rPr>
        <w:t>wallet</w:t>
      </w:r>
    </w:p>
    <w:p>
      <w:pPr>
        <w:pStyle w:val="BodyText"/>
        <w:spacing w:line="386" w:lineRule="auto" w:before="72"/>
        <w:ind w:left="282" w:right="522"/>
        <w:jc w:val="both"/>
      </w:pPr>
      <w:r>
        <w:rPr>
          <w:i/>
        </w:rPr>
        <w:t>시드 지갑 세트(1홉 이웃을 포함하여 코호트에 하나 이상의 엔드포인트가 있는 에지)를 터치하고 모든 코호트 지갑에 대한 점수를 내보냅니다(누락된 노드는 순위 지정 전에 점수 0을 받습니다). 확장성과 해석성을 위해 하위 그래프 제한이 중요합니다. 코호트 지갑의 점수</w:t>
      </w:r>
    </w:p>
    <w:p>
      <w:pPr>
        <w:pStyle w:val="BodyText"/>
        <w:spacing w:line="362" w:lineRule="auto" w:before="9"/>
        <w:ind w:left="282" w:right="563"/>
        <w:jc w:val="both"/>
      </w:pPr>
      <w:r>
        <w:rPr>
          <w:spacing w:val="-2"/>
        </w:rPr>
        <w:t>may</w:t>
      </w:r>
      <w:r>
        <w:rPr>
          <w:spacing w:val="-10"/>
        </w:rPr>
        <w:t> </w:t>
      </w:r>
      <w:r>
        <w:rPr>
          <w:spacing w:val="-2"/>
        </w:rPr>
        <w:t>receive</w:t>
      </w:r>
      <w:r>
        <w:rPr>
          <w:spacing w:val="-10"/>
        </w:rPr>
        <w:t> </w:t>
      </w:r>
      <w:r>
        <w:rPr>
          <w:spacing w:val="-2"/>
        </w:rPr>
        <w:t>mass</w:t>
      </w:r>
      <w:r>
        <w:rPr>
          <w:spacing w:val="-10"/>
        </w:rPr>
        <w:t> </w:t>
      </w:r>
      <w:r>
        <w:rPr>
          <w:spacing w:val="-2"/>
        </w:rPr>
        <w:t>from</w:t>
      </w:r>
      <w:r>
        <w:rPr>
          <w:spacing w:val="-10"/>
        </w:rPr>
        <w:t> </w:t>
      </w:r>
      <w:r>
        <w:rPr>
          <w:spacing w:val="-2"/>
        </w:rPr>
        <w:t>non-cohort</w:t>
      </w:r>
      <w:r>
        <w:rPr>
          <w:spacing w:val="-10"/>
        </w:rPr>
        <w:t> </w:t>
      </w:r>
      <w:r>
        <w:rPr>
          <w:spacing w:val="-2"/>
        </w:rPr>
        <w:t>neighbors</w:t>
      </w:r>
      <w:r>
        <w:rPr>
          <w:spacing w:val="-10"/>
        </w:rPr>
        <w:t> </w:t>
      </w:r>
      <w:r>
        <w:rPr>
          <w:spacing w:val="-2"/>
        </w:rPr>
        <w:t>that</w:t>
      </w:r>
      <w:r>
        <w:rPr>
          <w:spacing w:val="-10"/>
        </w:rPr>
        <w:t> </w:t>
      </w:r>
      <w:r>
        <w:rPr>
          <w:spacing w:val="-2"/>
        </w:rPr>
        <w:t>endorse</w:t>
      </w:r>
      <w:r>
        <w:rPr>
          <w:spacing w:val="-10"/>
        </w:rPr>
        <w:t> </w:t>
      </w:r>
      <w:r>
        <w:rPr>
          <w:spacing w:val="-2"/>
        </w:rPr>
        <w:t>or</w:t>
      </w:r>
      <w:r>
        <w:rPr>
          <w:spacing w:val="-10"/>
        </w:rPr>
        <w:t> </w:t>
      </w:r>
      <w:r>
        <w:rPr>
          <w:spacing w:val="-2"/>
        </w:rPr>
        <w:t>transfer</w:t>
      </w:r>
      <w:r>
        <w:rPr>
          <w:spacing w:val="-10"/>
        </w:rPr>
        <w:t> </w:t>
      </w:r>
      <w:r>
        <w:rPr>
          <w:spacing w:val="-2"/>
        </w:rPr>
        <w:t>to</w:t>
      </w:r>
      <w:r>
        <w:rPr>
          <w:spacing w:val="-10"/>
        </w:rPr>
        <w:t> </w:t>
      </w:r>
      <w:r>
        <w:rPr>
          <w:spacing w:val="-2"/>
        </w:rPr>
        <w:t>it,</w:t>
      </w:r>
      <w:r>
        <w:rPr>
          <w:spacing w:val="-7"/>
        </w:rPr>
        <w:t> </w:t>
      </w:r>
      <w:r>
        <w:rPr>
          <w:spacing w:val="-2"/>
        </w:rPr>
        <w:t>but</w:t>
      </w:r>
      <w:r>
        <w:rPr>
          <w:spacing w:val="-10"/>
        </w:rPr>
        <w:t> </w:t>
      </w:r>
      <w:r>
        <w:rPr>
          <w:spacing w:val="-2"/>
        </w:rPr>
        <w:t>the</w:t>
      </w:r>
      <w:r>
        <w:rPr>
          <w:spacing w:val="-10"/>
        </w:rPr>
        <w:t> </w:t>
      </w:r>
      <w:r>
        <w:rPr>
          <w:spacing w:val="-2"/>
        </w:rPr>
        <w:t>evaluation</w:t>
      </w:r>
      <w:r>
        <w:rPr>
          <w:spacing w:val="-10"/>
        </w:rPr>
        <w:t> </w:t>
      </w:r>
      <w:r>
        <w:rPr>
          <w:spacing w:val="-2"/>
        </w:rPr>
        <w:t>reports </w:t>
      </w:r>
      <w:r>
        <w:rPr/>
        <w:t>scores only on </w:t>
      </w:r>
      <w:r>
        <w:rPr>
          <w:rFonts w:ascii="Lucida Sans Unicode"/>
          <w:spacing w:val="9"/>
        </w:rPr>
        <w:t>M</w:t>
      </w:r>
      <w:r>
        <w:rPr>
          <w:spacing w:val="9"/>
        </w:rPr>
        <w:t>.</w:t>
      </w:r>
    </w:p>
    <w:p>
      <w:pPr>
        <w:pStyle w:val="BodyText"/>
        <w:spacing w:line="362" w:lineRule="auto" w:before="9"/>
        <w:ind w:left="282" w:right="563"/>
        <w:jc w:val="both"/>
      </w:pPr>
      <w:r>
        <w:rPr>
          <w:i/>
        </w:rPr>
        <w:t>이를 지지하거나 전달하는 코호트가 아닌 이웃으로부터 미사를 받을 수도 있지만 평가에서는 M에 대해서만 점수를 보고합니다.</w:t>
      </w:r>
    </w:p>
    <w:p>
      <w:pPr>
        <w:pStyle w:val="BodyText"/>
        <w:spacing w:line="229" w:lineRule="exact"/>
        <w:ind w:left="274"/>
        <w:jc w:val="both"/>
      </w:pPr>
      <w:r>
        <w:rPr/>
        <w:t>The</w:t>
      </w:r>
      <w:r>
        <w:rPr>
          <w:spacing w:val="18"/>
        </w:rPr>
        <w:t> </w:t>
      </w:r>
      <w:r>
        <w:rPr/>
        <w:t>conceptual</w:t>
      </w:r>
      <w:r>
        <w:rPr>
          <w:spacing w:val="18"/>
        </w:rPr>
        <w:t> </w:t>
      </w:r>
      <w:r>
        <w:rPr/>
        <w:t>distinction</w:t>
      </w:r>
      <w:r>
        <w:rPr>
          <w:spacing w:val="18"/>
        </w:rPr>
        <w:t> </w:t>
      </w:r>
      <w:r>
        <w:rPr/>
        <w:t>is</w:t>
      </w:r>
      <w:r>
        <w:rPr>
          <w:spacing w:val="19"/>
        </w:rPr>
        <w:t> </w:t>
      </w:r>
      <w:r>
        <w:rPr/>
        <w:t>endorsement</w:t>
      </w:r>
      <w:r>
        <w:rPr>
          <w:spacing w:val="18"/>
        </w:rPr>
        <w:t> </w:t>
      </w:r>
      <w:r>
        <w:rPr/>
        <w:t>versus</w:t>
      </w:r>
      <w:r>
        <w:rPr>
          <w:spacing w:val="18"/>
        </w:rPr>
        <w:t> </w:t>
      </w:r>
      <w:r>
        <w:rPr/>
        <w:t>flow.</w:t>
      </w:r>
      <w:r>
        <w:rPr>
          <w:spacing w:val="55"/>
          <w:w w:val="150"/>
        </w:rPr>
        <w:t> </w:t>
      </w:r>
      <w:r>
        <w:rPr/>
        <w:t>An</w:t>
      </w:r>
      <w:r>
        <w:rPr>
          <w:spacing w:val="18"/>
        </w:rPr>
        <w:t> </w:t>
      </w:r>
      <w:r>
        <w:rPr/>
        <w:t>allowance</w:t>
      </w:r>
      <w:r>
        <w:rPr>
          <w:spacing w:val="19"/>
        </w:rPr>
        <w:t> </w:t>
      </w:r>
      <w:r>
        <w:rPr/>
        <w:t>is</w:t>
      </w:r>
      <w:r>
        <w:rPr>
          <w:spacing w:val="18"/>
        </w:rPr>
        <w:t> </w:t>
      </w:r>
      <w:r>
        <w:rPr/>
        <w:t>an</w:t>
      </w:r>
      <w:r>
        <w:rPr>
          <w:spacing w:val="18"/>
        </w:rPr>
        <w:t> </w:t>
      </w:r>
      <w:r>
        <w:rPr/>
        <w:t>explicit,</w:t>
      </w:r>
      <w:r>
        <w:rPr>
          <w:spacing w:val="25"/>
        </w:rPr>
        <w:t> </w:t>
      </w:r>
      <w:r>
        <w:rPr>
          <w:spacing w:val="-2"/>
        </w:rPr>
        <w:t>revocable</w:t>
      </w:r>
    </w:p>
    <w:p>
      <w:pPr>
        <w:pStyle w:val="BodyText"/>
        <w:spacing w:line="229" w:lineRule="exact"/>
        <w:ind w:left="274"/>
        <w:jc w:val="both"/>
      </w:pPr>
      <w:r>
        <w:rPr>
          <w:i/>
        </w:rPr>
        <w:t>개념적 차이는 보증과 흐름입니다. 수당은 명시적이고 취소 가능합니다.</w:t>
      </w:r>
    </w:p>
    <w:p>
      <w:pPr>
        <w:pStyle w:val="BodyText"/>
        <w:spacing w:line="396" w:lineRule="auto" w:before="181"/>
        <w:ind w:left="282" w:right="523"/>
        <w:jc w:val="both"/>
      </w:pPr>
      <w:r>
        <w:rPr/>
        <w:t>authorization</w:t>
      </w:r>
      <w:r>
        <w:rPr>
          <w:spacing w:val="-14"/>
        </w:rPr>
        <w:t> </w:t>
      </w:r>
      <w:r>
        <w:rPr/>
        <w:t>to</w:t>
      </w:r>
      <w:r>
        <w:rPr>
          <w:spacing w:val="-14"/>
        </w:rPr>
        <w:t> </w:t>
      </w:r>
      <w:r>
        <w:rPr/>
        <w:t>spend;</w:t>
      </w:r>
      <w:r>
        <w:rPr>
          <w:spacing w:val="-11"/>
        </w:rPr>
        <w:t> </w:t>
      </w:r>
      <w:r>
        <w:rPr/>
        <w:t>a</w:t>
      </w:r>
      <w:r>
        <w:rPr>
          <w:spacing w:val="-14"/>
        </w:rPr>
        <w:t> </w:t>
      </w:r>
      <w:r>
        <w:rPr/>
        <w:t>transfer</w:t>
      </w:r>
      <w:r>
        <w:rPr>
          <w:spacing w:val="-14"/>
        </w:rPr>
        <w:t> </w:t>
      </w:r>
      <w:r>
        <w:rPr/>
        <w:t>is</w:t>
      </w:r>
      <w:r>
        <w:rPr>
          <w:spacing w:val="-14"/>
        </w:rPr>
        <w:t> </w:t>
      </w:r>
      <w:r>
        <w:rPr/>
        <w:t>a</w:t>
      </w:r>
      <w:r>
        <w:rPr>
          <w:spacing w:val="-14"/>
        </w:rPr>
        <w:t> </w:t>
      </w:r>
      <w:r>
        <w:rPr/>
        <w:t>completed</w:t>
      </w:r>
      <w:r>
        <w:rPr>
          <w:spacing w:val="-14"/>
        </w:rPr>
        <w:t> </w:t>
      </w:r>
      <w:r>
        <w:rPr/>
        <w:t>movement</w:t>
      </w:r>
      <w:r>
        <w:rPr>
          <w:spacing w:val="-14"/>
        </w:rPr>
        <w:t> </w:t>
      </w:r>
      <w:r>
        <w:rPr/>
        <w:t>of</w:t>
      </w:r>
      <w:r>
        <w:rPr>
          <w:spacing w:val="-14"/>
        </w:rPr>
        <w:t> </w:t>
      </w:r>
      <w:r>
        <w:rPr/>
        <w:t>value</w:t>
      </w:r>
      <w:r>
        <w:rPr>
          <w:spacing w:val="-14"/>
        </w:rPr>
        <w:t> </w:t>
      </w:r>
      <w:r>
        <w:rPr/>
        <w:t>that</w:t>
      </w:r>
      <w:r>
        <w:rPr>
          <w:spacing w:val="-14"/>
        </w:rPr>
        <w:t> </w:t>
      </w:r>
      <w:r>
        <w:rPr/>
        <w:t>may</w:t>
      </w:r>
      <w:r>
        <w:rPr>
          <w:spacing w:val="-14"/>
        </w:rPr>
        <w:t> </w:t>
      </w:r>
      <w:r>
        <w:rPr/>
        <w:t>reflect</w:t>
      </w:r>
      <w:r>
        <w:rPr>
          <w:spacing w:val="-14"/>
        </w:rPr>
        <w:t> </w:t>
      </w:r>
      <w:r>
        <w:rPr/>
        <w:t>payment,</w:t>
      </w:r>
      <w:r>
        <w:rPr>
          <w:spacing w:val="-12"/>
        </w:rPr>
        <w:t> </w:t>
      </w:r>
      <w:r>
        <w:rPr/>
        <w:t>rout-ing, market-making, or wash activity without a trust commitment </w:t>
      </w:r>
      <w:hyperlink w:history="true" w:anchor="_bookmark149">
        <w:r>
          <w:rPr>
            <w:vertAlign w:val="superscript"/>
          </w:rPr>
          <w:t>[16]</w:t>
        </w:r>
      </w:hyperlink>
      <w:r>
        <w:rPr>
          <w:vertAlign w:val="superscript"/>
        </w:rPr>
        <w:t>,</w:t>
      </w:r>
      <w:hyperlink w:history="true" w:anchor="_bookmark151">
        <w:r>
          <w:rPr>
            <w:vertAlign w:val="superscript"/>
          </w:rPr>
          <w:t>[18]</w:t>
        </w:r>
      </w:hyperlink>
      <w:r>
        <w:rPr>
          <w:vertAlign w:val="baseline"/>
        </w:rPr>
        <w:t>.</w:t>
      </w:r>
      <w:r>
        <w:rPr>
          <w:spacing w:val="40"/>
          <w:vertAlign w:val="baseline"/>
        </w:rPr>
        <w:t> </w:t>
      </w:r>
      <w:r>
        <w:rPr>
          <w:vertAlign w:val="baseline"/>
        </w:rPr>
        <w:t>EndorseRank therefore treats the latest allowance snapshot as a citation-like endorsement graph in the sense of Page et al.</w:t>
      </w:r>
      <w:hyperlink w:history="true" w:anchor="_bookmark182">
        <w:r>
          <w:rPr>
            <w:vertAlign w:val="superscript"/>
          </w:rPr>
          <w:t>[49]</w:t>
        </w:r>
      </w:hyperlink>
      <w:r>
        <w:rPr>
          <w:vertAlign w:val="baseline"/>
        </w:rPr>
        <w:t>.</w:t>
      </w:r>
      <w:r>
        <w:rPr>
          <w:spacing w:val="40"/>
          <w:vertAlign w:val="baseline"/>
        </w:rPr>
        <w:t> </w:t>
      </w:r>
      <w:r>
        <w:rPr>
          <w:vertAlign w:val="baseline"/>
        </w:rPr>
        <w:t>AWP treats historical transfers as time-decayed citations, down-weighting older flows so </w:t>
      </w:r>
      <w:bookmarkStart w:name="EndorseRank allowance graph" w:id="107"/>
      <w:bookmarkEnd w:id="107"/>
      <w:r>
        <w:rPr>
          <w:vertAlign w:val="baseline"/>
        </w:rPr>
        <w:t>that</w:t>
      </w:r>
      <w:r>
        <w:rPr>
          <w:vertAlign w:val="baseline"/>
        </w:rPr>
        <w:t> recent economic activity dominates.</w:t>
      </w:r>
    </w:p>
    <w:p>
      <w:pPr>
        <w:pStyle w:val="BodyText"/>
        <w:spacing w:line="396" w:lineRule="auto" w:before="181"/>
        <w:ind w:left="282" w:right="523"/>
        <w:jc w:val="both"/>
      </w:pPr>
      <w:r>
        <w:rPr>
          <w:i/>
        </w:rPr>
        <w:t>지출 승인; 이전은 신뢰 약속 없이 지불, 라우팅, 시장 조성 또는 세탁 활동을 반영할 수 있는 완전한 가치 이동입니다[16],[18]. EndorseRank 따라서 최신 수당 스냅샷을 Page et al.[49]의 의미에서 인용과 유사한 보증 그래프로 처리합니다. AWP은 과거 이전을 시간이 지남에 따라 소멸된 인용으로 취급하고, 최근 경제 활동이 지배하도록 오래된 흐름의 가중치를 낮춥니다.</w:t>
      </w:r>
    </w:p>
    <w:p>
      <w:pPr>
        <w:pStyle w:val="BodyText"/>
        <w:spacing w:before="10"/>
      </w:pPr>
    </w:p>
    <w:p>
      <w:pPr>
        <w:pStyle w:val="Heading4"/>
        <w:numPr>
          <w:ilvl w:val="2"/>
          <w:numId w:val="8"/>
        </w:numPr>
        <w:tabs>
          <w:tab w:pos="879" w:val="left" w:leader="none"/>
        </w:tabs>
        <w:spacing w:line="240" w:lineRule="auto" w:before="1" w:after="0"/>
        <w:ind w:left="879" w:right="0" w:hanging="597"/>
        <w:jc w:val="both"/>
      </w:pPr>
      <w:r>
        <w:rPr>
          <w:spacing w:val="-2"/>
        </w:rPr>
        <w:t>EndorseRank</w:t>
      </w:r>
      <w:r>
        <w:rPr>
          <w:spacing w:val="1"/>
        </w:rPr>
        <w:t> </w:t>
      </w:r>
      <w:r>
        <w:rPr>
          <w:spacing w:val="-2"/>
        </w:rPr>
        <w:t>allowance</w:t>
      </w:r>
      <w:r>
        <w:rPr>
          <w:spacing w:val="2"/>
        </w:rPr>
        <w:t> </w:t>
      </w:r>
      <w:r>
        <w:rPr>
          <w:spacing w:val="-2"/>
        </w:rPr>
        <w:t>graph</w:t>
      </w:r>
    </w:p>
    <w:p>
      <w:pPr>
        <w:pStyle w:val="Heading4"/>
        <w:numPr>
          <w:ilvl w:val="2"/>
          <w:numId w:val="8"/>
        </w:numPr>
        <w:tabs>
          <w:tab w:pos="879" w:val="left" w:leader="none"/>
        </w:tabs>
        <w:spacing w:line="240" w:lineRule="auto" w:before="1" w:after="0"/>
        <w:ind w:left="879" w:right="0" w:hanging="597"/>
        <w:jc w:val="both"/>
      </w:pPr>
      <w:r>
        <w:rPr>
          <w:i/>
        </w:rPr>
        <w:t>EndorseRank 수당 그래프</w:t>
      </w:r>
    </w:p>
    <w:p>
      <w:pPr>
        <w:pStyle w:val="BodyText"/>
        <w:spacing w:line="456" w:lineRule="exact" w:before="181"/>
        <w:ind w:left="282" w:right="559"/>
        <w:jc w:val="both"/>
      </w:pPr>
      <w:r>
        <w:rPr/>
        <w:t>Let</w:t>
      </w:r>
      <w:r>
        <w:rPr>
          <w:spacing w:val="-15"/>
        </w:rPr>
        <w:t> </w:t>
      </w:r>
      <w:r>
        <w:rPr>
          <w:rFonts w:ascii="Lucida Sans Unicode" w:hAnsi="Lucida Sans Unicode"/>
        </w:rPr>
        <w:t>A</w:t>
      </w:r>
      <w:r>
        <w:rPr>
          <w:rFonts w:ascii="Lucida Sans Unicode" w:hAnsi="Lucida Sans Unicode"/>
          <w:spacing w:val="-19"/>
        </w:rPr>
        <w:t> </w:t>
      </w:r>
      <w:r>
        <w:rPr/>
        <w:t>be</w:t>
      </w:r>
      <w:r>
        <w:rPr>
          <w:spacing w:val="-14"/>
        </w:rPr>
        <w:t> </w:t>
      </w:r>
      <w:r>
        <w:rPr/>
        <w:t>the</w:t>
      </w:r>
      <w:r>
        <w:rPr>
          <w:spacing w:val="-11"/>
        </w:rPr>
        <w:t> </w:t>
      </w:r>
      <w:r>
        <w:rPr/>
        <w:t>set</w:t>
      </w:r>
      <w:r>
        <w:rPr>
          <w:spacing w:val="-11"/>
        </w:rPr>
        <w:t> </w:t>
      </w:r>
      <w:r>
        <w:rPr/>
        <w:t>of</w:t>
      </w:r>
      <w:r>
        <w:rPr>
          <w:spacing w:val="-11"/>
        </w:rPr>
        <w:t> </w:t>
      </w:r>
      <w:r>
        <w:rPr/>
        <w:t>latest</w:t>
      </w:r>
      <w:r>
        <w:rPr>
          <w:spacing w:val="-11"/>
        </w:rPr>
        <w:t> </w:t>
      </w:r>
      <w:r>
        <w:rPr/>
        <w:t>allowance</w:t>
      </w:r>
      <w:r>
        <w:rPr>
          <w:spacing w:val="-11"/>
        </w:rPr>
        <w:t> </w:t>
      </w:r>
      <w:r>
        <w:rPr/>
        <w:t>records</w:t>
      </w:r>
      <w:r>
        <w:rPr>
          <w:spacing w:val="-11"/>
        </w:rPr>
        <w:t> </w:t>
      </w:r>
      <w:r>
        <w:rPr/>
        <w:t>after</w:t>
      </w:r>
      <w:r>
        <w:rPr>
          <w:spacing w:val="-11"/>
        </w:rPr>
        <w:t> </w:t>
      </w:r>
      <w:r>
        <w:rPr/>
        <w:t>preprocessing:</w:t>
      </w:r>
      <w:r>
        <w:rPr>
          <w:spacing w:val="11"/>
        </w:rPr>
        <w:t> </w:t>
      </w:r>
      <w:r>
        <w:rPr/>
        <w:t>for</w:t>
      </w:r>
      <w:r>
        <w:rPr>
          <w:spacing w:val="-11"/>
        </w:rPr>
        <w:t> </w:t>
      </w:r>
      <w:r>
        <w:rPr/>
        <w:t>each</w:t>
      </w:r>
      <w:r>
        <w:rPr>
          <w:spacing w:val="-11"/>
        </w:rPr>
        <w:t> </w:t>
      </w:r>
      <w:r>
        <w:rPr/>
        <w:t>token</w:t>
      </w:r>
      <w:r>
        <w:rPr>
          <w:spacing w:val="-11"/>
        </w:rPr>
        <w:t> </w:t>
      </w:r>
      <w:r>
        <w:rPr/>
        <w:t>and</w:t>
      </w:r>
      <w:r>
        <w:rPr>
          <w:spacing w:val="-12"/>
        </w:rPr>
        <w:t> </w:t>
      </w:r>
      <w:r>
        <w:rPr/>
        <w:t>owner–spender pair,</w:t>
      </w:r>
      <w:r>
        <w:rPr>
          <w:spacing w:val="-12"/>
        </w:rPr>
        <w:t> </w:t>
      </w:r>
      <w:r>
        <w:rPr/>
        <w:t>only</w:t>
      </w:r>
      <w:r>
        <w:rPr>
          <w:spacing w:val="-15"/>
        </w:rPr>
        <w:t> </w:t>
      </w:r>
      <w:r>
        <w:rPr/>
        <w:t>the</w:t>
      </w:r>
      <w:r>
        <w:rPr>
          <w:spacing w:val="-15"/>
        </w:rPr>
        <w:t> </w:t>
      </w:r>
      <w:r>
        <w:rPr/>
        <w:t>chronologically</w:t>
      </w:r>
      <w:r>
        <w:rPr>
          <w:spacing w:val="-15"/>
        </w:rPr>
        <w:t> </w:t>
      </w:r>
      <w:r>
        <w:rPr/>
        <w:t>last</w:t>
      </w:r>
      <w:r>
        <w:rPr>
          <w:spacing w:val="-15"/>
        </w:rPr>
        <w:t> </w:t>
      </w:r>
      <w:r>
        <w:rPr>
          <w:rFonts w:ascii="Calibri" w:hAnsi="Calibri"/>
        </w:rPr>
        <w:t>Approval</w:t>
      </w:r>
      <w:r>
        <w:rPr>
          <w:rFonts w:ascii="Calibri" w:hAnsi="Calibri"/>
          <w:spacing w:val="-9"/>
        </w:rPr>
        <w:t> </w:t>
      </w:r>
      <w:r>
        <w:rPr/>
        <w:t>in</w:t>
      </w:r>
      <w:r>
        <w:rPr>
          <w:spacing w:val="-15"/>
        </w:rPr>
        <w:t> </w:t>
      </w:r>
      <w:r>
        <w:rPr/>
        <w:t>the</w:t>
      </w:r>
      <w:r>
        <w:rPr>
          <w:spacing w:val="-15"/>
        </w:rPr>
        <w:t> </w:t>
      </w:r>
      <w:r>
        <w:rPr/>
        <w:t>observation</w:t>
      </w:r>
      <w:r>
        <w:rPr>
          <w:spacing w:val="-15"/>
        </w:rPr>
        <w:t> </w:t>
      </w:r>
      <w:r>
        <w:rPr/>
        <w:t>window</w:t>
      </w:r>
      <w:r>
        <w:rPr>
          <w:spacing w:val="-15"/>
        </w:rPr>
        <w:t> </w:t>
      </w:r>
      <w:r>
        <w:rPr/>
        <w:t>is</w:t>
      </w:r>
      <w:r>
        <w:rPr>
          <w:spacing w:val="-15"/>
        </w:rPr>
        <w:t> </w:t>
      </w:r>
      <w:r>
        <w:rPr/>
        <w:t>retained</w:t>
      </w:r>
      <w:r>
        <w:rPr>
          <w:spacing w:val="-15"/>
        </w:rPr>
        <w:t> </w:t>
      </w:r>
      <w:r>
        <w:rPr/>
        <w:t>(zero</w:t>
      </w:r>
      <w:r>
        <w:rPr>
          <w:spacing w:val="-15"/>
        </w:rPr>
        <w:t> </w:t>
      </w:r>
      <w:r>
        <w:rPr/>
        <w:t>allowances remove the edge). Across tokens, weights are summed:</w:t>
      </w:r>
    </w:p>
    <w:p>
      <w:pPr>
        <w:pStyle w:val="BodyText"/>
        <w:spacing w:line="456" w:lineRule="exact" w:before="181"/>
        <w:ind w:left="282" w:right="559"/>
        <w:jc w:val="both"/>
      </w:pPr>
      <w:r>
        <w:rPr>
          <w:i/>
        </w:rPr>
        <w:t>A를 사전 처리 후 최신 허용량 레코드 세트로 둡니다. 각 토큰 및 소유자-소비자 쌍에 대해 관찰 창에서 시간순으로 마지막 승인만 유지됩니다(허용량이 0이면 가장자리가 제거됩니다). 토큰 전체에서 가중치가 합산됩니다.</w:t>
      </w:r>
    </w:p>
    <w:p>
      <w:pPr>
        <w:pStyle w:val="BodyText"/>
        <w:spacing w:before="240"/>
      </w:pPr>
    </w:p>
    <w:p>
      <w:pPr>
        <w:tabs>
          <w:tab w:pos="5007" w:val="left" w:leader="none"/>
          <w:tab w:pos="9196" w:val="left" w:leader="none"/>
        </w:tabs>
        <w:spacing w:before="0"/>
        <w:ind w:left="3452" w:right="0" w:firstLine="0"/>
        <w:jc w:val="left"/>
        <w:rPr>
          <w:sz w:val="24"/>
        </w:rPr>
      </w:pPr>
      <w:r>
        <w:rPr>
          <w:sz w:val="24"/>
        </w:rPr>
        <mc:AlternateContent>
          <mc:Choice Requires="wps">
            <w:drawing>
              <wp:anchor distT="0" distB="0" distL="0" distR="0" allowOverlap="1" layoutInCell="1" locked="0" behindDoc="1" simplePos="0" relativeHeight="484014592">
                <wp:simplePos x="0" y="0"/>
                <wp:positionH relativeFrom="page">
                  <wp:posOffset>3562578</wp:posOffset>
                </wp:positionH>
                <wp:positionV relativeFrom="paragraph">
                  <wp:posOffset>-112893</wp:posOffset>
                </wp:positionV>
                <wp:extent cx="219710" cy="56324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80.518005pt;margin-top:-8.889263pt;width:17.3pt;height:44.35pt;mso-position-horizontal-relative:page;mso-position-vertical-relative:paragraph;z-index:-19301888" type="#_x0000_t202" id="docshape113"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hAnsi="Calibri"/>
          <w:i/>
          <w:w w:val="110"/>
          <w:sz w:val="24"/>
        </w:rPr>
        <w:t>w</w:t>
      </w:r>
      <w:r>
        <w:rPr>
          <w:rFonts w:ascii="Cambria" w:hAnsi="Cambria"/>
          <w:w w:val="110"/>
          <w:sz w:val="24"/>
          <w:vertAlign w:val="subscript"/>
        </w:rPr>
        <w:t>A</w:t>
      </w:r>
      <w:r>
        <w:rPr>
          <w:rFonts w:ascii="Calibri" w:hAnsi="Calibri"/>
          <w:w w:val="110"/>
          <w:sz w:val="24"/>
          <w:vertAlign w:val="baseline"/>
        </w:rPr>
        <w:t>(</w:t>
      </w:r>
      <w:r>
        <w:rPr>
          <w:rFonts w:ascii="Calibri" w:hAnsi="Calibri"/>
          <w:i/>
          <w:w w:val="110"/>
          <w:sz w:val="24"/>
          <w:vertAlign w:val="baseline"/>
        </w:rPr>
        <w:t>u,</w:t>
      </w:r>
      <w:r>
        <w:rPr>
          <w:rFonts w:ascii="Calibri" w:hAnsi="Calibri"/>
          <w:i/>
          <w:spacing w:val="-12"/>
          <w:w w:val="110"/>
          <w:sz w:val="24"/>
          <w:vertAlign w:val="baseline"/>
        </w:rPr>
        <w:t> </w:t>
      </w:r>
      <w:r>
        <w:rPr>
          <w:rFonts w:ascii="Calibri" w:hAnsi="Calibri"/>
          <w:i/>
          <w:w w:val="110"/>
          <w:sz w:val="24"/>
          <w:vertAlign w:val="baseline"/>
        </w:rPr>
        <w:t>v</w:t>
      </w:r>
      <w:r>
        <w:rPr>
          <w:rFonts w:ascii="Calibri" w:hAnsi="Calibri"/>
          <w:w w:val="110"/>
          <w:sz w:val="24"/>
          <w:vertAlign w:val="baseline"/>
        </w:rPr>
        <w:t>)</w:t>
      </w:r>
      <w:r>
        <w:rPr>
          <w:rFonts w:ascii="Calibri" w:hAnsi="Calibri"/>
          <w:spacing w:val="21"/>
          <w:w w:val="110"/>
          <w:sz w:val="24"/>
          <w:vertAlign w:val="baseline"/>
        </w:rPr>
        <w:t> </w:t>
      </w:r>
      <w:r>
        <w:rPr>
          <w:rFonts w:ascii="Calibri" w:hAnsi="Calibri"/>
          <w:spacing w:val="-10"/>
          <w:w w:val="110"/>
          <w:sz w:val="24"/>
          <w:vertAlign w:val="baseline"/>
        </w:rPr>
        <w:t>=</w:t>
      </w:r>
      <w:r>
        <w:rPr>
          <w:rFonts w:ascii="Calibri" w:hAnsi="Calibri"/>
          <w:sz w:val="24"/>
          <w:vertAlign w:val="baseline"/>
        </w:rPr>
        <w:tab/>
      </w:r>
      <w:r>
        <w:rPr>
          <w:rFonts w:ascii="Calibri" w:hAnsi="Calibri"/>
          <w:i/>
          <w:w w:val="105"/>
          <w:sz w:val="24"/>
          <w:vertAlign w:val="baseline"/>
        </w:rPr>
        <w:t>a</w:t>
      </w:r>
      <w:r>
        <w:rPr>
          <w:rFonts w:ascii="Cambria" w:hAnsi="Cambria"/>
          <w:w w:val="105"/>
          <w:sz w:val="24"/>
          <w:vertAlign w:val="superscript"/>
        </w:rPr>
        <w:t>⋆</w:t>
      </w:r>
      <w:r>
        <w:rPr>
          <w:rFonts w:ascii="Calibri" w:hAnsi="Calibri"/>
          <w:w w:val="105"/>
          <w:sz w:val="24"/>
          <w:vertAlign w:val="baseline"/>
        </w:rPr>
        <w:t>(</w:t>
      </w:r>
      <w:r>
        <w:rPr>
          <w:rFonts w:ascii="Calibri" w:hAnsi="Calibri"/>
          <w:i/>
          <w:w w:val="105"/>
          <w:sz w:val="24"/>
          <w:vertAlign w:val="baseline"/>
        </w:rPr>
        <w:t>u,</w:t>
      </w:r>
      <w:r>
        <w:rPr>
          <w:rFonts w:ascii="Calibri" w:hAnsi="Calibri"/>
          <w:i/>
          <w:spacing w:val="-4"/>
          <w:w w:val="105"/>
          <w:sz w:val="24"/>
          <w:vertAlign w:val="baseline"/>
        </w:rPr>
        <w:t> </w:t>
      </w:r>
      <w:r>
        <w:rPr>
          <w:rFonts w:ascii="Calibri" w:hAnsi="Calibri"/>
          <w:i/>
          <w:w w:val="105"/>
          <w:sz w:val="24"/>
          <w:vertAlign w:val="baseline"/>
        </w:rPr>
        <w:t>v,</w:t>
      </w:r>
      <w:r>
        <w:rPr>
          <w:rFonts w:ascii="Calibri" w:hAnsi="Calibri"/>
          <w:i/>
          <w:spacing w:val="-3"/>
          <w:w w:val="105"/>
          <w:sz w:val="24"/>
          <w:vertAlign w:val="baseline"/>
        </w:rPr>
        <w:t> </w:t>
      </w:r>
      <w:r>
        <w:rPr>
          <w:spacing w:val="-2"/>
          <w:w w:val="105"/>
          <w:sz w:val="24"/>
          <w:vertAlign w:val="baseline"/>
        </w:rPr>
        <w:t>token</w:t>
      </w:r>
      <w:r>
        <w:rPr>
          <w:rFonts w:ascii="Calibri" w:hAnsi="Calibri"/>
          <w:spacing w:val="-2"/>
          <w:w w:val="105"/>
          <w:sz w:val="24"/>
          <w:vertAlign w:val="baseline"/>
        </w:rPr>
        <w:t>)</w:t>
      </w:r>
      <w:r>
        <w:rPr>
          <w:rFonts w:ascii="Calibri" w:hAnsi="Calibri"/>
          <w:i/>
          <w:spacing w:val="-2"/>
          <w:w w:val="105"/>
          <w:sz w:val="24"/>
          <w:vertAlign w:val="baseline"/>
        </w:rPr>
        <w:t>,</w:t>
      </w:r>
      <w:r>
        <w:rPr>
          <w:rFonts w:ascii="Calibri" w:hAnsi="Calibri"/>
          <w:i/>
          <w:sz w:val="24"/>
          <w:vertAlign w:val="baseline"/>
        </w:rPr>
        <w:tab/>
      </w:r>
      <w:r>
        <w:rPr>
          <w:spacing w:val="-2"/>
          <w:w w:val="115"/>
          <w:sz w:val="24"/>
          <w:vertAlign w:val="baseline"/>
        </w:rPr>
        <w:t>(3.3)</w:t>
      </w:r>
    </w:p>
    <w:p>
      <w:pPr>
        <w:tabs>
          <w:tab w:pos="5007" w:val="left" w:leader="none"/>
          <w:tab w:pos="9196" w:val="left" w:leader="none"/>
        </w:tabs>
        <w:spacing w:before="0"/>
        <w:ind w:left="3452" w:right="0" w:firstLine="0"/>
        <w:jc w:val="left"/>
        <w:rPr>
          <w:sz w:val="24"/>
        </w:rPr>
      </w:pPr>
      <w:r>
        <w:rPr>
          <w:i/>
        </w:rPr>
        <w:t>wA(유, v) =</w:t>
        <w:tab/>
        <w:t>a⋆(u, v, 토큰),</w:t>
        <w:tab/>
        <w:t>(3.3)</w:t>
      </w:r>
    </w:p>
    <w:p>
      <w:pPr>
        <w:spacing w:before="68"/>
        <w:ind w:left="-1" w:right="621" w:firstLine="0"/>
        <w:jc w:val="center"/>
        <w:rPr>
          <w:sz w:val="16"/>
        </w:rPr>
      </w:pPr>
      <w:r>
        <w:rPr>
          <w:spacing w:val="-2"/>
          <w:sz w:val="16"/>
        </w:rPr>
        <w:t>token</w:t>
      </w:r>
    </w:p>
    <w:p>
      <w:pPr>
        <w:spacing w:before="68"/>
        <w:ind w:left="-1" w:right="621" w:firstLine="0"/>
        <w:jc w:val="center"/>
        <w:rPr>
          <w:sz w:val="16"/>
        </w:rPr>
      </w:pPr>
      <w:r>
        <w:rPr>
          <w:i/>
        </w:rPr>
        <w:t>토큰</w:t>
      </w:r>
    </w:p>
    <w:p>
      <w:pPr>
        <w:pStyle w:val="BodyText"/>
        <w:spacing w:line="456" w:lineRule="exact" w:before="191"/>
        <w:ind w:left="282" w:right="560" w:hanging="9"/>
        <w:jc w:val="both"/>
      </w:pPr>
      <w:r>
        <w:rPr/>
        <w:t>where </w:t>
      </w:r>
      <w:r>
        <w:rPr>
          <w:rFonts w:ascii="Calibri" w:hAnsi="Calibri"/>
          <w:i/>
        </w:rPr>
        <w:t>a</w:t>
      </w:r>
      <w:r>
        <w:rPr>
          <w:rFonts w:ascii="Cambria" w:hAnsi="Cambria"/>
          <w:vertAlign w:val="superscript"/>
        </w:rPr>
        <w:t>⋆</w:t>
      </w:r>
      <w:r>
        <w:rPr>
          <w:rFonts w:ascii="Cambria" w:hAnsi="Cambria"/>
          <w:vertAlign w:val="baseline"/>
        </w:rPr>
        <w:t> </w:t>
      </w:r>
      <w:r>
        <w:rPr>
          <w:vertAlign w:val="baseline"/>
        </w:rPr>
        <w:t>is the latest decimal-adjusted allowance.</w:t>
      </w:r>
      <w:r>
        <w:rPr>
          <w:spacing w:val="40"/>
          <w:vertAlign w:val="baseline"/>
        </w:rPr>
        <w:t> </w:t>
      </w:r>
      <w:r>
        <w:rPr>
          <w:vertAlign w:val="baseline"/>
        </w:rPr>
        <w:t>The directed edge </w:t>
      </w:r>
      <w:r>
        <w:rPr>
          <w:rFonts w:ascii="Calibri" w:hAnsi="Calibri"/>
          <w:i/>
          <w:vertAlign w:val="baseline"/>
        </w:rPr>
        <w:t>u</w:t>
      </w:r>
      <w:r>
        <w:rPr>
          <w:rFonts w:ascii="Calibri" w:hAnsi="Calibri"/>
          <w:i/>
          <w:spacing w:val="40"/>
          <w:vertAlign w:val="baseline"/>
        </w:rPr>
        <w:t> </w:t>
      </w:r>
      <w:r>
        <w:rPr>
          <w:rFonts w:ascii="Lucida Sans Unicode" w:hAnsi="Lucida Sans Unicode"/>
          <w:vertAlign w:val="baseline"/>
        </w:rPr>
        <w:t>→ </w:t>
      </w:r>
      <w:r>
        <w:rPr>
          <w:rFonts w:ascii="Calibri" w:hAnsi="Calibri"/>
          <w:i/>
          <w:vertAlign w:val="baseline"/>
        </w:rPr>
        <w:t>v </w:t>
      </w:r>
      <w:r>
        <w:rPr>
          <w:vertAlign w:val="baseline"/>
        </w:rPr>
        <w:t>encodes owner </w:t>
      </w:r>
      <w:r>
        <w:rPr>
          <w:rFonts w:ascii="Calibri" w:hAnsi="Calibri"/>
          <w:i/>
          <w:vertAlign w:val="baseline"/>
        </w:rPr>
        <w:t>u </w:t>
      </w:r>
      <w:r>
        <w:rPr>
          <w:vertAlign w:val="baseline"/>
        </w:rPr>
        <w:t>endorsing spender </w:t>
      </w:r>
      <w:r>
        <w:rPr>
          <w:rFonts w:ascii="Calibri" w:hAnsi="Calibri"/>
          <w:i/>
          <w:vertAlign w:val="baseline"/>
        </w:rPr>
        <w:t>v</w:t>
      </w:r>
      <w:r>
        <w:rPr>
          <w:vertAlign w:val="baseline"/>
        </w:rPr>
        <w:t>.</w:t>
      </w:r>
      <w:r>
        <w:rPr>
          <w:spacing w:val="40"/>
          <w:vertAlign w:val="baseline"/>
        </w:rPr>
        <w:t> </w:t>
      </w:r>
      <w:r>
        <w:rPr>
          <w:vertAlign w:val="baseline"/>
        </w:rPr>
        <w:t>PageRank damping is </w:t>
      </w:r>
      <w:r>
        <w:rPr>
          <w:rFonts w:ascii="Calibri" w:hAnsi="Calibri"/>
          <w:i/>
          <w:vertAlign w:val="baseline"/>
        </w:rPr>
        <w:t>d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vertAlign w:val="baseline"/>
        </w:rPr>
        <w:t>.</w:t>
      </w:r>
      <w:r>
        <w:rPr>
          <w:spacing w:val="40"/>
          <w:vertAlign w:val="baseline"/>
        </w:rPr>
        <w:t> </w:t>
      </w:r>
      <w:r>
        <w:rPr>
          <w:vertAlign w:val="baseline"/>
        </w:rPr>
        <w:t>No temporal decay is applied: allowance override semantics replace time-based weighting, because a newer approval supersedes an older one for the same pair </w:t>
      </w:r>
      <w:hyperlink w:history="true" w:anchor="_bookmark151">
        <w:r>
          <w:rPr>
            <w:vertAlign w:val="superscript"/>
          </w:rPr>
          <w:t>[18]</w:t>
        </w:r>
      </w:hyperlink>
      <w:r>
        <w:rPr>
          <w:vertAlign w:val="baseline"/>
        </w:rPr>
        <w:t>.</w:t>
      </w:r>
    </w:p>
    <w:p>
      <w:pPr>
        <w:pStyle w:val="BodyText"/>
        <w:spacing w:line="456" w:lineRule="exact" w:before="191"/>
        <w:ind w:left="282" w:right="560" w:hanging="9"/>
        <w:jc w:val="both"/>
      </w:pPr>
      <w:r>
        <w:rPr>
          <w:i/>
        </w:rPr>
        <w:t>여기서 a⋆는 최신 소수 조정 허용량입니다. 지향성 에지 u → v는 소유자 u 지지 지출자 v를 인코딩합니다. PageRank 감쇠는 d = 0.85입니다. 시간적 붕괴가 적용되지 않습니다. 허용 재정의 의미론은 동일한 쌍에 대해 새로운 승인이 이전 승인을 대체하기 때문에 시간 기반 가중치를 대체합니다[18].</w:t>
      </w:r>
    </w:p>
    <w:p>
      <w:pPr>
        <w:pStyle w:val="BodyText"/>
        <w:spacing w:before="156"/>
        <w:ind w:left="273"/>
        <w:jc w:val="both"/>
      </w:pPr>
      <w:bookmarkStart w:name="AWP transfer graph" w:id="108"/>
      <w:bookmarkEnd w:id="108"/>
      <w:r>
        <w:rPr/>
      </w:r>
      <w:r>
        <w:rPr/>
        <w:t>Algorithm</w:t>
      </w:r>
      <w:r>
        <w:rPr>
          <w:spacing w:val="-11"/>
        </w:rPr>
        <w:t> </w:t>
      </w:r>
      <w:hyperlink w:history="true" w:anchor="_bookmark60">
        <w:r>
          <w:rPr/>
          <w:t>1</w:t>
        </w:r>
      </w:hyperlink>
      <w:r>
        <w:rPr>
          <w:spacing w:val="-10"/>
        </w:rPr>
        <w:t> </w:t>
      </w:r>
      <w:r>
        <w:rPr/>
        <w:t>formalizes</w:t>
      </w:r>
      <w:r>
        <w:rPr>
          <w:spacing w:val="-10"/>
        </w:rPr>
        <w:t> </w:t>
      </w:r>
      <w:r>
        <w:rPr/>
        <w:t>construction</w:t>
      </w:r>
      <w:r>
        <w:rPr>
          <w:spacing w:val="-10"/>
        </w:rPr>
        <w:t> </w:t>
      </w:r>
      <w:r>
        <w:rPr/>
        <w:t>and</w:t>
      </w:r>
      <w:r>
        <w:rPr>
          <w:spacing w:val="-10"/>
        </w:rPr>
        <w:t> </w:t>
      </w:r>
      <w:r>
        <w:rPr>
          <w:spacing w:val="-2"/>
        </w:rPr>
        <w:t>scoring.</w:t>
      </w:r>
    </w:p>
    <w:p>
      <w:pPr>
        <w:pStyle w:val="BodyText"/>
        <w:spacing w:before="156"/>
        <w:ind w:left="273"/>
        <w:jc w:val="both"/>
      </w:pPr>
      <w:r>
        <w:rPr>
          <w:i/>
        </w:rPr>
        <w:t>알고리즘 1은 구성과 채점을 공식화합니다.</w:t>
      </w:r>
    </w:p>
    <w:p>
      <w:pPr>
        <w:pStyle w:val="BodyText"/>
        <w:spacing w:after="0"/>
        <w:jc w:val="both"/>
        <w:sectPr>
          <w:pgSz w:w="11910" w:h="16840"/>
          <w:pgMar w:header="0" w:footer="2115" w:top="1840" w:bottom="2300" w:left="992" w:right="708"/>
        </w:sectPr>
      </w:pPr>
    </w:p>
    <w:p>
      <w:pPr>
        <w:pStyle w:val="BodyText"/>
        <w:spacing w:before="4" w:after="1"/>
        <w:rPr>
          <w:sz w:val="7"/>
        </w:rPr>
      </w:pPr>
    </w:p>
    <w:p>
      <w:pPr>
        <w:spacing w:line="20" w:lineRule="exact"/>
        <w:ind w:left="282" w:right="0" w:firstLine="0"/>
        <w:rPr>
          <w:sz w:val="2"/>
        </w:rPr>
      </w:pPr>
      <w:r>
        <w:rPr>
          <w:sz w:val="2"/>
        </w:rPr>
        <mc:AlternateContent>
          <mc:Choice Requires="wps">
            <w:drawing>
              <wp:inline distT="0" distB="0" distL="0" distR="0">
                <wp:extent cx="5941695" cy="10160"/>
                <wp:effectExtent l="9525" t="0" r="1904" b="8890"/>
                <wp:docPr id="147" name="Group 147"/>
                <wp:cNvGraphicFramePr>
                  <a:graphicFrameLocks/>
                </wp:cNvGraphicFramePr>
                <a:graphic>
                  <a:graphicData uri="http://schemas.microsoft.com/office/word/2010/wordprocessingGroup">
                    <wpg:wgp>
                      <wpg:cNvPr id="147" name="Group 147"/>
                      <wpg:cNvGrpSpPr/>
                      <wpg:grpSpPr>
                        <a:xfrm>
                          <a:off x="0" y="0"/>
                          <a:ext cx="5941695" cy="10160"/>
                          <a:chExt cx="5941695" cy="10160"/>
                        </a:xfrm>
                      </wpg:grpSpPr>
                      <wps:wsp>
                        <wps:cNvPr id="148" name="Graphic 148"/>
                        <wps:cNvSpPr/>
                        <wps:spPr>
                          <a:xfrm>
                            <a:off x="0" y="5060"/>
                            <a:ext cx="5941695" cy="1270"/>
                          </a:xfrm>
                          <a:custGeom>
                            <a:avLst/>
                            <a:gdLst/>
                            <a:ahLst/>
                            <a:cxnLst/>
                            <a:rect l="l" t="t" r="r" b="b"/>
                            <a:pathLst>
                              <a:path w="5941695" h="0">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85pt;height:.8pt;mso-position-horizontal-relative:char;mso-position-vertical-relative:line" id="docshapegroup114" coordorigin="0,0" coordsize="9357,16">
                <v:line style="position:absolute" from="0,8" to="9357,8" stroked="true" strokeweight=".797pt" strokecolor="#000000">
                  <v:stroke dashstyle="solid"/>
                </v:line>
              </v:group>
            </w:pict>
          </mc:Fallback>
        </mc:AlternateContent>
      </w:r>
      <w:r>
        <w:rPr>
          <w:sz w:val="2"/>
        </w:rPr>
      </w:r>
    </w:p>
    <w:p>
      <w:pPr>
        <w:spacing w:before="0"/>
        <w:ind w:left="273" w:right="0" w:firstLine="0"/>
        <w:jc w:val="left"/>
        <w:rPr>
          <w:sz w:val="24"/>
        </w:rPr>
      </w:pPr>
      <w:r>
        <w:rPr>
          <w:sz w:val="24"/>
        </w:rPr>
        <mc:AlternateContent>
          <mc:Choice Requires="wps">
            <w:drawing>
              <wp:anchor distT="0" distB="0" distL="0" distR="0" allowOverlap="1" layoutInCell="1" locked="0" behindDoc="1" simplePos="0" relativeHeight="487608320">
                <wp:simplePos x="0" y="0"/>
                <wp:positionH relativeFrom="page">
                  <wp:posOffset>809244</wp:posOffset>
                </wp:positionH>
                <wp:positionV relativeFrom="paragraph">
                  <wp:posOffset>183692</wp:posOffset>
                </wp:positionV>
                <wp:extent cx="5941695"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4.464pt;width:467.85pt;height:.1pt;mso-position-horizontal-relative:page;mso-position-vertical-relative:paragraph;z-index:-15708160;mso-wrap-distance-left:0;mso-wrap-distance-right:0" id="docshape115" coordorigin="1274,289" coordsize="9357,0" path="m1274,289l10631,289e" filled="false" stroked="true" strokeweight=".3985pt" strokecolor="#000000">
                <v:path arrowok="t"/>
                <v:stroke dashstyle="solid"/>
                <w10:wrap type="topAndBottom"/>
              </v:shape>
            </w:pict>
          </mc:Fallback>
        </mc:AlternateContent>
      </w:r>
      <w:bookmarkStart w:name="_bookmark60" w:id="109"/>
      <w:bookmarkEnd w:id="109"/>
      <w:r>
        <w:rPr/>
      </w:r>
      <w:r>
        <w:rPr>
          <w:b/>
          <w:sz w:val="24"/>
        </w:rPr>
        <w:t>Algorithm</w:t>
      </w:r>
      <w:r>
        <w:rPr>
          <w:b/>
          <w:spacing w:val="-9"/>
          <w:sz w:val="24"/>
        </w:rPr>
        <w:t> </w:t>
      </w:r>
      <w:r>
        <w:rPr>
          <w:b/>
          <w:sz w:val="24"/>
        </w:rPr>
        <w:t>1</w:t>
      </w:r>
      <w:r>
        <w:rPr>
          <w:b/>
          <w:spacing w:val="-9"/>
          <w:sz w:val="24"/>
        </w:rPr>
        <w:t> </w:t>
      </w:r>
      <w:r>
        <w:rPr>
          <w:sz w:val="24"/>
        </w:rPr>
        <w:t>EndorseRank</w:t>
      </w:r>
      <w:r>
        <w:rPr>
          <w:spacing w:val="-8"/>
          <w:sz w:val="24"/>
        </w:rPr>
        <w:t> </w:t>
      </w:r>
      <w:r>
        <w:rPr>
          <w:sz w:val="24"/>
        </w:rPr>
        <w:t>graph</w:t>
      </w:r>
      <w:r>
        <w:rPr>
          <w:spacing w:val="-9"/>
          <w:sz w:val="24"/>
        </w:rPr>
        <w:t> </w:t>
      </w:r>
      <w:r>
        <w:rPr>
          <w:sz w:val="24"/>
        </w:rPr>
        <w:t>construction</w:t>
      </w:r>
      <w:r>
        <w:rPr>
          <w:spacing w:val="-8"/>
          <w:sz w:val="24"/>
        </w:rPr>
        <w:t> </w:t>
      </w:r>
      <w:r>
        <w:rPr>
          <w:sz w:val="24"/>
        </w:rPr>
        <w:t>and</w:t>
      </w:r>
      <w:r>
        <w:rPr>
          <w:spacing w:val="-9"/>
          <w:sz w:val="24"/>
        </w:rPr>
        <w:t> </w:t>
      </w:r>
      <w:r>
        <w:rPr>
          <w:spacing w:val="-2"/>
          <w:sz w:val="24"/>
        </w:rPr>
        <w:t>scoring</w:t>
      </w:r>
    </w:p>
    <w:p>
      <w:pPr>
        <w:spacing w:before="0"/>
        <w:ind w:left="273" w:right="0" w:firstLine="0"/>
        <w:jc w:val="left"/>
        <w:rPr>
          <w:sz w:val="24"/>
        </w:rPr>
      </w:pPr>
      <w:r>
        <w:rPr>
          <w:i/>
        </w:rPr>
        <w:t>알고리즘 1 EndorseRank 그래프 구성 및 채점</w:t>
      </w:r>
    </w:p>
    <w:p>
      <w:pPr>
        <w:pStyle w:val="BodyText"/>
        <w:spacing w:line="319" w:lineRule="exact"/>
        <w:ind w:left="282"/>
      </w:pPr>
      <w:r>
        <w:rPr>
          <w:b/>
        </w:rPr>
        <w:t>Require:</w:t>
      </w:r>
      <w:r>
        <w:rPr>
          <w:b/>
          <w:spacing w:val="54"/>
        </w:rPr>
        <w:t> </w:t>
      </w:r>
      <w:r>
        <w:rPr/>
        <w:t>Latest</w:t>
      </w:r>
      <w:r>
        <w:rPr>
          <w:spacing w:val="-3"/>
        </w:rPr>
        <w:t> </w:t>
      </w:r>
      <w:r>
        <w:rPr/>
        <w:t>allowances</w:t>
      </w:r>
      <w:r>
        <w:rPr>
          <w:spacing w:val="-3"/>
        </w:rPr>
        <w:t> </w:t>
      </w:r>
      <w:r>
        <w:rPr>
          <w:rFonts w:ascii="Lucida Sans Unicode" w:hAnsi="Lucida Sans Unicode"/>
        </w:rPr>
        <w:t>A</w:t>
      </w:r>
      <w:r>
        <w:rPr/>
        <w:t>,</w:t>
      </w:r>
      <w:r>
        <w:rPr>
          <w:spacing w:val="-3"/>
        </w:rPr>
        <w:t> </w:t>
      </w:r>
      <w:r>
        <w:rPr/>
        <w:t>seed</w:t>
      </w:r>
      <w:r>
        <w:rPr>
          <w:spacing w:val="-3"/>
        </w:rPr>
        <w:t> </w:t>
      </w:r>
      <w:r>
        <w:rPr/>
        <w:t>wallets</w:t>
      </w:r>
      <w:r>
        <w:rPr>
          <w:spacing w:val="-3"/>
        </w:rPr>
        <w:t> </w:t>
      </w:r>
      <w:r>
        <w:rPr>
          <w:rFonts w:ascii="Lucida Sans Unicode" w:hAnsi="Lucida Sans Unicode"/>
          <w:spacing w:val="9"/>
        </w:rPr>
        <w:t>M</w:t>
      </w:r>
      <w:r>
        <w:rPr>
          <w:spacing w:val="9"/>
        </w:rPr>
        <w:t>,</w:t>
      </w:r>
      <w:r>
        <w:rPr>
          <w:spacing w:val="-3"/>
        </w:rPr>
        <w:t> </w:t>
      </w:r>
      <w:r>
        <w:rPr/>
        <w:t>damping</w:t>
      </w:r>
      <w:r>
        <w:rPr>
          <w:spacing w:val="-2"/>
        </w:rPr>
        <w:t> </w:t>
      </w:r>
      <w:r>
        <w:rPr>
          <w:rFonts w:ascii="Calibri" w:hAnsi="Calibri"/>
          <w:i/>
        </w:rPr>
        <w:t>d</w:t>
      </w:r>
      <w:r>
        <w:rPr/>
        <w:t>,</w:t>
      </w:r>
      <w:r>
        <w:rPr>
          <w:spacing w:val="-3"/>
        </w:rPr>
        <w:t> </w:t>
      </w:r>
      <w:r>
        <w:rPr/>
        <w:t>tolerance</w:t>
      </w:r>
      <w:r>
        <w:rPr>
          <w:spacing w:val="-3"/>
        </w:rPr>
        <w:t> </w:t>
      </w:r>
      <w:r>
        <w:rPr>
          <w:rFonts w:ascii="Calibri" w:hAnsi="Calibri"/>
          <w:i/>
        </w:rPr>
        <w:t>τ</w:t>
      </w:r>
      <w:r>
        <w:rPr>
          <w:vertAlign w:val="subscript"/>
        </w:rPr>
        <w:t>tol</w:t>
      </w:r>
      <w:r>
        <w:rPr>
          <w:vertAlign w:val="baseline"/>
        </w:rPr>
        <w:t>,</w:t>
      </w:r>
      <w:r>
        <w:rPr>
          <w:spacing w:val="-3"/>
          <w:vertAlign w:val="baseline"/>
        </w:rPr>
        <w:t> </w:t>
      </w:r>
      <w:r>
        <w:rPr>
          <w:vertAlign w:val="baseline"/>
        </w:rPr>
        <w:t>max</w:t>
      </w:r>
      <w:r>
        <w:rPr>
          <w:spacing w:val="-4"/>
          <w:vertAlign w:val="baseline"/>
        </w:rPr>
        <w:t> </w:t>
      </w:r>
      <w:r>
        <w:rPr>
          <w:vertAlign w:val="baseline"/>
        </w:rPr>
        <w:t>iterations</w:t>
      </w:r>
      <w:r>
        <w:rPr>
          <w:spacing w:val="-2"/>
          <w:vertAlign w:val="baseline"/>
        </w:rPr>
        <w:t> </w:t>
      </w:r>
      <w:r>
        <w:rPr>
          <w:rFonts w:ascii="Calibri" w:hAnsi="Calibri"/>
          <w:i/>
          <w:spacing w:val="-4"/>
          <w:vertAlign w:val="baseline"/>
        </w:rPr>
        <w:t>I</w:t>
      </w:r>
      <w:r>
        <w:rPr>
          <w:spacing w:val="-4"/>
          <w:vertAlign w:val="subscript"/>
        </w:rPr>
        <w:t>max</w:t>
      </w:r>
    </w:p>
    <w:p>
      <w:pPr>
        <w:pStyle w:val="BodyText"/>
        <w:spacing w:line="319" w:lineRule="exact"/>
        <w:ind w:left="282"/>
      </w:pPr>
      <w:r>
        <w:rPr>
          <w:i/>
        </w:rPr>
        <w:t>요구 사항: 최신 허용량 A, 시드 지갑 M, 댐핑 d, 공차 τtol, 최대 반복 Imax</w:t>
      </w:r>
    </w:p>
    <w:p>
      <w:pPr>
        <w:spacing w:line="289" w:lineRule="exact" w:before="0"/>
        <w:ind w:left="282" w:right="0" w:firstLine="0"/>
        <w:jc w:val="left"/>
        <w:rPr>
          <w:rFonts w:ascii="Lucida Sans Unicode"/>
          <w:sz w:val="24"/>
        </w:rPr>
      </w:pPr>
      <w:r>
        <w:rPr>
          <w:b/>
          <w:sz w:val="24"/>
        </w:rPr>
        <w:t>Ensure:</w:t>
      </w:r>
      <w:r>
        <w:rPr>
          <w:b/>
          <w:spacing w:val="47"/>
          <w:sz w:val="24"/>
        </w:rPr>
        <w:t> </w:t>
      </w:r>
      <w:r>
        <w:rPr>
          <w:sz w:val="24"/>
        </w:rPr>
        <w:t>Scores</w:t>
      </w:r>
      <w:r>
        <w:rPr>
          <w:spacing w:val="-7"/>
          <w:sz w:val="24"/>
        </w:rPr>
        <w:t> </w:t>
      </w:r>
      <w:r>
        <w:rPr>
          <w:b/>
          <w:sz w:val="24"/>
        </w:rPr>
        <w:t>s</w:t>
      </w:r>
      <w:r>
        <w:rPr>
          <w:sz w:val="24"/>
          <w:vertAlign w:val="subscript"/>
        </w:rPr>
        <w:t>ER</w:t>
      </w:r>
      <w:r>
        <w:rPr>
          <w:spacing w:val="2"/>
          <w:sz w:val="24"/>
          <w:vertAlign w:val="baseline"/>
        </w:rPr>
        <w:t> </w:t>
      </w:r>
      <w:r>
        <w:rPr>
          <w:sz w:val="24"/>
          <w:vertAlign w:val="baseline"/>
        </w:rPr>
        <w:t>on</w:t>
      </w:r>
      <w:r>
        <w:rPr>
          <w:spacing w:val="-6"/>
          <w:sz w:val="24"/>
          <w:vertAlign w:val="baseline"/>
        </w:rPr>
        <w:t> </w:t>
      </w:r>
      <w:r>
        <w:rPr>
          <w:rFonts w:ascii="Lucida Sans Unicode"/>
          <w:spacing w:val="-10"/>
          <w:sz w:val="24"/>
          <w:vertAlign w:val="baseline"/>
        </w:rPr>
        <w:t>M</w:t>
      </w:r>
    </w:p>
    <w:p>
      <w:pPr>
        <w:spacing w:line="289" w:lineRule="exact" w:before="0"/>
        <w:ind w:left="282" w:right="0" w:firstLine="0"/>
        <w:jc w:val="left"/>
        <w:rPr>
          <w:rFonts w:ascii="Lucida Sans Unicode"/>
          <w:sz w:val="24"/>
        </w:rPr>
      </w:pPr>
      <w:r>
        <w:rPr>
          <w:i/>
        </w:rPr>
        <w:t>보장: M에서 sER 점수를 얻습니다.</w:t>
      </w:r>
    </w:p>
    <w:p>
      <w:pPr>
        <w:spacing w:line="289" w:lineRule="exact" w:before="0"/>
        <w:ind w:left="414" w:right="0" w:firstLine="0"/>
        <w:jc w:val="left"/>
        <w:rPr>
          <w:rFonts w:ascii="Lucida Sans Unicode" w:hAnsi="Lucida Sans Unicode"/>
          <w:sz w:val="24"/>
        </w:rPr>
      </w:pPr>
      <w:r>
        <w:rPr>
          <w:sz w:val="20"/>
        </w:rPr>
        <w:t>1:</w:t>
      </w:r>
      <w:r>
        <w:rPr>
          <w:spacing w:val="73"/>
          <w:w w:val="125"/>
          <w:sz w:val="20"/>
        </w:rPr>
        <w:t> </w:t>
      </w:r>
      <w:r>
        <w:rPr>
          <w:rFonts w:ascii="Calibri" w:hAnsi="Calibri"/>
          <w:i/>
          <w:w w:val="125"/>
          <w:sz w:val="24"/>
        </w:rPr>
        <w:t>E</w:t>
      </w:r>
      <w:r>
        <w:rPr>
          <w:rFonts w:ascii="Calibri" w:hAnsi="Calibri"/>
          <w:i/>
          <w:spacing w:val="24"/>
          <w:w w:val="125"/>
          <w:sz w:val="24"/>
        </w:rPr>
        <w:t> </w:t>
      </w:r>
      <w:r>
        <w:rPr>
          <w:rFonts w:ascii="Lucida Sans Unicode" w:hAnsi="Lucida Sans Unicode"/>
          <w:sz w:val="24"/>
        </w:rPr>
        <w:t>→</w:t>
      </w:r>
      <w:r>
        <w:rPr>
          <w:rFonts w:ascii="Lucida Sans Unicode" w:hAnsi="Lucida Sans Unicode"/>
          <w:spacing w:val="-1"/>
          <w:sz w:val="24"/>
        </w:rPr>
        <w:t> </w:t>
      </w:r>
      <w:r>
        <w:rPr>
          <w:rFonts w:ascii="Lucida Sans Unicode" w:hAnsi="Lucida Sans Unicode"/>
          <w:spacing w:val="-10"/>
          <w:w w:val="85"/>
          <w:sz w:val="24"/>
        </w:rPr>
        <w:t>∅</w:t>
      </w:r>
    </w:p>
    <w:p>
      <w:pPr>
        <w:spacing w:line="289" w:lineRule="exact" w:before="0"/>
        <w:ind w:left="414" w:right="0" w:firstLine="0"/>
        <w:jc w:val="left"/>
        <w:rPr>
          <w:b/>
          <w:sz w:val="24"/>
        </w:rPr>
      </w:pPr>
      <w:r>
        <w:rPr>
          <w:b/>
          <w:sz w:val="24"/>
        </w:rPr>
        <mc:AlternateContent>
          <mc:Choice Requires="wps">
            <w:drawing>
              <wp:anchor distT="0" distB="0" distL="0" distR="0" allowOverlap="1" layoutInCell="1" locked="0" behindDoc="1" simplePos="0" relativeHeight="484017152">
                <wp:simplePos x="0" y="0"/>
                <wp:positionH relativeFrom="page">
                  <wp:posOffset>1641627</wp:posOffset>
                </wp:positionH>
                <wp:positionV relativeFrom="paragraph">
                  <wp:posOffset>97485</wp:posOffset>
                </wp:positionV>
                <wp:extent cx="160655" cy="56324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129.261993pt;margin-top:7.676035pt;width:12.65pt;height:44.35pt;mso-position-horizontal-relative:page;mso-position-vertical-relative:paragraph;z-index:-19299328" type="#_x0000_t202" id="docshape116" filled="false" stroked="false">
                <v:textbox inset="0,0,0,0">
                  <w:txbxContent>
                    <w:p>
                      <w:pPr>
                        <w:pStyle w:val="BodyText"/>
                        <w:spacing w:line="231" w:lineRule="exact"/>
                      </w:pPr>
                      <w:r>
                        <w:rPr>
                          <w:spacing w:val="-10"/>
                          <w:w w:val="180"/>
                        </w:rPr>
                        <w:t>Σ</w:t>
                      </w:r>
                    </w:p>
                  </w:txbxContent>
                </v:textbox>
                <w10:wrap type="none"/>
              </v:shape>
            </w:pict>
          </mc:Fallback>
        </mc:AlternateContent>
      </w:r>
      <w:r>
        <w:rPr>
          <w:sz w:val="20"/>
        </w:rPr>
        <w:t>2:</w:t>
      </w:r>
      <w:r>
        <w:rPr>
          <w:spacing w:val="76"/>
          <w:sz w:val="20"/>
        </w:rPr>
        <w:t> </w:t>
      </w:r>
      <w:r>
        <w:rPr>
          <w:b/>
          <w:sz w:val="24"/>
        </w:rPr>
        <w:t>for</w:t>
      </w:r>
      <w:r>
        <w:rPr>
          <w:b/>
          <w:spacing w:val="3"/>
          <w:sz w:val="24"/>
        </w:rPr>
        <w:t> </w:t>
      </w:r>
      <w:r>
        <w:rPr>
          <w:sz w:val="24"/>
        </w:rPr>
        <w:t>each</w:t>
      </w:r>
      <w:r>
        <w:rPr>
          <w:spacing w:val="3"/>
          <w:sz w:val="24"/>
        </w:rPr>
        <w:t> </w:t>
      </w:r>
      <w:r>
        <w:rPr>
          <w:rFonts w:ascii="Calibri" w:hAnsi="Calibri"/>
          <w:sz w:val="24"/>
        </w:rPr>
        <w:t>(</w:t>
      </w:r>
      <w:r>
        <w:rPr>
          <w:rFonts w:ascii="Calibri" w:hAnsi="Calibri"/>
          <w:i/>
          <w:sz w:val="24"/>
        </w:rPr>
        <w:t>u,</w:t>
      </w:r>
      <w:r>
        <w:rPr>
          <w:rFonts w:ascii="Calibri" w:hAnsi="Calibri"/>
          <w:i/>
          <w:spacing w:val="-12"/>
          <w:sz w:val="24"/>
        </w:rPr>
        <w:t> </w:t>
      </w:r>
      <w:r>
        <w:rPr>
          <w:rFonts w:ascii="Calibri" w:hAnsi="Calibri"/>
          <w:i/>
          <w:sz w:val="24"/>
        </w:rPr>
        <w:t>v</w:t>
      </w:r>
      <w:r>
        <w:rPr>
          <w:rFonts w:ascii="Calibri" w:hAnsi="Calibri"/>
          <w:sz w:val="24"/>
        </w:rPr>
        <w:t>)</w:t>
      </w:r>
      <w:r>
        <w:rPr>
          <w:rFonts w:ascii="Calibri" w:hAnsi="Calibri"/>
          <w:spacing w:val="9"/>
          <w:sz w:val="24"/>
        </w:rPr>
        <w:t> </w:t>
      </w:r>
      <w:r>
        <w:rPr>
          <w:sz w:val="24"/>
        </w:rPr>
        <w:t>in</w:t>
      </w:r>
      <w:r>
        <w:rPr>
          <w:spacing w:val="3"/>
          <w:sz w:val="24"/>
        </w:rPr>
        <w:t> </w:t>
      </w:r>
      <w:r>
        <w:rPr>
          <w:sz w:val="24"/>
        </w:rPr>
        <w:t>unique</w:t>
      </w:r>
      <w:r>
        <w:rPr>
          <w:spacing w:val="3"/>
          <w:sz w:val="24"/>
        </w:rPr>
        <w:t> </w:t>
      </w:r>
      <w:r>
        <w:rPr>
          <w:sz w:val="24"/>
        </w:rPr>
        <w:t>owner–spender</w:t>
      </w:r>
      <w:r>
        <w:rPr>
          <w:spacing w:val="3"/>
          <w:sz w:val="24"/>
        </w:rPr>
        <w:t> </w:t>
      </w:r>
      <w:r>
        <w:rPr>
          <w:sz w:val="24"/>
        </w:rPr>
        <w:t>pairs</w:t>
      </w:r>
      <w:r>
        <w:rPr>
          <w:spacing w:val="3"/>
          <w:sz w:val="24"/>
        </w:rPr>
        <w:t> </w:t>
      </w:r>
      <w:r>
        <w:rPr>
          <w:sz w:val="24"/>
        </w:rPr>
        <w:t>in</w:t>
      </w:r>
      <w:r>
        <w:rPr>
          <w:spacing w:val="4"/>
          <w:sz w:val="24"/>
        </w:rPr>
        <w:t> </w:t>
      </w:r>
      <w:r>
        <w:rPr>
          <w:rFonts w:ascii="Lucida Sans Unicode" w:hAnsi="Lucida Sans Unicode"/>
          <w:sz w:val="24"/>
        </w:rPr>
        <w:t>A</w:t>
      </w:r>
      <w:r>
        <w:rPr>
          <w:rFonts w:ascii="Lucida Sans Unicode" w:hAnsi="Lucida Sans Unicode"/>
          <w:spacing w:val="-13"/>
          <w:sz w:val="24"/>
        </w:rPr>
        <w:t> </w:t>
      </w:r>
      <w:r>
        <w:rPr>
          <w:b/>
          <w:spacing w:val="-5"/>
          <w:sz w:val="24"/>
        </w:rPr>
        <w:t>do</w:t>
      </w:r>
    </w:p>
    <w:p>
      <w:pPr>
        <w:spacing w:line="289" w:lineRule="exact" w:before="0"/>
        <w:ind w:left="414" w:right="0" w:firstLine="0"/>
        <w:jc w:val="left"/>
        <w:rPr>
          <w:b/>
          <w:sz w:val="24"/>
        </w:rPr>
      </w:pPr>
      <w:r>
        <w:rPr>
          <w:i/>
        </w:rPr>
        <w:t>2: A do의 고유한 소유자-소비자 쌍의 각 (u, v)에 대해</w:t>
      </w:r>
    </w:p>
    <w:p>
      <w:pPr>
        <w:tabs>
          <w:tab w:pos="1047" w:val="left" w:leader="none"/>
          <w:tab w:pos="1845" w:val="left" w:leader="none"/>
        </w:tabs>
        <w:spacing w:line="306" w:lineRule="exact" w:before="0"/>
        <w:ind w:left="414" w:right="0" w:firstLine="0"/>
        <w:jc w:val="left"/>
        <w:rPr>
          <w:rFonts w:ascii="Calibri" w:hAnsi="Calibri"/>
          <w:sz w:val="24"/>
        </w:rPr>
      </w:pPr>
      <w:r>
        <w:rPr>
          <w:spacing w:val="-5"/>
          <w:w w:val="105"/>
          <w:sz w:val="20"/>
        </w:rPr>
        <w:t>3:</w:t>
      </w:r>
      <w:r>
        <w:rPr>
          <w:sz w:val="20"/>
        </w:rPr>
        <w:tab/>
      </w:r>
      <w:r>
        <w:rPr>
          <w:rFonts w:ascii="Calibri" w:hAnsi="Calibri"/>
          <w:i/>
          <w:w w:val="105"/>
          <w:sz w:val="24"/>
        </w:rPr>
        <w:t>w</w:t>
      </w:r>
      <w:r>
        <w:rPr>
          <w:rFonts w:ascii="Calibri" w:hAnsi="Calibri"/>
          <w:i/>
          <w:spacing w:val="1"/>
          <w:w w:val="105"/>
          <w:sz w:val="24"/>
        </w:rPr>
        <w:t> </w:t>
      </w:r>
      <w:r>
        <w:rPr>
          <w:rFonts w:ascii="Lucida Sans Unicode" w:hAnsi="Lucida Sans Unicode"/>
          <w:spacing w:val="-12"/>
          <w:w w:val="105"/>
          <w:sz w:val="24"/>
        </w:rPr>
        <w:t>→</w:t>
      </w:r>
      <w:r>
        <w:rPr>
          <w:rFonts w:ascii="Lucida Sans Unicode" w:hAnsi="Lucida Sans Unicode"/>
          <w:sz w:val="24"/>
        </w:rPr>
        <w:tab/>
      </w:r>
      <w:r>
        <w:rPr>
          <w:w w:val="105"/>
          <w:position w:val="-6"/>
          <w:sz w:val="16"/>
        </w:rPr>
        <w:t>token</w:t>
      </w:r>
      <w:r>
        <w:rPr>
          <w:spacing w:val="9"/>
          <w:w w:val="105"/>
          <w:position w:val="-6"/>
          <w:sz w:val="16"/>
        </w:rPr>
        <w:t> </w:t>
      </w:r>
      <w:r>
        <w:rPr>
          <w:rFonts w:ascii="Calibri" w:hAnsi="Calibri"/>
          <w:i/>
          <w:w w:val="105"/>
          <w:sz w:val="24"/>
        </w:rPr>
        <w:t>a</w:t>
      </w:r>
      <w:r>
        <w:rPr>
          <w:rFonts w:ascii="Cambria" w:hAnsi="Cambria"/>
          <w:w w:val="105"/>
          <w:sz w:val="24"/>
          <w:vertAlign w:val="superscript"/>
        </w:rPr>
        <w:t>⋆</w:t>
      </w:r>
      <w:r>
        <w:rPr>
          <w:rFonts w:ascii="Calibri" w:hAnsi="Calibri"/>
          <w:w w:val="105"/>
          <w:sz w:val="24"/>
          <w:vertAlign w:val="baseline"/>
        </w:rPr>
        <w:t>(</w:t>
      </w:r>
      <w:r>
        <w:rPr>
          <w:rFonts w:ascii="Calibri" w:hAnsi="Calibri"/>
          <w:i/>
          <w:w w:val="105"/>
          <w:sz w:val="24"/>
          <w:vertAlign w:val="baseline"/>
        </w:rPr>
        <w:t>u,</w:t>
      </w:r>
      <w:r>
        <w:rPr>
          <w:rFonts w:ascii="Calibri" w:hAnsi="Calibri"/>
          <w:i/>
          <w:spacing w:val="-16"/>
          <w:w w:val="105"/>
          <w:sz w:val="24"/>
          <w:vertAlign w:val="baseline"/>
        </w:rPr>
        <w:t> </w:t>
      </w:r>
      <w:r>
        <w:rPr>
          <w:rFonts w:ascii="Calibri" w:hAnsi="Calibri"/>
          <w:i/>
          <w:w w:val="105"/>
          <w:sz w:val="24"/>
          <w:vertAlign w:val="baseline"/>
        </w:rPr>
        <w:t>v,</w:t>
      </w:r>
      <w:r>
        <w:rPr>
          <w:rFonts w:ascii="Calibri" w:hAnsi="Calibri"/>
          <w:i/>
          <w:spacing w:val="-15"/>
          <w:w w:val="105"/>
          <w:sz w:val="24"/>
          <w:vertAlign w:val="baseline"/>
        </w:rPr>
        <w:t> </w:t>
      </w:r>
      <w:r>
        <w:rPr>
          <w:spacing w:val="-2"/>
          <w:w w:val="105"/>
          <w:sz w:val="24"/>
          <w:vertAlign w:val="baseline"/>
        </w:rPr>
        <w:t>token</w:t>
      </w:r>
      <w:r>
        <w:rPr>
          <w:rFonts w:ascii="Calibri" w:hAnsi="Calibri"/>
          <w:spacing w:val="-2"/>
          <w:w w:val="105"/>
          <w:sz w:val="24"/>
          <w:vertAlign w:val="baseline"/>
        </w:rPr>
        <w:t>)</w:t>
      </w:r>
    </w:p>
    <w:p>
      <w:pPr>
        <w:tabs>
          <w:tab w:pos="1047" w:val="left" w:leader="none"/>
          <w:tab w:pos="1845" w:val="left" w:leader="none"/>
        </w:tabs>
        <w:spacing w:line="306" w:lineRule="exact" w:before="0"/>
        <w:ind w:left="414" w:right="0" w:firstLine="0"/>
        <w:jc w:val="left"/>
        <w:rPr>
          <w:rFonts w:ascii="Calibri" w:hAnsi="Calibri"/>
          <w:sz w:val="24"/>
        </w:rPr>
      </w:pPr>
      <w:r>
        <w:rPr>
          <w:i/>
        </w:rPr>
        <w:t>3:</w:t>
        <w:tab/>
        <w:t>승 →</w:t>
        <w:tab/>
        <w:t>토큰 a⋆(u, v, 토큰)</w:t>
      </w:r>
    </w:p>
    <w:p>
      <w:pPr>
        <w:tabs>
          <w:tab w:pos="1047" w:val="left" w:leader="none"/>
        </w:tabs>
        <w:spacing w:line="251" w:lineRule="exact" w:before="0"/>
        <w:ind w:left="414" w:right="0" w:firstLine="0"/>
        <w:jc w:val="left"/>
        <w:rPr>
          <w:b/>
          <w:sz w:val="24"/>
        </w:rPr>
      </w:pPr>
      <w:r>
        <w:rPr>
          <w:spacing w:val="-5"/>
          <w:w w:val="110"/>
          <w:sz w:val="20"/>
        </w:rPr>
        <w:t>4:</w:t>
      </w:r>
      <w:r>
        <w:rPr>
          <w:sz w:val="20"/>
        </w:rPr>
        <w:tab/>
      </w:r>
      <w:r>
        <w:rPr>
          <w:b/>
          <w:w w:val="110"/>
          <w:sz w:val="24"/>
        </w:rPr>
        <w:t>if</w:t>
      </w:r>
      <w:r>
        <w:rPr>
          <w:b/>
          <w:spacing w:val="4"/>
          <w:w w:val="110"/>
          <w:sz w:val="24"/>
        </w:rPr>
        <w:t> </w:t>
      </w:r>
      <w:r>
        <w:rPr>
          <w:rFonts w:ascii="Calibri"/>
          <w:i/>
          <w:w w:val="110"/>
          <w:sz w:val="24"/>
        </w:rPr>
        <w:t>w</w:t>
      </w:r>
      <w:r>
        <w:rPr>
          <w:rFonts w:ascii="Calibri"/>
          <w:i/>
          <w:spacing w:val="-2"/>
          <w:w w:val="125"/>
          <w:sz w:val="24"/>
        </w:rPr>
        <w:t> </w:t>
      </w:r>
      <w:r>
        <w:rPr>
          <w:rFonts w:ascii="Calibri"/>
          <w:i/>
          <w:w w:val="125"/>
          <w:sz w:val="24"/>
        </w:rPr>
        <w:t>&gt;</w:t>
      </w:r>
      <w:r>
        <w:rPr>
          <w:rFonts w:ascii="Calibri"/>
          <w:i/>
          <w:spacing w:val="-7"/>
          <w:w w:val="125"/>
          <w:sz w:val="24"/>
        </w:rPr>
        <w:t> </w:t>
      </w:r>
      <w:r>
        <w:rPr>
          <w:rFonts w:ascii="Calibri"/>
          <w:w w:val="110"/>
          <w:sz w:val="24"/>
        </w:rPr>
        <w:t>0</w:t>
      </w:r>
      <w:r>
        <w:rPr>
          <w:rFonts w:ascii="Calibri"/>
          <w:spacing w:val="-5"/>
          <w:w w:val="110"/>
          <w:sz w:val="24"/>
        </w:rPr>
        <w:t> </w:t>
      </w:r>
      <w:r>
        <w:rPr>
          <w:b/>
          <w:spacing w:val="-4"/>
          <w:w w:val="110"/>
          <w:sz w:val="24"/>
        </w:rPr>
        <w:t>then</w:t>
      </w:r>
    </w:p>
    <w:p>
      <w:pPr>
        <w:tabs>
          <w:tab w:pos="1047" w:val="left" w:leader="none"/>
        </w:tabs>
        <w:spacing w:line="251" w:lineRule="exact" w:before="0"/>
        <w:ind w:left="414" w:right="0" w:firstLine="0"/>
        <w:jc w:val="left"/>
        <w:rPr>
          <w:b/>
          <w:sz w:val="24"/>
        </w:rPr>
      </w:pPr>
      <w:r>
        <w:rPr>
          <w:i/>
        </w:rPr>
        <w:t>4:</w:t>
        <w:tab/>
        <w:t>w &gt; 0이면</w:t>
      </w:r>
    </w:p>
    <w:p>
      <w:pPr>
        <w:tabs>
          <w:tab w:pos="1406" w:val="left" w:leader="none"/>
        </w:tabs>
        <w:spacing w:line="329" w:lineRule="exact" w:before="0"/>
        <w:ind w:left="414" w:right="0" w:firstLine="0"/>
        <w:jc w:val="left"/>
        <w:rPr>
          <w:rFonts w:ascii="Calibri" w:hAnsi="Calibri"/>
          <w:i/>
          <w:sz w:val="24"/>
        </w:rPr>
      </w:pPr>
      <w:r>
        <w:rPr>
          <w:spacing w:val="-5"/>
          <w:w w:val="110"/>
          <w:sz w:val="20"/>
        </w:rPr>
        <w:t>5:</w:t>
      </w:r>
      <w:r>
        <w:rPr>
          <w:sz w:val="20"/>
        </w:rPr>
        <w:tab/>
      </w:r>
      <w:r>
        <w:rPr>
          <w:w w:val="105"/>
          <w:sz w:val="24"/>
        </w:rPr>
        <w:t>add</w:t>
      </w:r>
      <w:r>
        <w:rPr>
          <w:spacing w:val="-10"/>
          <w:w w:val="105"/>
          <w:sz w:val="24"/>
        </w:rPr>
        <w:t> </w:t>
      </w:r>
      <w:r>
        <w:rPr>
          <w:w w:val="105"/>
          <w:sz w:val="24"/>
        </w:rPr>
        <w:t>edge</w:t>
      </w:r>
      <w:r>
        <w:rPr>
          <w:spacing w:val="-8"/>
          <w:w w:val="105"/>
          <w:sz w:val="24"/>
        </w:rPr>
        <w:t> </w:t>
      </w:r>
      <w:r>
        <w:rPr>
          <w:rFonts w:ascii="Calibri" w:hAnsi="Calibri"/>
          <w:w w:val="105"/>
          <w:sz w:val="24"/>
        </w:rPr>
        <w:t>(</w:t>
      </w:r>
      <w:r>
        <w:rPr>
          <w:rFonts w:ascii="Calibri" w:hAnsi="Calibri"/>
          <w:i/>
          <w:w w:val="105"/>
          <w:sz w:val="24"/>
        </w:rPr>
        <w:t>u</w:t>
      </w:r>
      <w:r>
        <w:rPr>
          <w:rFonts w:ascii="Calibri" w:hAnsi="Calibri"/>
          <w:i/>
          <w:spacing w:val="6"/>
          <w:w w:val="105"/>
          <w:sz w:val="24"/>
        </w:rPr>
        <w:t> </w:t>
      </w:r>
      <w:r>
        <w:rPr>
          <w:rFonts w:ascii="Lucida Sans Unicode" w:hAnsi="Lucida Sans Unicode"/>
          <w:w w:val="105"/>
          <w:sz w:val="24"/>
        </w:rPr>
        <w:t>→</w:t>
      </w:r>
      <w:r>
        <w:rPr>
          <w:rFonts w:ascii="Lucida Sans Unicode" w:hAnsi="Lucida Sans Unicode"/>
          <w:spacing w:val="-18"/>
          <w:w w:val="105"/>
          <w:sz w:val="24"/>
        </w:rPr>
        <w:t> </w:t>
      </w:r>
      <w:r>
        <w:rPr>
          <w:rFonts w:ascii="Calibri" w:hAnsi="Calibri"/>
          <w:i/>
          <w:w w:val="105"/>
          <w:sz w:val="24"/>
        </w:rPr>
        <w:t>v,</w:t>
      </w:r>
      <w:r>
        <w:rPr>
          <w:rFonts w:ascii="Calibri" w:hAnsi="Calibri"/>
          <w:i/>
          <w:spacing w:val="-18"/>
          <w:w w:val="105"/>
          <w:sz w:val="24"/>
        </w:rPr>
        <w:t> </w:t>
      </w:r>
      <w:r>
        <w:rPr>
          <w:rFonts w:ascii="Calibri" w:hAnsi="Calibri"/>
          <w:i/>
          <w:w w:val="105"/>
          <w:sz w:val="24"/>
        </w:rPr>
        <w:t>w</w:t>
      </w:r>
      <w:r>
        <w:rPr>
          <w:rFonts w:ascii="Calibri" w:hAnsi="Calibri"/>
          <w:w w:val="105"/>
          <w:sz w:val="24"/>
        </w:rPr>
        <w:t>)</w:t>
      </w:r>
      <w:r>
        <w:rPr>
          <w:rFonts w:ascii="Calibri" w:hAnsi="Calibri"/>
          <w:spacing w:val="-1"/>
          <w:w w:val="105"/>
          <w:sz w:val="24"/>
        </w:rPr>
        <w:t> </w:t>
      </w:r>
      <w:r>
        <w:rPr>
          <w:w w:val="105"/>
          <w:sz w:val="24"/>
        </w:rPr>
        <w:t>to</w:t>
      </w:r>
      <w:r>
        <w:rPr>
          <w:spacing w:val="-7"/>
          <w:w w:val="105"/>
          <w:sz w:val="24"/>
        </w:rPr>
        <w:t> </w:t>
      </w:r>
      <w:r>
        <w:rPr>
          <w:rFonts w:ascii="Calibri" w:hAnsi="Calibri"/>
          <w:i/>
          <w:spacing w:val="-10"/>
          <w:w w:val="105"/>
          <w:sz w:val="24"/>
        </w:rPr>
        <w:t>E</w:t>
      </w:r>
    </w:p>
    <w:p>
      <w:pPr>
        <w:tabs>
          <w:tab w:pos="1406" w:val="left" w:leader="none"/>
        </w:tabs>
        <w:spacing w:line="329" w:lineRule="exact" w:before="0"/>
        <w:ind w:left="414" w:right="0" w:firstLine="0"/>
        <w:jc w:val="left"/>
        <w:rPr>
          <w:rFonts w:ascii="Calibri" w:hAnsi="Calibri"/>
          <w:i/>
          <w:sz w:val="24"/>
        </w:rPr>
      </w:pPr>
      <w:r>
        <w:rPr>
          <w:i/>
        </w:rPr>
        <w:t>5:</w:t>
        <w:tab/>
        <w:t>E에 모서리(u → v, w) 추가</w:t>
      </w:r>
    </w:p>
    <w:p>
      <w:pPr>
        <w:tabs>
          <w:tab w:pos="1047" w:val="left" w:leader="none"/>
        </w:tabs>
        <w:spacing w:line="256" w:lineRule="exact" w:before="0"/>
        <w:ind w:left="414" w:right="0" w:firstLine="0"/>
        <w:jc w:val="left"/>
        <w:rPr>
          <w:b/>
          <w:sz w:val="24"/>
        </w:rPr>
      </w:pPr>
      <w:r>
        <w:rPr>
          <w:spacing w:val="-5"/>
          <w:sz w:val="20"/>
        </w:rPr>
        <w:t>6:</w:t>
      </w:r>
      <w:r>
        <w:rPr>
          <w:sz w:val="20"/>
        </w:rPr>
        <w:tab/>
      </w:r>
      <w:r>
        <w:rPr>
          <w:b/>
          <w:sz w:val="24"/>
        </w:rPr>
        <w:t>end</w:t>
      </w:r>
      <w:r>
        <w:rPr>
          <w:b/>
          <w:spacing w:val="-7"/>
          <w:sz w:val="24"/>
        </w:rPr>
        <w:t> </w:t>
      </w:r>
      <w:r>
        <w:rPr>
          <w:b/>
          <w:spacing w:val="-5"/>
          <w:sz w:val="24"/>
        </w:rPr>
        <w:t>if</w:t>
      </w:r>
    </w:p>
    <w:p>
      <w:pPr>
        <w:tabs>
          <w:tab w:pos="1047" w:val="left" w:leader="none"/>
        </w:tabs>
        <w:spacing w:line="256" w:lineRule="exact" w:before="0"/>
        <w:ind w:left="414" w:right="0" w:firstLine="0"/>
        <w:jc w:val="left"/>
        <w:rPr>
          <w:b/>
          <w:sz w:val="24"/>
        </w:rPr>
      </w:pPr>
      <w:r>
        <w:rPr>
          <w:i/>
        </w:rPr>
        <w:t>6:</w:t>
        <w:tab/>
        <w:t>종료하면</w:t>
      </w:r>
    </w:p>
    <w:p>
      <w:pPr>
        <w:spacing w:line="263" w:lineRule="exact" w:before="13"/>
        <w:ind w:left="414" w:right="0" w:firstLine="0"/>
        <w:jc w:val="left"/>
        <w:rPr>
          <w:b/>
          <w:sz w:val="24"/>
        </w:rPr>
      </w:pPr>
      <w:r>
        <w:rPr>
          <w:sz w:val="20"/>
        </w:rPr>
        <w:t>7:</w:t>
      </w:r>
      <w:r>
        <w:rPr>
          <w:spacing w:val="64"/>
          <w:sz w:val="20"/>
        </w:rPr>
        <w:t> </w:t>
      </w:r>
      <w:r>
        <w:rPr>
          <w:b/>
          <w:sz w:val="24"/>
        </w:rPr>
        <w:t>end</w:t>
      </w:r>
      <w:r>
        <w:rPr>
          <w:b/>
          <w:spacing w:val="-4"/>
          <w:sz w:val="24"/>
        </w:rPr>
        <w:t> </w:t>
      </w:r>
      <w:r>
        <w:rPr>
          <w:b/>
          <w:spacing w:val="-5"/>
          <w:sz w:val="24"/>
        </w:rPr>
        <w:t>for</w:t>
      </w:r>
    </w:p>
    <w:p>
      <w:pPr>
        <w:spacing w:line="263" w:lineRule="exact" w:before="13"/>
        <w:ind w:left="414" w:right="0" w:firstLine="0"/>
        <w:jc w:val="left"/>
        <w:rPr>
          <w:b/>
          <w:sz w:val="24"/>
        </w:rPr>
      </w:pPr>
      <w:r>
        <w:rPr>
          <w:i/>
        </w:rPr>
        <w:t>7: 종료</w:t>
      </w:r>
    </w:p>
    <w:p>
      <w:pPr>
        <w:pStyle w:val="BodyText"/>
        <w:spacing w:line="316" w:lineRule="exact"/>
        <w:ind w:left="414"/>
        <w:rPr>
          <w:rFonts w:ascii="Lucida Sans Unicode" w:hAnsi="Lucida Sans Unicode"/>
        </w:rPr>
      </w:pPr>
      <w:r>
        <w:rPr>
          <w:w w:val="105"/>
          <w:sz w:val="20"/>
        </w:rPr>
        <w:t>8:</w:t>
      </w:r>
      <w:r>
        <w:rPr>
          <w:spacing w:val="27"/>
          <w:w w:val="120"/>
          <w:sz w:val="20"/>
        </w:rPr>
        <w:t> </w:t>
      </w:r>
      <w:r>
        <w:rPr>
          <w:rFonts w:ascii="Calibri" w:hAnsi="Calibri"/>
          <w:i/>
          <w:w w:val="120"/>
        </w:rPr>
        <w:t>E</w:t>
      </w:r>
      <w:r>
        <w:rPr>
          <w:rFonts w:ascii="Calibri" w:hAnsi="Calibri"/>
          <w:i/>
          <w:spacing w:val="1"/>
          <w:w w:val="120"/>
        </w:rPr>
        <w:t> </w:t>
      </w:r>
      <w:r>
        <w:rPr>
          <w:rFonts w:ascii="Lucida Sans Unicode" w:hAnsi="Lucida Sans Unicode"/>
          <w:w w:val="105"/>
        </w:rPr>
        <w:t>→</w:t>
      </w:r>
      <w:r>
        <w:rPr>
          <w:rFonts w:ascii="Lucida Sans Unicode" w:hAnsi="Lucida Sans Unicode"/>
          <w:spacing w:val="-21"/>
          <w:w w:val="105"/>
        </w:rPr>
        <w:t> </w:t>
      </w:r>
      <w:r>
        <w:rPr>
          <w:w w:val="105"/>
        </w:rPr>
        <w:t>edges</w:t>
      </w:r>
      <w:r>
        <w:rPr>
          <w:spacing w:val="-15"/>
          <w:w w:val="105"/>
        </w:rPr>
        <w:t> </w:t>
      </w:r>
      <w:r>
        <w:rPr>
          <w:w w:val="105"/>
        </w:rPr>
        <w:t>in</w:t>
      </w:r>
      <w:r>
        <w:rPr>
          <w:spacing w:val="-14"/>
          <w:w w:val="105"/>
        </w:rPr>
        <w:t> </w:t>
      </w:r>
      <w:r>
        <w:rPr>
          <w:rFonts w:ascii="Calibri" w:hAnsi="Calibri"/>
          <w:i/>
          <w:w w:val="120"/>
        </w:rPr>
        <w:t>E</w:t>
      </w:r>
      <w:r>
        <w:rPr>
          <w:rFonts w:ascii="Calibri" w:hAnsi="Calibri"/>
          <w:i/>
          <w:spacing w:val="-5"/>
          <w:w w:val="120"/>
        </w:rPr>
        <w:t> </w:t>
      </w:r>
      <w:r>
        <w:rPr>
          <w:w w:val="105"/>
        </w:rPr>
        <w:t>incident</w:t>
      </w:r>
      <w:r>
        <w:rPr>
          <w:spacing w:val="-14"/>
          <w:w w:val="105"/>
        </w:rPr>
        <w:t> </w:t>
      </w:r>
      <w:r>
        <w:rPr>
          <w:w w:val="105"/>
        </w:rPr>
        <w:t>to</w:t>
      </w:r>
      <w:r>
        <w:rPr>
          <w:spacing w:val="-15"/>
          <w:w w:val="105"/>
        </w:rPr>
        <w:t> </w:t>
      </w:r>
      <w:r>
        <w:rPr>
          <w:w w:val="105"/>
        </w:rPr>
        <w:t>at</w:t>
      </w:r>
      <w:r>
        <w:rPr>
          <w:spacing w:val="-14"/>
          <w:w w:val="105"/>
        </w:rPr>
        <w:t> </w:t>
      </w:r>
      <w:r>
        <w:rPr>
          <w:w w:val="105"/>
        </w:rPr>
        <w:t>least</w:t>
      </w:r>
      <w:r>
        <w:rPr>
          <w:spacing w:val="-15"/>
          <w:w w:val="105"/>
        </w:rPr>
        <w:t> </w:t>
      </w:r>
      <w:r>
        <w:rPr>
          <w:w w:val="105"/>
        </w:rPr>
        <w:t>one</w:t>
      </w:r>
      <w:r>
        <w:rPr>
          <w:spacing w:val="-14"/>
          <w:w w:val="105"/>
        </w:rPr>
        <w:t> </w:t>
      </w:r>
      <w:r>
        <w:rPr>
          <w:w w:val="105"/>
        </w:rPr>
        <w:t>wallet</w:t>
      </w:r>
      <w:r>
        <w:rPr>
          <w:spacing w:val="-15"/>
          <w:w w:val="105"/>
        </w:rPr>
        <w:t> </w:t>
      </w:r>
      <w:r>
        <w:rPr>
          <w:w w:val="105"/>
        </w:rPr>
        <w:t>in</w:t>
      </w:r>
      <w:r>
        <w:rPr>
          <w:spacing w:val="-15"/>
          <w:w w:val="105"/>
        </w:rPr>
        <w:t> </w:t>
      </w:r>
      <w:r>
        <w:rPr>
          <w:rFonts w:ascii="Lucida Sans Unicode" w:hAnsi="Lucida Sans Unicode"/>
          <w:spacing w:val="-10"/>
          <w:w w:val="105"/>
        </w:rPr>
        <w:t>M</w:t>
      </w:r>
    </w:p>
    <w:p>
      <w:pPr>
        <w:pStyle w:val="BodyText"/>
        <w:spacing w:line="316" w:lineRule="exact"/>
        <w:ind w:left="414"/>
        <w:rPr>
          <w:rFonts w:ascii="Lucida Sans Unicode" w:hAnsi="Lucida Sans Unicode"/>
        </w:rPr>
      </w:pPr>
      <w:r>
        <w:rPr>
          <w:i/>
        </w:rPr>
        <w:t>8: E → M의 적어도 하나의 지갑에 발생하는 E의 모서리</w:t>
      </w:r>
    </w:p>
    <w:p>
      <w:pPr>
        <w:spacing w:line="289" w:lineRule="exact" w:before="0"/>
        <w:ind w:left="414" w:right="0" w:firstLine="0"/>
        <w:jc w:val="left"/>
        <w:rPr>
          <w:rFonts w:ascii="Calibri" w:hAnsi="Calibri"/>
          <w:sz w:val="24"/>
        </w:rPr>
      </w:pPr>
      <w:r>
        <w:rPr>
          <w:sz w:val="20"/>
        </w:rPr>
        <w:t>9:</w:t>
      </w:r>
      <w:r>
        <w:rPr>
          <w:spacing w:val="77"/>
          <w:w w:val="150"/>
          <w:sz w:val="20"/>
        </w:rPr>
        <w:t> </w:t>
      </w:r>
      <w:r>
        <w:rPr>
          <w:b/>
          <w:sz w:val="24"/>
        </w:rPr>
        <w:t>s</w:t>
      </w:r>
      <w:r>
        <w:rPr>
          <w:b/>
          <w:spacing w:val="25"/>
          <w:sz w:val="24"/>
        </w:rPr>
        <w:t> </w:t>
      </w:r>
      <w:r>
        <w:rPr>
          <w:rFonts w:ascii="Lucida Sans Unicode" w:hAnsi="Lucida Sans Unicode"/>
          <w:sz w:val="24"/>
        </w:rPr>
        <w:t>→</w:t>
      </w:r>
      <w:r>
        <w:rPr>
          <w:rFonts w:ascii="Lucida Sans Unicode" w:hAnsi="Lucida Sans Unicode"/>
          <w:spacing w:val="9"/>
          <w:sz w:val="24"/>
        </w:rPr>
        <w:t> </w:t>
      </w:r>
      <w:r>
        <w:rPr>
          <w:sz w:val="24"/>
        </w:rPr>
        <w:t>WeightedPageRank</w:t>
      </w:r>
      <w:r>
        <w:rPr>
          <w:rFonts w:ascii="Calibri" w:hAnsi="Calibri"/>
          <w:sz w:val="24"/>
        </w:rPr>
        <w:t>(</w:t>
      </w:r>
      <w:r>
        <w:rPr>
          <w:rFonts w:ascii="Calibri" w:hAnsi="Calibri"/>
          <w:i/>
          <w:sz w:val="24"/>
        </w:rPr>
        <w:t>E,</w:t>
      </w:r>
      <w:r>
        <w:rPr>
          <w:rFonts w:ascii="Calibri" w:hAnsi="Calibri"/>
          <w:i/>
          <w:spacing w:val="-4"/>
          <w:sz w:val="24"/>
        </w:rPr>
        <w:t> </w:t>
      </w:r>
      <w:r>
        <w:rPr>
          <w:rFonts w:ascii="Calibri" w:hAnsi="Calibri"/>
          <w:i/>
          <w:sz w:val="24"/>
        </w:rPr>
        <w:t>d,</w:t>
      </w:r>
      <w:r>
        <w:rPr>
          <w:rFonts w:ascii="Calibri" w:hAnsi="Calibri"/>
          <w:i/>
          <w:spacing w:val="-4"/>
          <w:sz w:val="24"/>
        </w:rPr>
        <w:t> </w:t>
      </w:r>
      <w:r>
        <w:rPr>
          <w:rFonts w:ascii="Calibri" w:hAnsi="Calibri"/>
          <w:i/>
          <w:sz w:val="24"/>
        </w:rPr>
        <w:t>τ</w:t>
      </w:r>
      <w:r>
        <w:rPr>
          <w:sz w:val="24"/>
          <w:vertAlign w:val="subscript"/>
        </w:rPr>
        <w:t>tol</w:t>
      </w:r>
      <w:r>
        <w:rPr>
          <w:rFonts w:ascii="Calibri" w:hAnsi="Calibri"/>
          <w:i/>
          <w:sz w:val="24"/>
          <w:vertAlign w:val="baseline"/>
        </w:rPr>
        <w:t>,</w:t>
      </w:r>
      <w:r>
        <w:rPr>
          <w:rFonts w:ascii="Calibri" w:hAnsi="Calibri"/>
          <w:i/>
          <w:spacing w:val="-4"/>
          <w:sz w:val="24"/>
          <w:vertAlign w:val="baseline"/>
        </w:rPr>
        <w:t> I</w:t>
      </w:r>
      <w:r>
        <w:rPr>
          <w:spacing w:val="-4"/>
          <w:sz w:val="24"/>
          <w:vertAlign w:val="subscript"/>
        </w:rPr>
        <w:t>max</w:t>
      </w:r>
      <w:r>
        <w:rPr>
          <w:rFonts w:ascii="Calibri" w:hAnsi="Calibri"/>
          <w:spacing w:val="-4"/>
          <w:sz w:val="24"/>
          <w:vertAlign w:val="baseline"/>
        </w:rPr>
        <w:t>)</w:t>
      </w:r>
    </w:p>
    <w:p>
      <w:pPr>
        <w:spacing w:line="289" w:lineRule="exact" w:before="0"/>
        <w:ind w:left="414" w:right="0" w:firstLine="0"/>
        <w:jc w:val="left"/>
        <w:rPr>
          <w:rFonts w:ascii="Calibri" w:hAnsi="Calibri"/>
          <w:sz w:val="24"/>
        </w:rPr>
      </w:pPr>
      <w:r>
        <w:rPr>
          <w:i/>
        </w:rPr>
        <w:t>9: s → 가중치PageRank(E, d, τtol, Imax)</w:t>
      </w:r>
    </w:p>
    <w:p>
      <w:pPr>
        <w:spacing w:line="329" w:lineRule="exact" w:before="0"/>
        <w:ind w:left="314" w:right="0" w:firstLine="0"/>
        <w:jc w:val="left"/>
        <w:rPr>
          <w:sz w:val="24"/>
        </w:rPr>
      </w:pPr>
      <w:r>
        <w:rPr>
          <w:sz w:val="24"/>
        </w:rPr>
        <mc:AlternateContent>
          <mc:Choice Requires="wps">
            <w:drawing>
              <wp:anchor distT="0" distB="0" distL="0" distR="0" allowOverlap="1" layoutInCell="1" locked="0" behindDoc="1" simplePos="0" relativeHeight="487608832">
                <wp:simplePos x="0" y="0"/>
                <wp:positionH relativeFrom="page">
                  <wp:posOffset>809244</wp:posOffset>
                </wp:positionH>
                <wp:positionV relativeFrom="paragraph">
                  <wp:posOffset>237892</wp:posOffset>
                </wp:positionV>
                <wp:extent cx="5941695"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8.731667pt;width:467.85pt;height:.1pt;mso-position-horizontal-relative:page;mso-position-vertical-relative:paragraph;z-index:-15707648;mso-wrap-distance-left:0;mso-wrap-distance-right:0" id="docshape117" coordorigin="1274,375" coordsize="9357,0" path="m1274,375l10631,375e" filled="false" stroked="true" strokeweight=".3985pt" strokecolor="#000000">
                <v:path arrowok="t"/>
                <v:stroke dashstyle="solid"/>
                <w10:wrap type="topAndBottom"/>
              </v:shape>
            </w:pict>
          </mc:Fallback>
        </mc:AlternateContent>
      </w:r>
      <w:r>
        <w:rPr>
          <w:sz w:val="20"/>
        </w:rPr>
        <w:t>10:</w:t>
      </w:r>
      <w:r>
        <w:rPr>
          <w:spacing w:val="60"/>
          <w:sz w:val="20"/>
        </w:rPr>
        <w:t> </w:t>
      </w:r>
      <w:r>
        <w:rPr>
          <w:b/>
          <w:sz w:val="24"/>
        </w:rPr>
        <w:t>return</w:t>
      </w:r>
      <w:r>
        <w:rPr>
          <w:b/>
          <w:spacing w:val="-5"/>
          <w:sz w:val="24"/>
        </w:rPr>
        <w:t> </w:t>
      </w:r>
      <w:r>
        <w:rPr>
          <w:b/>
          <w:sz w:val="24"/>
        </w:rPr>
        <w:t>s</w:t>
      </w:r>
      <w:r>
        <w:rPr>
          <w:sz w:val="24"/>
          <w:vertAlign w:val="subscript"/>
        </w:rPr>
        <w:t>ER</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7"/>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b/>
          <w:sz w:val="24"/>
          <w:vertAlign w:val="baseline"/>
        </w:rPr>
        <w:t>s</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1"/>
          <w:sz w:val="24"/>
          <w:vertAlign w:val="baseline"/>
        </w:rPr>
        <w:t> </w:t>
      </w:r>
      <w:r>
        <w:rPr>
          <w:sz w:val="24"/>
          <w:vertAlign w:val="baseline"/>
        </w:rPr>
        <w:t>for</w:t>
      </w:r>
      <w:r>
        <w:rPr>
          <w:spacing w:val="-5"/>
          <w:sz w:val="24"/>
          <w:vertAlign w:val="baseline"/>
        </w:rPr>
        <w:t> </w:t>
      </w:r>
      <w:r>
        <w:rPr>
          <w:rFonts w:ascii="Calibri" w:hAnsi="Calibri"/>
          <w:i/>
          <w:sz w:val="24"/>
          <w:vertAlign w:val="baseline"/>
        </w:rPr>
        <w:t>w</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rFonts w:ascii="Lucida Sans Unicode" w:hAnsi="Lucida Sans Unicode"/>
          <w:sz w:val="24"/>
          <w:vertAlign w:val="baseline"/>
        </w:rPr>
        <w:t>M</w:t>
      </w:r>
      <w:r>
        <w:rPr>
          <w:rFonts w:ascii="Lucida Sans Unicode" w:hAnsi="Lucida Sans Unicode"/>
          <w:spacing w:val="-2"/>
          <w:sz w:val="24"/>
          <w:vertAlign w:val="baseline"/>
        </w:rPr>
        <w:t> </w:t>
      </w:r>
      <w:r>
        <w:rPr>
          <w:sz w:val="24"/>
          <w:vertAlign w:val="baseline"/>
        </w:rPr>
        <w:t>(else</w:t>
      </w:r>
      <w:r>
        <w:rPr>
          <w:spacing w:val="-5"/>
          <w:sz w:val="24"/>
          <w:vertAlign w:val="baseline"/>
        </w:rPr>
        <w:t> </w:t>
      </w:r>
      <w:r>
        <w:rPr>
          <w:rFonts w:ascii="Calibri" w:hAnsi="Calibri"/>
          <w:spacing w:val="-5"/>
          <w:sz w:val="24"/>
          <w:vertAlign w:val="baseline"/>
        </w:rPr>
        <w:t>0</w:t>
      </w:r>
      <w:r>
        <w:rPr>
          <w:spacing w:val="-5"/>
          <w:sz w:val="24"/>
          <w:vertAlign w:val="baseline"/>
        </w:rPr>
        <w:t>)</w:t>
      </w:r>
    </w:p>
    <w:p>
      <w:pPr>
        <w:spacing w:line="329" w:lineRule="exact" w:before="0"/>
        <w:ind w:left="314" w:right="0" w:firstLine="0"/>
        <w:jc w:val="left"/>
        <w:rPr>
          <w:sz w:val="24"/>
        </w:rPr>
      </w:pPr>
      <w:r>
        <w:rPr>
          <w:i/>
        </w:rPr>
        <w:t>10: w ∈ M에 대해 sER[w] → s[w]를 반환합니다(그렇지 않으면 0).</w:t>
      </w:r>
    </w:p>
    <w:p>
      <w:pPr>
        <w:pStyle w:val="BodyText"/>
        <w:spacing w:before="218"/>
      </w:pPr>
    </w:p>
    <w:p>
      <w:pPr>
        <w:pStyle w:val="Heading4"/>
        <w:numPr>
          <w:ilvl w:val="2"/>
          <w:numId w:val="8"/>
        </w:numPr>
        <w:tabs>
          <w:tab w:pos="879" w:val="left" w:leader="none"/>
        </w:tabs>
        <w:spacing w:line="240" w:lineRule="auto" w:before="0" w:after="0"/>
        <w:ind w:left="879" w:right="0" w:hanging="597"/>
        <w:jc w:val="left"/>
      </w:pPr>
      <w:r>
        <w:rPr>
          <w:spacing w:val="-2"/>
        </w:rPr>
        <w:t>AWP</w:t>
      </w:r>
      <w:r>
        <w:rPr>
          <w:spacing w:val="-11"/>
        </w:rPr>
        <w:t> </w:t>
      </w:r>
      <w:r>
        <w:rPr>
          <w:spacing w:val="-2"/>
        </w:rPr>
        <w:t>transfer</w:t>
      </w:r>
      <w:r>
        <w:rPr>
          <w:spacing w:val="-10"/>
        </w:rPr>
        <w:t> </w:t>
      </w:r>
      <w:r>
        <w:rPr>
          <w:spacing w:val="-2"/>
        </w:rPr>
        <w:t>graph</w:t>
      </w:r>
    </w:p>
    <w:p>
      <w:pPr>
        <w:pStyle w:val="Heading4"/>
        <w:numPr>
          <w:ilvl w:val="2"/>
          <w:numId w:val="8"/>
        </w:numPr>
        <w:tabs>
          <w:tab w:pos="879" w:val="left" w:leader="none"/>
        </w:tabs>
        <w:spacing w:line="240" w:lineRule="auto" w:before="0" w:after="0"/>
        <w:ind w:left="879" w:right="0" w:hanging="597"/>
        <w:jc w:val="left"/>
      </w:pPr>
      <w:r>
        <w:rPr>
          <w:i/>
        </w:rPr>
        <w:t>AWP 전송 그래프</w:t>
      </w:r>
    </w:p>
    <w:p>
      <w:pPr>
        <w:pStyle w:val="BodyText"/>
        <w:spacing w:before="42"/>
        <w:rPr>
          <w:b/>
        </w:rPr>
      </w:pPr>
    </w:p>
    <w:p>
      <w:pPr>
        <w:pStyle w:val="BodyText"/>
        <w:ind w:left="273"/>
      </w:pPr>
      <w:r>
        <w:rPr/>
        <w:t>AWP</w:t>
      </w:r>
      <w:r>
        <w:rPr>
          <w:spacing w:val="19"/>
        </w:rPr>
        <w:t> </w:t>
      </w:r>
      <w:r>
        <w:rPr/>
        <w:t>follows</w:t>
      </w:r>
      <w:r>
        <w:rPr>
          <w:spacing w:val="20"/>
        </w:rPr>
        <w:t> </w:t>
      </w:r>
      <w:r>
        <w:rPr/>
        <w:t>Do</w:t>
      </w:r>
      <w:r>
        <w:rPr>
          <w:spacing w:val="19"/>
        </w:rPr>
        <w:t> </w:t>
      </w:r>
      <w:r>
        <w:rPr/>
        <w:t>et</w:t>
      </w:r>
      <w:r>
        <w:rPr>
          <w:spacing w:val="20"/>
        </w:rPr>
        <w:t> </w:t>
      </w:r>
      <w:r>
        <w:rPr/>
        <w:t>al.</w:t>
      </w:r>
      <w:hyperlink w:history="true" w:anchor="_bookmark149">
        <w:r>
          <w:rPr>
            <w:vertAlign w:val="superscript"/>
          </w:rPr>
          <w:t>[16]</w:t>
        </w:r>
      </w:hyperlink>
      <w:r>
        <w:rPr>
          <w:vertAlign w:val="baseline"/>
        </w:rPr>
        <w:t>:</w:t>
      </w:r>
      <w:r>
        <w:rPr>
          <w:spacing w:val="60"/>
          <w:vertAlign w:val="baseline"/>
        </w:rPr>
        <w:t> </w:t>
      </w:r>
      <w:r>
        <w:rPr>
          <w:vertAlign w:val="baseline"/>
        </w:rPr>
        <w:t>each</w:t>
      </w:r>
      <w:r>
        <w:rPr>
          <w:spacing w:val="20"/>
          <w:vertAlign w:val="baseline"/>
        </w:rPr>
        <w:t> </w:t>
      </w:r>
      <w:r>
        <w:rPr>
          <w:vertAlign w:val="baseline"/>
        </w:rPr>
        <w:t>transfer</w:t>
      </w:r>
      <w:r>
        <w:rPr>
          <w:spacing w:val="19"/>
          <w:vertAlign w:val="baseline"/>
        </w:rPr>
        <w:t> </w:t>
      </w:r>
      <w:r>
        <w:rPr>
          <w:vertAlign w:val="baseline"/>
        </w:rPr>
        <w:t>of</w:t>
      </w:r>
      <w:r>
        <w:rPr>
          <w:spacing w:val="20"/>
          <w:vertAlign w:val="baseline"/>
        </w:rPr>
        <w:t> </w:t>
      </w:r>
      <w:r>
        <w:rPr>
          <w:vertAlign w:val="baseline"/>
        </w:rPr>
        <w:t>value</w:t>
      </w:r>
      <w:r>
        <w:rPr>
          <w:spacing w:val="19"/>
          <w:vertAlign w:val="baseline"/>
        </w:rPr>
        <w:t> </w:t>
      </w:r>
      <w:r>
        <w:rPr>
          <w:rFonts w:ascii="Calibri" w:hAnsi="Calibri"/>
          <w:i/>
          <w:vertAlign w:val="baseline"/>
        </w:rPr>
        <w:t>v</w:t>
      </w:r>
      <w:r>
        <w:rPr>
          <w:rFonts w:ascii="Calibri" w:hAnsi="Calibri"/>
          <w:i/>
          <w:spacing w:val="34"/>
          <w:vertAlign w:val="baseline"/>
        </w:rPr>
        <w:t> </w:t>
      </w:r>
      <w:r>
        <w:rPr>
          <w:vertAlign w:val="baseline"/>
        </w:rPr>
        <w:t>at</w:t>
      </w:r>
      <w:r>
        <w:rPr>
          <w:spacing w:val="19"/>
          <w:vertAlign w:val="baseline"/>
        </w:rPr>
        <w:t> </w:t>
      </w:r>
      <w:r>
        <w:rPr>
          <w:vertAlign w:val="baseline"/>
        </w:rPr>
        <w:t>age</w:t>
      </w:r>
      <w:r>
        <w:rPr>
          <w:spacing w:val="20"/>
          <w:vertAlign w:val="baseline"/>
        </w:rPr>
        <w:t> </w:t>
      </w:r>
      <w:r>
        <w:rPr>
          <w:rFonts w:ascii="Calibri" w:hAnsi="Calibri"/>
          <w:vertAlign w:val="baseline"/>
        </w:rPr>
        <w:t>∆</w:t>
      </w:r>
      <w:r>
        <w:rPr>
          <w:rFonts w:ascii="Calibri" w:hAnsi="Calibri"/>
          <w:i/>
          <w:vertAlign w:val="baseline"/>
        </w:rPr>
        <w:t>t</w:t>
      </w:r>
      <w:r>
        <w:rPr>
          <w:rFonts w:ascii="Calibri" w:hAnsi="Calibri"/>
          <w:i/>
          <w:spacing w:val="25"/>
          <w:vertAlign w:val="baseline"/>
        </w:rPr>
        <w:t> </w:t>
      </w:r>
      <w:r>
        <w:rPr>
          <w:vertAlign w:val="baseline"/>
        </w:rPr>
        <w:t>days</w:t>
      </w:r>
      <w:r>
        <w:rPr>
          <w:spacing w:val="20"/>
          <w:vertAlign w:val="baseline"/>
        </w:rPr>
        <w:t> </w:t>
      </w:r>
      <w:r>
        <w:rPr>
          <w:vertAlign w:val="baseline"/>
        </w:rPr>
        <w:t>before</w:t>
      </w:r>
      <w:r>
        <w:rPr>
          <w:spacing w:val="19"/>
          <w:vertAlign w:val="baseline"/>
        </w:rPr>
        <w:t> </w:t>
      </w:r>
      <w:r>
        <w:rPr>
          <w:vertAlign w:val="baseline"/>
        </w:rPr>
        <w:t>observation</w:t>
      </w:r>
      <w:r>
        <w:rPr>
          <w:spacing w:val="20"/>
          <w:vertAlign w:val="baseline"/>
        </w:rPr>
        <w:t> </w:t>
      </w:r>
      <w:r>
        <w:rPr>
          <w:vertAlign w:val="baseline"/>
        </w:rPr>
        <w:t>end</w:t>
      </w:r>
      <w:r>
        <w:rPr>
          <w:spacing w:val="19"/>
          <w:vertAlign w:val="baseline"/>
        </w:rPr>
        <w:t> </w:t>
      </w:r>
      <w:r>
        <w:rPr>
          <w:rFonts w:ascii="Calibri" w:hAnsi="Calibri"/>
          <w:i/>
          <w:spacing w:val="-4"/>
          <w:vertAlign w:val="baseline"/>
        </w:rPr>
        <w:t>T</w:t>
      </w:r>
      <w:r>
        <w:rPr>
          <w:spacing w:val="-4"/>
          <w:vertAlign w:val="subscript"/>
        </w:rPr>
        <w:t>obs</w:t>
      </w:r>
    </w:p>
    <w:p>
      <w:pPr>
        <w:pStyle w:val="BodyText"/>
        <w:ind w:left="273"/>
      </w:pPr>
      <w:r>
        <w:rPr>
          <w:i/>
        </w:rPr>
        <w:t>AWP는 Do et al.[16]을 따릅니다: 관측 종료 Tobs 전 Δt일 연령에서 v 값의 각 전송</w:t>
      </w:r>
    </w:p>
    <w:p>
      <w:pPr>
        <w:pStyle w:val="BodyText"/>
        <w:spacing w:before="168"/>
        <w:ind w:left="282"/>
      </w:pPr>
      <w:r>
        <w:rPr/>
        <w:t>contributes</w:t>
      </w:r>
      <w:r>
        <w:rPr>
          <w:spacing w:val="-11"/>
        </w:rPr>
        <w:t> </w:t>
      </w:r>
      <w:r>
        <w:rPr/>
        <w:t>a</w:t>
      </w:r>
      <w:r>
        <w:rPr>
          <w:spacing w:val="-11"/>
        </w:rPr>
        <w:t> </w:t>
      </w:r>
      <w:r>
        <w:rPr/>
        <w:t>decayed</w:t>
      </w:r>
      <w:r>
        <w:rPr>
          <w:spacing w:val="-11"/>
        </w:rPr>
        <w:t> </w:t>
      </w:r>
      <w:r>
        <w:rPr>
          <w:spacing w:val="-2"/>
        </w:rPr>
        <w:t>weight</w:t>
      </w:r>
    </w:p>
    <w:p>
      <w:pPr>
        <w:pStyle w:val="BodyText"/>
        <w:spacing w:before="168"/>
        <w:ind w:left="282"/>
      </w:pPr>
      <w:r>
        <w:rPr>
          <w:i/>
        </w:rPr>
        <w:t>체중 감량에 기여</w:t>
      </w:r>
    </w:p>
    <w:p>
      <w:pPr>
        <w:pStyle w:val="BodyText"/>
        <w:spacing w:before="111"/>
        <w:rPr>
          <w:sz w:val="20"/>
        </w:rPr>
      </w:pPr>
    </w:p>
    <w:p>
      <w:pPr>
        <w:pStyle w:val="BodyText"/>
        <w:spacing w:after="0"/>
        <w:rPr>
          <w:sz w:val="20"/>
        </w:rPr>
        <w:sectPr>
          <w:pgSz w:w="11910" w:h="16840"/>
          <w:pgMar w:header="0" w:footer="2115" w:top="1820" w:bottom="2300" w:left="992" w:right="708"/>
        </w:sectPr>
      </w:pPr>
    </w:p>
    <w:p>
      <w:pPr>
        <w:pStyle w:val="BodyText"/>
        <w:spacing w:line="227" w:lineRule="exact" w:before="51"/>
        <w:ind w:left="148"/>
        <w:jc w:val="center"/>
        <w:rPr>
          <w:rFonts w:ascii="Calibri"/>
        </w:rPr>
      </w:pPr>
      <w:bookmarkStart w:name="_bookmark61" w:id="110"/>
      <w:bookmarkEnd w:id="110"/>
      <w:r>
        <w:rPr/>
      </w:r>
      <w:r>
        <w:rPr>
          <w:rFonts w:ascii="Calibri"/>
          <w:spacing w:val="-10"/>
        </w:rPr>
        <w:t>1</w:t>
      </w:r>
    </w:p>
    <w:p>
      <w:pPr>
        <w:tabs>
          <w:tab w:pos="5444" w:val="left" w:leader="none"/>
          <w:tab w:pos="6649" w:val="left" w:leader="none"/>
        </w:tabs>
        <w:spacing w:line="146" w:lineRule="auto" w:before="0"/>
        <w:ind w:left="1863" w:right="0" w:firstLine="0"/>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4016640">
                <wp:simplePos x="0" y="0"/>
                <wp:positionH relativeFrom="page">
                  <wp:posOffset>2411298</wp:posOffset>
                </wp:positionH>
                <wp:positionV relativeFrom="paragraph">
                  <wp:posOffset>65624</wp:posOffset>
                </wp:positionV>
                <wp:extent cx="129095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1290955" cy="1270"/>
                        </a:xfrm>
                        <a:custGeom>
                          <a:avLst/>
                          <a:gdLst/>
                          <a:ahLst/>
                          <a:cxnLst/>
                          <a:rect l="l" t="t" r="r" b="b"/>
                          <a:pathLst>
                            <a:path w="1290955" h="0">
                              <a:moveTo>
                                <a:pt x="0" y="0"/>
                              </a:moveTo>
                              <a:lnTo>
                                <a:pt x="129081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9840" from="189.865997pt,5.16727pt" to="291.504997pt,5.16727pt" stroked="true" strokeweight=".4782pt" strokecolor="#000000">
                <v:stroke dashstyle="solid"/>
                <w10:wrap type="none"/>
              </v:line>
            </w:pict>
          </mc:Fallback>
        </mc:AlternateContent>
      </w:r>
      <w:r>
        <w:rPr>
          <w:rFonts w:ascii="Calibri" w:hAnsi="Calibri"/>
          <w:sz w:val="24"/>
        </w:rPr>
        <mc:AlternateContent>
          <mc:Choice Requires="wps">
            <w:drawing>
              <wp:anchor distT="0" distB="0" distL="0" distR="0" allowOverlap="1" layoutInCell="1" locked="0" behindDoc="1" simplePos="0" relativeHeight="484017664">
                <wp:simplePos x="0" y="0"/>
                <wp:positionH relativeFrom="page">
                  <wp:posOffset>3514610</wp:posOffset>
                </wp:positionH>
                <wp:positionV relativeFrom="paragraph">
                  <wp:posOffset>162784</wp:posOffset>
                </wp:positionV>
                <wp:extent cx="53975" cy="1016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0</w:t>
                            </w:r>
                          </w:p>
                        </w:txbxContent>
                      </wps:txbx>
                      <wps:bodyPr wrap="square" lIns="0" tIns="0" rIns="0" bIns="0" rtlCol="0">
                        <a:noAutofit/>
                      </wps:bodyPr>
                    </wps:wsp>
                  </a:graphicData>
                </a:graphic>
              </wp:anchor>
            </w:drawing>
          </mc:Choice>
          <mc:Fallback>
            <w:pict>
              <v:shape style="position:absolute;margin-left:276.740997pt;margin-top:12.817696pt;width:4.25pt;height:8pt;mso-position-horizontal-relative:page;mso-position-vertical-relative:paragraph;z-index:-19298816" type="#_x0000_t202" id="docshape118" filled="false" stroked="false">
                <v:textbox inset="0,0,0,0">
                  <w:txbxContent>
                    <w:p>
                      <w:pPr>
                        <w:spacing w:line="159" w:lineRule="exact" w:before="0"/>
                        <w:ind w:left="0" w:right="0" w:firstLine="0"/>
                        <w:jc w:val="left"/>
                        <w:rPr>
                          <w:rFonts w:ascii="Calibri"/>
                          <w:sz w:val="16"/>
                        </w:rPr>
                      </w:pPr>
                      <w:r>
                        <w:rPr>
                          <w:rFonts w:ascii="Calibri"/>
                          <w:spacing w:val="-10"/>
                          <w:sz w:val="16"/>
                        </w:rPr>
                        <w:t>0</w:t>
                      </w:r>
                    </w:p>
                  </w:txbxContent>
                </v:textbox>
                <w10:wrap type="none"/>
              </v:shape>
            </w:pict>
          </mc:Fallback>
        </mc:AlternateContent>
      </w:r>
      <w:r>
        <w:rPr>
          <w:rFonts w:ascii="Calibri" w:hAnsi="Calibri"/>
          <w:i/>
          <w:w w:val="110"/>
          <w:sz w:val="24"/>
        </w:rPr>
        <w:t>σ</w:t>
      </w:r>
      <w:r>
        <w:rPr>
          <w:rFonts w:ascii="Calibri" w:hAnsi="Calibri"/>
          <w:w w:val="110"/>
          <w:sz w:val="24"/>
        </w:rPr>
        <w:t>(∆</w:t>
      </w:r>
      <w:r>
        <w:rPr>
          <w:rFonts w:ascii="Calibri" w:hAnsi="Calibri"/>
          <w:i/>
          <w:w w:val="110"/>
          <w:sz w:val="24"/>
        </w:rPr>
        <w:t>t</w:t>
      </w:r>
      <w:r>
        <w:rPr>
          <w:rFonts w:ascii="Calibri" w:hAnsi="Calibri"/>
          <w:w w:val="110"/>
          <w:sz w:val="24"/>
        </w:rPr>
        <w:t>)</w:t>
      </w:r>
      <w:r>
        <w:rPr>
          <w:rFonts w:ascii="Calibri" w:hAnsi="Calibri"/>
          <w:spacing w:val="3"/>
          <w:w w:val="125"/>
          <w:sz w:val="24"/>
        </w:rPr>
        <w:t> </w:t>
      </w:r>
      <w:r>
        <w:rPr>
          <w:rFonts w:ascii="Calibri" w:hAnsi="Calibri"/>
          <w:w w:val="125"/>
          <w:sz w:val="24"/>
        </w:rPr>
        <w:t>=</w:t>
      </w:r>
      <w:r>
        <w:rPr>
          <w:rFonts w:ascii="Calibri" w:hAnsi="Calibri"/>
          <w:spacing w:val="32"/>
          <w:w w:val="125"/>
          <w:sz w:val="24"/>
        </w:rPr>
        <w:t> </w:t>
      </w:r>
      <w:r>
        <w:rPr>
          <w:rFonts w:ascii="Calibri" w:hAnsi="Calibri"/>
          <w:w w:val="110"/>
          <w:position w:val="-17"/>
          <w:sz w:val="24"/>
        </w:rPr>
        <w:t>1</w:t>
      </w:r>
      <w:r>
        <w:rPr>
          <w:rFonts w:ascii="Calibri" w:hAnsi="Calibri"/>
          <w:spacing w:val="-2"/>
          <w:w w:val="110"/>
          <w:position w:val="-17"/>
          <w:sz w:val="24"/>
        </w:rPr>
        <w:t> </w:t>
      </w:r>
      <w:r>
        <w:rPr>
          <w:rFonts w:ascii="Calibri" w:hAnsi="Calibri"/>
          <w:w w:val="125"/>
          <w:position w:val="-17"/>
          <w:sz w:val="24"/>
        </w:rPr>
        <w:t>+</w:t>
      </w:r>
      <w:r>
        <w:rPr>
          <w:rFonts w:ascii="Calibri" w:hAnsi="Calibri"/>
          <w:spacing w:val="-10"/>
          <w:w w:val="125"/>
          <w:position w:val="-17"/>
          <w:sz w:val="24"/>
        </w:rPr>
        <w:t> </w:t>
      </w:r>
      <w:r>
        <w:rPr>
          <w:w w:val="110"/>
          <w:position w:val="-17"/>
          <w:sz w:val="24"/>
        </w:rPr>
        <w:t>exp</w:t>
      </w:r>
      <w:r>
        <w:rPr>
          <w:spacing w:val="54"/>
          <w:w w:val="110"/>
          <w:position w:val="2"/>
          <w:sz w:val="24"/>
        </w:rPr>
        <w:t> </w:t>
      </w:r>
      <w:r>
        <w:rPr>
          <w:rFonts w:ascii="Calibri" w:hAnsi="Calibri"/>
          <w:i/>
          <w:w w:val="110"/>
          <w:position w:val="-17"/>
          <w:sz w:val="24"/>
        </w:rPr>
        <w:t>k</w:t>
      </w:r>
      <w:r>
        <w:rPr>
          <w:rFonts w:ascii="Calibri" w:hAnsi="Calibri"/>
          <w:w w:val="110"/>
          <w:position w:val="-17"/>
          <w:sz w:val="24"/>
        </w:rPr>
        <w:t>(∆</w:t>
      </w:r>
      <w:r>
        <w:rPr>
          <w:rFonts w:ascii="Calibri" w:hAnsi="Calibri"/>
          <w:i/>
          <w:w w:val="110"/>
          <w:position w:val="-17"/>
          <w:sz w:val="24"/>
        </w:rPr>
        <w:t>t</w:t>
      </w:r>
      <w:r>
        <w:rPr>
          <w:rFonts w:ascii="Calibri" w:hAnsi="Calibri"/>
          <w:i/>
          <w:spacing w:val="-1"/>
          <w:w w:val="110"/>
          <w:position w:val="-17"/>
          <w:sz w:val="24"/>
        </w:rPr>
        <w:t> </w:t>
      </w:r>
      <w:r>
        <w:rPr>
          <w:rFonts w:ascii="Lucida Sans Unicode" w:hAnsi="Lucida Sans Unicode"/>
          <w:w w:val="105"/>
          <w:position w:val="-17"/>
          <w:sz w:val="24"/>
        </w:rPr>
        <w:t>—</w:t>
      </w:r>
      <w:r>
        <w:rPr>
          <w:rFonts w:ascii="Lucida Sans Unicode" w:hAnsi="Lucida Sans Unicode"/>
          <w:spacing w:val="-21"/>
          <w:w w:val="105"/>
          <w:position w:val="-17"/>
          <w:sz w:val="24"/>
        </w:rPr>
        <w:t> </w:t>
      </w:r>
      <w:r>
        <w:rPr>
          <w:rFonts w:ascii="Calibri" w:hAnsi="Calibri"/>
          <w:i/>
          <w:w w:val="110"/>
          <w:position w:val="-17"/>
          <w:sz w:val="24"/>
        </w:rPr>
        <w:t>t</w:t>
      </w:r>
      <w:r>
        <w:rPr>
          <w:rFonts w:ascii="Calibri" w:hAnsi="Calibri"/>
          <w:i/>
          <w:spacing w:val="44"/>
          <w:w w:val="110"/>
          <w:position w:val="-17"/>
          <w:sz w:val="24"/>
        </w:rPr>
        <w:t> </w:t>
      </w:r>
      <w:r>
        <w:rPr>
          <w:rFonts w:ascii="Calibri" w:hAnsi="Calibri"/>
          <w:w w:val="110"/>
          <w:position w:val="-17"/>
          <w:sz w:val="24"/>
        </w:rPr>
        <w:t>)</w:t>
      </w:r>
      <w:r>
        <w:rPr>
          <w:spacing w:val="56"/>
          <w:w w:val="150"/>
          <w:position w:val="2"/>
          <w:sz w:val="24"/>
        </w:rPr>
        <w:t> </w:t>
      </w:r>
      <w:r>
        <w:rPr>
          <w:rFonts w:ascii="Calibri" w:hAnsi="Calibri"/>
          <w:i/>
          <w:spacing w:val="-10"/>
          <w:w w:val="110"/>
          <w:sz w:val="24"/>
        </w:rPr>
        <w:t>,</w:t>
      </w:r>
      <w:r>
        <w:rPr>
          <w:rFonts w:ascii="Calibri" w:hAnsi="Calibri"/>
          <w:i/>
          <w:sz w:val="24"/>
        </w:rPr>
        <w:tab/>
      </w:r>
      <w:r>
        <w:rPr>
          <w:rFonts w:ascii="Calibri" w:hAnsi="Calibri"/>
          <w:i/>
          <w:w w:val="110"/>
          <w:sz w:val="24"/>
        </w:rPr>
        <w:t>k</w:t>
      </w:r>
      <w:r>
        <w:rPr>
          <w:rFonts w:ascii="Calibri" w:hAnsi="Calibri"/>
          <w:i/>
          <w:spacing w:val="24"/>
          <w:w w:val="125"/>
          <w:sz w:val="24"/>
        </w:rPr>
        <w:t> </w:t>
      </w:r>
      <w:r>
        <w:rPr>
          <w:rFonts w:ascii="Calibri" w:hAnsi="Calibri"/>
          <w:w w:val="125"/>
          <w:sz w:val="24"/>
        </w:rPr>
        <w:t>=</w:t>
      </w:r>
      <w:r>
        <w:rPr>
          <w:rFonts w:ascii="Calibri" w:hAnsi="Calibri"/>
          <w:spacing w:val="13"/>
          <w:w w:val="125"/>
          <w:sz w:val="24"/>
        </w:rPr>
        <w:t> </w:t>
      </w:r>
      <w:r>
        <w:rPr>
          <w:rFonts w:ascii="Calibri" w:hAnsi="Calibri"/>
          <w:spacing w:val="-2"/>
          <w:w w:val="110"/>
          <w:sz w:val="24"/>
        </w:rPr>
        <w:t>0</w:t>
      </w:r>
      <w:r>
        <w:rPr>
          <w:rFonts w:ascii="Calibri" w:hAnsi="Calibri"/>
          <w:i/>
          <w:spacing w:val="-2"/>
          <w:w w:val="110"/>
          <w:sz w:val="24"/>
        </w:rPr>
        <w:t>.</w:t>
      </w:r>
      <w:r>
        <w:rPr>
          <w:rFonts w:ascii="Calibri" w:hAnsi="Calibri"/>
          <w:spacing w:val="-2"/>
          <w:w w:val="110"/>
          <w:sz w:val="24"/>
        </w:rPr>
        <w:t>01</w:t>
      </w:r>
      <w:r>
        <w:rPr>
          <w:rFonts w:ascii="Calibri" w:hAnsi="Calibri"/>
          <w:i/>
          <w:spacing w:val="-2"/>
          <w:w w:val="110"/>
          <w:sz w:val="24"/>
        </w:rPr>
        <w:t>,</w:t>
      </w:r>
      <w:r>
        <w:rPr>
          <w:rFonts w:ascii="Calibri" w:hAnsi="Calibri"/>
          <w:i/>
          <w:sz w:val="24"/>
        </w:rPr>
        <w:tab/>
      </w:r>
      <w:r>
        <w:rPr>
          <w:rFonts w:ascii="Calibri" w:hAnsi="Calibri"/>
          <w:i/>
          <w:w w:val="110"/>
          <w:sz w:val="24"/>
        </w:rPr>
        <w:t>t</w:t>
      </w:r>
      <w:r>
        <w:rPr>
          <w:rFonts w:ascii="Calibri" w:hAnsi="Calibri"/>
          <w:w w:val="110"/>
          <w:sz w:val="24"/>
          <w:vertAlign w:val="subscript"/>
        </w:rPr>
        <w:t>0</w:t>
      </w:r>
      <w:r>
        <w:rPr>
          <w:rFonts w:ascii="Calibri" w:hAnsi="Calibri"/>
          <w:spacing w:val="20"/>
          <w:w w:val="125"/>
          <w:sz w:val="24"/>
          <w:vertAlign w:val="baseline"/>
        </w:rPr>
        <w:t> </w:t>
      </w:r>
      <w:r>
        <w:rPr>
          <w:rFonts w:ascii="Calibri" w:hAnsi="Calibri"/>
          <w:w w:val="125"/>
          <w:sz w:val="24"/>
          <w:vertAlign w:val="baseline"/>
        </w:rPr>
        <w:t>=</w:t>
      </w:r>
      <w:r>
        <w:rPr>
          <w:rFonts w:ascii="Calibri" w:hAnsi="Calibri"/>
          <w:spacing w:val="7"/>
          <w:w w:val="125"/>
          <w:sz w:val="24"/>
          <w:vertAlign w:val="baseline"/>
        </w:rPr>
        <w:t> </w:t>
      </w:r>
      <w:r>
        <w:rPr>
          <w:rFonts w:ascii="Calibri" w:hAnsi="Calibri"/>
          <w:spacing w:val="-8"/>
          <w:sz w:val="24"/>
          <w:vertAlign w:val="baseline"/>
        </w:rPr>
        <w:t>180</w:t>
      </w:r>
    </w:p>
    <w:p>
      <w:pPr>
        <w:tabs>
          <w:tab w:pos="5444" w:val="left" w:leader="none"/>
          <w:tab w:pos="6649" w:val="left" w:leader="none"/>
        </w:tabs>
        <w:spacing w:line="146" w:lineRule="auto" w:before="0"/>
        <w:ind w:left="1863" w:right="0" w:firstLine="0"/>
        <w:jc w:val="left"/>
        <w:rPr>
          <w:rFonts w:ascii="Calibri" w:hAnsi="Calibri"/>
          <w:sz w:val="24"/>
        </w:rPr>
      </w:pPr>
      <w:r>
        <w:rPr>
          <w:i/>
        </w:rPr>
        <w:t>σ(Δt) = 1 + exp k(Δt — t ) ,</w:t>
        <w:tab/>
        <w:t>k = 0.01,</w:t>
        <w:tab/>
        <w:t>t0 = 180</w:t>
      </w:r>
    </w:p>
    <w:p>
      <w:pPr>
        <w:pStyle w:val="BodyText"/>
        <w:tabs>
          <w:tab w:pos="1662" w:val="left" w:leader="none"/>
        </w:tabs>
        <w:spacing w:before="213"/>
        <w:ind w:left="20"/>
      </w:pPr>
      <w:r>
        <w:rPr/>
        <w:br w:type="column"/>
      </w:r>
      <w:r>
        <w:rPr>
          <w:spacing w:val="-2"/>
        </w:rPr>
        <w:t>days</w:t>
      </w:r>
      <w:r>
        <w:rPr>
          <w:rFonts w:ascii="Calibri"/>
          <w:i/>
          <w:spacing w:val="-2"/>
        </w:rPr>
        <w:t>.</w:t>
      </w:r>
      <w:r>
        <w:rPr>
          <w:rFonts w:ascii="Calibri"/>
          <w:i/>
        </w:rPr>
        <w:tab/>
      </w:r>
      <w:r>
        <w:rPr>
          <w:spacing w:val="-2"/>
        </w:rPr>
        <w:t>(3.4)</w:t>
      </w:r>
    </w:p>
    <w:p>
      <w:pPr>
        <w:pStyle w:val="BodyText"/>
        <w:tabs>
          <w:tab w:pos="1662" w:val="left" w:leader="none"/>
        </w:tabs>
        <w:spacing w:before="213"/>
        <w:ind w:left="20"/>
      </w:pPr>
      <w:r>
        <w:rPr>
          <w:i/>
        </w:rPr>
        <w:t>날.</w:t>
        <w:tab/>
        <w:t>(3.4)</w:t>
      </w:r>
    </w:p>
    <w:p>
      <w:pPr>
        <w:pStyle w:val="BodyText"/>
        <w:spacing w:after="0"/>
        <w:sectPr>
          <w:type w:val="continuous"/>
          <w:pgSz w:w="11910" w:h="16840"/>
          <w:pgMar w:header="0" w:footer="2115" w:top="1920" w:bottom="280" w:left="992" w:right="708"/>
          <w:cols w:num="2" w:equalWidth="0">
            <w:col w:w="7495" w:space="40"/>
            <w:col w:w="2675"/>
          </w:cols>
        </w:sectPr>
      </w:pPr>
    </w:p>
    <w:p>
      <w:pPr>
        <w:pStyle w:val="BodyText"/>
        <w:spacing w:before="80"/>
        <w:rPr>
          <w:sz w:val="20"/>
        </w:rPr>
      </w:pPr>
    </w:p>
    <w:p>
      <w:pPr>
        <w:pStyle w:val="BodyText"/>
        <w:spacing w:after="0"/>
        <w:rPr>
          <w:sz w:val="20"/>
        </w:rPr>
        <w:sectPr>
          <w:type w:val="continuous"/>
          <w:pgSz w:w="11910" w:h="16840"/>
          <w:pgMar w:header="0" w:footer="2115" w:top="1920" w:bottom="280" w:left="992" w:right="708"/>
        </w:sectPr>
      </w:pPr>
    </w:p>
    <w:p>
      <w:pPr>
        <w:pStyle w:val="BodyText"/>
        <w:spacing w:before="89"/>
        <w:ind w:left="282"/>
      </w:pPr>
      <w:r>
        <w:rPr/>
        <w:t>Edge</w:t>
      </w:r>
      <w:r>
        <w:rPr>
          <w:spacing w:val="-9"/>
        </w:rPr>
        <w:t> </w:t>
      </w:r>
      <w:r>
        <w:rPr/>
        <w:t>weights</w:t>
      </w:r>
      <w:r>
        <w:rPr>
          <w:spacing w:val="-9"/>
        </w:rPr>
        <w:t> </w:t>
      </w:r>
      <w:r>
        <w:rPr/>
        <w:t>aggregate</w:t>
      </w:r>
      <w:r>
        <w:rPr>
          <w:spacing w:val="-9"/>
        </w:rPr>
        <w:t> </w:t>
      </w:r>
      <w:r>
        <w:rPr/>
        <w:t>over</w:t>
      </w:r>
      <w:r>
        <w:rPr>
          <w:spacing w:val="-9"/>
        </w:rPr>
        <w:t> </w:t>
      </w:r>
      <w:r>
        <w:rPr>
          <w:spacing w:val="-2"/>
        </w:rPr>
        <w:t>transfers:</w:t>
      </w:r>
    </w:p>
    <w:p>
      <w:pPr>
        <w:pStyle w:val="BodyText"/>
        <w:spacing w:before="89"/>
        <w:ind w:left="282"/>
      </w:pPr>
      <w:r>
        <w:rPr>
          <w:i/>
        </w:rPr>
        <w:t>전송을 통해 에지 가중치가 집계됩니다.</w:t>
      </w:r>
    </w:p>
    <w:p>
      <w:pPr>
        <w:pStyle w:val="BodyText"/>
      </w:pPr>
    </w:p>
    <w:p>
      <w:pPr>
        <w:pStyle w:val="BodyText"/>
        <w:spacing w:before="2"/>
      </w:pPr>
    </w:p>
    <w:p>
      <w:pPr>
        <w:spacing w:before="0"/>
        <w:ind w:left="0" w:right="568" w:firstLine="0"/>
        <w:jc w:val="right"/>
        <w:rPr>
          <w:rFonts w:ascii="Calibri"/>
          <w:sz w:val="24"/>
        </w:rPr>
      </w:pPr>
      <w:r>
        <w:rPr>
          <w:rFonts w:ascii="Calibri"/>
          <w:sz w:val="24"/>
        </w:rPr>
        <mc:AlternateContent>
          <mc:Choice Requires="wps">
            <w:drawing>
              <wp:anchor distT="0" distB="0" distL="0" distR="0" allowOverlap="1" layoutInCell="1" locked="0" behindDoc="1" simplePos="0" relativeHeight="484018176">
                <wp:simplePos x="0" y="0"/>
                <wp:positionH relativeFrom="page">
                  <wp:posOffset>3707803</wp:posOffset>
                </wp:positionH>
                <wp:positionV relativeFrom="paragraph">
                  <wp:posOffset>-112835</wp:posOffset>
                </wp:positionV>
                <wp:extent cx="219710" cy="56324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1.953003pt;margin-top:-8.884724pt;width:17.3pt;height:44.35pt;mso-position-horizontal-relative:page;mso-position-vertical-relative:paragraph;z-index:-19298304" type="#_x0000_t202" id="docshape119"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i/>
          <w:w w:val="110"/>
          <w:sz w:val="24"/>
        </w:rPr>
        <w:t>w</w:t>
      </w:r>
      <w:r>
        <w:rPr>
          <w:rFonts w:ascii="Cambria"/>
          <w:w w:val="110"/>
          <w:sz w:val="24"/>
          <w:vertAlign w:val="subscript"/>
        </w:rPr>
        <w:t>T</w:t>
      </w:r>
      <w:r>
        <w:rPr>
          <w:rFonts w:ascii="Cambria"/>
          <w:spacing w:val="-26"/>
          <w:w w:val="110"/>
          <w:sz w:val="24"/>
          <w:vertAlign w:val="baseline"/>
        </w:rPr>
        <w:t> </w:t>
      </w:r>
      <w:r>
        <w:rPr>
          <w:rFonts w:ascii="Calibri"/>
          <w:w w:val="110"/>
          <w:sz w:val="24"/>
          <w:vertAlign w:val="baseline"/>
        </w:rPr>
        <w:t>(</w:t>
      </w:r>
      <w:r>
        <w:rPr>
          <w:rFonts w:ascii="Calibri"/>
          <w:i/>
          <w:w w:val="110"/>
          <w:sz w:val="24"/>
          <w:vertAlign w:val="baseline"/>
        </w:rPr>
        <w:t>u,</w:t>
      </w:r>
      <w:r>
        <w:rPr>
          <w:rFonts w:ascii="Calibri"/>
          <w:i/>
          <w:spacing w:val="-20"/>
          <w:w w:val="110"/>
          <w:sz w:val="24"/>
          <w:vertAlign w:val="baseline"/>
        </w:rPr>
        <w:t> </w:t>
      </w:r>
      <w:r>
        <w:rPr>
          <w:rFonts w:ascii="Calibri"/>
          <w:i/>
          <w:w w:val="110"/>
          <w:sz w:val="24"/>
          <w:vertAlign w:val="baseline"/>
        </w:rPr>
        <w:t>v</w:t>
      </w:r>
      <w:r>
        <w:rPr>
          <w:rFonts w:ascii="Calibri"/>
          <w:w w:val="110"/>
          <w:sz w:val="24"/>
          <w:vertAlign w:val="baseline"/>
        </w:rPr>
        <w:t>)</w:t>
      </w:r>
      <w:r>
        <w:rPr>
          <w:rFonts w:ascii="Calibri"/>
          <w:spacing w:val="-3"/>
          <w:w w:val="110"/>
          <w:sz w:val="24"/>
          <w:vertAlign w:val="baseline"/>
        </w:rPr>
        <w:t> </w:t>
      </w:r>
      <w:r>
        <w:rPr>
          <w:rFonts w:ascii="Calibri"/>
          <w:spacing w:val="-10"/>
          <w:w w:val="110"/>
          <w:sz w:val="24"/>
          <w:vertAlign w:val="baseline"/>
        </w:rPr>
        <w:t>=</w:t>
      </w:r>
    </w:p>
    <w:p>
      <w:pPr>
        <w:spacing w:before="0"/>
        <w:ind w:left="0" w:right="568" w:firstLine="0"/>
        <w:jc w:val="right"/>
        <w:rPr>
          <w:rFonts w:ascii="Calibri"/>
          <w:sz w:val="24"/>
        </w:rPr>
      </w:pPr>
      <w:r>
        <w:rPr>
          <w:i/>
        </w:rPr>
        <w:t>wT(유, v) =</w:t>
      </w:r>
    </w:p>
    <w:p>
      <w:pPr>
        <w:spacing w:before="58"/>
        <w:ind w:left="0" w:right="0" w:firstLine="0"/>
        <w:jc w:val="right"/>
        <w:rPr>
          <w:rFonts w:ascii="Cambria" w:hAnsi="Cambria"/>
          <w:sz w:val="16"/>
        </w:rPr>
      </w:pPr>
      <w:r>
        <w:rPr>
          <w:rFonts w:ascii="Cambria" w:hAnsi="Cambria"/>
          <w:sz w:val="16"/>
        </w:rPr>
        <w:t>e</w:t>
      </w:r>
      <w:r>
        <w:rPr>
          <w:rFonts w:ascii="Calibri" w:hAnsi="Calibri"/>
          <w:sz w:val="16"/>
        </w:rPr>
        <w:t>:</w:t>
      </w:r>
      <w:r>
        <w:rPr>
          <w:rFonts w:ascii="Calibri" w:hAnsi="Calibri"/>
          <w:spacing w:val="-5"/>
          <w:sz w:val="16"/>
        </w:rPr>
        <w:t> </w:t>
      </w:r>
      <w:r>
        <w:rPr>
          <w:rFonts w:ascii="Cambria" w:hAnsi="Cambria"/>
          <w:spacing w:val="-5"/>
          <w:w w:val="110"/>
          <w:sz w:val="16"/>
        </w:rPr>
        <w:t>u→v</w:t>
      </w:r>
    </w:p>
    <w:p>
      <w:pPr>
        <w:spacing w:before="58"/>
        <w:ind w:left="0" w:right="0" w:firstLine="0"/>
        <w:jc w:val="right"/>
        <w:rPr>
          <w:rFonts w:ascii="Cambria" w:hAnsi="Cambria"/>
          <w:sz w:val="16"/>
        </w:rPr>
      </w:pPr>
      <w:r>
        <w:rPr>
          <w:i/>
        </w:rPr>
        <w:t>전자: 너→v</w:t>
      </w:r>
    </w:p>
    <w:p>
      <w:pPr>
        <w:pStyle w:val="BodyText"/>
        <w:rPr>
          <w:rFonts w:ascii="Cambria"/>
        </w:rPr>
      </w:pPr>
      <w:r>
        <w:rPr/>
        <w:br w:type="column"/>
      </w:r>
      <w:r>
        <w:rPr>
          <w:rFonts w:ascii="Cambria"/>
        </w:rPr>
      </w:r>
    </w:p>
    <w:p>
      <w:pPr>
        <w:pStyle w:val="BodyText"/>
        <w:rPr>
          <w:rFonts w:ascii="Cambria"/>
        </w:rPr>
      </w:pPr>
    </w:p>
    <w:p>
      <w:pPr>
        <w:pStyle w:val="BodyText"/>
        <w:spacing w:before="75"/>
        <w:rPr>
          <w:rFonts w:ascii="Cambria"/>
        </w:rPr>
      </w:pPr>
    </w:p>
    <w:p>
      <w:pPr>
        <w:tabs>
          <w:tab w:pos="3888" w:val="left" w:leader="none"/>
        </w:tabs>
        <w:spacing w:before="0"/>
        <w:ind w:left="5" w:right="0" w:firstLine="0"/>
        <w:jc w:val="left"/>
        <w:rPr>
          <w:sz w:val="24"/>
        </w:rPr>
      </w:pPr>
      <w:r>
        <w:rPr>
          <w:rFonts w:ascii="Calibri" w:hAnsi="Calibri"/>
          <w:i/>
          <w:w w:val="105"/>
          <w:sz w:val="24"/>
        </w:rPr>
        <w:t>v</w:t>
      </w:r>
      <w:r>
        <w:rPr>
          <w:rFonts w:ascii="Cambria" w:hAnsi="Cambria"/>
          <w:w w:val="105"/>
          <w:sz w:val="24"/>
          <w:vertAlign w:val="subscript"/>
        </w:rPr>
        <w:t>e</w:t>
      </w:r>
      <w:r>
        <w:rPr>
          <w:rFonts w:ascii="Cambria" w:hAnsi="Cambria"/>
          <w:spacing w:val="-10"/>
          <w:w w:val="105"/>
          <w:sz w:val="24"/>
          <w:vertAlign w:val="baseline"/>
        </w:rPr>
        <w:t> </w:t>
      </w:r>
      <w:r>
        <w:rPr>
          <w:rFonts w:ascii="Calibri" w:hAnsi="Calibri"/>
          <w:i/>
          <w:spacing w:val="-2"/>
          <w:w w:val="105"/>
          <w:sz w:val="24"/>
          <w:vertAlign w:val="baseline"/>
        </w:rPr>
        <w:t>σ</w:t>
      </w:r>
      <w:r>
        <w:rPr>
          <w:rFonts w:ascii="Calibri" w:hAnsi="Calibri"/>
          <w:spacing w:val="-2"/>
          <w:w w:val="105"/>
          <w:sz w:val="24"/>
          <w:vertAlign w:val="baseline"/>
        </w:rPr>
        <w:t>(∆</w:t>
      </w:r>
      <w:r>
        <w:rPr>
          <w:rFonts w:ascii="Calibri" w:hAnsi="Calibri"/>
          <w:i/>
          <w:spacing w:val="-2"/>
          <w:w w:val="105"/>
          <w:sz w:val="24"/>
          <w:vertAlign w:val="baseline"/>
        </w:rPr>
        <w:t>t</w:t>
      </w:r>
      <w:r>
        <w:rPr>
          <w:rFonts w:ascii="Cambria" w:hAnsi="Cambria"/>
          <w:spacing w:val="-2"/>
          <w:w w:val="105"/>
          <w:sz w:val="24"/>
          <w:vertAlign w:val="subscript"/>
        </w:rPr>
        <w:t>e</w:t>
      </w:r>
      <w:r>
        <w:rPr>
          <w:rFonts w:ascii="Calibri" w:hAnsi="Calibri"/>
          <w:spacing w:val="-2"/>
          <w:w w:val="105"/>
          <w:sz w:val="24"/>
          <w:vertAlign w:val="baseline"/>
        </w:rPr>
        <w:t>)</w:t>
      </w:r>
      <w:r>
        <w:rPr>
          <w:rFonts w:ascii="Calibri" w:hAnsi="Calibri"/>
          <w:i/>
          <w:spacing w:val="-2"/>
          <w:w w:val="105"/>
          <w:sz w:val="24"/>
          <w:vertAlign w:val="baseline"/>
        </w:rPr>
        <w:t>.</w:t>
      </w:r>
      <w:r>
        <w:rPr>
          <w:rFonts w:ascii="Calibri" w:hAnsi="Calibri"/>
          <w:i/>
          <w:sz w:val="24"/>
          <w:vertAlign w:val="baseline"/>
        </w:rPr>
        <w:tab/>
      </w:r>
      <w:r>
        <w:rPr>
          <w:spacing w:val="-2"/>
          <w:w w:val="110"/>
          <w:sz w:val="24"/>
          <w:vertAlign w:val="baseline"/>
        </w:rPr>
        <w:t>(3.5)</w:t>
      </w:r>
    </w:p>
    <w:p>
      <w:pPr>
        <w:tabs>
          <w:tab w:pos="3888" w:val="left" w:leader="none"/>
        </w:tabs>
        <w:spacing w:before="0"/>
        <w:ind w:left="5" w:right="0" w:firstLine="0"/>
        <w:jc w:val="left"/>
        <w:rPr>
          <w:sz w:val="24"/>
        </w:rPr>
      </w:pPr>
      <w:r>
        <w:rPr>
          <w:i/>
        </w:rPr>
        <w:t>σ(Δte)입니다.</w:t>
        <w:tab/>
        <w:t>(3.5)</w:t>
      </w:r>
    </w:p>
    <w:p>
      <w:pPr>
        <w:spacing w:after="0"/>
        <w:jc w:val="left"/>
        <w:rPr>
          <w:sz w:val="24"/>
        </w:rPr>
        <w:sectPr>
          <w:type w:val="continuous"/>
          <w:pgSz w:w="11910" w:h="16840"/>
          <w:pgMar w:header="0" w:footer="2115" w:top="1920" w:bottom="280" w:left="992" w:right="708"/>
          <w:cols w:num="2" w:equalWidth="0">
            <w:col w:w="5269" w:space="40"/>
            <w:col w:w="4901"/>
          </w:cols>
        </w:sectPr>
      </w:pPr>
    </w:p>
    <w:p>
      <w:pPr>
        <w:pStyle w:val="BodyText"/>
        <w:spacing w:before="53"/>
      </w:pPr>
    </w:p>
    <w:p>
      <w:pPr>
        <w:pStyle w:val="BodyText"/>
        <w:spacing w:line="381" w:lineRule="auto" w:before="1"/>
        <w:ind w:left="273" w:right="564" w:firstLine="8"/>
      </w:pPr>
      <w:r>
        <w:rPr/>
        <w:t>Damping is again </w:t>
      </w:r>
      <w:r>
        <w:rPr>
          <w:rFonts w:ascii="Calibri" w:hAnsi="Calibri"/>
          <w:i/>
        </w:rPr>
        <w:t>d</w:t>
      </w:r>
      <w:r>
        <w:rPr>
          <w:rFonts w:ascii="Calibri" w:hAnsi="Calibri"/>
          <w:i/>
          <w:spacing w:val="23"/>
          <w:w w:val="125"/>
        </w:rPr>
        <w:t> </w:t>
      </w:r>
      <w:r>
        <w:rPr>
          <w:rFonts w:ascii="Calibri" w:hAnsi="Calibri"/>
          <w:w w:val="125"/>
        </w:rPr>
        <w:t>=</w:t>
      </w:r>
      <w:r>
        <w:rPr>
          <w:rFonts w:ascii="Calibri" w:hAnsi="Calibri"/>
          <w:spacing w:val="23"/>
          <w:w w:val="125"/>
        </w:rPr>
        <w:t> </w:t>
      </w:r>
      <w:r>
        <w:rPr>
          <w:rFonts w:ascii="Calibri" w:hAnsi="Calibri"/>
        </w:rPr>
        <w:t>0</w:t>
      </w:r>
      <w:r>
        <w:rPr>
          <w:rFonts w:ascii="Calibri" w:hAnsi="Calibri"/>
          <w:i/>
        </w:rPr>
        <w:t>.</w:t>
      </w:r>
      <w:r>
        <w:rPr>
          <w:rFonts w:ascii="Calibri" w:hAnsi="Calibri"/>
        </w:rPr>
        <w:t>85</w:t>
      </w:r>
      <w:r>
        <w:rPr/>
        <w:t>.</w:t>
      </w:r>
      <w:r>
        <w:rPr>
          <w:spacing w:val="40"/>
        </w:rPr>
        <w:t> </w:t>
      </w:r>
      <w:r>
        <w:rPr/>
        <w:t>Figure </w:t>
      </w:r>
      <w:hyperlink w:history="true" w:anchor="_bookmark62">
        <w:r>
          <w:rPr/>
          <w:t>3.2</w:t>
        </w:r>
      </w:hyperlink>
      <w:r>
        <w:rPr/>
        <w:t> plots </w:t>
      </w:r>
      <w:r>
        <w:rPr>
          <w:rFonts w:ascii="Calibri" w:hAnsi="Calibri"/>
          <w:i/>
        </w:rPr>
        <w:t>σ</w:t>
      </w:r>
      <w:r>
        <w:rPr>
          <w:rFonts w:ascii="Calibri" w:hAnsi="Calibri"/>
        </w:rPr>
        <w:t>(∆</w:t>
      </w:r>
      <w:r>
        <w:rPr>
          <w:rFonts w:ascii="Calibri" w:hAnsi="Calibri"/>
          <w:i/>
        </w:rPr>
        <w:t>t</w:t>
      </w:r>
      <w:r>
        <w:rPr>
          <w:rFonts w:ascii="Calibri" w:hAnsi="Calibri"/>
        </w:rPr>
        <w:t>)</w:t>
      </w:r>
      <w:r>
        <w:rPr>
          <w:rFonts w:ascii="Calibri" w:hAnsi="Calibri"/>
          <w:spacing w:val="18"/>
        </w:rPr>
        <w:t> </w:t>
      </w:r>
      <w:r>
        <w:rPr/>
        <w:t>over the relevant age range:</w:t>
      </w:r>
      <w:r>
        <w:rPr>
          <w:spacing w:val="40"/>
        </w:rPr>
        <w:t> </w:t>
      </w:r>
      <w:r>
        <w:rPr/>
        <w:t>recent transfers retain nearly full weight, while transfers older than the midpoint </w:t>
      </w:r>
      <w:r>
        <w:rPr>
          <w:rFonts w:ascii="Calibri" w:hAnsi="Calibri"/>
          <w:i/>
        </w:rPr>
        <w:t>t</w:t>
      </w:r>
      <w:r>
        <w:rPr>
          <w:rFonts w:ascii="Calibri" w:hAnsi="Calibri"/>
          <w:vertAlign w:val="subscript"/>
        </w:rPr>
        <w:t>0</w:t>
      </w:r>
      <w:r>
        <w:rPr>
          <w:rFonts w:ascii="Calibri" w:hAnsi="Calibri"/>
          <w:vertAlign w:val="baseline"/>
        </w:rPr>
        <w:t> </w:t>
      </w:r>
      <w:r>
        <w:rPr>
          <w:vertAlign w:val="baseline"/>
        </w:rPr>
        <w:t>are smoothly down-weighted. Algorithm </w:t>
      </w:r>
      <w:hyperlink w:history="true" w:anchor="_bookmark63">
        <w:r>
          <w:rPr>
            <w:vertAlign w:val="baseline"/>
          </w:rPr>
          <w:t>2</w:t>
        </w:r>
      </w:hyperlink>
      <w:r>
        <w:rPr>
          <w:vertAlign w:val="baseline"/>
        </w:rPr>
        <w:t> formalizes construction and scoring.</w:t>
      </w:r>
    </w:p>
    <w:p>
      <w:pPr>
        <w:pStyle w:val="BodyText"/>
        <w:spacing w:line="381" w:lineRule="auto" w:before="1"/>
        <w:ind w:left="273" w:right="564" w:firstLine="8"/>
      </w:pPr>
      <w:r>
        <w:rPr>
          <w:i/>
        </w:rPr>
        <w:t>감쇠는 다시 d = 0.85입니다. 그림 3.2는 관련 연령 범위에 대한 σ(Δt)를 나타냅니다. 최근 이적은 거의 전체 가중치를 유지하는 반면, 중간점 t0보다 오래된 이적은 부드럽게 가중치가 감소됩니다. 알고리즘 2는 구성과 채점을 공식화합니다.</w:t>
      </w:r>
    </w:p>
    <w:p>
      <w:pPr>
        <w:pStyle w:val="BodyText"/>
        <w:spacing w:line="391" w:lineRule="auto" w:before="26"/>
        <w:ind w:left="282" w:right="544"/>
        <w:jc w:val="both"/>
      </w:pPr>
      <w:r>
        <w:rPr/>
        <w:t>Because</w:t>
      </w:r>
      <w:r>
        <w:rPr>
          <w:spacing w:val="-1"/>
        </w:rPr>
        <w:t> </w:t>
      </w:r>
      <w:r>
        <w:rPr>
          <w:rFonts w:ascii="Calibri" w:hAnsi="Calibri"/>
          <w:i/>
        </w:rPr>
        <w:t>G</w:t>
      </w:r>
      <w:r>
        <w:rPr>
          <w:vertAlign w:val="subscript"/>
        </w:rPr>
        <w:t>approve</w:t>
      </w:r>
      <w:r>
        <w:rPr>
          <w:vertAlign w:val="baseline"/>
        </w:rPr>
        <w:t> records</w:t>
      </w:r>
      <w:r>
        <w:rPr>
          <w:spacing w:val="-1"/>
          <w:vertAlign w:val="baseline"/>
        </w:rPr>
        <w:t> </w:t>
      </w:r>
      <w:r>
        <w:rPr>
          <w:vertAlign w:val="baseline"/>
        </w:rPr>
        <w:t>durable authorizations and </w:t>
      </w:r>
      <w:r>
        <w:rPr>
          <w:rFonts w:ascii="Calibri" w:hAnsi="Calibri"/>
          <w:i/>
          <w:vertAlign w:val="baseline"/>
        </w:rPr>
        <w:t>G</w:t>
      </w:r>
      <w:r>
        <w:rPr>
          <w:vertAlign w:val="subscript"/>
        </w:rPr>
        <w:t>transfer</w:t>
      </w:r>
      <w:r>
        <w:rPr>
          <w:vertAlign w:val="baseline"/>
        </w:rPr>
        <w:t> records</w:t>
      </w:r>
      <w:r>
        <w:rPr>
          <w:spacing w:val="-1"/>
          <w:vertAlign w:val="baseline"/>
        </w:rPr>
        <w:t> </w:t>
      </w:r>
      <w:r>
        <w:rPr>
          <w:vertAlign w:val="baseline"/>
        </w:rPr>
        <w:t>historical value flows, the two graphs</w:t>
      </w:r>
      <w:r>
        <w:rPr>
          <w:spacing w:val="-6"/>
          <w:vertAlign w:val="baseline"/>
        </w:rPr>
        <w:t> </w:t>
      </w:r>
      <w:r>
        <w:rPr>
          <w:vertAlign w:val="baseline"/>
        </w:rPr>
        <w:t>differ</w:t>
      </w:r>
      <w:r>
        <w:rPr>
          <w:spacing w:val="-6"/>
          <w:vertAlign w:val="baseline"/>
        </w:rPr>
        <w:t> </w:t>
      </w:r>
      <w:r>
        <w:rPr>
          <w:vertAlign w:val="baseline"/>
        </w:rPr>
        <w:t>in</w:t>
      </w:r>
      <w:r>
        <w:rPr>
          <w:spacing w:val="-6"/>
          <w:vertAlign w:val="baseline"/>
        </w:rPr>
        <w:t> </w:t>
      </w:r>
      <w:r>
        <w:rPr>
          <w:vertAlign w:val="baseline"/>
        </w:rPr>
        <w:t>density</w:t>
      </w:r>
      <w:r>
        <w:rPr>
          <w:spacing w:val="-6"/>
          <w:vertAlign w:val="baseline"/>
        </w:rPr>
        <w:t> </w:t>
      </w:r>
      <w:r>
        <w:rPr>
          <w:vertAlign w:val="baseline"/>
        </w:rPr>
        <w:t>and</w:t>
      </w:r>
      <w:r>
        <w:rPr>
          <w:spacing w:val="-6"/>
          <w:vertAlign w:val="baseline"/>
        </w:rPr>
        <w:t> </w:t>
      </w:r>
      <w:r>
        <w:rPr>
          <w:vertAlign w:val="baseline"/>
        </w:rPr>
        <w:t>temporal</w:t>
      </w:r>
      <w:r>
        <w:rPr>
          <w:spacing w:val="-6"/>
          <w:vertAlign w:val="baseline"/>
        </w:rPr>
        <w:t> </w:t>
      </w:r>
      <w:r>
        <w:rPr>
          <w:vertAlign w:val="baseline"/>
        </w:rPr>
        <w:t>sensitivity.</w:t>
      </w:r>
      <w:r>
        <w:rPr>
          <w:spacing w:val="16"/>
          <w:vertAlign w:val="baseline"/>
        </w:rPr>
        <w:t> </w:t>
      </w:r>
      <w:r>
        <w:rPr>
          <w:vertAlign w:val="baseline"/>
        </w:rPr>
        <w:t>Approvals</w:t>
      </w:r>
      <w:r>
        <w:rPr>
          <w:spacing w:val="-6"/>
          <w:vertAlign w:val="baseline"/>
        </w:rPr>
        <w:t> </w:t>
      </w:r>
      <w:r>
        <w:rPr>
          <w:vertAlign w:val="baseline"/>
        </w:rPr>
        <w:t>are</w:t>
      </w:r>
      <w:r>
        <w:rPr>
          <w:spacing w:val="-6"/>
          <w:vertAlign w:val="baseline"/>
        </w:rPr>
        <w:t> </w:t>
      </w:r>
      <w:r>
        <w:rPr>
          <w:vertAlign w:val="baseline"/>
        </w:rPr>
        <w:t>relatively</w:t>
      </w:r>
      <w:r>
        <w:rPr>
          <w:spacing w:val="-6"/>
          <w:vertAlign w:val="baseline"/>
        </w:rPr>
        <w:t> </w:t>
      </w:r>
      <w:r>
        <w:rPr>
          <w:vertAlign w:val="baseline"/>
        </w:rPr>
        <w:t>rare,</w:t>
      </w:r>
      <w:r>
        <w:rPr>
          <w:spacing w:val="-5"/>
          <w:vertAlign w:val="baseline"/>
        </w:rPr>
        <w:t> </w:t>
      </w:r>
      <w:r>
        <w:rPr>
          <w:vertAlign w:val="baseline"/>
        </w:rPr>
        <w:t>high-intent</w:t>
      </w:r>
      <w:r>
        <w:rPr>
          <w:spacing w:val="-6"/>
          <w:vertAlign w:val="baseline"/>
        </w:rPr>
        <w:t> </w:t>
      </w:r>
      <w:r>
        <w:rPr>
          <w:vertAlign w:val="baseline"/>
        </w:rPr>
        <w:t>events; transfers are frequent and often mechanical.</w:t>
      </w:r>
      <w:r>
        <w:rPr>
          <w:spacing w:val="40"/>
          <w:vertAlign w:val="baseline"/>
        </w:rPr>
        <w:t> </w:t>
      </w:r>
      <w:r>
        <w:rPr>
          <w:vertAlign w:val="baseline"/>
        </w:rPr>
        <w:t>On the matched cohort, the approval subgraph is substantially sparser than the transfer subgraph (Chapter </w:t>
      </w:r>
      <w:hyperlink w:history="true" w:anchor="_bookmark84">
        <w:r>
          <w:rPr>
            <w:vertAlign w:val="baseline"/>
          </w:rPr>
          <w:t>4</w:t>
        </w:r>
      </w:hyperlink>
      <w:r>
        <w:rPr>
          <w:vertAlign w:val="baseline"/>
        </w:rPr>
        <w:t>),</w:t>
      </w:r>
      <w:r>
        <w:rPr>
          <w:spacing w:val="17"/>
          <w:vertAlign w:val="baseline"/>
        </w:rPr>
        <w:t> </w:t>
      </w:r>
      <w:r>
        <w:rPr>
          <w:vertAlign w:val="baseline"/>
        </w:rPr>
        <w:t>which is the structural basis for the</w:t>
      </w:r>
    </w:p>
    <w:p>
      <w:pPr>
        <w:pStyle w:val="BodyText"/>
        <w:spacing w:line="391" w:lineRule="auto" w:before="26"/>
        <w:ind w:left="282" w:right="544"/>
        <w:jc w:val="both"/>
      </w:pPr>
      <w:r>
        <w:rPr>
          <w:i/>
        </w:rPr>
        <w:t>Gapprove는 지속 가능한 인증을 기록하고 Gtransfer는 과거 가치 흐름을 기록하므로 두 그래프의 밀도와 시간적 민감도가 다릅니다. 승인은 상대적으로 드물고 의도가 높은 이벤트이며, 전송은 빈번하고 기계적인 경우가 많습니다. 일치하는 코호트에서 승인 하위 그래프는 전송 하위 그래프(4장)보다 상당히 희박합니다.</w:t>
      </w:r>
    </w:p>
    <w:p>
      <w:pPr>
        <w:pStyle w:val="BodyText"/>
        <w:spacing w:after="0" w:line="391" w:lineRule="auto"/>
        <w:jc w:val="both"/>
        <w:sectPr>
          <w:type w:val="continuous"/>
          <w:pgSz w:w="11910" w:h="16840"/>
          <w:pgMar w:header="0" w:footer="2115" w:top="1920" w:bottom="280" w:left="992" w:right="708"/>
        </w:sectPr>
      </w:pPr>
    </w:p>
    <w:p>
      <w:pPr>
        <w:pStyle w:val="BodyText"/>
        <w:rPr>
          <w:sz w:val="20"/>
        </w:rPr>
      </w:pPr>
    </w:p>
    <w:p>
      <w:pPr>
        <w:pStyle w:val="BodyText"/>
        <w:rPr>
          <w:sz w:val="20"/>
        </w:rPr>
      </w:pPr>
    </w:p>
    <w:p>
      <w:pPr>
        <w:pStyle w:val="BodyText"/>
        <w:spacing w:before="86"/>
        <w:rPr>
          <w:sz w:val="20"/>
        </w:rPr>
      </w:pPr>
    </w:p>
    <w:p>
      <w:pPr>
        <w:spacing w:before="0"/>
        <w:ind w:left="1700" w:right="0" w:firstLine="0"/>
        <w:jc w:val="left"/>
        <w:rPr>
          <w:rFonts w:ascii="Verdana"/>
          <w:sz w:val="22"/>
        </w:rPr>
      </w:pPr>
      <w:r>
        <w:rPr>
          <w:rFonts w:ascii="Verdana"/>
          <w:sz w:val="22"/>
        </w:rPr>
        <mc:AlternateContent>
          <mc:Choice Requires="wps">
            <w:drawing>
              <wp:anchor distT="0" distB="0" distL="0" distR="0" allowOverlap="1" layoutInCell="1" locked="0" behindDoc="0" simplePos="0" relativeHeight="15753728">
                <wp:simplePos x="0" y="0"/>
                <wp:positionH relativeFrom="page">
                  <wp:posOffset>1965441</wp:posOffset>
                </wp:positionH>
                <wp:positionV relativeFrom="paragraph">
                  <wp:posOffset>-30753</wp:posOffset>
                </wp:positionV>
                <wp:extent cx="4102100" cy="253936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102100" cy="2539365"/>
                          <a:chExt cx="4102100" cy="2539365"/>
                        </a:xfrm>
                      </wpg:grpSpPr>
                      <wps:wsp>
                        <wps:cNvPr id="156" name="Graphic 156"/>
                        <wps:cNvSpPr/>
                        <wps:spPr>
                          <a:xfrm>
                            <a:off x="230282"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57" name="Graphic 157"/>
                        <wps:cNvSpPr/>
                        <wps:spPr>
                          <a:xfrm>
                            <a:off x="230282"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58" name="Graphic 158"/>
                        <wps:cNvSpPr/>
                        <wps:spPr>
                          <a:xfrm>
                            <a:off x="230282"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59" name="Graphic 159"/>
                        <wps:cNvSpPr/>
                        <wps:spPr>
                          <a:xfrm>
                            <a:off x="690517"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0" name="Graphic 160"/>
                        <wps:cNvSpPr/>
                        <wps:spPr>
                          <a:xfrm>
                            <a:off x="690517"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1" name="Graphic 161"/>
                        <wps:cNvSpPr/>
                        <wps:spPr>
                          <a:xfrm>
                            <a:off x="690517"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2" name="Graphic 162"/>
                        <wps:cNvSpPr/>
                        <wps:spPr>
                          <a:xfrm>
                            <a:off x="115075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3" name="Graphic 163"/>
                        <wps:cNvSpPr/>
                        <wps:spPr>
                          <a:xfrm>
                            <a:off x="115075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4" name="Graphic 164"/>
                        <wps:cNvSpPr/>
                        <wps:spPr>
                          <a:xfrm>
                            <a:off x="115075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5" name="Graphic 165"/>
                        <wps:cNvSpPr/>
                        <wps:spPr>
                          <a:xfrm>
                            <a:off x="1610986"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6" name="Graphic 166"/>
                        <wps:cNvSpPr/>
                        <wps:spPr>
                          <a:xfrm>
                            <a:off x="1610986"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67" name="Graphic 167"/>
                        <wps:cNvSpPr/>
                        <wps:spPr>
                          <a:xfrm>
                            <a:off x="1610986"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68" name="Graphic 168"/>
                        <wps:cNvSpPr/>
                        <wps:spPr>
                          <a:xfrm>
                            <a:off x="207122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69" name="Graphic 169"/>
                        <wps:cNvSpPr/>
                        <wps:spPr>
                          <a:xfrm>
                            <a:off x="207122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0" name="Graphic 170"/>
                        <wps:cNvSpPr/>
                        <wps:spPr>
                          <a:xfrm>
                            <a:off x="207122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1" name="Graphic 171"/>
                        <wps:cNvSpPr/>
                        <wps:spPr>
                          <a:xfrm>
                            <a:off x="2531456"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2" name="Graphic 172"/>
                        <wps:cNvSpPr/>
                        <wps:spPr>
                          <a:xfrm>
                            <a:off x="2531456"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3" name="Graphic 173"/>
                        <wps:cNvSpPr/>
                        <wps:spPr>
                          <a:xfrm>
                            <a:off x="2531456"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4" name="Graphic 174"/>
                        <wps:cNvSpPr/>
                        <wps:spPr>
                          <a:xfrm>
                            <a:off x="2991691"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5" name="Graphic 175"/>
                        <wps:cNvSpPr/>
                        <wps:spPr>
                          <a:xfrm>
                            <a:off x="2991691"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6" name="Graphic 176"/>
                        <wps:cNvSpPr/>
                        <wps:spPr>
                          <a:xfrm>
                            <a:off x="2991691"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77" name="Graphic 177"/>
                        <wps:cNvSpPr/>
                        <wps:spPr>
                          <a:xfrm>
                            <a:off x="3451925"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78" name="Graphic 178"/>
                        <wps:cNvSpPr/>
                        <wps:spPr>
                          <a:xfrm>
                            <a:off x="3451925"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79" name="Graphic 179"/>
                        <wps:cNvSpPr/>
                        <wps:spPr>
                          <a:xfrm>
                            <a:off x="3451925"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80" name="Graphic 180"/>
                        <wps:cNvSpPr/>
                        <wps:spPr>
                          <a:xfrm>
                            <a:off x="3912160" y="5278"/>
                            <a:ext cx="1270" cy="2487930"/>
                          </a:xfrm>
                          <a:custGeom>
                            <a:avLst/>
                            <a:gdLst/>
                            <a:ahLst/>
                            <a:cxnLst/>
                            <a:rect l="l" t="t" r="r" b="b"/>
                            <a:pathLst>
                              <a:path w="0" h="2487930">
                                <a:moveTo>
                                  <a:pt x="0" y="2487524"/>
                                </a:moveTo>
                                <a:lnTo>
                                  <a:pt x="0" y="0"/>
                                </a:lnTo>
                              </a:path>
                            </a:pathLst>
                          </a:custGeom>
                          <a:ln w="10557">
                            <a:solidFill>
                              <a:srgbClr val="AFAFAF"/>
                            </a:solidFill>
                            <a:prstDash val="solid"/>
                          </a:ln>
                        </wps:spPr>
                        <wps:bodyPr wrap="square" lIns="0" tIns="0" rIns="0" bIns="0" rtlCol="0">
                          <a:prstTxWarp prst="textNoShape">
                            <a:avLst/>
                          </a:prstTxWarp>
                          <a:noAutofit/>
                        </wps:bodyPr>
                      </wps:wsp>
                      <wps:wsp>
                        <wps:cNvPr id="181" name="Graphic 181"/>
                        <wps:cNvSpPr/>
                        <wps:spPr>
                          <a:xfrm>
                            <a:off x="3912160" y="2492803"/>
                            <a:ext cx="1270" cy="46355"/>
                          </a:xfrm>
                          <a:custGeom>
                            <a:avLst/>
                            <a:gdLst/>
                            <a:ahLst/>
                            <a:cxnLst/>
                            <a:rect l="l" t="t" r="r" b="b"/>
                            <a:pathLst>
                              <a:path w="0" h="46355">
                                <a:moveTo>
                                  <a:pt x="0" y="0"/>
                                </a:moveTo>
                                <a:lnTo>
                                  <a:pt x="0" y="46188"/>
                                </a:lnTo>
                              </a:path>
                            </a:pathLst>
                          </a:custGeom>
                          <a:solidFill>
                            <a:srgbClr val="000000"/>
                          </a:solidFill>
                        </wps:spPr>
                        <wps:bodyPr wrap="square" lIns="0" tIns="0" rIns="0" bIns="0" rtlCol="0">
                          <a:prstTxWarp prst="textNoShape">
                            <a:avLst/>
                          </a:prstTxWarp>
                          <a:noAutofit/>
                        </wps:bodyPr>
                      </wps:wsp>
                      <wps:wsp>
                        <wps:cNvPr id="182" name="Graphic 182"/>
                        <wps:cNvSpPr/>
                        <wps:spPr>
                          <a:xfrm>
                            <a:off x="3912160" y="2492803"/>
                            <a:ext cx="1270" cy="46355"/>
                          </a:xfrm>
                          <a:custGeom>
                            <a:avLst/>
                            <a:gdLst/>
                            <a:ahLst/>
                            <a:cxnLst/>
                            <a:rect l="l" t="t" r="r" b="b"/>
                            <a:pathLst>
                              <a:path w="0" h="46355">
                                <a:moveTo>
                                  <a:pt x="0" y="0"/>
                                </a:moveTo>
                                <a:lnTo>
                                  <a:pt x="0" y="46188"/>
                                </a:lnTo>
                              </a:path>
                            </a:pathLst>
                          </a:custGeom>
                          <a:ln w="10557">
                            <a:solidFill>
                              <a:srgbClr val="000000"/>
                            </a:solidFill>
                            <a:prstDash val="solid"/>
                          </a:ln>
                        </wps:spPr>
                        <wps:bodyPr wrap="square" lIns="0" tIns="0" rIns="0" bIns="0" rtlCol="0">
                          <a:prstTxWarp prst="textNoShape">
                            <a:avLst/>
                          </a:prstTxWarp>
                          <a:noAutofit/>
                        </wps:bodyPr>
                      </wps:wsp>
                      <wps:wsp>
                        <wps:cNvPr id="183" name="Graphic 183"/>
                        <wps:cNvSpPr/>
                        <wps:spPr>
                          <a:xfrm>
                            <a:off x="46188" y="2446307"/>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4" name="Graphic 184"/>
                        <wps:cNvSpPr/>
                        <wps:spPr>
                          <a:xfrm>
                            <a:off x="0" y="2446307"/>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85" name="Graphic 185"/>
                        <wps:cNvSpPr/>
                        <wps:spPr>
                          <a:xfrm>
                            <a:off x="0" y="2446307"/>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6" name="Graphic 186"/>
                        <wps:cNvSpPr/>
                        <wps:spPr>
                          <a:xfrm>
                            <a:off x="46188" y="1981349"/>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87" name="Graphic 187"/>
                        <wps:cNvSpPr/>
                        <wps:spPr>
                          <a:xfrm>
                            <a:off x="0" y="1981349"/>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88" name="Graphic 188"/>
                        <wps:cNvSpPr/>
                        <wps:spPr>
                          <a:xfrm>
                            <a:off x="0" y="1981349"/>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89" name="Graphic 189"/>
                        <wps:cNvSpPr/>
                        <wps:spPr>
                          <a:xfrm>
                            <a:off x="46188" y="1516391"/>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0" name="Graphic 190"/>
                        <wps:cNvSpPr/>
                        <wps:spPr>
                          <a:xfrm>
                            <a:off x="0" y="1516391"/>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1" name="Graphic 191"/>
                        <wps:cNvSpPr/>
                        <wps:spPr>
                          <a:xfrm>
                            <a:off x="0" y="1516391"/>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2" name="Graphic 192"/>
                        <wps:cNvSpPr/>
                        <wps:spPr>
                          <a:xfrm>
                            <a:off x="46188" y="1051433"/>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3" name="Graphic 193"/>
                        <wps:cNvSpPr/>
                        <wps:spPr>
                          <a:xfrm>
                            <a:off x="0" y="1051433"/>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4" name="Graphic 194"/>
                        <wps:cNvSpPr/>
                        <wps:spPr>
                          <a:xfrm>
                            <a:off x="0" y="1051433"/>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5" name="Graphic 195"/>
                        <wps:cNvSpPr/>
                        <wps:spPr>
                          <a:xfrm>
                            <a:off x="46188" y="586475"/>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6" name="Graphic 196"/>
                        <wps:cNvSpPr/>
                        <wps:spPr>
                          <a:xfrm>
                            <a:off x="0" y="586475"/>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0" y="586475"/>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198" name="Graphic 198"/>
                        <wps:cNvSpPr/>
                        <wps:spPr>
                          <a:xfrm>
                            <a:off x="46188" y="121518"/>
                            <a:ext cx="4050665" cy="1270"/>
                          </a:xfrm>
                          <a:custGeom>
                            <a:avLst/>
                            <a:gdLst/>
                            <a:ahLst/>
                            <a:cxnLst/>
                            <a:rect l="l" t="t" r="r" b="b"/>
                            <a:pathLst>
                              <a:path w="4050665" h="0">
                                <a:moveTo>
                                  <a:pt x="0" y="0"/>
                                </a:moveTo>
                                <a:lnTo>
                                  <a:pt x="4050066" y="0"/>
                                </a:lnTo>
                              </a:path>
                            </a:pathLst>
                          </a:custGeom>
                          <a:ln w="10557">
                            <a:solidFill>
                              <a:srgbClr val="AFAFAF"/>
                            </a:solidFill>
                            <a:prstDash val="solid"/>
                          </a:ln>
                        </wps:spPr>
                        <wps:bodyPr wrap="square" lIns="0" tIns="0" rIns="0" bIns="0" rtlCol="0">
                          <a:prstTxWarp prst="textNoShape">
                            <a:avLst/>
                          </a:prstTxWarp>
                          <a:noAutofit/>
                        </wps:bodyPr>
                      </wps:wsp>
                      <wps:wsp>
                        <wps:cNvPr id="199" name="Graphic 199"/>
                        <wps:cNvSpPr/>
                        <wps:spPr>
                          <a:xfrm>
                            <a:off x="0" y="121518"/>
                            <a:ext cx="46355" cy="1270"/>
                          </a:xfrm>
                          <a:custGeom>
                            <a:avLst/>
                            <a:gdLst/>
                            <a:ahLst/>
                            <a:cxnLst/>
                            <a:rect l="l" t="t" r="r" b="b"/>
                            <a:pathLst>
                              <a:path w="46355" h="0">
                                <a:moveTo>
                                  <a:pt x="46188" y="0"/>
                                </a:moveTo>
                                <a:lnTo>
                                  <a:pt x="0" y="0"/>
                                </a:lnTo>
                              </a:path>
                            </a:pathLst>
                          </a:custGeom>
                          <a:solidFill>
                            <a:srgbClr val="000000"/>
                          </a:solidFill>
                        </wps:spPr>
                        <wps:bodyPr wrap="square" lIns="0" tIns="0" rIns="0" bIns="0" rtlCol="0">
                          <a:prstTxWarp prst="textNoShape">
                            <a:avLst/>
                          </a:prstTxWarp>
                          <a:noAutofit/>
                        </wps:bodyPr>
                      </wps:wsp>
                      <wps:wsp>
                        <wps:cNvPr id="200" name="Graphic 200"/>
                        <wps:cNvSpPr/>
                        <wps:spPr>
                          <a:xfrm>
                            <a:off x="0" y="121518"/>
                            <a:ext cx="46355" cy="1270"/>
                          </a:xfrm>
                          <a:custGeom>
                            <a:avLst/>
                            <a:gdLst/>
                            <a:ahLst/>
                            <a:cxnLst/>
                            <a:rect l="l" t="t" r="r" b="b"/>
                            <a:pathLst>
                              <a:path w="46355" h="0">
                                <a:moveTo>
                                  <a:pt x="46188" y="0"/>
                                </a:moveTo>
                                <a:lnTo>
                                  <a:pt x="0" y="0"/>
                                </a:lnTo>
                              </a:path>
                            </a:pathLst>
                          </a:custGeom>
                          <a:ln w="10557">
                            <a:solidFill>
                              <a:srgbClr val="000000"/>
                            </a:solidFill>
                            <a:prstDash val="solid"/>
                          </a:ln>
                        </wps:spPr>
                        <wps:bodyPr wrap="square" lIns="0" tIns="0" rIns="0" bIns="0" rtlCol="0">
                          <a:prstTxWarp prst="textNoShape">
                            <a:avLst/>
                          </a:prstTxWarp>
                          <a:noAutofit/>
                        </wps:bodyPr>
                      </wps:wsp>
                      <wps:wsp>
                        <wps:cNvPr id="201" name="Graphic 201"/>
                        <wps:cNvSpPr/>
                        <wps:spPr>
                          <a:xfrm>
                            <a:off x="230282" y="451291"/>
                            <a:ext cx="3682365" cy="1763395"/>
                          </a:xfrm>
                          <a:custGeom>
                            <a:avLst/>
                            <a:gdLst/>
                            <a:ahLst/>
                            <a:cxnLst/>
                            <a:rect l="l" t="t" r="r" b="b"/>
                            <a:pathLst>
                              <a:path w="3682365" h="1763395">
                                <a:moveTo>
                                  <a:pt x="0" y="0"/>
                                </a:moveTo>
                                <a:lnTo>
                                  <a:pt x="110733" y="35532"/>
                                </a:lnTo>
                                <a:lnTo>
                                  <a:pt x="221466" y="74118"/>
                                </a:lnTo>
                                <a:lnTo>
                                  <a:pt x="332199" y="115853"/>
                                </a:lnTo>
                                <a:lnTo>
                                  <a:pt x="442932" y="160799"/>
                                </a:lnTo>
                                <a:lnTo>
                                  <a:pt x="553665" y="208979"/>
                                </a:lnTo>
                                <a:lnTo>
                                  <a:pt x="664399" y="260368"/>
                                </a:lnTo>
                                <a:lnTo>
                                  <a:pt x="775132" y="314889"/>
                                </a:lnTo>
                                <a:lnTo>
                                  <a:pt x="895093" y="377332"/>
                                </a:lnTo>
                                <a:lnTo>
                                  <a:pt x="1015054" y="443041"/>
                                </a:lnTo>
                                <a:lnTo>
                                  <a:pt x="1144242" y="517069"/>
                                </a:lnTo>
                                <a:lnTo>
                                  <a:pt x="1291887" y="605153"/>
                                </a:lnTo>
                                <a:lnTo>
                                  <a:pt x="1467214" y="713307"/>
                                </a:lnTo>
                                <a:lnTo>
                                  <a:pt x="2094702" y="1103992"/>
                                </a:lnTo>
                                <a:lnTo>
                                  <a:pt x="2242346" y="1190334"/>
                                </a:lnTo>
                                <a:lnTo>
                                  <a:pt x="2371535" y="1262503"/>
                                </a:lnTo>
                                <a:lnTo>
                                  <a:pt x="2491496" y="1326262"/>
                                </a:lnTo>
                                <a:lnTo>
                                  <a:pt x="2611457" y="1386591"/>
                                </a:lnTo>
                                <a:lnTo>
                                  <a:pt x="2722190" y="1439062"/>
                                </a:lnTo>
                                <a:lnTo>
                                  <a:pt x="2832923" y="1488343"/>
                                </a:lnTo>
                                <a:lnTo>
                                  <a:pt x="2943657" y="1534394"/>
                                </a:lnTo>
                                <a:lnTo>
                                  <a:pt x="3054390" y="1577221"/>
                                </a:lnTo>
                                <a:lnTo>
                                  <a:pt x="3165123" y="1616874"/>
                                </a:lnTo>
                                <a:lnTo>
                                  <a:pt x="3275856" y="1653437"/>
                                </a:lnTo>
                                <a:lnTo>
                                  <a:pt x="3386589" y="1687024"/>
                                </a:lnTo>
                                <a:lnTo>
                                  <a:pt x="3506550" y="1720209"/>
                                </a:lnTo>
                                <a:lnTo>
                                  <a:pt x="3626511" y="1750253"/>
                                </a:lnTo>
                                <a:lnTo>
                                  <a:pt x="3681878" y="1763116"/>
                                </a:lnTo>
                              </a:path>
                            </a:pathLst>
                          </a:custGeom>
                          <a:ln w="26393">
                            <a:solidFill>
                              <a:srgbClr val="2B5E8A"/>
                            </a:solidFill>
                            <a:prstDash val="solid"/>
                          </a:ln>
                        </wps:spPr>
                        <wps:bodyPr wrap="square" lIns="0" tIns="0" rIns="0" bIns="0" rtlCol="0">
                          <a:prstTxWarp prst="textNoShape">
                            <a:avLst/>
                          </a:prstTxWarp>
                          <a:noAutofit/>
                        </wps:bodyPr>
                      </wps:wsp>
                      <wps:wsp>
                        <wps:cNvPr id="202" name="Graphic 202"/>
                        <wps:cNvSpPr/>
                        <wps:spPr>
                          <a:xfrm>
                            <a:off x="1887127" y="5278"/>
                            <a:ext cx="1270" cy="2487930"/>
                          </a:xfrm>
                          <a:custGeom>
                            <a:avLst/>
                            <a:gdLst/>
                            <a:ahLst/>
                            <a:cxnLst/>
                            <a:rect l="l" t="t" r="r" b="b"/>
                            <a:pathLst>
                              <a:path w="0" h="2487930">
                                <a:moveTo>
                                  <a:pt x="0" y="2487524"/>
                                </a:moveTo>
                                <a:lnTo>
                                  <a:pt x="0" y="0"/>
                                </a:lnTo>
                              </a:path>
                            </a:pathLst>
                          </a:custGeom>
                          <a:ln w="10557">
                            <a:solidFill>
                              <a:srgbClr val="7F7F7F"/>
                            </a:solidFill>
                            <a:prstDash val="sysDash"/>
                          </a:ln>
                        </wps:spPr>
                        <wps:bodyPr wrap="square" lIns="0" tIns="0" rIns="0" bIns="0" rtlCol="0">
                          <a:prstTxWarp prst="textNoShape">
                            <a:avLst/>
                          </a:prstTxWarp>
                          <a:noAutofit/>
                        </wps:bodyPr>
                      </wps:wsp>
                      <wps:wsp>
                        <wps:cNvPr id="203" name="Graphic 203"/>
                        <wps:cNvSpPr/>
                        <wps:spPr>
                          <a:xfrm>
                            <a:off x="46188" y="5278"/>
                            <a:ext cx="4050665" cy="2487930"/>
                          </a:xfrm>
                          <a:custGeom>
                            <a:avLst/>
                            <a:gdLst/>
                            <a:ahLst/>
                            <a:cxnLst/>
                            <a:rect l="l" t="t" r="r" b="b"/>
                            <a:pathLst>
                              <a:path w="4050665" h="2487930">
                                <a:moveTo>
                                  <a:pt x="0" y="2487524"/>
                                </a:moveTo>
                                <a:lnTo>
                                  <a:pt x="0" y="0"/>
                                </a:lnTo>
                              </a:path>
                              <a:path w="4050665" h="2487930">
                                <a:moveTo>
                                  <a:pt x="4050066" y="2487524"/>
                                </a:moveTo>
                                <a:lnTo>
                                  <a:pt x="4050066" y="0"/>
                                </a:lnTo>
                              </a:path>
                              <a:path w="4050665" h="2487930">
                                <a:moveTo>
                                  <a:pt x="0" y="2487524"/>
                                </a:moveTo>
                                <a:lnTo>
                                  <a:pt x="4050066" y="2487524"/>
                                </a:lnTo>
                              </a:path>
                              <a:path w="4050665" h="2487930">
                                <a:moveTo>
                                  <a:pt x="0" y="0"/>
                                </a:moveTo>
                                <a:lnTo>
                                  <a:pt x="4050066" y="0"/>
                                </a:lnTo>
                              </a:path>
                            </a:pathLst>
                          </a:custGeom>
                          <a:ln w="10557">
                            <a:solidFill>
                              <a:srgbClr val="000000"/>
                            </a:solidFill>
                            <a:prstDash val="solid"/>
                          </a:ln>
                        </wps:spPr>
                        <wps:bodyPr wrap="square" lIns="0" tIns="0" rIns="0" bIns="0" rtlCol="0">
                          <a:prstTxWarp prst="textNoShape">
                            <a:avLst/>
                          </a:prstTxWarp>
                          <a:noAutofit/>
                        </wps:bodyPr>
                      </wps:wsp>
                      <wps:wsp>
                        <wps:cNvPr id="204" name="Textbox 204"/>
                        <wps:cNvSpPr txBox="1"/>
                        <wps:spPr>
                          <a:xfrm>
                            <a:off x="1933151" y="1066319"/>
                            <a:ext cx="799465" cy="129539"/>
                          </a:xfrm>
                          <a:prstGeom prst="rect">
                            <a:avLst/>
                          </a:prstGeom>
                        </wps:spPr>
                        <wps:txbx>
                          <w:txbxContent>
                            <w:p>
                              <w:pPr>
                                <w:spacing w:line="204" w:lineRule="exact" w:before="0"/>
                                <w:ind w:left="0" w:right="0" w:firstLine="0"/>
                                <w:jc w:val="left"/>
                                <w:rPr>
                                  <w:rFonts w:ascii="Verdana"/>
                                  <w:sz w:val="20"/>
                                </w:rPr>
                              </w:pPr>
                              <w:r>
                                <w:rPr>
                                  <w:rFonts w:ascii="Trebuchet MS"/>
                                  <w:i/>
                                  <w:spacing w:val="-6"/>
                                  <w:sz w:val="19"/>
                                </w:rPr>
                                <w:t>t</w:t>
                              </w:r>
                              <w:r>
                                <w:rPr>
                                  <w:rFonts w:ascii="Lucida Sans Unicode"/>
                                  <w:spacing w:val="-6"/>
                                  <w:sz w:val="19"/>
                                  <w:vertAlign w:val="subscript"/>
                                </w:rPr>
                                <w:t>0</w:t>
                              </w:r>
                              <w:r>
                                <w:rPr>
                                  <w:rFonts w:ascii="Lucida Sans Unicode"/>
                                  <w:spacing w:val="-17"/>
                                  <w:sz w:val="19"/>
                                  <w:vertAlign w:val="baseline"/>
                                </w:rPr>
                                <w:t> </w:t>
                              </w:r>
                              <w:r>
                                <w:rPr>
                                  <w:rFonts w:ascii="Lucida Sans Unicode"/>
                                  <w:spacing w:val="-6"/>
                                  <w:sz w:val="20"/>
                                  <w:vertAlign w:val="baseline"/>
                                </w:rPr>
                                <w:t>=</w:t>
                              </w:r>
                              <w:r>
                                <w:rPr>
                                  <w:rFonts w:ascii="Lucida Sans Unicode"/>
                                  <w:spacing w:val="-19"/>
                                  <w:sz w:val="20"/>
                                  <w:vertAlign w:val="baseline"/>
                                </w:rPr>
                                <w:t> </w:t>
                              </w:r>
                              <w:r>
                                <w:rPr>
                                  <w:rFonts w:ascii="Lucida Sans Unicode"/>
                                  <w:spacing w:val="-6"/>
                                  <w:sz w:val="20"/>
                                  <w:vertAlign w:val="baseline"/>
                                </w:rPr>
                                <w:t>180</w:t>
                              </w:r>
                              <w:r>
                                <w:rPr>
                                  <w:rFonts w:ascii="Lucida Sans Unicode"/>
                                  <w:spacing w:val="-8"/>
                                  <w:sz w:val="20"/>
                                  <w:vertAlign w:val="baseline"/>
                                </w:rPr>
                                <w:t> </w:t>
                              </w:r>
                              <w:r>
                                <w:rPr>
                                  <w:rFonts w:ascii="Verdana"/>
                                  <w:spacing w:val="-6"/>
                                  <w:sz w:val="20"/>
                                  <w:vertAlign w:val="baseline"/>
                                </w:rPr>
                                <w:t>days</w:t>
                              </w:r>
                            </w:p>
                          </w:txbxContent>
                        </wps:txbx>
                        <wps:bodyPr wrap="square" lIns="0" tIns="0" rIns="0" bIns="0" rtlCol="0">
                          <a:noAutofit/>
                        </wps:bodyPr>
                      </wps:wsp>
                    </wpg:wgp>
                  </a:graphicData>
                </a:graphic>
              </wp:anchor>
            </w:drawing>
          </mc:Choice>
          <mc:Fallback>
            <w:pict>
              <v:group style="position:absolute;margin-left:154.759201pt;margin-top:-2.421558pt;width:323pt;height:199.95pt;mso-position-horizontal-relative:page;mso-position-vertical-relative:paragraph;z-index:15753728" id="docshapegroup120" coordorigin="3095,-48" coordsize="6460,3999">
                <v:line style="position:absolute" from="3458,3877" to="3458,-40" stroked="true" strokeweight=".831288pt" strokecolor="#afafaf">
                  <v:stroke dashstyle="solid"/>
                </v:line>
                <v:shape style="position:absolute;left:3457;top:3877;width:2;height:73" id="docshape121" coordorigin="3458,3877" coordsize="0,73" path="m3458,3877l3458,3950e" filled="true" fillcolor="#000000" stroked="false">
                  <v:path arrowok="t"/>
                  <v:fill type="solid"/>
                </v:shape>
                <v:line style="position:absolute" from="3458,3877" to="3458,3950" stroked="true" strokeweight=".831288pt" strokecolor="#000000">
                  <v:stroke dashstyle="solid"/>
                </v:line>
                <v:line style="position:absolute" from="4183,3877" to="4183,-40" stroked="true" strokeweight=".831288pt" strokecolor="#afafaf">
                  <v:stroke dashstyle="solid"/>
                </v:line>
                <v:shape style="position:absolute;left:4182;top:3877;width:2;height:73" id="docshape122" coordorigin="4183,3877" coordsize="0,73" path="m4183,3877l4183,3950e" filled="true" fillcolor="#000000" stroked="false">
                  <v:path arrowok="t"/>
                  <v:fill type="solid"/>
                </v:shape>
                <v:line style="position:absolute" from="4183,3877" to="4183,3950" stroked="true" strokeweight=".831288pt" strokecolor="#000000">
                  <v:stroke dashstyle="solid"/>
                </v:line>
                <v:line style="position:absolute" from="4907,3877" to="4907,-40" stroked="true" strokeweight=".831288pt" strokecolor="#afafaf">
                  <v:stroke dashstyle="solid"/>
                </v:line>
                <v:shape style="position:absolute;left:4907;top:3877;width:2;height:73" id="docshape123" coordorigin="4907,3877" coordsize="0,73" path="m4907,3877l4907,3950e" filled="true" fillcolor="#000000" stroked="false">
                  <v:path arrowok="t"/>
                  <v:fill type="solid"/>
                </v:shape>
                <v:line style="position:absolute" from="4907,3877" to="4907,3950" stroked="true" strokeweight=".831288pt" strokecolor="#000000">
                  <v:stroke dashstyle="solid"/>
                </v:line>
                <v:line style="position:absolute" from="5632,3877" to="5632,-40" stroked="true" strokeweight=".831288pt" strokecolor="#afafaf">
                  <v:stroke dashstyle="solid"/>
                </v:line>
                <v:shape style="position:absolute;left:5632;top:3877;width:2;height:73" id="docshape124" coordorigin="5632,3877" coordsize="0,73" path="m5632,3877l5632,3950e" filled="true" fillcolor="#000000" stroked="false">
                  <v:path arrowok="t"/>
                  <v:fill type="solid"/>
                </v:shape>
                <v:line style="position:absolute" from="5632,3877" to="5632,3950" stroked="true" strokeweight=".831288pt" strokecolor="#000000">
                  <v:stroke dashstyle="solid"/>
                </v:line>
                <v:line style="position:absolute" from="6357,3877" to="6357,-40" stroked="true" strokeweight=".831288pt" strokecolor="#afafaf">
                  <v:stroke dashstyle="solid"/>
                </v:line>
                <v:shape style="position:absolute;left:6356;top:3877;width:2;height:73" id="docshape125" coordorigin="6357,3877" coordsize="0,73" path="m6357,3877l6357,3950e" filled="true" fillcolor="#000000" stroked="false">
                  <v:path arrowok="t"/>
                  <v:fill type="solid"/>
                </v:shape>
                <v:line style="position:absolute" from="6357,3877" to="6357,3950" stroked="true" strokeweight=".831288pt" strokecolor="#000000">
                  <v:stroke dashstyle="solid"/>
                </v:line>
                <v:line style="position:absolute" from="7082,3877" to="7082,-40" stroked="true" strokeweight=".831288pt" strokecolor="#afafaf">
                  <v:stroke dashstyle="solid"/>
                </v:line>
                <v:shape style="position:absolute;left:7081;top:3877;width:2;height:73" id="docshape126" coordorigin="7082,3877" coordsize="0,73" path="m7082,3877l7082,3950e" filled="true" fillcolor="#000000" stroked="false">
                  <v:path arrowok="t"/>
                  <v:fill type="solid"/>
                </v:shape>
                <v:line style="position:absolute" from="7082,3877" to="7082,3950" stroked="true" strokeweight=".831288pt" strokecolor="#000000">
                  <v:stroke dashstyle="solid"/>
                </v:line>
                <v:line style="position:absolute" from="7807,3877" to="7807,-40" stroked="true" strokeweight=".831288pt" strokecolor="#afafaf">
                  <v:stroke dashstyle="solid"/>
                </v:line>
                <v:shape style="position:absolute;left:7806;top:3877;width:2;height:73" id="docshape127" coordorigin="7807,3877" coordsize="0,73" path="m7807,3877l7807,3950e" filled="true" fillcolor="#000000" stroked="false">
                  <v:path arrowok="t"/>
                  <v:fill type="solid"/>
                </v:shape>
                <v:line style="position:absolute" from="7807,3877" to="7807,3950" stroked="true" strokeweight=".831288pt" strokecolor="#000000">
                  <v:stroke dashstyle="solid"/>
                </v:line>
                <v:line style="position:absolute" from="8531,3877" to="8531,-40" stroked="true" strokeweight=".831288pt" strokecolor="#afafaf">
                  <v:stroke dashstyle="solid"/>
                </v:line>
                <v:shape style="position:absolute;left:8531;top:3877;width:2;height:73" id="docshape128" coordorigin="8531,3877" coordsize="0,73" path="m8531,3877l8531,3950e" filled="true" fillcolor="#000000" stroked="false">
                  <v:path arrowok="t"/>
                  <v:fill type="solid"/>
                </v:shape>
                <v:line style="position:absolute" from="8531,3877" to="8531,3950" stroked="true" strokeweight=".831288pt" strokecolor="#000000">
                  <v:stroke dashstyle="solid"/>
                </v:line>
                <v:line style="position:absolute" from="9256,3877" to="9256,-40" stroked="true" strokeweight=".831288pt" strokecolor="#afafaf">
                  <v:stroke dashstyle="solid"/>
                </v:line>
                <v:shape style="position:absolute;left:9256;top:3877;width:2;height:73" id="docshape129" coordorigin="9256,3877" coordsize="0,73" path="m9256,3877l9256,3950e" filled="true" fillcolor="#000000" stroked="false">
                  <v:path arrowok="t"/>
                  <v:fill type="solid"/>
                </v:shape>
                <v:line style="position:absolute" from="9256,3877" to="9256,3950" stroked="true" strokeweight=".831288pt" strokecolor="#000000">
                  <v:stroke dashstyle="solid"/>
                </v:line>
                <v:line style="position:absolute" from="3168,3804" to="9546,3804" stroked="true" strokeweight=".831288pt" strokecolor="#afafaf">
                  <v:stroke dashstyle="solid"/>
                </v:line>
                <v:shape style="position:absolute;left:3095;top:3804;width:73;height:2" id="docshape130" coordorigin="3095,3804" coordsize="73,0" path="m3168,3804l3095,3804e" filled="true" fillcolor="#000000" stroked="false">
                  <v:path arrowok="t"/>
                  <v:fill type="solid"/>
                </v:shape>
                <v:line style="position:absolute" from="3168,3804" to="3095,3804" stroked="true" strokeweight=".831288pt" strokecolor="#000000">
                  <v:stroke dashstyle="solid"/>
                </v:line>
                <v:line style="position:absolute" from="3168,3072" to="9546,3072" stroked="true" strokeweight=".831288pt" strokecolor="#afafaf">
                  <v:stroke dashstyle="solid"/>
                </v:line>
                <v:shape style="position:absolute;left:3095;top:3071;width:73;height:2" id="docshape131" coordorigin="3095,3072" coordsize="73,0" path="m3168,3072l3095,3072e" filled="true" fillcolor="#000000" stroked="false">
                  <v:path arrowok="t"/>
                  <v:fill type="solid"/>
                </v:shape>
                <v:line style="position:absolute" from="3168,3072" to="3095,3072" stroked="true" strokeweight=".831288pt" strokecolor="#000000">
                  <v:stroke dashstyle="solid"/>
                </v:line>
                <v:line style="position:absolute" from="3168,2340" to="9546,2340" stroked="true" strokeweight=".831288pt" strokecolor="#afafaf">
                  <v:stroke dashstyle="solid"/>
                </v:line>
                <v:shape style="position:absolute;left:3095;top:2339;width:73;height:2" id="docshape132" coordorigin="3095,2340" coordsize="73,0" path="m3168,2340l3095,2340e" filled="true" fillcolor="#000000" stroked="false">
                  <v:path arrowok="t"/>
                  <v:fill type="solid"/>
                </v:shape>
                <v:line style="position:absolute" from="3168,2340" to="3095,2340" stroked="true" strokeweight=".831288pt" strokecolor="#000000">
                  <v:stroke dashstyle="solid"/>
                </v:line>
                <v:line style="position:absolute" from="3168,1607" to="9546,1607" stroked="true" strokeweight=".831288pt" strokecolor="#afafaf">
                  <v:stroke dashstyle="solid"/>
                </v:line>
                <v:shape style="position:absolute;left:3095;top:1607;width:73;height:2" id="docshape133" coordorigin="3095,1607" coordsize="73,0" path="m3168,1607l3095,1607e" filled="true" fillcolor="#000000" stroked="false">
                  <v:path arrowok="t"/>
                  <v:fill type="solid"/>
                </v:shape>
                <v:line style="position:absolute" from="3168,1607" to="3095,1607" stroked="true" strokeweight=".831288pt" strokecolor="#000000">
                  <v:stroke dashstyle="solid"/>
                </v:line>
                <v:line style="position:absolute" from="3168,875" to="9546,875" stroked="true" strokeweight=".831288pt" strokecolor="#afafaf">
                  <v:stroke dashstyle="solid"/>
                </v:line>
                <v:shape style="position:absolute;left:3095;top:875;width:73;height:2" id="docshape134" coordorigin="3095,875" coordsize="73,0" path="m3168,875l3095,875e" filled="true" fillcolor="#000000" stroked="false">
                  <v:path arrowok="t"/>
                  <v:fill type="solid"/>
                </v:shape>
                <v:line style="position:absolute" from="3168,875" to="3095,875" stroked="true" strokeweight=".831288pt" strokecolor="#000000">
                  <v:stroke dashstyle="solid"/>
                </v:line>
                <v:line style="position:absolute" from="3168,143" to="9546,143" stroked="true" strokeweight=".831288pt" strokecolor="#afafaf">
                  <v:stroke dashstyle="solid"/>
                </v:line>
                <v:shape style="position:absolute;left:3095;top:142;width:73;height:2" id="docshape135" coordorigin="3095,143" coordsize="73,0" path="m3168,143l3095,143e" filled="true" fillcolor="#000000" stroked="false">
                  <v:path arrowok="t"/>
                  <v:fill type="solid"/>
                </v:shape>
                <v:line style="position:absolute" from="3168,143" to="3095,143" stroked="true" strokeweight=".831288pt" strokecolor="#000000">
                  <v:stroke dashstyle="solid"/>
                </v:line>
                <v:shape style="position:absolute;left:3457;top:662;width:5799;height:2777" id="docshape136" coordorigin="3458,662" coordsize="5799,2777" path="m3458,662l3632,718,3807,779,3981,845,4155,915,4330,991,4504,1072,4679,1158,4867,1256,5056,1360,5260,1477,5492,1615,5768,1786,6757,2401,6989,2537,7193,2650,7381,2751,7570,2846,7745,2929,7919,3006,8094,3079,8268,3146,8442,3209,8617,3266,8791,3319,8980,3371,9169,3419,9256,3439e" filled="false" stroked="true" strokeweight="2.07822pt" strokecolor="#2b5e8a">
                  <v:path arrowok="t"/>
                  <v:stroke dashstyle="solid"/>
                </v:shape>
                <v:line style="position:absolute" from="6067,3877" to="6067,-40" stroked="true" strokeweight=".831288pt" strokecolor="#7f7f7f">
                  <v:stroke dashstyle="shortdash"/>
                </v:line>
                <v:shape style="position:absolute;left:3167;top:-41;width:6379;height:3918" id="docshape137" coordorigin="3168,-40" coordsize="6379,3918" path="m3168,3877l3168,-40m9546,3877l9546,-40m3168,3877l9546,3877m3168,-40l9546,-40e" filled="false" stroked="true" strokeweight=".831288pt" strokecolor="#000000">
                  <v:path arrowok="t"/>
                  <v:stroke dashstyle="solid"/>
                </v:shape>
                <v:shape style="position:absolute;left:6139;top:1630;width:1259;height:204" type="#_x0000_t202" id="docshape138" filled="false" stroked="false">
                  <v:textbox inset="0,0,0,0">
                    <w:txbxContent>
                      <w:p>
                        <w:pPr>
                          <w:spacing w:line="204" w:lineRule="exact" w:before="0"/>
                          <w:ind w:left="0" w:right="0" w:firstLine="0"/>
                          <w:jc w:val="left"/>
                          <w:rPr>
                            <w:rFonts w:ascii="Verdana"/>
                            <w:sz w:val="20"/>
                          </w:rPr>
                        </w:pPr>
                        <w:r>
                          <w:rPr>
                            <w:rFonts w:ascii="Trebuchet MS"/>
                            <w:i/>
                            <w:spacing w:val="-6"/>
                            <w:sz w:val="19"/>
                          </w:rPr>
                          <w:t>t</w:t>
                        </w:r>
                        <w:r>
                          <w:rPr>
                            <w:rFonts w:ascii="Lucida Sans Unicode"/>
                            <w:spacing w:val="-6"/>
                            <w:sz w:val="19"/>
                            <w:vertAlign w:val="subscript"/>
                          </w:rPr>
                          <w:t>0</w:t>
                        </w:r>
                        <w:r>
                          <w:rPr>
                            <w:rFonts w:ascii="Lucida Sans Unicode"/>
                            <w:spacing w:val="-17"/>
                            <w:sz w:val="19"/>
                            <w:vertAlign w:val="baseline"/>
                          </w:rPr>
                          <w:t> </w:t>
                        </w:r>
                        <w:r>
                          <w:rPr>
                            <w:rFonts w:ascii="Lucida Sans Unicode"/>
                            <w:spacing w:val="-6"/>
                            <w:sz w:val="20"/>
                            <w:vertAlign w:val="baseline"/>
                          </w:rPr>
                          <w:t>=</w:t>
                        </w:r>
                        <w:r>
                          <w:rPr>
                            <w:rFonts w:ascii="Lucida Sans Unicode"/>
                            <w:spacing w:val="-19"/>
                            <w:sz w:val="20"/>
                            <w:vertAlign w:val="baseline"/>
                          </w:rPr>
                          <w:t> </w:t>
                        </w:r>
                        <w:r>
                          <w:rPr>
                            <w:rFonts w:ascii="Lucida Sans Unicode"/>
                            <w:spacing w:val="-6"/>
                            <w:sz w:val="20"/>
                            <w:vertAlign w:val="baseline"/>
                          </w:rPr>
                          <w:t>180</w:t>
                        </w:r>
                        <w:r>
                          <w:rPr>
                            <w:rFonts w:ascii="Lucida Sans Unicode"/>
                            <w:spacing w:val="-8"/>
                            <w:sz w:val="20"/>
                            <w:vertAlign w:val="baseline"/>
                          </w:rPr>
                          <w:t> </w:t>
                        </w:r>
                        <w:r>
                          <w:rPr>
                            <w:rFonts w:ascii="Verdana"/>
                            <w:spacing w:val="-6"/>
                            <w:sz w:val="20"/>
                            <w:vertAlign w:val="baseline"/>
                          </w:rPr>
                          <w:t>days</w:t>
                        </w:r>
                      </w:p>
                    </w:txbxContent>
                  </v:textbox>
                  <w10:wrap type="none"/>
                </v:shape>
                <w10:wrap type="none"/>
              </v:group>
            </w:pict>
          </mc:Fallback>
        </mc:AlternateContent>
      </w:r>
      <w:bookmarkStart w:name="_bookmark62" w:id="111"/>
      <w:bookmarkEnd w:id="111"/>
      <w:r>
        <w:rPr/>
      </w:r>
      <w:r>
        <w:rPr>
          <w:rFonts w:ascii="Verdana"/>
          <w:w w:val="75"/>
          <w:sz w:val="22"/>
        </w:rPr>
        <w:t>1</w:t>
      </w:r>
      <w:r>
        <w:rPr>
          <w:rFonts w:ascii="Verdana"/>
          <w:spacing w:val="-33"/>
          <w:w w:val="75"/>
          <w:sz w:val="22"/>
        </w:rPr>
        <w:t> </w:t>
      </w:r>
      <w:r>
        <w:rPr>
          <w:rFonts w:ascii="Verdana"/>
          <w:spacing w:val="-5"/>
          <w:w w:val="85"/>
          <w:sz w:val="22"/>
        </w:rPr>
        <w:t>.0</w:t>
      </w:r>
    </w:p>
    <w:p>
      <w:pPr>
        <w:pStyle w:val="BodyText"/>
        <w:spacing w:before="222"/>
        <w:rPr>
          <w:rFonts w:ascii="Verdana"/>
          <w:sz w:val="20"/>
        </w:rPr>
      </w:pPr>
    </w:p>
    <w:p>
      <w:pPr>
        <w:spacing w:before="0"/>
        <w:ind w:left="1700" w:right="0" w:firstLine="0"/>
        <w:jc w:val="left"/>
        <w:rPr>
          <w:rFonts w:ascii="Verdana"/>
          <w:sz w:val="22"/>
        </w:rPr>
      </w:pPr>
      <w:r>
        <w:rPr>
          <w:rFonts w:ascii="Verdana"/>
          <w:sz w:val="22"/>
        </w:rPr>
        <mc:AlternateContent>
          <mc:Choice Requires="wps">
            <w:drawing>
              <wp:anchor distT="0" distB="0" distL="0" distR="0" allowOverlap="1" layoutInCell="1" locked="0" behindDoc="0" simplePos="0" relativeHeight="15754240">
                <wp:simplePos x="0" y="0"/>
                <wp:positionH relativeFrom="page">
                  <wp:posOffset>1474661</wp:posOffset>
                </wp:positionH>
                <wp:positionV relativeFrom="paragraph">
                  <wp:posOffset>48497</wp:posOffset>
                </wp:positionV>
                <wp:extent cx="168910" cy="142367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68910" cy="1423670"/>
                        </a:xfrm>
                        <a:prstGeom prst="rect">
                          <a:avLst/>
                        </a:prstGeom>
                      </wps:spPr>
                      <wps:txbx>
                        <w:txbxContent>
                          <w:p>
                            <w:pPr>
                              <w:spacing w:line="266" w:lineRule="exact" w:before="0"/>
                              <w:ind w:left="20" w:right="0" w:firstLine="0"/>
                              <w:jc w:val="left"/>
                              <w:rPr>
                                <w:rFonts w:ascii="Lucida Sans Unicode" w:hAnsi="Lucida Sans Unicode"/>
                                <w:sz w:val="24"/>
                              </w:rPr>
                            </w:pPr>
                            <w:r>
                              <w:rPr>
                                <w:rFonts w:ascii="Verdana" w:hAnsi="Verdana"/>
                                <w:spacing w:val="-10"/>
                                <w:sz w:val="25"/>
                              </w:rPr>
                              <w:t>Decay</w:t>
                            </w:r>
                            <w:r>
                              <w:rPr>
                                <w:rFonts w:ascii="Verdana" w:hAnsi="Verdana"/>
                                <w:spacing w:val="-22"/>
                                <w:sz w:val="25"/>
                              </w:rPr>
                              <w:t> </w:t>
                            </w:r>
                            <w:r>
                              <w:rPr>
                                <w:rFonts w:ascii="Verdana" w:hAnsi="Verdana"/>
                                <w:spacing w:val="-10"/>
                                <w:sz w:val="25"/>
                              </w:rPr>
                              <w:t>weight</w:t>
                            </w:r>
                            <w:r>
                              <w:rPr>
                                <w:rFonts w:ascii="Verdana" w:hAnsi="Verdana"/>
                                <w:spacing w:val="-15"/>
                                <w:sz w:val="25"/>
                              </w:rPr>
                              <w:t> </w:t>
                            </w:r>
                            <w:r>
                              <w:rPr>
                                <w:rFonts w:ascii="Trebuchet MS" w:hAnsi="Trebuchet MS"/>
                                <w:i/>
                                <w:spacing w:val="-10"/>
                                <w:sz w:val="18"/>
                              </w:rPr>
                              <w:t>σ</w:t>
                            </w:r>
                            <w:r>
                              <w:rPr>
                                <w:rFonts w:ascii="Lucida Sans Unicode" w:hAnsi="Lucida Sans Unicode"/>
                                <w:spacing w:val="-10"/>
                                <w:sz w:val="24"/>
                              </w:rPr>
                              <w:t>(</w:t>
                            </w:r>
                            <w:r>
                              <w:rPr>
                                <w:rFonts w:ascii="Lucida Sans Unicode" w:hAnsi="Lucida Sans Unicode"/>
                                <w:spacing w:val="-10"/>
                                <w:sz w:val="22"/>
                              </w:rPr>
                              <w:t>Δ</w:t>
                            </w:r>
                            <w:r>
                              <w:rPr>
                                <w:rFonts w:ascii="Trebuchet MS" w:hAnsi="Trebuchet MS"/>
                                <w:i/>
                                <w:spacing w:val="-10"/>
                                <w:sz w:val="23"/>
                              </w:rPr>
                              <w:t>t</w:t>
                            </w:r>
                            <w:r>
                              <w:rPr>
                                <w:rFonts w:ascii="Lucida Sans Unicode" w:hAnsi="Lucida Sans Unicode"/>
                                <w:spacing w:val="-10"/>
                                <w:sz w:val="24"/>
                              </w:rPr>
                              <w:t>)</w:t>
                            </w:r>
                          </w:p>
                        </w:txbxContent>
                      </wps:txbx>
                      <wps:bodyPr wrap="square" lIns="0" tIns="0" rIns="0" bIns="0" rtlCol="0" vert="vert270">
                        <a:noAutofit/>
                      </wps:bodyPr>
                    </wps:wsp>
                  </a:graphicData>
                </a:graphic>
              </wp:anchor>
            </w:drawing>
          </mc:Choice>
          <mc:Fallback>
            <w:pict>
              <v:shape style="position:absolute;margin-left:116.115097pt;margin-top:3.818729pt;width:13.3pt;height:112.1pt;mso-position-horizontal-relative:page;mso-position-vertical-relative:paragraph;z-index:15754240" type="#_x0000_t202" id="docshape139" filled="false" stroked="false">
                <v:textbox inset="0,0,0,0" style="layout-flow:vertical;mso-layout-flow-alt:bottom-to-top">
                  <w:txbxContent>
                    <w:p>
                      <w:pPr>
                        <w:spacing w:line="266" w:lineRule="exact" w:before="0"/>
                        <w:ind w:left="20" w:right="0" w:firstLine="0"/>
                        <w:jc w:val="left"/>
                        <w:rPr>
                          <w:rFonts w:ascii="Lucida Sans Unicode" w:hAnsi="Lucida Sans Unicode"/>
                          <w:sz w:val="24"/>
                        </w:rPr>
                      </w:pPr>
                      <w:r>
                        <w:rPr>
                          <w:rFonts w:ascii="Verdana" w:hAnsi="Verdana"/>
                          <w:spacing w:val="-10"/>
                          <w:sz w:val="25"/>
                        </w:rPr>
                        <w:t>Decay</w:t>
                      </w:r>
                      <w:r>
                        <w:rPr>
                          <w:rFonts w:ascii="Verdana" w:hAnsi="Verdana"/>
                          <w:spacing w:val="-22"/>
                          <w:sz w:val="25"/>
                        </w:rPr>
                        <w:t> </w:t>
                      </w:r>
                      <w:r>
                        <w:rPr>
                          <w:rFonts w:ascii="Verdana" w:hAnsi="Verdana"/>
                          <w:spacing w:val="-10"/>
                          <w:sz w:val="25"/>
                        </w:rPr>
                        <w:t>weight</w:t>
                      </w:r>
                      <w:r>
                        <w:rPr>
                          <w:rFonts w:ascii="Verdana" w:hAnsi="Verdana"/>
                          <w:spacing w:val="-15"/>
                          <w:sz w:val="25"/>
                        </w:rPr>
                        <w:t> </w:t>
                      </w:r>
                      <w:r>
                        <w:rPr>
                          <w:rFonts w:ascii="Trebuchet MS" w:hAnsi="Trebuchet MS"/>
                          <w:i/>
                          <w:spacing w:val="-10"/>
                          <w:sz w:val="18"/>
                        </w:rPr>
                        <w:t>σ</w:t>
                      </w:r>
                      <w:r>
                        <w:rPr>
                          <w:rFonts w:ascii="Lucida Sans Unicode" w:hAnsi="Lucida Sans Unicode"/>
                          <w:spacing w:val="-10"/>
                          <w:sz w:val="24"/>
                        </w:rPr>
                        <w:t>(</w:t>
                      </w:r>
                      <w:r>
                        <w:rPr>
                          <w:rFonts w:ascii="Lucida Sans Unicode" w:hAnsi="Lucida Sans Unicode"/>
                          <w:spacing w:val="-10"/>
                          <w:sz w:val="22"/>
                        </w:rPr>
                        <w:t>Δ</w:t>
                      </w:r>
                      <w:r>
                        <w:rPr>
                          <w:rFonts w:ascii="Trebuchet MS" w:hAnsi="Trebuchet MS"/>
                          <w:i/>
                          <w:spacing w:val="-10"/>
                          <w:sz w:val="23"/>
                        </w:rPr>
                        <w:t>t</w:t>
                      </w:r>
                      <w:r>
                        <w:rPr>
                          <w:rFonts w:ascii="Lucida Sans Unicode" w:hAnsi="Lucida Sans Unicode"/>
                          <w:spacing w:val="-10"/>
                          <w:sz w:val="24"/>
                        </w:rPr>
                        <w:t>)</w:t>
                      </w:r>
                    </w:p>
                  </w:txbxContent>
                </v:textbox>
                <w10:wrap type="none"/>
              </v:shape>
            </w:pict>
          </mc:Fallback>
        </mc:AlternateContent>
      </w:r>
      <w:r>
        <w:rPr>
          <w:rFonts w:ascii="Verdana"/>
          <w:spacing w:val="-5"/>
          <w:w w:val="90"/>
          <w:sz w:val="22"/>
        </w:rPr>
        <w:t>0.8</w:t>
      </w:r>
    </w:p>
    <w:p>
      <w:pPr>
        <w:pStyle w:val="BodyText"/>
        <w:spacing w:before="222"/>
        <w:rPr>
          <w:rFonts w:ascii="Verdana"/>
          <w:sz w:val="20"/>
        </w:rPr>
      </w:pPr>
    </w:p>
    <w:p>
      <w:pPr>
        <w:spacing w:before="0"/>
        <w:ind w:left="1700" w:right="0" w:firstLine="0"/>
        <w:jc w:val="left"/>
        <w:rPr>
          <w:rFonts w:ascii="Verdana"/>
          <w:sz w:val="22"/>
        </w:rPr>
      </w:pPr>
      <w:r>
        <w:rPr>
          <w:rFonts w:ascii="Verdana"/>
          <w:spacing w:val="-5"/>
          <w:w w:val="90"/>
          <w:sz w:val="22"/>
        </w:rPr>
        <w:t>0.6</w:t>
      </w:r>
    </w:p>
    <w:p>
      <w:pPr>
        <w:pStyle w:val="BodyText"/>
        <w:spacing w:before="222"/>
        <w:rPr>
          <w:rFonts w:ascii="Verdana"/>
          <w:sz w:val="20"/>
        </w:rPr>
      </w:pPr>
    </w:p>
    <w:p>
      <w:pPr>
        <w:spacing w:before="0"/>
        <w:ind w:left="1700" w:right="0" w:firstLine="0"/>
        <w:jc w:val="left"/>
        <w:rPr>
          <w:rFonts w:ascii="Verdana"/>
          <w:sz w:val="22"/>
        </w:rPr>
      </w:pPr>
      <w:r>
        <w:rPr>
          <w:rFonts w:ascii="Verdana"/>
          <w:spacing w:val="-5"/>
          <w:w w:val="95"/>
          <w:sz w:val="22"/>
        </w:rPr>
        <w:t>0.4</w:t>
      </w:r>
    </w:p>
    <w:p>
      <w:pPr>
        <w:pStyle w:val="BodyText"/>
        <w:spacing w:before="221"/>
        <w:rPr>
          <w:rFonts w:ascii="Verdana"/>
          <w:sz w:val="20"/>
        </w:rPr>
      </w:pPr>
    </w:p>
    <w:p>
      <w:pPr>
        <w:spacing w:before="1"/>
        <w:ind w:left="1700" w:right="0" w:firstLine="0"/>
        <w:jc w:val="left"/>
        <w:rPr>
          <w:rFonts w:ascii="Verdana"/>
          <w:sz w:val="22"/>
        </w:rPr>
      </w:pPr>
      <w:r>
        <w:rPr>
          <w:rFonts w:ascii="Verdana"/>
          <w:spacing w:val="-5"/>
          <w:w w:val="90"/>
          <w:sz w:val="22"/>
        </w:rPr>
        <w:t>0.2</w:t>
      </w:r>
    </w:p>
    <w:p>
      <w:pPr>
        <w:pStyle w:val="BodyText"/>
        <w:spacing w:before="221"/>
        <w:rPr>
          <w:rFonts w:ascii="Verdana"/>
          <w:sz w:val="20"/>
        </w:rPr>
      </w:pPr>
    </w:p>
    <w:p>
      <w:pPr>
        <w:spacing w:before="0"/>
        <w:ind w:left="1700" w:right="0" w:firstLine="0"/>
        <w:jc w:val="left"/>
        <w:rPr>
          <w:rFonts w:ascii="Verdana"/>
          <w:sz w:val="22"/>
        </w:rPr>
      </w:pPr>
      <w:r>
        <w:rPr>
          <w:rFonts w:ascii="Verdana"/>
          <w:spacing w:val="-5"/>
          <w:w w:val="90"/>
          <w:sz w:val="22"/>
        </w:rPr>
        <w:t>0.0</w:t>
      </w:r>
    </w:p>
    <w:p>
      <w:pPr>
        <w:tabs>
          <w:tab w:pos="3058" w:val="left" w:leader="none"/>
          <w:tab w:pos="3717" w:val="left" w:leader="none"/>
          <w:tab w:pos="4441" w:val="left" w:leader="none"/>
          <w:tab w:pos="5166" w:val="left" w:leader="none"/>
          <w:tab w:pos="5891" w:val="left" w:leader="none"/>
          <w:tab w:pos="6616" w:val="left" w:leader="none"/>
          <w:tab w:pos="7340" w:val="left" w:leader="none"/>
          <w:tab w:pos="8065" w:val="left" w:leader="none"/>
        </w:tabs>
        <w:spacing w:before="31"/>
        <w:ind w:left="2399" w:right="0" w:firstLine="0"/>
        <w:jc w:val="left"/>
        <w:rPr>
          <w:rFonts w:ascii="Verdana"/>
          <w:sz w:val="22"/>
        </w:rPr>
      </w:pPr>
      <w:r>
        <w:rPr>
          <w:rFonts w:ascii="Verdana"/>
          <w:spacing w:val="-10"/>
          <w:sz w:val="22"/>
        </w:rPr>
        <w:t>0</w:t>
      </w:r>
      <w:r>
        <w:rPr>
          <w:rFonts w:ascii="Verdana"/>
          <w:sz w:val="22"/>
        </w:rPr>
        <w:tab/>
      </w:r>
      <w:r>
        <w:rPr>
          <w:rFonts w:ascii="Verdana"/>
          <w:spacing w:val="-5"/>
          <w:sz w:val="22"/>
        </w:rPr>
        <w:t>50</w:t>
      </w:r>
      <w:r>
        <w:rPr>
          <w:rFonts w:ascii="Verdana"/>
          <w:sz w:val="22"/>
        </w:rPr>
        <w:tab/>
      </w:r>
      <w:r>
        <w:rPr>
          <w:rFonts w:ascii="Verdana"/>
          <w:spacing w:val="-5"/>
          <w:sz w:val="22"/>
        </w:rPr>
        <w:t>100</w:t>
      </w:r>
      <w:r>
        <w:rPr>
          <w:rFonts w:ascii="Verdana"/>
          <w:sz w:val="22"/>
        </w:rPr>
        <w:tab/>
      </w:r>
      <w:r>
        <w:rPr>
          <w:rFonts w:ascii="Verdana"/>
          <w:spacing w:val="-5"/>
          <w:sz w:val="22"/>
        </w:rPr>
        <w:t>150</w:t>
      </w:r>
      <w:r>
        <w:rPr>
          <w:rFonts w:ascii="Verdana"/>
          <w:sz w:val="22"/>
        </w:rPr>
        <w:tab/>
      </w:r>
      <w:r>
        <w:rPr>
          <w:rFonts w:ascii="Verdana"/>
          <w:spacing w:val="-5"/>
          <w:sz w:val="22"/>
        </w:rPr>
        <w:t>200</w:t>
      </w:r>
      <w:r>
        <w:rPr>
          <w:rFonts w:ascii="Verdana"/>
          <w:sz w:val="22"/>
        </w:rPr>
        <w:tab/>
      </w:r>
      <w:r>
        <w:rPr>
          <w:rFonts w:ascii="Verdana"/>
          <w:spacing w:val="-5"/>
          <w:sz w:val="22"/>
        </w:rPr>
        <w:t>250</w:t>
      </w:r>
      <w:r>
        <w:rPr>
          <w:rFonts w:ascii="Verdana"/>
          <w:sz w:val="22"/>
        </w:rPr>
        <w:tab/>
      </w:r>
      <w:r>
        <w:rPr>
          <w:rFonts w:ascii="Verdana"/>
          <w:spacing w:val="-5"/>
          <w:sz w:val="22"/>
        </w:rPr>
        <w:t>300</w:t>
      </w:r>
      <w:r>
        <w:rPr>
          <w:rFonts w:ascii="Verdana"/>
          <w:sz w:val="22"/>
        </w:rPr>
        <w:tab/>
      </w:r>
      <w:r>
        <w:rPr>
          <w:rFonts w:ascii="Verdana"/>
          <w:spacing w:val="-5"/>
          <w:sz w:val="22"/>
        </w:rPr>
        <w:t>350</w:t>
      </w:r>
      <w:r>
        <w:rPr>
          <w:rFonts w:ascii="Verdana"/>
          <w:sz w:val="22"/>
        </w:rPr>
        <w:tab/>
      </w:r>
      <w:r>
        <w:rPr>
          <w:rFonts w:ascii="Verdana"/>
          <w:spacing w:val="-5"/>
          <w:sz w:val="22"/>
        </w:rPr>
        <w:t>400</w:t>
      </w:r>
    </w:p>
    <w:p>
      <w:pPr>
        <w:spacing w:before="9"/>
        <w:ind w:left="4585" w:right="0" w:firstLine="0"/>
        <w:jc w:val="left"/>
        <w:rPr>
          <w:rFonts w:ascii="Verdana" w:hAnsi="Verdana"/>
          <w:sz w:val="25"/>
        </w:rPr>
      </w:pPr>
      <w:r>
        <w:rPr>
          <w:rFonts w:ascii="Verdana" w:hAnsi="Verdana"/>
          <w:spacing w:val="-6"/>
          <w:sz w:val="25"/>
        </w:rPr>
        <w:t>Age</w:t>
      </w:r>
      <w:r>
        <w:rPr>
          <w:rFonts w:ascii="Verdana" w:hAnsi="Verdana"/>
          <w:spacing w:val="-14"/>
          <w:sz w:val="25"/>
        </w:rPr>
        <w:t> </w:t>
      </w:r>
      <w:r>
        <w:rPr>
          <w:rFonts w:ascii="Lucida Sans Unicode" w:hAnsi="Lucida Sans Unicode"/>
          <w:spacing w:val="-6"/>
          <w:sz w:val="22"/>
        </w:rPr>
        <w:t>Δ</w:t>
      </w:r>
      <w:r>
        <w:rPr>
          <w:rFonts w:ascii="Trebuchet MS" w:hAnsi="Trebuchet MS"/>
          <w:i/>
          <w:spacing w:val="-6"/>
          <w:sz w:val="23"/>
        </w:rPr>
        <w:t>t</w:t>
      </w:r>
      <w:r>
        <w:rPr>
          <w:rFonts w:ascii="Trebuchet MS" w:hAnsi="Trebuchet MS"/>
          <w:i/>
          <w:spacing w:val="-10"/>
          <w:sz w:val="23"/>
        </w:rPr>
        <w:t> </w:t>
      </w:r>
      <w:r>
        <w:rPr>
          <w:rFonts w:ascii="Verdana" w:hAnsi="Verdana"/>
          <w:spacing w:val="-6"/>
          <w:sz w:val="25"/>
        </w:rPr>
        <w:t>(days)</w:t>
      </w:r>
    </w:p>
    <w:p>
      <w:pPr>
        <w:spacing w:before="9"/>
        <w:ind w:left="4585" w:right="0" w:firstLine="0"/>
        <w:jc w:val="left"/>
        <w:rPr>
          <w:rFonts w:ascii="Verdana" w:hAnsi="Verdana"/>
          <w:sz w:val="25"/>
        </w:rPr>
      </w:pPr>
      <w:r>
        <w:rPr>
          <w:i/>
        </w:rPr>
        <w:t>연령 Δt(일)</w:t>
      </w:r>
    </w:p>
    <w:p>
      <w:pPr>
        <w:pStyle w:val="BodyText"/>
        <w:spacing w:before="9"/>
        <w:rPr>
          <w:rFonts w:ascii="Verdana"/>
        </w:rPr>
      </w:pPr>
    </w:p>
    <w:p>
      <w:pPr>
        <w:pStyle w:val="BodyText"/>
        <w:spacing w:line="244" w:lineRule="auto" w:before="1"/>
        <w:ind w:left="282" w:right="563"/>
        <w:jc w:val="both"/>
      </w:pPr>
      <w:r>
        <w:rPr>
          <w:w w:val="105"/>
        </w:rPr>
        <w:t>Figure</w:t>
      </w:r>
      <w:r>
        <w:rPr>
          <w:spacing w:val="-14"/>
          <w:w w:val="105"/>
        </w:rPr>
        <w:t> </w:t>
      </w:r>
      <w:r>
        <w:rPr>
          <w:w w:val="105"/>
        </w:rPr>
        <w:t>3.2:</w:t>
      </w:r>
      <w:r>
        <w:rPr>
          <w:w w:val="105"/>
        </w:rPr>
        <w:t> Logistic</w:t>
      </w:r>
      <w:r>
        <w:rPr>
          <w:spacing w:val="-14"/>
          <w:w w:val="105"/>
        </w:rPr>
        <w:t> </w:t>
      </w:r>
      <w:r>
        <w:rPr>
          <w:w w:val="105"/>
        </w:rPr>
        <w:t>time-decay</w:t>
      </w:r>
      <w:r>
        <w:rPr>
          <w:spacing w:val="-14"/>
          <w:w w:val="105"/>
        </w:rPr>
        <w:t> </w:t>
      </w:r>
      <w:r>
        <w:rPr>
          <w:rFonts w:ascii="Calibri" w:hAnsi="Calibri"/>
          <w:i/>
          <w:w w:val="105"/>
        </w:rPr>
        <w:t>σ</w:t>
      </w:r>
      <w:r>
        <w:rPr>
          <w:rFonts w:ascii="Calibri" w:hAnsi="Calibri"/>
          <w:w w:val="105"/>
        </w:rPr>
        <w:t>(∆</w:t>
      </w:r>
      <w:r>
        <w:rPr>
          <w:rFonts w:ascii="Calibri" w:hAnsi="Calibri"/>
          <w:i/>
          <w:w w:val="105"/>
        </w:rPr>
        <w:t>t</w:t>
      </w:r>
      <w:r>
        <w:rPr>
          <w:rFonts w:ascii="Calibri" w:hAnsi="Calibri"/>
          <w:w w:val="105"/>
        </w:rPr>
        <w:t>)</w:t>
      </w:r>
      <w:r>
        <w:rPr>
          <w:rFonts w:ascii="Calibri" w:hAnsi="Calibri"/>
          <w:spacing w:val="-8"/>
          <w:w w:val="105"/>
        </w:rPr>
        <w:t> </w:t>
      </w:r>
      <w:r>
        <w:rPr>
          <w:w w:val="105"/>
        </w:rPr>
        <w:t>used</w:t>
      </w:r>
      <w:r>
        <w:rPr>
          <w:spacing w:val="-14"/>
          <w:w w:val="105"/>
        </w:rPr>
        <w:t> </w:t>
      </w:r>
      <w:r>
        <w:rPr>
          <w:w w:val="105"/>
        </w:rPr>
        <w:t>by</w:t>
      </w:r>
      <w:r>
        <w:rPr>
          <w:spacing w:val="-14"/>
          <w:w w:val="105"/>
        </w:rPr>
        <w:t> </w:t>
      </w:r>
      <w:r>
        <w:rPr>
          <w:w w:val="105"/>
        </w:rPr>
        <w:t>AWP</w:t>
      </w:r>
      <w:r>
        <w:rPr>
          <w:spacing w:val="-14"/>
          <w:w w:val="105"/>
        </w:rPr>
        <w:t> </w:t>
      </w:r>
      <w:r>
        <w:rPr>
          <w:w w:val="105"/>
        </w:rPr>
        <w:t>(</w:t>
      </w:r>
      <w:r>
        <w:rPr>
          <w:rFonts w:ascii="Calibri" w:hAnsi="Calibri"/>
          <w:i/>
          <w:w w:val="105"/>
        </w:rPr>
        <w:t>k</w:t>
      </w:r>
      <w:r>
        <w:rPr>
          <w:rFonts w:ascii="Calibri" w:hAnsi="Calibri"/>
          <w:i/>
          <w:w w:val="105"/>
        </w:rPr>
        <w:t> </w:t>
      </w:r>
      <w:r>
        <w:rPr>
          <w:rFonts w:ascii="Calibri" w:hAnsi="Calibri"/>
          <w:w w:val="125"/>
        </w:rPr>
        <w:t>=</w:t>
      </w:r>
      <w:r>
        <w:rPr>
          <w:rFonts w:ascii="Calibri" w:hAnsi="Calibri"/>
          <w:spacing w:val="-8"/>
          <w:w w:val="125"/>
        </w:rPr>
        <w:t> </w:t>
      </w:r>
      <w:r>
        <w:rPr>
          <w:rFonts w:ascii="Calibri" w:hAnsi="Calibri"/>
          <w:w w:val="105"/>
        </w:rPr>
        <w:t>0</w:t>
      </w:r>
      <w:r>
        <w:rPr>
          <w:rFonts w:ascii="Calibri" w:hAnsi="Calibri"/>
          <w:i/>
          <w:w w:val="105"/>
        </w:rPr>
        <w:t>.</w:t>
      </w:r>
      <w:r>
        <w:rPr>
          <w:rFonts w:ascii="Calibri" w:hAnsi="Calibri"/>
          <w:w w:val="105"/>
        </w:rPr>
        <w:t>01</w:t>
      </w:r>
      <w:r>
        <w:rPr>
          <w:w w:val="105"/>
        </w:rPr>
        <w:t>,</w:t>
      </w:r>
      <w:r>
        <w:rPr>
          <w:spacing w:val="-12"/>
          <w:w w:val="105"/>
        </w:rPr>
        <w:t> </w:t>
      </w:r>
      <w:r>
        <w:rPr>
          <w:rFonts w:ascii="Calibri" w:hAnsi="Calibri"/>
          <w:i/>
          <w:w w:val="105"/>
        </w:rPr>
        <w:t>t</w:t>
      </w:r>
      <w:r>
        <w:rPr>
          <w:rFonts w:ascii="Calibri" w:hAnsi="Calibri"/>
          <w:w w:val="105"/>
          <w:vertAlign w:val="subscript"/>
        </w:rPr>
        <w:t>0</w:t>
      </w:r>
      <w:r>
        <w:rPr>
          <w:rFonts w:ascii="Calibri" w:hAnsi="Calibri"/>
          <w:w w:val="10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w w:val="105"/>
          <w:vertAlign w:val="baseline"/>
        </w:rPr>
        <w:t>180</w:t>
      </w:r>
      <w:r>
        <w:rPr>
          <w:rFonts w:ascii="Calibri" w:hAnsi="Calibri"/>
          <w:spacing w:val="-7"/>
          <w:w w:val="105"/>
          <w:vertAlign w:val="baseline"/>
        </w:rPr>
        <w:t> </w:t>
      </w:r>
      <w:r>
        <w:rPr>
          <w:w w:val="105"/>
          <w:vertAlign w:val="baseline"/>
        </w:rPr>
        <w:t>days).</w:t>
      </w:r>
      <w:r>
        <w:rPr>
          <w:w w:val="105"/>
          <w:vertAlign w:val="baseline"/>
        </w:rPr>
        <w:t> Horizontal</w:t>
      </w:r>
      <w:r>
        <w:rPr>
          <w:spacing w:val="-14"/>
          <w:w w:val="105"/>
          <w:vertAlign w:val="baseline"/>
        </w:rPr>
        <w:t> </w:t>
      </w:r>
      <w:r>
        <w:rPr>
          <w:w w:val="105"/>
          <w:vertAlign w:val="baseline"/>
        </w:rPr>
        <w:t>axis </w:t>
      </w:r>
      <w:r>
        <w:rPr>
          <w:vertAlign w:val="baseline"/>
        </w:rPr>
        <w:t>is event age in days before 2026-05-31 UTC; vertical axis is the multiplicative weight applied to </w:t>
      </w:r>
      <w:r>
        <w:rPr>
          <w:w w:val="105"/>
          <w:vertAlign w:val="baseline"/>
        </w:rPr>
        <w:t>transfer value.</w:t>
      </w:r>
    </w:p>
    <w:p>
      <w:pPr>
        <w:pStyle w:val="BodyText"/>
        <w:spacing w:line="244" w:lineRule="auto" w:before="1"/>
        <w:ind w:left="282" w:right="563"/>
        <w:jc w:val="both"/>
      </w:pPr>
      <w:r>
        <w:rPr>
          <w:i/>
        </w:rPr>
        <w:t>그림 3.2: AWP(k = 0.01, t0 = 180일)에 사용되는 로지스틱 시간 감소 σ(Δt). 가로 축은 2026-05-31 UTC 이전 날짜의 이벤트 기간이고 세로 축은 전송 값에 적용되는 곱셈 가중치입니다.</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r>
        <w:rPr>
          <w:sz w:val="20"/>
        </w:rPr>
        <mc:AlternateContent>
          <mc:Choice Requires="wps">
            <w:drawing>
              <wp:anchor distT="0" distB="0" distL="0" distR="0" allowOverlap="1" layoutInCell="1" locked="0" behindDoc="1" simplePos="0" relativeHeight="487611392">
                <wp:simplePos x="0" y="0"/>
                <wp:positionH relativeFrom="page">
                  <wp:posOffset>809244</wp:posOffset>
                </wp:positionH>
                <wp:positionV relativeFrom="paragraph">
                  <wp:posOffset>194337</wp:posOffset>
                </wp:positionV>
                <wp:extent cx="5941695"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941695" cy="1270"/>
                        </a:xfrm>
                        <a:custGeom>
                          <a:avLst/>
                          <a:gdLst/>
                          <a:ahLst/>
                          <a:cxnLst/>
                          <a:rect l="l" t="t" r="r" b="b"/>
                          <a:pathLst>
                            <a:path w="5941695" h="0">
                              <a:moveTo>
                                <a:pt x="0" y="0"/>
                              </a:moveTo>
                              <a:lnTo>
                                <a:pt x="5941517"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5.302151pt;width:467.85pt;height:.1pt;mso-position-horizontal-relative:page;mso-position-vertical-relative:paragraph;z-index:-15705088;mso-wrap-distance-left:0;mso-wrap-distance-right:0" id="docshape140" coordorigin="1274,306" coordsize="9357,0" path="m1274,306l10631,306e" filled="false" stroked="true" strokeweight=".797pt" strokecolor="#000000">
                <v:path arrowok="t"/>
                <v:stroke dashstyle="solid"/>
                <w10:wrap type="topAndBottom"/>
              </v:shape>
            </w:pict>
          </mc:Fallback>
        </mc:AlternateContent>
      </w:r>
    </w:p>
    <w:p>
      <w:pPr>
        <w:spacing w:before="0" w:after="24"/>
        <w:ind w:left="273" w:right="0" w:firstLine="0"/>
        <w:jc w:val="left"/>
        <w:rPr>
          <w:sz w:val="24"/>
        </w:rPr>
      </w:pPr>
      <w:bookmarkStart w:name="_bookmark63" w:id="112"/>
      <w:bookmarkEnd w:id="112"/>
      <w:r>
        <w:rPr/>
      </w:r>
      <w:r>
        <w:rPr>
          <w:b/>
          <w:sz w:val="24"/>
        </w:rPr>
        <w:t>Algorithm</w:t>
      </w:r>
      <w:r>
        <w:rPr>
          <w:b/>
          <w:spacing w:val="-11"/>
          <w:sz w:val="24"/>
        </w:rPr>
        <w:t> </w:t>
      </w:r>
      <w:r>
        <w:rPr>
          <w:b/>
          <w:sz w:val="24"/>
        </w:rPr>
        <w:t>2</w:t>
      </w:r>
      <w:r>
        <w:rPr>
          <w:b/>
          <w:spacing w:val="-11"/>
          <w:sz w:val="24"/>
        </w:rPr>
        <w:t> </w:t>
      </w:r>
      <w:r>
        <w:rPr>
          <w:sz w:val="24"/>
        </w:rPr>
        <w:t>AWP</w:t>
      </w:r>
      <w:r>
        <w:rPr>
          <w:spacing w:val="-11"/>
          <w:sz w:val="24"/>
        </w:rPr>
        <w:t> </w:t>
      </w:r>
      <w:r>
        <w:rPr>
          <w:sz w:val="24"/>
        </w:rPr>
        <w:t>graph</w:t>
      </w:r>
      <w:r>
        <w:rPr>
          <w:spacing w:val="-11"/>
          <w:sz w:val="24"/>
        </w:rPr>
        <w:t> </w:t>
      </w:r>
      <w:r>
        <w:rPr>
          <w:sz w:val="24"/>
        </w:rPr>
        <w:t>construction</w:t>
      </w:r>
      <w:r>
        <w:rPr>
          <w:spacing w:val="-11"/>
          <w:sz w:val="24"/>
        </w:rPr>
        <w:t> </w:t>
      </w:r>
      <w:r>
        <w:rPr>
          <w:sz w:val="24"/>
        </w:rPr>
        <w:t>and</w:t>
      </w:r>
      <w:r>
        <w:rPr>
          <w:spacing w:val="-10"/>
          <w:sz w:val="24"/>
        </w:rPr>
        <w:t> </w:t>
      </w:r>
      <w:r>
        <w:rPr>
          <w:spacing w:val="-2"/>
          <w:sz w:val="24"/>
        </w:rPr>
        <w:t>scoring</w:t>
      </w:r>
    </w:p>
    <w:p>
      <w:pPr>
        <w:spacing w:before="0" w:after="24"/>
        <w:ind w:left="273" w:right="0" w:firstLine="0"/>
        <w:jc w:val="left"/>
        <w:rPr>
          <w:sz w:val="24"/>
        </w:rPr>
      </w:pPr>
      <w:r>
        <w:rPr>
          <w:i/>
        </w:rPr>
        <w:t>알고리즘 2 AWP 그래프 구성 및 채점</w:t>
      </w:r>
    </w:p>
    <w:p>
      <w:pPr>
        <w:spacing w:line="20" w:lineRule="exact"/>
        <w:ind w:left="282" w:right="0" w:firstLine="0"/>
        <w:rPr>
          <w:sz w:val="2"/>
        </w:rPr>
      </w:pPr>
      <w:r>
        <w:rPr>
          <w:sz w:val="2"/>
        </w:rPr>
        <mc:AlternateContent>
          <mc:Choice Requires="wps">
            <w:drawing>
              <wp:inline distT="0" distB="0" distL="0" distR="0">
                <wp:extent cx="5941695" cy="5080"/>
                <wp:effectExtent l="9525" t="0" r="1904" b="4445"/>
                <wp:docPr id="207" name="Group 207"/>
                <wp:cNvGraphicFramePr>
                  <a:graphicFrameLocks/>
                </wp:cNvGraphicFramePr>
                <a:graphic>
                  <a:graphicData uri="http://schemas.microsoft.com/office/word/2010/wordprocessingGroup">
                    <wpg:wgp>
                      <wpg:cNvPr id="207" name="Group 207"/>
                      <wpg:cNvGrpSpPr/>
                      <wpg:grpSpPr>
                        <a:xfrm>
                          <a:off x="0" y="0"/>
                          <a:ext cx="5941695" cy="5080"/>
                          <a:chExt cx="5941695" cy="5080"/>
                        </a:xfrm>
                      </wpg:grpSpPr>
                      <wps:wsp>
                        <wps:cNvPr id="208" name="Graphic 208"/>
                        <wps:cNvSpPr/>
                        <wps:spPr>
                          <a:xfrm>
                            <a:off x="0" y="253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85pt;height:.4pt;mso-position-horizontal-relative:char;mso-position-vertical-relative:line" id="docshapegroup141" coordorigin="0,0" coordsize="9357,8">
                <v:line style="position:absolute" from="0,4" to="9357,4" stroked="true" strokeweight=".3985pt" strokecolor="#000000">
                  <v:stroke dashstyle="solid"/>
                </v:line>
              </v:group>
            </w:pict>
          </mc:Fallback>
        </mc:AlternateContent>
      </w:r>
      <w:r>
        <w:rPr>
          <w:sz w:val="2"/>
        </w:rPr>
      </w:r>
    </w:p>
    <w:p>
      <w:pPr>
        <w:spacing w:line="303" w:lineRule="exact" w:before="0"/>
        <w:ind w:left="282" w:right="0" w:firstLine="0"/>
        <w:jc w:val="left"/>
        <w:rPr>
          <w:sz w:val="24"/>
        </w:rPr>
      </w:pPr>
      <w:r>
        <w:rPr>
          <w:b/>
          <w:sz w:val="24"/>
        </w:rPr>
        <w:t>Require:</w:t>
      </w:r>
      <w:r>
        <w:rPr>
          <w:b/>
          <w:spacing w:val="60"/>
          <w:sz w:val="24"/>
        </w:rPr>
        <w:t> </w:t>
      </w:r>
      <w:r>
        <w:rPr>
          <w:sz w:val="24"/>
        </w:rPr>
        <w:t>Transfers</w:t>
      </w:r>
      <w:r>
        <w:rPr>
          <w:spacing w:val="4"/>
          <w:sz w:val="24"/>
        </w:rPr>
        <w:t> </w:t>
      </w:r>
      <w:r>
        <w:rPr>
          <w:rFonts w:ascii="Lucida Sans Unicode" w:hAnsi="Lucida Sans Unicode"/>
          <w:sz w:val="24"/>
        </w:rPr>
        <w:t>f</w:t>
      </w:r>
      <w:r>
        <w:rPr>
          <w:rFonts w:ascii="Lucida Sans Unicode" w:hAnsi="Lucida Sans Unicode"/>
          <w:spacing w:val="-11"/>
          <w:sz w:val="24"/>
        </w:rPr>
        <w:t> </w:t>
      </w:r>
      <w:r>
        <w:rPr>
          <w:sz w:val="24"/>
        </w:rPr>
        <w:t>,</w:t>
      </w:r>
      <w:r>
        <w:rPr>
          <w:spacing w:val="3"/>
          <w:sz w:val="24"/>
        </w:rPr>
        <w:t> </w:t>
      </w:r>
      <w:r>
        <w:rPr>
          <w:sz w:val="24"/>
        </w:rPr>
        <w:t>seed</w:t>
      </w:r>
      <w:r>
        <w:rPr>
          <w:spacing w:val="4"/>
          <w:sz w:val="24"/>
        </w:rPr>
        <w:t> </w:t>
      </w:r>
      <w:r>
        <w:rPr>
          <w:sz w:val="24"/>
        </w:rPr>
        <w:t>wallets</w:t>
      </w:r>
      <w:r>
        <w:rPr>
          <w:spacing w:val="5"/>
          <w:sz w:val="24"/>
        </w:rPr>
        <w:t> </w:t>
      </w:r>
      <w:r>
        <w:rPr>
          <w:rFonts w:ascii="Lucida Sans Unicode" w:hAnsi="Lucida Sans Unicode"/>
          <w:spacing w:val="9"/>
          <w:sz w:val="24"/>
        </w:rPr>
        <w:t>M</w:t>
      </w:r>
      <w:r>
        <w:rPr>
          <w:spacing w:val="9"/>
          <w:sz w:val="24"/>
        </w:rPr>
        <w:t>,</w:t>
      </w:r>
      <w:r>
        <w:rPr>
          <w:spacing w:val="4"/>
          <w:sz w:val="24"/>
        </w:rPr>
        <w:t> </w:t>
      </w:r>
      <w:r>
        <w:rPr>
          <w:sz w:val="24"/>
        </w:rPr>
        <w:t>observation</w:t>
      </w:r>
      <w:r>
        <w:rPr>
          <w:spacing w:val="4"/>
          <w:sz w:val="24"/>
        </w:rPr>
        <w:t> </w:t>
      </w:r>
      <w:r>
        <w:rPr>
          <w:sz w:val="24"/>
        </w:rPr>
        <w:t>end</w:t>
      </w:r>
      <w:r>
        <w:rPr>
          <w:spacing w:val="4"/>
          <w:sz w:val="24"/>
        </w:rPr>
        <w:t> </w:t>
      </w:r>
      <w:r>
        <w:rPr>
          <w:rFonts w:ascii="Calibri" w:hAnsi="Calibri"/>
          <w:i/>
          <w:sz w:val="24"/>
        </w:rPr>
        <w:t>T</w:t>
      </w:r>
      <w:r>
        <w:rPr>
          <w:sz w:val="24"/>
          <w:vertAlign w:val="subscript"/>
        </w:rPr>
        <w:t>obs</w:t>
      </w:r>
      <w:r>
        <w:rPr>
          <w:sz w:val="24"/>
          <w:vertAlign w:val="baseline"/>
        </w:rPr>
        <w:t>,</w:t>
      </w:r>
      <w:r>
        <w:rPr>
          <w:spacing w:val="4"/>
          <w:sz w:val="24"/>
          <w:vertAlign w:val="baseline"/>
        </w:rPr>
        <w:t> </w:t>
      </w:r>
      <w:r>
        <w:rPr>
          <w:sz w:val="24"/>
          <w:vertAlign w:val="baseline"/>
        </w:rPr>
        <w:t>parameters</w:t>
      </w:r>
      <w:r>
        <w:rPr>
          <w:spacing w:val="5"/>
          <w:sz w:val="24"/>
          <w:vertAlign w:val="baseline"/>
        </w:rPr>
        <w:t> </w:t>
      </w:r>
      <w:r>
        <w:rPr>
          <w:rFonts w:ascii="Calibri" w:hAnsi="Calibri"/>
          <w:i/>
          <w:sz w:val="24"/>
          <w:vertAlign w:val="baseline"/>
        </w:rPr>
        <w:t>k,</w:t>
      </w:r>
      <w:r>
        <w:rPr>
          <w:rFonts w:ascii="Calibri" w:hAnsi="Calibri"/>
          <w:i/>
          <w:spacing w:val="-12"/>
          <w:sz w:val="24"/>
          <w:vertAlign w:val="baseline"/>
        </w:rPr>
        <w:t> </w:t>
      </w:r>
      <w:r>
        <w:rPr>
          <w:rFonts w:ascii="Calibri" w:hAnsi="Calibri"/>
          <w:i/>
          <w:sz w:val="24"/>
          <w:vertAlign w:val="baseline"/>
        </w:rPr>
        <w:t>t</w:t>
      </w:r>
      <w:r>
        <w:rPr>
          <w:rFonts w:ascii="Calibri" w:hAnsi="Calibri"/>
          <w:sz w:val="24"/>
          <w:vertAlign w:val="subscript"/>
        </w:rPr>
        <w:t>0</w:t>
      </w:r>
      <w:r>
        <w:rPr>
          <w:rFonts w:ascii="Calibri" w:hAnsi="Calibri"/>
          <w:i/>
          <w:sz w:val="24"/>
          <w:vertAlign w:val="baseline"/>
        </w:rPr>
        <w:t>,</w:t>
      </w:r>
      <w:r>
        <w:rPr>
          <w:rFonts w:ascii="Calibri" w:hAnsi="Calibri"/>
          <w:i/>
          <w:spacing w:val="-12"/>
          <w:sz w:val="24"/>
          <w:vertAlign w:val="baseline"/>
        </w:rPr>
        <w:t> </w:t>
      </w:r>
      <w:r>
        <w:rPr>
          <w:rFonts w:ascii="Calibri" w:hAnsi="Calibri"/>
          <w:i/>
          <w:sz w:val="24"/>
          <w:vertAlign w:val="baseline"/>
        </w:rPr>
        <w:t>d,</w:t>
      </w:r>
      <w:r>
        <w:rPr>
          <w:rFonts w:ascii="Calibri" w:hAnsi="Calibri"/>
          <w:i/>
          <w:spacing w:val="-11"/>
          <w:sz w:val="24"/>
          <w:vertAlign w:val="baseline"/>
        </w:rPr>
        <w:t> </w:t>
      </w:r>
      <w:r>
        <w:rPr>
          <w:rFonts w:ascii="Calibri" w:hAnsi="Calibri"/>
          <w:i/>
          <w:sz w:val="24"/>
          <w:vertAlign w:val="baseline"/>
        </w:rPr>
        <w:t>τ</w:t>
      </w:r>
      <w:r>
        <w:rPr>
          <w:sz w:val="24"/>
          <w:vertAlign w:val="subscript"/>
        </w:rPr>
        <w:t>tol</w:t>
      </w:r>
      <w:r>
        <w:rPr>
          <w:rFonts w:ascii="Calibri" w:hAnsi="Calibri"/>
          <w:i/>
          <w:sz w:val="24"/>
          <w:vertAlign w:val="baseline"/>
        </w:rPr>
        <w:t>,</w:t>
      </w:r>
      <w:r>
        <w:rPr>
          <w:rFonts w:ascii="Calibri" w:hAnsi="Calibri"/>
          <w:i/>
          <w:spacing w:val="-12"/>
          <w:sz w:val="24"/>
          <w:vertAlign w:val="baseline"/>
        </w:rPr>
        <w:t> </w:t>
      </w:r>
      <w:r>
        <w:rPr>
          <w:rFonts w:ascii="Calibri" w:hAnsi="Calibri"/>
          <w:i/>
          <w:spacing w:val="-4"/>
          <w:sz w:val="24"/>
          <w:vertAlign w:val="baseline"/>
        </w:rPr>
        <w:t>I</w:t>
      </w:r>
      <w:r>
        <w:rPr>
          <w:spacing w:val="-4"/>
          <w:sz w:val="24"/>
          <w:vertAlign w:val="subscript"/>
        </w:rPr>
        <w:t>max</w:t>
      </w:r>
    </w:p>
    <w:p>
      <w:pPr>
        <w:spacing w:line="303" w:lineRule="exact" w:before="0"/>
        <w:ind w:left="282" w:right="0" w:firstLine="0"/>
        <w:jc w:val="left"/>
        <w:rPr>
          <w:sz w:val="24"/>
        </w:rPr>
      </w:pPr>
      <w:r>
        <w:rPr>
          <w:i/>
        </w:rPr>
        <w:t>요구사항: 전송 f, 시드 지갑 M, 관찰 종료 Tobs, 매개변수 k, t0, d, τtol, Imax</w:t>
      </w:r>
    </w:p>
    <w:p>
      <w:pPr>
        <w:spacing w:line="289" w:lineRule="exact" w:before="0"/>
        <w:ind w:left="282" w:right="0" w:firstLine="0"/>
        <w:jc w:val="left"/>
        <w:rPr>
          <w:rFonts w:ascii="Lucida Sans Unicode"/>
          <w:sz w:val="24"/>
        </w:rPr>
      </w:pPr>
      <w:r>
        <w:rPr>
          <w:b/>
          <w:sz w:val="24"/>
        </w:rPr>
        <w:t>Ensure:</w:t>
      </w:r>
      <w:r>
        <w:rPr>
          <w:b/>
          <w:spacing w:val="46"/>
          <w:sz w:val="24"/>
        </w:rPr>
        <w:t> </w:t>
      </w:r>
      <w:r>
        <w:rPr>
          <w:sz w:val="24"/>
        </w:rPr>
        <w:t>Scores</w:t>
      </w:r>
      <w:r>
        <w:rPr>
          <w:spacing w:val="-8"/>
          <w:sz w:val="24"/>
        </w:rPr>
        <w:t> </w:t>
      </w:r>
      <w:r>
        <w:rPr>
          <w:b/>
          <w:sz w:val="24"/>
        </w:rPr>
        <w:t>s</w:t>
      </w:r>
      <w:r>
        <w:rPr>
          <w:sz w:val="24"/>
          <w:vertAlign w:val="subscript"/>
        </w:rPr>
        <w:t>AWP</w:t>
      </w:r>
      <w:r>
        <w:rPr>
          <w:spacing w:val="2"/>
          <w:sz w:val="24"/>
          <w:vertAlign w:val="baseline"/>
        </w:rPr>
        <w:t> </w:t>
      </w:r>
      <w:r>
        <w:rPr>
          <w:sz w:val="24"/>
          <w:vertAlign w:val="baseline"/>
        </w:rPr>
        <w:t>on</w:t>
      </w:r>
      <w:r>
        <w:rPr>
          <w:spacing w:val="-8"/>
          <w:sz w:val="24"/>
          <w:vertAlign w:val="baseline"/>
        </w:rPr>
        <w:t> </w:t>
      </w:r>
      <w:r>
        <w:rPr>
          <w:rFonts w:ascii="Lucida Sans Unicode"/>
          <w:spacing w:val="-10"/>
          <w:sz w:val="24"/>
          <w:vertAlign w:val="baseline"/>
        </w:rPr>
        <w:t>M</w:t>
      </w:r>
    </w:p>
    <w:p>
      <w:pPr>
        <w:spacing w:line="289" w:lineRule="exact" w:before="0"/>
        <w:ind w:left="282" w:right="0" w:firstLine="0"/>
        <w:jc w:val="left"/>
        <w:rPr>
          <w:rFonts w:ascii="Lucida Sans Unicode"/>
          <w:sz w:val="24"/>
        </w:rPr>
      </w:pPr>
      <w:r>
        <w:rPr>
          <w:i/>
        </w:rPr>
        <w:t>보장: M에서 sAWP 점수를 얻습니다.</w:t>
      </w:r>
    </w:p>
    <w:p>
      <w:pPr>
        <w:spacing w:line="289" w:lineRule="exact" w:before="0"/>
        <w:ind w:left="414" w:right="0" w:firstLine="0"/>
        <w:jc w:val="left"/>
        <w:rPr>
          <w:rFonts w:ascii="Lucida Sans Unicode" w:hAnsi="Lucida Sans Unicode"/>
          <w:sz w:val="24"/>
        </w:rPr>
      </w:pPr>
      <w:r>
        <w:rPr>
          <w:sz w:val="20"/>
        </w:rPr>
        <w:t>1:</w:t>
      </w:r>
      <w:r>
        <w:rPr>
          <w:spacing w:val="73"/>
          <w:w w:val="125"/>
          <w:sz w:val="20"/>
        </w:rPr>
        <w:t> </w:t>
      </w:r>
      <w:r>
        <w:rPr>
          <w:rFonts w:ascii="Calibri" w:hAnsi="Calibri"/>
          <w:i/>
          <w:w w:val="125"/>
          <w:sz w:val="24"/>
        </w:rPr>
        <w:t>E</w:t>
      </w:r>
      <w:r>
        <w:rPr>
          <w:rFonts w:ascii="Calibri" w:hAnsi="Calibri"/>
          <w:i/>
          <w:spacing w:val="24"/>
          <w:w w:val="125"/>
          <w:sz w:val="24"/>
        </w:rPr>
        <w:t> </w:t>
      </w:r>
      <w:r>
        <w:rPr>
          <w:rFonts w:ascii="Lucida Sans Unicode" w:hAnsi="Lucida Sans Unicode"/>
          <w:sz w:val="24"/>
        </w:rPr>
        <w:t>→</w:t>
      </w:r>
      <w:r>
        <w:rPr>
          <w:rFonts w:ascii="Lucida Sans Unicode" w:hAnsi="Lucida Sans Unicode"/>
          <w:spacing w:val="-1"/>
          <w:sz w:val="24"/>
        </w:rPr>
        <w:t> </w:t>
      </w:r>
      <w:r>
        <w:rPr>
          <w:rFonts w:ascii="Lucida Sans Unicode" w:hAnsi="Lucida Sans Unicode"/>
          <w:spacing w:val="-10"/>
          <w:w w:val="85"/>
          <w:sz w:val="24"/>
        </w:rPr>
        <w:t>∅</w:t>
      </w:r>
    </w:p>
    <w:p>
      <w:pPr>
        <w:spacing w:line="289" w:lineRule="exact" w:before="0"/>
        <w:ind w:left="414" w:right="0" w:firstLine="0"/>
        <w:jc w:val="left"/>
        <w:rPr>
          <w:b/>
          <w:sz w:val="24"/>
        </w:rPr>
      </w:pPr>
      <w:r>
        <w:rPr>
          <w:w w:val="110"/>
          <w:sz w:val="20"/>
        </w:rPr>
        <w:t>2:</w:t>
      </w:r>
      <w:r>
        <w:rPr>
          <w:spacing w:val="22"/>
          <w:w w:val="110"/>
          <w:sz w:val="20"/>
        </w:rPr>
        <w:t> </w:t>
      </w:r>
      <w:r>
        <w:rPr>
          <w:b/>
          <w:w w:val="110"/>
          <w:sz w:val="24"/>
        </w:rPr>
        <w:t>for</w:t>
      </w:r>
      <w:r>
        <w:rPr>
          <w:b/>
          <w:spacing w:val="-17"/>
          <w:w w:val="110"/>
          <w:sz w:val="24"/>
        </w:rPr>
        <w:t> </w:t>
      </w:r>
      <w:r>
        <w:rPr>
          <w:w w:val="110"/>
          <w:sz w:val="24"/>
        </w:rPr>
        <w:t>each</w:t>
      </w:r>
      <w:r>
        <w:rPr>
          <w:spacing w:val="-16"/>
          <w:w w:val="110"/>
          <w:sz w:val="24"/>
        </w:rPr>
        <w:t> </w:t>
      </w:r>
      <w:r>
        <w:rPr>
          <w:w w:val="110"/>
          <w:sz w:val="24"/>
        </w:rPr>
        <w:t>transfer</w:t>
      </w:r>
      <w:r>
        <w:rPr>
          <w:spacing w:val="-17"/>
          <w:w w:val="110"/>
          <w:sz w:val="24"/>
        </w:rPr>
        <w:t> </w:t>
      </w:r>
      <w:r>
        <w:rPr>
          <w:rFonts w:ascii="Calibri"/>
          <w:i/>
          <w:w w:val="110"/>
          <w:sz w:val="24"/>
        </w:rPr>
        <w:t>e</w:t>
      </w:r>
      <w:r>
        <w:rPr>
          <w:rFonts w:ascii="Calibri"/>
          <w:i/>
          <w:spacing w:val="-14"/>
          <w:w w:val="110"/>
          <w:sz w:val="24"/>
        </w:rPr>
        <w:t> </w:t>
      </w:r>
      <w:r>
        <w:rPr>
          <w:rFonts w:ascii="Calibri"/>
          <w:w w:val="120"/>
          <w:sz w:val="24"/>
        </w:rPr>
        <w:t>=</w:t>
      </w:r>
      <w:r>
        <w:rPr>
          <w:rFonts w:ascii="Calibri"/>
          <w:spacing w:val="-12"/>
          <w:w w:val="120"/>
          <w:sz w:val="24"/>
        </w:rPr>
        <w:t> </w:t>
      </w:r>
      <w:r>
        <w:rPr>
          <w:rFonts w:ascii="Calibri"/>
          <w:w w:val="110"/>
          <w:sz w:val="24"/>
        </w:rPr>
        <w:t>(</w:t>
      </w:r>
      <w:r>
        <w:rPr>
          <w:rFonts w:ascii="Calibri"/>
          <w:i/>
          <w:w w:val="110"/>
          <w:sz w:val="24"/>
        </w:rPr>
        <w:t>u,</w:t>
      </w:r>
      <w:r>
        <w:rPr>
          <w:rFonts w:ascii="Calibri"/>
          <w:i/>
          <w:spacing w:val="-20"/>
          <w:w w:val="110"/>
          <w:sz w:val="24"/>
        </w:rPr>
        <w:t> </w:t>
      </w:r>
      <w:r>
        <w:rPr>
          <w:rFonts w:ascii="Calibri"/>
          <w:i/>
          <w:w w:val="110"/>
          <w:sz w:val="24"/>
        </w:rPr>
        <w:t>v,</w:t>
      </w:r>
      <w:r>
        <w:rPr>
          <w:rFonts w:ascii="Calibri"/>
          <w:i/>
          <w:spacing w:val="-20"/>
          <w:w w:val="110"/>
          <w:sz w:val="24"/>
        </w:rPr>
        <w:t> </w:t>
      </w:r>
      <w:r>
        <w:rPr>
          <w:rFonts w:ascii="Calibri"/>
          <w:i/>
          <w:w w:val="110"/>
          <w:sz w:val="24"/>
        </w:rPr>
        <w:t>v</w:t>
      </w:r>
      <w:r>
        <w:rPr>
          <w:rFonts w:ascii="Cambria"/>
          <w:w w:val="110"/>
          <w:sz w:val="24"/>
          <w:vertAlign w:val="subscript"/>
        </w:rPr>
        <w:t>e</w:t>
      </w:r>
      <w:r>
        <w:rPr>
          <w:rFonts w:ascii="Calibri"/>
          <w:i/>
          <w:w w:val="110"/>
          <w:sz w:val="24"/>
          <w:vertAlign w:val="baseline"/>
        </w:rPr>
        <w:t>,</w:t>
      </w:r>
      <w:r>
        <w:rPr>
          <w:rFonts w:ascii="Calibri"/>
          <w:i/>
          <w:spacing w:val="-21"/>
          <w:w w:val="110"/>
          <w:sz w:val="24"/>
          <w:vertAlign w:val="baseline"/>
        </w:rPr>
        <w:t> </w:t>
      </w:r>
      <w:r>
        <w:rPr>
          <w:rFonts w:ascii="Calibri"/>
          <w:i/>
          <w:w w:val="110"/>
          <w:sz w:val="24"/>
          <w:vertAlign w:val="baseline"/>
        </w:rPr>
        <w:t>t</w:t>
      </w:r>
      <w:r>
        <w:rPr>
          <w:rFonts w:ascii="Cambria"/>
          <w:w w:val="110"/>
          <w:sz w:val="24"/>
          <w:vertAlign w:val="subscript"/>
        </w:rPr>
        <w:t>e</w:t>
      </w:r>
      <w:r>
        <w:rPr>
          <w:rFonts w:ascii="Calibri"/>
          <w:w w:val="110"/>
          <w:sz w:val="24"/>
          <w:vertAlign w:val="baseline"/>
        </w:rPr>
        <w:t>)</w:t>
      </w:r>
      <w:r>
        <w:rPr>
          <w:rFonts w:ascii="Calibri"/>
          <w:spacing w:val="-11"/>
          <w:w w:val="110"/>
          <w:sz w:val="24"/>
          <w:vertAlign w:val="baseline"/>
        </w:rPr>
        <w:t> </w:t>
      </w:r>
      <w:r>
        <w:rPr>
          <w:w w:val="110"/>
          <w:sz w:val="24"/>
          <w:vertAlign w:val="baseline"/>
        </w:rPr>
        <w:t>in</w:t>
      </w:r>
      <w:r>
        <w:rPr>
          <w:spacing w:val="-17"/>
          <w:w w:val="110"/>
          <w:sz w:val="24"/>
          <w:vertAlign w:val="baseline"/>
        </w:rPr>
        <w:t> </w:t>
      </w:r>
      <w:r>
        <w:rPr>
          <w:rFonts w:ascii="Lucida Sans Unicode"/>
          <w:w w:val="120"/>
          <w:sz w:val="24"/>
          <w:vertAlign w:val="baseline"/>
        </w:rPr>
        <w:t>f</w:t>
      </w:r>
      <w:r>
        <w:rPr>
          <w:rFonts w:ascii="Lucida Sans Unicode"/>
          <w:spacing w:val="6"/>
          <w:w w:val="120"/>
          <w:sz w:val="24"/>
          <w:vertAlign w:val="baseline"/>
        </w:rPr>
        <w:t> </w:t>
      </w:r>
      <w:r>
        <w:rPr>
          <w:b/>
          <w:spacing w:val="-5"/>
          <w:w w:val="110"/>
          <w:sz w:val="24"/>
          <w:vertAlign w:val="baseline"/>
        </w:rPr>
        <w:t>do</w:t>
      </w:r>
    </w:p>
    <w:p>
      <w:pPr>
        <w:spacing w:line="289" w:lineRule="exact" w:before="0"/>
        <w:ind w:left="414" w:right="0" w:firstLine="0"/>
        <w:jc w:val="left"/>
        <w:rPr>
          <w:b/>
          <w:sz w:val="24"/>
        </w:rPr>
      </w:pPr>
      <w:r>
        <w:rPr>
          <w:i/>
        </w:rPr>
        <w:t>2: 각 전송에 대해 e = (u, v, ve, te) in f do</w:t>
      </w:r>
    </w:p>
    <w:p>
      <w:pPr>
        <w:tabs>
          <w:tab w:pos="1047" w:val="left" w:leader="none"/>
        </w:tabs>
        <w:spacing w:line="289" w:lineRule="exact" w:before="0"/>
        <w:ind w:left="414" w:right="0" w:firstLine="0"/>
        <w:jc w:val="left"/>
        <w:rPr>
          <w:sz w:val="24"/>
        </w:rPr>
      </w:pPr>
      <w:r>
        <w:rPr>
          <w:spacing w:val="-5"/>
          <w:w w:val="105"/>
          <w:sz w:val="20"/>
        </w:rPr>
        <w:t>3:</w:t>
      </w:r>
      <w:r>
        <w:rPr>
          <w:sz w:val="20"/>
        </w:rPr>
        <w:tab/>
      </w:r>
      <w:r>
        <w:rPr>
          <w:rFonts w:ascii="Calibri" w:hAnsi="Calibri"/>
          <w:w w:val="105"/>
          <w:sz w:val="24"/>
        </w:rPr>
        <w:t>∆</w:t>
      </w:r>
      <w:r>
        <w:rPr>
          <w:rFonts w:ascii="Calibri" w:hAnsi="Calibri"/>
          <w:i/>
          <w:w w:val="105"/>
          <w:sz w:val="24"/>
        </w:rPr>
        <w:t>t</w:t>
      </w:r>
      <w:r>
        <w:rPr>
          <w:rFonts w:ascii="Calibri" w:hAnsi="Calibri"/>
          <w:i/>
          <w:spacing w:val="10"/>
          <w:w w:val="105"/>
          <w:sz w:val="24"/>
        </w:rPr>
        <w:t> </w:t>
      </w:r>
      <w:r>
        <w:rPr>
          <w:rFonts w:ascii="Lucida Sans Unicode" w:hAnsi="Lucida Sans Unicode"/>
          <w:w w:val="105"/>
          <w:sz w:val="24"/>
        </w:rPr>
        <w:t>→</w:t>
      </w:r>
      <w:r>
        <w:rPr>
          <w:rFonts w:ascii="Lucida Sans Unicode" w:hAnsi="Lucida Sans Unicode"/>
          <w:spacing w:val="-13"/>
          <w:w w:val="105"/>
          <w:sz w:val="24"/>
        </w:rPr>
        <w:t> </w:t>
      </w:r>
      <w:r>
        <w:rPr>
          <w:rFonts w:ascii="Calibri" w:hAnsi="Calibri"/>
          <w:w w:val="105"/>
          <w:sz w:val="24"/>
        </w:rPr>
        <w:t>(</w:t>
      </w:r>
      <w:r>
        <w:rPr>
          <w:rFonts w:ascii="Calibri" w:hAnsi="Calibri"/>
          <w:i/>
          <w:w w:val="105"/>
          <w:sz w:val="24"/>
        </w:rPr>
        <w:t>T</w:t>
      </w:r>
      <w:r>
        <w:rPr>
          <w:w w:val="105"/>
          <w:sz w:val="24"/>
          <w:vertAlign w:val="subscript"/>
        </w:rPr>
        <w:t>obs</w:t>
      </w:r>
      <w:r>
        <w:rPr>
          <w:spacing w:val="1"/>
          <w:w w:val="10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05"/>
          <w:sz w:val="24"/>
          <w:vertAlign w:val="baseline"/>
        </w:rPr>
        <w:t>t</w:t>
      </w:r>
      <w:r>
        <w:rPr>
          <w:rFonts w:ascii="Cambria" w:hAnsi="Cambria"/>
          <w:w w:val="105"/>
          <w:sz w:val="24"/>
          <w:vertAlign w:val="subscript"/>
        </w:rPr>
        <w:t>e</w:t>
      </w:r>
      <w:r>
        <w:rPr>
          <w:rFonts w:ascii="Calibri" w:hAnsi="Calibri"/>
          <w:w w:val="105"/>
          <w:sz w:val="24"/>
          <w:vertAlign w:val="baseline"/>
        </w:rPr>
        <w:t>)</w:t>
      </w:r>
      <w:r>
        <w:rPr>
          <w:rFonts w:ascii="Calibri" w:hAnsi="Calibri"/>
          <w:spacing w:val="4"/>
          <w:w w:val="105"/>
          <w:sz w:val="24"/>
          <w:vertAlign w:val="baseline"/>
        </w:rPr>
        <w:t> </w:t>
      </w:r>
      <w:r>
        <w:rPr>
          <w:w w:val="105"/>
          <w:sz w:val="24"/>
          <w:vertAlign w:val="baseline"/>
        </w:rPr>
        <w:t>in</w:t>
      </w:r>
      <w:r>
        <w:rPr>
          <w:spacing w:val="-3"/>
          <w:w w:val="105"/>
          <w:sz w:val="24"/>
          <w:vertAlign w:val="baseline"/>
        </w:rPr>
        <w:t> </w:t>
      </w:r>
      <w:r>
        <w:rPr>
          <w:spacing w:val="-4"/>
          <w:w w:val="105"/>
          <w:sz w:val="24"/>
          <w:vertAlign w:val="baseline"/>
        </w:rPr>
        <w:t>days</w:t>
      </w:r>
    </w:p>
    <w:p>
      <w:pPr>
        <w:tabs>
          <w:tab w:pos="1047" w:val="left" w:leader="none"/>
        </w:tabs>
        <w:spacing w:line="289" w:lineRule="exact" w:before="0"/>
        <w:ind w:left="414" w:right="0" w:firstLine="0"/>
        <w:jc w:val="left"/>
        <w:rPr>
          <w:sz w:val="24"/>
        </w:rPr>
      </w:pPr>
      <w:r>
        <w:rPr>
          <w:i/>
        </w:rPr>
        <w:t>3:</w:t>
        <w:tab/>
        <w:t>Δt → (Tobs — te)(일)</w:t>
      </w:r>
    </w:p>
    <w:p>
      <w:pPr>
        <w:pStyle w:val="BodyText"/>
        <w:tabs>
          <w:tab w:pos="1047" w:val="left" w:leader="none"/>
        </w:tabs>
        <w:spacing w:line="289" w:lineRule="exact"/>
        <w:ind w:left="414"/>
      </w:pPr>
      <w:r>
        <w:rPr>
          <w:spacing w:val="-5"/>
          <w:sz w:val="20"/>
        </w:rPr>
        <w:t>4:</w:t>
      </w:r>
      <w:r>
        <w:rPr>
          <w:sz w:val="20"/>
        </w:rPr>
        <w:tab/>
      </w:r>
      <w:r>
        <w:rPr>
          <w:rFonts w:ascii="Calibri" w:hAnsi="Calibri"/>
          <w:i/>
        </w:rPr>
        <w:t>w</w:t>
      </w:r>
      <w:r>
        <w:rPr>
          <w:rFonts w:ascii="Cambria" w:hAnsi="Cambria"/>
          <w:vertAlign w:val="subscript"/>
        </w:rPr>
        <w:t>e</w:t>
      </w:r>
      <w:r>
        <w:rPr>
          <w:rFonts w:ascii="Cambria" w:hAnsi="Cambria"/>
          <w:spacing w:val="29"/>
          <w:vertAlign w:val="baseline"/>
        </w:rPr>
        <w:t> </w:t>
      </w:r>
      <w:r>
        <w:rPr>
          <w:rFonts w:ascii="Lucida Sans Unicode" w:hAnsi="Lucida Sans Unicode"/>
          <w:vertAlign w:val="baseline"/>
        </w:rPr>
        <w:t>→</w:t>
      </w:r>
      <w:r>
        <w:rPr>
          <w:rFonts w:ascii="Lucida Sans Unicode" w:hAnsi="Lucida Sans Unicode"/>
          <w:spacing w:val="-4"/>
          <w:vertAlign w:val="baseline"/>
        </w:rPr>
        <w:t> </w:t>
      </w:r>
      <w:r>
        <w:rPr>
          <w:rFonts w:ascii="Calibri" w:hAnsi="Calibri"/>
          <w:i/>
          <w:vertAlign w:val="baseline"/>
        </w:rPr>
        <w:t>v</w:t>
      </w:r>
      <w:r>
        <w:rPr>
          <w:rFonts w:ascii="Cambria" w:hAnsi="Cambria"/>
          <w:vertAlign w:val="subscript"/>
        </w:rPr>
        <w:t>e</w:t>
      </w:r>
      <w:r>
        <w:rPr>
          <w:rFonts w:ascii="Cambria" w:hAnsi="Cambria"/>
          <w:spacing w:val="16"/>
          <w:vertAlign w:val="baseline"/>
        </w:rPr>
        <w:t> </w:t>
      </w:r>
      <w:r>
        <w:rPr>
          <w:rFonts w:ascii="Lucida Sans Unicode" w:hAnsi="Lucida Sans Unicode"/>
          <w:w w:val="80"/>
          <w:vertAlign w:val="baseline"/>
        </w:rPr>
        <w:t>·</w:t>
      </w:r>
      <w:r>
        <w:rPr>
          <w:rFonts w:ascii="Lucida Sans Unicode" w:hAnsi="Lucida Sans Unicode"/>
          <w:spacing w:val="-3"/>
          <w:w w:val="80"/>
          <w:vertAlign w:val="baseline"/>
        </w:rPr>
        <w:t> </w:t>
      </w:r>
      <w:r>
        <w:rPr>
          <w:rFonts w:ascii="Calibri" w:hAnsi="Calibri"/>
          <w:i/>
          <w:vertAlign w:val="baseline"/>
        </w:rPr>
        <w:t>σ</w:t>
      </w:r>
      <w:r>
        <w:rPr>
          <w:rFonts w:ascii="Calibri" w:hAnsi="Calibri"/>
          <w:vertAlign w:val="baseline"/>
        </w:rPr>
        <w:t>(∆</w:t>
      </w:r>
      <w:r>
        <w:rPr>
          <w:rFonts w:ascii="Calibri" w:hAnsi="Calibri"/>
          <w:i/>
          <w:vertAlign w:val="baseline"/>
        </w:rPr>
        <w:t>t</w:t>
      </w:r>
      <w:r>
        <w:rPr>
          <w:rFonts w:ascii="Calibri" w:hAnsi="Calibri"/>
          <w:vertAlign w:val="baseline"/>
        </w:rPr>
        <w:t>)</w:t>
      </w:r>
      <w:r>
        <w:rPr>
          <w:rFonts w:ascii="Calibri" w:hAnsi="Calibri"/>
          <w:spacing w:val="10"/>
          <w:vertAlign w:val="baseline"/>
        </w:rPr>
        <w:t> </w:t>
      </w:r>
      <w:r>
        <w:rPr>
          <w:vertAlign w:val="baseline"/>
        </w:rPr>
        <w:t>with</w:t>
      </w:r>
      <w:r>
        <w:rPr>
          <w:spacing w:val="4"/>
          <w:vertAlign w:val="baseline"/>
        </w:rPr>
        <w:t> </w:t>
      </w:r>
      <w:r>
        <w:rPr>
          <w:rFonts w:ascii="Calibri" w:hAnsi="Calibri"/>
          <w:i/>
          <w:vertAlign w:val="baseline"/>
        </w:rPr>
        <w:t>σ</w:t>
      </w:r>
      <w:r>
        <w:rPr>
          <w:rFonts w:ascii="Calibri" w:hAnsi="Calibri"/>
          <w:i/>
          <w:spacing w:val="21"/>
          <w:vertAlign w:val="baseline"/>
        </w:rPr>
        <w:t> </w:t>
      </w:r>
      <w:r>
        <w:rPr>
          <w:vertAlign w:val="baseline"/>
        </w:rPr>
        <w:t>as</w:t>
      </w:r>
      <w:r>
        <w:rPr>
          <w:spacing w:val="4"/>
          <w:vertAlign w:val="baseline"/>
        </w:rPr>
        <w:t> </w:t>
      </w:r>
      <w:r>
        <w:rPr>
          <w:vertAlign w:val="baseline"/>
        </w:rPr>
        <w:t>in</w:t>
      </w:r>
      <w:r>
        <w:rPr>
          <w:spacing w:val="4"/>
          <w:vertAlign w:val="baseline"/>
        </w:rPr>
        <w:t> </w:t>
      </w:r>
      <w:r>
        <w:rPr>
          <w:vertAlign w:val="baseline"/>
        </w:rPr>
        <w:t>Equation</w:t>
      </w:r>
      <w:r>
        <w:rPr>
          <w:spacing w:val="4"/>
          <w:vertAlign w:val="baseline"/>
        </w:rPr>
        <w:t> </w:t>
      </w:r>
      <w:r>
        <w:rPr>
          <w:spacing w:val="-2"/>
          <w:vertAlign w:val="baseline"/>
        </w:rPr>
        <w:t>(</w:t>
      </w:r>
      <w:hyperlink w:history="true" w:anchor="_bookmark61">
        <w:r>
          <w:rPr>
            <w:spacing w:val="-2"/>
            <w:vertAlign w:val="baseline"/>
          </w:rPr>
          <w:t>3.4</w:t>
        </w:r>
      </w:hyperlink>
      <w:r>
        <w:rPr>
          <w:spacing w:val="-2"/>
          <w:vertAlign w:val="baseline"/>
        </w:rPr>
        <w:t>)</w:t>
      </w:r>
    </w:p>
    <w:p>
      <w:pPr>
        <w:pStyle w:val="BodyText"/>
        <w:tabs>
          <w:tab w:pos="1047" w:val="left" w:leader="none"/>
        </w:tabs>
        <w:spacing w:line="289" w:lineRule="exact"/>
        <w:ind w:left="414"/>
      </w:pPr>
      <w:r>
        <w:rPr>
          <w:i/>
        </w:rPr>
        <w:t>4:</w:t>
        <w:tab/>
        <w:t>we → ve · σ(Δt) 와 σ 는 식 (3.4)와 같습니다.</w:t>
      </w:r>
    </w:p>
    <w:p>
      <w:pPr>
        <w:tabs>
          <w:tab w:pos="1047" w:val="left" w:leader="none"/>
        </w:tabs>
        <w:spacing w:line="308" w:lineRule="exact" w:before="0"/>
        <w:ind w:left="414" w:right="0" w:firstLine="0"/>
        <w:jc w:val="left"/>
        <w:rPr>
          <w:rFonts w:ascii="Calibri" w:hAnsi="Calibri"/>
          <w:sz w:val="24"/>
        </w:rPr>
      </w:pPr>
      <w:r>
        <w:rPr>
          <w:spacing w:val="-5"/>
          <w:sz w:val="20"/>
        </w:rPr>
        <w:t>5:</w:t>
      </w:r>
      <w:r>
        <w:rPr>
          <w:sz w:val="20"/>
        </w:rPr>
        <w:tab/>
      </w:r>
      <w:r>
        <w:rPr>
          <w:sz w:val="24"/>
        </w:rPr>
        <w:t>accumulate</w:t>
      </w:r>
      <w:r>
        <w:rPr>
          <w:spacing w:val="1"/>
          <w:sz w:val="24"/>
        </w:rPr>
        <w:t> </w:t>
      </w:r>
      <w:r>
        <w:rPr>
          <w:rFonts w:ascii="Calibri" w:hAnsi="Calibri"/>
          <w:i/>
          <w:sz w:val="24"/>
        </w:rPr>
        <w:t>w</w:t>
      </w:r>
      <w:r>
        <w:rPr>
          <w:rFonts w:ascii="Cambria" w:hAnsi="Cambria"/>
          <w:sz w:val="24"/>
          <w:vertAlign w:val="subscript"/>
        </w:rPr>
        <w:t>e</w:t>
      </w:r>
      <w:r>
        <w:rPr>
          <w:rFonts w:ascii="Cambria" w:hAnsi="Cambria"/>
          <w:spacing w:val="20"/>
          <w:sz w:val="24"/>
          <w:vertAlign w:val="baseline"/>
        </w:rPr>
        <w:t> </w:t>
      </w:r>
      <w:r>
        <w:rPr>
          <w:sz w:val="24"/>
          <w:vertAlign w:val="baseline"/>
        </w:rPr>
        <w:t>on</w:t>
      </w:r>
      <w:r>
        <w:rPr>
          <w:spacing w:val="2"/>
          <w:sz w:val="24"/>
          <w:vertAlign w:val="baseline"/>
        </w:rPr>
        <w:t> </w:t>
      </w:r>
      <w:r>
        <w:rPr>
          <w:sz w:val="24"/>
          <w:vertAlign w:val="baseline"/>
        </w:rPr>
        <w:t>edge</w:t>
      </w:r>
      <w:r>
        <w:rPr>
          <w:spacing w:val="1"/>
          <w:sz w:val="24"/>
          <w:vertAlign w:val="baseline"/>
        </w:rPr>
        <w:t> </w:t>
      </w:r>
      <w:r>
        <w:rPr>
          <w:rFonts w:ascii="Calibri" w:hAnsi="Calibri"/>
          <w:sz w:val="24"/>
          <w:vertAlign w:val="baseline"/>
        </w:rPr>
        <w:t>(</w:t>
      </w:r>
      <w:r>
        <w:rPr>
          <w:rFonts w:ascii="Calibri" w:hAnsi="Calibri"/>
          <w:i/>
          <w:sz w:val="24"/>
          <w:vertAlign w:val="baseline"/>
        </w:rPr>
        <w:t>u</w:t>
      </w:r>
      <w:r>
        <w:rPr>
          <w:rFonts w:ascii="Calibri" w:hAnsi="Calibri"/>
          <w:i/>
          <w:spacing w:val="15"/>
          <w:sz w:val="24"/>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Calibri" w:hAnsi="Calibri"/>
          <w:i/>
          <w:spacing w:val="-5"/>
          <w:sz w:val="24"/>
          <w:vertAlign w:val="baseline"/>
        </w:rPr>
        <w:t>v</w:t>
      </w:r>
      <w:r>
        <w:rPr>
          <w:rFonts w:ascii="Calibri" w:hAnsi="Calibri"/>
          <w:spacing w:val="-5"/>
          <w:sz w:val="24"/>
          <w:vertAlign w:val="baseline"/>
        </w:rPr>
        <w:t>)</w:t>
      </w:r>
    </w:p>
    <w:p>
      <w:pPr>
        <w:tabs>
          <w:tab w:pos="1047" w:val="left" w:leader="none"/>
        </w:tabs>
        <w:spacing w:line="308" w:lineRule="exact" w:before="0"/>
        <w:ind w:left="414" w:right="0" w:firstLine="0"/>
        <w:jc w:val="left"/>
        <w:rPr>
          <w:rFonts w:ascii="Calibri" w:hAnsi="Calibri"/>
          <w:sz w:val="24"/>
        </w:rPr>
      </w:pPr>
      <w:r>
        <w:rPr>
          <w:i/>
        </w:rPr>
        <w:t>5:</w:t>
        <w:tab/>
        <w:t>우리는 가장자리에 축적됩니다 (u → v)</w:t>
      </w:r>
    </w:p>
    <w:p>
      <w:pPr>
        <w:spacing w:line="243" w:lineRule="exact" w:before="0"/>
        <w:ind w:left="414" w:right="0" w:firstLine="0"/>
        <w:jc w:val="left"/>
        <w:rPr>
          <w:b/>
          <w:sz w:val="24"/>
        </w:rPr>
      </w:pPr>
      <w:r>
        <w:rPr>
          <w:sz w:val="20"/>
        </w:rPr>
        <w:t>6:</w:t>
      </w:r>
      <w:r>
        <w:rPr>
          <w:spacing w:val="64"/>
          <w:sz w:val="20"/>
        </w:rPr>
        <w:t> </w:t>
      </w:r>
      <w:r>
        <w:rPr>
          <w:b/>
          <w:sz w:val="24"/>
        </w:rPr>
        <w:t>end</w:t>
      </w:r>
      <w:r>
        <w:rPr>
          <w:b/>
          <w:spacing w:val="-4"/>
          <w:sz w:val="24"/>
        </w:rPr>
        <w:t> </w:t>
      </w:r>
      <w:r>
        <w:rPr>
          <w:b/>
          <w:spacing w:val="-5"/>
          <w:sz w:val="24"/>
        </w:rPr>
        <w:t>for</w:t>
      </w:r>
    </w:p>
    <w:p>
      <w:pPr>
        <w:spacing w:line="243" w:lineRule="exact" w:before="0"/>
        <w:ind w:left="414" w:right="0" w:firstLine="0"/>
        <w:jc w:val="left"/>
        <w:rPr>
          <w:b/>
          <w:sz w:val="24"/>
        </w:rPr>
      </w:pPr>
      <w:r>
        <w:rPr>
          <w:i/>
        </w:rPr>
        <w:t>6: 끝</w:t>
      </w:r>
    </w:p>
    <w:p>
      <w:pPr>
        <w:pStyle w:val="BodyText"/>
        <w:spacing w:line="316" w:lineRule="exact"/>
        <w:ind w:left="414"/>
        <w:rPr>
          <w:rFonts w:ascii="Lucida Sans Unicode" w:hAnsi="Lucida Sans Unicode"/>
        </w:rPr>
      </w:pPr>
      <w:r>
        <w:rPr>
          <w:sz w:val="20"/>
        </w:rPr>
        <w:t>7:</w:t>
      </w:r>
      <w:r>
        <w:rPr>
          <w:spacing w:val="57"/>
          <w:sz w:val="20"/>
        </w:rPr>
        <w:t> </w:t>
      </w:r>
      <w:r>
        <w:rPr/>
        <w:t>remove</w:t>
      </w:r>
      <w:r>
        <w:rPr>
          <w:spacing w:val="-7"/>
        </w:rPr>
        <w:t> </w:t>
      </w:r>
      <w:r>
        <w:rPr/>
        <w:t>non-positive</w:t>
      </w:r>
      <w:r>
        <w:rPr>
          <w:spacing w:val="-6"/>
        </w:rPr>
        <w:t> </w:t>
      </w:r>
      <w:r>
        <w:rPr/>
        <w:t>edges;</w:t>
      </w:r>
      <w:r>
        <w:rPr>
          <w:spacing w:val="-7"/>
        </w:rPr>
        <w:t> </w:t>
      </w:r>
      <w:r>
        <w:rPr/>
        <w:t>retain</w:t>
      </w:r>
      <w:r>
        <w:rPr>
          <w:spacing w:val="-7"/>
        </w:rPr>
        <w:t> </w:t>
      </w:r>
      <w:r>
        <w:rPr/>
        <w:t>edges</w:t>
      </w:r>
      <w:r>
        <w:rPr>
          <w:spacing w:val="-7"/>
        </w:rPr>
        <w:t> </w:t>
      </w:r>
      <w:r>
        <w:rPr/>
        <w:t>incident</w:t>
      </w:r>
      <w:r>
        <w:rPr>
          <w:spacing w:val="-6"/>
        </w:rPr>
        <w:t> </w:t>
      </w:r>
      <w:r>
        <w:rPr/>
        <w:t>to</w:t>
      </w:r>
      <w:r>
        <w:rPr>
          <w:spacing w:val="-8"/>
        </w:rPr>
        <w:t> </w:t>
      </w:r>
      <w:r>
        <w:rPr>
          <w:rFonts w:ascii="Lucida Sans Unicode" w:hAnsi="Lucida Sans Unicode"/>
          <w:spacing w:val="-10"/>
        </w:rPr>
        <w:t>M</w:t>
      </w:r>
    </w:p>
    <w:p>
      <w:pPr>
        <w:pStyle w:val="BodyText"/>
        <w:spacing w:line="316" w:lineRule="exact"/>
        <w:ind w:left="414"/>
        <w:rPr>
          <w:rFonts w:ascii="Lucida Sans Unicode" w:hAnsi="Lucida Sans Unicode"/>
        </w:rPr>
      </w:pPr>
      <w:r>
        <w:rPr>
          <w:i/>
        </w:rPr>
        <w:t>7: 양이 아닌 모서리를 제거하고 M에 입사하는 모서리를 유지합니다.</w:t>
      </w:r>
    </w:p>
    <w:p>
      <w:pPr>
        <w:spacing w:line="289" w:lineRule="exact" w:before="0"/>
        <w:ind w:left="414" w:right="0" w:firstLine="0"/>
        <w:jc w:val="left"/>
        <w:rPr>
          <w:rFonts w:ascii="Calibri" w:hAnsi="Calibri"/>
          <w:sz w:val="24"/>
        </w:rPr>
      </w:pPr>
      <w:r>
        <w:rPr>
          <w:sz w:val="20"/>
        </w:rPr>
        <w:t>8:</w:t>
      </w:r>
      <w:r>
        <w:rPr>
          <w:spacing w:val="77"/>
          <w:w w:val="150"/>
          <w:sz w:val="20"/>
        </w:rPr>
        <w:t> </w:t>
      </w:r>
      <w:r>
        <w:rPr>
          <w:b/>
          <w:sz w:val="24"/>
        </w:rPr>
        <w:t>s</w:t>
      </w:r>
      <w:r>
        <w:rPr>
          <w:b/>
          <w:spacing w:val="25"/>
          <w:sz w:val="24"/>
        </w:rPr>
        <w:t> </w:t>
      </w:r>
      <w:r>
        <w:rPr>
          <w:rFonts w:ascii="Lucida Sans Unicode" w:hAnsi="Lucida Sans Unicode"/>
          <w:sz w:val="24"/>
        </w:rPr>
        <w:t>→</w:t>
      </w:r>
      <w:r>
        <w:rPr>
          <w:rFonts w:ascii="Lucida Sans Unicode" w:hAnsi="Lucida Sans Unicode"/>
          <w:spacing w:val="9"/>
          <w:sz w:val="24"/>
        </w:rPr>
        <w:t> </w:t>
      </w:r>
      <w:r>
        <w:rPr>
          <w:sz w:val="24"/>
        </w:rPr>
        <w:t>WeightedPageRank</w:t>
      </w:r>
      <w:r>
        <w:rPr>
          <w:rFonts w:ascii="Calibri" w:hAnsi="Calibri"/>
          <w:sz w:val="24"/>
        </w:rPr>
        <w:t>(</w:t>
      </w:r>
      <w:r>
        <w:rPr>
          <w:rFonts w:ascii="Calibri" w:hAnsi="Calibri"/>
          <w:i/>
          <w:sz w:val="24"/>
        </w:rPr>
        <w:t>E,</w:t>
      </w:r>
      <w:r>
        <w:rPr>
          <w:rFonts w:ascii="Calibri" w:hAnsi="Calibri"/>
          <w:i/>
          <w:spacing w:val="-4"/>
          <w:sz w:val="24"/>
        </w:rPr>
        <w:t> </w:t>
      </w:r>
      <w:r>
        <w:rPr>
          <w:rFonts w:ascii="Calibri" w:hAnsi="Calibri"/>
          <w:i/>
          <w:sz w:val="24"/>
        </w:rPr>
        <w:t>d,</w:t>
      </w:r>
      <w:r>
        <w:rPr>
          <w:rFonts w:ascii="Calibri" w:hAnsi="Calibri"/>
          <w:i/>
          <w:spacing w:val="-4"/>
          <w:sz w:val="24"/>
        </w:rPr>
        <w:t> </w:t>
      </w:r>
      <w:r>
        <w:rPr>
          <w:rFonts w:ascii="Calibri" w:hAnsi="Calibri"/>
          <w:i/>
          <w:sz w:val="24"/>
        </w:rPr>
        <w:t>τ</w:t>
      </w:r>
      <w:r>
        <w:rPr>
          <w:sz w:val="24"/>
          <w:vertAlign w:val="subscript"/>
        </w:rPr>
        <w:t>tol</w:t>
      </w:r>
      <w:r>
        <w:rPr>
          <w:rFonts w:ascii="Calibri" w:hAnsi="Calibri"/>
          <w:i/>
          <w:sz w:val="24"/>
          <w:vertAlign w:val="baseline"/>
        </w:rPr>
        <w:t>,</w:t>
      </w:r>
      <w:r>
        <w:rPr>
          <w:rFonts w:ascii="Calibri" w:hAnsi="Calibri"/>
          <w:i/>
          <w:spacing w:val="-4"/>
          <w:sz w:val="24"/>
          <w:vertAlign w:val="baseline"/>
        </w:rPr>
        <w:t> I</w:t>
      </w:r>
      <w:r>
        <w:rPr>
          <w:spacing w:val="-4"/>
          <w:sz w:val="24"/>
          <w:vertAlign w:val="subscript"/>
        </w:rPr>
        <w:t>max</w:t>
      </w:r>
      <w:r>
        <w:rPr>
          <w:rFonts w:ascii="Calibri" w:hAnsi="Calibri"/>
          <w:spacing w:val="-4"/>
          <w:sz w:val="24"/>
          <w:vertAlign w:val="baseline"/>
        </w:rPr>
        <w:t>)</w:t>
      </w:r>
    </w:p>
    <w:p>
      <w:pPr>
        <w:spacing w:line="289" w:lineRule="exact" w:before="0"/>
        <w:ind w:left="414" w:right="0" w:firstLine="0"/>
        <w:jc w:val="left"/>
        <w:rPr>
          <w:rFonts w:ascii="Calibri" w:hAnsi="Calibri"/>
          <w:sz w:val="24"/>
        </w:rPr>
      </w:pPr>
      <w:r>
        <w:rPr>
          <w:i/>
        </w:rPr>
        <w:t>8: s → 가중치PageRank(E, d, τtol, Imax)</w:t>
      </w:r>
    </w:p>
    <w:p>
      <w:pPr>
        <w:spacing w:line="329" w:lineRule="exact" w:before="0"/>
        <w:ind w:left="414" w:right="0" w:firstLine="0"/>
        <w:jc w:val="left"/>
        <w:rPr>
          <w:sz w:val="24"/>
        </w:rPr>
      </w:pPr>
      <w:r>
        <w:rPr>
          <w:sz w:val="24"/>
        </w:rPr>
        <mc:AlternateContent>
          <mc:Choice Requires="wps">
            <w:drawing>
              <wp:anchor distT="0" distB="0" distL="0" distR="0" allowOverlap="1" layoutInCell="1" locked="0" behindDoc="1" simplePos="0" relativeHeight="487612416">
                <wp:simplePos x="0" y="0"/>
                <wp:positionH relativeFrom="page">
                  <wp:posOffset>809244</wp:posOffset>
                </wp:positionH>
                <wp:positionV relativeFrom="paragraph">
                  <wp:posOffset>230945</wp:posOffset>
                </wp:positionV>
                <wp:extent cx="5941695"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941695" cy="1270"/>
                        </a:xfrm>
                        <a:custGeom>
                          <a:avLst/>
                          <a:gdLst/>
                          <a:ahLst/>
                          <a:cxnLst/>
                          <a:rect l="l" t="t" r="r" b="b"/>
                          <a:pathLst>
                            <a:path w="5941695" h="0">
                              <a:moveTo>
                                <a:pt x="0" y="0"/>
                              </a:moveTo>
                              <a:lnTo>
                                <a:pt x="5941517"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18.184681pt;width:467.85pt;height:.1pt;mso-position-horizontal-relative:page;mso-position-vertical-relative:paragraph;z-index:-15704064;mso-wrap-distance-left:0;mso-wrap-distance-right:0" id="docshape142" coordorigin="1274,364" coordsize="9357,0" path="m1274,364l10631,364e" filled="false" stroked="true" strokeweight=".3985pt" strokecolor="#000000">
                <v:path arrowok="t"/>
                <v:stroke dashstyle="solid"/>
                <w10:wrap type="topAndBottom"/>
              </v:shape>
            </w:pict>
          </mc:Fallback>
        </mc:AlternateContent>
      </w:r>
      <w:r>
        <w:rPr>
          <w:sz w:val="20"/>
        </w:rPr>
        <w:t>9:</w:t>
      </w:r>
      <w:r>
        <w:rPr>
          <w:spacing w:val="60"/>
          <w:sz w:val="20"/>
        </w:rPr>
        <w:t> </w:t>
      </w:r>
      <w:r>
        <w:rPr>
          <w:b/>
          <w:sz w:val="24"/>
        </w:rPr>
        <w:t>return</w:t>
      </w:r>
      <w:r>
        <w:rPr>
          <w:b/>
          <w:spacing w:val="-5"/>
          <w:sz w:val="24"/>
        </w:rPr>
        <w:t> </w:t>
      </w:r>
      <w:r>
        <w:rPr>
          <w:b/>
          <w:sz w:val="24"/>
        </w:rPr>
        <w:t>s</w:t>
      </w:r>
      <w:r>
        <w:rPr>
          <w:sz w:val="24"/>
          <w:vertAlign w:val="subscript"/>
        </w:rPr>
        <w:t>AWP</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7"/>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b/>
          <w:sz w:val="24"/>
          <w:vertAlign w:val="baseline"/>
        </w:rPr>
        <w:t>s</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1"/>
          <w:sz w:val="24"/>
          <w:vertAlign w:val="baseline"/>
        </w:rPr>
        <w:t> </w:t>
      </w:r>
      <w:r>
        <w:rPr>
          <w:sz w:val="24"/>
          <w:vertAlign w:val="baseline"/>
        </w:rPr>
        <w:t>for</w:t>
      </w:r>
      <w:r>
        <w:rPr>
          <w:spacing w:val="-5"/>
          <w:sz w:val="24"/>
          <w:vertAlign w:val="baseline"/>
        </w:rPr>
        <w:t> </w:t>
      </w:r>
      <w:r>
        <w:rPr>
          <w:rFonts w:ascii="Calibri" w:hAnsi="Calibri"/>
          <w:i/>
          <w:sz w:val="24"/>
          <w:vertAlign w:val="baseline"/>
        </w:rPr>
        <w:t>w</w:t>
      </w:r>
      <w:r>
        <w:rPr>
          <w:rFonts w:ascii="Calibri" w:hAnsi="Calibri"/>
          <w:i/>
          <w:spacing w:val="13"/>
          <w:sz w:val="24"/>
          <w:vertAlign w:val="baseline"/>
        </w:rPr>
        <w:t> </w:t>
      </w:r>
      <w:r>
        <w:rPr>
          <w:rFonts w:ascii="Lucida Sans Unicode" w:hAnsi="Lucida Sans Unicode"/>
          <w:sz w:val="24"/>
          <w:vertAlign w:val="baseline"/>
        </w:rPr>
        <w:t>∈</w:t>
      </w:r>
      <w:r>
        <w:rPr>
          <w:rFonts w:ascii="Lucida Sans Unicode" w:hAnsi="Lucida Sans Unicode"/>
          <w:spacing w:val="-15"/>
          <w:sz w:val="24"/>
          <w:vertAlign w:val="baseline"/>
        </w:rPr>
        <w:t> </w:t>
      </w:r>
      <w:r>
        <w:rPr>
          <w:rFonts w:ascii="Lucida Sans Unicode" w:hAnsi="Lucida Sans Unicode"/>
          <w:sz w:val="24"/>
          <w:vertAlign w:val="baseline"/>
        </w:rPr>
        <w:t>M</w:t>
      </w:r>
      <w:r>
        <w:rPr>
          <w:rFonts w:ascii="Lucida Sans Unicode" w:hAnsi="Lucida Sans Unicode"/>
          <w:spacing w:val="-2"/>
          <w:sz w:val="24"/>
          <w:vertAlign w:val="baseline"/>
        </w:rPr>
        <w:t> </w:t>
      </w:r>
      <w:r>
        <w:rPr>
          <w:sz w:val="24"/>
          <w:vertAlign w:val="baseline"/>
        </w:rPr>
        <w:t>(else</w:t>
      </w:r>
      <w:r>
        <w:rPr>
          <w:spacing w:val="-5"/>
          <w:sz w:val="24"/>
          <w:vertAlign w:val="baseline"/>
        </w:rPr>
        <w:t> </w:t>
      </w:r>
      <w:r>
        <w:rPr>
          <w:rFonts w:ascii="Calibri" w:hAnsi="Calibri"/>
          <w:spacing w:val="-7"/>
          <w:sz w:val="24"/>
          <w:vertAlign w:val="baseline"/>
        </w:rPr>
        <w:t>0</w:t>
      </w:r>
      <w:r>
        <w:rPr>
          <w:spacing w:val="-7"/>
          <w:sz w:val="24"/>
          <w:vertAlign w:val="baseline"/>
        </w:rPr>
        <w:t>)</w:t>
      </w:r>
    </w:p>
    <w:p>
      <w:pPr>
        <w:spacing w:line="329" w:lineRule="exact" w:before="0"/>
        <w:ind w:left="414" w:right="0" w:firstLine="0"/>
        <w:jc w:val="left"/>
        <w:rPr>
          <w:sz w:val="24"/>
        </w:rPr>
      </w:pPr>
      <w:r>
        <w:rPr>
          <w:i/>
        </w:rPr>
        <w:t>9: w ∈ M에 대해 sAWP[w] → s[w]를 반환합니다(그 외의 경우 0).</w:t>
      </w:r>
    </w:p>
    <w:p>
      <w:pPr>
        <w:spacing w:after="0" w:line="329" w:lineRule="exact"/>
        <w:jc w:val="left"/>
        <w:rPr>
          <w:sz w:val="24"/>
        </w:rPr>
        <w:sectPr>
          <w:pgSz w:w="11910" w:h="16840"/>
          <w:pgMar w:header="0" w:footer="2115" w:top="1920" w:bottom="2300" w:left="992" w:right="708"/>
        </w:sectPr>
      </w:pPr>
    </w:p>
    <w:p>
      <w:pPr>
        <w:pStyle w:val="BodyText"/>
        <w:spacing w:line="321" w:lineRule="auto" w:before="33"/>
        <w:ind w:left="282" w:right="560"/>
        <w:jc w:val="both"/>
      </w:pPr>
      <w:r>
        <w:rPr/>
        <w:t>computational-efficiency hypothesis (H3):</w:t>
      </w:r>
      <w:r>
        <w:rPr>
          <w:spacing w:val="37"/>
        </w:rPr>
        <w:t> </w:t>
      </w:r>
      <w:r>
        <w:rPr/>
        <w:t>per-iteration PageRank cost scales with </w:t>
      </w:r>
      <w:r>
        <w:rPr>
          <w:rFonts w:ascii="Lucida Sans Unicode"/>
        </w:rPr>
        <w:t>|</w:t>
      </w:r>
      <w:r>
        <w:rPr>
          <w:rFonts w:ascii="Calibri"/>
          <w:i/>
        </w:rPr>
        <w:t>E</w:t>
      </w:r>
      <w:r>
        <w:rPr>
          <w:rFonts w:ascii="Lucida Sans Unicode"/>
        </w:rPr>
        <w:t>|</w:t>
      </w:r>
      <w:r>
        <w:rPr/>
        <w:t>, so fewer edges imply faster solves and lower memory for the adjacency structures in Equation (</w:t>
      </w:r>
      <w:hyperlink w:history="true" w:anchor="_bookmark52">
        <w:r>
          <w:rPr/>
          <w:t>3.2</w:t>
        </w:r>
      </w:hyperlink>
      <w:r>
        <w:rPr/>
        <w:t>).</w:t>
      </w:r>
    </w:p>
    <w:p>
      <w:pPr>
        <w:pStyle w:val="BodyText"/>
        <w:spacing w:line="321" w:lineRule="auto" w:before="33"/>
        <w:ind w:left="282" w:right="560"/>
        <w:jc w:val="both"/>
      </w:pPr>
      <w:r>
        <w:rPr>
          <w:i/>
        </w:rPr>
        <w:t>계산 효율성 가설(H3): 반복당 PageRank 비용은 |E|에 따라 확장되므로 가장자리 수가 적다는 것은 방정식 (3.2)의 인접 구조에 대한 더 빠른 해결 및 더 낮은 메모리를 의미합니다.</w:t>
      </w:r>
    </w:p>
    <w:p>
      <w:pPr>
        <w:pStyle w:val="ListParagraph"/>
        <w:numPr>
          <w:ilvl w:val="0"/>
          <w:numId w:val="19"/>
        </w:numPr>
        <w:tabs>
          <w:tab w:pos="806" w:val="left" w:leader="none"/>
          <w:tab w:pos="808" w:val="left" w:leader="none"/>
        </w:tabs>
        <w:spacing w:line="456" w:lineRule="exact" w:before="67" w:after="0"/>
        <w:ind w:left="808" w:right="523" w:hanging="216"/>
        <w:jc w:val="both"/>
        <w:rPr>
          <w:sz w:val="24"/>
        </w:rPr>
      </w:pPr>
      <w:r>
        <w:rPr>
          <w:b/>
          <w:w w:val="105"/>
          <w:sz w:val="24"/>
        </w:rPr>
        <w:t>Implementation</w:t>
      </w:r>
      <w:r>
        <w:rPr>
          <w:b/>
          <w:spacing w:val="-16"/>
          <w:w w:val="105"/>
          <w:sz w:val="24"/>
        </w:rPr>
        <w:t> </w:t>
      </w:r>
      <w:r>
        <w:rPr>
          <w:b/>
          <w:w w:val="105"/>
          <w:sz w:val="24"/>
        </w:rPr>
        <w:t>notes</w:t>
      </w:r>
      <w:r>
        <w:rPr>
          <w:b/>
          <w:spacing w:val="-16"/>
          <w:w w:val="105"/>
          <w:sz w:val="24"/>
        </w:rPr>
        <w:t> </w:t>
      </w:r>
      <w:r>
        <w:rPr>
          <w:b/>
          <w:w w:val="105"/>
          <w:sz w:val="24"/>
        </w:rPr>
        <w:t>shared</w:t>
      </w:r>
      <w:r>
        <w:rPr>
          <w:b/>
          <w:spacing w:val="-16"/>
          <w:w w:val="105"/>
          <w:sz w:val="24"/>
        </w:rPr>
        <w:t> </w:t>
      </w:r>
      <w:r>
        <w:rPr>
          <w:b/>
          <w:w w:val="105"/>
          <w:sz w:val="24"/>
        </w:rPr>
        <w:t>by</w:t>
      </w:r>
      <w:r>
        <w:rPr>
          <w:b/>
          <w:spacing w:val="-15"/>
          <w:w w:val="105"/>
          <w:sz w:val="24"/>
        </w:rPr>
        <w:t> </w:t>
      </w:r>
      <w:r>
        <w:rPr>
          <w:b/>
          <w:w w:val="105"/>
          <w:sz w:val="24"/>
        </w:rPr>
        <w:t>both</w:t>
      </w:r>
      <w:r>
        <w:rPr>
          <w:b/>
          <w:spacing w:val="-16"/>
          <w:w w:val="105"/>
          <w:sz w:val="24"/>
        </w:rPr>
        <w:t> </w:t>
      </w:r>
      <w:r>
        <w:rPr>
          <w:b/>
          <w:w w:val="105"/>
          <w:sz w:val="24"/>
        </w:rPr>
        <w:t>methods:</w:t>
      </w:r>
      <w:r>
        <w:rPr>
          <w:b/>
          <w:spacing w:val="-16"/>
          <w:w w:val="105"/>
          <w:sz w:val="24"/>
        </w:rPr>
        <w:t> </w:t>
      </w:r>
      <w:r>
        <w:rPr>
          <w:w w:val="105"/>
          <w:sz w:val="24"/>
        </w:rPr>
        <w:t>Edge</w:t>
      </w:r>
      <w:r>
        <w:rPr>
          <w:spacing w:val="-16"/>
          <w:w w:val="105"/>
          <w:sz w:val="24"/>
        </w:rPr>
        <w:t> </w:t>
      </w:r>
      <w:r>
        <w:rPr>
          <w:w w:val="105"/>
          <w:sz w:val="24"/>
        </w:rPr>
        <w:t>lists</w:t>
      </w:r>
      <w:r>
        <w:rPr>
          <w:spacing w:val="-15"/>
          <w:w w:val="105"/>
          <w:sz w:val="24"/>
        </w:rPr>
        <w:t> </w:t>
      </w:r>
      <w:r>
        <w:rPr>
          <w:w w:val="105"/>
          <w:sz w:val="24"/>
        </w:rPr>
        <w:t>are</w:t>
      </w:r>
      <w:r>
        <w:rPr>
          <w:spacing w:val="-16"/>
          <w:w w:val="105"/>
          <w:sz w:val="24"/>
        </w:rPr>
        <w:t> </w:t>
      </w:r>
      <w:r>
        <w:rPr>
          <w:w w:val="105"/>
          <w:sz w:val="24"/>
        </w:rPr>
        <w:t>stored</w:t>
      </w:r>
      <w:r>
        <w:rPr>
          <w:spacing w:val="-16"/>
          <w:w w:val="105"/>
          <w:sz w:val="24"/>
        </w:rPr>
        <w:t> </w:t>
      </w:r>
      <w:r>
        <w:rPr>
          <w:w w:val="105"/>
          <w:sz w:val="24"/>
        </w:rPr>
        <w:t>as</w:t>
      </w:r>
      <w:r>
        <w:rPr>
          <w:spacing w:val="-16"/>
          <w:w w:val="105"/>
          <w:sz w:val="24"/>
        </w:rPr>
        <w:t> </w:t>
      </w:r>
      <w:r>
        <w:rPr>
          <w:w w:val="105"/>
          <w:sz w:val="24"/>
        </w:rPr>
        <w:t>triples</w:t>
      </w:r>
      <w:r>
        <w:rPr>
          <w:spacing w:val="-15"/>
          <w:w w:val="105"/>
          <w:sz w:val="24"/>
        </w:rPr>
        <w:t> </w:t>
      </w:r>
      <w:r>
        <w:rPr>
          <w:rFonts w:ascii="Calibri" w:hAnsi="Calibri"/>
          <w:w w:val="105"/>
          <w:sz w:val="24"/>
        </w:rPr>
        <w:t>(from_n ode,to_node,weight) </w:t>
      </w:r>
      <w:r>
        <w:rPr>
          <w:w w:val="105"/>
          <w:sz w:val="24"/>
        </w:rPr>
        <w:t>in memory.</w:t>
      </w:r>
      <w:r>
        <w:rPr>
          <w:spacing w:val="40"/>
          <w:w w:val="105"/>
          <w:sz w:val="24"/>
        </w:rPr>
        <w:t> </w:t>
      </w:r>
      <w:r>
        <w:rPr>
          <w:w w:val="105"/>
          <w:sz w:val="24"/>
        </w:rPr>
        <w:t>Duplicate edges are aggregated by summing weights </w:t>
      </w:r>
      <w:r>
        <w:rPr>
          <w:sz w:val="24"/>
        </w:rPr>
        <w:t>before</w:t>
      </w:r>
      <w:r>
        <w:rPr>
          <w:spacing w:val="-2"/>
          <w:sz w:val="24"/>
        </w:rPr>
        <w:t> </w:t>
      </w:r>
      <w:r>
        <w:rPr>
          <w:sz w:val="24"/>
        </w:rPr>
        <w:t>the</w:t>
      </w:r>
      <w:r>
        <w:rPr>
          <w:spacing w:val="-2"/>
          <w:sz w:val="24"/>
        </w:rPr>
        <w:t> </w:t>
      </w:r>
      <w:r>
        <w:rPr>
          <w:sz w:val="24"/>
        </w:rPr>
        <w:t>solve.</w:t>
      </w:r>
      <w:r>
        <w:rPr>
          <w:spacing w:val="25"/>
          <w:sz w:val="24"/>
        </w:rPr>
        <w:t> </w:t>
      </w:r>
      <w:r>
        <w:rPr>
          <w:sz w:val="24"/>
        </w:rPr>
        <w:t>Non-positive</w:t>
      </w:r>
      <w:r>
        <w:rPr>
          <w:spacing w:val="-1"/>
          <w:sz w:val="24"/>
        </w:rPr>
        <w:t> </w:t>
      </w:r>
      <w:r>
        <w:rPr>
          <w:sz w:val="24"/>
        </w:rPr>
        <w:t>weights</w:t>
      </w:r>
      <w:r>
        <w:rPr>
          <w:spacing w:val="-2"/>
          <w:sz w:val="24"/>
        </w:rPr>
        <w:t> </w:t>
      </w:r>
      <w:r>
        <w:rPr>
          <w:sz w:val="24"/>
        </w:rPr>
        <w:t>are</w:t>
      </w:r>
      <w:r>
        <w:rPr>
          <w:spacing w:val="-2"/>
          <w:sz w:val="24"/>
        </w:rPr>
        <w:t> </w:t>
      </w:r>
      <w:r>
        <w:rPr>
          <w:sz w:val="24"/>
        </w:rPr>
        <w:t>dropped.</w:t>
      </w:r>
      <w:r>
        <w:rPr>
          <w:spacing w:val="25"/>
          <w:sz w:val="24"/>
        </w:rPr>
        <w:t> </w:t>
      </w:r>
      <w:r>
        <w:rPr>
          <w:sz w:val="24"/>
        </w:rPr>
        <w:t>The</w:t>
      </w:r>
      <w:r>
        <w:rPr>
          <w:spacing w:val="-1"/>
          <w:sz w:val="24"/>
        </w:rPr>
        <w:t> </w:t>
      </w:r>
      <w:r>
        <w:rPr>
          <w:sz w:val="24"/>
        </w:rPr>
        <w:t>solver</w:t>
      </w:r>
      <w:r>
        <w:rPr>
          <w:spacing w:val="-2"/>
          <w:sz w:val="24"/>
        </w:rPr>
        <w:t> </w:t>
      </w:r>
      <w:r>
        <w:rPr>
          <w:sz w:val="24"/>
        </w:rPr>
        <w:t>builds</w:t>
      </w:r>
      <w:r>
        <w:rPr>
          <w:spacing w:val="-2"/>
          <w:sz w:val="24"/>
        </w:rPr>
        <w:t> </w:t>
      </w:r>
      <w:r>
        <w:rPr>
          <w:sz w:val="24"/>
        </w:rPr>
        <w:t>a</w:t>
      </w:r>
      <w:r>
        <w:rPr>
          <w:spacing w:val="-1"/>
          <w:sz w:val="24"/>
        </w:rPr>
        <w:t> </w:t>
      </w:r>
      <w:r>
        <w:rPr>
          <w:sz w:val="24"/>
        </w:rPr>
        <w:t>sparse</w:t>
      </w:r>
      <w:r>
        <w:rPr>
          <w:spacing w:val="-2"/>
          <w:sz w:val="24"/>
        </w:rPr>
        <w:t> </w:t>
      </w:r>
      <w:r>
        <w:rPr>
          <w:sz w:val="24"/>
        </w:rPr>
        <w:t>compressed-row transition matrix, iterates Equation (</w:t>
      </w:r>
      <w:hyperlink w:history="true" w:anchor="_bookmark50">
        <w:r>
          <w:rPr>
            <w:sz w:val="24"/>
          </w:rPr>
          <w:t>3.1</w:t>
        </w:r>
      </w:hyperlink>
      <w:r>
        <w:rPr>
          <w:sz w:val="24"/>
        </w:rPr>
        <w:t>), and returns a dictionary from node identifier </w:t>
      </w:r>
      <w:r>
        <w:rPr>
          <w:w w:val="105"/>
          <w:sz w:val="24"/>
        </w:rPr>
        <w:t>to</w:t>
      </w:r>
      <w:r>
        <w:rPr>
          <w:spacing w:val="-16"/>
          <w:w w:val="105"/>
          <w:sz w:val="24"/>
        </w:rPr>
        <w:t> </w:t>
      </w:r>
      <w:r>
        <w:rPr>
          <w:w w:val="105"/>
          <w:sz w:val="24"/>
        </w:rPr>
        <w:t>score.</w:t>
      </w:r>
      <w:r>
        <w:rPr>
          <w:spacing w:val="-16"/>
          <w:w w:val="105"/>
          <w:sz w:val="24"/>
        </w:rPr>
        <w:t> </w:t>
      </w:r>
      <w:r>
        <w:rPr>
          <w:w w:val="105"/>
          <w:sz w:val="24"/>
        </w:rPr>
        <w:t>Cohort</w:t>
      </w:r>
      <w:r>
        <w:rPr>
          <w:spacing w:val="-16"/>
          <w:w w:val="105"/>
          <w:sz w:val="24"/>
        </w:rPr>
        <w:t> </w:t>
      </w:r>
      <w:r>
        <w:rPr>
          <w:w w:val="105"/>
          <w:sz w:val="24"/>
        </w:rPr>
        <w:t>scores</w:t>
      </w:r>
      <w:r>
        <w:rPr>
          <w:spacing w:val="-15"/>
          <w:w w:val="105"/>
          <w:sz w:val="24"/>
        </w:rPr>
        <w:t> </w:t>
      </w:r>
      <w:r>
        <w:rPr>
          <w:w w:val="105"/>
          <w:sz w:val="24"/>
        </w:rPr>
        <w:t>are</w:t>
      </w:r>
      <w:r>
        <w:rPr>
          <w:spacing w:val="-16"/>
          <w:w w:val="105"/>
          <w:sz w:val="24"/>
        </w:rPr>
        <w:t> </w:t>
      </w:r>
      <w:r>
        <w:rPr>
          <w:w w:val="105"/>
          <w:sz w:val="24"/>
        </w:rPr>
        <w:t>aligned</w:t>
      </w:r>
      <w:r>
        <w:rPr>
          <w:spacing w:val="-16"/>
          <w:w w:val="105"/>
          <w:sz w:val="24"/>
        </w:rPr>
        <w:t> </w:t>
      </w:r>
      <w:r>
        <w:rPr>
          <w:w w:val="105"/>
          <w:sz w:val="24"/>
        </w:rPr>
        <w:t>to</w:t>
      </w:r>
      <w:r>
        <w:rPr>
          <w:spacing w:val="-16"/>
          <w:w w:val="105"/>
          <w:sz w:val="24"/>
        </w:rPr>
        <w:t> </w:t>
      </w:r>
      <w:r>
        <w:rPr>
          <w:rFonts w:ascii="Lucida Sans Unicode" w:hAnsi="Lucida Sans Unicode"/>
          <w:w w:val="105"/>
          <w:sz w:val="24"/>
        </w:rPr>
        <w:t>M</w:t>
      </w:r>
      <w:r>
        <w:rPr>
          <w:rFonts w:ascii="Lucida Sans Unicode" w:hAnsi="Lucida Sans Unicode"/>
          <w:spacing w:val="-20"/>
          <w:w w:val="105"/>
          <w:sz w:val="24"/>
        </w:rPr>
        <w:t> </w:t>
      </w:r>
      <w:r>
        <w:rPr>
          <w:w w:val="105"/>
          <w:sz w:val="24"/>
        </w:rPr>
        <w:t>with</w:t>
      </w:r>
      <w:r>
        <w:rPr>
          <w:spacing w:val="-15"/>
          <w:w w:val="105"/>
          <w:sz w:val="24"/>
        </w:rPr>
        <w:t> </w:t>
      </w:r>
      <w:r>
        <w:rPr>
          <w:w w:val="105"/>
          <w:sz w:val="24"/>
        </w:rPr>
        <w:t>missing</w:t>
      </w:r>
      <w:r>
        <w:rPr>
          <w:spacing w:val="-16"/>
          <w:w w:val="105"/>
          <w:sz w:val="24"/>
        </w:rPr>
        <w:t> </w:t>
      </w:r>
      <w:r>
        <w:rPr>
          <w:w w:val="105"/>
          <w:sz w:val="24"/>
        </w:rPr>
        <w:t>entries</w:t>
      </w:r>
      <w:r>
        <w:rPr>
          <w:spacing w:val="-16"/>
          <w:w w:val="105"/>
          <w:sz w:val="24"/>
        </w:rPr>
        <w:t> </w:t>
      </w:r>
      <w:r>
        <w:rPr>
          <w:w w:val="105"/>
          <w:sz w:val="24"/>
        </w:rPr>
        <w:t>set</w:t>
      </w:r>
      <w:r>
        <w:rPr>
          <w:spacing w:val="-16"/>
          <w:w w:val="105"/>
          <w:sz w:val="24"/>
        </w:rPr>
        <w:t> </w:t>
      </w:r>
      <w:r>
        <w:rPr>
          <w:w w:val="105"/>
          <w:sz w:val="24"/>
        </w:rPr>
        <w:t>to</w:t>
      </w:r>
      <w:r>
        <w:rPr>
          <w:spacing w:val="-15"/>
          <w:w w:val="105"/>
          <w:sz w:val="24"/>
        </w:rPr>
        <w:t> </w:t>
      </w:r>
      <w:r>
        <w:rPr>
          <w:w w:val="105"/>
          <w:sz w:val="24"/>
        </w:rPr>
        <w:t>zero,</w:t>
      </w:r>
      <w:r>
        <w:rPr>
          <w:spacing w:val="-16"/>
          <w:w w:val="105"/>
          <w:sz w:val="24"/>
        </w:rPr>
        <w:t> </w:t>
      </w:r>
      <w:r>
        <w:rPr>
          <w:w w:val="105"/>
          <w:sz w:val="24"/>
        </w:rPr>
        <w:t>then</w:t>
      </w:r>
      <w:r>
        <w:rPr>
          <w:spacing w:val="-16"/>
          <w:w w:val="105"/>
          <w:sz w:val="24"/>
        </w:rPr>
        <w:t> </w:t>
      </w:r>
      <w:r>
        <w:rPr>
          <w:w w:val="105"/>
          <w:sz w:val="24"/>
        </w:rPr>
        <w:t>converted</w:t>
      </w:r>
      <w:r>
        <w:rPr>
          <w:spacing w:val="-16"/>
          <w:w w:val="105"/>
          <w:sz w:val="24"/>
        </w:rPr>
        <w:t> </w:t>
      </w:r>
      <w:r>
        <w:rPr>
          <w:w w:val="105"/>
          <w:sz w:val="24"/>
        </w:rPr>
        <w:t>to dense ranks for correlation.</w:t>
      </w:r>
    </w:p>
    <w:p>
      <w:pPr>
        <w:pStyle w:val="ListParagraph"/>
        <w:numPr>
          <w:ilvl w:val="0"/>
          <w:numId w:val="19"/>
        </w:numPr>
        <w:tabs>
          <w:tab w:pos="806" w:val="left" w:leader="none"/>
          <w:tab w:pos="808" w:val="left" w:leader="none"/>
        </w:tabs>
        <w:spacing w:line="456" w:lineRule="exact" w:before="67" w:after="0"/>
        <w:ind w:left="808" w:right="523" w:hanging="216"/>
        <w:jc w:val="both"/>
        <w:rPr>
          <w:sz w:val="24"/>
        </w:rPr>
      </w:pPr>
      <w:r>
        <w:rPr>
          <w:i/>
        </w:rPr>
        <w:t>두 가지 방법이 공유하는 구현 참고 사항: Edge 목록은 메모리에 트리플(from_n ode,to_node,weight)로 저장됩니다. 중복 모서리는 해석 전에 가중치를 합산하여 집계됩니다. 양수가 아닌 가중치는 삭제됩니다. 솔버는 희소 압축 행 전이 행렬을 구축하고 방정식 (3.1)을 반복하며 노드 식별자에서 점수까지 사전을 반환합니다. 코호트 점수는 누락 항목이 0으로 설정된 M으로 정렬된 다음 상관 관계를 위해 밀집 순위로 변환됩니다.</w:t>
      </w:r>
    </w:p>
    <w:p>
      <w:pPr>
        <w:pStyle w:val="BodyText"/>
      </w:pPr>
    </w:p>
    <w:p>
      <w:pPr>
        <w:pStyle w:val="BodyText"/>
        <w:spacing w:before="25"/>
      </w:pPr>
    </w:p>
    <w:p>
      <w:pPr>
        <w:pStyle w:val="Heading2"/>
        <w:numPr>
          <w:ilvl w:val="1"/>
          <w:numId w:val="8"/>
        </w:numPr>
        <w:tabs>
          <w:tab w:pos="783" w:val="left" w:leader="none"/>
        </w:tabs>
        <w:spacing w:line="240" w:lineRule="auto" w:before="0" w:after="0"/>
        <w:ind w:left="783" w:right="0" w:hanging="501"/>
        <w:jc w:val="left"/>
      </w:pPr>
      <w:bookmarkStart w:name="Supplementary GF-PR graph (extension)" w:id="113"/>
      <w:bookmarkEnd w:id="113"/>
      <w:r>
        <w:rPr>
          <w:b w:val="0"/>
        </w:rPr>
      </w:r>
      <w:bookmarkStart w:name="_bookmark64" w:id="114"/>
      <w:bookmarkEnd w:id="114"/>
      <w:r>
        <w:rPr>
          <w:b w:val="0"/>
        </w:rPr>
      </w:r>
      <w:r>
        <w:rPr/>
        <w:t>Supplementary</w:t>
      </w:r>
      <w:r>
        <w:rPr>
          <w:spacing w:val="21"/>
        </w:rPr>
        <w:t> </w:t>
      </w:r>
      <w:r>
        <w:rPr/>
        <w:t>GF-PR</w:t>
      </w:r>
      <w:r>
        <w:rPr>
          <w:spacing w:val="21"/>
        </w:rPr>
        <w:t> </w:t>
      </w:r>
      <w:r>
        <w:rPr/>
        <w:t>graph</w:t>
      </w:r>
      <w:r>
        <w:rPr>
          <w:spacing w:val="21"/>
        </w:rPr>
        <w:t> </w:t>
      </w:r>
      <w:r>
        <w:rPr>
          <w:spacing w:val="-2"/>
        </w:rPr>
        <w:t>(extension)</w:t>
      </w:r>
    </w:p>
    <w:p>
      <w:pPr>
        <w:pStyle w:val="Heading2"/>
        <w:numPr>
          <w:ilvl w:val="1"/>
          <w:numId w:val="8"/>
        </w:numPr>
        <w:tabs>
          <w:tab w:pos="783" w:val="left" w:leader="none"/>
        </w:tabs>
        <w:spacing w:line="240" w:lineRule="auto" w:before="0" w:after="0"/>
        <w:ind w:left="783" w:right="0" w:hanging="501"/>
        <w:jc w:val="left"/>
      </w:pPr>
      <w:r>
        <w:rPr>
          <w:i/>
        </w:rPr>
        <w:t>보충 GF-PR 그래프(확장)</w:t>
      </w:r>
    </w:p>
    <w:p>
      <w:pPr>
        <w:pStyle w:val="BodyText"/>
        <w:spacing w:before="20"/>
        <w:rPr>
          <w:b/>
          <w:sz w:val="28"/>
        </w:rPr>
      </w:pPr>
    </w:p>
    <w:p>
      <w:pPr>
        <w:pStyle w:val="BodyText"/>
        <w:spacing w:line="388" w:lineRule="auto"/>
        <w:ind w:left="282" w:right="524"/>
        <w:jc w:val="both"/>
      </w:pPr>
      <w:r>
        <w:rPr/>
        <w:t>GF-PR is an outcome-native reference built only from GMX </w:t>
      </w:r>
      <w:r>
        <w:rPr>
          <w:rFonts w:ascii="Calibri" w:hAnsi="Calibri"/>
          <w:w w:val="110"/>
        </w:rPr>
        <w:t>PositionDecrease </w:t>
      </w:r>
      <w:r>
        <w:rPr/>
        <w:t>events.</w:t>
      </w:r>
      <w:r>
        <w:rPr>
          <w:spacing w:val="40"/>
        </w:rPr>
        <w:t> </w:t>
      </w:r>
      <w:r>
        <w:rPr/>
        <w:t>It is evaluated</w:t>
      </w:r>
      <w:r>
        <w:rPr>
          <w:spacing w:val="-3"/>
        </w:rPr>
        <w:t> </w:t>
      </w:r>
      <w:r>
        <w:rPr/>
        <w:t>solely</w:t>
      </w:r>
      <w:r>
        <w:rPr>
          <w:spacing w:val="-3"/>
        </w:rPr>
        <w:t> </w:t>
      </w:r>
      <w:r>
        <w:rPr/>
        <w:t>for</w:t>
      </w:r>
      <w:r>
        <w:rPr>
          <w:spacing w:val="-3"/>
        </w:rPr>
        <w:t> </w:t>
      </w:r>
      <w:r>
        <w:rPr/>
        <w:t>supplementary</w:t>
      </w:r>
      <w:r>
        <w:rPr>
          <w:spacing w:val="-3"/>
        </w:rPr>
        <w:t> </w:t>
      </w:r>
      <w:r>
        <w:rPr/>
        <w:t>question</w:t>
      </w:r>
      <w:r>
        <w:rPr>
          <w:spacing w:val="-3"/>
        </w:rPr>
        <w:t> </w:t>
      </w:r>
      <w:r>
        <w:rPr/>
        <w:t>SRQ1</w:t>
      </w:r>
      <w:r>
        <w:rPr>
          <w:spacing w:val="-3"/>
        </w:rPr>
        <w:t> </w:t>
      </w:r>
      <w:r>
        <w:rPr/>
        <w:t>(construct-overlap</w:t>
      </w:r>
      <w:r>
        <w:rPr>
          <w:spacing w:val="-3"/>
        </w:rPr>
        <w:t> </w:t>
      </w:r>
      <w:r>
        <w:rPr/>
        <w:t>diagnostic)</w:t>
      </w:r>
      <w:r>
        <w:rPr>
          <w:spacing w:val="-3"/>
        </w:rPr>
        <w:t> </w:t>
      </w:r>
      <w:r>
        <w:rPr/>
        <w:t>and</w:t>
      </w:r>
      <w:r>
        <w:rPr>
          <w:spacing w:val="-3"/>
        </w:rPr>
        <w:t> </w:t>
      </w:r>
      <w:r>
        <w:rPr/>
        <w:t>is</w:t>
      </w:r>
      <w:r>
        <w:rPr>
          <w:spacing w:val="-3"/>
        </w:rPr>
        <w:t> </w:t>
      </w:r>
      <w:r>
        <w:rPr/>
        <w:t>not</w:t>
      </w:r>
      <w:r>
        <w:rPr>
          <w:spacing w:val="-3"/>
        </w:rPr>
        <w:t> </w:t>
      </w:r>
      <w:r>
        <w:rPr/>
        <w:t>a</w:t>
      </w:r>
      <w:r>
        <w:rPr>
          <w:spacing w:val="-3"/>
        </w:rPr>
        <w:t> </w:t>
      </w:r>
      <w:r>
        <w:rPr/>
        <w:t>pri-mary peer to EndorseRank or AWP. The method exists to answer a methodological question:</w:t>
      </w:r>
      <w:r>
        <w:rPr>
          <w:spacing w:val="25"/>
        </w:rPr>
        <w:t> </w:t>
      </w:r>
      <w:r>
        <w:rPr/>
        <w:t>if a ranking</w:t>
      </w:r>
      <w:r>
        <w:rPr>
          <w:spacing w:val="-6"/>
        </w:rPr>
        <w:t> </w:t>
      </w:r>
      <w:r>
        <w:rPr/>
        <w:t>is</w:t>
      </w:r>
      <w:r>
        <w:rPr>
          <w:spacing w:val="-6"/>
        </w:rPr>
        <w:t> </w:t>
      </w:r>
      <w:r>
        <w:rPr/>
        <w:t>allowed</w:t>
      </w:r>
      <w:r>
        <w:rPr>
          <w:spacing w:val="-6"/>
        </w:rPr>
        <w:t> </w:t>
      </w:r>
      <w:r>
        <w:rPr/>
        <w:t>to</w:t>
      </w:r>
      <w:r>
        <w:rPr>
          <w:spacing w:val="-6"/>
        </w:rPr>
        <w:t> </w:t>
      </w:r>
      <w:r>
        <w:rPr/>
        <w:t>read</w:t>
      </w:r>
      <w:r>
        <w:rPr>
          <w:spacing w:val="-6"/>
        </w:rPr>
        <w:t> </w:t>
      </w:r>
      <w:r>
        <w:rPr/>
        <w:t>the</w:t>
      </w:r>
      <w:r>
        <w:rPr>
          <w:spacing w:val="-6"/>
        </w:rPr>
        <w:t> </w:t>
      </w:r>
      <w:r>
        <w:rPr/>
        <w:t>same</w:t>
      </w:r>
      <w:r>
        <w:rPr>
          <w:spacing w:val="-6"/>
        </w:rPr>
        <w:t> </w:t>
      </w:r>
      <w:r>
        <w:rPr/>
        <w:t>PnL</w:t>
      </w:r>
      <w:r>
        <w:rPr>
          <w:spacing w:val="-6"/>
        </w:rPr>
        <w:t> </w:t>
      </w:r>
      <w:r>
        <w:rPr/>
        <w:t>stream</w:t>
      </w:r>
      <w:r>
        <w:rPr>
          <w:spacing w:val="-6"/>
        </w:rPr>
        <w:t> </w:t>
      </w:r>
      <w:r>
        <w:rPr/>
        <w:t>that</w:t>
      </w:r>
      <w:r>
        <w:rPr>
          <w:spacing w:val="-5"/>
        </w:rPr>
        <w:t> </w:t>
      </w:r>
      <w:r>
        <w:rPr/>
        <w:t>defines</w:t>
      </w:r>
      <w:r>
        <w:rPr>
          <w:spacing w:val="-6"/>
        </w:rPr>
        <w:t> </w:t>
      </w:r>
      <w:r>
        <w:rPr/>
        <w:t>trading-success</w:t>
      </w:r>
      <w:r>
        <w:rPr>
          <w:spacing w:val="-6"/>
        </w:rPr>
        <w:t> </w:t>
      </w:r>
      <w:r>
        <w:rPr/>
        <w:t>proxies,</w:t>
      </w:r>
      <w:r>
        <w:rPr>
          <w:spacing w:val="-5"/>
        </w:rPr>
        <w:t> </w:t>
      </w:r>
      <w:r>
        <w:rPr/>
        <w:t>how</w:t>
      </w:r>
      <w:r>
        <w:rPr>
          <w:spacing w:val="-6"/>
        </w:rPr>
        <w:t> </w:t>
      </w:r>
      <w:r>
        <w:rPr/>
        <w:t>high</w:t>
      </w:r>
      <w:r>
        <w:rPr>
          <w:spacing w:val="-6"/>
        </w:rPr>
        <w:t> </w:t>
      </w:r>
      <w:r>
        <w:rPr/>
        <w:t>can alignment rise?</w:t>
      </w:r>
      <w:r>
        <w:rPr>
          <w:spacing w:val="40"/>
        </w:rPr>
        <w:t> </w:t>
      </w:r>
      <w:r>
        <w:rPr/>
        <w:t>That ceiling clarifies how much of a social method’s trading-success </w:t>
      </w:r>
      <w:r>
        <w:rPr>
          <w:rFonts w:ascii="Calibri" w:hAnsi="Calibri"/>
          <w:i/>
        </w:rPr>
        <w:t>τ</w:t>
      </w:r>
      <w:r>
        <w:rPr>
          <w:rFonts w:ascii="Calibri" w:hAnsi="Calibri"/>
          <w:i/>
          <w:spacing w:val="39"/>
        </w:rPr>
        <w:t> </w:t>
      </w:r>
      <w:r>
        <w:rPr/>
        <w:t>might be attributed to genuine social signal versus residual correlation with outcomes.</w:t>
      </w:r>
    </w:p>
    <w:p>
      <w:pPr>
        <w:pStyle w:val="BodyText"/>
        <w:spacing w:line="388" w:lineRule="auto"/>
        <w:ind w:left="282" w:right="524"/>
        <w:jc w:val="both"/>
      </w:pPr>
      <w:r>
        <w:rPr>
          <w:i/>
        </w:rPr>
        <w:t>GF-PR은 GMX PositionDecrease 이벤트에서만 구축된 결과 기반 참조입니다. 이는 보충 질문 SRQ1(구성-중복 진단)에 대해서만 평가되며 EndorseRank 또는 AWP에 대한 기본 피어가 아닙니다. 이 방법은 방법론적 질문에 답하기 위해 존재합니다. 순위가 거래 성공 프록시를 정의하는 동일한 PnL 스트림을 읽을 수 있도록 허용되면 정렬이 얼마나 높아질 수 있습니까? 이 상한선은 소셜 방법의 거래 성공 τ 중 얼마나 많은 부분이 진정한 사회적 신호와 결과와의 잔여 상관관계에 기인하는지를 명확히 합니다.</w:t>
      </w:r>
    </w:p>
    <w:p>
      <w:pPr>
        <w:pStyle w:val="BodyText"/>
        <w:spacing w:before="19"/>
        <w:ind w:left="274"/>
        <w:jc w:val="both"/>
      </w:pPr>
      <w:r>
        <w:rPr/>
        <w:t>The</w:t>
      </w:r>
      <w:r>
        <w:rPr>
          <w:spacing w:val="1"/>
        </w:rPr>
        <w:t> </w:t>
      </w:r>
      <w:r>
        <w:rPr/>
        <w:t>graph</w:t>
      </w:r>
      <w:r>
        <w:rPr>
          <w:spacing w:val="2"/>
        </w:rPr>
        <w:t> </w:t>
      </w:r>
      <w:r>
        <w:rPr/>
        <w:t>is</w:t>
      </w:r>
      <w:r>
        <w:rPr>
          <w:spacing w:val="1"/>
        </w:rPr>
        <w:t> </w:t>
      </w:r>
      <w:r>
        <w:rPr/>
        <w:t>a</w:t>
      </w:r>
      <w:r>
        <w:rPr>
          <w:spacing w:val="2"/>
        </w:rPr>
        <w:t> </w:t>
      </w:r>
      <w:r>
        <w:rPr/>
        <w:t>directed</w:t>
      </w:r>
      <w:r>
        <w:rPr>
          <w:spacing w:val="1"/>
        </w:rPr>
        <w:t> </w:t>
      </w:r>
      <w:r>
        <w:rPr/>
        <w:t>star</w:t>
      </w:r>
      <w:r>
        <w:rPr>
          <w:spacing w:val="2"/>
        </w:rPr>
        <w:t> </w:t>
      </w:r>
      <w:r>
        <w:rPr/>
        <w:t>with</w:t>
      </w:r>
      <w:r>
        <w:rPr>
          <w:spacing w:val="2"/>
        </w:rPr>
        <w:t> </w:t>
      </w:r>
      <w:r>
        <w:rPr/>
        <w:t>two</w:t>
      </w:r>
      <w:r>
        <w:rPr>
          <w:spacing w:val="1"/>
        </w:rPr>
        <w:t> </w:t>
      </w:r>
      <w:r>
        <w:rPr/>
        <w:t>synthetic</w:t>
      </w:r>
      <w:r>
        <w:rPr>
          <w:spacing w:val="2"/>
        </w:rPr>
        <w:t> </w:t>
      </w:r>
      <w:r>
        <w:rPr/>
        <w:t>nodes,</w:t>
      </w:r>
      <w:r>
        <w:rPr>
          <w:spacing w:val="3"/>
        </w:rPr>
        <w:t> </w:t>
      </w:r>
      <w:r>
        <w:rPr/>
        <w:t>POOL</w:t>
      </w:r>
      <w:r>
        <w:rPr>
          <w:spacing w:val="2"/>
        </w:rPr>
        <w:t> </w:t>
      </w:r>
      <w:r>
        <w:rPr/>
        <w:t>and</w:t>
      </w:r>
      <w:r>
        <w:rPr>
          <w:spacing w:val="1"/>
        </w:rPr>
        <w:t> </w:t>
      </w:r>
      <w:r>
        <w:rPr/>
        <w:t>SINK.</w:t>
      </w:r>
      <w:r>
        <w:rPr>
          <w:spacing w:val="34"/>
        </w:rPr>
        <w:t> </w:t>
      </w:r>
      <w:r>
        <w:rPr/>
        <w:t>For</w:t>
      </w:r>
      <w:r>
        <w:rPr>
          <w:spacing w:val="1"/>
        </w:rPr>
        <w:t> </w:t>
      </w:r>
      <w:r>
        <w:rPr/>
        <w:t>each</w:t>
      </w:r>
      <w:r>
        <w:rPr>
          <w:spacing w:val="2"/>
        </w:rPr>
        <w:t> </w:t>
      </w:r>
      <w:r>
        <w:rPr/>
        <w:t>close</w:t>
      </w:r>
      <w:r>
        <w:rPr>
          <w:spacing w:val="2"/>
        </w:rPr>
        <w:t> </w:t>
      </w:r>
      <w:r>
        <w:rPr/>
        <w:t>of</w:t>
      </w:r>
      <w:r>
        <w:rPr>
          <w:spacing w:val="1"/>
        </w:rPr>
        <w:t> </w:t>
      </w:r>
      <w:r>
        <w:rPr>
          <w:spacing w:val="-2"/>
        </w:rPr>
        <w:t>wallet</w:t>
      </w:r>
    </w:p>
    <w:p>
      <w:pPr>
        <w:pStyle w:val="BodyText"/>
        <w:spacing w:before="19"/>
        <w:ind w:left="274"/>
        <w:jc w:val="both"/>
      </w:pPr>
      <w:r>
        <w:rPr>
          <w:i/>
        </w:rPr>
        <w:t>그래프는 POOL과 SINK라는 두 개의 합성 노드가 있는 방향성이 있는 별입니다. 지갑이 닫힐 때마다</w:t>
      </w:r>
    </w:p>
    <w:p>
      <w:pPr>
        <w:pStyle w:val="BodyText"/>
        <w:spacing w:before="176"/>
        <w:ind w:left="282"/>
        <w:jc w:val="both"/>
      </w:pPr>
      <w:r>
        <w:rPr>
          <w:rFonts w:ascii="Calibri"/>
          <w:i/>
        </w:rPr>
        <w:t>w</w:t>
      </w:r>
      <w:r>
        <w:rPr>
          <w:rFonts w:ascii="Calibri"/>
          <w:i/>
          <w:spacing w:val="12"/>
        </w:rPr>
        <w:t> </w:t>
      </w:r>
      <w:r>
        <w:rPr/>
        <w:t>with</w:t>
      </w:r>
      <w:r>
        <w:rPr>
          <w:spacing w:val="-1"/>
        </w:rPr>
        <w:t> </w:t>
      </w:r>
      <w:r>
        <w:rPr/>
        <w:t>realized</w:t>
      </w:r>
      <w:r>
        <w:rPr>
          <w:spacing w:val="-1"/>
        </w:rPr>
        <w:t> </w:t>
      </w:r>
      <w:r>
        <w:rPr/>
        <w:t>PnL </w:t>
      </w:r>
      <w:r>
        <w:rPr>
          <w:rFonts w:ascii="Calibri"/>
          <w:i/>
        </w:rPr>
        <w:t>x</w:t>
      </w:r>
      <w:r>
        <w:rPr>
          <w:rFonts w:ascii="Calibri"/>
          <w:i/>
          <w:spacing w:val="5"/>
        </w:rPr>
        <w:t> </w:t>
      </w:r>
      <w:r>
        <w:rPr/>
        <w:t>(field</w:t>
      </w:r>
      <w:r>
        <w:rPr>
          <w:spacing w:val="-1"/>
        </w:rPr>
        <w:t> </w:t>
      </w:r>
      <w:r>
        <w:rPr>
          <w:rFonts w:ascii="Calibri"/>
          <w:spacing w:val="-2"/>
        </w:rPr>
        <w:t>basePnlUsd</w:t>
      </w:r>
      <w:r>
        <w:rPr>
          <w:spacing w:val="-2"/>
        </w:rPr>
        <w:t>):</w:t>
      </w:r>
    </w:p>
    <w:p>
      <w:pPr>
        <w:pStyle w:val="BodyText"/>
        <w:spacing w:before="176"/>
        <w:ind w:left="282"/>
        <w:jc w:val="both"/>
      </w:pPr>
      <w:r>
        <w:rPr>
          <w:i/>
        </w:rPr>
        <w:t>실현된 PnL x를 사용한 w(필드 basePnlUsd):</w:t>
      </w:r>
    </w:p>
    <w:p>
      <w:pPr>
        <w:pStyle w:val="ListParagraph"/>
        <w:numPr>
          <w:ilvl w:val="0"/>
          <w:numId w:val="20"/>
        </w:numPr>
        <w:tabs>
          <w:tab w:pos="807" w:val="left" w:leader="none"/>
        </w:tabs>
        <w:spacing w:line="240" w:lineRule="auto" w:before="189" w:after="0"/>
        <w:ind w:left="807" w:right="0" w:hanging="214"/>
        <w:jc w:val="left"/>
        <w:rPr>
          <w:sz w:val="24"/>
        </w:rPr>
      </w:pPr>
      <w:r>
        <w:rPr>
          <w:sz w:val="24"/>
        </w:rPr>
        <w:t>if</w:t>
      </w:r>
      <w:r>
        <w:rPr>
          <w:spacing w:val="2"/>
          <w:sz w:val="24"/>
        </w:rPr>
        <w:t> </w:t>
      </w:r>
      <w:r>
        <w:rPr>
          <w:sz w:val="24"/>
        </w:rPr>
        <w:t>the</w:t>
      </w:r>
      <w:r>
        <w:rPr>
          <w:spacing w:val="2"/>
          <w:sz w:val="24"/>
        </w:rPr>
        <w:t> </w:t>
      </w:r>
      <w:r>
        <w:rPr>
          <w:sz w:val="24"/>
        </w:rPr>
        <w:t>close</w:t>
      </w:r>
      <w:r>
        <w:rPr>
          <w:spacing w:val="2"/>
          <w:sz w:val="24"/>
        </w:rPr>
        <w:t> </w:t>
      </w:r>
      <w:r>
        <w:rPr>
          <w:sz w:val="24"/>
        </w:rPr>
        <w:t>is</w:t>
      </w:r>
      <w:r>
        <w:rPr>
          <w:spacing w:val="2"/>
          <w:sz w:val="24"/>
        </w:rPr>
        <w:t> </w:t>
      </w:r>
      <w:r>
        <w:rPr>
          <w:sz w:val="24"/>
        </w:rPr>
        <w:t>a</w:t>
      </w:r>
      <w:r>
        <w:rPr>
          <w:spacing w:val="2"/>
          <w:sz w:val="24"/>
        </w:rPr>
        <w:t> </w:t>
      </w:r>
      <w:r>
        <w:rPr>
          <w:sz w:val="24"/>
        </w:rPr>
        <w:t>liquidation,</w:t>
      </w:r>
      <w:r>
        <w:rPr>
          <w:spacing w:val="3"/>
          <w:sz w:val="24"/>
        </w:rPr>
        <w:t> </w:t>
      </w:r>
      <w:r>
        <w:rPr>
          <w:sz w:val="24"/>
        </w:rPr>
        <w:t>add</w:t>
      </w:r>
      <w:r>
        <w:rPr>
          <w:spacing w:val="2"/>
          <w:sz w:val="24"/>
        </w:rPr>
        <w:t> </w:t>
      </w:r>
      <w:r>
        <w:rPr>
          <w:sz w:val="24"/>
        </w:rPr>
        <w:t>weight</w:t>
      </w:r>
      <w:r>
        <w:rPr>
          <w:spacing w:val="2"/>
          <w:sz w:val="24"/>
        </w:rPr>
        <w:t> </w:t>
      </w:r>
      <w:r>
        <w:rPr>
          <w:rFonts w:ascii="Lucida Sans Unicode" w:hAnsi="Lucida Sans Unicode"/>
          <w:sz w:val="24"/>
        </w:rPr>
        <w:t>|</w:t>
      </w:r>
      <w:r>
        <w:rPr>
          <w:rFonts w:ascii="Calibri" w:hAnsi="Calibri"/>
          <w:i/>
          <w:sz w:val="24"/>
        </w:rPr>
        <w:t>x</w:t>
      </w:r>
      <w:r>
        <w:rPr>
          <w:rFonts w:ascii="Lucida Sans Unicode" w:hAnsi="Lucida Sans Unicode"/>
          <w:sz w:val="24"/>
        </w:rPr>
        <w:t>|</w:t>
      </w:r>
      <w:r>
        <w:rPr>
          <w:rFonts w:ascii="Lucida Sans Unicode" w:hAnsi="Lucida Sans Unicode"/>
          <w:spacing w:val="-20"/>
          <w:sz w:val="24"/>
        </w:rPr>
        <w:t> </w:t>
      </w:r>
      <w:r>
        <w:rPr>
          <w:rFonts w:ascii="Calibri" w:hAnsi="Calibri"/>
          <w:sz w:val="24"/>
        </w:rPr>
        <w:t>+</w:t>
      </w:r>
      <w:r>
        <w:rPr>
          <w:rFonts w:ascii="Calibri" w:hAnsi="Calibri"/>
          <w:spacing w:val="2"/>
          <w:sz w:val="24"/>
        </w:rPr>
        <w:t> </w:t>
      </w:r>
      <w:r>
        <w:rPr>
          <w:rFonts w:ascii="Calibri" w:hAnsi="Calibri"/>
          <w:i/>
          <w:sz w:val="24"/>
        </w:rPr>
        <w:t>ε</w:t>
      </w:r>
      <w:r>
        <w:rPr>
          <w:sz w:val="24"/>
          <w:vertAlign w:val="subscript"/>
        </w:rPr>
        <w:t>liq</w:t>
      </w:r>
      <w:r>
        <w:rPr>
          <w:spacing w:val="12"/>
          <w:sz w:val="24"/>
          <w:vertAlign w:val="baseline"/>
        </w:rPr>
        <w:t> </w:t>
      </w:r>
      <w:r>
        <w:rPr>
          <w:sz w:val="24"/>
          <w:vertAlign w:val="baseline"/>
        </w:rPr>
        <w:t>on</w:t>
      </w:r>
      <w:r>
        <w:rPr>
          <w:spacing w:val="3"/>
          <w:sz w:val="24"/>
          <w:vertAlign w:val="baseline"/>
        </w:rPr>
        <w:t> </w:t>
      </w:r>
      <w:r>
        <w:rPr>
          <w:rFonts w:ascii="Calibri" w:hAnsi="Calibri"/>
          <w:i/>
          <w:sz w:val="24"/>
          <w:vertAlign w:val="baseline"/>
        </w:rPr>
        <w:t>w</w:t>
      </w:r>
      <w:r>
        <w:rPr>
          <w:rFonts w:ascii="Calibri" w:hAnsi="Calibri"/>
          <w:i/>
          <w:spacing w:val="22"/>
          <w:sz w:val="24"/>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sz w:val="24"/>
          <w:vertAlign w:val="baseline"/>
        </w:rPr>
        <w:t>SINK</w:t>
      </w:r>
      <w:r>
        <w:rPr>
          <w:spacing w:val="2"/>
          <w:sz w:val="24"/>
          <w:vertAlign w:val="baseline"/>
        </w:rPr>
        <w:t> </w:t>
      </w:r>
      <w:r>
        <w:rPr>
          <w:sz w:val="24"/>
          <w:vertAlign w:val="baseline"/>
        </w:rPr>
        <w:t>with</w:t>
      </w:r>
      <w:r>
        <w:rPr>
          <w:spacing w:val="4"/>
          <w:sz w:val="24"/>
          <w:vertAlign w:val="baseline"/>
        </w:rPr>
        <w:t> </w:t>
      </w:r>
      <w:r>
        <w:rPr>
          <w:rFonts w:ascii="Calibri" w:hAnsi="Calibri"/>
          <w:i/>
          <w:sz w:val="24"/>
          <w:vertAlign w:val="baseline"/>
        </w:rPr>
        <w:t>ε</w:t>
      </w:r>
      <w:r>
        <w:rPr>
          <w:sz w:val="24"/>
          <w:vertAlign w:val="subscript"/>
        </w:rPr>
        <w:t>liq</w:t>
      </w:r>
      <w:r>
        <w:rPr>
          <w:spacing w:val="20"/>
          <w:sz w:val="24"/>
          <w:vertAlign w:val="baseline"/>
        </w:rPr>
        <w:t> </w:t>
      </w:r>
      <w:r>
        <w:rPr>
          <w:rFonts w:ascii="Calibri" w:hAnsi="Calibri"/>
          <w:sz w:val="24"/>
          <w:vertAlign w:val="baseline"/>
        </w:rPr>
        <w:t>=</w:t>
      </w:r>
      <w:r>
        <w:rPr>
          <w:rFonts w:ascii="Calibri" w:hAnsi="Calibri"/>
          <w:spacing w:val="14"/>
          <w:sz w:val="24"/>
          <w:vertAlign w:val="baseline"/>
        </w:rPr>
        <w:t> </w:t>
      </w:r>
      <w:r>
        <w:rPr>
          <w:rFonts w:ascii="Calibri" w:hAnsi="Calibri"/>
          <w:spacing w:val="-4"/>
          <w:sz w:val="24"/>
          <w:vertAlign w:val="baseline"/>
        </w:rPr>
        <w:t>1</w:t>
      </w:r>
      <w:r>
        <w:rPr>
          <w:rFonts w:ascii="Calibri" w:hAnsi="Calibri"/>
          <w:i/>
          <w:spacing w:val="-4"/>
          <w:sz w:val="24"/>
          <w:vertAlign w:val="baseline"/>
        </w:rPr>
        <w:t>.</w:t>
      </w:r>
      <w:r>
        <w:rPr>
          <w:rFonts w:ascii="Calibri" w:hAnsi="Calibri"/>
          <w:spacing w:val="-4"/>
          <w:sz w:val="24"/>
          <w:vertAlign w:val="baseline"/>
        </w:rPr>
        <w:t>0</w:t>
      </w:r>
      <w:r>
        <w:rPr>
          <w:spacing w:val="-4"/>
          <w:sz w:val="24"/>
          <w:vertAlign w:val="baseline"/>
        </w:rPr>
        <w:t>;</w:t>
      </w:r>
    </w:p>
    <w:p>
      <w:pPr>
        <w:pStyle w:val="ListParagraph"/>
        <w:numPr>
          <w:ilvl w:val="0"/>
          <w:numId w:val="20"/>
        </w:numPr>
        <w:tabs>
          <w:tab w:pos="807" w:val="left" w:leader="none"/>
        </w:tabs>
        <w:spacing w:line="240" w:lineRule="auto" w:before="189" w:after="0"/>
        <w:ind w:left="807" w:right="0" w:hanging="214"/>
        <w:jc w:val="left"/>
        <w:rPr>
          <w:sz w:val="24"/>
        </w:rPr>
      </w:pPr>
      <w:r>
        <w:rPr>
          <w:i/>
        </w:rPr>
        <w:t>종가가 청산인 경우 가중치 |x|를 추가합니다. + w에 대한 εliq → εliq = 1.0인 SINK;</w:t>
      </w:r>
    </w:p>
    <w:p>
      <w:pPr>
        <w:pStyle w:val="ListParagraph"/>
        <w:numPr>
          <w:ilvl w:val="0"/>
          <w:numId w:val="20"/>
        </w:numPr>
        <w:tabs>
          <w:tab w:pos="807" w:val="left" w:leader="none"/>
        </w:tabs>
        <w:spacing w:line="240" w:lineRule="auto" w:before="124" w:after="0"/>
        <w:ind w:left="807" w:right="0" w:hanging="214"/>
        <w:jc w:val="left"/>
        <w:rPr>
          <w:sz w:val="24"/>
        </w:rPr>
      </w:pPr>
      <w:r>
        <w:rPr>
          <w:sz w:val="24"/>
        </w:rPr>
        <w:t>else</w:t>
      </w:r>
      <w:r>
        <w:rPr>
          <w:spacing w:val="7"/>
          <w:sz w:val="24"/>
        </w:rPr>
        <w:t> </w:t>
      </w:r>
      <w:r>
        <w:rPr>
          <w:sz w:val="24"/>
        </w:rPr>
        <w:t>if</w:t>
      </w:r>
      <w:r>
        <w:rPr>
          <w:spacing w:val="8"/>
          <w:sz w:val="24"/>
        </w:rPr>
        <w:t> </w:t>
      </w:r>
      <w:r>
        <w:rPr>
          <w:rFonts w:ascii="Calibri" w:hAnsi="Calibri"/>
          <w:i/>
          <w:sz w:val="24"/>
        </w:rPr>
        <w:t>x</w:t>
      </w:r>
      <w:r>
        <w:rPr>
          <w:rFonts w:ascii="Calibri" w:hAnsi="Calibri"/>
          <w:i/>
          <w:spacing w:val="21"/>
          <w:sz w:val="24"/>
        </w:rPr>
        <w:t> </w:t>
      </w:r>
      <w:r>
        <w:rPr>
          <w:rFonts w:ascii="Calibri" w:hAnsi="Calibri"/>
          <w:i/>
          <w:sz w:val="24"/>
        </w:rPr>
        <w:t>&gt;</w:t>
      </w:r>
      <w:r>
        <w:rPr>
          <w:rFonts w:ascii="Calibri" w:hAnsi="Calibri"/>
          <w:i/>
          <w:spacing w:val="22"/>
          <w:sz w:val="24"/>
        </w:rPr>
        <w:t> </w:t>
      </w:r>
      <w:r>
        <w:rPr>
          <w:rFonts w:ascii="Calibri" w:hAnsi="Calibri"/>
          <w:sz w:val="24"/>
        </w:rPr>
        <w:t>0</w:t>
      </w:r>
      <w:r>
        <w:rPr>
          <w:sz w:val="24"/>
        </w:rPr>
        <w:t>,</w:t>
      </w:r>
      <w:r>
        <w:rPr>
          <w:spacing w:val="8"/>
          <w:sz w:val="24"/>
        </w:rPr>
        <w:t> </w:t>
      </w:r>
      <w:r>
        <w:rPr>
          <w:sz w:val="24"/>
        </w:rPr>
        <w:t>add</w:t>
      </w:r>
      <w:r>
        <w:rPr>
          <w:spacing w:val="8"/>
          <w:sz w:val="24"/>
        </w:rPr>
        <w:t> </w:t>
      </w:r>
      <w:r>
        <w:rPr>
          <w:sz w:val="24"/>
        </w:rPr>
        <w:t>weight</w:t>
      </w:r>
      <w:r>
        <w:rPr>
          <w:spacing w:val="8"/>
          <w:sz w:val="24"/>
        </w:rPr>
        <w:t> </w:t>
      </w:r>
      <w:r>
        <w:rPr>
          <w:rFonts w:ascii="Calibri" w:hAnsi="Calibri"/>
          <w:i/>
          <w:sz w:val="24"/>
        </w:rPr>
        <w:t>x</w:t>
      </w:r>
      <w:r>
        <w:rPr>
          <w:rFonts w:ascii="Calibri" w:hAnsi="Calibri"/>
          <w:i/>
          <w:spacing w:val="14"/>
          <w:sz w:val="24"/>
        </w:rPr>
        <w:t> </w:t>
      </w:r>
      <w:r>
        <w:rPr>
          <w:sz w:val="24"/>
        </w:rPr>
        <w:t>on</w:t>
      </w:r>
      <w:r>
        <w:rPr>
          <w:spacing w:val="8"/>
          <w:sz w:val="24"/>
        </w:rPr>
        <w:t> </w:t>
      </w:r>
      <w:r>
        <w:rPr>
          <w:sz w:val="24"/>
        </w:rPr>
        <w:t>POOL</w:t>
      </w:r>
      <w:r>
        <w:rPr>
          <w:spacing w:val="16"/>
          <w:sz w:val="24"/>
        </w:rPr>
        <w:t> </w:t>
      </w:r>
      <w:r>
        <w:rPr>
          <w:rFonts w:ascii="Lucida Sans Unicode" w:hAnsi="Lucida Sans Unicode"/>
          <w:sz w:val="24"/>
        </w:rPr>
        <w:t>→ </w:t>
      </w:r>
      <w:r>
        <w:rPr>
          <w:rFonts w:ascii="Calibri" w:hAnsi="Calibri"/>
          <w:i/>
          <w:spacing w:val="-5"/>
          <w:sz w:val="24"/>
        </w:rPr>
        <w:t>w</w:t>
      </w:r>
      <w:r>
        <w:rPr>
          <w:spacing w:val="-5"/>
          <w:sz w:val="24"/>
        </w:rPr>
        <w:t>;</w:t>
      </w:r>
    </w:p>
    <w:p>
      <w:pPr>
        <w:pStyle w:val="ListParagraph"/>
        <w:numPr>
          <w:ilvl w:val="0"/>
          <w:numId w:val="20"/>
        </w:numPr>
        <w:tabs>
          <w:tab w:pos="807" w:val="left" w:leader="none"/>
        </w:tabs>
        <w:spacing w:line="240" w:lineRule="auto" w:before="124" w:after="0"/>
        <w:ind w:left="807" w:right="0" w:hanging="214"/>
        <w:jc w:val="left"/>
        <w:rPr>
          <w:sz w:val="24"/>
        </w:rPr>
      </w:pPr>
      <w:r>
        <w:rPr>
          <w:i/>
        </w:rPr>
        <w:t>그렇지 않으면 x &gt; 0이면 POOL → w에 가중치 x를 추가합니다.</w:t>
      </w:r>
    </w:p>
    <w:p>
      <w:pPr>
        <w:pStyle w:val="ListParagraph"/>
        <w:numPr>
          <w:ilvl w:val="0"/>
          <w:numId w:val="20"/>
        </w:numPr>
        <w:tabs>
          <w:tab w:pos="807" w:val="left" w:leader="none"/>
        </w:tabs>
        <w:spacing w:line="240" w:lineRule="auto" w:before="124" w:after="0"/>
        <w:ind w:left="807" w:right="0" w:hanging="214"/>
        <w:jc w:val="left"/>
        <w:rPr>
          <w:sz w:val="24"/>
        </w:rPr>
      </w:pPr>
      <w:r>
        <w:rPr>
          <w:sz w:val="24"/>
        </w:rPr>
        <w:t>else</w:t>
      </w:r>
      <w:r>
        <w:rPr>
          <w:spacing w:val="7"/>
          <w:sz w:val="24"/>
        </w:rPr>
        <w:t> </w:t>
      </w:r>
      <w:r>
        <w:rPr>
          <w:sz w:val="24"/>
        </w:rPr>
        <w:t>if</w:t>
      </w:r>
      <w:r>
        <w:rPr>
          <w:spacing w:val="8"/>
          <w:sz w:val="24"/>
        </w:rPr>
        <w:t> </w:t>
      </w:r>
      <w:r>
        <w:rPr>
          <w:rFonts w:ascii="Calibri" w:hAnsi="Calibri"/>
          <w:i/>
          <w:sz w:val="24"/>
        </w:rPr>
        <w:t>x</w:t>
      </w:r>
      <w:r>
        <w:rPr>
          <w:rFonts w:ascii="Calibri" w:hAnsi="Calibri"/>
          <w:i/>
          <w:spacing w:val="20"/>
          <w:sz w:val="24"/>
        </w:rPr>
        <w:t> </w:t>
      </w:r>
      <w:r>
        <w:rPr>
          <w:rFonts w:ascii="Calibri" w:hAnsi="Calibri"/>
          <w:i/>
          <w:sz w:val="24"/>
        </w:rPr>
        <w:t>&lt;</w:t>
      </w:r>
      <w:r>
        <w:rPr>
          <w:rFonts w:ascii="Calibri" w:hAnsi="Calibri"/>
          <w:i/>
          <w:spacing w:val="22"/>
          <w:sz w:val="24"/>
        </w:rPr>
        <w:t> </w:t>
      </w:r>
      <w:r>
        <w:rPr>
          <w:rFonts w:ascii="Calibri" w:hAnsi="Calibri"/>
          <w:sz w:val="24"/>
        </w:rPr>
        <w:t>0</w:t>
      </w:r>
      <w:r>
        <w:rPr>
          <w:sz w:val="24"/>
        </w:rPr>
        <w:t>,</w:t>
      </w:r>
      <w:r>
        <w:rPr>
          <w:spacing w:val="8"/>
          <w:sz w:val="24"/>
        </w:rPr>
        <w:t> </w:t>
      </w:r>
      <w:r>
        <w:rPr>
          <w:sz w:val="24"/>
        </w:rPr>
        <w:t>add</w:t>
      </w:r>
      <w:r>
        <w:rPr>
          <w:spacing w:val="8"/>
          <w:sz w:val="24"/>
        </w:rPr>
        <w:t> </w:t>
      </w:r>
      <w:r>
        <w:rPr>
          <w:sz w:val="24"/>
        </w:rPr>
        <w:t>weight</w:t>
      </w:r>
      <w:r>
        <w:rPr>
          <w:spacing w:val="7"/>
          <w:sz w:val="24"/>
        </w:rPr>
        <w:t> </w:t>
      </w:r>
      <w:r>
        <w:rPr>
          <w:rFonts w:ascii="Lucida Sans Unicode" w:hAnsi="Lucida Sans Unicode"/>
          <w:sz w:val="24"/>
        </w:rPr>
        <w:t>|</w:t>
      </w:r>
      <w:r>
        <w:rPr>
          <w:rFonts w:ascii="Calibri" w:hAnsi="Calibri"/>
          <w:i/>
          <w:sz w:val="24"/>
        </w:rPr>
        <w:t>x</w:t>
      </w:r>
      <w:r>
        <w:rPr>
          <w:rFonts w:ascii="Lucida Sans Unicode" w:hAnsi="Lucida Sans Unicode"/>
          <w:sz w:val="24"/>
        </w:rPr>
        <w:t>|</w:t>
      </w:r>
      <w:r>
        <w:rPr>
          <w:rFonts w:ascii="Lucida Sans Unicode" w:hAnsi="Lucida Sans Unicode"/>
          <w:spacing w:val="-15"/>
          <w:sz w:val="24"/>
        </w:rPr>
        <w:t> </w:t>
      </w:r>
      <w:r>
        <w:rPr>
          <w:rFonts w:ascii="Calibri" w:hAnsi="Calibri"/>
          <w:sz w:val="24"/>
        </w:rPr>
        <w:t>+</w:t>
      </w:r>
      <w:r>
        <w:rPr>
          <w:rFonts w:ascii="Calibri" w:hAnsi="Calibri"/>
          <w:spacing w:val="7"/>
          <w:sz w:val="24"/>
        </w:rPr>
        <w:t> </w:t>
      </w:r>
      <w:r>
        <w:rPr>
          <w:rFonts w:ascii="Calibri" w:hAnsi="Calibri"/>
          <w:i/>
          <w:sz w:val="24"/>
        </w:rPr>
        <w:t>ε</w:t>
      </w:r>
      <w:r>
        <w:rPr>
          <w:sz w:val="24"/>
          <w:vertAlign w:val="subscript"/>
        </w:rPr>
        <w:t>loss</w:t>
      </w:r>
      <w:r>
        <w:rPr>
          <w:spacing w:val="19"/>
          <w:sz w:val="24"/>
          <w:vertAlign w:val="baseline"/>
        </w:rPr>
        <w:t> </w:t>
      </w:r>
      <w:r>
        <w:rPr>
          <w:sz w:val="24"/>
          <w:vertAlign w:val="baseline"/>
        </w:rPr>
        <w:t>on</w:t>
      </w:r>
      <w:r>
        <w:rPr>
          <w:spacing w:val="8"/>
          <w:sz w:val="24"/>
          <w:vertAlign w:val="baseline"/>
        </w:rPr>
        <w:t> </w:t>
      </w:r>
      <w:r>
        <w:rPr>
          <w:rFonts w:ascii="Calibri" w:hAnsi="Calibri"/>
          <w:i/>
          <w:sz w:val="24"/>
          <w:vertAlign w:val="baseline"/>
        </w:rPr>
        <w:t>w</w:t>
      </w:r>
      <w:r>
        <w:rPr>
          <w:rFonts w:ascii="Calibri" w:hAnsi="Calibri"/>
          <w:i/>
          <w:spacing w:val="28"/>
          <w:sz w:val="24"/>
          <w:vertAlign w:val="baseline"/>
        </w:rPr>
        <w:t> </w:t>
      </w:r>
      <w:r>
        <w:rPr>
          <w:rFonts w:ascii="Lucida Sans Unicode" w:hAnsi="Lucida Sans Unicode"/>
          <w:sz w:val="24"/>
          <w:vertAlign w:val="baseline"/>
        </w:rPr>
        <w:t>→ </w:t>
      </w:r>
      <w:r>
        <w:rPr>
          <w:sz w:val="24"/>
          <w:vertAlign w:val="baseline"/>
        </w:rPr>
        <w:t>SINK</w:t>
      </w:r>
      <w:r>
        <w:rPr>
          <w:spacing w:val="8"/>
          <w:sz w:val="24"/>
          <w:vertAlign w:val="baseline"/>
        </w:rPr>
        <w:t> </w:t>
      </w:r>
      <w:r>
        <w:rPr>
          <w:sz w:val="24"/>
          <w:vertAlign w:val="baseline"/>
        </w:rPr>
        <w:t>with</w:t>
      </w:r>
      <w:r>
        <w:rPr>
          <w:spacing w:val="8"/>
          <w:sz w:val="24"/>
          <w:vertAlign w:val="baseline"/>
        </w:rPr>
        <w:t> </w:t>
      </w:r>
      <w:r>
        <w:rPr>
          <w:rFonts w:ascii="Calibri" w:hAnsi="Calibri"/>
          <w:i/>
          <w:sz w:val="24"/>
          <w:vertAlign w:val="baseline"/>
        </w:rPr>
        <w:t>ε</w:t>
      </w:r>
      <w:r>
        <w:rPr>
          <w:sz w:val="24"/>
          <w:vertAlign w:val="subscript"/>
        </w:rPr>
        <w:t>loss</w:t>
      </w:r>
      <w:r>
        <w:rPr>
          <w:spacing w:val="28"/>
          <w:sz w:val="24"/>
          <w:vertAlign w:val="baseline"/>
        </w:rPr>
        <w:t> </w:t>
      </w:r>
      <w:r>
        <w:rPr>
          <w:rFonts w:ascii="Calibri" w:hAnsi="Calibri"/>
          <w:sz w:val="24"/>
          <w:vertAlign w:val="baseline"/>
        </w:rPr>
        <w:t>=</w:t>
      </w:r>
      <w:r>
        <w:rPr>
          <w:rFonts w:ascii="Calibri" w:hAnsi="Calibri"/>
          <w:spacing w:val="20"/>
          <w:sz w:val="24"/>
          <w:vertAlign w:val="baseline"/>
        </w:rPr>
        <w:t> </w:t>
      </w:r>
      <w:r>
        <w:rPr>
          <w:rFonts w:ascii="Calibri" w:hAnsi="Calibri"/>
          <w:spacing w:val="-4"/>
          <w:sz w:val="24"/>
          <w:vertAlign w:val="baseline"/>
        </w:rPr>
        <w:t>0</w:t>
      </w:r>
      <w:r>
        <w:rPr>
          <w:rFonts w:ascii="Calibri" w:hAnsi="Calibri"/>
          <w:i/>
          <w:spacing w:val="-4"/>
          <w:sz w:val="24"/>
          <w:vertAlign w:val="baseline"/>
        </w:rPr>
        <w:t>.</w:t>
      </w:r>
      <w:r>
        <w:rPr>
          <w:rFonts w:ascii="Calibri" w:hAnsi="Calibri"/>
          <w:spacing w:val="-4"/>
          <w:sz w:val="24"/>
          <w:vertAlign w:val="baseline"/>
        </w:rPr>
        <w:t>1</w:t>
      </w:r>
      <w:r>
        <w:rPr>
          <w:spacing w:val="-4"/>
          <w:sz w:val="24"/>
          <w:vertAlign w:val="baseline"/>
        </w:rPr>
        <w:t>.</w:t>
      </w:r>
    </w:p>
    <w:p>
      <w:pPr>
        <w:pStyle w:val="ListParagraph"/>
        <w:numPr>
          <w:ilvl w:val="0"/>
          <w:numId w:val="20"/>
        </w:numPr>
        <w:tabs>
          <w:tab w:pos="807" w:val="left" w:leader="none"/>
        </w:tabs>
        <w:spacing w:line="240" w:lineRule="auto" w:before="124" w:after="0"/>
        <w:ind w:left="807" w:right="0" w:hanging="214"/>
        <w:jc w:val="left"/>
        <w:rPr>
          <w:sz w:val="24"/>
        </w:rPr>
      </w:pPr>
      <w:r>
        <w:rPr>
          <w:i/>
        </w:rPr>
        <w:t>그렇지 않고 x &lt; 0이면 가중치 |x|를 추가합니다. + w에 대한 εloss → εloss = 0.1인 SINK.</w:t>
      </w:r>
    </w:p>
    <w:p>
      <w:pPr>
        <w:pStyle w:val="BodyText"/>
        <w:spacing w:line="386" w:lineRule="auto" w:before="182"/>
        <w:ind w:left="273" w:right="522" w:firstLine="1"/>
        <w:jc w:val="both"/>
      </w:pPr>
      <w:r>
        <w:rPr/>
        <w:t>The</w:t>
      </w:r>
      <w:r>
        <w:rPr>
          <w:spacing w:val="-2"/>
        </w:rPr>
        <w:t> </w:t>
      </w:r>
      <w:r>
        <w:rPr/>
        <w:t>additives</w:t>
      </w:r>
      <w:r>
        <w:rPr>
          <w:spacing w:val="-2"/>
        </w:rPr>
        <w:t> </w:t>
      </w:r>
      <w:r>
        <w:rPr>
          <w:rFonts w:ascii="Calibri" w:hAnsi="Calibri"/>
          <w:i/>
        </w:rPr>
        <w:t>ε</w:t>
      </w:r>
      <w:r>
        <w:rPr>
          <w:vertAlign w:val="subscript"/>
        </w:rPr>
        <w:t>loss</w:t>
      </w:r>
      <w:r>
        <w:rPr>
          <w:vertAlign w:val="baseline"/>
        </w:rPr>
        <w:t> and</w:t>
      </w:r>
      <w:r>
        <w:rPr>
          <w:spacing w:val="-2"/>
          <w:vertAlign w:val="baseline"/>
        </w:rPr>
        <w:t> </w:t>
      </w:r>
      <w:r>
        <w:rPr>
          <w:rFonts w:ascii="Calibri" w:hAnsi="Calibri"/>
          <w:i/>
          <w:vertAlign w:val="baseline"/>
        </w:rPr>
        <w:t>ε</w:t>
      </w:r>
      <w:r>
        <w:rPr>
          <w:vertAlign w:val="subscript"/>
        </w:rPr>
        <w:t>liq</w:t>
      </w:r>
      <w:r>
        <w:rPr>
          <w:vertAlign w:val="baseline"/>
        </w:rPr>
        <w:t> break</w:t>
      </w:r>
      <w:r>
        <w:rPr>
          <w:spacing w:val="-2"/>
          <w:vertAlign w:val="baseline"/>
        </w:rPr>
        <w:t> </w:t>
      </w:r>
      <w:r>
        <w:rPr>
          <w:vertAlign w:val="baseline"/>
        </w:rPr>
        <w:t>ties</w:t>
      </w:r>
      <w:r>
        <w:rPr>
          <w:spacing w:val="-2"/>
          <w:vertAlign w:val="baseline"/>
        </w:rPr>
        <w:t> </w:t>
      </w:r>
      <w:r>
        <w:rPr>
          <w:vertAlign w:val="baseline"/>
        </w:rPr>
        <w:t>when</w:t>
      </w:r>
      <w:r>
        <w:rPr>
          <w:spacing w:val="-2"/>
          <w:vertAlign w:val="baseline"/>
        </w:rPr>
        <w:t> </w:t>
      </w:r>
      <w:r>
        <w:rPr>
          <w:vertAlign w:val="baseline"/>
        </w:rPr>
        <w:t>PnL</w:t>
      </w:r>
      <w:r>
        <w:rPr>
          <w:spacing w:val="-2"/>
          <w:vertAlign w:val="baseline"/>
        </w:rPr>
        <w:t> </w:t>
      </w:r>
      <w:r>
        <w:rPr>
          <w:vertAlign w:val="baseline"/>
        </w:rPr>
        <w:t>is</w:t>
      </w:r>
      <w:r>
        <w:rPr>
          <w:spacing w:val="-2"/>
          <w:vertAlign w:val="baseline"/>
        </w:rPr>
        <w:t> </w:t>
      </w:r>
      <w:r>
        <w:rPr>
          <w:vertAlign w:val="baseline"/>
        </w:rPr>
        <w:t>exactly</w:t>
      </w:r>
      <w:r>
        <w:rPr>
          <w:spacing w:val="-2"/>
          <w:vertAlign w:val="baseline"/>
        </w:rPr>
        <w:t> </w:t>
      </w:r>
      <w:r>
        <w:rPr>
          <w:vertAlign w:val="baseline"/>
        </w:rPr>
        <w:t>zero</w:t>
      </w:r>
      <w:r>
        <w:rPr>
          <w:spacing w:val="-2"/>
          <w:vertAlign w:val="baseline"/>
        </w:rPr>
        <w:t> </w:t>
      </w:r>
      <w:r>
        <w:rPr>
          <w:vertAlign w:val="baseline"/>
        </w:rPr>
        <w:t>after</w:t>
      </w:r>
      <w:r>
        <w:rPr>
          <w:spacing w:val="-2"/>
          <w:vertAlign w:val="baseline"/>
        </w:rPr>
        <w:t> </w:t>
      </w:r>
      <w:r>
        <w:rPr>
          <w:vertAlign w:val="baseline"/>
        </w:rPr>
        <w:t>absolute</w:t>
      </w:r>
      <w:r>
        <w:rPr>
          <w:spacing w:val="-2"/>
          <w:vertAlign w:val="baseline"/>
        </w:rPr>
        <w:t> </w:t>
      </w:r>
      <w:r>
        <w:rPr>
          <w:vertAlign w:val="baseline"/>
        </w:rPr>
        <w:t>value</w:t>
      </w:r>
      <w:r>
        <w:rPr>
          <w:spacing w:val="-2"/>
          <w:vertAlign w:val="baseline"/>
        </w:rPr>
        <w:t> </w:t>
      </w:r>
      <w:r>
        <w:rPr>
          <w:vertAlign w:val="baseline"/>
        </w:rPr>
        <w:t>and</w:t>
      </w:r>
      <w:r>
        <w:rPr>
          <w:spacing w:val="-2"/>
          <w:vertAlign w:val="baseline"/>
        </w:rPr>
        <w:t> </w:t>
      </w:r>
      <w:r>
        <w:rPr>
          <w:vertAlign w:val="baseline"/>
        </w:rPr>
        <w:t>ensure</w:t>
      </w:r>
      <w:r>
        <w:rPr>
          <w:spacing w:val="-2"/>
          <w:vertAlign w:val="baseline"/>
        </w:rPr>
        <w:t> </w:t>
      </w:r>
      <w:r>
        <w:rPr>
          <w:vertAlign w:val="baseline"/>
        </w:rPr>
        <w:t>that liquidations</w:t>
      </w:r>
      <w:r>
        <w:rPr>
          <w:spacing w:val="-2"/>
          <w:vertAlign w:val="baseline"/>
        </w:rPr>
        <w:t> </w:t>
      </w:r>
      <w:r>
        <w:rPr>
          <w:vertAlign w:val="baseline"/>
        </w:rPr>
        <w:t>contribute</w:t>
      </w:r>
      <w:r>
        <w:rPr>
          <w:spacing w:val="-2"/>
          <w:vertAlign w:val="baseline"/>
        </w:rPr>
        <w:t> </w:t>
      </w:r>
      <w:r>
        <w:rPr>
          <w:vertAlign w:val="baseline"/>
        </w:rPr>
        <w:t>strictly</w:t>
      </w:r>
      <w:r>
        <w:rPr>
          <w:spacing w:val="-2"/>
          <w:vertAlign w:val="baseline"/>
        </w:rPr>
        <w:t> </w:t>
      </w:r>
      <w:r>
        <w:rPr>
          <w:vertAlign w:val="baseline"/>
        </w:rPr>
        <w:t>more</w:t>
      </w:r>
      <w:r>
        <w:rPr>
          <w:spacing w:val="-2"/>
          <w:vertAlign w:val="baseline"/>
        </w:rPr>
        <w:t> </w:t>
      </w:r>
      <w:r>
        <w:rPr>
          <w:vertAlign w:val="baseline"/>
        </w:rPr>
        <w:t>sink</w:t>
      </w:r>
      <w:r>
        <w:rPr>
          <w:spacing w:val="-1"/>
          <w:vertAlign w:val="baseline"/>
        </w:rPr>
        <w:t> </w:t>
      </w:r>
      <w:r>
        <w:rPr>
          <w:vertAlign w:val="baseline"/>
        </w:rPr>
        <w:t>mass</w:t>
      </w:r>
      <w:r>
        <w:rPr>
          <w:spacing w:val="-2"/>
          <w:vertAlign w:val="baseline"/>
        </w:rPr>
        <w:t> </w:t>
      </w:r>
      <w:r>
        <w:rPr>
          <w:vertAlign w:val="baseline"/>
        </w:rPr>
        <w:t>than</w:t>
      </w:r>
      <w:r>
        <w:rPr>
          <w:spacing w:val="-2"/>
          <w:vertAlign w:val="baseline"/>
        </w:rPr>
        <w:t> </w:t>
      </w:r>
      <w:r>
        <w:rPr>
          <w:vertAlign w:val="baseline"/>
        </w:rPr>
        <w:t>ordinary</w:t>
      </w:r>
      <w:r>
        <w:rPr>
          <w:spacing w:val="-2"/>
          <w:vertAlign w:val="baseline"/>
        </w:rPr>
        <w:t> </w:t>
      </w:r>
      <w:r>
        <w:rPr>
          <w:vertAlign w:val="baseline"/>
        </w:rPr>
        <w:t>losses</w:t>
      </w:r>
      <w:r>
        <w:rPr>
          <w:spacing w:val="-2"/>
          <w:vertAlign w:val="baseline"/>
        </w:rPr>
        <w:t> </w:t>
      </w:r>
      <w:r>
        <w:rPr>
          <w:vertAlign w:val="baseline"/>
        </w:rPr>
        <w:t>of</w:t>
      </w:r>
      <w:r>
        <w:rPr>
          <w:spacing w:val="-1"/>
          <w:vertAlign w:val="baseline"/>
        </w:rPr>
        <w:t> </w:t>
      </w:r>
      <w:r>
        <w:rPr>
          <w:vertAlign w:val="baseline"/>
        </w:rPr>
        <w:t>equal</w:t>
      </w:r>
      <w:r>
        <w:rPr>
          <w:spacing w:val="-2"/>
          <w:vertAlign w:val="baseline"/>
        </w:rPr>
        <w:t> </w:t>
      </w:r>
      <w:r>
        <w:rPr>
          <w:vertAlign w:val="baseline"/>
        </w:rPr>
        <w:t>magnitude. There</w:t>
      </w:r>
      <w:r>
        <w:rPr>
          <w:spacing w:val="-2"/>
          <w:vertAlign w:val="baseline"/>
        </w:rPr>
        <w:t> </w:t>
      </w:r>
      <w:r>
        <w:rPr>
          <w:vertAlign w:val="baseline"/>
        </w:rPr>
        <w:t>are no</w:t>
      </w:r>
      <w:r>
        <w:rPr>
          <w:spacing w:val="-15"/>
          <w:vertAlign w:val="baseline"/>
        </w:rPr>
        <w:t> </w:t>
      </w:r>
      <w:r>
        <w:rPr>
          <w:vertAlign w:val="baseline"/>
        </w:rPr>
        <w:t>wallet-to-wallet</w:t>
      </w:r>
      <w:r>
        <w:rPr>
          <w:spacing w:val="-15"/>
          <w:vertAlign w:val="baseline"/>
        </w:rPr>
        <w:t> </w:t>
      </w:r>
      <w:r>
        <w:rPr>
          <w:vertAlign w:val="baseline"/>
        </w:rPr>
        <w:t>edges:</w:t>
      </w:r>
      <w:r>
        <w:rPr>
          <w:spacing w:val="-9"/>
          <w:vertAlign w:val="baseline"/>
        </w:rPr>
        <w:t> </w:t>
      </w:r>
      <w:r>
        <w:rPr>
          <w:vertAlign w:val="baseline"/>
        </w:rPr>
        <w:t>GF-PR</w:t>
      </w:r>
      <w:r>
        <w:rPr>
          <w:spacing w:val="-15"/>
          <w:vertAlign w:val="baseline"/>
        </w:rPr>
        <w:t> </w:t>
      </w:r>
      <w:r>
        <w:rPr>
          <w:vertAlign w:val="baseline"/>
        </w:rPr>
        <w:t>does</w:t>
      </w:r>
      <w:r>
        <w:rPr>
          <w:spacing w:val="-15"/>
          <w:vertAlign w:val="baseline"/>
        </w:rPr>
        <w:t> </w:t>
      </w:r>
      <w:r>
        <w:rPr>
          <w:vertAlign w:val="baseline"/>
        </w:rPr>
        <w:t>not</w:t>
      </w:r>
      <w:r>
        <w:rPr>
          <w:spacing w:val="-15"/>
          <w:vertAlign w:val="baseline"/>
        </w:rPr>
        <w:t> </w:t>
      </w:r>
      <w:r>
        <w:rPr>
          <w:vertAlign w:val="baseline"/>
        </w:rPr>
        <w:t>encode</w:t>
      </w:r>
      <w:r>
        <w:rPr>
          <w:spacing w:val="-15"/>
          <w:vertAlign w:val="baseline"/>
        </w:rPr>
        <w:t> </w:t>
      </w:r>
      <w:r>
        <w:rPr>
          <w:vertAlign w:val="baseline"/>
        </w:rPr>
        <w:t>social</w:t>
      </w:r>
      <w:r>
        <w:rPr>
          <w:spacing w:val="-15"/>
          <w:vertAlign w:val="baseline"/>
        </w:rPr>
        <w:t> </w:t>
      </w:r>
      <w:r>
        <w:rPr>
          <w:vertAlign w:val="baseline"/>
        </w:rPr>
        <w:t>endorsement</w:t>
      </w:r>
      <w:r>
        <w:rPr>
          <w:spacing w:val="-15"/>
          <w:vertAlign w:val="baseline"/>
        </w:rPr>
        <w:t> </w:t>
      </w:r>
      <w:r>
        <w:rPr>
          <w:vertAlign w:val="baseline"/>
        </w:rPr>
        <w:t>or</w:t>
      </w:r>
      <w:r>
        <w:rPr>
          <w:spacing w:val="-15"/>
          <w:vertAlign w:val="baseline"/>
        </w:rPr>
        <w:t> </w:t>
      </w:r>
      <w:r>
        <w:rPr>
          <w:vertAlign w:val="baseline"/>
        </w:rPr>
        <w:t>transfer</w:t>
      </w:r>
      <w:r>
        <w:rPr>
          <w:spacing w:val="-15"/>
          <w:vertAlign w:val="baseline"/>
        </w:rPr>
        <w:t> </w:t>
      </w:r>
      <w:r>
        <w:rPr>
          <w:vertAlign w:val="baseline"/>
        </w:rPr>
        <w:t>structure.</w:t>
      </w:r>
      <w:r>
        <w:rPr>
          <w:spacing w:val="9"/>
          <w:vertAlign w:val="baseline"/>
        </w:rPr>
        <w:t> </w:t>
      </w:r>
      <w:r>
        <w:rPr>
          <w:vertAlign w:val="baseline"/>
        </w:rPr>
        <w:t>PageR-ank with </w:t>
      </w:r>
      <w:r>
        <w:rPr>
          <w:rFonts w:ascii="Calibri" w:hAnsi="Calibri"/>
          <w:i/>
          <w:vertAlign w:val="baseline"/>
        </w:rPr>
        <w:t>d</w:t>
      </w:r>
      <w:r>
        <w:rPr>
          <w:rFonts w:ascii="Calibri" w:hAnsi="Calibri"/>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 </w:t>
      </w:r>
      <w:r>
        <w:rPr>
          <w:vertAlign w:val="baseline"/>
        </w:rPr>
        <w:t>propagates mass from POOL toward profitable wallets and from loss-making wallets</w:t>
      </w:r>
      <w:r>
        <w:rPr>
          <w:spacing w:val="-15"/>
          <w:vertAlign w:val="baseline"/>
        </w:rPr>
        <w:t> </w:t>
      </w:r>
      <w:r>
        <w:rPr>
          <w:vertAlign w:val="baseline"/>
        </w:rPr>
        <w:t>toward</w:t>
      </w:r>
      <w:r>
        <w:rPr>
          <w:spacing w:val="-15"/>
          <w:vertAlign w:val="baseline"/>
        </w:rPr>
        <w:t> </w:t>
      </w:r>
      <w:r>
        <w:rPr>
          <w:vertAlign w:val="baseline"/>
        </w:rPr>
        <w:t>SINK.</w:t>
      </w:r>
      <w:r>
        <w:rPr>
          <w:spacing w:val="12"/>
          <w:vertAlign w:val="baseline"/>
        </w:rPr>
        <w:t> </w:t>
      </w:r>
      <w:r>
        <w:rPr>
          <w:vertAlign w:val="baseline"/>
        </w:rPr>
        <w:t>High</w:t>
      </w:r>
      <w:r>
        <w:rPr>
          <w:spacing w:val="-15"/>
          <w:vertAlign w:val="baseline"/>
        </w:rPr>
        <w:t> </w:t>
      </w:r>
      <w:r>
        <w:rPr>
          <w:vertAlign w:val="baseline"/>
        </w:rPr>
        <w:t>alignment</w:t>
      </w:r>
      <w:r>
        <w:rPr>
          <w:spacing w:val="-15"/>
          <w:vertAlign w:val="baseline"/>
        </w:rPr>
        <w:t> </w:t>
      </w:r>
      <w:r>
        <w:rPr>
          <w:vertAlign w:val="baseline"/>
        </w:rPr>
        <w:t>with</w:t>
      </w:r>
      <w:r>
        <w:rPr>
          <w:spacing w:val="-15"/>
          <w:vertAlign w:val="baseline"/>
        </w:rPr>
        <w:t> </w:t>
      </w:r>
      <w:r>
        <w:rPr>
          <w:vertAlign w:val="baseline"/>
        </w:rPr>
        <w:t>trading-success</w:t>
      </w:r>
      <w:r>
        <w:rPr>
          <w:spacing w:val="-15"/>
          <w:vertAlign w:val="baseline"/>
        </w:rPr>
        <w:t> </w:t>
      </w:r>
      <w:r>
        <w:rPr>
          <w:vertAlign w:val="baseline"/>
        </w:rPr>
        <w:t>proxies</w:t>
      </w:r>
      <w:r>
        <w:rPr>
          <w:spacing w:val="-15"/>
          <w:vertAlign w:val="baseline"/>
        </w:rPr>
        <w:t> </w:t>
      </w:r>
      <w:r>
        <w:rPr>
          <w:vertAlign w:val="baseline"/>
        </w:rPr>
        <w:t>is</w:t>
      </w:r>
      <w:r>
        <w:rPr>
          <w:spacing w:val="-15"/>
          <w:vertAlign w:val="baseline"/>
        </w:rPr>
        <w:t> </w:t>
      </w:r>
      <w:r>
        <w:rPr>
          <w:vertAlign w:val="baseline"/>
        </w:rPr>
        <w:t>expected</w:t>
      </w:r>
      <w:r>
        <w:rPr>
          <w:spacing w:val="-15"/>
          <w:vertAlign w:val="baseline"/>
        </w:rPr>
        <w:t> </w:t>
      </w:r>
      <w:r>
        <w:rPr>
          <w:vertAlign w:val="baseline"/>
        </w:rPr>
        <w:t>by</w:t>
      </w:r>
      <w:r>
        <w:rPr>
          <w:spacing w:val="-15"/>
          <w:vertAlign w:val="baseline"/>
        </w:rPr>
        <w:t> </w:t>
      </w:r>
      <w:r>
        <w:rPr>
          <w:vertAlign w:val="baseline"/>
        </w:rPr>
        <w:t>construction</w:t>
      </w:r>
      <w:r>
        <w:rPr>
          <w:spacing w:val="-15"/>
          <w:vertAlign w:val="baseline"/>
        </w:rPr>
        <w:t> </w:t>
      </w:r>
      <w:r>
        <w:rPr>
          <w:vertAlign w:val="baseline"/>
        </w:rPr>
        <w:t>and</w:t>
      </w:r>
    </w:p>
    <w:p>
      <w:pPr>
        <w:pStyle w:val="BodyText"/>
        <w:spacing w:line="386" w:lineRule="auto" w:before="182"/>
        <w:ind w:left="273" w:right="522" w:firstLine="1"/>
        <w:jc w:val="both"/>
      </w:pPr>
      <w:r>
        <w:rPr>
          <w:i/>
        </w:rPr>
        <w:t>첨가제 εloss 및 εliq는 PnL이 절대값 이후 정확히 0일 때 연결을 끊고 청산이 동일한 크기의 일반 손실보다 엄격하게 더 많은 싱크 질량에 기여하도록 보장합니다. 지갑 간 가장자리는 없습니다. GF-PR은 사회적 보증이나 전송 구조를 인코딩하지 않습니다. d = 0.85인 PageR-ank는 POOL에서 수익성 있는 지갑으로, 손실이 발생하는 지갑에서 SINK로 대량을 전파합니다. 건설 및 건설을 통해 거래 성공 프록시와의 높은 일치가 예상됩니다.</w:t>
      </w:r>
    </w:p>
    <w:p>
      <w:pPr>
        <w:pStyle w:val="BodyText"/>
        <w:spacing w:after="0" w:line="386" w:lineRule="auto"/>
        <w:jc w:val="both"/>
        <w:sectPr>
          <w:pgSz w:w="11910" w:h="16840"/>
          <w:pgMar w:header="0" w:footer="2115" w:top="1840" w:bottom="2300" w:left="992" w:right="708"/>
        </w:sectPr>
      </w:pPr>
    </w:p>
    <w:p>
      <w:pPr>
        <w:pStyle w:val="BodyText"/>
        <w:spacing w:before="92"/>
        <w:ind w:left="282"/>
        <w:jc w:val="both"/>
      </w:pPr>
      <w:bookmarkStart w:name="Five-proxy evaluation design" w:id="115"/>
      <w:bookmarkEnd w:id="115"/>
      <w:r>
        <w:rPr/>
      </w:r>
      <w:bookmarkStart w:name="_bookmark65" w:id="116"/>
      <w:bookmarkEnd w:id="116"/>
      <w:r>
        <w:rPr/>
      </w:r>
      <w:r>
        <w:rPr/>
        <w:t>must</w:t>
      </w:r>
      <w:r>
        <w:rPr>
          <w:spacing w:val="-8"/>
        </w:rPr>
        <w:t> </w:t>
      </w:r>
      <w:r>
        <w:rPr/>
        <w:t>be</w:t>
      </w:r>
      <w:r>
        <w:rPr>
          <w:spacing w:val="-7"/>
        </w:rPr>
        <w:t> </w:t>
      </w:r>
      <w:r>
        <w:rPr/>
        <w:t>interpreted</w:t>
      </w:r>
      <w:r>
        <w:rPr>
          <w:spacing w:val="-7"/>
        </w:rPr>
        <w:t> </w:t>
      </w:r>
      <w:r>
        <w:rPr/>
        <w:t>as</w:t>
      </w:r>
      <w:r>
        <w:rPr>
          <w:spacing w:val="-7"/>
        </w:rPr>
        <w:t> </w:t>
      </w:r>
      <w:r>
        <w:rPr/>
        <w:t>construct</w:t>
      </w:r>
      <w:r>
        <w:rPr>
          <w:spacing w:val="-7"/>
        </w:rPr>
        <w:t> </w:t>
      </w:r>
      <w:r>
        <w:rPr/>
        <w:t>overlap,</w:t>
      </w:r>
      <w:r>
        <w:rPr>
          <w:spacing w:val="-7"/>
        </w:rPr>
        <w:t> </w:t>
      </w:r>
      <w:r>
        <w:rPr/>
        <w:t>not</w:t>
      </w:r>
      <w:r>
        <w:rPr>
          <w:spacing w:val="-7"/>
        </w:rPr>
        <w:t> </w:t>
      </w:r>
      <w:r>
        <w:rPr/>
        <w:t>as</w:t>
      </w:r>
      <w:r>
        <w:rPr>
          <w:spacing w:val="-7"/>
        </w:rPr>
        <w:t> </w:t>
      </w:r>
      <w:r>
        <w:rPr/>
        <w:t>superior</w:t>
      </w:r>
      <w:r>
        <w:rPr>
          <w:spacing w:val="-7"/>
        </w:rPr>
        <w:t> </w:t>
      </w:r>
      <w:r>
        <w:rPr/>
        <w:t>social</w:t>
      </w:r>
      <w:r>
        <w:rPr>
          <w:spacing w:val="-7"/>
        </w:rPr>
        <w:t> </w:t>
      </w:r>
      <w:r>
        <w:rPr/>
        <w:t>reputation</w:t>
      </w:r>
      <w:r>
        <w:rPr>
          <w:spacing w:val="-7"/>
        </w:rPr>
        <w:t> </w:t>
      </w:r>
      <w:hyperlink w:history="true" w:anchor="_bookmark147">
        <w:r>
          <w:rPr>
            <w:spacing w:val="-2"/>
            <w:vertAlign w:val="superscript"/>
          </w:rPr>
          <w:t>[14]</w:t>
        </w:r>
      </w:hyperlink>
      <w:r>
        <w:rPr>
          <w:spacing w:val="-2"/>
          <w:vertAlign w:val="baseline"/>
        </w:rPr>
        <w:t>.</w:t>
      </w:r>
    </w:p>
    <w:p>
      <w:pPr>
        <w:pStyle w:val="BodyText"/>
        <w:spacing w:before="92"/>
        <w:ind w:left="282"/>
        <w:jc w:val="both"/>
      </w:pPr>
      <w:r>
        <w:rPr>
          <w:i/>
        </w:rPr>
        <w:t>우월한 사회적 평판이 아니라 구성 중복으로 해석되어야 합니다[14].</w:t>
      </w:r>
    </w:p>
    <w:p>
      <w:pPr>
        <w:pStyle w:val="BodyText"/>
      </w:pPr>
    </w:p>
    <w:p>
      <w:pPr>
        <w:pStyle w:val="BodyText"/>
        <w:spacing w:before="63"/>
      </w:pPr>
    </w:p>
    <w:p>
      <w:pPr>
        <w:pStyle w:val="Heading2"/>
        <w:numPr>
          <w:ilvl w:val="1"/>
          <w:numId w:val="8"/>
        </w:numPr>
        <w:tabs>
          <w:tab w:pos="783" w:val="left" w:leader="none"/>
        </w:tabs>
        <w:spacing w:line="240" w:lineRule="auto" w:before="0" w:after="0"/>
        <w:ind w:left="783" w:right="0" w:hanging="501"/>
        <w:jc w:val="left"/>
      </w:pPr>
      <w:r>
        <w:rPr/>
        <w:t>Five-proxy</w:t>
      </w:r>
      <w:r>
        <w:rPr>
          <w:spacing w:val="19"/>
        </w:rPr>
        <w:t> </w:t>
      </w:r>
      <w:r>
        <w:rPr/>
        <w:t>evaluation</w:t>
      </w:r>
      <w:r>
        <w:rPr>
          <w:spacing w:val="19"/>
        </w:rPr>
        <w:t> </w:t>
      </w:r>
      <w:r>
        <w:rPr>
          <w:spacing w:val="-2"/>
        </w:rPr>
        <w:t>design</w:t>
      </w:r>
    </w:p>
    <w:p>
      <w:pPr>
        <w:pStyle w:val="Heading2"/>
        <w:numPr>
          <w:ilvl w:val="1"/>
          <w:numId w:val="8"/>
        </w:numPr>
        <w:tabs>
          <w:tab w:pos="783" w:val="left" w:leader="none"/>
        </w:tabs>
        <w:spacing w:line="240" w:lineRule="auto" w:before="0" w:after="0"/>
        <w:ind w:left="783" w:right="0" w:hanging="501"/>
        <w:jc w:val="left"/>
      </w:pPr>
      <w:r>
        <w:rPr>
          <w:i/>
        </w:rPr>
        <w:t>5대 프록시 평가 설계</w:t>
      </w:r>
    </w:p>
    <w:p>
      <w:pPr>
        <w:pStyle w:val="BodyText"/>
        <w:spacing w:before="19"/>
        <w:rPr>
          <w:b/>
          <w:sz w:val="28"/>
        </w:rPr>
      </w:pPr>
    </w:p>
    <w:p>
      <w:pPr>
        <w:pStyle w:val="BodyText"/>
        <w:spacing w:line="386" w:lineRule="auto"/>
        <w:ind w:left="273" w:right="522" w:firstLine="8"/>
        <w:jc w:val="both"/>
      </w:pPr>
      <w:r>
        <w:rPr/>
        <w:t>Primary</w:t>
      </w:r>
      <w:r>
        <w:rPr>
          <w:spacing w:val="-2"/>
        </w:rPr>
        <w:t> </w:t>
      </w:r>
      <w:r>
        <w:rPr/>
        <w:t>evaluation</w:t>
      </w:r>
      <w:r>
        <w:rPr>
          <w:spacing w:val="-2"/>
        </w:rPr>
        <w:t> </w:t>
      </w:r>
      <w:r>
        <w:rPr/>
        <w:t>compares</w:t>
      </w:r>
      <w:r>
        <w:rPr>
          <w:spacing w:val="-2"/>
        </w:rPr>
        <w:t> </w:t>
      </w:r>
      <w:r>
        <w:rPr/>
        <w:t>EndorseRank</w:t>
      </w:r>
      <w:r>
        <w:rPr>
          <w:spacing w:val="-2"/>
        </w:rPr>
        <w:t> </w:t>
      </w:r>
      <w:r>
        <w:rPr/>
        <w:t>and</w:t>
      </w:r>
      <w:r>
        <w:rPr>
          <w:spacing w:val="-2"/>
        </w:rPr>
        <w:t> </w:t>
      </w:r>
      <w:r>
        <w:rPr/>
        <w:t>AWP</w:t>
      </w:r>
      <w:r>
        <w:rPr>
          <w:spacing w:val="-3"/>
        </w:rPr>
        <w:t> </w:t>
      </w:r>
      <w:r>
        <w:rPr/>
        <w:t>only. For</w:t>
      </w:r>
      <w:r>
        <w:rPr>
          <w:spacing w:val="-2"/>
        </w:rPr>
        <w:t> </w:t>
      </w:r>
      <w:r>
        <w:rPr/>
        <w:t>each</w:t>
      </w:r>
      <w:r>
        <w:rPr>
          <w:spacing w:val="-2"/>
        </w:rPr>
        <w:t> </w:t>
      </w:r>
      <w:r>
        <w:rPr/>
        <w:t>method</w:t>
      </w:r>
      <w:r>
        <w:rPr>
          <w:spacing w:val="-2"/>
        </w:rPr>
        <w:t> </w:t>
      </w:r>
      <w:r>
        <w:rPr>
          <w:rFonts w:ascii="Calibri" w:hAnsi="Calibri"/>
          <w:i/>
        </w:rPr>
        <w:t>M</w:t>
      </w:r>
      <w:r>
        <w:rPr>
          <w:rFonts w:ascii="Calibri" w:hAnsi="Calibri"/>
          <w:i/>
          <w:spacing w:val="27"/>
        </w:rPr>
        <w:t> </w:t>
      </w:r>
      <w:r>
        <w:rPr/>
        <w:t>(EndorseRank</w:t>
      </w:r>
      <w:r>
        <w:rPr>
          <w:spacing w:val="-2"/>
        </w:rPr>
        <w:t> </w:t>
      </w:r>
      <w:r>
        <w:rPr/>
        <w:t>or AWP) and each proxy </w:t>
      </w:r>
      <w:r>
        <w:rPr>
          <w:rFonts w:ascii="Calibri" w:hAnsi="Calibri"/>
          <w:i/>
        </w:rPr>
        <w:t>P</w:t>
      </w:r>
      <w:r>
        <w:rPr>
          <w:rFonts w:ascii="Calibri" w:hAnsi="Calibri"/>
          <w:i/>
          <w:spacing w:val="-14"/>
        </w:rPr>
        <w:t> </w:t>
      </w:r>
      <w:r>
        <w:rPr/>
        <w:t>, the pipeline computes scores </w:t>
      </w:r>
      <w:r>
        <w:rPr>
          <w:b/>
        </w:rPr>
        <w:t>s</w:t>
      </w:r>
      <w:r>
        <w:rPr>
          <w:rFonts w:ascii="Cambria" w:hAnsi="Cambria"/>
          <w:vertAlign w:val="subscript"/>
        </w:rPr>
        <w:t>M</w:t>
      </w:r>
      <w:r>
        <w:rPr>
          <w:rFonts w:ascii="Cambria" w:hAnsi="Cambria"/>
          <w:spacing w:val="40"/>
          <w:vertAlign w:val="baseline"/>
        </w:rPr>
        <w:t> </w:t>
      </w:r>
      <w:r>
        <w:rPr>
          <w:vertAlign w:val="baseline"/>
        </w:rPr>
        <w:t>and proxy values </w:t>
      </w:r>
      <w:r>
        <w:rPr>
          <w:b/>
          <w:vertAlign w:val="baseline"/>
        </w:rPr>
        <w:t>p</w:t>
      </w:r>
      <w:r>
        <w:rPr>
          <w:rFonts w:ascii="Cambria" w:hAnsi="Cambria"/>
          <w:vertAlign w:val="subscript"/>
        </w:rPr>
        <w:t>P</w:t>
      </w:r>
      <w:r>
        <w:rPr>
          <w:rFonts w:ascii="Cambria" w:hAnsi="Cambria"/>
          <w:spacing w:val="40"/>
          <w:vertAlign w:val="baseline"/>
        </w:rPr>
        <w:t> </w:t>
      </w:r>
      <w:r>
        <w:rPr>
          <w:vertAlign w:val="baseline"/>
        </w:rPr>
        <w:t>on the matched cohort, then reports Spearman’s </w:t>
      </w:r>
      <w:r>
        <w:rPr>
          <w:rFonts w:ascii="Calibri" w:hAnsi="Calibri"/>
          <w:i/>
          <w:vertAlign w:val="baseline"/>
        </w:rPr>
        <w:t>ρ </w:t>
      </w:r>
      <w:r>
        <w:rPr>
          <w:vertAlign w:val="baseline"/>
        </w:rPr>
        <w:t>and Kendall’s </w:t>
      </w:r>
      <w:r>
        <w:rPr>
          <w:rFonts w:ascii="Calibri" w:hAnsi="Calibri"/>
          <w:i/>
          <w:vertAlign w:val="baseline"/>
        </w:rPr>
        <w:t>τ</w:t>
      </w:r>
      <w:r>
        <w:rPr>
          <w:rFonts w:ascii="Calibri" w:hAnsi="Calibri"/>
          <w:i/>
          <w:spacing w:val="40"/>
          <w:vertAlign w:val="baseline"/>
        </w:rPr>
        <w:t> </w:t>
      </w:r>
      <w:r>
        <w:rPr>
          <w:vertAlign w:val="baseline"/>
        </w:rPr>
        <w:t>between the induced rankings (Section </w:t>
      </w:r>
      <w:hyperlink w:history="true" w:anchor="_bookmark71">
        <w:r>
          <w:rPr>
            <w:vertAlign w:val="baseline"/>
          </w:rPr>
          <w:t>3.10</w:t>
        </w:r>
      </w:hyperlink>
      <w:r>
        <w:rPr>
          <w:vertAlign w:val="baseline"/>
        </w:rPr>
        <w:t>). All</w:t>
      </w:r>
      <w:r>
        <w:rPr>
          <w:spacing w:val="-1"/>
          <w:vertAlign w:val="baseline"/>
        </w:rPr>
        <w:t> </w:t>
      </w:r>
      <w:r>
        <w:rPr>
          <w:vertAlign w:val="baseline"/>
        </w:rPr>
        <w:t>proxies</w:t>
      </w:r>
      <w:r>
        <w:rPr>
          <w:spacing w:val="-1"/>
          <w:vertAlign w:val="baseline"/>
        </w:rPr>
        <w:t> </w:t>
      </w:r>
      <w:r>
        <w:rPr>
          <w:vertAlign w:val="baseline"/>
        </w:rPr>
        <w:t>are</w:t>
      </w:r>
      <w:r>
        <w:rPr>
          <w:spacing w:val="-1"/>
          <w:vertAlign w:val="baseline"/>
        </w:rPr>
        <w:t> </w:t>
      </w:r>
      <w:r>
        <w:rPr>
          <w:vertAlign w:val="baseline"/>
        </w:rPr>
        <w:t>oriented</w:t>
      </w:r>
      <w:r>
        <w:rPr>
          <w:spacing w:val="-1"/>
          <w:vertAlign w:val="baseline"/>
        </w:rPr>
        <w:t> </w:t>
      </w:r>
      <w:r>
        <w:rPr>
          <w:vertAlign w:val="baseline"/>
        </w:rPr>
        <w:t>so</w:t>
      </w:r>
      <w:r>
        <w:rPr>
          <w:spacing w:val="-1"/>
          <w:vertAlign w:val="baseline"/>
        </w:rPr>
        <w:t> </w:t>
      </w:r>
      <w:r>
        <w:rPr>
          <w:vertAlign w:val="baseline"/>
        </w:rPr>
        <w:t>that</w:t>
      </w:r>
      <w:r>
        <w:rPr>
          <w:spacing w:val="-1"/>
          <w:vertAlign w:val="baseline"/>
        </w:rPr>
        <w:t> </w:t>
      </w:r>
      <w:r>
        <w:rPr>
          <w:vertAlign w:val="baseline"/>
        </w:rPr>
        <w:t>higher</w:t>
      </w:r>
      <w:r>
        <w:rPr>
          <w:spacing w:val="-1"/>
          <w:vertAlign w:val="baseline"/>
        </w:rPr>
        <w:t> </w:t>
      </w:r>
      <w:r>
        <w:rPr>
          <w:vertAlign w:val="baseline"/>
        </w:rPr>
        <w:t>values</w:t>
      </w:r>
      <w:r>
        <w:rPr>
          <w:spacing w:val="-1"/>
          <w:vertAlign w:val="baseline"/>
        </w:rPr>
        <w:t> </w:t>
      </w:r>
      <w:r>
        <w:rPr>
          <w:vertAlign w:val="baseline"/>
        </w:rPr>
        <w:t>imply</w:t>
      </w:r>
      <w:r>
        <w:rPr>
          <w:spacing w:val="-1"/>
          <w:vertAlign w:val="baseline"/>
        </w:rPr>
        <w:t> </w:t>
      </w:r>
      <w:r>
        <w:rPr>
          <w:vertAlign w:val="baseline"/>
        </w:rPr>
        <w:t>higher</w:t>
      </w:r>
      <w:r>
        <w:rPr>
          <w:spacing w:val="-1"/>
          <w:vertAlign w:val="baseline"/>
        </w:rPr>
        <w:t> </w:t>
      </w:r>
      <w:r>
        <w:rPr>
          <w:vertAlign w:val="baseline"/>
        </w:rPr>
        <w:t>expected</w:t>
      </w:r>
      <w:r>
        <w:rPr>
          <w:spacing w:val="-1"/>
          <w:vertAlign w:val="baseline"/>
        </w:rPr>
        <w:t> </w:t>
      </w:r>
      <w:r>
        <w:rPr>
          <w:vertAlign w:val="baseline"/>
        </w:rPr>
        <w:t>reputation</w:t>
      </w:r>
      <w:r>
        <w:rPr>
          <w:spacing w:val="-1"/>
          <w:vertAlign w:val="baseline"/>
        </w:rPr>
        <w:t> </w:t>
      </w:r>
      <w:r>
        <w:rPr>
          <w:vertAlign w:val="baseline"/>
        </w:rPr>
        <w:t>before</w:t>
      </w:r>
      <w:r>
        <w:rPr>
          <w:spacing w:val="-1"/>
          <w:vertAlign w:val="baseline"/>
        </w:rPr>
        <w:t> </w:t>
      </w:r>
      <w:r>
        <w:rPr>
          <w:vertAlign w:val="baseline"/>
        </w:rPr>
        <w:t>correlation, following</w:t>
      </w:r>
      <w:r>
        <w:rPr>
          <w:spacing w:val="-3"/>
          <w:vertAlign w:val="baseline"/>
        </w:rPr>
        <w:t> </w:t>
      </w:r>
      <w:r>
        <w:rPr>
          <w:vertAlign w:val="baseline"/>
        </w:rPr>
        <w:t>the</w:t>
      </w:r>
      <w:r>
        <w:rPr>
          <w:spacing w:val="-2"/>
          <w:vertAlign w:val="baseline"/>
        </w:rPr>
        <w:t> </w:t>
      </w:r>
      <w:r>
        <w:rPr>
          <w:vertAlign w:val="baseline"/>
        </w:rPr>
        <w:t>domain-alignment</w:t>
      </w:r>
      <w:r>
        <w:rPr>
          <w:spacing w:val="-2"/>
          <w:vertAlign w:val="baseline"/>
        </w:rPr>
        <w:t> </w:t>
      </w:r>
      <w:r>
        <w:rPr>
          <w:vertAlign w:val="baseline"/>
        </w:rPr>
        <w:t>approach</w:t>
      </w:r>
      <w:r>
        <w:rPr>
          <w:spacing w:val="-3"/>
          <w:vertAlign w:val="baseline"/>
        </w:rPr>
        <w:t> </w:t>
      </w:r>
      <w:r>
        <w:rPr>
          <w:vertAlign w:val="baseline"/>
        </w:rPr>
        <w:t>of</w:t>
      </w:r>
      <w:r>
        <w:rPr>
          <w:spacing w:val="-3"/>
          <w:vertAlign w:val="baseline"/>
        </w:rPr>
        <w:t> </w:t>
      </w:r>
      <w:r>
        <w:rPr>
          <w:vertAlign w:val="baseline"/>
        </w:rPr>
        <w:t>Do</w:t>
      </w:r>
      <w:r>
        <w:rPr>
          <w:spacing w:val="-3"/>
          <w:vertAlign w:val="baseline"/>
        </w:rPr>
        <w:t> </w:t>
      </w:r>
      <w:r>
        <w:rPr>
          <w:vertAlign w:val="baseline"/>
        </w:rPr>
        <w:t>et</w:t>
      </w:r>
      <w:r>
        <w:rPr>
          <w:spacing w:val="-2"/>
          <w:vertAlign w:val="baseline"/>
        </w:rPr>
        <w:t> </w:t>
      </w:r>
      <w:r>
        <w:rPr>
          <w:vertAlign w:val="baseline"/>
        </w:rPr>
        <w:t>al.</w:t>
      </w:r>
      <w:hyperlink w:history="true" w:anchor="_bookmark149">
        <w:r>
          <w:rPr>
            <w:vertAlign w:val="superscript"/>
          </w:rPr>
          <w:t>[16]</w:t>
        </w:r>
      </w:hyperlink>
      <w:r>
        <w:rPr>
          <w:vertAlign w:val="baseline"/>
        </w:rPr>
        <w:t>.</w:t>
      </w:r>
      <w:r>
        <w:rPr>
          <w:spacing w:val="19"/>
          <w:vertAlign w:val="baseline"/>
        </w:rPr>
        <w:t> </w:t>
      </w:r>
      <w:r>
        <w:rPr>
          <w:vertAlign w:val="baseline"/>
        </w:rPr>
        <w:t>Orientation</w:t>
      </w:r>
      <w:r>
        <w:rPr>
          <w:spacing w:val="-3"/>
          <w:vertAlign w:val="baseline"/>
        </w:rPr>
        <w:t> </w:t>
      </w:r>
      <w:r>
        <w:rPr>
          <w:vertAlign w:val="baseline"/>
        </w:rPr>
        <w:t>is</w:t>
      </w:r>
      <w:r>
        <w:rPr>
          <w:spacing w:val="-3"/>
          <w:vertAlign w:val="baseline"/>
        </w:rPr>
        <w:t> </w:t>
      </w:r>
      <w:r>
        <w:rPr>
          <w:vertAlign w:val="baseline"/>
        </w:rPr>
        <w:t>part</w:t>
      </w:r>
      <w:r>
        <w:rPr>
          <w:spacing w:val="-2"/>
          <w:vertAlign w:val="baseline"/>
        </w:rPr>
        <w:t> </w:t>
      </w:r>
      <w:r>
        <w:rPr>
          <w:vertAlign w:val="baseline"/>
        </w:rPr>
        <w:t>of</w:t>
      </w:r>
      <w:r>
        <w:rPr>
          <w:spacing w:val="-3"/>
          <w:vertAlign w:val="baseline"/>
        </w:rPr>
        <w:t> </w:t>
      </w:r>
      <w:r>
        <w:rPr>
          <w:vertAlign w:val="baseline"/>
        </w:rPr>
        <w:t>construct</w:t>
      </w:r>
      <w:r>
        <w:rPr>
          <w:spacing w:val="-2"/>
          <w:vertAlign w:val="baseline"/>
        </w:rPr>
        <w:t> </w:t>
      </w:r>
      <w:r>
        <w:rPr>
          <w:vertAlign w:val="baseline"/>
        </w:rPr>
        <w:t>validity: without it, a method that correctly ranks safer traders could appear negatively aligned with a loss-magnitude proxy.</w:t>
      </w:r>
    </w:p>
    <w:p>
      <w:pPr>
        <w:pStyle w:val="BodyText"/>
        <w:spacing w:line="386" w:lineRule="auto"/>
        <w:ind w:left="273" w:right="522" w:firstLine="8"/>
        <w:jc w:val="both"/>
      </w:pPr>
      <w:r>
        <w:rPr>
          <w:i/>
        </w:rPr>
        <w:t>1차 평가는 EndorseRank와 AWP만 비교합니다. 각 방법 M(EndorseRank 또는 AWP)과 각 프록시 P에 대해 파이프라인은 일치하는 코호트에서 점수 sM과 프록시 값 pP를 계산한 다음 유도된 순위 사이에서 Spearman의 ρ와 Kendall의 τ를 보고합니다(섹션 3.10). 모든 프록시는 Do et al.[16]의 도메인 정렬 접근 방식에 따라 더 높은 값이 상관 관계 이전에 더 높은 예상 평판을 의미하도록 지향됩니다. 방향은 구성 타당성의 일부입니다. 방향이 없으면 보다 안전한 거래자의 순위를 올바르게 매기는 방법이 손실 규모 프록시와 부정적으로 일치하는 것처럼 보일 수 있습니다.</w:t>
      </w:r>
    </w:p>
    <w:p>
      <w:pPr>
        <w:pStyle w:val="BodyText"/>
        <w:spacing w:line="396" w:lineRule="auto" w:before="22"/>
        <w:ind w:left="273" w:right="557" w:firstLine="8"/>
        <w:jc w:val="both"/>
      </w:pPr>
      <w:r>
        <w:rPr/>
        <w:t>Five</w:t>
      </w:r>
      <w:r>
        <w:rPr>
          <w:spacing w:val="-7"/>
        </w:rPr>
        <w:t> </w:t>
      </w:r>
      <w:r>
        <w:rPr/>
        <w:t>families</w:t>
      </w:r>
      <w:r>
        <w:rPr>
          <w:spacing w:val="-7"/>
        </w:rPr>
        <w:t> </w:t>
      </w:r>
      <w:r>
        <w:rPr/>
        <w:t>structure</w:t>
      </w:r>
      <w:r>
        <w:rPr>
          <w:spacing w:val="-7"/>
        </w:rPr>
        <w:t> </w:t>
      </w:r>
      <w:r>
        <w:rPr/>
        <w:t>the</w:t>
      </w:r>
      <w:r>
        <w:rPr>
          <w:spacing w:val="-7"/>
        </w:rPr>
        <w:t> </w:t>
      </w:r>
      <w:r>
        <w:rPr/>
        <w:t>primary</w:t>
      </w:r>
      <w:r>
        <w:rPr>
          <w:spacing w:val="-7"/>
        </w:rPr>
        <w:t> </w:t>
      </w:r>
      <w:r>
        <w:rPr/>
        <w:t>comparison. They</w:t>
      </w:r>
      <w:r>
        <w:rPr>
          <w:spacing w:val="-7"/>
        </w:rPr>
        <w:t> </w:t>
      </w:r>
      <w:r>
        <w:rPr/>
        <w:t>were</w:t>
      </w:r>
      <w:r>
        <w:rPr>
          <w:spacing w:val="-7"/>
        </w:rPr>
        <w:t> </w:t>
      </w:r>
      <w:r>
        <w:rPr/>
        <w:t>chosen</w:t>
      </w:r>
      <w:r>
        <w:rPr>
          <w:spacing w:val="-7"/>
        </w:rPr>
        <w:t> </w:t>
      </w:r>
      <w:r>
        <w:rPr/>
        <w:t>to</w:t>
      </w:r>
      <w:r>
        <w:rPr>
          <w:spacing w:val="-7"/>
        </w:rPr>
        <w:t> </w:t>
      </w:r>
      <w:r>
        <w:rPr/>
        <w:t>span</w:t>
      </w:r>
      <w:r>
        <w:rPr>
          <w:spacing w:val="-7"/>
        </w:rPr>
        <w:t> </w:t>
      </w:r>
      <w:r>
        <w:rPr/>
        <w:t>(i)</w:t>
      </w:r>
      <w:r>
        <w:rPr>
          <w:spacing w:val="-7"/>
        </w:rPr>
        <w:t> </w:t>
      </w:r>
      <w:r>
        <w:rPr/>
        <w:t>baselines</w:t>
      </w:r>
      <w:r>
        <w:rPr>
          <w:spacing w:val="-7"/>
        </w:rPr>
        <w:t> </w:t>
      </w:r>
      <w:r>
        <w:rPr/>
        <w:t>from</w:t>
      </w:r>
      <w:r>
        <w:rPr>
          <w:spacing w:val="-7"/>
        </w:rPr>
        <w:t> </w:t>
      </w:r>
      <w:r>
        <w:rPr/>
        <w:t>prior work,</w:t>
      </w:r>
      <w:r>
        <w:rPr>
          <w:spacing w:val="-13"/>
        </w:rPr>
        <w:t> </w:t>
      </w:r>
      <w:r>
        <w:rPr/>
        <w:t>(ii)</w:t>
      </w:r>
      <w:r>
        <w:rPr>
          <w:spacing w:val="-15"/>
        </w:rPr>
        <w:t> </w:t>
      </w:r>
      <w:r>
        <w:rPr/>
        <w:t>within-construct</w:t>
      </w:r>
      <w:r>
        <w:rPr>
          <w:spacing w:val="-15"/>
        </w:rPr>
        <w:t> </w:t>
      </w:r>
      <w:r>
        <w:rPr/>
        <w:t>checks</w:t>
      </w:r>
      <w:r>
        <w:rPr>
          <w:spacing w:val="-15"/>
        </w:rPr>
        <w:t> </w:t>
      </w:r>
      <w:r>
        <w:rPr/>
        <w:t>for</w:t>
      </w:r>
      <w:r>
        <w:rPr>
          <w:spacing w:val="-15"/>
        </w:rPr>
        <w:t> </w:t>
      </w:r>
      <w:r>
        <w:rPr/>
        <w:t>each</w:t>
      </w:r>
      <w:r>
        <w:rPr>
          <w:spacing w:val="-15"/>
        </w:rPr>
        <w:t> </w:t>
      </w:r>
      <w:r>
        <w:rPr/>
        <w:t>social</w:t>
      </w:r>
      <w:r>
        <w:rPr>
          <w:spacing w:val="-15"/>
        </w:rPr>
        <w:t> </w:t>
      </w:r>
      <w:r>
        <w:rPr/>
        <w:t>graph,</w:t>
      </w:r>
      <w:r>
        <w:rPr>
          <w:spacing w:val="-13"/>
        </w:rPr>
        <w:t> </w:t>
      </w:r>
      <w:r>
        <w:rPr/>
        <w:t>and</w:t>
      </w:r>
      <w:r>
        <w:rPr>
          <w:spacing w:val="-15"/>
        </w:rPr>
        <w:t> </w:t>
      </w:r>
      <w:r>
        <w:rPr/>
        <w:t>(iii)</w:t>
      </w:r>
      <w:r>
        <w:rPr>
          <w:spacing w:val="-15"/>
        </w:rPr>
        <w:t> </w:t>
      </w:r>
      <w:r>
        <w:rPr/>
        <w:t>outcome-oriented</w:t>
      </w:r>
      <w:r>
        <w:rPr>
          <w:spacing w:val="-15"/>
        </w:rPr>
        <w:t> </w:t>
      </w:r>
      <w:r>
        <w:rPr/>
        <w:t>trading</w:t>
      </w:r>
      <w:r>
        <w:rPr>
          <w:spacing w:val="-15"/>
        </w:rPr>
        <w:t> </w:t>
      </w:r>
      <w:r>
        <w:rPr/>
        <w:t>and</w:t>
      </w:r>
      <w:r>
        <w:rPr>
          <w:spacing w:val="-15"/>
        </w:rPr>
        <w:t> </w:t>
      </w:r>
      <w:r>
        <w:rPr/>
        <w:t>risk measures that are not direct inputs to EndorseRank or AWP:</w:t>
      </w:r>
    </w:p>
    <w:p>
      <w:pPr>
        <w:pStyle w:val="BodyText"/>
        <w:spacing w:line="396" w:lineRule="auto" w:before="22"/>
        <w:ind w:left="273" w:right="557" w:firstLine="8"/>
        <w:jc w:val="both"/>
      </w:pPr>
      <w:r>
        <w:rPr>
          <w:i/>
        </w:rPr>
        <w:t>다섯 가지 제품군이 기본 비교를 구성합니다. (i) 이전 작업의 기준선, (ii) 각 소셜 그래프에 대한 구성 내 점검, (iii) EndorseRank 또는 AWP에 대한 직접적인 입력이 아닌 결과 중심 거래 및 위험 측정을 포괄하도록 선택되었습니다.</w:t>
      </w:r>
    </w:p>
    <w:p>
      <w:pPr>
        <w:pStyle w:val="ListParagraph"/>
        <w:numPr>
          <w:ilvl w:val="0"/>
          <w:numId w:val="21"/>
        </w:numPr>
        <w:tabs>
          <w:tab w:pos="847" w:val="left" w:leader="none"/>
        </w:tabs>
        <w:spacing w:line="240" w:lineRule="auto" w:before="62" w:after="0"/>
        <w:ind w:left="847" w:right="0" w:hanging="302"/>
        <w:jc w:val="both"/>
        <w:rPr>
          <w:sz w:val="24"/>
        </w:rPr>
      </w:pPr>
      <w:r>
        <w:rPr>
          <w:b/>
          <w:sz w:val="24"/>
        </w:rPr>
        <w:t>Transfer</w:t>
      </w:r>
      <w:r>
        <w:rPr>
          <w:b/>
          <w:spacing w:val="-10"/>
          <w:sz w:val="24"/>
        </w:rPr>
        <w:t> </w:t>
      </w:r>
      <w:r>
        <w:rPr>
          <w:sz w:val="24"/>
        </w:rPr>
        <w:t>(Do</w:t>
      </w:r>
      <w:r>
        <w:rPr>
          <w:spacing w:val="-9"/>
          <w:sz w:val="24"/>
        </w:rPr>
        <w:t> </w:t>
      </w:r>
      <w:r>
        <w:rPr>
          <w:sz w:val="24"/>
        </w:rPr>
        <w:t>et</w:t>
      </w:r>
      <w:r>
        <w:rPr>
          <w:spacing w:val="-9"/>
          <w:sz w:val="24"/>
        </w:rPr>
        <w:t> </w:t>
      </w:r>
      <w:r>
        <w:rPr>
          <w:sz w:val="24"/>
        </w:rPr>
        <w:t>al.</w:t>
      </w:r>
      <w:r>
        <w:rPr>
          <w:spacing w:val="-9"/>
          <w:sz w:val="24"/>
        </w:rPr>
        <w:t> </w:t>
      </w:r>
      <w:r>
        <w:rPr>
          <w:sz w:val="24"/>
        </w:rPr>
        <w:t>baseline):</w:t>
      </w:r>
      <w:r>
        <w:rPr>
          <w:spacing w:val="8"/>
          <w:sz w:val="24"/>
        </w:rPr>
        <w:t> </w:t>
      </w:r>
      <w:r>
        <w:rPr>
          <w:sz w:val="24"/>
        </w:rPr>
        <w:t>inbound</w:t>
      </w:r>
      <w:r>
        <w:rPr>
          <w:spacing w:val="-9"/>
          <w:sz w:val="24"/>
        </w:rPr>
        <w:t> </w:t>
      </w:r>
      <w:r>
        <w:rPr>
          <w:sz w:val="24"/>
        </w:rPr>
        <w:t>transfer</w:t>
      </w:r>
      <w:r>
        <w:rPr>
          <w:spacing w:val="-9"/>
          <w:sz w:val="24"/>
        </w:rPr>
        <w:t> </w:t>
      </w:r>
      <w:r>
        <w:rPr>
          <w:spacing w:val="-2"/>
          <w:sz w:val="24"/>
        </w:rPr>
        <w:t>activity.</w:t>
      </w:r>
    </w:p>
    <w:p>
      <w:pPr>
        <w:pStyle w:val="ListParagraph"/>
        <w:numPr>
          <w:ilvl w:val="0"/>
          <w:numId w:val="21"/>
        </w:numPr>
        <w:tabs>
          <w:tab w:pos="847" w:val="left" w:leader="none"/>
        </w:tabs>
        <w:spacing w:line="240" w:lineRule="auto" w:before="62" w:after="0"/>
        <w:ind w:left="847" w:right="0" w:hanging="302"/>
        <w:jc w:val="both"/>
        <w:rPr>
          <w:sz w:val="24"/>
        </w:rPr>
      </w:pPr>
      <w:r>
        <w:rPr>
          <w:i/>
        </w:rPr>
        <w:t>전송(Do et al. 기준선): 인바운드 전송 활동.</w:t>
      </w:r>
    </w:p>
    <w:p>
      <w:pPr>
        <w:pStyle w:val="ListParagraph"/>
        <w:numPr>
          <w:ilvl w:val="0"/>
          <w:numId w:val="21"/>
        </w:numPr>
        <w:tabs>
          <w:tab w:pos="846" w:val="left" w:leader="none"/>
        </w:tabs>
        <w:spacing w:line="240" w:lineRule="auto" w:before="217" w:after="0"/>
        <w:ind w:left="846" w:right="0" w:hanging="301"/>
        <w:jc w:val="both"/>
        <w:rPr>
          <w:sz w:val="24"/>
        </w:rPr>
      </w:pPr>
      <w:r>
        <w:rPr>
          <w:b/>
          <w:sz w:val="24"/>
        </w:rPr>
        <w:t>Allowance</w:t>
      </w:r>
      <w:r>
        <w:rPr>
          <w:sz w:val="24"/>
        </w:rPr>
        <w:t>:</w:t>
      </w:r>
      <w:r>
        <w:rPr>
          <w:spacing w:val="9"/>
          <w:sz w:val="24"/>
        </w:rPr>
        <w:t> </w:t>
      </w:r>
      <w:r>
        <w:rPr>
          <w:sz w:val="24"/>
        </w:rPr>
        <w:t>inbound</w:t>
      </w:r>
      <w:r>
        <w:rPr>
          <w:spacing w:val="-8"/>
          <w:sz w:val="24"/>
        </w:rPr>
        <w:t> </w:t>
      </w:r>
      <w:r>
        <w:rPr>
          <w:sz w:val="24"/>
        </w:rPr>
        <w:t>approval</w:t>
      </w:r>
      <w:r>
        <w:rPr>
          <w:spacing w:val="-8"/>
          <w:sz w:val="24"/>
        </w:rPr>
        <w:t> </w:t>
      </w:r>
      <w:r>
        <w:rPr>
          <w:sz w:val="24"/>
        </w:rPr>
        <w:t>activity</w:t>
      </w:r>
      <w:r>
        <w:rPr>
          <w:spacing w:val="-9"/>
          <w:sz w:val="24"/>
        </w:rPr>
        <w:t> </w:t>
      </w:r>
      <w:r>
        <w:rPr>
          <w:sz w:val="24"/>
        </w:rPr>
        <w:t>(wallet</w:t>
      </w:r>
      <w:r>
        <w:rPr>
          <w:spacing w:val="-8"/>
          <w:sz w:val="24"/>
        </w:rPr>
        <w:t> </w:t>
      </w:r>
      <w:r>
        <w:rPr>
          <w:sz w:val="24"/>
        </w:rPr>
        <w:t>as</w:t>
      </w:r>
      <w:r>
        <w:rPr>
          <w:spacing w:val="-8"/>
          <w:sz w:val="24"/>
        </w:rPr>
        <w:t> </w:t>
      </w:r>
      <w:r>
        <w:rPr>
          <w:spacing w:val="-2"/>
          <w:sz w:val="24"/>
        </w:rPr>
        <w:t>spender).</w:t>
      </w:r>
    </w:p>
    <w:p>
      <w:pPr>
        <w:pStyle w:val="ListParagraph"/>
        <w:numPr>
          <w:ilvl w:val="0"/>
          <w:numId w:val="21"/>
        </w:numPr>
        <w:tabs>
          <w:tab w:pos="846" w:val="left" w:leader="none"/>
        </w:tabs>
        <w:spacing w:line="240" w:lineRule="auto" w:before="217" w:after="0"/>
        <w:ind w:left="846" w:right="0" w:hanging="301"/>
        <w:jc w:val="both"/>
        <w:rPr>
          <w:sz w:val="24"/>
        </w:rPr>
      </w:pPr>
      <w:r>
        <w:rPr>
          <w:i/>
        </w:rPr>
        <w:t>허용량: 인바운드 승인 활동(지갑을 지출자).</w:t>
      </w:r>
    </w:p>
    <w:p>
      <w:pPr>
        <w:pStyle w:val="ListParagraph"/>
        <w:numPr>
          <w:ilvl w:val="0"/>
          <w:numId w:val="21"/>
        </w:numPr>
        <w:tabs>
          <w:tab w:pos="855" w:val="left" w:leader="none"/>
        </w:tabs>
        <w:spacing w:line="240" w:lineRule="auto" w:before="217" w:after="0"/>
        <w:ind w:left="855" w:right="0" w:hanging="310"/>
        <w:jc w:val="left"/>
        <w:rPr>
          <w:sz w:val="24"/>
        </w:rPr>
      </w:pPr>
      <w:r>
        <w:rPr>
          <w:b/>
          <w:sz w:val="24"/>
        </w:rPr>
        <w:t>Inverse</w:t>
      </w:r>
      <w:r>
        <w:rPr>
          <w:b/>
          <w:spacing w:val="-9"/>
          <w:sz w:val="24"/>
        </w:rPr>
        <w:t> </w:t>
      </w:r>
      <w:r>
        <w:rPr>
          <w:b/>
          <w:sz w:val="24"/>
        </w:rPr>
        <w:t>risk</w:t>
      </w:r>
      <w:r>
        <w:rPr>
          <w:b/>
          <w:spacing w:val="-6"/>
          <w:sz w:val="24"/>
        </w:rPr>
        <w:t> </w:t>
      </w:r>
      <w:r>
        <w:rPr>
          <w:sz w:val="24"/>
        </w:rPr>
        <w:t>(GMX</w:t>
      </w:r>
      <w:r>
        <w:rPr>
          <w:spacing w:val="-9"/>
          <w:sz w:val="24"/>
        </w:rPr>
        <w:t> </w:t>
      </w:r>
      <w:r>
        <w:rPr>
          <w:sz w:val="24"/>
        </w:rPr>
        <w:t>PnL):</w:t>
      </w:r>
      <w:r>
        <w:rPr>
          <w:spacing w:val="-9"/>
          <w:sz w:val="24"/>
        </w:rPr>
        <w:t> </w:t>
      </w:r>
      <w:r>
        <w:rPr>
          <w:sz w:val="24"/>
        </w:rPr>
        <w:t>loss</w:t>
      </w:r>
      <w:r>
        <w:rPr>
          <w:spacing w:val="-8"/>
          <w:sz w:val="24"/>
        </w:rPr>
        <w:t> </w:t>
      </w:r>
      <w:r>
        <w:rPr>
          <w:sz w:val="24"/>
        </w:rPr>
        <w:t>avoidance</w:t>
      </w:r>
      <w:r>
        <w:rPr>
          <w:spacing w:val="-9"/>
          <w:sz w:val="24"/>
        </w:rPr>
        <w:t> </w:t>
      </w:r>
      <w:r>
        <w:rPr>
          <w:sz w:val="24"/>
        </w:rPr>
        <w:t>and</w:t>
      </w:r>
      <w:r>
        <w:rPr>
          <w:spacing w:val="-9"/>
          <w:sz w:val="24"/>
        </w:rPr>
        <w:t> </w:t>
      </w:r>
      <w:r>
        <w:rPr>
          <w:sz w:val="24"/>
        </w:rPr>
        <w:t>non-loss</w:t>
      </w:r>
      <w:r>
        <w:rPr>
          <w:spacing w:val="-8"/>
          <w:sz w:val="24"/>
        </w:rPr>
        <w:t> </w:t>
      </w:r>
      <w:r>
        <w:rPr>
          <w:sz w:val="24"/>
        </w:rPr>
        <w:t>close</w:t>
      </w:r>
      <w:r>
        <w:rPr>
          <w:spacing w:val="-9"/>
          <w:sz w:val="24"/>
        </w:rPr>
        <w:t> </w:t>
      </w:r>
      <w:r>
        <w:rPr>
          <w:spacing w:val="-2"/>
          <w:sz w:val="24"/>
        </w:rPr>
        <w:t>behavior.</w:t>
      </w:r>
    </w:p>
    <w:p>
      <w:pPr>
        <w:pStyle w:val="ListParagraph"/>
        <w:numPr>
          <w:ilvl w:val="0"/>
          <w:numId w:val="21"/>
        </w:numPr>
        <w:tabs>
          <w:tab w:pos="855" w:val="left" w:leader="none"/>
        </w:tabs>
        <w:spacing w:line="240" w:lineRule="auto" w:before="217" w:after="0"/>
        <w:ind w:left="855" w:right="0" w:hanging="310"/>
        <w:jc w:val="left"/>
        <w:rPr>
          <w:sz w:val="24"/>
        </w:rPr>
      </w:pPr>
      <w:r>
        <w:rPr>
          <w:i/>
        </w:rPr>
        <w:t>역위험(GMX PnL): 손실 회피 및 무손실 청산 행위.</w:t>
      </w:r>
    </w:p>
    <w:p>
      <w:pPr>
        <w:pStyle w:val="ListParagraph"/>
        <w:numPr>
          <w:ilvl w:val="0"/>
          <w:numId w:val="21"/>
        </w:numPr>
        <w:tabs>
          <w:tab w:pos="855" w:val="left" w:leader="none"/>
        </w:tabs>
        <w:spacing w:line="240" w:lineRule="auto" w:before="217" w:after="0"/>
        <w:ind w:left="855" w:right="0" w:hanging="310"/>
        <w:jc w:val="left"/>
        <w:rPr>
          <w:sz w:val="24"/>
        </w:rPr>
      </w:pPr>
      <w:r>
        <w:rPr>
          <w:b/>
          <w:sz w:val="24"/>
        </w:rPr>
        <w:t>Sybil-adjusted</w:t>
      </w:r>
      <w:r>
        <w:rPr>
          <w:b/>
          <w:spacing w:val="-12"/>
          <w:sz w:val="24"/>
        </w:rPr>
        <w:t> </w:t>
      </w:r>
      <w:r>
        <w:rPr>
          <w:b/>
          <w:sz w:val="24"/>
        </w:rPr>
        <w:t>stability</w:t>
      </w:r>
      <w:r>
        <w:rPr>
          <w:sz w:val="24"/>
        </w:rPr>
        <w:t>:</w:t>
      </w:r>
      <w:r>
        <w:rPr>
          <w:spacing w:val="4"/>
          <w:sz w:val="24"/>
        </w:rPr>
        <w:t> </w:t>
      </w:r>
      <w:r>
        <w:rPr>
          <w:sz w:val="24"/>
        </w:rPr>
        <w:t>counterparty</w:t>
      </w:r>
      <w:r>
        <w:rPr>
          <w:spacing w:val="-11"/>
          <w:sz w:val="24"/>
        </w:rPr>
        <w:t> </w:t>
      </w:r>
      <w:r>
        <w:rPr>
          <w:sz w:val="24"/>
        </w:rPr>
        <w:t>diversity</w:t>
      </w:r>
      <w:r>
        <w:rPr>
          <w:spacing w:val="-12"/>
          <w:sz w:val="24"/>
        </w:rPr>
        <w:t> </w:t>
      </w:r>
      <w:r>
        <w:rPr>
          <w:sz w:val="24"/>
        </w:rPr>
        <w:t>and</w:t>
      </w:r>
      <w:r>
        <w:rPr>
          <w:spacing w:val="-12"/>
          <w:sz w:val="24"/>
        </w:rPr>
        <w:t> </w:t>
      </w:r>
      <w:r>
        <w:rPr>
          <w:sz w:val="24"/>
        </w:rPr>
        <w:t>activity</w:t>
      </w:r>
      <w:r>
        <w:rPr>
          <w:spacing w:val="-11"/>
          <w:sz w:val="24"/>
        </w:rPr>
        <w:t> </w:t>
      </w:r>
      <w:r>
        <w:rPr>
          <w:spacing w:val="-2"/>
          <w:sz w:val="24"/>
        </w:rPr>
        <w:t>tenure.</w:t>
      </w:r>
    </w:p>
    <w:p>
      <w:pPr>
        <w:pStyle w:val="ListParagraph"/>
        <w:numPr>
          <w:ilvl w:val="0"/>
          <w:numId w:val="21"/>
        </w:numPr>
        <w:tabs>
          <w:tab w:pos="855" w:val="left" w:leader="none"/>
        </w:tabs>
        <w:spacing w:line="240" w:lineRule="auto" w:before="217" w:after="0"/>
        <w:ind w:left="855" w:right="0" w:hanging="310"/>
        <w:jc w:val="left"/>
        <w:rPr>
          <w:sz w:val="24"/>
        </w:rPr>
      </w:pPr>
      <w:r>
        <w:rPr>
          <w:i/>
        </w:rPr>
        <w:t>Sybil 조정 안정성: 거래 상대방의 다양성 및 활동 기간.</w:t>
      </w:r>
    </w:p>
    <w:p>
      <w:pPr>
        <w:pStyle w:val="ListParagraph"/>
        <w:numPr>
          <w:ilvl w:val="0"/>
          <w:numId w:val="21"/>
        </w:numPr>
        <w:tabs>
          <w:tab w:pos="847" w:val="left" w:leader="none"/>
        </w:tabs>
        <w:spacing w:line="240" w:lineRule="auto" w:before="217" w:after="0"/>
        <w:ind w:left="847" w:right="0" w:hanging="302"/>
        <w:jc w:val="left"/>
        <w:rPr>
          <w:sz w:val="24"/>
        </w:rPr>
      </w:pPr>
      <w:r>
        <w:rPr>
          <w:b/>
          <w:sz w:val="24"/>
        </w:rPr>
        <w:t>Trading</w:t>
      </w:r>
      <w:r>
        <w:rPr>
          <w:b/>
          <w:spacing w:val="-12"/>
          <w:sz w:val="24"/>
        </w:rPr>
        <w:t> </w:t>
      </w:r>
      <w:r>
        <w:rPr>
          <w:b/>
          <w:sz w:val="24"/>
        </w:rPr>
        <w:t>success</w:t>
      </w:r>
      <w:r>
        <w:rPr>
          <w:sz w:val="24"/>
        </w:rPr>
        <w:t>:</w:t>
      </w:r>
      <w:r>
        <w:rPr>
          <w:spacing w:val="4"/>
          <w:sz w:val="24"/>
        </w:rPr>
        <w:t> </w:t>
      </w:r>
      <w:r>
        <w:rPr>
          <w:sz w:val="24"/>
        </w:rPr>
        <w:t>GMX</w:t>
      </w:r>
      <w:r>
        <w:rPr>
          <w:spacing w:val="-12"/>
          <w:sz w:val="24"/>
        </w:rPr>
        <w:t> </w:t>
      </w:r>
      <w:r>
        <w:rPr>
          <w:sz w:val="24"/>
        </w:rPr>
        <w:t>close</w:t>
      </w:r>
      <w:r>
        <w:rPr>
          <w:spacing w:val="-12"/>
          <w:sz w:val="24"/>
        </w:rPr>
        <w:t> </w:t>
      </w:r>
      <w:r>
        <w:rPr>
          <w:sz w:val="24"/>
        </w:rPr>
        <w:t>outcomes</w:t>
      </w:r>
      <w:r>
        <w:rPr>
          <w:spacing w:val="-12"/>
          <w:sz w:val="24"/>
        </w:rPr>
        <w:t> </w:t>
      </w:r>
      <w:r>
        <w:rPr>
          <w:sz w:val="24"/>
        </w:rPr>
        <w:t>and</w:t>
      </w:r>
      <w:r>
        <w:rPr>
          <w:spacing w:val="-12"/>
          <w:sz w:val="24"/>
        </w:rPr>
        <w:t> </w:t>
      </w:r>
      <w:r>
        <w:rPr>
          <w:sz w:val="24"/>
        </w:rPr>
        <w:t>realized</w:t>
      </w:r>
      <w:r>
        <w:rPr>
          <w:spacing w:val="-12"/>
          <w:sz w:val="24"/>
        </w:rPr>
        <w:t> </w:t>
      </w:r>
      <w:r>
        <w:rPr>
          <w:spacing w:val="-2"/>
          <w:sz w:val="24"/>
        </w:rPr>
        <w:t>gains.</w:t>
      </w:r>
    </w:p>
    <w:p>
      <w:pPr>
        <w:pStyle w:val="ListParagraph"/>
        <w:numPr>
          <w:ilvl w:val="0"/>
          <w:numId w:val="21"/>
        </w:numPr>
        <w:tabs>
          <w:tab w:pos="847" w:val="left" w:leader="none"/>
        </w:tabs>
        <w:spacing w:line="240" w:lineRule="auto" w:before="217" w:after="0"/>
        <w:ind w:left="847" w:right="0" w:hanging="302"/>
        <w:jc w:val="left"/>
        <w:rPr>
          <w:sz w:val="24"/>
        </w:rPr>
      </w:pPr>
      <w:r>
        <w:rPr>
          <w:i/>
        </w:rPr>
        <w:t>거래 성공: GMX 마감 결과 및 실현 이익.</w:t>
      </w:r>
    </w:p>
    <w:p>
      <w:pPr>
        <w:pStyle w:val="BodyText"/>
        <w:spacing w:line="391" w:lineRule="auto" w:before="240"/>
        <w:ind w:left="273" w:right="522" w:firstLine="1"/>
        <w:jc w:val="both"/>
      </w:pPr>
      <w:r>
        <w:rPr>
          <w:spacing w:val="-2"/>
        </w:rPr>
        <w:t>Transfer</w:t>
      </w:r>
      <w:r>
        <w:rPr>
          <w:spacing w:val="-9"/>
        </w:rPr>
        <w:t> </w:t>
      </w:r>
      <w:r>
        <w:rPr>
          <w:spacing w:val="-2"/>
        </w:rPr>
        <w:t>and</w:t>
      </w:r>
      <w:r>
        <w:rPr>
          <w:spacing w:val="-9"/>
        </w:rPr>
        <w:t> </w:t>
      </w:r>
      <w:r>
        <w:rPr>
          <w:spacing w:val="-2"/>
        </w:rPr>
        <w:t>allowance</w:t>
      </w:r>
      <w:r>
        <w:rPr>
          <w:spacing w:val="-9"/>
        </w:rPr>
        <w:t> </w:t>
      </w:r>
      <w:r>
        <w:rPr>
          <w:spacing w:val="-2"/>
        </w:rPr>
        <w:t>families</w:t>
      </w:r>
      <w:r>
        <w:rPr>
          <w:spacing w:val="-9"/>
        </w:rPr>
        <w:t> </w:t>
      </w:r>
      <w:r>
        <w:rPr>
          <w:spacing w:val="-2"/>
        </w:rPr>
        <w:t>are</w:t>
      </w:r>
      <w:r>
        <w:rPr>
          <w:spacing w:val="-9"/>
        </w:rPr>
        <w:t> </w:t>
      </w:r>
      <w:r>
        <w:rPr>
          <w:i/>
          <w:spacing w:val="-2"/>
        </w:rPr>
        <w:t>graph-adjacent</w:t>
      </w:r>
      <w:r>
        <w:rPr>
          <w:spacing w:val="-2"/>
        </w:rPr>
        <w:t>:</w:t>
      </w:r>
      <w:r>
        <w:rPr>
          <w:spacing w:val="27"/>
        </w:rPr>
        <w:t> </w:t>
      </w:r>
      <w:r>
        <w:rPr>
          <w:spacing w:val="-2"/>
        </w:rPr>
        <w:t>they</w:t>
      </w:r>
      <w:r>
        <w:rPr>
          <w:spacing w:val="-9"/>
        </w:rPr>
        <w:t> </w:t>
      </w:r>
      <w:r>
        <w:rPr>
          <w:spacing w:val="-2"/>
        </w:rPr>
        <w:t>are</w:t>
      </w:r>
      <w:r>
        <w:rPr>
          <w:spacing w:val="-9"/>
        </w:rPr>
        <w:t> </w:t>
      </w:r>
      <w:r>
        <w:rPr>
          <w:spacing w:val="-2"/>
        </w:rPr>
        <w:t>computed</w:t>
      </w:r>
      <w:r>
        <w:rPr>
          <w:spacing w:val="-9"/>
        </w:rPr>
        <w:t> </w:t>
      </w:r>
      <w:r>
        <w:rPr>
          <w:spacing w:val="-2"/>
        </w:rPr>
        <w:t>from</w:t>
      </w:r>
      <w:r>
        <w:rPr>
          <w:spacing w:val="-9"/>
        </w:rPr>
        <w:t> </w:t>
      </w:r>
      <w:r>
        <w:rPr>
          <w:spacing w:val="-2"/>
        </w:rPr>
        <w:t>the</w:t>
      </w:r>
      <w:r>
        <w:rPr>
          <w:spacing w:val="-9"/>
        </w:rPr>
        <w:t> </w:t>
      </w:r>
      <w:r>
        <w:rPr>
          <w:spacing w:val="-2"/>
        </w:rPr>
        <w:t>same</w:t>
      </w:r>
      <w:r>
        <w:rPr>
          <w:spacing w:val="-9"/>
        </w:rPr>
        <w:t> </w:t>
      </w:r>
      <w:r>
        <w:rPr>
          <w:spacing w:val="-2"/>
        </w:rPr>
        <w:t>event</w:t>
      </w:r>
      <w:r>
        <w:rPr>
          <w:spacing w:val="-9"/>
        </w:rPr>
        <w:t> </w:t>
      </w:r>
      <w:r>
        <w:rPr>
          <w:spacing w:val="-2"/>
        </w:rPr>
        <w:t>classes </w:t>
      </w:r>
      <w:r>
        <w:rPr/>
        <w:t>that build </w:t>
      </w:r>
      <w:r>
        <w:rPr>
          <w:rFonts w:ascii="Calibri"/>
          <w:i/>
        </w:rPr>
        <w:t>G</w:t>
      </w:r>
      <w:r>
        <w:rPr>
          <w:vertAlign w:val="subscript"/>
        </w:rPr>
        <w:t>transfer</w:t>
      </w:r>
      <w:r>
        <w:rPr>
          <w:vertAlign w:val="baseline"/>
        </w:rPr>
        <w:t> and </w:t>
      </w:r>
      <w:r>
        <w:rPr>
          <w:rFonts w:ascii="Calibri"/>
          <w:i/>
          <w:vertAlign w:val="baseline"/>
        </w:rPr>
        <w:t>G</w:t>
      </w:r>
      <w:r>
        <w:rPr>
          <w:vertAlign w:val="subscript"/>
        </w:rPr>
        <w:t>approve</w:t>
      </w:r>
      <w:r>
        <w:rPr>
          <w:vertAlign w:val="baseline"/>
        </w:rPr>
        <w:t>, but they are simple local statistics (degree and value sums) rather than</w:t>
      </w:r>
      <w:r>
        <w:rPr>
          <w:spacing w:val="-3"/>
          <w:vertAlign w:val="baseline"/>
        </w:rPr>
        <w:t> </w:t>
      </w:r>
      <w:r>
        <w:rPr>
          <w:vertAlign w:val="baseline"/>
        </w:rPr>
        <w:t>global</w:t>
      </w:r>
      <w:r>
        <w:rPr>
          <w:spacing w:val="-2"/>
          <w:vertAlign w:val="baseline"/>
        </w:rPr>
        <w:t> </w:t>
      </w:r>
      <w:r>
        <w:rPr>
          <w:vertAlign w:val="baseline"/>
        </w:rPr>
        <w:t>PageRank</w:t>
      </w:r>
      <w:r>
        <w:rPr>
          <w:spacing w:val="-3"/>
          <w:vertAlign w:val="baseline"/>
        </w:rPr>
        <w:t> </w:t>
      </w:r>
      <w:r>
        <w:rPr>
          <w:vertAlign w:val="baseline"/>
        </w:rPr>
        <w:t>scores.</w:t>
      </w:r>
      <w:r>
        <w:rPr>
          <w:spacing w:val="19"/>
          <w:vertAlign w:val="baseline"/>
        </w:rPr>
        <w:t> </w:t>
      </w:r>
      <w:r>
        <w:rPr>
          <w:vertAlign w:val="baseline"/>
        </w:rPr>
        <w:t>Strong</w:t>
      </w:r>
      <w:r>
        <w:rPr>
          <w:spacing w:val="-3"/>
          <w:vertAlign w:val="baseline"/>
        </w:rPr>
        <w:t> </w:t>
      </w:r>
      <w:r>
        <w:rPr>
          <w:vertAlign w:val="baseline"/>
        </w:rPr>
        <w:t>alignment</w:t>
      </w:r>
      <w:r>
        <w:rPr>
          <w:spacing w:val="-2"/>
          <w:vertAlign w:val="baseline"/>
        </w:rPr>
        <w:t> </w:t>
      </w:r>
      <w:r>
        <w:rPr>
          <w:vertAlign w:val="baseline"/>
        </w:rPr>
        <w:t>of</w:t>
      </w:r>
      <w:r>
        <w:rPr>
          <w:spacing w:val="-3"/>
          <w:vertAlign w:val="baseline"/>
        </w:rPr>
        <w:t> </w:t>
      </w:r>
      <w:r>
        <w:rPr>
          <w:vertAlign w:val="baseline"/>
        </w:rPr>
        <w:t>AWP</w:t>
      </w:r>
      <w:r>
        <w:rPr>
          <w:spacing w:val="-3"/>
          <w:vertAlign w:val="baseline"/>
        </w:rPr>
        <w:t> </w:t>
      </w:r>
      <w:r>
        <w:rPr>
          <w:vertAlign w:val="baseline"/>
        </w:rPr>
        <w:t>with</w:t>
      </w:r>
      <w:r>
        <w:rPr>
          <w:spacing w:val="-3"/>
          <w:vertAlign w:val="baseline"/>
        </w:rPr>
        <w:t> </w:t>
      </w:r>
      <w:r>
        <w:rPr>
          <w:vertAlign w:val="baseline"/>
        </w:rPr>
        <w:t>transfer</w:t>
      </w:r>
      <w:r>
        <w:rPr>
          <w:spacing w:val="-3"/>
          <w:vertAlign w:val="baseline"/>
        </w:rPr>
        <w:t> </w:t>
      </w:r>
      <w:r>
        <w:rPr>
          <w:vertAlign w:val="baseline"/>
        </w:rPr>
        <w:t>proxies,</w:t>
      </w:r>
      <w:r>
        <w:rPr>
          <w:spacing w:val="-2"/>
          <w:vertAlign w:val="baseline"/>
        </w:rPr>
        <w:t> </w:t>
      </w:r>
      <w:r>
        <w:rPr>
          <w:vertAlign w:val="baseline"/>
        </w:rPr>
        <w:t>or</w:t>
      </w:r>
      <w:r>
        <w:rPr>
          <w:spacing w:val="-2"/>
          <w:vertAlign w:val="baseline"/>
        </w:rPr>
        <w:t> </w:t>
      </w:r>
      <w:r>
        <w:rPr>
          <w:vertAlign w:val="baseline"/>
        </w:rPr>
        <w:t>of</w:t>
      </w:r>
      <w:r>
        <w:rPr>
          <w:spacing w:val="-3"/>
          <w:vertAlign w:val="baseline"/>
        </w:rPr>
        <w:t> </w:t>
      </w:r>
      <w:r>
        <w:rPr>
          <w:vertAlign w:val="baseline"/>
        </w:rPr>
        <w:t>EndorseRank </w:t>
      </w:r>
      <w:r>
        <w:rPr>
          <w:spacing w:val="-2"/>
          <w:vertAlign w:val="baseline"/>
        </w:rPr>
        <w:t>with</w:t>
      </w:r>
      <w:r>
        <w:rPr>
          <w:spacing w:val="-9"/>
          <w:vertAlign w:val="baseline"/>
        </w:rPr>
        <w:t> </w:t>
      </w:r>
      <w:r>
        <w:rPr>
          <w:spacing w:val="-2"/>
          <w:vertAlign w:val="baseline"/>
        </w:rPr>
        <w:t>allowance</w:t>
      </w:r>
      <w:r>
        <w:rPr>
          <w:spacing w:val="-8"/>
          <w:vertAlign w:val="baseline"/>
        </w:rPr>
        <w:t> </w:t>
      </w:r>
      <w:r>
        <w:rPr>
          <w:spacing w:val="-2"/>
          <w:vertAlign w:val="baseline"/>
        </w:rPr>
        <w:t>proxies,</w:t>
      </w:r>
      <w:r>
        <w:rPr>
          <w:spacing w:val="-4"/>
          <w:vertAlign w:val="baseline"/>
        </w:rPr>
        <w:t> </w:t>
      </w:r>
      <w:r>
        <w:rPr>
          <w:spacing w:val="-2"/>
          <w:vertAlign w:val="baseline"/>
        </w:rPr>
        <w:t>is</w:t>
      </w:r>
      <w:r>
        <w:rPr>
          <w:spacing w:val="-9"/>
          <w:vertAlign w:val="baseline"/>
        </w:rPr>
        <w:t> </w:t>
      </w:r>
      <w:r>
        <w:rPr>
          <w:spacing w:val="-2"/>
          <w:vertAlign w:val="baseline"/>
        </w:rPr>
        <w:t>therefore</w:t>
      </w:r>
      <w:r>
        <w:rPr>
          <w:spacing w:val="-8"/>
          <w:vertAlign w:val="baseline"/>
        </w:rPr>
        <w:t> </w:t>
      </w:r>
      <w:r>
        <w:rPr>
          <w:spacing w:val="-2"/>
          <w:vertAlign w:val="baseline"/>
        </w:rPr>
        <w:t>evidence</w:t>
      </w:r>
      <w:r>
        <w:rPr>
          <w:spacing w:val="-8"/>
          <w:vertAlign w:val="baseline"/>
        </w:rPr>
        <w:t> </w:t>
      </w:r>
      <w:r>
        <w:rPr>
          <w:spacing w:val="-2"/>
          <w:vertAlign w:val="baseline"/>
        </w:rPr>
        <w:t>of</w:t>
      </w:r>
      <w:r>
        <w:rPr>
          <w:spacing w:val="-8"/>
          <w:vertAlign w:val="baseline"/>
        </w:rPr>
        <w:t> </w:t>
      </w:r>
      <w:r>
        <w:rPr>
          <w:spacing w:val="-2"/>
          <w:vertAlign w:val="baseline"/>
        </w:rPr>
        <w:t>within-construct</w:t>
      </w:r>
      <w:r>
        <w:rPr>
          <w:spacing w:val="-9"/>
          <w:vertAlign w:val="baseline"/>
        </w:rPr>
        <w:t> </w:t>
      </w:r>
      <w:r>
        <w:rPr>
          <w:spacing w:val="-2"/>
          <w:vertAlign w:val="baseline"/>
        </w:rPr>
        <w:t>coherence,</w:t>
      </w:r>
      <w:r>
        <w:rPr>
          <w:spacing w:val="-4"/>
          <w:vertAlign w:val="baseline"/>
        </w:rPr>
        <w:t> </w:t>
      </w:r>
      <w:r>
        <w:rPr>
          <w:spacing w:val="-2"/>
          <w:vertAlign w:val="baseline"/>
        </w:rPr>
        <w:t>not</w:t>
      </w:r>
      <w:r>
        <w:rPr>
          <w:spacing w:val="-8"/>
          <w:vertAlign w:val="baseline"/>
        </w:rPr>
        <w:t> </w:t>
      </w:r>
      <w:r>
        <w:rPr>
          <w:spacing w:val="-2"/>
          <w:vertAlign w:val="baseline"/>
        </w:rPr>
        <w:t>of</w:t>
      </w:r>
      <w:r>
        <w:rPr>
          <w:spacing w:val="-8"/>
          <w:vertAlign w:val="baseline"/>
        </w:rPr>
        <w:t> </w:t>
      </w:r>
      <w:r>
        <w:rPr>
          <w:spacing w:val="-2"/>
          <w:vertAlign w:val="baseline"/>
        </w:rPr>
        <w:t>independent</w:t>
      </w:r>
      <w:r>
        <w:rPr>
          <w:spacing w:val="-9"/>
          <w:vertAlign w:val="baseline"/>
        </w:rPr>
        <w:t> </w:t>
      </w:r>
      <w:r>
        <w:rPr>
          <w:spacing w:val="-2"/>
          <w:vertAlign w:val="baseline"/>
        </w:rPr>
        <w:t>pre-</w:t>
      </w:r>
      <w:r>
        <w:rPr>
          <w:vertAlign w:val="baseline"/>
        </w:rPr>
        <w:t>dictive power.</w:t>
      </w:r>
      <w:r>
        <w:rPr>
          <w:spacing w:val="40"/>
          <w:vertAlign w:val="baseline"/>
        </w:rPr>
        <w:t> </w:t>
      </w:r>
      <w:r>
        <w:rPr>
          <w:vertAlign w:val="baseline"/>
        </w:rPr>
        <w:t>Inverse-risk, Sybil-stability, and trading-success families are the more demanding tests for social reputation as a signal of trading behavior and account quality.</w:t>
      </w:r>
    </w:p>
    <w:p>
      <w:pPr>
        <w:pStyle w:val="BodyText"/>
        <w:spacing w:line="391" w:lineRule="auto" w:before="240"/>
        <w:ind w:left="273" w:right="522" w:firstLine="1"/>
        <w:jc w:val="both"/>
      </w:pPr>
      <w:r>
        <w:rPr>
          <w:i/>
        </w:rPr>
        <w:t>전송 및 수당 계열은 그래프에 인접합니다. Gtransfer 및 Gapprove를 구축하는 동일한 이벤트 클래스에서 계산되지만 전역 PageRank 점수가 아닌 단순한 지역 통계(정도 및 가치 합계)입니다. 따라서 AWP와 전송 프록시 또는 EndorseRank와 허용 프록시의 강력한 정렬은 독립적인 예측 능력이 아니라 구성 내 일관성의 증거입니다. 역위험, Sybil-안정성 및 거래 성공 계열은 거래 행동 및 계정 품질의 신호로서 사회적 평판에 대한 더욱 까다로운 테스트입니다.</w:t>
      </w:r>
    </w:p>
    <w:p>
      <w:pPr>
        <w:pStyle w:val="BodyText"/>
        <w:spacing w:line="376" w:lineRule="auto" w:before="22"/>
        <w:ind w:left="282" w:right="522"/>
        <w:jc w:val="both"/>
      </w:pPr>
      <w:r>
        <w:rPr/>
        <w:t>Family-level</w:t>
      </w:r>
      <w:r>
        <w:rPr>
          <w:spacing w:val="-9"/>
        </w:rPr>
        <w:t> </w:t>
      </w:r>
      <w:r>
        <w:rPr/>
        <w:t>mean</w:t>
      </w:r>
      <w:r>
        <w:rPr>
          <w:spacing w:val="-9"/>
        </w:rPr>
        <w:t> </w:t>
      </w:r>
      <w:r>
        <w:rPr>
          <w:rFonts w:ascii="Calibri" w:hAnsi="Calibri"/>
          <w:i/>
        </w:rPr>
        <w:t>τ</w:t>
      </w:r>
      <w:r>
        <w:rPr>
          <w:rFonts w:ascii="Calibri" w:hAnsi="Calibri"/>
          <w:i/>
          <w:spacing w:val="23"/>
        </w:rPr>
        <w:t> </w:t>
      </w:r>
      <w:r>
        <w:rPr/>
        <w:t>summarizes</w:t>
      </w:r>
      <w:r>
        <w:rPr>
          <w:spacing w:val="-9"/>
        </w:rPr>
        <w:t> </w:t>
      </w:r>
      <w:r>
        <w:rPr/>
        <w:t>construct</w:t>
      </w:r>
      <w:r>
        <w:rPr>
          <w:spacing w:val="-9"/>
        </w:rPr>
        <w:t> </w:t>
      </w:r>
      <w:r>
        <w:rPr/>
        <w:t>alignment</w:t>
      </w:r>
      <w:r>
        <w:rPr>
          <w:spacing w:val="-9"/>
        </w:rPr>
        <w:t> </w:t>
      </w:r>
      <w:r>
        <w:rPr/>
        <w:t>for</w:t>
      </w:r>
      <w:r>
        <w:rPr>
          <w:spacing w:val="-9"/>
        </w:rPr>
        <w:t> </w:t>
      </w:r>
      <w:r>
        <w:rPr/>
        <w:t>the</w:t>
      </w:r>
      <w:r>
        <w:rPr>
          <w:spacing w:val="-9"/>
        </w:rPr>
        <w:t> </w:t>
      </w:r>
      <w:r>
        <w:rPr/>
        <w:t>EndorseRank–AWP</w:t>
      </w:r>
      <w:r>
        <w:rPr>
          <w:spacing w:val="-9"/>
        </w:rPr>
        <w:t> </w:t>
      </w:r>
      <w:r>
        <w:rPr/>
        <w:t>comparison;</w:t>
      </w:r>
      <w:r>
        <w:rPr>
          <w:spacing w:val="-7"/>
        </w:rPr>
        <w:t> </w:t>
      </w:r>
      <w:r>
        <w:rPr/>
        <w:t>the evaluation</w:t>
      </w:r>
      <w:r>
        <w:rPr>
          <w:spacing w:val="1"/>
        </w:rPr>
        <w:t> </w:t>
      </w:r>
      <w:r>
        <w:rPr/>
        <w:t>pipeline</w:t>
      </w:r>
      <w:r>
        <w:rPr>
          <w:spacing w:val="1"/>
        </w:rPr>
        <w:t> </w:t>
      </w:r>
      <w:r>
        <w:rPr/>
        <w:t>records</w:t>
      </w:r>
      <w:r>
        <w:rPr>
          <w:spacing w:val="1"/>
        </w:rPr>
        <w:t> </w:t>
      </w:r>
      <w:r>
        <w:rPr/>
        <w:t>which</w:t>
      </w:r>
      <w:r>
        <w:rPr>
          <w:spacing w:val="2"/>
        </w:rPr>
        <w:t> </w:t>
      </w:r>
      <w:r>
        <w:rPr/>
        <w:t>social</w:t>
      </w:r>
      <w:r>
        <w:rPr>
          <w:spacing w:val="1"/>
        </w:rPr>
        <w:t> </w:t>
      </w:r>
      <w:r>
        <w:rPr/>
        <w:t>method</w:t>
      </w:r>
      <w:r>
        <w:rPr>
          <w:spacing w:val="1"/>
        </w:rPr>
        <w:t> </w:t>
      </w:r>
      <w:r>
        <w:rPr/>
        <w:t>aligns</w:t>
      </w:r>
      <w:r>
        <w:rPr>
          <w:spacing w:val="2"/>
        </w:rPr>
        <w:t> </w:t>
      </w:r>
      <w:r>
        <w:rPr/>
        <w:t>more</w:t>
      </w:r>
      <w:r>
        <w:rPr>
          <w:spacing w:val="1"/>
        </w:rPr>
        <w:t> </w:t>
      </w:r>
      <w:r>
        <w:rPr/>
        <w:t>strongly</w:t>
      </w:r>
      <w:r>
        <w:rPr>
          <w:spacing w:val="1"/>
        </w:rPr>
        <w:t> </w:t>
      </w:r>
      <w:r>
        <w:rPr/>
        <w:t>per</w:t>
      </w:r>
      <w:r>
        <w:rPr>
          <w:spacing w:val="1"/>
        </w:rPr>
        <w:t> </w:t>
      </w:r>
      <w:r>
        <w:rPr/>
        <w:t>family</w:t>
      </w:r>
      <w:r>
        <w:rPr>
          <w:spacing w:val="2"/>
        </w:rPr>
        <w:t> </w:t>
      </w:r>
      <w:r>
        <w:rPr/>
        <w:t>(Appendix</w:t>
      </w:r>
      <w:r>
        <w:rPr>
          <w:spacing w:val="1"/>
        </w:rPr>
        <w:t> </w:t>
      </w:r>
      <w:hyperlink w:history="true" w:anchor="_bookmark198">
        <w:r>
          <w:rPr>
            <w:spacing w:val="-2"/>
          </w:rPr>
          <w:t>8.1</w:t>
        </w:r>
      </w:hyperlink>
      <w:r>
        <w:rPr>
          <w:spacing w:val="-2"/>
        </w:rPr>
        <w:t>).</w:t>
      </w:r>
    </w:p>
    <w:p>
      <w:pPr>
        <w:pStyle w:val="BodyText"/>
        <w:spacing w:line="376" w:lineRule="auto" w:before="22"/>
        <w:ind w:left="282" w:right="522"/>
        <w:jc w:val="both"/>
      </w:pPr>
      <w:r>
        <w:rPr>
          <w:i/>
        </w:rPr>
        <w:t>가족 수준 평균 τ는 EndorseRank–AWP 비교를 위한 구성 정렬을 요약합니다. 평가 파이프라인은 어떤 사회적 방법이 가족별로 더 강력하게 정렬되는지 기록합니다(부록 8.1).</w:t>
      </w:r>
    </w:p>
    <w:p>
      <w:pPr>
        <w:pStyle w:val="BodyText"/>
        <w:spacing w:after="0" w:line="376" w:lineRule="auto"/>
        <w:jc w:val="both"/>
        <w:sectPr>
          <w:pgSz w:w="11910" w:h="16840"/>
          <w:pgMar w:header="0" w:footer="2115" w:top="1820" w:bottom="2300" w:left="992" w:right="708"/>
        </w:sectPr>
      </w:pPr>
    </w:p>
    <w:p>
      <w:pPr>
        <w:pStyle w:val="BodyText"/>
        <w:spacing w:line="396" w:lineRule="auto" w:before="72"/>
        <w:ind w:left="282" w:right="564" w:hanging="9"/>
        <w:jc w:val="both"/>
      </w:pPr>
      <w:r>
        <w:rPr/>
        <w:t>A sixth liquidation family is computed in the codebase for completeness and is mentioned where relevant, but main-text claims use the five families above.</w:t>
      </w:r>
    </w:p>
    <w:p>
      <w:pPr>
        <w:pStyle w:val="BodyText"/>
        <w:spacing w:line="396" w:lineRule="auto" w:before="72"/>
        <w:ind w:left="282" w:right="564" w:hanging="9"/>
        <w:jc w:val="both"/>
      </w:pPr>
      <w:r>
        <w:rPr>
          <w:i/>
        </w:rPr>
        <w:t>여섯 번째 청산 계열은 완전성을 위해 코드베이스에서 계산되며 관련성이 있는 경우 언급되지만 본문 주장에서는 위의 다섯 가지 계열을 사용합니다.</w:t>
      </w:r>
    </w:p>
    <w:p>
      <w:pPr>
        <w:pStyle w:val="BodyText"/>
        <w:spacing w:line="396" w:lineRule="auto" w:before="16"/>
        <w:ind w:left="282" w:right="524"/>
        <w:jc w:val="both"/>
      </w:pPr>
      <w:r>
        <w:rPr>
          <w:spacing w:val="-2"/>
        </w:rPr>
        <w:t>Supplementary</w:t>
      </w:r>
      <w:r>
        <w:rPr>
          <w:spacing w:val="-10"/>
        </w:rPr>
        <w:t> </w:t>
      </w:r>
      <w:r>
        <w:rPr>
          <w:spacing w:val="-2"/>
        </w:rPr>
        <w:t>evaluation</w:t>
      </w:r>
      <w:r>
        <w:rPr>
          <w:spacing w:val="-10"/>
        </w:rPr>
        <w:t> </w:t>
      </w:r>
      <w:r>
        <w:rPr>
          <w:spacing w:val="-2"/>
        </w:rPr>
        <w:t>includes</w:t>
      </w:r>
      <w:r>
        <w:rPr>
          <w:spacing w:val="-10"/>
        </w:rPr>
        <w:t> </w:t>
      </w:r>
      <w:r>
        <w:rPr>
          <w:spacing w:val="-2"/>
        </w:rPr>
        <w:t>GF-PR</w:t>
      </w:r>
      <w:r>
        <w:rPr>
          <w:spacing w:val="-10"/>
        </w:rPr>
        <w:t> </w:t>
      </w:r>
      <w:r>
        <w:rPr>
          <w:spacing w:val="-2"/>
        </w:rPr>
        <w:t>only</w:t>
      </w:r>
      <w:r>
        <w:rPr>
          <w:spacing w:val="-10"/>
        </w:rPr>
        <w:t> </w:t>
      </w:r>
      <w:r>
        <w:rPr>
          <w:spacing w:val="-2"/>
        </w:rPr>
        <w:t>for</w:t>
      </w:r>
      <w:r>
        <w:rPr>
          <w:spacing w:val="-10"/>
        </w:rPr>
        <w:t> </w:t>
      </w:r>
      <w:r>
        <w:rPr>
          <w:spacing w:val="-2"/>
        </w:rPr>
        <w:t>SRQ1,</w:t>
      </w:r>
      <w:r>
        <w:rPr>
          <w:spacing w:val="-5"/>
        </w:rPr>
        <w:t> </w:t>
      </w:r>
      <w:r>
        <w:rPr>
          <w:spacing w:val="-2"/>
        </w:rPr>
        <w:t>to</w:t>
      </w:r>
      <w:r>
        <w:rPr>
          <w:spacing w:val="-10"/>
        </w:rPr>
        <w:t> </w:t>
      </w:r>
      <w:r>
        <w:rPr>
          <w:spacing w:val="-2"/>
        </w:rPr>
        <w:t>diagnose</w:t>
      </w:r>
      <w:r>
        <w:rPr>
          <w:spacing w:val="-10"/>
        </w:rPr>
        <w:t> </w:t>
      </w:r>
      <w:r>
        <w:rPr>
          <w:spacing w:val="-2"/>
        </w:rPr>
        <w:t>construct</w:t>
      </w:r>
      <w:r>
        <w:rPr>
          <w:spacing w:val="-10"/>
        </w:rPr>
        <w:t> </w:t>
      </w:r>
      <w:r>
        <w:rPr>
          <w:spacing w:val="-2"/>
        </w:rPr>
        <w:t>overlap</w:t>
      </w:r>
      <w:r>
        <w:rPr>
          <w:spacing w:val="-10"/>
        </w:rPr>
        <w:t> </w:t>
      </w:r>
      <w:r>
        <w:rPr>
          <w:spacing w:val="-2"/>
        </w:rPr>
        <w:t>on</w:t>
      </w:r>
      <w:r>
        <w:rPr>
          <w:spacing w:val="-10"/>
        </w:rPr>
        <w:t> </w:t>
      </w:r>
      <w:r>
        <w:rPr>
          <w:spacing w:val="-2"/>
        </w:rPr>
        <w:t>trading-</w:t>
      </w:r>
      <w:r>
        <w:rPr/>
        <w:t>outcome proxies.</w:t>
      </w:r>
      <w:r>
        <w:rPr>
          <w:spacing w:val="40"/>
        </w:rPr>
        <w:t> </w:t>
      </w:r>
      <w:r>
        <w:rPr/>
        <w:t>Lending-protocol default labels remain out of scope.</w:t>
      </w:r>
      <w:r>
        <w:rPr>
          <w:spacing w:val="40"/>
        </w:rPr>
        <w:t> </w:t>
      </w:r>
      <w:r>
        <w:rPr/>
        <w:t>Packin and Lev-Aretz</w:t>
      </w:r>
      <w:hyperlink w:history="true" w:anchor="_bookmark181">
        <w:r>
          <w:rPr>
            <w:vertAlign w:val="superscript"/>
          </w:rPr>
          <w:t>[48]</w:t>
        </w:r>
      </w:hyperlink>
      <w:r>
        <w:rPr>
          <w:vertAlign w:val="baseline"/>
        </w:rPr>
        <w:t> caution that decentralized credit scores can become opaque; the proxy design counters opacity by publishing explicit formulas (Section </w:t>
      </w:r>
      <w:hyperlink w:history="true" w:anchor="_bookmark66">
        <w:r>
          <w:rPr>
            <w:vertAlign w:val="baseline"/>
          </w:rPr>
          <w:t>3.9</w:t>
        </w:r>
      </w:hyperlink>
      <w:r>
        <w:rPr>
          <w:vertAlign w:val="baseline"/>
        </w:rPr>
        <w:t>) and by separating social methods from outcome-native </w:t>
      </w:r>
      <w:bookmarkStart w:name="Operational definitions of proxies" w:id="117"/>
      <w:bookmarkEnd w:id="117"/>
      <w:r>
        <w:rPr>
          <w:w w:val="99"/>
          <w:vertAlign w:val="baseline"/>
        </w:rPr>
      </w:r>
      <w:bookmarkStart w:name="_bookmark66" w:id="118"/>
      <w:bookmarkEnd w:id="118"/>
      <w:r>
        <w:rPr>
          <w:spacing w:val="-2"/>
          <w:vertAlign w:val="baseline"/>
        </w:rPr>
        <w:t>references.</w:t>
      </w:r>
    </w:p>
    <w:p>
      <w:pPr>
        <w:pStyle w:val="BodyText"/>
        <w:spacing w:line="396" w:lineRule="auto" w:before="16"/>
        <w:ind w:left="282" w:right="524"/>
        <w:jc w:val="both"/>
      </w:pPr>
      <w:r>
        <w:rPr>
          <w:i/>
        </w:rPr>
        <w:t>보충 평가에는 거래 결과 프록시의 구성 중복을 진단하기 위해 SRQ1에 대해서만 GF-PR이 포함됩니다. 대출 프로토콜 기본 라벨은 범위를 벗어납니다. Packin과 Lev-Aretz[48]는 분산형 신용 점수가 불투명해질 수 있다고 경고합니다. 프록시 설계는 명시적인 공식(섹션 3.9)을 게시하고 결과 기반 참조에서 사회적 방법을 분리하여 불투명성에 대응합니다.</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Operational</w:t>
      </w:r>
      <w:r>
        <w:rPr>
          <w:spacing w:val="17"/>
        </w:rPr>
        <w:t> </w:t>
      </w:r>
      <w:r>
        <w:rPr/>
        <w:t>definitions</w:t>
      </w:r>
      <w:r>
        <w:rPr>
          <w:spacing w:val="17"/>
        </w:rPr>
        <w:t> </w:t>
      </w:r>
      <w:r>
        <w:rPr/>
        <w:t>of</w:t>
      </w:r>
      <w:r>
        <w:rPr>
          <w:spacing w:val="17"/>
        </w:rPr>
        <w:t> </w:t>
      </w:r>
      <w:r>
        <w:rPr>
          <w:spacing w:val="-2"/>
        </w:rPr>
        <w:t>proxies</w:t>
      </w:r>
    </w:p>
    <w:p>
      <w:pPr>
        <w:pStyle w:val="Heading2"/>
        <w:numPr>
          <w:ilvl w:val="1"/>
          <w:numId w:val="8"/>
        </w:numPr>
        <w:tabs>
          <w:tab w:pos="783" w:val="left" w:leader="none"/>
        </w:tabs>
        <w:spacing w:line="240" w:lineRule="auto" w:before="0" w:after="0"/>
        <w:ind w:left="783" w:right="0" w:hanging="501"/>
        <w:jc w:val="left"/>
      </w:pPr>
      <w:r>
        <w:rPr>
          <w:i/>
        </w:rPr>
        <w:t>프록시의 운영 정의</w:t>
      </w:r>
    </w:p>
    <w:p>
      <w:pPr>
        <w:pStyle w:val="BodyText"/>
        <w:spacing w:line="309" w:lineRule="auto" w:before="307"/>
        <w:ind w:left="282" w:right="564"/>
        <w:jc w:val="both"/>
      </w:pPr>
      <w:r>
        <w:rPr/>
        <w:t>Let</w:t>
      </w:r>
      <w:r>
        <w:rPr>
          <w:spacing w:val="-13"/>
        </w:rPr>
        <w:t> </w:t>
      </w:r>
      <w:r>
        <w:rPr>
          <w:rFonts w:ascii="Lucida Sans Unicode" w:hAnsi="Lucida Sans Unicode"/>
        </w:rPr>
        <w:t>M</w:t>
      </w:r>
      <w:r>
        <w:rPr>
          <w:rFonts w:ascii="Lucida Sans Unicode" w:hAnsi="Lucida Sans Unicode"/>
          <w:spacing w:val="-8"/>
        </w:rPr>
        <w:t> </w:t>
      </w:r>
      <w:r>
        <w:rPr/>
        <w:t>be</w:t>
      </w:r>
      <w:r>
        <w:rPr>
          <w:spacing w:val="-13"/>
        </w:rPr>
        <w:t> </w:t>
      </w:r>
      <w:r>
        <w:rPr/>
        <w:t>the</w:t>
      </w:r>
      <w:r>
        <w:rPr>
          <w:spacing w:val="-13"/>
        </w:rPr>
        <w:t> </w:t>
      </w:r>
      <w:r>
        <w:rPr/>
        <w:t>matched</w:t>
      </w:r>
      <w:r>
        <w:rPr>
          <w:spacing w:val="-13"/>
        </w:rPr>
        <w:t> </w:t>
      </w:r>
      <w:r>
        <w:rPr/>
        <w:t>cohort.</w:t>
      </w:r>
      <w:r>
        <w:rPr>
          <w:spacing w:val="16"/>
        </w:rPr>
        <w:t> </w:t>
      </w:r>
      <w:r>
        <w:rPr/>
        <w:t>For</w:t>
      </w:r>
      <w:r>
        <w:rPr>
          <w:spacing w:val="-13"/>
        </w:rPr>
        <w:t> </w:t>
      </w:r>
      <w:r>
        <w:rPr/>
        <w:t>GMX-derived</w:t>
      </w:r>
      <w:r>
        <w:rPr>
          <w:spacing w:val="-13"/>
        </w:rPr>
        <w:t> </w:t>
      </w:r>
      <w:r>
        <w:rPr/>
        <w:t>proxies,</w:t>
      </w:r>
      <w:r>
        <w:rPr>
          <w:spacing w:val="-11"/>
        </w:rPr>
        <w:t> </w:t>
      </w:r>
      <w:r>
        <w:rPr/>
        <w:t>only</w:t>
      </w:r>
      <w:r>
        <w:rPr>
          <w:spacing w:val="-13"/>
        </w:rPr>
        <w:t> </w:t>
      </w:r>
      <w:r>
        <w:rPr/>
        <w:t>wallets</w:t>
      </w:r>
      <w:r>
        <w:rPr>
          <w:spacing w:val="-13"/>
        </w:rPr>
        <w:t> </w:t>
      </w:r>
      <w:r>
        <w:rPr/>
        <w:t>with</w:t>
      </w:r>
      <w:r>
        <w:rPr>
          <w:spacing w:val="-13"/>
        </w:rPr>
        <w:t> </w:t>
      </w:r>
      <w:r>
        <w:rPr/>
        <w:t>at</w:t>
      </w:r>
      <w:r>
        <w:rPr>
          <w:spacing w:val="-13"/>
        </w:rPr>
        <w:t> </w:t>
      </w:r>
      <w:r>
        <w:rPr/>
        <w:t>least</w:t>
      </w:r>
      <w:r>
        <w:rPr>
          <w:spacing w:val="-13"/>
        </w:rPr>
        <w:t> </w:t>
      </w:r>
      <w:r>
        <w:rPr>
          <w:rFonts w:ascii="Calibri" w:hAnsi="Calibri"/>
          <w:i/>
        </w:rPr>
        <w:t>m</w:t>
      </w:r>
      <w:r>
        <w:rPr>
          <w:rFonts w:ascii="Calibri" w:hAnsi="Calibri"/>
          <w:i/>
          <w:spacing w:val="-1"/>
          <w:w w:val="125"/>
        </w:rPr>
        <w:t> </w:t>
      </w:r>
      <w:r>
        <w:rPr>
          <w:rFonts w:ascii="Calibri" w:hAnsi="Calibri"/>
          <w:w w:val="125"/>
        </w:rPr>
        <w:t>=</w:t>
      </w:r>
      <w:r>
        <w:rPr>
          <w:rFonts w:ascii="Calibri" w:hAnsi="Calibri"/>
          <w:spacing w:val="-2"/>
          <w:w w:val="125"/>
        </w:rPr>
        <w:t> </w:t>
      </w:r>
      <w:r>
        <w:rPr>
          <w:rFonts w:ascii="Calibri" w:hAnsi="Calibri"/>
        </w:rPr>
        <w:t>3</w:t>
      </w:r>
      <w:r>
        <w:rPr>
          <w:rFonts w:ascii="Calibri" w:hAnsi="Calibri"/>
          <w:spacing w:val="-7"/>
        </w:rPr>
        <w:t> </w:t>
      </w:r>
      <w:r>
        <w:rPr/>
        <w:t>closes</w:t>
      </w:r>
      <w:r>
        <w:rPr>
          <w:spacing w:val="-13"/>
        </w:rPr>
        <w:t> </w:t>
      </w:r>
      <w:r>
        <w:rPr/>
        <w:t>in the</w:t>
      </w:r>
      <w:r>
        <w:rPr>
          <w:spacing w:val="-1"/>
        </w:rPr>
        <w:t> </w:t>
      </w:r>
      <w:r>
        <w:rPr/>
        <w:t>decoded</w:t>
      </w:r>
      <w:r>
        <w:rPr>
          <w:spacing w:val="-1"/>
        </w:rPr>
        <w:t> </w:t>
      </w:r>
      <w:r>
        <w:rPr/>
        <w:t>event</w:t>
      </w:r>
      <w:r>
        <w:rPr>
          <w:spacing w:val="-1"/>
        </w:rPr>
        <w:t> </w:t>
      </w:r>
      <w:r>
        <w:rPr/>
        <w:t>table</w:t>
      </w:r>
      <w:r>
        <w:rPr>
          <w:spacing w:val="-1"/>
        </w:rPr>
        <w:t> </w:t>
      </w:r>
      <w:r>
        <w:rPr/>
        <w:t>are</w:t>
      </w:r>
      <w:r>
        <w:rPr>
          <w:spacing w:val="-1"/>
        </w:rPr>
        <w:t> </w:t>
      </w:r>
      <w:r>
        <w:rPr/>
        <w:t>eligible; ineligible</w:t>
      </w:r>
      <w:r>
        <w:rPr>
          <w:spacing w:val="-1"/>
        </w:rPr>
        <w:t> </w:t>
      </w:r>
      <w:r>
        <w:rPr/>
        <w:t>wallets</w:t>
      </w:r>
      <w:r>
        <w:rPr>
          <w:spacing w:val="-1"/>
        </w:rPr>
        <w:t> </w:t>
      </w:r>
      <w:r>
        <w:rPr/>
        <w:t>receive</w:t>
      </w:r>
      <w:r>
        <w:rPr>
          <w:spacing w:val="-1"/>
        </w:rPr>
        <w:t> </w:t>
      </w:r>
      <w:r>
        <w:rPr/>
        <w:t>zeros</w:t>
      </w:r>
      <w:r>
        <w:rPr>
          <w:spacing w:val="-1"/>
        </w:rPr>
        <w:t> </w:t>
      </w:r>
      <w:r>
        <w:rPr/>
        <w:t>after</w:t>
      </w:r>
      <w:r>
        <w:rPr>
          <w:spacing w:val="-1"/>
        </w:rPr>
        <w:t> </w:t>
      </w:r>
      <w:r>
        <w:rPr/>
        <w:t>left-join</w:t>
      </w:r>
      <w:r>
        <w:rPr>
          <w:spacing w:val="-1"/>
        </w:rPr>
        <w:t> </w:t>
      </w:r>
      <w:r>
        <w:rPr/>
        <w:t>to</w:t>
      </w:r>
      <w:r>
        <w:rPr>
          <w:spacing w:val="-2"/>
        </w:rPr>
        <w:t> </w:t>
      </w:r>
      <w:r>
        <w:rPr>
          <w:rFonts w:ascii="Lucida Sans Unicode" w:hAnsi="Lucida Sans Unicode"/>
          <w:spacing w:val="9"/>
        </w:rPr>
        <w:t>M</w:t>
      </w:r>
      <w:r>
        <w:rPr>
          <w:spacing w:val="9"/>
        </w:rPr>
        <w:t>. </w:t>
      </w:r>
      <w:r>
        <w:rPr/>
        <w:t>Notation </w:t>
      </w:r>
      <w:bookmarkStart w:name="Transfer family" w:id="119"/>
      <w:bookmarkEnd w:id="119"/>
      <w:r>
        <w:rPr/>
        <w:t>belo</w:t>
      </w:r>
      <w:r>
        <w:rPr/>
        <w:t>w matches the proxy-computation module of the open evaluation pipeline.</w:t>
      </w:r>
    </w:p>
    <w:p>
      <w:pPr>
        <w:pStyle w:val="BodyText"/>
        <w:spacing w:line="309" w:lineRule="auto" w:before="307"/>
        <w:ind w:left="282" w:right="564"/>
        <w:jc w:val="both"/>
      </w:pPr>
      <w:r>
        <w:rPr>
          <w:i/>
        </w:rPr>
        <w:t>M을 일치하는 코호트로 설정합니다. GMX 파생 프록시의 경우 디코딩된 이벤트 테이블에서 최소 m = 3 닫기가 있는 지갑만 적격합니다. 부적격 지갑은 M에 왼쪽 조인 후 0을 받습니다. 아래 표기법은 공개 평가 파이프라인의 프록시 계산 모듈과 일치합니다.</w:t>
      </w:r>
    </w:p>
    <w:p>
      <w:pPr>
        <w:pStyle w:val="BodyText"/>
        <w:spacing w:before="106"/>
      </w:pPr>
    </w:p>
    <w:p>
      <w:pPr>
        <w:pStyle w:val="Heading4"/>
        <w:numPr>
          <w:ilvl w:val="2"/>
          <w:numId w:val="8"/>
        </w:numPr>
        <w:tabs>
          <w:tab w:pos="879" w:val="left" w:leader="none"/>
        </w:tabs>
        <w:spacing w:line="240" w:lineRule="auto" w:before="0" w:after="0"/>
        <w:ind w:left="879" w:right="0" w:hanging="597"/>
        <w:jc w:val="left"/>
      </w:pPr>
      <w:r>
        <w:rPr>
          <w:spacing w:val="-2"/>
        </w:rPr>
        <w:t>Transfer</w:t>
      </w:r>
      <w:r>
        <w:rPr>
          <w:spacing w:val="-13"/>
        </w:rPr>
        <w:t> </w:t>
      </w:r>
      <w:r>
        <w:rPr>
          <w:spacing w:val="-2"/>
        </w:rPr>
        <w:t>family</w:t>
      </w:r>
    </w:p>
    <w:p>
      <w:pPr>
        <w:pStyle w:val="Heading4"/>
        <w:numPr>
          <w:ilvl w:val="2"/>
          <w:numId w:val="8"/>
        </w:numPr>
        <w:tabs>
          <w:tab w:pos="879" w:val="left" w:leader="none"/>
        </w:tabs>
        <w:spacing w:line="240" w:lineRule="auto" w:before="0" w:after="0"/>
        <w:ind w:left="879" w:right="0" w:hanging="597"/>
        <w:jc w:val="left"/>
      </w:pPr>
      <w:r>
        <w:rPr>
          <w:i/>
        </w:rPr>
        <w:t>가족 이전</w:t>
      </w:r>
    </w:p>
    <w:p>
      <w:pPr>
        <w:pStyle w:val="BodyText"/>
        <w:spacing w:before="7"/>
        <w:rPr>
          <w:b/>
        </w:rPr>
      </w:pPr>
    </w:p>
    <w:p>
      <w:pPr>
        <w:pStyle w:val="BodyText"/>
        <w:ind w:left="282"/>
        <w:jc w:val="both"/>
      </w:pPr>
      <w:r>
        <w:rPr/>
        <w:t>Let</w:t>
      </w:r>
      <w:r>
        <w:rPr>
          <w:spacing w:val="1"/>
        </w:rPr>
        <w:t> </w:t>
      </w:r>
      <w:r>
        <w:rPr>
          <w:rFonts w:ascii="Lucida Sans Unicode"/>
        </w:rPr>
        <w:t>f</w:t>
      </w:r>
      <w:r>
        <w:rPr>
          <w:vertAlign w:val="subscript"/>
        </w:rPr>
        <w:t>in</w:t>
      </w:r>
      <w:r>
        <w:rPr>
          <w:rFonts w:ascii="Calibri"/>
          <w:vertAlign w:val="baseline"/>
        </w:rPr>
        <w:t>(</w:t>
      </w:r>
      <w:r>
        <w:rPr>
          <w:rFonts w:ascii="Calibri"/>
          <w:i/>
          <w:vertAlign w:val="baseline"/>
        </w:rPr>
        <w:t>w</w:t>
      </w:r>
      <w:r>
        <w:rPr>
          <w:rFonts w:ascii="Calibri"/>
          <w:vertAlign w:val="baseline"/>
        </w:rPr>
        <w:t>)</w:t>
      </w:r>
      <w:r>
        <w:rPr>
          <w:rFonts w:ascii="Calibri"/>
          <w:spacing w:val="8"/>
          <w:vertAlign w:val="baseline"/>
        </w:rPr>
        <w:t> </w:t>
      </w:r>
      <w:r>
        <w:rPr>
          <w:vertAlign w:val="baseline"/>
        </w:rPr>
        <w:t>be</w:t>
      </w:r>
      <w:r>
        <w:rPr>
          <w:spacing w:val="2"/>
          <w:vertAlign w:val="baseline"/>
        </w:rPr>
        <w:t> </w:t>
      </w:r>
      <w:r>
        <w:rPr>
          <w:vertAlign w:val="baseline"/>
        </w:rPr>
        <w:t>inbound</w:t>
      </w:r>
      <w:r>
        <w:rPr>
          <w:spacing w:val="2"/>
          <w:vertAlign w:val="baseline"/>
        </w:rPr>
        <w:t> </w:t>
      </w:r>
      <w:r>
        <w:rPr>
          <w:vertAlign w:val="baseline"/>
        </w:rPr>
        <w:t>transfers</w:t>
      </w:r>
      <w:r>
        <w:rPr>
          <w:spacing w:val="2"/>
          <w:vertAlign w:val="baseline"/>
        </w:rPr>
        <w:t> </w:t>
      </w:r>
      <w:r>
        <w:rPr>
          <w:vertAlign w:val="baseline"/>
        </w:rPr>
        <w:t>to</w:t>
      </w:r>
      <w:r>
        <w:rPr>
          <w:spacing w:val="2"/>
          <w:vertAlign w:val="baseline"/>
        </w:rPr>
        <w:t> </w:t>
      </w:r>
      <w:r>
        <w:rPr>
          <w:vertAlign w:val="baseline"/>
        </w:rPr>
        <w:t>wallet</w:t>
      </w:r>
      <w:r>
        <w:rPr>
          <w:spacing w:val="3"/>
          <w:vertAlign w:val="baseline"/>
        </w:rPr>
        <w:t> </w:t>
      </w:r>
      <w:r>
        <w:rPr>
          <w:rFonts w:ascii="Calibri"/>
          <w:i/>
          <w:vertAlign w:val="baseline"/>
        </w:rPr>
        <w:t>w</w:t>
      </w:r>
      <w:r>
        <w:rPr>
          <w:rFonts w:ascii="Calibri"/>
          <w:i/>
          <w:spacing w:val="15"/>
          <w:vertAlign w:val="baseline"/>
        </w:rPr>
        <w:t> </w:t>
      </w:r>
      <w:r>
        <w:rPr>
          <w:vertAlign w:val="baseline"/>
        </w:rPr>
        <w:t>(any</w:t>
      </w:r>
      <w:r>
        <w:rPr>
          <w:spacing w:val="2"/>
          <w:vertAlign w:val="baseline"/>
        </w:rPr>
        <w:t> </w:t>
      </w:r>
      <w:r>
        <w:rPr>
          <w:vertAlign w:val="baseline"/>
        </w:rPr>
        <w:t>sender).</w:t>
      </w:r>
      <w:r>
        <w:rPr>
          <w:spacing w:val="23"/>
          <w:vertAlign w:val="baseline"/>
        </w:rPr>
        <w:t> </w:t>
      </w:r>
      <w:r>
        <w:rPr>
          <w:spacing w:val="-2"/>
          <w:vertAlign w:val="baseline"/>
        </w:rPr>
        <w:t>Define</w:t>
      </w:r>
    </w:p>
    <w:p>
      <w:pPr>
        <w:pStyle w:val="BodyText"/>
        <w:ind w:left="282"/>
        <w:jc w:val="both"/>
      </w:pPr>
      <w:r>
        <w:rPr>
          <w:i/>
        </w:rPr>
        <w:t>fin(w)를 지갑 w(모든 발신자)로의 인바운드 전송으로 둡니다. 정의하다</w:t>
      </w:r>
    </w:p>
    <w:p>
      <w:pPr>
        <w:pStyle w:val="BodyText"/>
        <w:rPr>
          <w:sz w:val="20"/>
        </w:rPr>
      </w:pPr>
    </w:p>
    <w:p>
      <w:pPr>
        <w:pStyle w:val="BodyText"/>
        <w:rPr>
          <w:sz w:val="20"/>
        </w:rPr>
      </w:pPr>
    </w:p>
    <w:p>
      <w:pPr>
        <w:pStyle w:val="BodyText"/>
        <w:rPr>
          <w:sz w:val="20"/>
        </w:rPr>
      </w:pPr>
    </w:p>
    <w:p>
      <w:pPr>
        <w:pStyle w:val="BodyText"/>
        <w:spacing w:before="12"/>
        <w:rPr>
          <w:sz w:val="20"/>
        </w:rPr>
      </w:pPr>
    </w:p>
    <w:p>
      <w:pPr>
        <w:pStyle w:val="BodyText"/>
        <w:spacing w:after="0"/>
        <w:rPr>
          <w:sz w:val="20"/>
        </w:rPr>
        <w:sectPr>
          <w:pgSz w:w="11910" w:h="16840"/>
          <w:pgMar w:header="0" w:footer="2115" w:top="1840" w:bottom="2300" w:left="992" w:right="708"/>
        </w:sectPr>
      </w:pPr>
    </w:p>
    <w:p>
      <w:pPr>
        <w:pStyle w:val="BodyText"/>
        <w:spacing w:before="85"/>
        <w:ind w:left="3005"/>
        <w:rPr>
          <w:rFonts w:ascii="Calibri"/>
        </w:rPr>
      </w:pPr>
      <w:r>
        <w:rPr>
          <w:rFonts w:ascii="Calibri"/>
        </w:rPr>
        <mc:AlternateContent>
          <mc:Choice Requires="wps">
            <w:drawing>
              <wp:anchor distT="0" distB="0" distL="0" distR="0" allowOverlap="1" layoutInCell="1" locked="0" behindDoc="1" simplePos="0" relativeHeight="484021248">
                <wp:simplePos x="0" y="0"/>
                <wp:positionH relativeFrom="page">
                  <wp:posOffset>3534981</wp:posOffset>
                </wp:positionH>
                <wp:positionV relativeFrom="paragraph">
                  <wp:posOffset>-58961</wp:posOffset>
                </wp:positionV>
                <wp:extent cx="219710" cy="56324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78.345001pt;margin-top:-4.642634pt;width:17.3pt;height:44.35pt;mso-position-horizontal-relative:page;mso-position-vertical-relative:paragraph;z-index:-19295232" type="#_x0000_t202" id="docshape143"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4021760">
                <wp:simplePos x="0" y="0"/>
                <wp:positionH relativeFrom="page">
                  <wp:posOffset>2462593</wp:posOffset>
                </wp:positionH>
                <wp:positionV relativeFrom="paragraph">
                  <wp:posOffset>-280512</wp:posOffset>
                </wp:positionV>
                <wp:extent cx="4298950" cy="56324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4298950" cy="563245"/>
                        </a:xfrm>
                        <a:prstGeom prst="rect">
                          <a:avLst/>
                        </a:prstGeom>
                      </wps:spPr>
                      <wps:txbx>
                        <w:txbxContent>
                          <w:p>
                            <w:pPr>
                              <w:pStyle w:val="BodyText"/>
                              <w:tabs>
                                <w:tab w:pos="6310" w:val="left" w:leader="none"/>
                              </w:tabs>
                              <w:spacing w:line="345" w:lineRule="exact"/>
                            </w:pPr>
                            <w:r>
                              <w:rPr>
                                <w:w w:val="110"/>
                              </w:rPr>
                              <w:t>in_degree</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5"/>
                              </w:rPr>
                              <w:t>{</w:t>
                            </w:r>
                            <w:r>
                              <w:rPr>
                                <w:rFonts w:ascii="Lucida Sans Unicode" w:hAnsi="Lucida Sans Unicode"/>
                                <w:spacing w:val="-48"/>
                                <w:w w:val="115"/>
                              </w:rPr>
                              <w:t> </w:t>
                            </w:r>
                            <w:r>
                              <w:rPr>
                                <w:rFonts w:ascii="Calibri" w:hAnsi="Calibri"/>
                                <w:i/>
                                <w:w w:val="110"/>
                              </w:rPr>
                              <w:t>u</w:t>
                            </w:r>
                            <w:r>
                              <w:rPr>
                                <w:rFonts w:ascii="Calibri" w:hAnsi="Calibri"/>
                                <w:i/>
                                <w:spacing w:val="-15"/>
                                <w:w w:val="110"/>
                              </w:rPr>
                              <w:t> </w:t>
                            </w:r>
                            <w:r>
                              <w:rPr>
                                <w:rFonts w:ascii="Calibri" w:hAnsi="Calibri"/>
                                <w:w w:val="110"/>
                              </w:rPr>
                              <w:t>:</w:t>
                            </w:r>
                            <w:r>
                              <w:rPr>
                                <w:rFonts w:ascii="Calibri" w:hAnsi="Calibri"/>
                                <w:spacing w:val="-15"/>
                                <w:w w:val="110"/>
                              </w:rPr>
                              <w:t> </w:t>
                            </w:r>
                            <w:r>
                              <w:rPr>
                                <w:rFonts w:ascii="Lucida Sans Unicode" w:hAnsi="Lucida Sans Unicode"/>
                                <w:w w:val="110"/>
                              </w:rPr>
                              <w:t>∃</w:t>
                            </w:r>
                            <w:r>
                              <w:rPr>
                                <w:rFonts w:ascii="Lucida Sans Unicode" w:hAnsi="Lucida Sans Unicode"/>
                                <w:spacing w:val="-25"/>
                                <w:w w:val="110"/>
                              </w:rPr>
                              <w:t> </w:t>
                            </w:r>
                            <w:r>
                              <w:rPr>
                                <w:w w:val="110"/>
                              </w:rPr>
                              <w:t>transfer</w:t>
                            </w:r>
                            <w:r>
                              <w:rPr>
                                <w:spacing w:val="-16"/>
                                <w:w w:val="110"/>
                              </w:rPr>
                              <w:t> </w:t>
                            </w:r>
                            <w:r>
                              <w:rPr>
                                <w:rFonts w:ascii="Calibri" w:hAnsi="Calibri"/>
                                <w:i/>
                                <w:w w:val="110"/>
                              </w:rPr>
                              <w:t>u</w:t>
                            </w:r>
                            <w:r>
                              <w:rPr>
                                <w:rFonts w:ascii="Calibri" w:hAnsi="Calibri"/>
                                <w:i/>
                                <w:spacing w:val="-14"/>
                                <w:w w:val="110"/>
                              </w:rPr>
                              <w:t> </w:t>
                            </w:r>
                            <w:r>
                              <w:rPr>
                                <w:rFonts w:ascii="Lucida Sans Unicode" w:hAnsi="Lucida Sans Unicode"/>
                                <w:w w:val="110"/>
                              </w:rPr>
                              <w:t>→</w:t>
                            </w:r>
                            <w:r>
                              <w:rPr>
                                <w:rFonts w:ascii="Lucida Sans Unicode" w:hAnsi="Lucida Sans Unicode"/>
                                <w:spacing w:val="-21"/>
                                <w:w w:val="110"/>
                              </w:rPr>
                              <w:t> </w:t>
                            </w:r>
                            <w:r>
                              <w:rPr>
                                <w:rFonts w:ascii="Calibri" w:hAnsi="Calibri"/>
                                <w:i/>
                                <w:w w:val="110"/>
                              </w:rPr>
                              <w:t>w</w:t>
                            </w:r>
                            <w:r>
                              <w:rPr>
                                <w:rFonts w:ascii="Calibri" w:hAnsi="Calibri"/>
                                <w:i/>
                                <w:spacing w:val="-15"/>
                                <w:w w:val="110"/>
                              </w:rPr>
                              <w:t> </w:t>
                            </w:r>
                            <w:r>
                              <w:rPr>
                                <w:rFonts w:ascii="Lucida Sans Unicode" w:hAnsi="Lucida Sans Unicode"/>
                                <w:w w:val="115"/>
                              </w:rPr>
                              <w:t>}</w:t>
                            </w:r>
                            <w:r>
                              <w:rPr>
                                <w:spacing w:val="-7"/>
                                <w:w w:val="115"/>
                                <w:position w:val="6"/>
                              </w:rPr>
                              <w:t> </w:t>
                            </w:r>
                            <w:r>
                              <w:rPr>
                                <w:rFonts w:ascii="Calibri" w:hAnsi="Calibri"/>
                                <w:i/>
                                <w:spacing w:val="-10"/>
                                <w:w w:val="110"/>
                              </w:rPr>
                              <w:t>,</w:t>
                            </w:r>
                            <w:r>
                              <w:rPr>
                                <w:rFonts w:ascii="Calibri" w:hAnsi="Calibri"/>
                                <w:i/>
                              </w:rPr>
                              <w:tab/>
                            </w:r>
                            <w:r>
                              <w:rPr>
                                <w:spacing w:val="-2"/>
                              </w:rPr>
                              <w:t>(3.6)</w:t>
                            </w:r>
                          </w:p>
                        </w:txbxContent>
                      </wps:txbx>
                      <wps:bodyPr wrap="square" lIns="0" tIns="0" rIns="0" bIns="0" rtlCol="0">
                        <a:noAutofit/>
                      </wps:bodyPr>
                    </wps:wsp>
                  </a:graphicData>
                </a:graphic>
              </wp:anchor>
            </w:drawing>
          </mc:Choice>
          <mc:Fallback>
            <w:pict>
              <v:shape style="position:absolute;margin-left:193.904999pt;margin-top:-22.087635pt;width:338.5pt;height:44.35pt;mso-position-horizontal-relative:page;mso-position-vertical-relative:paragraph;z-index:-19294720" type="#_x0000_t202" id="docshape144" filled="false" stroked="false">
                <v:textbox inset="0,0,0,0">
                  <w:txbxContent>
                    <w:p>
                      <w:pPr>
                        <w:pStyle w:val="BodyText"/>
                        <w:tabs>
                          <w:tab w:pos="6310" w:val="left" w:leader="none"/>
                        </w:tabs>
                        <w:spacing w:line="345" w:lineRule="exact"/>
                      </w:pPr>
                      <w:r>
                        <w:rPr>
                          <w:w w:val="110"/>
                        </w:rPr>
                        <w:t>in_degree</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5"/>
                        </w:rPr>
                        <w:t>{</w:t>
                      </w:r>
                      <w:r>
                        <w:rPr>
                          <w:rFonts w:ascii="Lucida Sans Unicode" w:hAnsi="Lucida Sans Unicode"/>
                          <w:spacing w:val="-48"/>
                          <w:w w:val="115"/>
                        </w:rPr>
                        <w:t> </w:t>
                      </w:r>
                      <w:r>
                        <w:rPr>
                          <w:rFonts w:ascii="Calibri" w:hAnsi="Calibri"/>
                          <w:i/>
                          <w:w w:val="110"/>
                        </w:rPr>
                        <w:t>u</w:t>
                      </w:r>
                      <w:r>
                        <w:rPr>
                          <w:rFonts w:ascii="Calibri" w:hAnsi="Calibri"/>
                          <w:i/>
                          <w:spacing w:val="-15"/>
                          <w:w w:val="110"/>
                        </w:rPr>
                        <w:t> </w:t>
                      </w:r>
                      <w:r>
                        <w:rPr>
                          <w:rFonts w:ascii="Calibri" w:hAnsi="Calibri"/>
                          <w:w w:val="110"/>
                        </w:rPr>
                        <w:t>:</w:t>
                      </w:r>
                      <w:r>
                        <w:rPr>
                          <w:rFonts w:ascii="Calibri" w:hAnsi="Calibri"/>
                          <w:spacing w:val="-15"/>
                          <w:w w:val="110"/>
                        </w:rPr>
                        <w:t> </w:t>
                      </w:r>
                      <w:r>
                        <w:rPr>
                          <w:rFonts w:ascii="Lucida Sans Unicode" w:hAnsi="Lucida Sans Unicode"/>
                          <w:w w:val="110"/>
                        </w:rPr>
                        <w:t>∃</w:t>
                      </w:r>
                      <w:r>
                        <w:rPr>
                          <w:rFonts w:ascii="Lucida Sans Unicode" w:hAnsi="Lucida Sans Unicode"/>
                          <w:spacing w:val="-25"/>
                          <w:w w:val="110"/>
                        </w:rPr>
                        <w:t> </w:t>
                      </w:r>
                      <w:r>
                        <w:rPr>
                          <w:w w:val="110"/>
                        </w:rPr>
                        <w:t>transfer</w:t>
                      </w:r>
                      <w:r>
                        <w:rPr>
                          <w:spacing w:val="-16"/>
                          <w:w w:val="110"/>
                        </w:rPr>
                        <w:t> </w:t>
                      </w:r>
                      <w:r>
                        <w:rPr>
                          <w:rFonts w:ascii="Calibri" w:hAnsi="Calibri"/>
                          <w:i/>
                          <w:w w:val="110"/>
                        </w:rPr>
                        <w:t>u</w:t>
                      </w:r>
                      <w:r>
                        <w:rPr>
                          <w:rFonts w:ascii="Calibri" w:hAnsi="Calibri"/>
                          <w:i/>
                          <w:spacing w:val="-14"/>
                          <w:w w:val="110"/>
                        </w:rPr>
                        <w:t> </w:t>
                      </w:r>
                      <w:r>
                        <w:rPr>
                          <w:rFonts w:ascii="Lucida Sans Unicode" w:hAnsi="Lucida Sans Unicode"/>
                          <w:w w:val="110"/>
                        </w:rPr>
                        <w:t>→</w:t>
                      </w:r>
                      <w:r>
                        <w:rPr>
                          <w:rFonts w:ascii="Lucida Sans Unicode" w:hAnsi="Lucida Sans Unicode"/>
                          <w:spacing w:val="-21"/>
                          <w:w w:val="110"/>
                        </w:rPr>
                        <w:t> </w:t>
                      </w:r>
                      <w:r>
                        <w:rPr>
                          <w:rFonts w:ascii="Calibri" w:hAnsi="Calibri"/>
                          <w:i/>
                          <w:w w:val="110"/>
                        </w:rPr>
                        <w:t>w</w:t>
                      </w:r>
                      <w:r>
                        <w:rPr>
                          <w:rFonts w:ascii="Calibri" w:hAnsi="Calibri"/>
                          <w:i/>
                          <w:spacing w:val="-15"/>
                          <w:w w:val="110"/>
                        </w:rPr>
                        <w:t> </w:t>
                      </w:r>
                      <w:r>
                        <w:rPr>
                          <w:rFonts w:ascii="Lucida Sans Unicode" w:hAnsi="Lucida Sans Unicode"/>
                          <w:w w:val="115"/>
                        </w:rPr>
                        <w:t>}</w:t>
                      </w:r>
                      <w:r>
                        <w:rPr>
                          <w:spacing w:val="-7"/>
                          <w:w w:val="115"/>
                          <w:position w:val="6"/>
                        </w:rPr>
                        <w:t> </w:t>
                      </w:r>
                      <w:r>
                        <w:rPr>
                          <w:rFonts w:ascii="Calibri" w:hAnsi="Calibri"/>
                          <w:i/>
                          <w:spacing w:val="-10"/>
                          <w:w w:val="110"/>
                        </w:rPr>
                        <w:t>,</w:t>
                      </w:r>
                      <w:r>
                        <w:rPr>
                          <w:rFonts w:ascii="Calibri" w:hAnsi="Calibri"/>
                          <w:i/>
                        </w:rPr>
                        <w:tab/>
                      </w:r>
                      <w:r>
                        <w:rPr>
                          <w:spacing w:val="-2"/>
                        </w:rPr>
                        <w:t>(3.6)</w:t>
                      </w:r>
                    </w:p>
                  </w:txbxContent>
                </v:textbox>
                <w10:wrap type="none"/>
              </v:shape>
            </w:pict>
          </mc:Fallback>
        </mc:AlternateContent>
      </w:r>
      <w:r>
        <w:rPr/>
        <w:t>in_value</w:t>
      </w:r>
      <w:r>
        <w:rPr>
          <w:rFonts w:ascii="Calibri"/>
        </w:rPr>
        <w:t>(</w:t>
      </w:r>
      <w:r>
        <w:rPr>
          <w:rFonts w:ascii="Calibri"/>
          <w:i/>
        </w:rPr>
        <w:t>w</w:t>
      </w:r>
      <w:r>
        <w:rPr>
          <w:rFonts w:ascii="Calibri"/>
        </w:rPr>
        <w:t>)</w:t>
      </w:r>
      <w:r>
        <w:rPr>
          <w:rFonts w:ascii="Calibri"/>
          <w:spacing w:val="23"/>
          <w:w w:val="125"/>
        </w:rPr>
        <w:t> </w:t>
      </w:r>
      <w:r>
        <w:rPr>
          <w:rFonts w:ascii="Calibri"/>
          <w:spacing w:val="-12"/>
          <w:w w:val="125"/>
        </w:rPr>
        <w:t>=</w:t>
      </w:r>
    </w:p>
    <w:p>
      <w:pPr>
        <w:spacing w:before="58"/>
        <w:ind w:left="0" w:right="0" w:firstLine="0"/>
        <w:jc w:val="right"/>
        <w:rPr>
          <w:rFonts w:ascii="Cambria" w:hAnsi="Cambria"/>
          <w:sz w:val="16"/>
        </w:rPr>
      </w:pPr>
      <w:r>
        <w:rPr>
          <w:rFonts w:ascii="Cambria" w:hAnsi="Cambria"/>
          <w:sz w:val="16"/>
        </w:rPr>
        <w:t>e</w:t>
      </w:r>
      <w:r>
        <w:rPr>
          <w:rFonts w:ascii="Calibri" w:hAnsi="Calibri"/>
          <w:sz w:val="16"/>
        </w:rPr>
        <w:t>:</w:t>
      </w:r>
      <w:r>
        <w:rPr>
          <w:rFonts w:ascii="Calibri" w:hAnsi="Calibri"/>
          <w:spacing w:val="-5"/>
          <w:sz w:val="16"/>
        </w:rPr>
        <w:t> </w:t>
      </w:r>
      <w:r>
        <w:rPr>
          <w:rFonts w:ascii="Cambria" w:hAnsi="Cambria"/>
          <w:spacing w:val="-5"/>
          <w:w w:val="110"/>
          <w:sz w:val="16"/>
        </w:rPr>
        <w:t>·→w</w:t>
      </w:r>
    </w:p>
    <w:p>
      <w:pPr>
        <w:tabs>
          <w:tab w:pos="4165" w:val="left" w:leader="none"/>
        </w:tabs>
        <w:spacing w:before="85"/>
        <w:ind w:left="4" w:right="0" w:firstLine="0"/>
        <w:jc w:val="left"/>
        <w:rPr>
          <w:sz w:val="24"/>
        </w:rPr>
      </w:pPr>
      <w:r>
        <w:rPr/>
        <w:br w:type="column"/>
      </w:r>
      <w:r>
        <w:rPr>
          <w:rFonts w:ascii="Calibri"/>
          <w:i/>
          <w:spacing w:val="-5"/>
          <w:sz w:val="24"/>
        </w:rPr>
        <w:t>v</w:t>
      </w:r>
      <w:r>
        <w:rPr>
          <w:rFonts w:ascii="Cambria"/>
          <w:spacing w:val="-5"/>
          <w:sz w:val="24"/>
          <w:vertAlign w:val="subscript"/>
        </w:rPr>
        <w:t>e</w:t>
      </w:r>
      <w:r>
        <w:rPr>
          <w:rFonts w:ascii="Calibri"/>
          <w:i/>
          <w:spacing w:val="-5"/>
          <w:sz w:val="24"/>
          <w:vertAlign w:val="baseline"/>
        </w:rPr>
        <w:t>.</w:t>
      </w:r>
      <w:r>
        <w:rPr>
          <w:rFonts w:ascii="Calibri"/>
          <w:i/>
          <w:sz w:val="24"/>
          <w:vertAlign w:val="baseline"/>
        </w:rPr>
        <w:tab/>
      </w:r>
      <w:r>
        <w:rPr>
          <w:spacing w:val="-2"/>
          <w:sz w:val="24"/>
          <w:vertAlign w:val="baseline"/>
        </w:rPr>
        <w:t>(3.7)</w:t>
      </w:r>
    </w:p>
    <w:p>
      <w:pPr>
        <w:spacing w:after="0"/>
        <w:jc w:val="left"/>
        <w:rPr>
          <w:sz w:val="24"/>
        </w:rPr>
        <w:sectPr>
          <w:type w:val="continuous"/>
          <w:pgSz w:w="11910" w:h="16840"/>
          <w:pgMar w:header="0" w:footer="2115" w:top="1920" w:bottom="280" w:left="992" w:right="708"/>
          <w:cols w:num="2" w:equalWidth="0">
            <w:col w:w="4992" w:space="40"/>
            <w:col w:w="5178"/>
          </w:cols>
        </w:sectPr>
      </w:pPr>
    </w:p>
    <w:p>
      <w:pPr>
        <w:pStyle w:val="BodyText"/>
        <w:spacing w:before="73"/>
      </w:pPr>
    </w:p>
    <w:p>
      <w:pPr>
        <w:pStyle w:val="BodyText"/>
        <w:spacing w:line="396" w:lineRule="auto"/>
        <w:ind w:left="274" w:right="534"/>
        <w:jc w:val="both"/>
      </w:pPr>
      <w:r>
        <w:rPr/>
        <w:t>These are the domain-intuition baselines of Do et al.</w:t>
      </w:r>
      <w:hyperlink w:history="true" w:anchor="_bookmark149">
        <w:r>
          <w:rPr>
            <w:vertAlign w:val="superscript"/>
          </w:rPr>
          <w:t>[16]</w:t>
        </w:r>
      </w:hyperlink>
      <w:r>
        <w:rPr>
          <w:vertAlign w:val="baseline"/>
        </w:rPr>
        <w:t>:</w:t>
      </w:r>
      <w:r>
        <w:rPr>
          <w:spacing w:val="40"/>
          <w:vertAlign w:val="baseline"/>
        </w:rPr>
        <w:t> </w:t>
      </w:r>
      <w:r>
        <w:rPr>
          <w:vertAlign w:val="baseline"/>
        </w:rPr>
        <w:t>economically important addresses tend to receive transfers from more counterparties and in larger aggregate value.</w:t>
      </w:r>
      <w:r>
        <w:rPr>
          <w:spacing w:val="40"/>
          <w:vertAlign w:val="baseline"/>
        </w:rPr>
        <w:t> </w:t>
      </w:r>
      <w:r>
        <w:rPr>
          <w:vertAlign w:val="baseline"/>
        </w:rPr>
        <w:t>Unlike PageRank, in_degree and in_value are strictly local: they ignore the reputation of senders.</w:t>
      </w:r>
      <w:r>
        <w:rPr>
          <w:spacing w:val="32"/>
          <w:vertAlign w:val="baseline"/>
        </w:rPr>
        <w:t> </w:t>
      </w:r>
      <w:r>
        <w:rPr>
          <w:vertAlign w:val="baseline"/>
        </w:rPr>
        <w:t>Comparing AWP (global, time-decayed) to these local baselines tests whether propagation and recency weighting </w:t>
      </w:r>
      <w:bookmarkStart w:name="Allowance family" w:id="120"/>
      <w:bookmarkEnd w:id="120"/>
      <w:r>
        <w:rPr>
          <w:vertAlign w:val="baseline"/>
        </w:rPr>
        <w:t>add</w:t>
      </w:r>
      <w:r>
        <w:rPr>
          <w:vertAlign w:val="baseline"/>
        </w:rPr>
        <w:t> ordering information beyond raw inflows.</w:t>
      </w:r>
    </w:p>
    <w:p>
      <w:pPr>
        <w:pStyle w:val="BodyText"/>
        <w:spacing w:line="396" w:lineRule="auto"/>
        <w:ind w:left="274" w:right="534"/>
        <w:jc w:val="both"/>
      </w:pPr>
      <w:r>
        <w:rPr>
          <w:i/>
        </w:rPr>
        <w:t>이는 Do et al.[16]의 도메인 직관 기준입니다. 경제적으로 중요한 주소는 더 많은 상대방으로부터 더 큰 총 가치로 이전을 받는 경향이 있습니다. PageRank와 달리 in_degree 및 in_value는 엄격하게 로컬입니다. 즉, 보낸 사람의 평판을 무시합니다. AWP(글로벌, 시간 감소)를 이러한 로컬 기준과 비교하면 전파 및 최신성 가중치가 원시 유입을 넘어서 순서 정보를 추가하는지 여부가 테스트됩니다.</w:t>
      </w:r>
    </w:p>
    <w:p>
      <w:pPr>
        <w:pStyle w:val="BodyText"/>
        <w:spacing w:after="0" w:line="396" w:lineRule="auto"/>
        <w:jc w:val="both"/>
        <w:sectPr>
          <w:type w:val="continuous"/>
          <w:pgSz w:w="11910" w:h="16840"/>
          <w:pgMar w:header="0" w:footer="2115" w:top="1920" w:bottom="280" w:left="992" w:right="708"/>
        </w:sectPr>
      </w:pPr>
    </w:p>
    <w:p>
      <w:pPr>
        <w:pStyle w:val="Heading4"/>
        <w:numPr>
          <w:ilvl w:val="2"/>
          <w:numId w:val="8"/>
        </w:numPr>
        <w:tabs>
          <w:tab w:pos="879" w:val="left" w:leader="none"/>
        </w:tabs>
        <w:spacing w:line="240" w:lineRule="auto" w:before="73" w:after="0"/>
        <w:ind w:left="879" w:right="0" w:hanging="597"/>
        <w:jc w:val="left"/>
      </w:pPr>
      <w:r>
        <w:rPr/>
        <w:t>Allowance</w:t>
      </w:r>
      <w:r>
        <w:rPr>
          <w:spacing w:val="-12"/>
        </w:rPr>
        <w:t> </w:t>
      </w:r>
      <w:r>
        <w:rPr>
          <w:spacing w:val="-2"/>
        </w:rPr>
        <w:t>family</w:t>
      </w:r>
    </w:p>
    <w:p>
      <w:pPr>
        <w:pStyle w:val="Heading4"/>
        <w:numPr>
          <w:ilvl w:val="2"/>
          <w:numId w:val="8"/>
        </w:numPr>
        <w:tabs>
          <w:tab w:pos="879" w:val="left" w:leader="none"/>
        </w:tabs>
        <w:spacing w:line="240" w:lineRule="auto" w:before="73" w:after="0"/>
        <w:ind w:left="879" w:right="0" w:hanging="597"/>
        <w:jc w:val="left"/>
      </w:pPr>
      <w:r>
        <w:rPr>
          <w:i/>
        </w:rPr>
        <w:t>수당 가족</w:t>
      </w:r>
    </w:p>
    <w:p>
      <w:pPr>
        <w:pStyle w:val="BodyText"/>
        <w:spacing w:before="7"/>
        <w:rPr>
          <w:b/>
        </w:rPr>
      </w:pPr>
    </w:p>
    <w:p>
      <w:pPr>
        <w:pStyle w:val="BodyText"/>
        <w:ind w:left="282"/>
      </w:pPr>
      <w:r>
        <w:rPr/>
        <w:t>Let </w:t>
      </w:r>
      <w:r>
        <w:rPr>
          <w:rFonts w:ascii="Lucida Sans Unicode" w:hAnsi="Lucida Sans Unicode"/>
        </w:rPr>
        <w:t>A</w:t>
      </w:r>
      <w:r>
        <w:rPr>
          <w:vertAlign w:val="subscript"/>
        </w:rPr>
        <w:t>in</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6"/>
          <w:vertAlign w:val="baseline"/>
        </w:rPr>
        <w:t> </w:t>
      </w:r>
      <w:r>
        <w:rPr>
          <w:vertAlign w:val="baseline"/>
        </w:rPr>
        <w:t>be latest</w:t>
      </w:r>
      <w:r>
        <w:rPr>
          <w:spacing w:val="1"/>
          <w:vertAlign w:val="baseline"/>
        </w:rPr>
        <w:t> </w:t>
      </w:r>
      <w:r>
        <w:rPr>
          <w:vertAlign w:val="baseline"/>
        </w:rPr>
        <w:t>allowances in which </w:t>
      </w:r>
      <w:r>
        <w:rPr>
          <w:rFonts w:ascii="Calibri" w:hAnsi="Calibri"/>
          <w:i/>
          <w:vertAlign w:val="baseline"/>
        </w:rPr>
        <w:t>w</w:t>
      </w:r>
      <w:r>
        <w:rPr>
          <w:rFonts w:ascii="Calibri" w:hAnsi="Calibri"/>
          <w:i/>
          <w:spacing w:val="14"/>
          <w:vertAlign w:val="baseline"/>
        </w:rPr>
        <w:t> </w:t>
      </w:r>
      <w:r>
        <w:rPr>
          <w:vertAlign w:val="baseline"/>
        </w:rPr>
        <w:t>is the spender</w:t>
      </w:r>
      <w:r>
        <w:rPr>
          <w:spacing w:val="1"/>
          <w:vertAlign w:val="baseline"/>
        </w:rPr>
        <w:t> </w:t>
      </w:r>
      <w:r>
        <w:rPr>
          <w:vertAlign w:val="baseline"/>
        </w:rPr>
        <w:t>(owner </w:t>
      </w:r>
      <w:r>
        <w:rPr>
          <w:rFonts w:ascii="Lucida Sans Unicode" w:hAnsi="Lucida Sans Unicode"/>
          <w:vertAlign w:val="baseline"/>
        </w:rPr>
        <w:t>→</w:t>
      </w:r>
      <w:r>
        <w:rPr>
          <w:rFonts w:ascii="Lucida Sans Unicode" w:hAnsi="Lucida Sans Unicode"/>
          <w:spacing w:val="-9"/>
          <w:vertAlign w:val="baseline"/>
        </w:rPr>
        <w:t> </w:t>
      </w:r>
      <w:r>
        <w:rPr>
          <w:rFonts w:ascii="Calibri" w:hAnsi="Calibri"/>
          <w:i/>
          <w:vertAlign w:val="baseline"/>
        </w:rPr>
        <w:t>w</w:t>
      </w:r>
      <w:r>
        <w:rPr>
          <w:vertAlign w:val="baseline"/>
        </w:rPr>
        <w:t>).</w:t>
      </w:r>
      <w:r>
        <w:rPr>
          <w:spacing w:val="21"/>
          <w:vertAlign w:val="baseline"/>
        </w:rPr>
        <w:t> </w:t>
      </w:r>
      <w:r>
        <w:rPr>
          <w:spacing w:val="-2"/>
          <w:vertAlign w:val="baseline"/>
        </w:rPr>
        <w:t>Define</w:t>
      </w:r>
    </w:p>
    <w:p>
      <w:pPr>
        <w:pStyle w:val="BodyText"/>
        <w:ind w:left="282"/>
      </w:pPr>
      <w:r>
        <w:rPr>
          <w:i/>
        </w:rPr>
        <w:t>Ain(w)를 w가 지출자(소유자 → w)인 최신 수당으로 설정합니다. 정의하다</w:t>
      </w: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11910" w:h="16840"/>
          <w:pgMar w:header="0" w:footer="2115" w:top="1920" w:bottom="2300" w:left="992" w:right="708"/>
        </w:sectPr>
      </w:pPr>
    </w:p>
    <w:p>
      <w:pPr>
        <w:pStyle w:val="BodyText"/>
        <w:spacing w:before="90"/>
        <w:ind w:left="2683"/>
        <w:rPr>
          <w:rFonts w:ascii="Calibri"/>
        </w:rPr>
      </w:pPr>
      <w:r>
        <w:rPr>
          <w:rFonts w:ascii="Calibri"/>
        </w:rPr>
        <mc:AlternateContent>
          <mc:Choice Requires="wps">
            <w:drawing>
              <wp:anchor distT="0" distB="0" distL="0" distR="0" allowOverlap="1" layoutInCell="1" locked="0" behindDoc="1" simplePos="0" relativeHeight="484022272">
                <wp:simplePos x="0" y="0"/>
                <wp:positionH relativeFrom="page">
                  <wp:posOffset>3896766</wp:posOffset>
                </wp:positionH>
                <wp:positionV relativeFrom="paragraph">
                  <wp:posOffset>-55976</wp:posOffset>
                </wp:positionV>
                <wp:extent cx="219710" cy="56324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06.832001pt;margin-top:-4.407603pt;width:17.3pt;height:44.35pt;mso-position-horizontal-relative:page;mso-position-vertical-relative:paragraph;z-index:-19294208" type="#_x0000_t202" id="docshape145" filled="false" stroked="false">
                <v:textbox inset="0,0,0,0">
                  <w:txbxContent>
                    <w:p>
                      <w:pPr>
                        <w:pStyle w:val="BodyText"/>
                        <w:spacing w:line="231" w:lineRule="exact"/>
                      </w:pPr>
                      <w:r>
                        <w:rPr>
                          <w:spacing w:val="-10"/>
                          <w:w w:val="245"/>
                        </w:rPr>
                        <w:t>Σ</w:t>
                      </w:r>
                    </w:p>
                  </w:txbxContent>
                </v:textbox>
                <w10:wrap type="none"/>
              </v:shape>
            </w:pict>
          </mc:Fallback>
        </mc:AlternateContent>
      </w:r>
      <w:r>
        <w:rPr>
          <w:rFonts w:ascii="Calibri"/>
        </w:rPr>
        <mc:AlternateContent>
          <mc:Choice Requires="wps">
            <w:drawing>
              <wp:anchor distT="0" distB="0" distL="0" distR="0" allowOverlap="1" layoutInCell="1" locked="0" behindDoc="1" simplePos="0" relativeHeight="484023296">
                <wp:simplePos x="0" y="0"/>
                <wp:positionH relativeFrom="page">
                  <wp:posOffset>2258453</wp:posOffset>
                </wp:positionH>
                <wp:positionV relativeFrom="paragraph">
                  <wp:posOffset>-277515</wp:posOffset>
                </wp:positionV>
                <wp:extent cx="4502785" cy="56324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4502785" cy="563245"/>
                        </a:xfrm>
                        <a:prstGeom prst="rect">
                          <a:avLst/>
                        </a:prstGeom>
                      </wps:spPr>
                      <wps:txbx>
                        <w:txbxContent>
                          <w:p>
                            <w:pPr>
                              <w:tabs>
                                <w:tab w:pos="6632" w:val="left" w:leader="none"/>
                              </w:tabs>
                              <w:spacing w:line="345" w:lineRule="exact" w:before="0"/>
                              <w:ind w:left="0" w:right="0" w:firstLine="0"/>
                              <w:jc w:val="left"/>
                              <w:rPr>
                                <w:sz w:val="24"/>
                              </w:rPr>
                            </w:pPr>
                            <w:r>
                              <w:rPr>
                                <w:sz w:val="24"/>
                              </w:rPr>
                              <w:t>in_approve_degree</w:t>
                            </w:r>
                            <w:r>
                              <w:rPr>
                                <w:rFonts w:ascii="Calibri" w:hAnsi="Calibri"/>
                                <w:sz w:val="24"/>
                              </w:rPr>
                              <w:t>(</w:t>
                            </w:r>
                            <w:r>
                              <w:rPr>
                                <w:rFonts w:ascii="Calibri" w:hAnsi="Calibri"/>
                                <w:i/>
                                <w:sz w:val="24"/>
                              </w:rPr>
                              <w:t>w</w:t>
                            </w:r>
                            <w:r>
                              <w:rPr>
                                <w:rFonts w:ascii="Calibri" w:hAnsi="Calibri"/>
                                <w:sz w:val="24"/>
                              </w:rPr>
                              <w:t>)</w:t>
                            </w:r>
                            <w:r>
                              <w:rPr>
                                <w:rFonts w:ascii="Calibri" w:hAnsi="Calibri"/>
                                <w:spacing w:val="29"/>
                                <w:sz w:val="24"/>
                              </w:rPr>
                              <w:t> </w:t>
                            </w:r>
                            <w:r>
                              <w:rPr>
                                <w:rFonts w:ascii="Calibri" w:hAnsi="Calibri"/>
                                <w:sz w:val="24"/>
                              </w:rPr>
                              <w:t>=</w:t>
                            </w:r>
                            <w:r>
                              <w:rPr>
                                <w:spacing w:val="33"/>
                                <w:position w:val="6"/>
                                <w:sz w:val="24"/>
                              </w:rPr>
                              <w:t>  </w:t>
                            </w:r>
                            <w:r>
                              <w:rPr>
                                <w:rFonts w:ascii="Lucida Sans Unicode" w:hAnsi="Lucida Sans Unicode"/>
                                <w:sz w:val="24"/>
                              </w:rPr>
                              <w:t>{</w:t>
                            </w:r>
                            <w:r>
                              <w:rPr>
                                <w:rFonts w:ascii="Lucida Sans Unicode" w:hAnsi="Lucida Sans Unicode"/>
                                <w:spacing w:val="-25"/>
                                <w:sz w:val="24"/>
                              </w:rPr>
                              <w:t> </w:t>
                            </w:r>
                            <w:r>
                              <w:rPr>
                                <w:rFonts w:ascii="Calibri" w:hAnsi="Calibri"/>
                                <w:i/>
                                <w:sz w:val="24"/>
                              </w:rPr>
                              <w:t>u</w:t>
                            </w:r>
                            <w:r>
                              <w:rPr>
                                <w:rFonts w:ascii="Calibri" w:hAnsi="Calibri"/>
                                <w:i/>
                                <w:spacing w:val="31"/>
                                <w:sz w:val="24"/>
                              </w:rPr>
                              <w:t> </w:t>
                            </w:r>
                            <w:r>
                              <w:rPr>
                                <w:rFonts w:ascii="Calibri" w:hAnsi="Calibri"/>
                                <w:sz w:val="24"/>
                              </w:rPr>
                              <w:t>:</w:t>
                            </w:r>
                            <w:r>
                              <w:rPr>
                                <w:rFonts w:ascii="Calibri" w:hAnsi="Calibri"/>
                                <w:spacing w:val="31"/>
                                <w:sz w:val="24"/>
                              </w:rPr>
                              <w:t> </w:t>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3"/>
                                <w:sz w:val="24"/>
                                <w:vertAlign w:val="baseline"/>
                              </w:rPr>
                              <w:t> </w:t>
                            </w:r>
                            <w:r>
                              <w:rPr>
                                <w:rFonts w:ascii="Calibri" w:hAnsi="Calibri"/>
                                <w:i/>
                                <w:sz w:val="24"/>
                                <w:vertAlign w:val="baseline"/>
                              </w:rPr>
                              <w:t>w,</w:t>
                            </w:r>
                            <w:r>
                              <w:rPr>
                                <w:rFonts w:ascii="Calibri" w:hAnsi="Calibri"/>
                                <w:i/>
                                <w:spacing w:val="-3"/>
                                <w:sz w:val="24"/>
                                <w:vertAlign w:val="baseline"/>
                              </w:rPr>
                              <w:t> </w:t>
                            </w:r>
                            <w:r>
                              <w:rPr>
                                <w:rFonts w:ascii="Lucida Sans Unicode" w:hAnsi="Lucida Sans Unicode"/>
                                <w:sz w:val="24"/>
                                <w:vertAlign w:val="baseline"/>
                              </w:rPr>
                              <w:t>·</w:t>
                            </w:r>
                            <w:r>
                              <w:rPr>
                                <w:rFonts w:ascii="Calibri" w:hAnsi="Calibri"/>
                                <w:sz w:val="24"/>
                                <w:vertAlign w:val="baseline"/>
                              </w:rPr>
                              <w:t>)</w:t>
                            </w:r>
                            <w:r>
                              <w:rPr>
                                <w:rFonts w:ascii="Calibri" w:hAnsi="Calibri"/>
                                <w:spacing w:val="31"/>
                                <w:sz w:val="24"/>
                                <w:vertAlign w:val="baseline"/>
                              </w:rPr>
                              <w:t> </w:t>
                            </w:r>
                            <w:r>
                              <w:rPr>
                                <w:rFonts w:ascii="Calibri" w:hAnsi="Calibri"/>
                                <w:i/>
                                <w:sz w:val="24"/>
                                <w:vertAlign w:val="baseline"/>
                              </w:rPr>
                              <w:t>&gt;</w:t>
                            </w:r>
                            <w:r>
                              <w:rPr>
                                <w:rFonts w:ascii="Calibri" w:hAnsi="Calibri"/>
                                <w:i/>
                                <w:spacing w:val="31"/>
                                <w:sz w:val="24"/>
                                <w:vertAlign w:val="baseline"/>
                              </w:rPr>
                              <w:t> </w:t>
                            </w:r>
                            <w:r>
                              <w:rPr>
                                <w:rFonts w:ascii="Calibri" w:hAnsi="Calibri"/>
                                <w:sz w:val="24"/>
                                <w:vertAlign w:val="baseline"/>
                              </w:rPr>
                              <w:t>0</w:t>
                            </w:r>
                            <w:r>
                              <w:rPr>
                                <w:rFonts w:ascii="Calibri" w:hAnsi="Calibri"/>
                                <w:spacing w:val="-3"/>
                                <w:sz w:val="24"/>
                                <w:vertAlign w:val="baseline"/>
                              </w:rPr>
                              <w:t> </w:t>
                            </w:r>
                            <w:r>
                              <w:rPr>
                                <w:rFonts w:ascii="Lucida Sans Unicode" w:hAnsi="Lucida Sans Unicode"/>
                                <w:sz w:val="24"/>
                                <w:vertAlign w:val="baseline"/>
                              </w:rPr>
                              <w:t>}</w:t>
                            </w:r>
                            <w:r>
                              <w:rPr>
                                <w:spacing w:val="41"/>
                                <w:position w:val="6"/>
                                <w:sz w:val="24"/>
                                <w:vertAlign w:val="baseline"/>
                              </w:rPr>
                              <w:t> </w:t>
                            </w:r>
                            <w:r>
                              <w:rPr>
                                <w:rFonts w:ascii="Calibri" w:hAnsi="Calibri"/>
                                <w:i/>
                                <w:spacing w:val="-10"/>
                                <w:sz w:val="24"/>
                                <w:vertAlign w:val="baseline"/>
                              </w:rPr>
                              <w:t>,</w:t>
                            </w:r>
                            <w:r>
                              <w:rPr>
                                <w:rFonts w:ascii="Calibri" w:hAnsi="Calibri"/>
                                <w:i/>
                                <w:sz w:val="24"/>
                                <w:vertAlign w:val="baseline"/>
                              </w:rPr>
                              <w:tab/>
                            </w:r>
                            <w:r>
                              <w:rPr>
                                <w:spacing w:val="-4"/>
                                <w:sz w:val="24"/>
                                <w:vertAlign w:val="baseline"/>
                              </w:rPr>
                              <w:t>(3.8)</w:t>
                            </w:r>
                          </w:p>
                        </w:txbxContent>
                      </wps:txbx>
                      <wps:bodyPr wrap="square" lIns="0" tIns="0" rIns="0" bIns="0" rtlCol="0">
                        <a:noAutofit/>
                      </wps:bodyPr>
                    </wps:wsp>
                  </a:graphicData>
                </a:graphic>
              </wp:anchor>
            </w:drawing>
          </mc:Choice>
          <mc:Fallback>
            <w:pict>
              <v:shape style="position:absolute;margin-left:177.830994pt;margin-top:-21.851603pt;width:354.55pt;height:44.35pt;mso-position-horizontal-relative:page;mso-position-vertical-relative:paragraph;z-index:-19293184" type="#_x0000_t202" id="docshape146" filled="false" stroked="false">
                <v:textbox inset="0,0,0,0">
                  <w:txbxContent>
                    <w:p>
                      <w:pPr>
                        <w:tabs>
                          <w:tab w:pos="6632" w:val="left" w:leader="none"/>
                        </w:tabs>
                        <w:spacing w:line="345" w:lineRule="exact" w:before="0"/>
                        <w:ind w:left="0" w:right="0" w:firstLine="0"/>
                        <w:jc w:val="left"/>
                        <w:rPr>
                          <w:sz w:val="24"/>
                        </w:rPr>
                      </w:pPr>
                      <w:r>
                        <w:rPr>
                          <w:sz w:val="24"/>
                        </w:rPr>
                        <w:t>in_approve_degree</w:t>
                      </w:r>
                      <w:r>
                        <w:rPr>
                          <w:rFonts w:ascii="Calibri" w:hAnsi="Calibri"/>
                          <w:sz w:val="24"/>
                        </w:rPr>
                        <w:t>(</w:t>
                      </w:r>
                      <w:r>
                        <w:rPr>
                          <w:rFonts w:ascii="Calibri" w:hAnsi="Calibri"/>
                          <w:i/>
                          <w:sz w:val="24"/>
                        </w:rPr>
                        <w:t>w</w:t>
                      </w:r>
                      <w:r>
                        <w:rPr>
                          <w:rFonts w:ascii="Calibri" w:hAnsi="Calibri"/>
                          <w:sz w:val="24"/>
                        </w:rPr>
                        <w:t>)</w:t>
                      </w:r>
                      <w:r>
                        <w:rPr>
                          <w:rFonts w:ascii="Calibri" w:hAnsi="Calibri"/>
                          <w:spacing w:val="29"/>
                          <w:sz w:val="24"/>
                        </w:rPr>
                        <w:t> </w:t>
                      </w:r>
                      <w:r>
                        <w:rPr>
                          <w:rFonts w:ascii="Calibri" w:hAnsi="Calibri"/>
                          <w:sz w:val="24"/>
                        </w:rPr>
                        <w:t>=</w:t>
                      </w:r>
                      <w:r>
                        <w:rPr>
                          <w:spacing w:val="33"/>
                          <w:position w:val="6"/>
                          <w:sz w:val="24"/>
                        </w:rPr>
                        <w:t>  </w:t>
                      </w:r>
                      <w:r>
                        <w:rPr>
                          <w:rFonts w:ascii="Lucida Sans Unicode" w:hAnsi="Lucida Sans Unicode"/>
                          <w:sz w:val="24"/>
                        </w:rPr>
                        <w:t>{</w:t>
                      </w:r>
                      <w:r>
                        <w:rPr>
                          <w:rFonts w:ascii="Lucida Sans Unicode" w:hAnsi="Lucida Sans Unicode"/>
                          <w:spacing w:val="-25"/>
                          <w:sz w:val="24"/>
                        </w:rPr>
                        <w:t> </w:t>
                      </w:r>
                      <w:r>
                        <w:rPr>
                          <w:rFonts w:ascii="Calibri" w:hAnsi="Calibri"/>
                          <w:i/>
                          <w:sz w:val="24"/>
                        </w:rPr>
                        <w:t>u</w:t>
                      </w:r>
                      <w:r>
                        <w:rPr>
                          <w:rFonts w:ascii="Calibri" w:hAnsi="Calibri"/>
                          <w:i/>
                          <w:spacing w:val="31"/>
                          <w:sz w:val="24"/>
                        </w:rPr>
                        <w:t> </w:t>
                      </w:r>
                      <w:r>
                        <w:rPr>
                          <w:rFonts w:ascii="Calibri" w:hAnsi="Calibri"/>
                          <w:sz w:val="24"/>
                        </w:rPr>
                        <w:t>:</w:t>
                      </w:r>
                      <w:r>
                        <w:rPr>
                          <w:rFonts w:ascii="Calibri" w:hAnsi="Calibri"/>
                          <w:spacing w:val="31"/>
                          <w:sz w:val="24"/>
                        </w:rPr>
                        <w:t> </w:t>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3"/>
                          <w:sz w:val="24"/>
                          <w:vertAlign w:val="baseline"/>
                        </w:rPr>
                        <w:t> </w:t>
                      </w:r>
                      <w:r>
                        <w:rPr>
                          <w:rFonts w:ascii="Calibri" w:hAnsi="Calibri"/>
                          <w:i/>
                          <w:sz w:val="24"/>
                          <w:vertAlign w:val="baseline"/>
                        </w:rPr>
                        <w:t>w,</w:t>
                      </w:r>
                      <w:r>
                        <w:rPr>
                          <w:rFonts w:ascii="Calibri" w:hAnsi="Calibri"/>
                          <w:i/>
                          <w:spacing w:val="-3"/>
                          <w:sz w:val="24"/>
                          <w:vertAlign w:val="baseline"/>
                        </w:rPr>
                        <w:t> </w:t>
                      </w:r>
                      <w:r>
                        <w:rPr>
                          <w:rFonts w:ascii="Lucida Sans Unicode" w:hAnsi="Lucida Sans Unicode"/>
                          <w:sz w:val="24"/>
                          <w:vertAlign w:val="baseline"/>
                        </w:rPr>
                        <w:t>·</w:t>
                      </w:r>
                      <w:r>
                        <w:rPr>
                          <w:rFonts w:ascii="Calibri" w:hAnsi="Calibri"/>
                          <w:sz w:val="24"/>
                          <w:vertAlign w:val="baseline"/>
                        </w:rPr>
                        <w:t>)</w:t>
                      </w:r>
                      <w:r>
                        <w:rPr>
                          <w:rFonts w:ascii="Calibri" w:hAnsi="Calibri"/>
                          <w:spacing w:val="31"/>
                          <w:sz w:val="24"/>
                          <w:vertAlign w:val="baseline"/>
                        </w:rPr>
                        <w:t> </w:t>
                      </w:r>
                      <w:r>
                        <w:rPr>
                          <w:rFonts w:ascii="Calibri" w:hAnsi="Calibri"/>
                          <w:i/>
                          <w:sz w:val="24"/>
                          <w:vertAlign w:val="baseline"/>
                        </w:rPr>
                        <w:t>&gt;</w:t>
                      </w:r>
                      <w:r>
                        <w:rPr>
                          <w:rFonts w:ascii="Calibri" w:hAnsi="Calibri"/>
                          <w:i/>
                          <w:spacing w:val="31"/>
                          <w:sz w:val="24"/>
                          <w:vertAlign w:val="baseline"/>
                        </w:rPr>
                        <w:t> </w:t>
                      </w:r>
                      <w:r>
                        <w:rPr>
                          <w:rFonts w:ascii="Calibri" w:hAnsi="Calibri"/>
                          <w:sz w:val="24"/>
                          <w:vertAlign w:val="baseline"/>
                        </w:rPr>
                        <w:t>0</w:t>
                      </w:r>
                      <w:r>
                        <w:rPr>
                          <w:rFonts w:ascii="Calibri" w:hAnsi="Calibri"/>
                          <w:spacing w:val="-3"/>
                          <w:sz w:val="24"/>
                          <w:vertAlign w:val="baseline"/>
                        </w:rPr>
                        <w:t> </w:t>
                      </w:r>
                      <w:r>
                        <w:rPr>
                          <w:rFonts w:ascii="Lucida Sans Unicode" w:hAnsi="Lucida Sans Unicode"/>
                          <w:sz w:val="24"/>
                          <w:vertAlign w:val="baseline"/>
                        </w:rPr>
                        <w:t>}</w:t>
                      </w:r>
                      <w:r>
                        <w:rPr>
                          <w:spacing w:val="41"/>
                          <w:position w:val="6"/>
                          <w:sz w:val="24"/>
                          <w:vertAlign w:val="baseline"/>
                        </w:rPr>
                        <w:t> </w:t>
                      </w:r>
                      <w:r>
                        <w:rPr>
                          <w:rFonts w:ascii="Calibri" w:hAnsi="Calibri"/>
                          <w:i/>
                          <w:spacing w:val="-10"/>
                          <w:sz w:val="24"/>
                          <w:vertAlign w:val="baseline"/>
                        </w:rPr>
                        <w:t>,</w:t>
                      </w:r>
                      <w:r>
                        <w:rPr>
                          <w:rFonts w:ascii="Calibri" w:hAnsi="Calibri"/>
                          <w:i/>
                          <w:sz w:val="24"/>
                          <w:vertAlign w:val="baseline"/>
                        </w:rPr>
                        <w:tab/>
                      </w:r>
                      <w:r>
                        <w:rPr>
                          <w:spacing w:val="-4"/>
                          <w:sz w:val="24"/>
                          <w:vertAlign w:val="baseline"/>
                        </w:rPr>
                        <w:t>(3.8)</w:t>
                      </w:r>
                    </w:p>
                  </w:txbxContent>
                </v:textbox>
                <w10:wrap type="none"/>
              </v:shape>
            </w:pict>
          </mc:Fallback>
        </mc:AlternateContent>
      </w:r>
      <w:r>
        <w:rPr/>
        <w:t>in_approve_value</w:t>
      </w:r>
      <w:r>
        <w:rPr>
          <w:rFonts w:ascii="Calibri"/>
        </w:rPr>
        <w:t>(</w:t>
      </w:r>
      <w:r>
        <w:rPr>
          <w:rFonts w:ascii="Calibri"/>
          <w:i/>
        </w:rPr>
        <w:t>w</w:t>
      </w:r>
      <w:r>
        <w:rPr>
          <w:rFonts w:ascii="Calibri"/>
        </w:rPr>
        <w:t>)</w:t>
      </w:r>
      <w:r>
        <w:rPr>
          <w:rFonts w:ascii="Calibri"/>
          <w:spacing w:val="15"/>
          <w:w w:val="125"/>
        </w:rPr>
        <w:t> </w:t>
      </w:r>
      <w:r>
        <w:rPr>
          <w:rFonts w:ascii="Calibri"/>
          <w:spacing w:val="-10"/>
          <w:w w:val="125"/>
        </w:rPr>
        <w:t>=</w:t>
      </w:r>
    </w:p>
    <w:p>
      <w:pPr>
        <w:spacing w:before="65"/>
        <w:ind w:left="0" w:right="0" w:firstLine="0"/>
        <w:jc w:val="right"/>
        <w:rPr>
          <w:sz w:val="16"/>
        </w:rPr>
      </w:pPr>
      <w:r>
        <w:rPr>
          <w:rFonts w:ascii="Cambria"/>
          <w:spacing w:val="-2"/>
          <w:w w:val="105"/>
          <w:sz w:val="16"/>
        </w:rPr>
        <w:t>u,</w:t>
      </w:r>
      <w:r>
        <w:rPr>
          <w:spacing w:val="-2"/>
          <w:w w:val="105"/>
          <w:sz w:val="16"/>
        </w:rPr>
        <w:t>token</w:t>
      </w:r>
    </w:p>
    <w:p>
      <w:pPr>
        <w:spacing w:before="65"/>
        <w:ind w:left="0" w:right="0" w:firstLine="0"/>
        <w:jc w:val="right"/>
        <w:rPr>
          <w:sz w:val="16"/>
        </w:rPr>
      </w:pPr>
      <w:r>
        <w:rPr>
          <w:i/>
        </w:rPr>
        <w:t>유,토큰</w:t>
      </w:r>
    </w:p>
    <w:p>
      <w:pPr>
        <w:tabs>
          <w:tab w:pos="3590" w:val="left" w:leader="none"/>
        </w:tabs>
        <w:spacing w:before="90"/>
        <w:ind w:left="0" w:right="0" w:firstLine="0"/>
        <w:jc w:val="left"/>
        <w:rPr>
          <w:sz w:val="24"/>
        </w:rPr>
      </w:pPr>
      <w:r>
        <w:rPr/>
        <w:br w:type="column"/>
      </w:r>
      <w:r>
        <w:rPr>
          <w:rFonts w:ascii="Calibri" w:hAnsi="Calibri"/>
          <w:i/>
          <w:sz w:val="24"/>
        </w:rPr>
        <w:t>a</w:t>
      </w:r>
      <w:r>
        <w:rPr>
          <w:rFonts w:ascii="Cambria" w:hAnsi="Cambria"/>
          <w:sz w:val="24"/>
          <w:vertAlign w:val="superscript"/>
        </w:rPr>
        <w:t>⋆</w:t>
      </w:r>
      <w:r>
        <w:rPr>
          <w:rFonts w:ascii="Calibri" w:hAnsi="Calibri"/>
          <w:sz w:val="24"/>
          <w:vertAlign w:val="baseline"/>
        </w:rPr>
        <w:t>(</w:t>
      </w:r>
      <w:r>
        <w:rPr>
          <w:rFonts w:ascii="Calibri" w:hAnsi="Calibri"/>
          <w:i/>
          <w:sz w:val="24"/>
          <w:vertAlign w:val="baseline"/>
        </w:rPr>
        <w:t>u,</w:t>
      </w:r>
      <w:r>
        <w:rPr>
          <w:rFonts w:ascii="Calibri" w:hAnsi="Calibri"/>
          <w:i/>
          <w:spacing w:val="7"/>
          <w:sz w:val="24"/>
          <w:vertAlign w:val="baseline"/>
        </w:rPr>
        <w:t> </w:t>
      </w:r>
      <w:r>
        <w:rPr>
          <w:rFonts w:ascii="Calibri" w:hAnsi="Calibri"/>
          <w:i/>
          <w:sz w:val="24"/>
          <w:vertAlign w:val="baseline"/>
        </w:rPr>
        <w:t>w,</w:t>
      </w:r>
      <w:r>
        <w:rPr>
          <w:rFonts w:ascii="Calibri" w:hAnsi="Calibri"/>
          <w:i/>
          <w:spacing w:val="10"/>
          <w:sz w:val="24"/>
          <w:vertAlign w:val="baseline"/>
        </w:rPr>
        <w:t> </w:t>
      </w:r>
      <w:r>
        <w:rPr>
          <w:spacing w:val="-2"/>
          <w:sz w:val="24"/>
          <w:vertAlign w:val="baseline"/>
        </w:rPr>
        <w:t>token</w:t>
      </w:r>
      <w:r>
        <w:rPr>
          <w:rFonts w:ascii="Calibri" w:hAnsi="Calibri"/>
          <w:spacing w:val="-2"/>
          <w:sz w:val="24"/>
          <w:vertAlign w:val="baseline"/>
        </w:rPr>
        <w:t>)</w:t>
      </w:r>
      <w:r>
        <w:rPr>
          <w:rFonts w:ascii="Calibri" w:hAnsi="Calibri"/>
          <w:i/>
          <w:spacing w:val="-2"/>
          <w:sz w:val="24"/>
          <w:vertAlign w:val="baseline"/>
        </w:rPr>
        <w:t>.</w:t>
      </w:r>
      <w:r>
        <w:rPr>
          <w:rFonts w:ascii="Calibri" w:hAnsi="Calibri"/>
          <w:i/>
          <w:sz w:val="24"/>
          <w:vertAlign w:val="baseline"/>
        </w:rPr>
        <w:tab/>
      </w:r>
      <w:r>
        <w:rPr>
          <w:spacing w:val="-2"/>
          <w:sz w:val="24"/>
          <w:vertAlign w:val="baseline"/>
        </w:rPr>
        <w:t>(3.9)</w:t>
      </w:r>
    </w:p>
    <w:p>
      <w:pPr>
        <w:tabs>
          <w:tab w:pos="3590" w:val="left" w:leader="none"/>
        </w:tabs>
        <w:spacing w:before="90"/>
        <w:ind w:left="0" w:right="0" w:firstLine="0"/>
        <w:jc w:val="left"/>
        <w:rPr>
          <w:sz w:val="24"/>
        </w:rPr>
      </w:pPr>
      <w:r>
        <w:rPr>
          <w:i/>
        </w:rPr>
        <w:t>a⋆(u, w, 토큰).</w:t>
        <w:tab/>
        <w:t>(3.9)</w:t>
      </w:r>
    </w:p>
    <w:p>
      <w:pPr>
        <w:spacing w:after="0"/>
        <w:jc w:val="left"/>
        <w:rPr>
          <w:sz w:val="24"/>
        </w:rPr>
        <w:sectPr>
          <w:type w:val="continuous"/>
          <w:pgSz w:w="11910" w:h="16840"/>
          <w:pgMar w:header="0" w:footer="2115" w:top="1920" w:bottom="280" w:left="992" w:right="708"/>
          <w:cols w:num="2" w:equalWidth="0">
            <w:col w:w="5567" w:space="39"/>
            <w:col w:w="4604"/>
          </w:cols>
        </w:sectPr>
      </w:pPr>
    </w:p>
    <w:p>
      <w:pPr>
        <w:pStyle w:val="BodyText"/>
        <w:spacing w:before="83"/>
      </w:pPr>
    </w:p>
    <w:p>
      <w:pPr>
        <w:pStyle w:val="BodyText"/>
        <w:spacing w:line="396" w:lineRule="auto"/>
        <w:ind w:left="282" w:right="521" w:hanging="8"/>
        <w:jc w:val="both"/>
      </w:pPr>
      <w:r>
        <w:rPr/>
        <w:t>These proxies measure endorsement received, the construct EndorseRank is designed to rank. Strong alignment of EndorseRank with this family is expected and is interpreted as within-construct validity rather than independent trading skill.</w:t>
      </w:r>
      <w:r>
        <w:rPr>
          <w:spacing w:val="39"/>
        </w:rPr>
        <w:t> </w:t>
      </w:r>
      <w:r>
        <w:rPr/>
        <w:t>As with transfer baselines, the allowance proxies</w:t>
      </w:r>
      <w:r>
        <w:rPr>
          <w:spacing w:val="35"/>
        </w:rPr>
        <w:t> </w:t>
      </w:r>
      <w:r>
        <w:rPr/>
        <w:t>are</w:t>
      </w:r>
      <w:r>
        <w:rPr>
          <w:spacing w:val="35"/>
        </w:rPr>
        <w:t> </w:t>
      </w:r>
      <w:r>
        <w:rPr/>
        <w:t>local:</w:t>
      </w:r>
      <w:r>
        <w:rPr>
          <w:spacing w:val="80"/>
        </w:rPr>
        <w:t> </w:t>
      </w:r>
      <w:r>
        <w:rPr/>
        <w:t>they</w:t>
      </w:r>
      <w:r>
        <w:rPr>
          <w:spacing w:val="35"/>
        </w:rPr>
        <w:t> </w:t>
      </w:r>
      <w:r>
        <w:rPr/>
        <w:t>count</w:t>
      </w:r>
      <w:r>
        <w:rPr>
          <w:spacing w:val="35"/>
        </w:rPr>
        <w:t> </w:t>
      </w:r>
      <w:r>
        <w:rPr/>
        <w:t>and</w:t>
      </w:r>
      <w:r>
        <w:rPr>
          <w:spacing w:val="35"/>
        </w:rPr>
        <w:t> </w:t>
      </w:r>
      <w:r>
        <w:rPr/>
        <w:t>sum</w:t>
      </w:r>
      <w:r>
        <w:rPr>
          <w:spacing w:val="35"/>
        </w:rPr>
        <w:t> </w:t>
      </w:r>
      <w:r>
        <w:rPr/>
        <w:t>inbound</w:t>
      </w:r>
      <w:r>
        <w:rPr>
          <w:spacing w:val="35"/>
        </w:rPr>
        <w:t> </w:t>
      </w:r>
      <w:r>
        <w:rPr/>
        <w:t>approvals</w:t>
      </w:r>
      <w:r>
        <w:rPr>
          <w:spacing w:val="35"/>
        </w:rPr>
        <w:t> </w:t>
      </w:r>
      <w:r>
        <w:rPr/>
        <w:t>without</w:t>
      </w:r>
      <w:r>
        <w:rPr>
          <w:spacing w:val="35"/>
        </w:rPr>
        <w:t> </w:t>
      </w:r>
      <w:r>
        <w:rPr/>
        <w:t>propagating</w:t>
      </w:r>
      <w:r>
        <w:rPr>
          <w:spacing w:val="35"/>
        </w:rPr>
        <w:t> </w:t>
      </w:r>
      <w:r>
        <w:rPr/>
        <w:t>through</w:t>
      </w:r>
      <w:r>
        <w:rPr>
          <w:spacing w:val="35"/>
        </w:rPr>
        <w:t> </w:t>
      </w:r>
      <w:r>
        <w:rPr/>
        <w:t>multi-hop endorsement chains.</w:t>
      </w:r>
      <w:r>
        <w:rPr>
          <w:spacing w:val="40"/>
        </w:rPr>
        <w:t> </w:t>
      </w:r>
      <w:r>
        <w:rPr/>
        <w:t>EndorseRank’s incremental value, if any, appears when it aligns with </w:t>
      </w:r>
      <w:bookmarkStart w:name="Inverse-risk family" w:id="121"/>
      <w:bookmarkEnd w:id="121"/>
      <w:r>
        <w:rPr/>
        <w:t>non</w:t>
      </w:r>
      <w:r>
        <w:rPr/>
        <w:t>-allowance families while remaining coherent with allowance baselines.</w:t>
      </w:r>
    </w:p>
    <w:p>
      <w:pPr>
        <w:pStyle w:val="BodyText"/>
        <w:spacing w:line="396" w:lineRule="auto"/>
        <w:ind w:left="282" w:right="521" w:hanging="8"/>
        <w:jc w:val="both"/>
      </w:pPr>
      <w:r>
        <w:rPr>
          <w:i/>
        </w:rPr>
        <w:t>이러한 프록시는 받은 지지를 측정하며, EndorseRank 구성은 순위를 매기도록 설계되었습니다. 이 계열과 EndorseRank의 강력한 연계가 예상되며 이는 독립적인 거래 기술보다는 구성 내 타당성으로 해석됩니다. 전송 기준선과 마찬가지로 허용 프록시는 로컬입니다. 다중 홉 보증 체인을 통해 전파되지 않고 인바운드 승인을 계산하고 합계합니다. EndorseRank의 증분 값은 수당 기준선과 일관성을 유지하면서 비수당 계열과 일치할 때 나타납니다.</w:t>
      </w:r>
    </w:p>
    <w:p>
      <w:pPr>
        <w:pStyle w:val="BodyText"/>
        <w:spacing w:before="12"/>
      </w:pPr>
    </w:p>
    <w:p>
      <w:pPr>
        <w:pStyle w:val="Heading4"/>
        <w:numPr>
          <w:ilvl w:val="2"/>
          <w:numId w:val="8"/>
        </w:numPr>
        <w:tabs>
          <w:tab w:pos="879" w:val="left" w:leader="none"/>
        </w:tabs>
        <w:spacing w:line="240" w:lineRule="auto" w:before="0" w:after="0"/>
        <w:ind w:left="879" w:right="0" w:hanging="597"/>
        <w:jc w:val="left"/>
      </w:pPr>
      <w:r>
        <w:rPr>
          <w:spacing w:val="-2"/>
        </w:rPr>
        <w:t>Inverse-risk</w:t>
      </w:r>
      <w:r>
        <w:rPr>
          <w:spacing w:val="-1"/>
        </w:rPr>
        <w:t> </w:t>
      </w:r>
      <w:r>
        <w:rPr>
          <w:spacing w:val="-2"/>
        </w:rPr>
        <w:t>family</w:t>
      </w:r>
    </w:p>
    <w:p>
      <w:pPr>
        <w:pStyle w:val="Heading4"/>
        <w:numPr>
          <w:ilvl w:val="2"/>
          <w:numId w:val="8"/>
        </w:numPr>
        <w:tabs>
          <w:tab w:pos="879" w:val="left" w:leader="none"/>
        </w:tabs>
        <w:spacing w:line="240" w:lineRule="auto" w:before="0" w:after="0"/>
        <w:ind w:left="879" w:right="0" w:hanging="597"/>
        <w:jc w:val="left"/>
      </w:pPr>
      <w:r>
        <w:rPr>
          <w:i/>
        </w:rPr>
        <w:t>역위험 가족</w:t>
      </w:r>
    </w:p>
    <w:p>
      <w:pPr>
        <w:pStyle w:val="BodyText"/>
        <w:spacing w:before="7"/>
        <w:rPr>
          <w:b/>
        </w:rPr>
      </w:pPr>
    </w:p>
    <w:p>
      <w:pPr>
        <w:pStyle w:val="BodyText"/>
        <w:ind w:left="282"/>
        <w:jc w:val="both"/>
      </w:pPr>
      <w:r>
        <w:rPr/>
        <w:t>Let</w:t>
      </w:r>
      <w:r>
        <w:rPr>
          <w:spacing w:val="15"/>
        </w:rPr>
        <w:t> </w:t>
      </w:r>
      <w:r>
        <w:rPr>
          <w:rFonts w:ascii="Lucida Sans Unicode"/>
        </w:rPr>
        <w:t>C</w:t>
      </w:r>
      <w:r>
        <w:rPr>
          <w:rFonts w:ascii="Calibri"/>
        </w:rPr>
        <w:t>(</w:t>
      </w:r>
      <w:r>
        <w:rPr>
          <w:rFonts w:ascii="Calibri"/>
          <w:i/>
        </w:rPr>
        <w:t>w</w:t>
      </w:r>
      <w:r>
        <w:rPr>
          <w:rFonts w:ascii="Calibri"/>
        </w:rPr>
        <w:t>)</w:t>
      </w:r>
      <w:r>
        <w:rPr>
          <w:rFonts w:ascii="Calibri"/>
          <w:spacing w:val="22"/>
        </w:rPr>
        <w:t> </w:t>
      </w:r>
      <w:r>
        <w:rPr/>
        <w:t>be</w:t>
      </w:r>
      <w:r>
        <w:rPr>
          <w:spacing w:val="16"/>
        </w:rPr>
        <w:t> </w:t>
      </w:r>
      <w:r>
        <w:rPr/>
        <w:t>the</w:t>
      </w:r>
      <w:r>
        <w:rPr>
          <w:spacing w:val="16"/>
        </w:rPr>
        <w:t> </w:t>
      </w:r>
      <w:r>
        <w:rPr/>
        <w:t>set</w:t>
      </w:r>
      <w:r>
        <w:rPr>
          <w:spacing w:val="16"/>
        </w:rPr>
        <w:t> </w:t>
      </w:r>
      <w:r>
        <w:rPr/>
        <w:t>of</w:t>
      </w:r>
      <w:r>
        <w:rPr>
          <w:spacing w:val="16"/>
        </w:rPr>
        <w:t> </w:t>
      </w:r>
      <w:r>
        <w:rPr/>
        <w:t>non-missing</w:t>
      </w:r>
      <w:r>
        <w:rPr>
          <w:spacing w:val="16"/>
        </w:rPr>
        <w:t> </w:t>
      </w:r>
      <w:r>
        <w:rPr/>
        <w:t>GMX</w:t>
      </w:r>
      <w:r>
        <w:rPr>
          <w:spacing w:val="16"/>
        </w:rPr>
        <w:t> </w:t>
      </w:r>
      <w:r>
        <w:rPr/>
        <w:t>closes</w:t>
      </w:r>
      <w:r>
        <w:rPr>
          <w:spacing w:val="16"/>
        </w:rPr>
        <w:t> </w:t>
      </w:r>
      <w:r>
        <w:rPr/>
        <w:t>for</w:t>
      </w:r>
      <w:r>
        <w:rPr>
          <w:spacing w:val="16"/>
        </w:rPr>
        <w:t> </w:t>
      </w:r>
      <w:r>
        <w:rPr/>
        <w:t>wallet</w:t>
      </w:r>
      <w:r>
        <w:rPr>
          <w:spacing w:val="16"/>
        </w:rPr>
        <w:t> </w:t>
      </w:r>
      <w:r>
        <w:rPr>
          <w:rFonts w:ascii="Calibri"/>
          <w:i/>
        </w:rPr>
        <w:t>w</w:t>
      </w:r>
      <w:r>
        <w:rPr/>
        <w:t>,</w:t>
      </w:r>
      <w:r>
        <w:rPr>
          <w:spacing w:val="21"/>
        </w:rPr>
        <w:t> </w:t>
      </w:r>
      <w:r>
        <w:rPr/>
        <w:t>with</w:t>
      </w:r>
      <w:r>
        <w:rPr>
          <w:spacing w:val="16"/>
        </w:rPr>
        <w:t> </w:t>
      </w:r>
      <w:r>
        <w:rPr/>
        <w:t>PnL</w:t>
      </w:r>
      <w:r>
        <w:rPr>
          <w:spacing w:val="15"/>
        </w:rPr>
        <w:t> </w:t>
      </w:r>
      <w:r>
        <w:rPr>
          <w:rFonts w:ascii="Calibri"/>
          <w:i/>
        </w:rPr>
        <w:t>x</w:t>
      </w:r>
      <w:r>
        <w:rPr>
          <w:rFonts w:ascii="Cambria"/>
          <w:vertAlign w:val="subscript"/>
        </w:rPr>
        <w:t>c</w:t>
      </w:r>
      <w:r>
        <w:rPr>
          <w:rFonts w:ascii="Cambria"/>
          <w:spacing w:val="33"/>
          <w:vertAlign w:val="baseline"/>
        </w:rPr>
        <w:t> </w:t>
      </w:r>
      <w:r>
        <w:rPr>
          <w:vertAlign w:val="baseline"/>
        </w:rPr>
        <w:t>and</w:t>
      </w:r>
      <w:r>
        <w:rPr>
          <w:spacing w:val="16"/>
          <w:vertAlign w:val="baseline"/>
        </w:rPr>
        <w:t> </w:t>
      </w:r>
      <w:r>
        <w:rPr>
          <w:vertAlign w:val="baseline"/>
        </w:rPr>
        <w:t>liquidation</w:t>
      </w:r>
      <w:r>
        <w:rPr>
          <w:spacing w:val="16"/>
          <w:vertAlign w:val="baseline"/>
        </w:rPr>
        <w:t> </w:t>
      </w:r>
      <w:r>
        <w:rPr>
          <w:spacing w:val="-4"/>
          <w:vertAlign w:val="baseline"/>
        </w:rPr>
        <w:t>flag</w:t>
      </w:r>
    </w:p>
    <w:p>
      <w:pPr>
        <w:pStyle w:val="BodyText"/>
        <w:ind w:left="282"/>
        <w:jc w:val="both"/>
      </w:pPr>
      <w:r>
        <w:rPr>
          <w:i/>
        </w:rPr>
        <w:t>C(w)를 PnL xc 및 청산 플래그를 사용하여 지갑 w에 대한 누락되지 않은 GMX 마감 집합이라고 가정합니다.</w:t>
      </w:r>
    </w:p>
    <w:p>
      <w:pPr>
        <w:pStyle w:val="BodyText"/>
        <w:spacing w:before="88"/>
        <w:ind w:left="282"/>
        <w:jc w:val="both"/>
      </w:pPr>
      <w:r>
        <w:rPr>
          <w:rFonts w:ascii="Calibri" w:hAnsi="Calibri"/>
          <w:i/>
          <w:w w:val="105"/>
        </w:rPr>
        <w:t>ℓ</w:t>
      </w:r>
      <w:r>
        <w:rPr>
          <w:rFonts w:ascii="Cambria" w:hAnsi="Cambria"/>
          <w:w w:val="105"/>
          <w:vertAlign w:val="subscript"/>
        </w:rPr>
        <w:t>c</w:t>
      </w:r>
      <w:r>
        <w:rPr>
          <w:rFonts w:ascii="Cambria" w:hAnsi="Cambria"/>
          <w:spacing w:val="-7"/>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Lucida Sans Unicode" w:hAnsi="Lucida Sans Unicode"/>
          <w:w w:val="105"/>
          <w:vertAlign w:val="baseline"/>
        </w:rPr>
        <w:t>{</w:t>
      </w:r>
      <w:r>
        <w:rPr>
          <w:rFonts w:ascii="Calibri" w:hAnsi="Calibri"/>
          <w:w w:val="105"/>
          <w:vertAlign w:val="baseline"/>
        </w:rPr>
        <w:t>0</w:t>
      </w:r>
      <w:r>
        <w:rPr>
          <w:rFonts w:ascii="Calibri" w:hAnsi="Calibri"/>
          <w:i/>
          <w:w w:val="105"/>
          <w:vertAlign w:val="baseline"/>
        </w:rPr>
        <w:t>,</w:t>
      </w:r>
      <w:r>
        <w:rPr>
          <w:rFonts w:ascii="Calibri" w:hAnsi="Calibri"/>
          <w:i/>
          <w:spacing w:val="-17"/>
          <w:w w:val="105"/>
          <w:vertAlign w:val="baseline"/>
        </w:rPr>
        <w:t> </w:t>
      </w:r>
      <w:r>
        <w:rPr>
          <w:rFonts w:ascii="Calibri" w:hAnsi="Calibri"/>
          <w:w w:val="105"/>
          <w:vertAlign w:val="baseline"/>
        </w:rPr>
        <w:t>1</w:t>
      </w:r>
      <w:r>
        <w:rPr>
          <w:rFonts w:ascii="Lucida Sans Unicode" w:hAnsi="Lucida Sans Unicode"/>
          <w:w w:val="105"/>
          <w:vertAlign w:val="baseline"/>
        </w:rPr>
        <w:t>}</w:t>
      </w:r>
      <w:r>
        <w:rPr>
          <w:w w:val="105"/>
          <w:vertAlign w:val="baseline"/>
        </w:rPr>
        <w:t>.</w:t>
      </w:r>
      <w:r>
        <w:rPr>
          <w:spacing w:val="-12"/>
          <w:w w:val="105"/>
          <w:vertAlign w:val="baseline"/>
        </w:rPr>
        <w:t> </w:t>
      </w:r>
      <w:r>
        <w:rPr>
          <w:w w:val="105"/>
          <w:vertAlign w:val="baseline"/>
        </w:rPr>
        <w:t>A</w:t>
      </w:r>
      <w:r>
        <w:rPr>
          <w:spacing w:val="-16"/>
          <w:w w:val="105"/>
          <w:vertAlign w:val="baseline"/>
        </w:rPr>
        <w:t> </w:t>
      </w:r>
      <w:r>
        <w:rPr>
          <w:w w:val="105"/>
          <w:vertAlign w:val="baseline"/>
        </w:rPr>
        <w:t>loss</w:t>
      </w:r>
      <w:r>
        <w:rPr>
          <w:spacing w:val="-15"/>
          <w:w w:val="105"/>
          <w:vertAlign w:val="baseline"/>
        </w:rPr>
        <w:t> </w:t>
      </w:r>
      <w:r>
        <w:rPr>
          <w:w w:val="105"/>
          <w:vertAlign w:val="baseline"/>
        </w:rPr>
        <w:t>close</w:t>
      </w:r>
      <w:r>
        <w:rPr>
          <w:spacing w:val="-16"/>
          <w:w w:val="105"/>
          <w:vertAlign w:val="baseline"/>
        </w:rPr>
        <w:t> </w:t>
      </w:r>
      <w:r>
        <w:rPr>
          <w:w w:val="105"/>
          <w:vertAlign w:val="baseline"/>
        </w:rPr>
        <w:t>is</w:t>
      </w:r>
      <w:r>
        <w:rPr>
          <w:spacing w:val="-16"/>
          <w:w w:val="105"/>
          <w:vertAlign w:val="baseline"/>
        </w:rPr>
        <w:t> </w:t>
      </w:r>
      <w:r>
        <w:rPr>
          <w:w w:val="105"/>
          <w:vertAlign w:val="baseline"/>
        </w:rPr>
        <w:t>a</w:t>
      </w:r>
      <w:r>
        <w:rPr>
          <w:spacing w:val="-16"/>
          <w:w w:val="105"/>
          <w:vertAlign w:val="baseline"/>
        </w:rPr>
        <w:t> </w:t>
      </w:r>
      <w:r>
        <w:rPr>
          <w:w w:val="105"/>
          <w:vertAlign w:val="baseline"/>
        </w:rPr>
        <w:t>non-liquidation</w:t>
      </w:r>
      <w:r>
        <w:rPr>
          <w:spacing w:val="-15"/>
          <w:w w:val="105"/>
          <w:vertAlign w:val="baseline"/>
        </w:rPr>
        <w:t> </w:t>
      </w:r>
      <w:r>
        <w:rPr>
          <w:w w:val="105"/>
          <w:vertAlign w:val="baseline"/>
        </w:rPr>
        <w:t>close</w:t>
      </w:r>
      <w:r>
        <w:rPr>
          <w:spacing w:val="-16"/>
          <w:w w:val="105"/>
          <w:vertAlign w:val="baseline"/>
        </w:rPr>
        <w:t> </w:t>
      </w:r>
      <w:r>
        <w:rPr>
          <w:w w:val="105"/>
          <w:vertAlign w:val="baseline"/>
        </w:rPr>
        <w:t>with</w:t>
      </w:r>
      <w:r>
        <w:rPr>
          <w:spacing w:val="-16"/>
          <w:w w:val="105"/>
          <w:vertAlign w:val="baseline"/>
        </w:rPr>
        <w:t> </w:t>
      </w:r>
      <w:r>
        <w:rPr>
          <w:rFonts w:ascii="Calibri" w:hAnsi="Calibri"/>
          <w:i/>
          <w:w w:val="105"/>
          <w:vertAlign w:val="baseline"/>
        </w:rPr>
        <w:t>x</w:t>
      </w:r>
      <w:r>
        <w:rPr>
          <w:rFonts w:ascii="Cambria" w:hAnsi="Cambria"/>
          <w:w w:val="105"/>
          <w:vertAlign w:val="subscript"/>
        </w:rPr>
        <w:t>c</w:t>
      </w:r>
      <w:r>
        <w:rPr>
          <w:rFonts w:ascii="Cambria" w:hAnsi="Cambria"/>
          <w:spacing w:val="-2"/>
          <w:w w:val="105"/>
          <w:vertAlign w:val="baseline"/>
        </w:rPr>
        <w:t> </w:t>
      </w:r>
      <w:r>
        <w:rPr>
          <w:rFonts w:ascii="Calibri" w:hAnsi="Calibri"/>
          <w:i/>
          <w:w w:val="125"/>
          <w:vertAlign w:val="baseline"/>
        </w:rPr>
        <w:t>&lt;</w:t>
      </w:r>
      <w:r>
        <w:rPr>
          <w:rFonts w:ascii="Calibri" w:hAnsi="Calibri"/>
          <w:i/>
          <w:spacing w:val="-16"/>
          <w:w w:val="125"/>
          <w:vertAlign w:val="baseline"/>
        </w:rPr>
        <w:t> </w:t>
      </w:r>
      <w:r>
        <w:rPr>
          <w:rFonts w:ascii="Calibri" w:hAnsi="Calibri"/>
          <w:w w:val="105"/>
          <w:vertAlign w:val="baseline"/>
        </w:rPr>
        <w:t>0</w:t>
      </w:r>
      <w:r>
        <w:rPr>
          <w:w w:val="105"/>
          <w:vertAlign w:val="baseline"/>
        </w:rPr>
        <w:t>.</w:t>
      </w:r>
      <w:r>
        <w:rPr>
          <w:spacing w:val="-1"/>
          <w:w w:val="105"/>
          <w:vertAlign w:val="baseline"/>
        </w:rPr>
        <w:t> </w:t>
      </w:r>
      <w:r>
        <w:rPr>
          <w:spacing w:val="-2"/>
          <w:w w:val="105"/>
          <w:vertAlign w:val="baseline"/>
        </w:rPr>
        <w:t>Define</w:t>
      </w:r>
    </w:p>
    <w:p>
      <w:pPr>
        <w:pStyle w:val="BodyText"/>
        <w:spacing w:before="88"/>
        <w:ind w:left="282"/>
        <w:jc w:val="both"/>
      </w:pPr>
      <w:r>
        <w:rPr>
          <w:i/>
        </w:rPr>
        <w:t>ℓc ∈ {0, 1}. 손실 청산은 xc &lt; 0인 비청산 청산입니다. 정의</w:t>
      </w:r>
    </w:p>
    <w:p>
      <w:pPr>
        <w:pStyle w:val="BodyText"/>
        <w:spacing w:before="189"/>
      </w:pPr>
    </w:p>
    <w:p>
      <w:pPr>
        <w:pStyle w:val="BodyText"/>
        <w:tabs>
          <w:tab w:pos="5445" w:val="left" w:leader="none"/>
          <w:tab w:pos="9077" w:val="left" w:leader="none"/>
        </w:tabs>
        <w:spacing w:before="1"/>
        <w:ind w:left="2506"/>
      </w:pPr>
      <w:r>
        <w:rPr/>
        <mc:AlternateContent>
          <mc:Choice Requires="wps">
            <w:drawing>
              <wp:anchor distT="0" distB="0" distL="0" distR="0" allowOverlap="1" layoutInCell="1" locked="0" behindDoc="1" simplePos="0" relativeHeight="484022784">
                <wp:simplePos x="0" y="0"/>
                <wp:positionH relativeFrom="page">
                  <wp:posOffset>3780675</wp:posOffset>
                </wp:positionH>
                <wp:positionV relativeFrom="paragraph">
                  <wp:posOffset>-90416</wp:posOffset>
                </wp:positionV>
                <wp:extent cx="219710" cy="56324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7.69101pt;margin-top:-7.119392pt;width:17.3pt;height:44.35pt;mso-position-horizontal-relative:page;mso-position-vertical-relative:paragraph;z-index:-19293696" type="#_x0000_t202" id="docshape147" filled="false" stroked="false">
                <v:textbox inset="0,0,0,0">
                  <w:txbxContent>
                    <w:p>
                      <w:pPr>
                        <w:pStyle w:val="BodyText"/>
                        <w:spacing w:line="231" w:lineRule="exact"/>
                      </w:pPr>
                      <w:r>
                        <w:rPr>
                          <w:spacing w:val="-10"/>
                          <w:w w:val="245"/>
                        </w:rPr>
                        <w:t>Σ</w:t>
                      </w:r>
                    </w:p>
                  </w:txbxContent>
                </v:textbox>
                <w10:wrap type="none"/>
              </v:shape>
            </w:pict>
          </mc:Fallback>
        </mc:AlternateContent>
      </w:r>
      <w:r>
        <w:rPr>
          <w:w w:val="105"/>
        </w:rPr>
        <w:t>loss_avoidance</w:t>
      </w:r>
      <w:r>
        <w:rPr>
          <w:rFonts w:ascii="Calibri" w:hAnsi="Calibri"/>
          <w:w w:val="105"/>
        </w:rPr>
        <w:t>(</w:t>
      </w:r>
      <w:r>
        <w:rPr>
          <w:rFonts w:ascii="Calibri" w:hAnsi="Calibri"/>
          <w:i/>
          <w:w w:val="105"/>
        </w:rPr>
        <w:t>w</w:t>
      </w:r>
      <w:r>
        <w:rPr>
          <w:rFonts w:ascii="Calibri" w:hAnsi="Calibri"/>
          <w:w w:val="105"/>
        </w:rPr>
        <w:t>)</w:t>
      </w:r>
      <w:r>
        <w:rPr>
          <w:rFonts w:ascii="Calibri" w:hAnsi="Calibri"/>
          <w:spacing w:val="-7"/>
          <w:w w:val="105"/>
        </w:rPr>
        <w:t> </w:t>
      </w:r>
      <w:r>
        <w:rPr>
          <w:rFonts w:ascii="Calibri" w:hAnsi="Calibri"/>
          <w:w w:val="120"/>
        </w:rPr>
        <w:t>=</w:t>
      </w:r>
      <w:r>
        <w:rPr>
          <w:rFonts w:ascii="Calibri" w:hAnsi="Calibri"/>
          <w:spacing w:val="-15"/>
          <w:w w:val="120"/>
        </w:rPr>
        <w:t> </w:t>
      </w:r>
      <w:r>
        <w:rPr>
          <w:rFonts w:ascii="Lucida Sans Unicode" w:hAnsi="Lucida Sans Unicode"/>
          <w:spacing w:val="-10"/>
          <w:w w:val="105"/>
        </w:rPr>
        <w:t>—</w:t>
      </w:r>
      <w:r>
        <w:rPr>
          <w:rFonts w:ascii="Lucida Sans Unicode" w:hAnsi="Lucida Sans Unicode"/>
        </w:rPr>
        <w:tab/>
      </w:r>
      <w:r>
        <w:rPr>
          <w:w w:val="105"/>
        </w:rPr>
        <w:t>min</w:t>
      </w:r>
      <w:r>
        <w:rPr>
          <w:rFonts w:ascii="Calibri" w:hAnsi="Calibri"/>
          <w:w w:val="105"/>
        </w:rPr>
        <w:t>(</w:t>
      </w:r>
      <w:r>
        <w:rPr>
          <w:rFonts w:ascii="Calibri" w:hAnsi="Calibri"/>
          <w:i/>
          <w:w w:val="105"/>
        </w:rPr>
        <w:t>x</w:t>
      </w:r>
      <w:r>
        <w:rPr>
          <w:rFonts w:ascii="Cambria" w:hAnsi="Cambria"/>
          <w:w w:val="105"/>
          <w:vertAlign w:val="subscript"/>
        </w:rPr>
        <w:t>c</w:t>
      </w:r>
      <w:r>
        <w:rPr>
          <w:rFonts w:ascii="Calibri" w:hAnsi="Calibri"/>
          <w:i/>
          <w:w w:val="105"/>
          <w:vertAlign w:val="baseline"/>
        </w:rPr>
        <w:t>,</w:t>
      </w:r>
      <w:r>
        <w:rPr>
          <w:rFonts w:ascii="Calibri" w:hAnsi="Calibri"/>
          <w:i/>
          <w:spacing w:val="5"/>
          <w:w w:val="105"/>
          <w:vertAlign w:val="baseline"/>
        </w:rPr>
        <w:t> </w:t>
      </w:r>
      <w:r>
        <w:rPr>
          <w:rFonts w:ascii="Calibri" w:hAnsi="Calibri"/>
          <w:spacing w:val="-5"/>
          <w:w w:val="105"/>
          <w:vertAlign w:val="baseline"/>
        </w:rPr>
        <w:t>0)</w:t>
      </w:r>
      <w:r>
        <w:rPr>
          <w:rFonts w:ascii="Calibri" w:hAnsi="Calibri"/>
          <w:i/>
          <w:spacing w:val="-5"/>
          <w:w w:val="105"/>
          <w:vertAlign w:val="baseline"/>
        </w:rPr>
        <w:t>,</w:t>
      </w:r>
      <w:r>
        <w:rPr>
          <w:rFonts w:ascii="Calibri" w:hAnsi="Calibri"/>
          <w:i/>
          <w:vertAlign w:val="baseline"/>
        </w:rPr>
        <w:tab/>
      </w:r>
      <w:bookmarkStart w:name="_bookmark67" w:id="122"/>
      <w:bookmarkEnd w:id="122"/>
      <w:r>
        <w:rPr>
          <w:rFonts w:ascii="Calibri" w:hAnsi="Calibri"/>
          <w:i/>
          <w:vertAlign w:val="baseline"/>
        </w:rPr>
      </w:r>
      <w:r>
        <w:rPr>
          <w:spacing w:val="-2"/>
          <w:vertAlign w:val="baseline"/>
        </w:rPr>
        <w:t>(3.10)</w:t>
      </w:r>
    </w:p>
    <w:p>
      <w:pPr>
        <w:pStyle w:val="BodyText"/>
        <w:tabs>
          <w:tab w:pos="5445" w:val="left" w:leader="none"/>
          <w:tab w:pos="9077" w:val="left" w:leader="none"/>
        </w:tabs>
        <w:spacing w:before="1"/>
        <w:ind w:left="2506"/>
      </w:pPr>
      <w:r>
        <w:rPr>
          <w:i/>
        </w:rPr>
        <w:t>loss_avoidance(w) = —</w:t>
        <w:tab/>
        <w:t>최소(xc, 0),</w:t>
        <w:tab/>
        <w:t>(3.10)</w:t>
      </w:r>
    </w:p>
    <w:p>
      <w:pPr>
        <w:spacing w:before="33"/>
        <w:ind w:left="774" w:right="711" w:firstLine="0"/>
        <w:jc w:val="center"/>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tabs>
          <w:tab w:pos="9086" w:val="left" w:leader="none"/>
        </w:tabs>
        <w:spacing w:line="426" w:lineRule="exact" w:before="18"/>
        <w:ind w:left="2027" w:right="0" w:firstLine="0"/>
        <w:jc w:val="left"/>
        <w:rPr>
          <w:sz w:val="24"/>
        </w:rPr>
      </w:pPr>
      <w:r>
        <w:rPr>
          <w:sz w:val="24"/>
        </w:rPr>
        <w:t>non_loss_close_rate</w:t>
      </w:r>
      <w:r>
        <w:rPr>
          <w:rFonts w:ascii="Calibri" w:hAnsi="Calibri"/>
          <w:sz w:val="24"/>
        </w:rPr>
        <w:t>(</w:t>
      </w:r>
      <w:r>
        <w:rPr>
          <w:rFonts w:ascii="Calibri" w:hAnsi="Calibri"/>
          <w:i/>
          <w:sz w:val="24"/>
        </w:rPr>
        <w:t>w</w:t>
      </w:r>
      <w:r>
        <w:rPr>
          <w:rFonts w:ascii="Calibri" w:hAnsi="Calibri"/>
          <w:sz w:val="24"/>
        </w:rPr>
        <w:t>)</w:t>
      </w:r>
      <w:r>
        <w:rPr>
          <w:rFonts w:ascii="Calibri" w:hAnsi="Calibri"/>
          <w:spacing w:val="3"/>
          <w:w w:val="120"/>
          <w:sz w:val="24"/>
        </w:rPr>
        <w:t> </w:t>
      </w:r>
      <w:r>
        <w:rPr>
          <w:rFonts w:ascii="Calibri" w:hAnsi="Calibri"/>
          <w:w w:val="120"/>
          <w:sz w:val="24"/>
        </w:rPr>
        <w:t>=</w:t>
      </w:r>
      <w:r>
        <w:rPr>
          <w:rFonts w:ascii="Calibri" w:hAnsi="Calibri"/>
          <w:spacing w:val="4"/>
          <w:w w:val="120"/>
          <w:sz w:val="24"/>
        </w:rPr>
        <w:t> </w:t>
      </w:r>
      <w:r>
        <w:rPr>
          <w:rFonts w:ascii="Calibri" w:hAnsi="Calibri"/>
          <w:sz w:val="24"/>
        </w:rPr>
        <w:t>1</w:t>
      </w:r>
      <w:r>
        <w:rPr>
          <w:rFonts w:ascii="Calibri" w:hAnsi="Calibri"/>
          <w:spacing w:val="2"/>
          <w:sz w:val="24"/>
        </w:rPr>
        <w:t> </w:t>
      </w:r>
      <w:r>
        <w:rPr>
          <w:rFonts w:ascii="Lucida Sans Unicode" w:hAnsi="Lucida Sans Unicode"/>
          <w:sz w:val="24"/>
        </w:rPr>
        <w:t>—</w:t>
      </w:r>
      <w:r>
        <w:rPr>
          <w:rFonts w:ascii="Lucida Sans Unicode" w:hAnsi="Lucida Sans Unicode"/>
          <w:spacing w:val="5"/>
          <w:sz w:val="24"/>
        </w:rPr>
        <w:t> </w:t>
      </w:r>
      <w:r>
        <w:rPr>
          <w:rFonts w:ascii="Lucida Sans Unicode" w:hAnsi="Lucida Sans Unicode"/>
          <w:position w:val="16"/>
          <w:sz w:val="24"/>
          <w:u w:val="single"/>
        </w:rPr>
        <w:t>|{</w:t>
      </w:r>
      <w:r>
        <w:rPr>
          <w:rFonts w:ascii="Calibri" w:hAnsi="Calibri"/>
          <w:i/>
          <w:position w:val="16"/>
          <w:sz w:val="24"/>
          <w:u w:val="single"/>
        </w:rPr>
        <w:t>c</w:t>
      </w:r>
      <w:r>
        <w:rPr>
          <w:rFonts w:ascii="Calibri" w:hAnsi="Calibri"/>
          <w:i/>
          <w:spacing w:val="15"/>
          <w:position w:val="16"/>
          <w:sz w:val="24"/>
          <w:u w:val="single"/>
        </w:rPr>
        <w:t> </w:t>
      </w:r>
      <w:r>
        <w:rPr>
          <w:rFonts w:ascii="Lucida Sans Unicode" w:hAnsi="Lucida Sans Unicode"/>
          <w:position w:val="16"/>
          <w:sz w:val="24"/>
          <w:u w:val="single"/>
        </w:rPr>
        <w:t>∈</w:t>
      </w:r>
      <w:r>
        <w:rPr>
          <w:rFonts w:ascii="Lucida Sans Unicode" w:hAnsi="Lucida Sans Unicode"/>
          <w:spacing w:val="-7"/>
          <w:position w:val="16"/>
          <w:sz w:val="24"/>
          <w:u w:val="single"/>
        </w:rPr>
        <w:t> </w:t>
      </w:r>
      <w:r>
        <w:rPr>
          <w:rFonts w:ascii="Lucida Sans Unicode" w:hAnsi="Lucida Sans Unicode"/>
          <w:position w:val="16"/>
          <w:sz w:val="24"/>
          <w:u w:val="single"/>
        </w:rPr>
        <w:t>C</w:t>
      </w:r>
      <w:r>
        <w:rPr>
          <w:rFonts w:ascii="Calibri" w:hAnsi="Calibri"/>
          <w:position w:val="16"/>
          <w:sz w:val="24"/>
          <w:u w:val="single"/>
        </w:rPr>
        <w:t>(</w:t>
      </w:r>
      <w:r>
        <w:rPr>
          <w:rFonts w:ascii="Calibri" w:hAnsi="Calibri"/>
          <w:i/>
          <w:position w:val="16"/>
          <w:sz w:val="24"/>
          <w:u w:val="single"/>
        </w:rPr>
        <w:t>w</w:t>
      </w:r>
      <w:r>
        <w:rPr>
          <w:rFonts w:ascii="Calibri" w:hAnsi="Calibri"/>
          <w:position w:val="16"/>
          <w:sz w:val="24"/>
          <w:u w:val="single"/>
        </w:rPr>
        <w:t>)</w:t>
      </w:r>
      <w:r>
        <w:rPr>
          <w:rFonts w:ascii="Calibri" w:hAnsi="Calibri"/>
          <w:spacing w:val="15"/>
          <w:position w:val="16"/>
          <w:sz w:val="24"/>
          <w:u w:val="single"/>
        </w:rPr>
        <w:t> </w:t>
      </w:r>
      <w:r>
        <w:rPr>
          <w:rFonts w:ascii="Calibri" w:hAnsi="Calibri"/>
          <w:position w:val="16"/>
          <w:sz w:val="24"/>
          <w:u w:val="single"/>
        </w:rPr>
        <w:t>:</w:t>
      </w:r>
      <w:r>
        <w:rPr>
          <w:rFonts w:ascii="Calibri" w:hAnsi="Calibri"/>
          <w:spacing w:val="15"/>
          <w:position w:val="16"/>
          <w:sz w:val="24"/>
          <w:u w:val="single"/>
        </w:rPr>
        <w:t> </w:t>
      </w:r>
      <w:r>
        <w:rPr>
          <w:rFonts w:ascii="Calibri" w:hAnsi="Calibri"/>
          <w:i/>
          <w:position w:val="16"/>
          <w:sz w:val="24"/>
          <w:u w:val="single"/>
        </w:rPr>
        <w:t>ℓ</w:t>
      </w:r>
      <w:r>
        <w:rPr>
          <w:rFonts w:ascii="Cambria" w:hAnsi="Cambria"/>
          <w:position w:val="13"/>
          <w:sz w:val="16"/>
          <w:u w:val="single"/>
        </w:rPr>
        <w:t>c</w:t>
      </w:r>
      <w:r>
        <w:rPr>
          <w:rFonts w:ascii="Cambria" w:hAnsi="Cambria"/>
          <w:spacing w:val="37"/>
          <w:w w:val="120"/>
          <w:position w:val="13"/>
          <w:sz w:val="16"/>
          <w:u w:val="single"/>
        </w:rPr>
        <w:t> </w:t>
      </w:r>
      <w:r>
        <w:rPr>
          <w:rFonts w:ascii="Calibri" w:hAnsi="Calibri"/>
          <w:w w:val="120"/>
          <w:position w:val="16"/>
          <w:sz w:val="24"/>
          <w:u w:val="single"/>
        </w:rPr>
        <w:t>=</w:t>
      </w:r>
      <w:r>
        <w:rPr>
          <w:rFonts w:ascii="Calibri" w:hAnsi="Calibri"/>
          <w:spacing w:val="3"/>
          <w:w w:val="120"/>
          <w:position w:val="16"/>
          <w:sz w:val="24"/>
          <w:u w:val="single"/>
        </w:rPr>
        <w:t> </w:t>
      </w:r>
      <w:r>
        <w:rPr>
          <w:rFonts w:ascii="Calibri" w:hAnsi="Calibri"/>
          <w:position w:val="16"/>
          <w:sz w:val="24"/>
          <w:u w:val="single"/>
        </w:rPr>
        <w:t>0</w:t>
      </w:r>
      <w:r>
        <w:rPr>
          <w:rFonts w:ascii="Calibri" w:hAnsi="Calibri"/>
          <w:spacing w:val="2"/>
          <w:position w:val="16"/>
          <w:sz w:val="24"/>
          <w:u w:val="single"/>
        </w:rPr>
        <w:t> </w:t>
      </w:r>
      <w:r>
        <w:rPr>
          <w:rFonts w:ascii="Lucida Sans Unicode" w:hAnsi="Lucida Sans Unicode"/>
          <w:position w:val="16"/>
          <w:sz w:val="24"/>
          <w:u w:val="single"/>
        </w:rPr>
        <w:t>∧</w:t>
      </w:r>
      <w:r>
        <w:rPr>
          <w:rFonts w:ascii="Lucida Sans Unicode" w:hAnsi="Lucida Sans Unicode"/>
          <w:spacing w:val="-21"/>
          <w:position w:val="16"/>
          <w:sz w:val="24"/>
          <w:u w:val="single"/>
        </w:rPr>
        <w:t> </w:t>
      </w:r>
      <w:r>
        <w:rPr>
          <w:rFonts w:ascii="Calibri" w:hAnsi="Calibri"/>
          <w:i/>
          <w:position w:val="16"/>
          <w:sz w:val="24"/>
          <w:u w:val="single"/>
        </w:rPr>
        <w:t>x</w:t>
      </w:r>
      <w:r>
        <w:rPr>
          <w:rFonts w:ascii="Cambria" w:hAnsi="Cambria"/>
          <w:position w:val="13"/>
          <w:sz w:val="16"/>
          <w:u w:val="single"/>
        </w:rPr>
        <w:t>c</w:t>
      </w:r>
      <w:r>
        <w:rPr>
          <w:rFonts w:ascii="Cambria" w:hAnsi="Cambria"/>
          <w:spacing w:val="37"/>
          <w:w w:val="120"/>
          <w:position w:val="13"/>
          <w:sz w:val="16"/>
          <w:u w:val="single"/>
        </w:rPr>
        <w:t> </w:t>
      </w:r>
      <w:r>
        <w:rPr>
          <w:rFonts w:ascii="Calibri" w:hAnsi="Calibri"/>
          <w:i/>
          <w:w w:val="120"/>
          <w:position w:val="16"/>
          <w:sz w:val="24"/>
          <w:u w:val="single"/>
        </w:rPr>
        <w:t>&lt;</w:t>
      </w:r>
      <w:r>
        <w:rPr>
          <w:rFonts w:ascii="Calibri" w:hAnsi="Calibri"/>
          <w:i/>
          <w:spacing w:val="4"/>
          <w:w w:val="120"/>
          <w:position w:val="16"/>
          <w:sz w:val="24"/>
          <w:u w:val="single"/>
        </w:rPr>
        <w:t> </w:t>
      </w:r>
      <w:r>
        <w:rPr>
          <w:rFonts w:ascii="Calibri" w:hAnsi="Calibri"/>
          <w:position w:val="16"/>
          <w:sz w:val="24"/>
          <w:u w:val="single"/>
        </w:rPr>
        <w:t>0</w:t>
      </w:r>
      <w:r>
        <w:rPr>
          <w:rFonts w:ascii="Lucida Sans Unicode" w:hAnsi="Lucida Sans Unicode"/>
          <w:position w:val="16"/>
          <w:sz w:val="24"/>
          <w:u w:val="single"/>
        </w:rPr>
        <w:t>}|</w:t>
      </w:r>
      <w:r>
        <w:rPr>
          <w:rFonts w:ascii="Lucida Sans Unicode" w:hAnsi="Lucida Sans Unicode"/>
          <w:spacing w:val="-50"/>
          <w:position w:val="16"/>
          <w:sz w:val="24"/>
        </w:rPr>
        <w:t> </w:t>
      </w:r>
      <w:r>
        <w:rPr>
          <w:rFonts w:ascii="Calibri" w:hAnsi="Calibri"/>
          <w:i/>
          <w:spacing w:val="-10"/>
          <w:sz w:val="24"/>
        </w:rPr>
        <w:t>,</w:t>
      </w:r>
      <w:r>
        <w:rPr>
          <w:rFonts w:ascii="Calibri" w:hAnsi="Calibri"/>
          <w:i/>
          <w:sz w:val="24"/>
        </w:rPr>
        <w:tab/>
      </w:r>
      <w:bookmarkStart w:name="_bookmark68" w:id="123"/>
      <w:bookmarkEnd w:id="123"/>
      <w:r>
        <w:rPr>
          <w:rFonts w:ascii="Calibri" w:hAnsi="Calibri"/>
          <w:i/>
          <w:sz w:val="24"/>
        </w:rPr>
      </w:r>
      <w:r>
        <w:rPr>
          <w:spacing w:val="-2"/>
          <w:sz w:val="24"/>
        </w:rPr>
        <w:t>(3.11)</w:t>
      </w:r>
    </w:p>
    <w:p>
      <w:pPr>
        <w:pStyle w:val="BodyText"/>
        <w:spacing w:line="266" w:lineRule="exact"/>
        <w:ind w:left="6249"/>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spacing w:after="0" w:line="266" w:lineRule="exact"/>
        <w:rPr>
          <w:rFonts w:ascii="Lucida Sans Unicode"/>
        </w:rPr>
        <w:sectPr>
          <w:type w:val="continuous"/>
          <w:pgSz w:w="11910" w:h="16840"/>
          <w:pgMar w:header="0" w:footer="2115" w:top="1920" w:bottom="280" w:left="992" w:right="708"/>
        </w:sectPr>
      </w:pPr>
    </w:p>
    <w:p>
      <w:pPr>
        <w:pStyle w:val="BodyText"/>
        <w:spacing w:line="320" w:lineRule="exact" w:before="90"/>
        <w:ind w:left="1775"/>
      </w:pPr>
      <w:r>
        <w:rPr/>
        <w:t>worst_close_pnl_score</w:t>
      </w:r>
      <w:r>
        <w:rPr>
          <w:rFonts w:ascii="Calibri" w:hAnsi="Calibri"/>
        </w:rPr>
        <w:t>(</w:t>
      </w:r>
      <w:r>
        <w:rPr>
          <w:rFonts w:ascii="Calibri" w:hAnsi="Calibri"/>
          <w:i/>
        </w:rPr>
        <w:t>w</w:t>
      </w:r>
      <w:r>
        <w:rPr>
          <w:rFonts w:ascii="Calibri" w:hAnsi="Calibri"/>
        </w:rPr>
        <w:t>)</w:t>
      </w:r>
      <w:r>
        <w:rPr>
          <w:rFonts w:ascii="Calibri" w:hAnsi="Calibri"/>
          <w:spacing w:val="16"/>
        </w:rPr>
        <w:t> </w:t>
      </w:r>
      <w:r>
        <w:rPr>
          <w:rFonts w:ascii="Calibri" w:hAnsi="Calibri"/>
        </w:rPr>
        <w:t>=</w:t>
      </w:r>
      <w:r>
        <w:rPr>
          <w:rFonts w:ascii="Calibri" w:hAnsi="Calibri"/>
          <w:spacing w:val="17"/>
        </w:rPr>
        <w:t> </w:t>
      </w:r>
      <w:r>
        <w:rPr>
          <w:rFonts w:ascii="Lucida Sans Unicode" w:hAnsi="Lucida Sans Unicode"/>
        </w:rPr>
        <w:t>—</w:t>
      </w:r>
      <w:r>
        <w:rPr>
          <w:rFonts w:ascii="Lucida Sans Unicode" w:hAnsi="Lucida Sans Unicode"/>
          <w:spacing w:val="57"/>
        </w:rPr>
        <w:t> </w:t>
      </w:r>
      <w:r>
        <w:rPr>
          <w:spacing w:val="-5"/>
        </w:rPr>
        <w:t>min</w:t>
      </w:r>
    </w:p>
    <w:p>
      <w:pPr>
        <w:pStyle w:val="BodyText"/>
        <w:spacing w:line="320" w:lineRule="exact" w:before="90"/>
        <w:ind w:left="1775"/>
      </w:pPr>
      <w:r>
        <w:rPr>
          <w:i/>
        </w:rPr>
        <w:t>Worst_close_pnl_score(w) = — 최소</w:t>
      </w:r>
    </w:p>
    <w:p>
      <w:pPr>
        <w:spacing w:line="146" w:lineRule="exact" w:before="0"/>
        <w:ind w:left="0" w:right="0" w:firstLine="0"/>
        <w:jc w:val="right"/>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tabs>
          <w:tab w:pos="3631" w:val="left" w:leader="none"/>
        </w:tabs>
        <w:spacing w:before="125"/>
        <w:ind w:left="0" w:right="0" w:firstLine="0"/>
        <w:jc w:val="left"/>
        <w:rPr>
          <w:sz w:val="24"/>
        </w:rPr>
      </w:pPr>
      <w:r>
        <w:rPr/>
        <w:br w:type="column"/>
      </w:r>
      <w:r>
        <w:rPr>
          <w:rFonts w:ascii="Calibri"/>
          <w:i/>
          <w:spacing w:val="-5"/>
          <w:w w:val="105"/>
          <w:sz w:val="24"/>
        </w:rPr>
        <w:t>x</w:t>
      </w:r>
      <w:r>
        <w:rPr>
          <w:rFonts w:ascii="Cambria"/>
          <w:spacing w:val="-5"/>
          <w:w w:val="105"/>
          <w:sz w:val="24"/>
          <w:vertAlign w:val="subscript"/>
        </w:rPr>
        <w:t>c</w:t>
      </w:r>
      <w:r>
        <w:rPr>
          <w:rFonts w:ascii="Calibri"/>
          <w:i/>
          <w:spacing w:val="-5"/>
          <w:w w:val="105"/>
          <w:sz w:val="24"/>
          <w:vertAlign w:val="baseline"/>
        </w:rPr>
        <w:t>.</w:t>
      </w:r>
      <w:r>
        <w:rPr>
          <w:rFonts w:ascii="Calibri"/>
          <w:i/>
          <w:sz w:val="24"/>
          <w:vertAlign w:val="baseline"/>
        </w:rPr>
        <w:tab/>
      </w:r>
      <w:bookmarkStart w:name="_bookmark69" w:id="124"/>
      <w:bookmarkEnd w:id="124"/>
      <w:r>
        <w:rPr>
          <w:rFonts w:ascii="Calibri"/>
          <w:i/>
          <w:sz w:val="24"/>
          <w:vertAlign w:val="baseline"/>
        </w:rPr>
      </w:r>
      <w:r>
        <w:rPr>
          <w:spacing w:val="-2"/>
          <w:w w:val="105"/>
          <w:sz w:val="24"/>
          <w:vertAlign w:val="baseline"/>
        </w:rPr>
        <w:t>(3.12)</w:t>
      </w:r>
    </w:p>
    <w:p>
      <w:pPr>
        <w:spacing w:after="0"/>
        <w:jc w:val="left"/>
        <w:rPr>
          <w:sz w:val="24"/>
        </w:rPr>
        <w:sectPr>
          <w:type w:val="continuous"/>
          <w:pgSz w:w="11910" w:h="16840"/>
          <w:pgMar w:header="0" w:footer="2115" w:top="1920" w:bottom="280" w:left="992" w:right="708"/>
          <w:cols w:num="2" w:equalWidth="0">
            <w:col w:w="5406" w:space="39"/>
            <w:col w:w="4765"/>
          </w:cols>
        </w:sectPr>
      </w:pPr>
    </w:p>
    <w:p>
      <w:pPr>
        <w:pStyle w:val="BodyText"/>
        <w:spacing w:before="132"/>
      </w:pPr>
    </w:p>
    <w:p>
      <w:pPr>
        <w:pStyle w:val="BodyText"/>
        <w:spacing w:line="396" w:lineRule="auto"/>
        <w:ind w:left="274" w:right="522" w:firstLine="7"/>
        <w:jc w:val="both"/>
      </w:pPr>
      <w:r>
        <w:rPr/>
        <w:t>Equation</w:t>
      </w:r>
      <w:r>
        <w:rPr>
          <w:spacing w:val="-15"/>
        </w:rPr>
        <w:t> </w:t>
      </w:r>
      <w:r>
        <w:rPr/>
        <w:t>(</w:t>
      </w:r>
      <w:hyperlink w:history="true" w:anchor="_bookmark67">
        <w:r>
          <w:rPr/>
          <w:t>3.10</w:t>
        </w:r>
      </w:hyperlink>
      <w:r>
        <w:rPr/>
        <w:t>)</w:t>
      </w:r>
      <w:r>
        <w:rPr>
          <w:spacing w:val="-15"/>
        </w:rPr>
        <w:t> </w:t>
      </w:r>
      <w:r>
        <w:rPr/>
        <w:t>sums</w:t>
      </w:r>
      <w:r>
        <w:rPr>
          <w:spacing w:val="-15"/>
        </w:rPr>
        <w:t> </w:t>
      </w:r>
      <w:r>
        <w:rPr/>
        <w:t>absolute</w:t>
      </w:r>
      <w:r>
        <w:rPr>
          <w:spacing w:val="-15"/>
        </w:rPr>
        <w:t> </w:t>
      </w:r>
      <w:r>
        <w:rPr/>
        <w:t>loss</w:t>
      </w:r>
      <w:r>
        <w:rPr>
          <w:spacing w:val="-15"/>
        </w:rPr>
        <w:t> </w:t>
      </w:r>
      <w:r>
        <w:rPr/>
        <w:t>magnitudes</w:t>
      </w:r>
      <w:r>
        <w:rPr>
          <w:spacing w:val="-15"/>
        </w:rPr>
        <w:t> </w:t>
      </w:r>
      <w:r>
        <w:rPr/>
        <w:t>over</w:t>
      </w:r>
      <w:r>
        <w:rPr>
          <w:spacing w:val="-15"/>
        </w:rPr>
        <w:t> </w:t>
      </w:r>
      <w:r>
        <w:rPr/>
        <w:t>all</w:t>
      </w:r>
      <w:r>
        <w:rPr>
          <w:spacing w:val="-15"/>
        </w:rPr>
        <w:t> </w:t>
      </w:r>
      <w:r>
        <w:rPr/>
        <w:t>negative-PnL</w:t>
      </w:r>
      <w:r>
        <w:rPr>
          <w:spacing w:val="-15"/>
        </w:rPr>
        <w:t> </w:t>
      </w:r>
      <w:r>
        <w:rPr/>
        <w:t>closes,</w:t>
      </w:r>
      <w:r>
        <w:rPr>
          <w:spacing w:val="-13"/>
        </w:rPr>
        <w:t> </w:t>
      </w:r>
      <w:r>
        <w:rPr/>
        <w:t>including</w:t>
      </w:r>
      <w:r>
        <w:rPr>
          <w:spacing w:val="-15"/>
        </w:rPr>
        <w:t> </w:t>
      </w:r>
      <w:r>
        <w:rPr/>
        <w:t>liquidations (higher is better after the sign flip).</w:t>
      </w:r>
      <w:r>
        <w:rPr>
          <w:spacing w:val="40"/>
        </w:rPr>
        <w:t> </w:t>
      </w:r>
      <w:r>
        <w:rPr/>
        <w:t>Equation (</w:t>
      </w:r>
      <w:hyperlink w:history="true" w:anchor="_bookmark68">
        <w:r>
          <w:rPr/>
          <w:t>3.11</w:t>
        </w:r>
      </w:hyperlink>
      <w:r>
        <w:rPr/>
        <w:t>) is the fraction of closes that are not ordinary </w:t>
      </w:r>
      <w:r>
        <w:rPr>
          <w:spacing w:val="-2"/>
        </w:rPr>
        <w:t>(non-liquidation)</w:t>
      </w:r>
      <w:r>
        <w:rPr>
          <w:spacing w:val="-5"/>
        </w:rPr>
        <w:t> </w:t>
      </w:r>
      <w:r>
        <w:rPr>
          <w:spacing w:val="-2"/>
        </w:rPr>
        <w:t>losses; liquidations</w:t>
      </w:r>
      <w:r>
        <w:rPr>
          <w:spacing w:val="-5"/>
        </w:rPr>
        <w:t> </w:t>
      </w:r>
      <w:r>
        <w:rPr>
          <w:spacing w:val="-2"/>
        </w:rPr>
        <w:t>therefore</w:t>
      </w:r>
      <w:r>
        <w:rPr>
          <w:spacing w:val="-5"/>
        </w:rPr>
        <w:t> </w:t>
      </w:r>
      <w:r>
        <w:rPr>
          <w:spacing w:val="-2"/>
        </w:rPr>
        <w:t>raise</w:t>
      </w:r>
      <w:r>
        <w:rPr>
          <w:spacing w:val="-5"/>
        </w:rPr>
        <w:t> </w:t>
      </w:r>
      <w:r>
        <w:rPr>
          <w:spacing w:val="-2"/>
        </w:rPr>
        <w:t>non_loss_close_rate</w:t>
      </w:r>
      <w:r>
        <w:rPr>
          <w:spacing w:val="-5"/>
        </w:rPr>
        <w:t> </w:t>
      </w:r>
      <w:r>
        <w:rPr>
          <w:spacing w:val="-2"/>
        </w:rPr>
        <w:t>and</w:t>
      </w:r>
      <w:r>
        <w:rPr>
          <w:spacing w:val="-5"/>
        </w:rPr>
        <w:t> </w:t>
      </w:r>
      <w:r>
        <w:rPr>
          <w:spacing w:val="-2"/>
        </w:rPr>
        <w:t>are</w:t>
      </w:r>
      <w:r>
        <w:rPr>
          <w:spacing w:val="-5"/>
        </w:rPr>
        <w:t> </w:t>
      </w:r>
      <w:r>
        <w:rPr>
          <w:spacing w:val="-2"/>
        </w:rPr>
        <w:t>not</w:t>
      </w:r>
      <w:r>
        <w:rPr>
          <w:spacing w:val="-5"/>
        </w:rPr>
        <w:t> </w:t>
      </w:r>
      <w:r>
        <w:rPr>
          <w:spacing w:val="-2"/>
        </w:rPr>
        <w:t>treated</w:t>
      </w:r>
      <w:r>
        <w:rPr>
          <w:spacing w:val="-5"/>
        </w:rPr>
        <w:t> </w:t>
      </w:r>
      <w:r>
        <w:rPr>
          <w:spacing w:val="-2"/>
        </w:rPr>
        <w:t>as</w:t>
      </w:r>
      <w:r>
        <w:rPr>
          <w:spacing w:val="-5"/>
        </w:rPr>
        <w:t> </w:t>
      </w:r>
      <w:r>
        <w:rPr>
          <w:spacing w:val="-2"/>
        </w:rPr>
        <w:t>ordi-</w:t>
      </w:r>
      <w:r>
        <w:rPr/>
        <w:t>nary</w:t>
      </w:r>
      <w:r>
        <w:rPr>
          <w:spacing w:val="-13"/>
        </w:rPr>
        <w:t> </w:t>
      </w:r>
      <w:r>
        <w:rPr/>
        <w:t>losses.</w:t>
      </w:r>
      <w:r>
        <w:rPr>
          <w:spacing w:val="12"/>
        </w:rPr>
        <w:t> </w:t>
      </w:r>
      <w:r>
        <w:rPr/>
        <w:t>Equation</w:t>
      </w:r>
      <w:r>
        <w:rPr>
          <w:spacing w:val="-13"/>
        </w:rPr>
        <w:t> </w:t>
      </w:r>
      <w:r>
        <w:rPr/>
        <w:t>(</w:t>
      </w:r>
      <w:hyperlink w:history="true" w:anchor="_bookmark69">
        <w:r>
          <w:rPr/>
          <w:t>3.12</w:t>
        </w:r>
      </w:hyperlink>
      <w:r>
        <w:rPr/>
        <w:t>)</w:t>
      </w:r>
      <w:r>
        <w:rPr>
          <w:spacing w:val="-13"/>
        </w:rPr>
        <w:t> </w:t>
      </w:r>
      <w:r>
        <w:rPr/>
        <w:t>rewards</w:t>
      </w:r>
      <w:r>
        <w:rPr>
          <w:spacing w:val="-13"/>
        </w:rPr>
        <w:t> </w:t>
      </w:r>
      <w:r>
        <w:rPr/>
        <w:t>wallets</w:t>
      </w:r>
      <w:r>
        <w:rPr>
          <w:spacing w:val="-13"/>
        </w:rPr>
        <w:t> </w:t>
      </w:r>
      <w:r>
        <w:rPr/>
        <w:t>whose</w:t>
      </w:r>
      <w:r>
        <w:rPr>
          <w:spacing w:val="-13"/>
        </w:rPr>
        <w:t> </w:t>
      </w:r>
      <w:r>
        <w:rPr/>
        <w:t>worst</w:t>
      </w:r>
      <w:r>
        <w:rPr>
          <w:spacing w:val="-13"/>
        </w:rPr>
        <w:t> </w:t>
      </w:r>
      <w:r>
        <w:rPr/>
        <w:t>close</w:t>
      </w:r>
      <w:r>
        <w:rPr>
          <w:spacing w:val="-13"/>
        </w:rPr>
        <w:t> </w:t>
      </w:r>
      <w:r>
        <w:rPr/>
        <w:t>is</w:t>
      </w:r>
      <w:r>
        <w:rPr>
          <w:spacing w:val="-13"/>
        </w:rPr>
        <w:t> </w:t>
      </w:r>
      <w:r>
        <w:rPr/>
        <w:t>less</w:t>
      </w:r>
      <w:r>
        <w:rPr>
          <w:spacing w:val="-13"/>
        </w:rPr>
        <w:t> </w:t>
      </w:r>
      <w:r>
        <w:rPr/>
        <w:t>severe</w:t>
      </w:r>
      <w:r>
        <w:rPr>
          <w:spacing w:val="-13"/>
        </w:rPr>
        <w:t> </w:t>
      </w:r>
      <w:r>
        <w:rPr/>
        <w:t>(again</w:t>
      </w:r>
      <w:r>
        <w:rPr>
          <w:spacing w:val="-13"/>
        </w:rPr>
        <w:t> </w:t>
      </w:r>
      <w:r>
        <w:rPr/>
        <w:t>after</w:t>
      </w:r>
      <w:r>
        <w:rPr>
          <w:spacing w:val="-13"/>
        </w:rPr>
        <w:t> </w:t>
      </w:r>
      <w:r>
        <w:rPr/>
        <w:t>sign</w:t>
      </w:r>
      <w:r>
        <w:rPr>
          <w:spacing w:val="-13"/>
        </w:rPr>
        <w:t> </w:t>
      </w:r>
      <w:r>
        <w:rPr/>
        <w:t>flip). Liquidation</w:t>
      </w:r>
      <w:r>
        <w:rPr>
          <w:spacing w:val="7"/>
        </w:rPr>
        <w:t> </w:t>
      </w:r>
      <w:r>
        <w:rPr/>
        <w:t>closes</w:t>
      </w:r>
      <w:r>
        <w:rPr>
          <w:spacing w:val="8"/>
        </w:rPr>
        <w:t> </w:t>
      </w:r>
      <w:r>
        <w:rPr/>
        <w:t>are</w:t>
      </w:r>
      <w:r>
        <w:rPr>
          <w:spacing w:val="8"/>
        </w:rPr>
        <w:t> </w:t>
      </w:r>
      <w:r>
        <w:rPr/>
        <w:t>included</w:t>
      </w:r>
      <w:r>
        <w:rPr>
          <w:spacing w:val="8"/>
        </w:rPr>
        <w:t> </w:t>
      </w:r>
      <w:r>
        <w:rPr/>
        <w:t>in</w:t>
      </w:r>
      <w:r>
        <w:rPr>
          <w:spacing w:val="7"/>
        </w:rPr>
        <w:t> </w:t>
      </w:r>
      <w:r>
        <w:rPr/>
        <w:t>the</w:t>
      </w:r>
      <w:r>
        <w:rPr>
          <w:spacing w:val="8"/>
        </w:rPr>
        <w:t> </w:t>
      </w:r>
      <w:r>
        <w:rPr/>
        <w:t>worst-close</w:t>
      </w:r>
      <w:r>
        <w:rPr>
          <w:spacing w:val="8"/>
        </w:rPr>
        <w:t> </w:t>
      </w:r>
      <w:r>
        <w:rPr/>
        <w:t>minimum</w:t>
      </w:r>
      <w:r>
        <w:rPr>
          <w:spacing w:val="8"/>
        </w:rPr>
        <w:t> </w:t>
      </w:r>
      <w:r>
        <w:rPr/>
        <w:t>but</w:t>
      </w:r>
      <w:r>
        <w:rPr>
          <w:spacing w:val="8"/>
        </w:rPr>
        <w:t> </w:t>
      </w:r>
      <w:r>
        <w:rPr/>
        <w:t>are</w:t>
      </w:r>
      <w:r>
        <w:rPr>
          <w:spacing w:val="7"/>
        </w:rPr>
        <w:t> </w:t>
      </w:r>
      <w:r>
        <w:rPr/>
        <w:t>excluded</w:t>
      </w:r>
      <w:r>
        <w:rPr>
          <w:spacing w:val="8"/>
        </w:rPr>
        <w:t> </w:t>
      </w:r>
      <w:r>
        <w:rPr/>
        <w:t>from</w:t>
      </w:r>
      <w:r>
        <w:rPr>
          <w:spacing w:val="8"/>
        </w:rPr>
        <w:t> </w:t>
      </w:r>
      <w:r>
        <w:rPr/>
        <w:t>the</w:t>
      </w:r>
      <w:r>
        <w:rPr>
          <w:spacing w:val="8"/>
        </w:rPr>
        <w:t> </w:t>
      </w:r>
      <w:r>
        <w:rPr>
          <w:spacing w:val="-2"/>
        </w:rPr>
        <w:t>ordinary-</w:t>
      </w:r>
    </w:p>
    <w:p>
      <w:pPr>
        <w:pStyle w:val="BodyText"/>
        <w:spacing w:line="396" w:lineRule="auto"/>
        <w:ind w:left="274" w:right="522" w:firstLine="7"/>
        <w:jc w:val="both"/>
      </w:pPr>
      <w:r>
        <w:rPr>
          <w:i/>
        </w:rPr>
        <w:t>방정식 (3.10)은 청산을 포함하여 모든 마이너스 손익 마감에 대한 절대 손실 크기를 합산합니다(부호 반전 후 높을수록 좋습니다). 식 (3.11)은 일반(비청산) 손실이 아닌 청산 비율입니다. 따라서 청산은 non_loss_close_rate를 높이고 일반 손실로 처리되지 않습니다. 방정식 (3.12)은 최악의 종가가 덜 심각한(부호 뒤집기 이후에도) 지갑을 보상합니다. 청산 마감은 최악 마감 최소 금액에 포함되지만 일반 청산 마감 금액에서는 제외됩니다.</w:t>
      </w:r>
    </w:p>
    <w:p>
      <w:pPr>
        <w:pStyle w:val="BodyText"/>
        <w:spacing w:after="0" w:line="396" w:lineRule="auto"/>
        <w:jc w:val="both"/>
        <w:sectPr>
          <w:type w:val="continuous"/>
          <w:pgSz w:w="11910" w:h="16840"/>
          <w:pgMar w:header="0" w:footer="2115" w:top="1920" w:bottom="280" w:left="992" w:right="708"/>
        </w:sectPr>
      </w:pPr>
    </w:p>
    <w:p>
      <w:pPr>
        <w:pStyle w:val="BodyText"/>
        <w:spacing w:line="396" w:lineRule="auto" w:before="72"/>
        <w:ind w:left="282" w:right="522"/>
        <w:jc w:val="both"/>
      </w:pPr>
      <w:r>
        <w:rPr/>
        <w:t>loss</w:t>
      </w:r>
      <w:r>
        <w:rPr>
          <w:spacing w:val="-10"/>
        </w:rPr>
        <w:t> </w:t>
      </w:r>
      <w:r>
        <w:rPr/>
        <w:t>count</w:t>
      </w:r>
      <w:r>
        <w:rPr>
          <w:spacing w:val="-10"/>
        </w:rPr>
        <w:t> </w:t>
      </w:r>
      <w:r>
        <w:rPr/>
        <w:t>in</w:t>
      </w:r>
      <w:r>
        <w:rPr>
          <w:spacing w:val="-10"/>
        </w:rPr>
        <w:t> </w:t>
      </w:r>
      <w:r>
        <w:rPr/>
        <w:t>Equation</w:t>
      </w:r>
      <w:r>
        <w:rPr>
          <w:spacing w:val="-10"/>
        </w:rPr>
        <w:t> </w:t>
      </w:r>
      <w:r>
        <w:rPr/>
        <w:t>(</w:t>
      </w:r>
      <w:hyperlink w:history="true" w:anchor="_bookmark68">
        <w:r>
          <w:rPr/>
          <w:t>3.11</w:t>
        </w:r>
      </w:hyperlink>
      <w:r>
        <w:rPr/>
        <w:t>),</w:t>
      </w:r>
      <w:r>
        <w:rPr>
          <w:spacing w:val="-9"/>
        </w:rPr>
        <w:t> </w:t>
      </w:r>
      <w:r>
        <w:rPr/>
        <w:t>so</w:t>
      </w:r>
      <w:r>
        <w:rPr>
          <w:spacing w:val="-10"/>
        </w:rPr>
        <w:t> </w:t>
      </w:r>
      <w:r>
        <w:rPr/>
        <w:t>that</w:t>
      </w:r>
      <w:r>
        <w:rPr>
          <w:spacing w:val="-9"/>
        </w:rPr>
        <w:t> </w:t>
      </w:r>
      <w:r>
        <w:rPr/>
        <w:t>forced</w:t>
      </w:r>
      <w:r>
        <w:rPr>
          <w:spacing w:val="-10"/>
        </w:rPr>
        <w:t> </w:t>
      </w:r>
      <w:r>
        <w:rPr/>
        <w:t>liquidations</w:t>
      </w:r>
      <w:r>
        <w:rPr>
          <w:spacing w:val="-10"/>
        </w:rPr>
        <w:t> </w:t>
      </w:r>
      <w:r>
        <w:rPr/>
        <w:t>are</w:t>
      </w:r>
      <w:r>
        <w:rPr>
          <w:spacing w:val="-10"/>
        </w:rPr>
        <w:t> </w:t>
      </w:r>
      <w:r>
        <w:rPr/>
        <w:t>not</w:t>
      </w:r>
      <w:r>
        <w:rPr>
          <w:spacing w:val="-10"/>
        </w:rPr>
        <w:t> </w:t>
      </w:r>
      <w:r>
        <w:rPr/>
        <w:t>double-counted</w:t>
      </w:r>
      <w:r>
        <w:rPr>
          <w:spacing w:val="-10"/>
        </w:rPr>
        <w:t> </w:t>
      </w:r>
      <w:r>
        <w:rPr/>
        <w:t>as</w:t>
      </w:r>
      <w:r>
        <w:rPr>
          <w:spacing w:val="-10"/>
        </w:rPr>
        <w:t> </w:t>
      </w:r>
      <w:r>
        <w:rPr/>
        <w:t>ordinary</w:t>
      </w:r>
      <w:r>
        <w:rPr>
          <w:spacing w:val="-10"/>
        </w:rPr>
        <w:t> </w:t>
      </w:r>
      <w:r>
        <w:rPr/>
        <w:t>losses. Inverse-risk</w:t>
      </w:r>
      <w:r>
        <w:rPr>
          <w:spacing w:val="-8"/>
        </w:rPr>
        <w:t> </w:t>
      </w:r>
      <w:r>
        <w:rPr/>
        <w:t>proxies</w:t>
      </w:r>
      <w:r>
        <w:rPr>
          <w:spacing w:val="-8"/>
        </w:rPr>
        <w:t> </w:t>
      </w:r>
      <w:r>
        <w:rPr/>
        <w:t>are</w:t>
      </w:r>
      <w:r>
        <w:rPr>
          <w:spacing w:val="-8"/>
        </w:rPr>
        <w:t> </w:t>
      </w:r>
      <w:r>
        <w:rPr/>
        <w:t>not</w:t>
      </w:r>
      <w:r>
        <w:rPr>
          <w:spacing w:val="-7"/>
        </w:rPr>
        <w:t> </w:t>
      </w:r>
      <w:r>
        <w:rPr/>
        <w:t>inputs</w:t>
      </w:r>
      <w:r>
        <w:rPr>
          <w:spacing w:val="-7"/>
        </w:rPr>
        <w:t> </w:t>
      </w:r>
      <w:r>
        <w:rPr/>
        <w:t>to</w:t>
      </w:r>
      <w:r>
        <w:rPr>
          <w:spacing w:val="-8"/>
        </w:rPr>
        <w:t> </w:t>
      </w:r>
      <w:r>
        <w:rPr/>
        <w:t>EndorseRank</w:t>
      </w:r>
      <w:r>
        <w:rPr>
          <w:spacing w:val="-8"/>
        </w:rPr>
        <w:t> </w:t>
      </w:r>
      <w:r>
        <w:rPr/>
        <w:t>or</w:t>
      </w:r>
      <w:r>
        <w:rPr>
          <w:spacing w:val="-8"/>
        </w:rPr>
        <w:t> </w:t>
      </w:r>
      <w:r>
        <w:rPr/>
        <w:t>AWP;</w:t>
      </w:r>
      <w:r>
        <w:rPr>
          <w:spacing w:val="-8"/>
        </w:rPr>
        <w:t> </w:t>
      </w:r>
      <w:r>
        <w:rPr/>
        <w:t>alignment</w:t>
      </w:r>
      <w:r>
        <w:rPr>
          <w:spacing w:val="-7"/>
        </w:rPr>
        <w:t> </w:t>
      </w:r>
      <w:r>
        <w:rPr/>
        <w:t>here</w:t>
      </w:r>
      <w:r>
        <w:rPr>
          <w:spacing w:val="-8"/>
        </w:rPr>
        <w:t> </w:t>
      </w:r>
      <w:r>
        <w:rPr/>
        <w:t>is</w:t>
      </w:r>
      <w:r>
        <w:rPr>
          <w:spacing w:val="-8"/>
        </w:rPr>
        <w:t> </w:t>
      </w:r>
      <w:r>
        <w:rPr/>
        <w:t>evidence</w:t>
      </w:r>
      <w:r>
        <w:rPr>
          <w:spacing w:val="-8"/>
        </w:rPr>
        <w:t> </w:t>
      </w:r>
      <w:r>
        <w:rPr/>
        <w:t>that</w:t>
      </w:r>
      <w:r>
        <w:rPr>
          <w:spacing w:val="-7"/>
        </w:rPr>
        <w:t> </w:t>
      </w:r>
      <w:r>
        <w:rPr/>
        <w:t>social </w:t>
      </w:r>
      <w:bookmarkStart w:name="Sybil-adjusted stability family" w:id="125"/>
      <w:bookmarkEnd w:id="125"/>
      <w:r>
        <w:rPr/>
        <w:t>structure</w:t>
      </w:r>
      <w:r>
        <w:rPr/>
        <w:t> co-varies with risk-avoiding trading behavior.</w:t>
      </w:r>
    </w:p>
    <w:p>
      <w:pPr>
        <w:pStyle w:val="BodyText"/>
        <w:spacing w:line="396" w:lineRule="auto" w:before="72"/>
        <w:ind w:left="282" w:right="522"/>
        <w:jc w:val="both"/>
      </w:pPr>
      <w:r>
        <w:rPr>
          <w:i/>
        </w:rPr>
        <w:t>강제 청산은 일반 손실로 이중 계산되지 않도록 식 (3.11)에서 손실을 계산합니다. 역위험 프록시는 EndorseRank 또는 AWP에 대한 입력이 아닙니다. 여기서 정렬은 사회 구조가 위험 회피 거래 행동과 함께 변화한다는 증거입니다.</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spacing w:val="-2"/>
        </w:rPr>
        <w:t>Sybil-adjusted</w:t>
      </w:r>
      <w:r>
        <w:rPr>
          <w:spacing w:val="3"/>
        </w:rPr>
        <w:t> </w:t>
      </w:r>
      <w:r>
        <w:rPr>
          <w:spacing w:val="-2"/>
        </w:rPr>
        <w:t>stability</w:t>
      </w:r>
      <w:r>
        <w:rPr>
          <w:spacing w:val="4"/>
        </w:rPr>
        <w:t> </w:t>
      </w:r>
      <w:r>
        <w:rPr>
          <w:spacing w:val="-2"/>
        </w:rPr>
        <w:t>family</w:t>
      </w:r>
    </w:p>
    <w:p>
      <w:pPr>
        <w:pStyle w:val="Heading4"/>
        <w:numPr>
          <w:ilvl w:val="2"/>
          <w:numId w:val="8"/>
        </w:numPr>
        <w:tabs>
          <w:tab w:pos="879" w:val="left" w:leader="none"/>
        </w:tabs>
        <w:spacing w:line="240" w:lineRule="auto" w:before="1" w:after="0"/>
        <w:ind w:left="879" w:right="0" w:hanging="597"/>
        <w:jc w:val="left"/>
      </w:pPr>
      <w:r>
        <w:rPr>
          <w:i/>
        </w:rPr>
        <w:t>Sybil-조정된 안정성 계열</w:t>
      </w:r>
    </w:p>
    <w:p>
      <w:pPr>
        <w:pStyle w:val="BodyText"/>
        <w:spacing w:before="42"/>
        <w:rPr>
          <w:b/>
        </w:rPr>
      </w:pPr>
    </w:p>
    <w:p>
      <w:pPr>
        <w:pStyle w:val="BodyText"/>
        <w:spacing w:line="374" w:lineRule="auto"/>
        <w:ind w:left="282" w:right="522"/>
        <w:jc w:val="both"/>
      </w:pPr>
      <w:r>
        <w:rPr/>
        <w:t>Self-transfers (</w:t>
      </w:r>
      <w:r>
        <w:rPr>
          <w:rFonts w:ascii="Calibri"/>
          <w:i/>
        </w:rPr>
        <w:t>u </w:t>
      </w:r>
      <w:r>
        <w:rPr>
          <w:rFonts w:ascii="Calibri"/>
          <w:w w:val="125"/>
        </w:rPr>
        <w:t>= </w:t>
      </w:r>
      <w:r>
        <w:rPr>
          <w:rFonts w:ascii="Calibri"/>
          <w:i/>
        </w:rPr>
        <w:t>w</w:t>
      </w:r>
      <w:r>
        <w:rPr/>
        <w:t>) are excluded from inbound counters. Let </w:t>
      </w:r>
      <w:r>
        <w:rPr>
          <w:rFonts w:ascii="Calibri"/>
          <w:i/>
        </w:rPr>
        <w:t>N</w:t>
      </w:r>
      <w:r>
        <w:rPr>
          <w:vertAlign w:val="subscript"/>
        </w:rPr>
        <w:t>tx</w:t>
      </w:r>
      <w:r>
        <w:rPr>
          <w:rFonts w:ascii="Calibri"/>
          <w:vertAlign w:val="baseline"/>
        </w:rPr>
        <w:t>(</w:t>
      </w:r>
      <w:r>
        <w:rPr>
          <w:rFonts w:ascii="Calibri"/>
          <w:i/>
          <w:vertAlign w:val="baseline"/>
        </w:rPr>
        <w:t>w</w:t>
      </w:r>
      <w:r>
        <w:rPr>
          <w:rFonts w:ascii="Calibri"/>
          <w:vertAlign w:val="baseline"/>
        </w:rPr>
        <w:t>) </w:t>
      </w:r>
      <w:r>
        <w:rPr>
          <w:vertAlign w:val="baseline"/>
        </w:rPr>
        <w:t>be the number of inbound transfers to </w:t>
      </w:r>
      <w:r>
        <w:rPr>
          <w:rFonts w:ascii="Calibri"/>
          <w:i/>
          <w:vertAlign w:val="baseline"/>
        </w:rPr>
        <w:t>w</w:t>
      </w:r>
      <w:r>
        <w:rPr>
          <w:rFonts w:ascii="Calibri"/>
          <w:i/>
          <w:spacing w:val="33"/>
          <w:vertAlign w:val="baseline"/>
        </w:rPr>
        <w:t> </w:t>
      </w:r>
      <w:r>
        <w:rPr>
          <w:vertAlign w:val="baseline"/>
        </w:rPr>
        <w:t>from other addresses and </w:t>
      </w:r>
      <w:r>
        <w:rPr>
          <w:rFonts w:ascii="Calibri"/>
          <w:i/>
          <w:vertAlign w:val="baseline"/>
        </w:rPr>
        <w:t>N</w:t>
      </w:r>
      <w:r>
        <w:rPr>
          <w:vertAlign w:val="subscript"/>
        </w:rPr>
        <w:t>uniq</w:t>
      </w:r>
      <w:r>
        <w:rPr>
          <w:rFonts w:ascii="Calibri"/>
          <w:vertAlign w:val="baseline"/>
        </w:rPr>
        <w:t>(</w:t>
      </w:r>
      <w:r>
        <w:rPr>
          <w:rFonts w:ascii="Calibri"/>
          <w:i/>
          <w:vertAlign w:val="baseline"/>
        </w:rPr>
        <w:t>w</w:t>
      </w:r>
      <w:r>
        <w:rPr>
          <w:rFonts w:ascii="Calibri"/>
          <w:vertAlign w:val="baseline"/>
        </w:rPr>
        <w:t>) </w:t>
      </w:r>
      <w:r>
        <w:rPr>
          <w:vertAlign w:val="baseline"/>
        </w:rPr>
        <w:t>the number of distinct inbound counterparties. Let </w:t>
      </w:r>
      <w:r>
        <w:rPr>
          <w:rFonts w:ascii="Calibri"/>
          <w:i/>
          <w:vertAlign w:val="baseline"/>
        </w:rPr>
        <w:t>t</w:t>
      </w:r>
      <w:r>
        <w:rPr>
          <w:vertAlign w:val="subscript"/>
        </w:rPr>
        <w:t>min</w:t>
      </w:r>
      <w:r>
        <w:rPr>
          <w:rFonts w:ascii="Calibri"/>
          <w:vertAlign w:val="baseline"/>
        </w:rPr>
        <w:t>(</w:t>
      </w:r>
      <w:r>
        <w:rPr>
          <w:rFonts w:ascii="Calibri"/>
          <w:i/>
          <w:vertAlign w:val="baseline"/>
        </w:rPr>
        <w:t>w</w:t>
      </w:r>
      <w:r>
        <w:rPr>
          <w:rFonts w:ascii="Calibri"/>
          <w:vertAlign w:val="baseline"/>
        </w:rPr>
        <w:t>) </w:t>
      </w:r>
      <w:r>
        <w:rPr>
          <w:vertAlign w:val="baseline"/>
        </w:rPr>
        <w:t>and </w:t>
      </w:r>
      <w:r>
        <w:rPr>
          <w:rFonts w:ascii="Calibri"/>
          <w:i/>
          <w:vertAlign w:val="baseline"/>
        </w:rPr>
        <w:t>t</w:t>
      </w:r>
      <w:r>
        <w:rPr>
          <w:vertAlign w:val="subscript"/>
        </w:rPr>
        <w:t>max</w:t>
      </w:r>
      <w:r>
        <w:rPr>
          <w:rFonts w:ascii="Calibri"/>
          <w:vertAlign w:val="baseline"/>
        </w:rPr>
        <w:t>(</w:t>
      </w:r>
      <w:r>
        <w:rPr>
          <w:rFonts w:ascii="Calibri"/>
          <w:i/>
          <w:vertAlign w:val="baseline"/>
        </w:rPr>
        <w:t>w</w:t>
      </w:r>
      <w:r>
        <w:rPr>
          <w:rFonts w:ascii="Calibri"/>
          <w:vertAlign w:val="baseline"/>
        </w:rPr>
        <w:t>) </w:t>
      </w:r>
      <w:r>
        <w:rPr>
          <w:vertAlign w:val="baseline"/>
        </w:rPr>
        <w:t>be the first and last timestamps at which </w:t>
      </w:r>
      <w:r>
        <w:rPr>
          <w:rFonts w:ascii="Calibri"/>
          <w:i/>
          <w:vertAlign w:val="baseline"/>
        </w:rPr>
        <w:t>w</w:t>
      </w:r>
      <w:r>
        <w:rPr>
          <w:rFonts w:ascii="Calibri"/>
          <w:i/>
          <w:spacing w:val="20"/>
          <w:vertAlign w:val="baseline"/>
        </w:rPr>
        <w:t> </w:t>
      </w:r>
      <w:r>
        <w:rPr>
          <w:vertAlign w:val="baseline"/>
        </w:rPr>
        <w:t>appears as sender or recipient in</w:t>
      </w:r>
      <w:r>
        <w:rPr>
          <w:spacing w:val="-12"/>
          <w:vertAlign w:val="baseline"/>
        </w:rPr>
        <w:t> </w:t>
      </w:r>
      <w:r>
        <w:rPr>
          <w:vertAlign w:val="baseline"/>
        </w:rPr>
        <w:t>the transfer table, and let </w:t>
      </w:r>
      <w:r>
        <w:rPr>
          <w:rFonts w:ascii="Calibri"/>
          <w:i/>
          <w:vertAlign w:val="baseline"/>
        </w:rPr>
        <w:t>M</w:t>
      </w:r>
      <w:r>
        <w:rPr>
          <w:rFonts w:ascii="Calibri"/>
          <w:i/>
          <w:spacing w:val="-14"/>
          <w:vertAlign w:val="baseline"/>
        </w:rPr>
        <w:t> </w:t>
      </w:r>
      <w:r>
        <w:rPr>
          <w:rFonts w:ascii="Calibri"/>
          <w:vertAlign w:val="baseline"/>
        </w:rPr>
        <w:t>(</w:t>
      </w:r>
      <w:r>
        <w:rPr>
          <w:rFonts w:ascii="Calibri"/>
          <w:i/>
          <w:vertAlign w:val="baseline"/>
        </w:rPr>
        <w:t>w</w:t>
      </w:r>
      <w:r>
        <w:rPr>
          <w:rFonts w:ascii="Calibri"/>
          <w:vertAlign w:val="baseline"/>
        </w:rPr>
        <w:t>) </w:t>
      </w:r>
      <w:r>
        <w:rPr>
          <w:vertAlign w:val="baseline"/>
        </w:rPr>
        <w:t>be the number of distinct calendar months of activity (inbound months and full-span months, taking the maximum). Define</w:t>
      </w:r>
    </w:p>
    <w:p>
      <w:pPr>
        <w:pStyle w:val="BodyText"/>
        <w:spacing w:line="374" w:lineRule="auto"/>
        <w:ind w:left="282" w:right="522"/>
        <w:jc w:val="both"/>
      </w:pPr>
      <w:r>
        <w:rPr>
          <w:i/>
        </w:rPr>
        <w:t>자가 환승(u = w)은 인바운드 카운터에서 제외됩니다. Ntx(w)는 다른 주소에서 w로의 인바운드 전송 수이고 Nuniq(w)는 고유한 인바운드 상대방 수입니다. tmin(w) 및 tmax(w)는 w가 전송 테이블에서 보낸 사람 또는 받는 사람으로 표시되는 첫 번째 및 마지막 타임스탬프이고, M(w)는 고유한 활동 월(인바운드 월 및 전체 범위 월, 최대값을 취함) 수입니다. 정의하다</w:t>
      </w:r>
    </w:p>
    <w:p>
      <w:pPr>
        <w:pStyle w:val="BodyText"/>
        <w:spacing w:before="3"/>
        <w:rPr>
          <w:sz w:val="16"/>
        </w:rPr>
      </w:pPr>
    </w:p>
    <w:p>
      <w:pPr>
        <w:pStyle w:val="BodyText"/>
        <w:spacing w:after="0"/>
        <w:rPr>
          <w:sz w:val="16"/>
        </w:rPr>
        <w:sectPr>
          <w:pgSz w:w="11910" w:h="16840"/>
          <w:pgMar w:header="0" w:footer="2115" w:top="1840" w:bottom="2300" w:left="992" w:right="708"/>
        </w:sectPr>
      </w:pPr>
    </w:p>
    <w:p>
      <w:pPr>
        <w:pStyle w:val="BodyText"/>
        <w:tabs>
          <w:tab w:pos="5119" w:val="left" w:leader="none"/>
        </w:tabs>
        <w:spacing w:line="388" w:lineRule="exact" w:before="54"/>
        <w:ind w:left="1427"/>
        <w:rPr>
          <w:rFonts w:ascii="Calibri"/>
          <w:position w:val="16"/>
        </w:rPr>
      </w:pPr>
      <w:r>
        <w:rPr>
          <w:rFonts w:ascii="Calibri"/>
          <w:position w:val="16"/>
        </w:rPr>
        <mc:AlternateContent>
          <mc:Choice Requires="wps">
            <w:drawing>
              <wp:anchor distT="0" distB="0" distL="0" distR="0" allowOverlap="1" layoutInCell="1" locked="0" behindDoc="1" simplePos="0" relativeHeight="484023808">
                <wp:simplePos x="0" y="0"/>
                <wp:positionH relativeFrom="page">
                  <wp:posOffset>3672179</wp:posOffset>
                </wp:positionH>
                <wp:positionV relativeFrom="paragraph">
                  <wp:posOffset>243416</wp:posOffset>
                </wp:positionV>
                <wp:extent cx="94869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948690" cy="1270"/>
                        </a:xfrm>
                        <a:custGeom>
                          <a:avLst/>
                          <a:gdLst/>
                          <a:ahLst/>
                          <a:cxnLst/>
                          <a:rect l="l" t="t" r="r" b="b"/>
                          <a:pathLst>
                            <a:path w="948690" h="0">
                              <a:moveTo>
                                <a:pt x="0" y="0"/>
                              </a:moveTo>
                              <a:lnTo>
                                <a:pt x="948067"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2672" from="289.14801pt,19.166676pt" to="363.79901pt,19.166676pt" stroked="true" strokeweight=".4782pt" strokecolor="#000000">
                <v:stroke dashstyle="solid"/>
                <w10:wrap type="none"/>
              </v:line>
            </w:pict>
          </mc:Fallback>
        </mc:AlternateContent>
      </w:r>
      <w:r>
        <w:rPr/>
        <w:t>inbound_counterparty_ratio</w:t>
      </w:r>
      <w:r>
        <w:rPr>
          <w:rFonts w:ascii="Calibri"/>
        </w:rPr>
        <w:t>(</w:t>
      </w:r>
      <w:r>
        <w:rPr>
          <w:rFonts w:ascii="Calibri"/>
          <w:i/>
        </w:rPr>
        <w:t>w</w:t>
      </w:r>
      <w:r>
        <w:rPr>
          <w:rFonts w:ascii="Calibri"/>
        </w:rPr>
        <w:t>)</w:t>
      </w:r>
      <w:r>
        <w:rPr>
          <w:rFonts w:ascii="Calibri"/>
          <w:spacing w:val="8"/>
          <w:w w:val="120"/>
        </w:rPr>
        <w:t> </w:t>
      </w:r>
      <w:r>
        <w:rPr>
          <w:rFonts w:ascii="Calibri"/>
          <w:spacing w:val="-10"/>
          <w:w w:val="120"/>
        </w:rPr>
        <w:t>=</w:t>
      </w:r>
      <w:r>
        <w:rPr>
          <w:rFonts w:ascii="Calibri"/>
        </w:rPr>
        <w:tab/>
      </w:r>
      <w:r>
        <w:rPr>
          <w:rFonts w:ascii="Calibri"/>
          <w:i/>
          <w:spacing w:val="-2"/>
          <w:w w:val="115"/>
          <w:position w:val="16"/>
        </w:rPr>
        <w:t>N</w:t>
      </w:r>
      <w:r>
        <w:rPr>
          <w:spacing w:val="-2"/>
          <w:w w:val="115"/>
          <w:position w:val="13"/>
          <w:sz w:val="16"/>
        </w:rPr>
        <w:t>uniq</w:t>
      </w:r>
      <w:r>
        <w:rPr>
          <w:rFonts w:ascii="Calibri"/>
          <w:spacing w:val="-2"/>
          <w:w w:val="115"/>
          <w:position w:val="16"/>
        </w:rPr>
        <w:t>(</w:t>
      </w:r>
      <w:r>
        <w:rPr>
          <w:rFonts w:ascii="Calibri"/>
          <w:i/>
          <w:spacing w:val="-2"/>
          <w:w w:val="115"/>
          <w:position w:val="16"/>
        </w:rPr>
        <w:t>w</w:t>
      </w:r>
      <w:r>
        <w:rPr>
          <w:rFonts w:ascii="Calibri"/>
          <w:spacing w:val="-2"/>
          <w:w w:val="115"/>
          <w:position w:val="16"/>
        </w:rPr>
        <w:t>)</w:t>
      </w:r>
    </w:p>
    <w:p>
      <w:pPr>
        <w:pStyle w:val="BodyText"/>
        <w:tabs>
          <w:tab w:pos="5119" w:val="left" w:leader="none"/>
        </w:tabs>
        <w:spacing w:line="388" w:lineRule="exact" w:before="54"/>
        <w:ind w:left="1427"/>
        <w:rPr>
          <w:rFonts w:ascii="Calibri"/>
          <w:position w:val="16"/>
        </w:rPr>
      </w:pPr>
      <w:r>
        <w:rPr>
          <w:i/>
        </w:rPr>
        <w:t>inbound_counterparty_ratio(w) =</w:t>
        <w:tab/>
        <w:t>누니크(w)</w:t>
      </w:r>
    </w:p>
    <w:p>
      <w:pPr>
        <w:spacing w:line="228" w:lineRule="exact" w:before="0"/>
        <w:ind w:left="0" w:right="0" w:firstLine="0"/>
        <w:jc w:val="right"/>
        <w:rPr>
          <w:rFonts w:ascii="Calibri"/>
          <w:sz w:val="24"/>
        </w:rPr>
      </w:pPr>
      <w:r>
        <w:rPr>
          <w:w w:val="105"/>
          <w:sz w:val="24"/>
        </w:rPr>
        <w:t>max</w:t>
      </w:r>
      <w:r>
        <w:rPr>
          <w:rFonts w:ascii="Calibri"/>
          <w:w w:val="105"/>
          <w:sz w:val="24"/>
        </w:rPr>
        <w:t>(</w:t>
      </w:r>
      <w:r>
        <w:rPr>
          <w:rFonts w:ascii="Calibri"/>
          <w:i/>
          <w:w w:val="105"/>
          <w:sz w:val="24"/>
        </w:rPr>
        <w:t>N</w:t>
      </w:r>
      <w:r>
        <w:rPr>
          <w:w w:val="105"/>
          <w:sz w:val="24"/>
          <w:vertAlign w:val="subscript"/>
        </w:rPr>
        <w:t>tx</w:t>
      </w:r>
      <w:r>
        <w:rPr>
          <w:rFonts w:ascii="Calibri"/>
          <w:w w:val="105"/>
          <w:sz w:val="24"/>
          <w:vertAlign w:val="baseline"/>
        </w:rPr>
        <w:t>(</w:t>
      </w:r>
      <w:r>
        <w:rPr>
          <w:rFonts w:ascii="Calibri"/>
          <w:i/>
          <w:w w:val="105"/>
          <w:sz w:val="24"/>
          <w:vertAlign w:val="baseline"/>
        </w:rPr>
        <w:t>w</w:t>
      </w:r>
      <w:r>
        <w:rPr>
          <w:rFonts w:ascii="Calibri"/>
          <w:w w:val="105"/>
          <w:sz w:val="24"/>
          <w:vertAlign w:val="baseline"/>
        </w:rPr>
        <w:t>)</w:t>
      </w:r>
      <w:r>
        <w:rPr>
          <w:rFonts w:ascii="Calibri"/>
          <w:i/>
          <w:w w:val="105"/>
          <w:sz w:val="24"/>
          <w:vertAlign w:val="baseline"/>
        </w:rPr>
        <w:t>,</w:t>
      </w:r>
      <w:r>
        <w:rPr>
          <w:rFonts w:ascii="Calibri"/>
          <w:i/>
          <w:spacing w:val="19"/>
          <w:w w:val="105"/>
          <w:sz w:val="24"/>
          <w:vertAlign w:val="baseline"/>
        </w:rPr>
        <w:t> </w:t>
      </w:r>
      <w:r>
        <w:rPr>
          <w:rFonts w:ascii="Calibri"/>
          <w:spacing w:val="-5"/>
          <w:w w:val="105"/>
          <w:sz w:val="24"/>
          <w:vertAlign w:val="baseline"/>
        </w:rPr>
        <w:t>1)</w:t>
      </w:r>
    </w:p>
    <w:p>
      <w:pPr>
        <w:spacing w:line="228" w:lineRule="exact" w:before="0"/>
        <w:ind w:left="0" w:right="0" w:firstLine="0"/>
        <w:jc w:val="right"/>
        <w:rPr>
          <w:rFonts w:ascii="Calibri"/>
          <w:sz w:val="24"/>
        </w:rPr>
      </w:pPr>
      <w:r>
        <w:rPr>
          <w:i/>
        </w:rPr>
        <w:t>최대(Ntx(w), 1)</w:t>
      </w:r>
    </w:p>
    <w:p>
      <w:pPr>
        <w:tabs>
          <w:tab w:pos="2769" w:val="left" w:leader="none"/>
        </w:tabs>
        <w:spacing w:before="214"/>
        <w:ind w:left="0" w:right="0" w:firstLine="0"/>
        <w:jc w:val="left"/>
        <w:rPr>
          <w:sz w:val="24"/>
        </w:rPr>
      </w:pPr>
      <w:r>
        <w:rPr/>
        <w:br w:type="column"/>
      </w:r>
      <w:r>
        <w:rPr>
          <w:rFonts w:ascii="Calibri"/>
          <w:i/>
          <w:spacing w:val="-10"/>
          <w:sz w:val="24"/>
        </w:rPr>
        <w:t>,</w:t>
      </w:r>
      <w:r>
        <w:rPr>
          <w:rFonts w:ascii="Calibri"/>
          <w:i/>
          <w:sz w:val="24"/>
        </w:rPr>
        <w:tab/>
      </w:r>
      <w:r>
        <w:rPr>
          <w:spacing w:val="-2"/>
          <w:sz w:val="24"/>
        </w:rPr>
        <w:t>(3.13)</w:t>
      </w:r>
    </w:p>
    <w:p>
      <w:pPr>
        <w:spacing w:after="0"/>
        <w:jc w:val="left"/>
        <w:rPr>
          <w:sz w:val="24"/>
        </w:rPr>
        <w:sectPr>
          <w:type w:val="continuous"/>
          <w:pgSz w:w="11910" w:h="16840"/>
          <w:pgMar w:header="0" w:footer="2115" w:top="1920" w:bottom="280" w:left="992" w:right="708"/>
          <w:cols w:num="2" w:equalWidth="0">
            <w:col w:w="6284" w:space="24"/>
            <w:col w:w="3902"/>
          </w:cols>
        </w:sectPr>
      </w:pPr>
    </w:p>
    <w:p>
      <w:pPr>
        <w:spacing w:line="417" w:lineRule="exact" w:before="0"/>
        <w:ind w:left="2091" w:right="0" w:firstLine="0"/>
        <w:jc w:val="left"/>
        <w:rPr>
          <w:rFonts w:ascii="Calibri" w:hAnsi="Calibri"/>
          <w:position w:val="16"/>
          <w:sz w:val="24"/>
        </w:rPr>
      </w:pPr>
      <w:r>
        <w:rPr>
          <w:sz w:val="24"/>
        </w:rPr>
        <w:t>transfer_tenure_days</w:t>
      </w:r>
      <w:r>
        <w:rPr>
          <w:rFonts w:ascii="Calibri" w:hAnsi="Calibri"/>
          <w:sz w:val="24"/>
        </w:rPr>
        <w:t>(</w:t>
      </w:r>
      <w:r>
        <w:rPr>
          <w:rFonts w:ascii="Calibri" w:hAnsi="Calibri"/>
          <w:i/>
          <w:sz w:val="24"/>
        </w:rPr>
        <w:t>w</w:t>
      </w:r>
      <w:r>
        <w:rPr>
          <w:rFonts w:ascii="Calibri" w:hAnsi="Calibri"/>
          <w:sz w:val="24"/>
        </w:rPr>
        <w:t>)</w:t>
      </w:r>
      <w:r>
        <w:rPr>
          <w:rFonts w:ascii="Calibri" w:hAnsi="Calibri"/>
          <w:spacing w:val="23"/>
          <w:sz w:val="24"/>
        </w:rPr>
        <w:t> </w:t>
      </w:r>
      <w:r>
        <w:rPr>
          <w:rFonts w:ascii="Calibri" w:hAnsi="Calibri"/>
          <w:sz w:val="24"/>
        </w:rPr>
        <w:t>=</w:t>
      </w:r>
      <w:r>
        <w:rPr>
          <w:rFonts w:ascii="Calibri" w:hAnsi="Calibri"/>
          <w:spacing w:val="53"/>
          <w:sz w:val="24"/>
        </w:rPr>
        <w:t> </w:t>
      </w:r>
      <w:r>
        <w:rPr>
          <w:rFonts w:ascii="Calibri" w:hAnsi="Calibri"/>
          <w:i/>
          <w:position w:val="16"/>
          <w:sz w:val="24"/>
          <w:u w:val="single"/>
        </w:rPr>
        <w:t>t</w:t>
      </w:r>
      <w:r>
        <w:rPr>
          <w:position w:val="13"/>
          <w:sz w:val="16"/>
          <w:u w:val="single"/>
        </w:rPr>
        <w:t>max</w:t>
      </w:r>
      <w:r>
        <w:rPr>
          <w:rFonts w:ascii="Calibri" w:hAnsi="Calibri"/>
          <w:position w:val="16"/>
          <w:sz w:val="24"/>
          <w:u w:val="single"/>
        </w:rPr>
        <w:t>(</w:t>
      </w:r>
      <w:r>
        <w:rPr>
          <w:rFonts w:ascii="Calibri" w:hAnsi="Calibri"/>
          <w:i/>
          <w:position w:val="16"/>
          <w:sz w:val="24"/>
          <w:u w:val="single"/>
        </w:rPr>
        <w:t>w</w:t>
      </w:r>
      <w:r>
        <w:rPr>
          <w:rFonts w:ascii="Calibri" w:hAnsi="Calibri"/>
          <w:position w:val="16"/>
          <w:sz w:val="24"/>
          <w:u w:val="single"/>
        </w:rPr>
        <w:t>)</w:t>
      </w:r>
      <w:r>
        <w:rPr>
          <w:rFonts w:ascii="Calibri" w:hAnsi="Calibri"/>
          <w:spacing w:val="8"/>
          <w:position w:val="16"/>
          <w:sz w:val="24"/>
          <w:u w:val="single"/>
        </w:rPr>
        <w:t> </w:t>
      </w:r>
      <w:r>
        <w:rPr>
          <w:rFonts w:ascii="Lucida Sans Unicode" w:hAnsi="Lucida Sans Unicode"/>
          <w:position w:val="16"/>
          <w:sz w:val="24"/>
          <w:u w:val="single"/>
        </w:rPr>
        <w:t>—</w:t>
      </w:r>
      <w:r>
        <w:rPr>
          <w:rFonts w:ascii="Lucida Sans Unicode" w:hAnsi="Lucida Sans Unicode"/>
          <w:spacing w:val="-13"/>
          <w:position w:val="16"/>
          <w:sz w:val="24"/>
          <w:u w:val="single"/>
        </w:rPr>
        <w:t> </w:t>
      </w:r>
      <w:r>
        <w:rPr>
          <w:rFonts w:ascii="Calibri" w:hAnsi="Calibri"/>
          <w:i/>
          <w:spacing w:val="-2"/>
          <w:position w:val="16"/>
          <w:sz w:val="24"/>
          <w:u w:val="single"/>
        </w:rPr>
        <w:t>t</w:t>
      </w:r>
      <w:r>
        <w:rPr>
          <w:spacing w:val="-2"/>
          <w:position w:val="13"/>
          <w:sz w:val="16"/>
          <w:u w:val="single"/>
        </w:rPr>
        <w:t>min</w:t>
      </w:r>
      <w:r>
        <w:rPr>
          <w:rFonts w:ascii="Calibri" w:hAnsi="Calibri"/>
          <w:spacing w:val="-2"/>
          <w:position w:val="16"/>
          <w:sz w:val="24"/>
          <w:u w:val="single"/>
        </w:rPr>
        <w:t>(</w:t>
      </w:r>
      <w:r>
        <w:rPr>
          <w:rFonts w:ascii="Calibri" w:hAnsi="Calibri"/>
          <w:i/>
          <w:spacing w:val="-2"/>
          <w:position w:val="16"/>
          <w:sz w:val="24"/>
          <w:u w:val="single"/>
        </w:rPr>
        <w:t>w</w:t>
      </w:r>
      <w:r>
        <w:rPr>
          <w:rFonts w:ascii="Calibri" w:hAnsi="Calibri"/>
          <w:spacing w:val="-2"/>
          <w:position w:val="16"/>
          <w:sz w:val="24"/>
          <w:u w:val="single"/>
        </w:rPr>
        <w:t>)</w:t>
      </w:r>
    </w:p>
    <w:p>
      <w:pPr>
        <w:pStyle w:val="BodyText"/>
        <w:spacing w:line="228" w:lineRule="exact"/>
        <w:ind w:right="563"/>
        <w:jc w:val="right"/>
        <w:rPr>
          <w:rFonts w:ascii="Calibri"/>
        </w:rPr>
      </w:pPr>
      <w:r>
        <w:rPr>
          <w:rFonts w:ascii="Calibri"/>
          <w:spacing w:val="-2"/>
        </w:rPr>
        <w:t>86400</w:t>
      </w:r>
    </w:p>
    <w:p>
      <w:pPr>
        <w:pStyle w:val="BodyText"/>
        <w:tabs>
          <w:tab w:pos="2531" w:val="left" w:leader="none"/>
        </w:tabs>
        <w:spacing w:before="188"/>
        <w:ind w:left="223"/>
      </w:pPr>
      <w:r>
        <w:rPr/>
        <w:br w:type="column"/>
      </w:r>
      <w:r>
        <w:rPr/>
        <w:t>(seconds</w:t>
      </w:r>
      <w:r>
        <w:rPr>
          <w:spacing w:val="-10"/>
        </w:rPr>
        <w:t> </w:t>
      </w:r>
      <w:r>
        <w:rPr/>
        <w:t>to</w:t>
      </w:r>
      <w:r>
        <w:rPr>
          <w:spacing w:val="-10"/>
        </w:rPr>
        <w:t> </w:t>
      </w:r>
      <w:r>
        <w:rPr>
          <w:spacing w:val="-2"/>
        </w:rPr>
        <w:t>days)</w:t>
      </w:r>
      <w:r>
        <w:rPr>
          <w:rFonts w:ascii="Calibri"/>
          <w:i/>
          <w:spacing w:val="-2"/>
        </w:rPr>
        <w:t>,</w:t>
      </w:r>
      <w:r>
        <w:rPr>
          <w:rFonts w:ascii="Calibri"/>
          <w:i/>
        </w:rPr>
        <w:tab/>
      </w:r>
      <w:r>
        <w:rPr>
          <w:spacing w:val="-2"/>
        </w:rPr>
        <w:t>(3.14)</w:t>
      </w:r>
    </w:p>
    <w:p>
      <w:pPr>
        <w:pStyle w:val="BodyText"/>
        <w:tabs>
          <w:tab w:pos="2531" w:val="left" w:leader="none"/>
        </w:tabs>
        <w:spacing w:before="188"/>
        <w:ind w:left="223"/>
      </w:pPr>
      <w:r>
        <w:rPr>
          <w:i/>
        </w:rPr>
        <w:t>(초에서 일),</w:t>
        <w:tab/>
        <w:t>(3.14)</w:t>
      </w:r>
    </w:p>
    <w:p>
      <w:pPr>
        <w:pStyle w:val="BodyText"/>
        <w:spacing w:after="0"/>
        <w:sectPr>
          <w:type w:val="continuous"/>
          <w:pgSz w:w="11910" w:h="16840"/>
          <w:pgMar w:header="0" w:footer="2115" w:top="1920" w:bottom="280" w:left="992" w:right="708"/>
          <w:cols w:num="2" w:equalWidth="0">
            <w:col w:w="6507" w:space="40"/>
            <w:col w:w="3663"/>
          </w:cols>
        </w:sectPr>
      </w:pPr>
    </w:p>
    <w:p>
      <w:pPr>
        <w:pStyle w:val="BodyText"/>
        <w:tabs>
          <w:tab w:pos="9077" w:val="left" w:leader="none"/>
        </w:tabs>
        <w:spacing w:before="106"/>
        <w:ind w:left="2701"/>
      </w:pPr>
      <w:r>
        <w:rPr>
          <w:w w:val="105"/>
        </w:rPr>
        <w:t>active_months</w:t>
      </w:r>
      <w:r>
        <w:rPr>
          <w:rFonts w:ascii="Calibri"/>
          <w:w w:val="105"/>
        </w:rPr>
        <w:t>(</w:t>
      </w:r>
      <w:r>
        <w:rPr>
          <w:rFonts w:ascii="Calibri"/>
          <w:i/>
          <w:w w:val="105"/>
        </w:rPr>
        <w:t>w</w:t>
      </w:r>
      <w:r>
        <w:rPr>
          <w:rFonts w:ascii="Calibri"/>
          <w:w w:val="105"/>
        </w:rPr>
        <w:t>)</w:t>
      </w:r>
      <w:r>
        <w:rPr>
          <w:rFonts w:ascii="Calibri"/>
          <w:spacing w:val="2"/>
          <w:w w:val="105"/>
        </w:rPr>
        <w:t> </w:t>
      </w:r>
      <w:r>
        <w:rPr>
          <w:rFonts w:ascii="Calibri"/>
          <w:w w:val="105"/>
        </w:rPr>
        <w:t>=</w:t>
      </w:r>
      <w:r>
        <w:rPr>
          <w:rFonts w:ascii="Calibri"/>
          <w:spacing w:val="5"/>
          <w:w w:val="105"/>
        </w:rPr>
        <w:t> </w:t>
      </w:r>
      <w:r>
        <w:rPr>
          <w:rFonts w:ascii="Calibri"/>
          <w:i/>
          <w:w w:val="105"/>
        </w:rPr>
        <w:t>M</w:t>
      </w:r>
      <w:r>
        <w:rPr>
          <w:rFonts w:ascii="Calibri"/>
          <w:i/>
          <w:spacing w:val="-32"/>
          <w:w w:val="105"/>
        </w:rPr>
        <w:t> </w:t>
      </w:r>
      <w:r>
        <w:rPr>
          <w:rFonts w:ascii="Calibri"/>
          <w:spacing w:val="-4"/>
          <w:w w:val="105"/>
        </w:rPr>
        <w:t>(</w:t>
      </w:r>
      <w:r>
        <w:rPr>
          <w:rFonts w:ascii="Calibri"/>
          <w:i/>
          <w:spacing w:val="-4"/>
          <w:w w:val="105"/>
        </w:rPr>
        <w:t>w</w:t>
      </w:r>
      <w:r>
        <w:rPr>
          <w:rFonts w:ascii="Calibri"/>
          <w:spacing w:val="-4"/>
          <w:w w:val="105"/>
        </w:rPr>
        <w:t>)</w:t>
      </w:r>
      <w:r>
        <w:rPr>
          <w:rFonts w:ascii="Calibri"/>
          <w:i/>
          <w:spacing w:val="-4"/>
          <w:w w:val="105"/>
        </w:rPr>
        <w:t>.</w:t>
      </w:r>
      <w:r>
        <w:rPr>
          <w:rFonts w:ascii="Calibri"/>
          <w:i/>
        </w:rPr>
        <w:tab/>
      </w:r>
      <w:r>
        <w:rPr>
          <w:spacing w:val="-2"/>
          <w:w w:val="115"/>
        </w:rPr>
        <w:t>(3.15)</w:t>
      </w:r>
    </w:p>
    <w:p>
      <w:pPr>
        <w:pStyle w:val="BodyText"/>
        <w:tabs>
          <w:tab w:pos="9077" w:val="left" w:leader="none"/>
        </w:tabs>
        <w:spacing w:before="106"/>
        <w:ind w:left="2701"/>
      </w:pPr>
      <w:r>
        <w:rPr>
          <w:i/>
        </w:rPr>
        <w:t>active_months(w) = M(w).</w:t>
        <w:tab/>
        <w:t>(3.15)</w:t>
      </w:r>
    </w:p>
    <w:p>
      <w:pPr>
        <w:pStyle w:val="BodyText"/>
        <w:spacing w:before="270"/>
      </w:pPr>
    </w:p>
    <w:p>
      <w:pPr>
        <w:pStyle w:val="BodyText"/>
        <w:spacing w:line="396" w:lineRule="auto"/>
        <w:ind w:left="282" w:right="556"/>
        <w:jc w:val="both"/>
      </w:pPr>
      <w:r>
        <w:rPr/>
        <w:t>High</w:t>
      </w:r>
      <w:r>
        <w:rPr>
          <w:spacing w:val="-11"/>
        </w:rPr>
        <w:t> </w:t>
      </w:r>
      <w:r>
        <w:rPr/>
        <w:t>counterparty</w:t>
      </w:r>
      <w:r>
        <w:rPr>
          <w:spacing w:val="-11"/>
        </w:rPr>
        <w:t> </w:t>
      </w:r>
      <w:r>
        <w:rPr/>
        <w:t>ratio</w:t>
      </w:r>
      <w:r>
        <w:rPr>
          <w:spacing w:val="-11"/>
        </w:rPr>
        <w:t> </w:t>
      </w:r>
      <w:r>
        <w:rPr/>
        <w:t>penalizes</w:t>
      </w:r>
      <w:r>
        <w:rPr>
          <w:spacing w:val="-11"/>
        </w:rPr>
        <w:t> </w:t>
      </w:r>
      <w:r>
        <w:rPr/>
        <w:t>wallets</w:t>
      </w:r>
      <w:r>
        <w:rPr>
          <w:spacing w:val="-11"/>
        </w:rPr>
        <w:t> </w:t>
      </w:r>
      <w:r>
        <w:rPr/>
        <w:t>that</w:t>
      </w:r>
      <w:r>
        <w:rPr>
          <w:spacing w:val="-11"/>
        </w:rPr>
        <w:t> </w:t>
      </w:r>
      <w:r>
        <w:rPr/>
        <w:t>receive</w:t>
      </w:r>
      <w:r>
        <w:rPr>
          <w:spacing w:val="-11"/>
        </w:rPr>
        <w:t> </w:t>
      </w:r>
      <w:r>
        <w:rPr/>
        <w:t>many</w:t>
      </w:r>
      <w:r>
        <w:rPr>
          <w:spacing w:val="-11"/>
        </w:rPr>
        <w:t> </w:t>
      </w:r>
      <w:r>
        <w:rPr/>
        <w:t>transfers</w:t>
      </w:r>
      <w:r>
        <w:rPr>
          <w:spacing w:val="-11"/>
        </w:rPr>
        <w:t> </w:t>
      </w:r>
      <w:r>
        <w:rPr/>
        <w:t>from</w:t>
      </w:r>
      <w:r>
        <w:rPr>
          <w:spacing w:val="-11"/>
        </w:rPr>
        <w:t> </w:t>
      </w:r>
      <w:r>
        <w:rPr/>
        <w:t>few</w:t>
      </w:r>
      <w:r>
        <w:rPr>
          <w:spacing w:val="-11"/>
        </w:rPr>
        <w:t> </w:t>
      </w:r>
      <w:r>
        <w:rPr/>
        <w:t>addresses</w:t>
      </w:r>
      <w:r>
        <w:rPr>
          <w:spacing w:val="-11"/>
        </w:rPr>
        <w:t> </w:t>
      </w:r>
      <w:r>
        <w:rPr/>
        <w:t>(a</w:t>
      </w:r>
      <w:r>
        <w:rPr>
          <w:spacing w:val="-11"/>
        </w:rPr>
        <w:t> </w:t>
      </w:r>
      <w:r>
        <w:rPr/>
        <w:t>simple Sybil/wash</w:t>
      </w:r>
      <w:r>
        <w:rPr>
          <w:spacing w:val="-3"/>
        </w:rPr>
        <w:t> </w:t>
      </w:r>
      <w:r>
        <w:rPr/>
        <w:t>pattern).</w:t>
      </w:r>
      <w:r>
        <w:rPr>
          <w:spacing w:val="22"/>
        </w:rPr>
        <w:t> </w:t>
      </w:r>
      <w:r>
        <w:rPr/>
        <w:t>Tenure</w:t>
      </w:r>
      <w:r>
        <w:rPr>
          <w:spacing w:val="-3"/>
        </w:rPr>
        <w:t> </w:t>
      </w:r>
      <w:r>
        <w:rPr/>
        <w:t>and</w:t>
      </w:r>
      <w:r>
        <w:rPr>
          <w:spacing w:val="-3"/>
        </w:rPr>
        <w:t> </w:t>
      </w:r>
      <w:r>
        <w:rPr/>
        <w:t>active</w:t>
      </w:r>
      <w:r>
        <w:rPr>
          <w:spacing w:val="-3"/>
        </w:rPr>
        <w:t> </w:t>
      </w:r>
      <w:r>
        <w:rPr/>
        <w:t>months</w:t>
      </w:r>
      <w:r>
        <w:rPr>
          <w:spacing w:val="-3"/>
        </w:rPr>
        <w:t> </w:t>
      </w:r>
      <w:r>
        <w:rPr/>
        <w:t>capture</w:t>
      </w:r>
      <w:r>
        <w:rPr>
          <w:spacing w:val="-3"/>
        </w:rPr>
        <w:t> </w:t>
      </w:r>
      <w:r>
        <w:rPr/>
        <w:t>persistence</w:t>
      </w:r>
      <w:r>
        <w:rPr>
          <w:spacing w:val="-3"/>
        </w:rPr>
        <w:t> </w:t>
      </w:r>
      <w:r>
        <w:rPr/>
        <w:t>of</w:t>
      </w:r>
      <w:r>
        <w:rPr>
          <w:spacing w:val="-3"/>
        </w:rPr>
        <w:t> </w:t>
      </w:r>
      <w:r>
        <w:rPr/>
        <w:t>on-chain</w:t>
      </w:r>
      <w:r>
        <w:rPr>
          <w:spacing w:val="-3"/>
        </w:rPr>
        <w:t> </w:t>
      </w:r>
      <w:r>
        <w:rPr/>
        <w:t>activity</w:t>
      </w:r>
      <w:r>
        <w:rPr>
          <w:spacing w:val="-3"/>
        </w:rPr>
        <w:t> </w:t>
      </w:r>
      <w:r>
        <w:rPr/>
        <w:t>within</w:t>
      </w:r>
      <w:r>
        <w:rPr>
          <w:spacing w:val="-3"/>
        </w:rPr>
        <w:t> </w:t>
      </w:r>
      <w:r>
        <w:rPr/>
        <w:t>the observation window.</w:t>
      </w:r>
      <w:r>
        <w:rPr>
          <w:spacing w:val="34"/>
        </w:rPr>
        <w:t> </w:t>
      </w:r>
      <w:r>
        <w:rPr/>
        <w:t>These measures are imperfect Sybil defenses—coordinated adversaries can still</w:t>
      </w:r>
      <w:r>
        <w:rPr>
          <w:spacing w:val="-15"/>
        </w:rPr>
        <w:t> </w:t>
      </w:r>
      <w:r>
        <w:rPr/>
        <w:t>diversify</w:t>
      </w:r>
      <w:r>
        <w:rPr>
          <w:spacing w:val="-15"/>
        </w:rPr>
        <w:t> </w:t>
      </w:r>
      <w:r>
        <w:rPr/>
        <w:t>counterparties—but</w:t>
      </w:r>
      <w:r>
        <w:rPr>
          <w:spacing w:val="-15"/>
        </w:rPr>
        <w:t> </w:t>
      </w:r>
      <w:r>
        <w:rPr/>
        <w:t>they</w:t>
      </w:r>
      <w:r>
        <w:rPr>
          <w:spacing w:val="-15"/>
        </w:rPr>
        <w:t> </w:t>
      </w:r>
      <w:r>
        <w:rPr/>
        <w:t>operationalize</w:t>
      </w:r>
      <w:r>
        <w:rPr>
          <w:spacing w:val="-15"/>
        </w:rPr>
        <w:t> </w:t>
      </w:r>
      <w:r>
        <w:rPr/>
        <w:t>the</w:t>
      </w:r>
      <w:r>
        <w:rPr>
          <w:spacing w:val="-15"/>
        </w:rPr>
        <w:t> </w:t>
      </w:r>
      <w:r>
        <w:rPr/>
        <w:t>intuition</w:t>
      </w:r>
      <w:r>
        <w:rPr>
          <w:spacing w:val="-15"/>
        </w:rPr>
        <w:t> </w:t>
      </w:r>
      <w:r>
        <w:rPr/>
        <w:t>that</w:t>
      </w:r>
      <w:r>
        <w:rPr>
          <w:spacing w:val="-15"/>
        </w:rPr>
        <w:t> </w:t>
      </w:r>
      <w:r>
        <w:rPr/>
        <w:t>durable,</w:t>
      </w:r>
      <w:r>
        <w:rPr>
          <w:spacing w:val="-15"/>
        </w:rPr>
        <w:t> </w:t>
      </w:r>
      <w:r>
        <w:rPr/>
        <w:t>multi-counterparty </w:t>
      </w:r>
      <w:bookmarkStart w:name="Trading-success family" w:id="126"/>
      <w:bookmarkEnd w:id="126"/>
      <w:r>
        <w:rPr/>
        <w:t>activity</w:t>
      </w:r>
      <w:r>
        <w:rPr/>
        <w:t> is more reputation-relevant than bursty self-dealing </w:t>
      </w:r>
      <w:hyperlink w:history="true" w:anchor="_bookmark181">
        <w:r>
          <w:rPr>
            <w:vertAlign w:val="superscript"/>
          </w:rPr>
          <w:t>[48]</w:t>
        </w:r>
      </w:hyperlink>
      <w:r>
        <w:rPr>
          <w:vertAlign w:val="baseline"/>
        </w:rPr>
        <w:t>.</w:t>
      </w:r>
    </w:p>
    <w:p>
      <w:pPr>
        <w:pStyle w:val="BodyText"/>
        <w:spacing w:line="396" w:lineRule="auto"/>
        <w:ind w:left="282" w:right="556"/>
        <w:jc w:val="both"/>
      </w:pPr>
      <w:r>
        <w:rPr>
          <w:i/>
        </w:rPr>
        <w:t>높은 상대방 비율은 소수의 주소에서 많은 이체를 받는 지갑에 불이익을 줍니다(간단한 Sybil/워시 패턴). 보유 기간 및 활성 개월수는 관찰 창 내에서 온체인 활동의 지속성을 포착합니다. 이러한 조치는 불완전한 Sybil 방어입니다. 즉, 조정된 적들은 여전히 ​​상대방을 다양화할 수 있습니다. 하지만 지속적이고 다자간 활동이 터무니없는 자기 거래보다 평판과 더 관련이 있다는 직관을 운용합니다[48].</w:t>
      </w:r>
    </w:p>
    <w:p>
      <w:pPr>
        <w:pStyle w:val="BodyText"/>
        <w:spacing w:after="0" w:line="396" w:lineRule="auto"/>
        <w:jc w:val="both"/>
        <w:sectPr>
          <w:type w:val="continuous"/>
          <w:pgSz w:w="11910" w:h="16840"/>
          <w:pgMar w:header="0" w:footer="2115" w:top="1920" w:bottom="280" w:left="992" w:right="708"/>
        </w:sectPr>
      </w:pPr>
    </w:p>
    <w:p>
      <w:pPr>
        <w:pStyle w:val="Heading4"/>
        <w:numPr>
          <w:ilvl w:val="2"/>
          <w:numId w:val="8"/>
        </w:numPr>
        <w:tabs>
          <w:tab w:pos="879" w:val="left" w:leader="none"/>
        </w:tabs>
        <w:spacing w:line="240" w:lineRule="auto" w:before="73" w:after="0"/>
        <w:ind w:left="879" w:right="0" w:hanging="597"/>
        <w:jc w:val="left"/>
      </w:pPr>
      <w:r>
        <w:rPr>
          <w:spacing w:val="-4"/>
        </w:rPr>
        <w:t>Trading-success</w:t>
      </w:r>
      <w:r>
        <w:rPr>
          <w:spacing w:val="11"/>
        </w:rPr>
        <w:t> </w:t>
      </w:r>
      <w:r>
        <w:rPr>
          <w:spacing w:val="-4"/>
        </w:rPr>
        <w:t>family</w:t>
      </w:r>
    </w:p>
    <w:p>
      <w:pPr>
        <w:pStyle w:val="Heading4"/>
        <w:numPr>
          <w:ilvl w:val="2"/>
          <w:numId w:val="8"/>
        </w:numPr>
        <w:tabs>
          <w:tab w:pos="879" w:val="left" w:leader="none"/>
        </w:tabs>
        <w:spacing w:line="240" w:lineRule="auto" w:before="73" w:after="0"/>
        <w:ind w:left="879" w:right="0" w:hanging="597"/>
        <w:jc w:val="left"/>
      </w:pPr>
      <w:r>
        <w:rPr>
          <w:i/>
        </w:rPr>
        <w:t>거래성공가족</w:t>
      </w:r>
    </w:p>
    <w:p>
      <w:pPr>
        <w:pStyle w:val="BodyText"/>
        <w:spacing w:before="42"/>
        <w:rPr>
          <w:b/>
        </w:rPr>
      </w:pPr>
    </w:p>
    <w:p>
      <w:pPr>
        <w:pStyle w:val="BodyText"/>
        <w:ind w:left="273"/>
      </w:pPr>
      <w:r>
        <w:rPr/>
        <w:t>A</w:t>
      </w:r>
      <w:r>
        <w:rPr>
          <w:spacing w:val="2"/>
        </w:rPr>
        <w:t> </w:t>
      </w:r>
      <w:r>
        <w:rPr/>
        <w:t>successful</w:t>
      </w:r>
      <w:r>
        <w:rPr>
          <w:spacing w:val="3"/>
        </w:rPr>
        <w:t> </w:t>
      </w:r>
      <w:r>
        <w:rPr/>
        <w:t>close</w:t>
      </w:r>
      <w:r>
        <w:rPr>
          <w:spacing w:val="2"/>
        </w:rPr>
        <w:t> </w:t>
      </w:r>
      <w:r>
        <w:rPr/>
        <w:t>is</w:t>
      </w:r>
      <w:r>
        <w:rPr>
          <w:spacing w:val="3"/>
        </w:rPr>
        <w:t> </w:t>
      </w:r>
      <w:r>
        <w:rPr/>
        <w:t>a</w:t>
      </w:r>
      <w:r>
        <w:rPr>
          <w:spacing w:val="3"/>
        </w:rPr>
        <w:t> </w:t>
      </w:r>
      <w:r>
        <w:rPr/>
        <w:t>non-liquidation</w:t>
      </w:r>
      <w:r>
        <w:rPr>
          <w:spacing w:val="2"/>
        </w:rPr>
        <w:t> </w:t>
      </w:r>
      <w:r>
        <w:rPr/>
        <w:t>close</w:t>
      </w:r>
      <w:r>
        <w:rPr>
          <w:spacing w:val="3"/>
        </w:rPr>
        <w:t> </w:t>
      </w:r>
      <w:r>
        <w:rPr/>
        <w:t>with</w:t>
      </w:r>
      <w:r>
        <w:rPr>
          <w:spacing w:val="3"/>
        </w:rPr>
        <w:t> </w:t>
      </w:r>
      <w:r>
        <w:rPr>
          <w:rFonts w:ascii="Calibri"/>
          <w:i/>
        </w:rPr>
        <w:t>x</w:t>
      </w:r>
      <w:r>
        <w:rPr>
          <w:rFonts w:ascii="Cambria"/>
          <w:vertAlign w:val="subscript"/>
        </w:rPr>
        <w:t>c</w:t>
      </w:r>
      <w:r>
        <w:rPr>
          <w:rFonts w:ascii="Cambria"/>
          <w:spacing w:val="27"/>
          <w:vertAlign w:val="baseline"/>
        </w:rPr>
        <w:t> </w:t>
      </w:r>
      <w:r>
        <w:rPr>
          <w:rFonts w:ascii="Calibri"/>
          <w:i/>
          <w:vertAlign w:val="baseline"/>
        </w:rPr>
        <w:t>&gt;</w:t>
      </w:r>
      <w:r>
        <w:rPr>
          <w:rFonts w:ascii="Calibri"/>
          <w:i/>
          <w:spacing w:val="16"/>
          <w:vertAlign w:val="baseline"/>
        </w:rPr>
        <w:t> </w:t>
      </w:r>
      <w:r>
        <w:rPr>
          <w:rFonts w:ascii="Calibri"/>
          <w:vertAlign w:val="baseline"/>
        </w:rPr>
        <w:t>0</w:t>
      </w:r>
      <w:r>
        <w:rPr>
          <w:vertAlign w:val="baseline"/>
        </w:rPr>
        <w:t>.</w:t>
      </w:r>
      <w:r>
        <w:rPr>
          <w:spacing w:val="24"/>
          <w:vertAlign w:val="baseline"/>
        </w:rPr>
        <w:t> </w:t>
      </w:r>
      <w:r>
        <w:rPr>
          <w:spacing w:val="-2"/>
          <w:vertAlign w:val="baseline"/>
        </w:rPr>
        <w:t>Define</w:t>
      </w:r>
    </w:p>
    <w:p>
      <w:pPr>
        <w:pStyle w:val="BodyText"/>
        <w:ind w:left="273"/>
      </w:pPr>
      <w:r>
        <w:rPr>
          <w:i/>
        </w:rPr>
        <w:t>성공적인 마감은 xc &gt; 0인 비청산 마감입니다. 정의</w:t>
      </w:r>
    </w:p>
    <w:p>
      <w:pPr>
        <w:pStyle w:val="BodyText"/>
      </w:pPr>
    </w:p>
    <w:p>
      <w:pPr>
        <w:pStyle w:val="BodyText"/>
      </w:pPr>
    </w:p>
    <w:p>
      <w:pPr>
        <w:pStyle w:val="BodyText"/>
        <w:spacing w:before="229"/>
      </w:pPr>
    </w:p>
    <w:p>
      <w:pPr>
        <w:pStyle w:val="BodyText"/>
        <w:tabs>
          <w:tab w:pos="5328" w:val="left" w:leader="none"/>
          <w:tab w:pos="9077" w:val="left" w:leader="none"/>
        </w:tabs>
        <w:ind w:left="2110"/>
      </w:pPr>
      <w:r>
        <w:rPr/>
        <mc:AlternateContent>
          <mc:Choice Requires="wps">
            <w:drawing>
              <wp:anchor distT="0" distB="0" distL="0" distR="0" allowOverlap="1" layoutInCell="1" locked="0" behindDoc="1" simplePos="0" relativeHeight="484025856">
                <wp:simplePos x="0" y="0"/>
                <wp:positionH relativeFrom="page">
                  <wp:posOffset>3706482</wp:posOffset>
                </wp:positionH>
                <wp:positionV relativeFrom="paragraph">
                  <wp:posOffset>-112610</wp:posOffset>
                </wp:positionV>
                <wp:extent cx="219710" cy="56324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91.848999pt;margin-top:-8.866978pt;width:17.3pt;height:44.35pt;mso-position-horizontal-relative:page;mso-position-vertical-relative:paragraph;z-index:-19290624" type="#_x0000_t202" id="docshape148" filled="false" stroked="false">
                <v:textbox inset="0,0,0,0">
                  <w:txbxContent>
                    <w:p>
                      <w:pPr>
                        <w:pStyle w:val="BodyText"/>
                        <w:spacing w:line="231" w:lineRule="exact"/>
                      </w:pPr>
                      <w:r>
                        <w:rPr>
                          <w:spacing w:val="-10"/>
                          <w:w w:val="245"/>
                        </w:rPr>
                        <w:t>Σ</w:t>
                      </w:r>
                    </w:p>
                  </w:txbxContent>
                </v:textbox>
                <w10:wrap type="none"/>
              </v:shape>
            </w:pict>
          </mc:Fallback>
        </mc:AlternateContent>
      </w:r>
      <w:r>
        <w:rPr/>
        <mc:AlternateContent>
          <mc:Choice Requires="wps">
            <w:drawing>
              <wp:anchor distT="0" distB="0" distL="0" distR="0" allowOverlap="1" layoutInCell="1" locked="0" behindDoc="1" simplePos="0" relativeHeight="484027392">
                <wp:simplePos x="0" y="0"/>
                <wp:positionH relativeFrom="page">
                  <wp:posOffset>1961616</wp:posOffset>
                </wp:positionH>
                <wp:positionV relativeFrom="paragraph">
                  <wp:posOffset>-334149</wp:posOffset>
                </wp:positionV>
                <wp:extent cx="4799330" cy="56324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799330" cy="563245"/>
                        </a:xfrm>
                        <a:prstGeom prst="rect">
                          <a:avLst/>
                        </a:prstGeom>
                      </wps:spPr>
                      <wps:txbx>
                        <w:txbxContent>
                          <w:p>
                            <w:pPr>
                              <w:pStyle w:val="BodyText"/>
                              <w:tabs>
                                <w:tab w:pos="6980" w:val="left" w:leader="none"/>
                              </w:tabs>
                              <w:spacing w:line="345" w:lineRule="exact"/>
                            </w:pPr>
                            <w:r>
                              <w:rPr>
                                <w:w w:val="110"/>
                              </w:rPr>
                              <w:t>close_success_count</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0"/>
                              </w:rPr>
                              <w:t>{</w:t>
                            </w:r>
                            <w:r>
                              <w:rPr>
                                <w:rFonts w:ascii="Calibri" w:hAnsi="Calibri"/>
                                <w:i/>
                                <w:w w:val="110"/>
                              </w:rPr>
                              <w:t>c</w:t>
                            </w:r>
                            <w:r>
                              <w:rPr>
                                <w:rFonts w:ascii="Calibri" w:hAnsi="Calibri"/>
                                <w:i/>
                                <w:spacing w:val="-15"/>
                                <w:w w:val="110"/>
                              </w:rPr>
                              <w:t> </w:t>
                            </w:r>
                            <w:r>
                              <w:rPr>
                                <w:rFonts w:ascii="Lucida Sans Unicode" w:hAnsi="Lucida Sans Unicode"/>
                                <w:w w:val="110"/>
                              </w:rPr>
                              <w:t>∈</w:t>
                            </w:r>
                            <w:r>
                              <w:rPr>
                                <w:rFonts w:ascii="Lucida Sans Unicode" w:hAnsi="Lucida Sans Unicode"/>
                                <w:spacing w:val="-21"/>
                                <w:w w:val="110"/>
                              </w:rPr>
                              <w:t> </w:t>
                            </w:r>
                            <w:r>
                              <w:rPr>
                                <w:rFonts w:ascii="Lucida Sans Unicode" w:hAnsi="Lucida Sans Unicode"/>
                                <w:w w:val="110"/>
                              </w:rPr>
                              <w:t>C</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0"/>
                              </w:rPr>
                              <w:t>:</w:t>
                            </w:r>
                            <w:r>
                              <w:rPr>
                                <w:rFonts w:ascii="Calibri" w:hAnsi="Calibri"/>
                                <w:spacing w:val="-14"/>
                                <w:w w:val="110"/>
                              </w:rPr>
                              <w:t> </w:t>
                            </w:r>
                            <w:r>
                              <w:rPr>
                                <w:rFonts w:ascii="Calibri" w:hAnsi="Calibri"/>
                                <w:i/>
                                <w:w w:val="110"/>
                              </w:rPr>
                              <w:t>ℓ</w:t>
                            </w:r>
                            <w:r>
                              <w:rPr>
                                <w:rFonts w:ascii="Cambria" w:hAnsi="Cambria"/>
                                <w:w w:val="110"/>
                                <w:vertAlign w:val="subscript"/>
                              </w:rPr>
                              <w:t>c</w:t>
                            </w:r>
                            <w:r>
                              <w:rPr>
                                <w:rFonts w:ascii="Cambria" w:hAnsi="Cambria"/>
                                <w:spacing w:val="-2"/>
                                <w:w w:val="110"/>
                                <w:vertAlign w:val="baseline"/>
                              </w:rPr>
                              <w:t> </w:t>
                            </w:r>
                            <w:r>
                              <w:rPr>
                                <w:rFonts w:ascii="Calibri" w:hAnsi="Calibri"/>
                                <w:w w:val="115"/>
                                <w:vertAlign w:val="baseline"/>
                              </w:rPr>
                              <w:t>=</w:t>
                            </w:r>
                            <w:r>
                              <w:rPr>
                                <w:rFonts w:ascii="Calibri" w:hAnsi="Calibri"/>
                                <w:spacing w:val="-13"/>
                                <w:w w:val="115"/>
                                <w:vertAlign w:val="baseline"/>
                              </w:rPr>
                              <w:t> </w:t>
                            </w:r>
                            <w:r>
                              <w:rPr>
                                <w:rFonts w:ascii="Calibri" w:hAnsi="Calibri"/>
                                <w:w w:val="110"/>
                                <w:vertAlign w:val="baseline"/>
                              </w:rPr>
                              <w:t>0</w:t>
                            </w:r>
                            <w:r>
                              <w:rPr>
                                <w:rFonts w:ascii="Calibri" w:hAnsi="Calibri"/>
                                <w:spacing w:val="-15"/>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rFonts w:ascii="Calibri" w:hAnsi="Calibri"/>
                                <w:i/>
                                <w:w w:val="110"/>
                                <w:vertAlign w:val="baseline"/>
                              </w:rPr>
                              <w:t>x</w:t>
                            </w:r>
                            <w:r>
                              <w:rPr>
                                <w:rFonts w:ascii="Cambria" w:hAnsi="Cambria"/>
                                <w:w w:val="110"/>
                                <w:vertAlign w:val="subscript"/>
                              </w:rPr>
                              <w:t>c</w:t>
                            </w:r>
                            <w:r>
                              <w:rPr>
                                <w:rFonts w:ascii="Cambria" w:hAnsi="Cambria"/>
                                <w:spacing w:val="-1"/>
                                <w:w w:val="110"/>
                                <w:vertAlign w:val="baseline"/>
                              </w:rPr>
                              <w:t> </w:t>
                            </w:r>
                            <w:r>
                              <w:rPr>
                                <w:rFonts w:ascii="Calibri" w:hAnsi="Calibri"/>
                                <w:i/>
                                <w:w w:val="115"/>
                                <w:vertAlign w:val="baseline"/>
                              </w:rPr>
                              <w:t>&gt;</w:t>
                            </w:r>
                            <w:r>
                              <w:rPr>
                                <w:rFonts w:ascii="Calibri" w:hAnsi="Calibri"/>
                                <w:i/>
                                <w:spacing w:val="-13"/>
                                <w:w w:val="115"/>
                                <w:vertAlign w:val="baseline"/>
                              </w:rPr>
                              <w:t> </w:t>
                            </w:r>
                            <w:r>
                              <w:rPr>
                                <w:rFonts w:ascii="Calibri" w:hAnsi="Calibri"/>
                                <w:w w:val="110"/>
                                <w:vertAlign w:val="baseline"/>
                              </w:rPr>
                              <w:t>0</w:t>
                            </w:r>
                            <w:r>
                              <w:rPr>
                                <w:rFonts w:ascii="Lucida Sans Unicode" w:hAnsi="Lucida Sans Unicode"/>
                                <w:w w:val="110"/>
                                <w:vertAlign w:val="baseline"/>
                              </w:rPr>
                              <w:t>}</w:t>
                            </w:r>
                            <w:r>
                              <w:rPr>
                                <w:spacing w:val="-7"/>
                                <w:w w:val="110"/>
                                <w:position w:val="6"/>
                                <w:vertAlign w:val="baseline"/>
                              </w:rPr>
                              <w:t> </w:t>
                            </w:r>
                            <w:r>
                              <w:rPr>
                                <w:rFonts w:ascii="Calibri" w:hAnsi="Calibri"/>
                                <w:i/>
                                <w:spacing w:val="-10"/>
                                <w:w w:val="110"/>
                                <w:vertAlign w:val="baseline"/>
                              </w:rPr>
                              <w:t>,</w:t>
                            </w:r>
                            <w:r>
                              <w:rPr>
                                <w:rFonts w:ascii="Calibri" w:hAnsi="Calibri"/>
                                <w:i/>
                                <w:vertAlign w:val="baseline"/>
                              </w:rPr>
                              <w:tab/>
                            </w:r>
                            <w:r>
                              <w:rPr>
                                <w:spacing w:val="-2"/>
                                <w:vertAlign w:val="baseline"/>
                              </w:rPr>
                              <w:t>(3.16)</w:t>
                            </w:r>
                          </w:p>
                        </w:txbxContent>
                      </wps:txbx>
                      <wps:bodyPr wrap="square" lIns="0" tIns="0" rIns="0" bIns="0" rtlCol="0">
                        <a:noAutofit/>
                      </wps:bodyPr>
                    </wps:wsp>
                  </a:graphicData>
                </a:graphic>
              </wp:anchor>
            </w:drawing>
          </mc:Choice>
          <mc:Fallback>
            <w:pict>
              <v:shape style="position:absolute;margin-left:154.457993pt;margin-top:-26.310978pt;width:377.9pt;height:44.35pt;mso-position-horizontal-relative:page;mso-position-vertical-relative:paragraph;z-index:-19289088" type="#_x0000_t202" id="docshape149" filled="false" stroked="false">
                <v:textbox inset="0,0,0,0">
                  <w:txbxContent>
                    <w:p>
                      <w:pPr>
                        <w:pStyle w:val="BodyText"/>
                        <w:tabs>
                          <w:tab w:pos="6980" w:val="left" w:leader="none"/>
                        </w:tabs>
                        <w:spacing w:line="345" w:lineRule="exact"/>
                      </w:pPr>
                      <w:r>
                        <w:rPr>
                          <w:w w:val="110"/>
                        </w:rPr>
                        <w:t>close_success_count</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5"/>
                        </w:rPr>
                        <w:t>=</w:t>
                      </w:r>
                      <w:r>
                        <w:rPr>
                          <w:spacing w:val="25"/>
                          <w:w w:val="115"/>
                          <w:position w:val="6"/>
                        </w:rPr>
                        <w:t> </w:t>
                      </w:r>
                      <w:r>
                        <w:rPr>
                          <w:rFonts w:ascii="Lucida Sans Unicode" w:hAnsi="Lucida Sans Unicode"/>
                          <w:w w:val="110"/>
                        </w:rPr>
                        <w:t>{</w:t>
                      </w:r>
                      <w:r>
                        <w:rPr>
                          <w:rFonts w:ascii="Calibri" w:hAnsi="Calibri"/>
                          <w:i/>
                          <w:w w:val="110"/>
                        </w:rPr>
                        <w:t>c</w:t>
                      </w:r>
                      <w:r>
                        <w:rPr>
                          <w:rFonts w:ascii="Calibri" w:hAnsi="Calibri"/>
                          <w:i/>
                          <w:spacing w:val="-15"/>
                          <w:w w:val="110"/>
                        </w:rPr>
                        <w:t> </w:t>
                      </w:r>
                      <w:r>
                        <w:rPr>
                          <w:rFonts w:ascii="Lucida Sans Unicode" w:hAnsi="Lucida Sans Unicode"/>
                          <w:w w:val="110"/>
                        </w:rPr>
                        <w:t>∈</w:t>
                      </w:r>
                      <w:r>
                        <w:rPr>
                          <w:rFonts w:ascii="Lucida Sans Unicode" w:hAnsi="Lucida Sans Unicode"/>
                          <w:spacing w:val="-21"/>
                          <w:w w:val="110"/>
                        </w:rPr>
                        <w:t> </w:t>
                      </w:r>
                      <w:r>
                        <w:rPr>
                          <w:rFonts w:ascii="Lucida Sans Unicode" w:hAnsi="Lucida Sans Unicode"/>
                          <w:w w:val="110"/>
                        </w:rPr>
                        <w:t>C</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10"/>
                        </w:rPr>
                        <w:t>:</w:t>
                      </w:r>
                      <w:r>
                        <w:rPr>
                          <w:rFonts w:ascii="Calibri" w:hAnsi="Calibri"/>
                          <w:spacing w:val="-14"/>
                          <w:w w:val="110"/>
                        </w:rPr>
                        <w:t> </w:t>
                      </w:r>
                      <w:r>
                        <w:rPr>
                          <w:rFonts w:ascii="Calibri" w:hAnsi="Calibri"/>
                          <w:i/>
                          <w:w w:val="110"/>
                        </w:rPr>
                        <w:t>ℓ</w:t>
                      </w:r>
                      <w:r>
                        <w:rPr>
                          <w:rFonts w:ascii="Cambria" w:hAnsi="Cambria"/>
                          <w:w w:val="110"/>
                          <w:vertAlign w:val="subscript"/>
                        </w:rPr>
                        <w:t>c</w:t>
                      </w:r>
                      <w:r>
                        <w:rPr>
                          <w:rFonts w:ascii="Cambria" w:hAnsi="Cambria"/>
                          <w:spacing w:val="-2"/>
                          <w:w w:val="110"/>
                          <w:vertAlign w:val="baseline"/>
                        </w:rPr>
                        <w:t> </w:t>
                      </w:r>
                      <w:r>
                        <w:rPr>
                          <w:rFonts w:ascii="Calibri" w:hAnsi="Calibri"/>
                          <w:w w:val="115"/>
                          <w:vertAlign w:val="baseline"/>
                        </w:rPr>
                        <w:t>=</w:t>
                      </w:r>
                      <w:r>
                        <w:rPr>
                          <w:rFonts w:ascii="Calibri" w:hAnsi="Calibri"/>
                          <w:spacing w:val="-13"/>
                          <w:w w:val="115"/>
                          <w:vertAlign w:val="baseline"/>
                        </w:rPr>
                        <w:t> </w:t>
                      </w:r>
                      <w:r>
                        <w:rPr>
                          <w:rFonts w:ascii="Calibri" w:hAnsi="Calibri"/>
                          <w:w w:val="110"/>
                          <w:vertAlign w:val="baseline"/>
                        </w:rPr>
                        <w:t>0</w:t>
                      </w:r>
                      <w:r>
                        <w:rPr>
                          <w:rFonts w:ascii="Calibri" w:hAnsi="Calibri"/>
                          <w:spacing w:val="-15"/>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rFonts w:ascii="Calibri" w:hAnsi="Calibri"/>
                          <w:i/>
                          <w:w w:val="110"/>
                          <w:vertAlign w:val="baseline"/>
                        </w:rPr>
                        <w:t>x</w:t>
                      </w:r>
                      <w:r>
                        <w:rPr>
                          <w:rFonts w:ascii="Cambria" w:hAnsi="Cambria"/>
                          <w:w w:val="110"/>
                          <w:vertAlign w:val="subscript"/>
                        </w:rPr>
                        <w:t>c</w:t>
                      </w:r>
                      <w:r>
                        <w:rPr>
                          <w:rFonts w:ascii="Cambria" w:hAnsi="Cambria"/>
                          <w:spacing w:val="-1"/>
                          <w:w w:val="110"/>
                          <w:vertAlign w:val="baseline"/>
                        </w:rPr>
                        <w:t> </w:t>
                      </w:r>
                      <w:r>
                        <w:rPr>
                          <w:rFonts w:ascii="Calibri" w:hAnsi="Calibri"/>
                          <w:i/>
                          <w:w w:val="115"/>
                          <w:vertAlign w:val="baseline"/>
                        </w:rPr>
                        <w:t>&gt;</w:t>
                      </w:r>
                      <w:r>
                        <w:rPr>
                          <w:rFonts w:ascii="Calibri" w:hAnsi="Calibri"/>
                          <w:i/>
                          <w:spacing w:val="-13"/>
                          <w:w w:val="115"/>
                          <w:vertAlign w:val="baseline"/>
                        </w:rPr>
                        <w:t> </w:t>
                      </w:r>
                      <w:r>
                        <w:rPr>
                          <w:rFonts w:ascii="Calibri" w:hAnsi="Calibri"/>
                          <w:w w:val="110"/>
                          <w:vertAlign w:val="baseline"/>
                        </w:rPr>
                        <w:t>0</w:t>
                      </w:r>
                      <w:r>
                        <w:rPr>
                          <w:rFonts w:ascii="Lucida Sans Unicode" w:hAnsi="Lucida Sans Unicode"/>
                          <w:w w:val="110"/>
                          <w:vertAlign w:val="baseline"/>
                        </w:rPr>
                        <w:t>}</w:t>
                      </w:r>
                      <w:r>
                        <w:rPr>
                          <w:spacing w:val="-7"/>
                          <w:w w:val="110"/>
                          <w:position w:val="6"/>
                          <w:vertAlign w:val="baseline"/>
                        </w:rPr>
                        <w:t> </w:t>
                      </w:r>
                      <w:r>
                        <w:rPr>
                          <w:rFonts w:ascii="Calibri" w:hAnsi="Calibri"/>
                          <w:i/>
                          <w:spacing w:val="-10"/>
                          <w:w w:val="110"/>
                          <w:vertAlign w:val="baseline"/>
                        </w:rPr>
                        <w:t>,</w:t>
                      </w:r>
                      <w:r>
                        <w:rPr>
                          <w:rFonts w:ascii="Calibri" w:hAnsi="Calibri"/>
                          <w:i/>
                          <w:vertAlign w:val="baseline"/>
                        </w:rPr>
                        <w:tab/>
                      </w:r>
                      <w:r>
                        <w:rPr>
                          <w:spacing w:val="-2"/>
                          <w:vertAlign w:val="baseline"/>
                        </w:rPr>
                        <w:t>(3.16)</w:t>
                      </w:r>
                    </w:p>
                  </w:txbxContent>
                </v:textbox>
                <w10:wrap type="none"/>
              </v:shape>
            </w:pict>
          </mc:Fallback>
        </mc:AlternateContent>
      </w:r>
      <w:r>
        <w:rPr/>
        <w:t>realized_gain_proxy</w:t>
      </w:r>
      <w:r>
        <w:rPr>
          <w:rFonts w:ascii="Calibri"/>
        </w:rPr>
        <w:t>(</w:t>
      </w:r>
      <w:r>
        <w:rPr>
          <w:rFonts w:ascii="Calibri"/>
          <w:i/>
        </w:rPr>
        <w:t>w</w:t>
      </w:r>
      <w:r>
        <w:rPr>
          <w:rFonts w:ascii="Calibri"/>
        </w:rPr>
        <w:t>)</w:t>
      </w:r>
      <w:r>
        <w:rPr>
          <w:rFonts w:ascii="Calibri"/>
          <w:spacing w:val="15"/>
          <w:w w:val="120"/>
        </w:rPr>
        <w:t> </w:t>
      </w:r>
      <w:r>
        <w:rPr>
          <w:rFonts w:ascii="Calibri"/>
          <w:spacing w:val="-10"/>
          <w:w w:val="120"/>
        </w:rPr>
        <w:t>=</w:t>
      </w:r>
      <w:r>
        <w:rPr>
          <w:rFonts w:ascii="Calibri"/>
        </w:rPr>
        <w:tab/>
      </w:r>
      <w:r>
        <w:rPr>
          <w:w w:val="105"/>
        </w:rPr>
        <w:t>max</w:t>
      </w:r>
      <w:r>
        <w:rPr>
          <w:rFonts w:ascii="Calibri"/>
          <w:w w:val="105"/>
        </w:rPr>
        <w:t>(</w:t>
      </w:r>
      <w:r>
        <w:rPr>
          <w:rFonts w:ascii="Calibri"/>
          <w:i/>
          <w:w w:val="105"/>
        </w:rPr>
        <w:t>x</w:t>
      </w:r>
      <w:r>
        <w:rPr>
          <w:rFonts w:ascii="Cambria"/>
          <w:w w:val="105"/>
          <w:vertAlign w:val="subscript"/>
        </w:rPr>
        <w:t>c</w:t>
      </w:r>
      <w:r>
        <w:rPr>
          <w:rFonts w:ascii="Calibri"/>
          <w:i/>
          <w:w w:val="105"/>
          <w:vertAlign w:val="baseline"/>
        </w:rPr>
        <w:t>,</w:t>
      </w:r>
      <w:r>
        <w:rPr>
          <w:rFonts w:ascii="Calibri"/>
          <w:i/>
          <w:spacing w:val="1"/>
          <w:w w:val="110"/>
          <w:vertAlign w:val="baseline"/>
        </w:rPr>
        <w:t> </w:t>
      </w:r>
      <w:r>
        <w:rPr>
          <w:rFonts w:ascii="Calibri"/>
          <w:spacing w:val="-5"/>
          <w:w w:val="110"/>
          <w:vertAlign w:val="baseline"/>
        </w:rPr>
        <w:t>0)</w:t>
      </w:r>
      <w:r>
        <w:rPr>
          <w:rFonts w:ascii="Calibri"/>
          <w:i/>
          <w:spacing w:val="-5"/>
          <w:w w:val="110"/>
          <w:vertAlign w:val="baseline"/>
        </w:rPr>
        <w:t>,</w:t>
      </w:r>
      <w:r>
        <w:rPr>
          <w:rFonts w:ascii="Calibri"/>
          <w:i/>
          <w:vertAlign w:val="baseline"/>
        </w:rPr>
        <w:tab/>
      </w:r>
      <w:bookmarkStart w:name="_bookmark70" w:id="127"/>
      <w:bookmarkEnd w:id="127"/>
      <w:r>
        <w:rPr>
          <w:rFonts w:ascii="Calibri"/>
          <w:i/>
          <w:vertAlign w:val="baseline"/>
        </w:rPr>
      </w:r>
      <w:r>
        <w:rPr>
          <w:spacing w:val="-2"/>
          <w:w w:val="110"/>
          <w:vertAlign w:val="baseline"/>
        </w:rPr>
        <w:t>(3.17)</w:t>
      </w:r>
    </w:p>
    <w:p>
      <w:pPr>
        <w:pStyle w:val="BodyText"/>
        <w:tabs>
          <w:tab w:pos="5328" w:val="left" w:leader="none"/>
          <w:tab w:pos="9077" w:val="left" w:leader="none"/>
        </w:tabs>
        <w:ind w:left="2110"/>
      </w:pPr>
      <w:r>
        <w:rPr>
          <w:i/>
        </w:rPr>
        <w:t>실현_이득_프록시(w) =</w:t>
        <w:tab/>
        <w:t>최대(xc, 0),</w:t>
        <w:tab/>
        <w:t>(3.17)</w:t>
      </w:r>
    </w:p>
    <w:p>
      <w:pPr>
        <w:spacing w:before="74"/>
        <w:ind w:left="774" w:right="943" w:firstLine="0"/>
        <w:jc w:val="center"/>
        <w:rPr>
          <w:rFonts w:ascii="Calibri" w:hAnsi="Calibri"/>
          <w:sz w:val="16"/>
        </w:rPr>
      </w:pPr>
      <w:r>
        <w:rPr>
          <w:rFonts w:ascii="Cambria" w:hAnsi="Cambria"/>
          <w:spacing w:val="-2"/>
          <w:w w:val="115"/>
          <w:sz w:val="16"/>
        </w:rPr>
        <w:t>c∈C</w:t>
      </w:r>
      <w:r>
        <w:rPr>
          <w:rFonts w:ascii="Calibri" w:hAnsi="Calibri"/>
          <w:spacing w:val="-2"/>
          <w:w w:val="115"/>
          <w:sz w:val="16"/>
        </w:rPr>
        <w:t>(</w:t>
      </w:r>
      <w:r>
        <w:rPr>
          <w:rFonts w:ascii="Cambria" w:hAnsi="Cambria"/>
          <w:spacing w:val="-2"/>
          <w:w w:val="115"/>
          <w:sz w:val="16"/>
        </w:rPr>
        <w:t>w</w:t>
      </w:r>
      <w:r>
        <w:rPr>
          <w:rFonts w:ascii="Calibri" w:hAnsi="Calibri"/>
          <w:spacing w:val="-2"/>
          <w:w w:val="115"/>
          <w:sz w:val="16"/>
        </w:rPr>
        <w:t>)</w:t>
      </w:r>
    </w:p>
    <w:p>
      <w:pPr>
        <w:pStyle w:val="BodyText"/>
        <w:tabs>
          <w:tab w:pos="8526" w:val="left" w:leader="none"/>
        </w:tabs>
        <w:spacing w:line="371" w:lineRule="exact" w:before="53"/>
        <w:ind w:left="1719"/>
        <w:jc w:val="center"/>
      </w:pPr>
      <w:r>
        <w:rPr/>
        <mc:AlternateContent>
          <mc:Choice Requires="wps">
            <w:drawing>
              <wp:anchor distT="0" distB="0" distL="0" distR="0" allowOverlap="1" layoutInCell="1" locked="0" behindDoc="1" simplePos="0" relativeHeight="484024832">
                <wp:simplePos x="0" y="0"/>
                <wp:positionH relativeFrom="page">
                  <wp:posOffset>3659225</wp:posOffset>
                </wp:positionH>
                <wp:positionV relativeFrom="paragraph">
                  <wp:posOffset>242917</wp:posOffset>
                </wp:positionV>
                <wp:extent cx="1482725" cy="1270"/>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482725" cy="1270"/>
                        </a:xfrm>
                        <a:custGeom>
                          <a:avLst/>
                          <a:gdLst/>
                          <a:ahLst/>
                          <a:cxnLst/>
                          <a:rect l="l" t="t" r="r" b="b"/>
                          <a:pathLst>
                            <a:path w="1482725" h="0">
                              <a:moveTo>
                                <a:pt x="0" y="0"/>
                              </a:moveTo>
                              <a:lnTo>
                                <a:pt x="148244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1648" from="288.127991pt,19.127359pt" to="404.855991pt,19.127359pt" stroked="true" strokeweight=".4782pt" strokecolor="#000000">
                <v:stroke dashstyle="solid"/>
                <w10:wrap type="none"/>
              </v:line>
            </w:pict>
          </mc:Fallback>
        </mc:AlternateContent>
      </w:r>
      <w:r>
        <w:rPr>
          <w:w w:val="105"/>
        </w:rPr>
        <w:t>close_success_rate</w:t>
      </w:r>
      <w:r>
        <w:rPr>
          <w:rFonts w:ascii="Calibri"/>
          <w:w w:val="105"/>
        </w:rPr>
        <w:t>(</w:t>
      </w:r>
      <w:r>
        <w:rPr>
          <w:rFonts w:ascii="Calibri"/>
          <w:i/>
          <w:w w:val="105"/>
        </w:rPr>
        <w:t>w</w:t>
      </w:r>
      <w:r>
        <w:rPr>
          <w:rFonts w:ascii="Calibri"/>
          <w:w w:val="105"/>
        </w:rPr>
        <w:t>)</w:t>
      </w:r>
      <w:r>
        <w:rPr>
          <w:rFonts w:ascii="Calibri"/>
          <w:spacing w:val="-6"/>
          <w:w w:val="105"/>
        </w:rPr>
        <w:t> </w:t>
      </w:r>
      <w:r>
        <w:rPr>
          <w:rFonts w:ascii="Calibri"/>
          <w:w w:val="105"/>
        </w:rPr>
        <w:t>=</w:t>
      </w:r>
      <w:r>
        <w:rPr>
          <w:rFonts w:ascii="Calibri"/>
          <w:spacing w:val="13"/>
          <w:w w:val="105"/>
        </w:rPr>
        <w:t> </w:t>
      </w:r>
      <w:r>
        <w:rPr>
          <w:spacing w:val="-2"/>
          <w:w w:val="105"/>
          <w:position w:val="16"/>
        </w:rPr>
        <w:t>close_success_count</w:t>
      </w:r>
      <w:r>
        <w:rPr>
          <w:rFonts w:ascii="Calibri"/>
          <w:spacing w:val="-2"/>
          <w:w w:val="105"/>
          <w:position w:val="16"/>
        </w:rPr>
        <w:t>(</w:t>
      </w:r>
      <w:r>
        <w:rPr>
          <w:rFonts w:ascii="Calibri"/>
          <w:i/>
          <w:spacing w:val="-2"/>
          <w:w w:val="105"/>
          <w:position w:val="16"/>
        </w:rPr>
        <w:t>w</w:t>
      </w:r>
      <w:r>
        <w:rPr>
          <w:rFonts w:ascii="Calibri"/>
          <w:spacing w:val="-2"/>
          <w:w w:val="105"/>
          <w:position w:val="16"/>
        </w:rPr>
        <w:t>)</w:t>
      </w:r>
      <w:r>
        <w:rPr>
          <w:rFonts w:ascii="Calibri"/>
          <w:i/>
          <w:spacing w:val="-2"/>
          <w:w w:val="105"/>
        </w:rPr>
        <w:t>.</w:t>
      </w:r>
      <w:r>
        <w:rPr>
          <w:rFonts w:ascii="Calibri"/>
          <w:i/>
        </w:rPr>
        <w:tab/>
      </w:r>
      <w:r>
        <w:rPr>
          <w:spacing w:val="-2"/>
          <w:w w:val="110"/>
        </w:rPr>
        <w:t>(3.18)</w:t>
      </w:r>
    </w:p>
    <w:p>
      <w:pPr>
        <w:pStyle w:val="BodyText"/>
        <w:spacing w:line="287" w:lineRule="exact"/>
        <w:ind w:left="1669"/>
        <w:jc w:val="center"/>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spacing w:line="456" w:lineRule="exact" w:before="200"/>
        <w:ind w:left="276" w:right="524" w:hanging="2"/>
        <w:jc w:val="both"/>
      </w:pPr>
      <w:r>
        <w:rPr/>
        <w:t>The primary definition of realized_gain_proxy is the raw sum of positive PnL. A size-weighted variant</w:t>
      </w:r>
      <w:r>
        <w:rPr>
          <w:spacing w:val="29"/>
        </w:rPr>
        <w:t> </w:t>
      </w:r>
      <w:r>
        <w:rPr/>
        <w:t>multiplies</w:t>
      </w:r>
      <w:r>
        <w:rPr>
          <w:spacing w:val="29"/>
        </w:rPr>
        <w:t> </w:t>
      </w:r>
      <w:r>
        <w:rPr/>
        <w:t>each</w:t>
      </w:r>
      <w:r>
        <w:rPr>
          <w:spacing w:val="29"/>
        </w:rPr>
        <w:t> </w:t>
      </w:r>
      <w:r>
        <w:rPr/>
        <w:t>positive</w:t>
      </w:r>
      <w:r>
        <w:rPr>
          <w:spacing w:val="29"/>
        </w:rPr>
        <w:t> </w:t>
      </w:r>
      <w:r>
        <w:rPr/>
        <w:t>PnL</w:t>
      </w:r>
      <w:r>
        <w:rPr>
          <w:spacing w:val="29"/>
        </w:rPr>
        <w:t> </w:t>
      </w:r>
      <w:r>
        <w:rPr/>
        <w:t>by</w:t>
      </w:r>
      <w:r>
        <w:rPr>
          <w:spacing w:val="29"/>
        </w:rPr>
        <w:t> </w:t>
      </w:r>
      <w:r>
        <w:rPr/>
        <w:t>max</w:t>
      </w:r>
      <w:r>
        <w:rPr>
          <w:rFonts w:ascii="Calibri" w:hAnsi="Calibri"/>
        </w:rPr>
        <w:t>(</w:t>
      </w:r>
      <w:r>
        <w:rPr>
          <w:rFonts w:ascii="Lucida Sans Unicode" w:hAnsi="Lucida Sans Unicode"/>
        </w:rPr>
        <w:t>|</w:t>
      </w:r>
      <w:r>
        <w:rPr>
          <w:rFonts w:ascii="Calibri" w:hAnsi="Calibri"/>
          <w:i/>
        </w:rPr>
        <w:t>s</w:t>
      </w:r>
      <w:r>
        <w:rPr>
          <w:rFonts w:ascii="Cambria" w:hAnsi="Cambria"/>
          <w:vertAlign w:val="subscript"/>
        </w:rPr>
        <w:t>c</w:t>
      </w:r>
      <w:r>
        <w:rPr>
          <w:rFonts w:ascii="Lucida Sans Unicode" w:hAnsi="Lucida Sans Unicode"/>
          <w:vertAlign w:val="baseline"/>
        </w:rPr>
        <w:t>|</w:t>
      </w:r>
      <w:r>
        <w:rPr>
          <w:rFonts w:ascii="Calibri" w:hAnsi="Calibri"/>
          <w:i/>
          <w:vertAlign w:val="baseline"/>
        </w:rPr>
        <w:t>,</w:t>
      </w:r>
      <w:r>
        <w:rPr>
          <w:rFonts w:ascii="Calibri" w:hAnsi="Calibri"/>
          <w:i/>
          <w:spacing w:val="-5"/>
          <w:vertAlign w:val="baseline"/>
        </w:rPr>
        <w:t> </w:t>
      </w:r>
      <w:r>
        <w:rPr>
          <w:rFonts w:ascii="Calibri" w:hAnsi="Calibri"/>
          <w:vertAlign w:val="baseline"/>
        </w:rPr>
        <w:t>1)</w:t>
      </w:r>
      <w:r>
        <w:rPr>
          <w:vertAlign w:val="baseline"/>
        </w:rPr>
        <w:t>,</w:t>
      </w:r>
      <w:r>
        <w:rPr>
          <w:spacing w:val="32"/>
          <w:vertAlign w:val="baseline"/>
        </w:rPr>
        <w:t> </w:t>
      </w:r>
      <w:r>
        <w:rPr>
          <w:vertAlign w:val="baseline"/>
        </w:rPr>
        <w:t>where</w:t>
      </w:r>
      <w:r>
        <w:rPr>
          <w:spacing w:val="29"/>
          <w:vertAlign w:val="baseline"/>
        </w:rPr>
        <w:t> </w:t>
      </w:r>
      <w:r>
        <w:rPr>
          <w:rFonts w:ascii="Calibri" w:hAnsi="Calibri"/>
          <w:i/>
          <w:vertAlign w:val="baseline"/>
        </w:rPr>
        <w:t>s</w:t>
      </w:r>
      <w:r>
        <w:rPr>
          <w:rFonts w:ascii="Cambria" w:hAnsi="Cambria"/>
          <w:vertAlign w:val="subscript"/>
        </w:rPr>
        <w:t>c</w:t>
      </w:r>
      <w:r>
        <w:rPr>
          <w:rFonts w:ascii="Cambria" w:hAnsi="Cambria"/>
          <w:spacing w:val="40"/>
          <w:vertAlign w:val="baseline"/>
        </w:rPr>
        <w:t> </w:t>
      </w:r>
      <w:r>
        <w:rPr>
          <w:vertAlign w:val="baseline"/>
        </w:rPr>
        <w:t>is</w:t>
      </w:r>
      <w:r>
        <w:rPr>
          <w:spacing w:val="29"/>
          <w:vertAlign w:val="baseline"/>
        </w:rPr>
        <w:t> </w:t>
      </w:r>
      <w:r>
        <w:rPr>
          <w:vertAlign w:val="baseline"/>
        </w:rPr>
        <w:t>the</w:t>
      </w:r>
      <w:r>
        <w:rPr>
          <w:spacing w:val="29"/>
          <w:vertAlign w:val="baseline"/>
        </w:rPr>
        <w:t> </w:t>
      </w:r>
      <w:r>
        <w:rPr>
          <w:vertAlign w:val="baseline"/>
        </w:rPr>
        <w:t>close’s</w:t>
      </w:r>
      <w:r>
        <w:rPr>
          <w:spacing w:val="29"/>
          <w:vertAlign w:val="baseline"/>
        </w:rPr>
        <w:t> </w:t>
      </w:r>
      <w:r>
        <w:rPr>
          <w:rFonts w:ascii="Calibri" w:hAnsi="Calibri"/>
          <w:vertAlign w:val="baseline"/>
        </w:rPr>
        <w:t>sizeDeltaUsd</w:t>
      </w:r>
      <w:r>
        <w:rPr>
          <w:vertAlign w:val="baseline"/>
        </w:rPr>
        <w:t>,</w:t>
      </w:r>
      <w:r>
        <w:rPr>
          <w:spacing w:val="32"/>
          <w:vertAlign w:val="baseline"/>
        </w:rPr>
        <w:t> </w:t>
      </w:r>
      <w:r>
        <w:rPr>
          <w:vertAlign w:val="baseline"/>
        </w:rPr>
        <w:t>and is used only in robustness checks (Section </w:t>
      </w:r>
      <w:hyperlink w:history="true" w:anchor="_bookmark73">
        <w:r>
          <w:rPr>
            <w:vertAlign w:val="baseline"/>
          </w:rPr>
          <w:t>3.12</w:t>
        </w:r>
      </w:hyperlink>
      <w:r>
        <w:rPr>
          <w:vertAlign w:val="baseline"/>
        </w:rPr>
        <w:t>).</w:t>
      </w:r>
      <w:r>
        <w:rPr>
          <w:spacing w:val="32"/>
          <w:vertAlign w:val="baseline"/>
        </w:rPr>
        <w:t> </w:t>
      </w:r>
      <w:r>
        <w:rPr>
          <w:vertAlign w:val="baseline"/>
        </w:rPr>
        <w:t>These proxies operationalize trading success on GMX</w:t>
      </w:r>
      <w:r>
        <w:rPr>
          <w:spacing w:val="-8"/>
          <w:vertAlign w:val="baseline"/>
        </w:rPr>
        <w:t> </w:t>
      </w:r>
      <w:r>
        <w:rPr>
          <w:vertAlign w:val="baseline"/>
        </w:rPr>
        <w:t>V2</w:t>
      </w:r>
      <w:r>
        <w:rPr>
          <w:spacing w:val="-8"/>
          <w:vertAlign w:val="baseline"/>
        </w:rPr>
        <w:t> </w:t>
      </w:r>
      <w:r>
        <w:rPr>
          <w:vertAlign w:val="baseline"/>
        </w:rPr>
        <w:t>perpetual</w:t>
      </w:r>
      <w:r>
        <w:rPr>
          <w:spacing w:val="-8"/>
          <w:vertAlign w:val="baseline"/>
        </w:rPr>
        <w:t> </w:t>
      </w:r>
      <w:r>
        <w:rPr>
          <w:vertAlign w:val="baseline"/>
        </w:rPr>
        <w:t>markets</w:t>
      </w:r>
      <w:r>
        <w:rPr>
          <w:spacing w:val="-8"/>
          <w:vertAlign w:val="baseline"/>
        </w:rPr>
        <w:t> </w:t>
      </w:r>
      <w:hyperlink w:history="true" w:anchor="_bookmark156">
        <w:r>
          <w:rPr>
            <w:vertAlign w:val="superscript"/>
          </w:rPr>
          <w:t>[23]</w:t>
        </w:r>
      </w:hyperlink>
      <w:r>
        <w:rPr>
          <w:vertAlign w:val="superscript"/>
        </w:rPr>
        <w:t>,</w:t>
      </w:r>
      <w:hyperlink w:history="true" w:anchor="_bookmark186">
        <w:r>
          <w:rPr>
            <w:vertAlign w:val="superscript"/>
          </w:rPr>
          <w:t>[53]</w:t>
        </w:r>
      </w:hyperlink>
      <w:r>
        <w:rPr>
          <w:vertAlign w:val="baseline"/>
        </w:rPr>
        <w:t>.</w:t>
      </w:r>
      <w:r>
        <w:rPr>
          <w:spacing w:val="18"/>
          <w:vertAlign w:val="baseline"/>
        </w:rPr>
        <w:t> </w:t>
      </w:r>
      <w:r>
        <w:rPr>
          <w:vertAlign w:val="baseline"/>
        </w:rPr>
        <w:t>They</w:t>
      </w:r>
      <w:r>
        <w:rPr>
          <w:spacing w:val="-8"/>
          <w:vertAlign w:val="baseline"/>
        </w:rPr>
        <w:t> </w:t>
      </w:r>
      <w:r>
        <w:rPr>
          <w:vertAlign w:val="baseline"/>
        </w:rPr>
        <w:t>are</w:t>
      </w:r>
      <w:r>
        <w:rPr>
          <w:spacing w:val="-8"/>
          <w:vertAlign w:val="baseline"/>
        </w:rPr>
        <w:t> </w:t>
      </w:r>
      <w:r>
        <w:rPr>
          <w:vertAlign w:val="baseline"/>
        </w:rPr>
        <w:t>outcome</w:t>
      </w:r>
      <w:r>
        <w:rPr>
          <w:spacing w:val="-8"/>
          <w:vertAlign w:val="baseline"/>
        </w:rPr>
        <w:t> </w:t>
      </w:r>
      <w:r>
        <w:rPr>
          <w:vertAlign w:val="baseline"/>
        </w:rPr>
        <w:t>measures,</w:t>
      </w:r>
      <w:r>
        <w:rPr>
          <w:spacing w:val="-6"/>
          <w:vertAlign w:val="baseline"/>
        </w:rPr>
        <w:t> </w:t>
      </w:r>
      <w:r>
        <w:rPr>
          <w:vertAlign w:val="baseline"/>
        </w:rPr>
        <w:t>not</w:t>
      </w:r>
      <w:r>
        <w:rPr>
          <w:spacing w:val="-8"/>
          <w:vertAlign w:val="baseline"/>
        </w:rPr>
        <w:t> </w:t>
      </w:r>
      <w:r>
        <w:rPr>
          <w:vertAlign w:val="baseline"/>
        </w:rPr>
        <w:t>social-graph</w:t>
      </w:r>
      <w:r>
        <w:rPr>
          <w:spacing w:val="-8"/>
          <w:vertAlign w:val="baseline"/>
        </w:rPr>
        <w:t> </w:t>
      </w:r>
      <w:r>
        <w:rPr>
          <w:vertAlign w:val="baseline"/>
        </w:rPr>
        <w:t>features:</w:t>
      </w:r>
      <w:r>
        <w:rPr>
          <w:spacing w:val="16"/>
          <w:vertAlign w:val="baseline"/>
        </w:rPr>
        <w:t> </w:t>
      </w:r>
      <w:r>
        <w:rPr>
          <w:vertAlign w:val="baseline"/>
        </w:rPr>
        <w:t>neither EndorseRank nor AWP reads </w:t>
      </w:r>
      <w:r>
        <w:rPr>
          <w:rFonts w:ascii="Calibri" w:hAnsi="Calibri"/>
          <w:vertAlign w:val="baseline"/>
        </w:rPr>
        <w:t>basePnlUsd </w:t>
      </w:r>
      <w:r>
        <w:rPr>
          <w:vertAlign w:val="baseline"/>
        </w:rPr>
        <w:t>when building edges.</w:t>
      </w:r>
      <w:r>
        <w:rPr>
          <w:spacing w:val="39"/>
          <w:vertAlign w:val="baseline"/>
        </w:rPr>
        <w:t> </w:t>
      </w:r>
      <w:r>
        <w:rPr>
          <w:vertAlign w:val="baseline"/>
        </w:rPr>
        <w:t>Consequently, non-trivial align-ment</w:t>
      </w:r>
      <w:r>
        <w:rPr>
          <w:spacing w:val="-11"/>
          <w:vertAlign w:val="baseline"/>
        </w:rPr>
        <w:t> </w:t>
      </w:r>
      <w:r>
        <w:rPr>
          <w:vertAlign w:val="baseline"/>
        </w:rPr>
        <w:t>with</w:t>
      </w:r>
      <w:r>
        <w:rPr>
          <w:spacing w:val="-10"/>
          <w:vertAlign w:val="baseline"/>
        </w:rPr>
        <w:t> </w:t>
      </w:r>
      <w:r>
        <w:rPr>
          <w:vertAlign w:val="baseline"/>
        </w:rPr>
        <w:t>trading</w:t>
      </w:r>
      <w:r>
        <w:rPr>
          <w:spacing w:val="-10"/>
          <w:vertAlign w:val="baseline"/>
        </w:rPr>
        <w:t> </w:t>
      </w:r>
      <w:r>
        <w:rPr>
          <w:vertAlign w:val="baseline"/>
        </w:rPr>
        <w:t>success</w:t>
      </w:r>
      <w:r>
        <w:rPr>
          <w:spacing w:val="-11"/>
          <w:vertAlign w:val="baseline"/>
        </w:rPr>
        <w:t> </w:t>
      </w:r>
      <w:r>
        <w:rPr>
          <w:vertAlign w:val="baseline"/>
        </w:rPr>
        <w:t>is</w:t>
      </w:r>
      <w:r>
        <w:rPr>
          <w:spacing w:val="-10"/>
          <w:vertAlign w:val="baseline"/>
        </w:rPr>
        <w:t> </w:t>
      </w:r>
      <w:r>
        <w:rPr>
          <w:vertAlign w:val="baseline"/>
        </w:rPr>
        <w:t>the</w:t>
      </w:r>
      <w:r>
        <w:rPr>
          <w:spacing w:val="-10"/>
          <w:vertAlign w:val="baseline"/>
        </w:rPr>
        <w:t> </w:t>
      </w:r>
      <w:r>
        <w:rPr>
          <w:vertAlign w:val="baseline"/>
        </w:rPr>
        <w:t>strongest</w:t>
      </w:r>
      <w:r>
        <w:rPr>
          <w:spacing w:val="-11"/>
          <w:vertAlign w:val="baseline"/>
        </w:rPr>
        <w:t> </w:t>
      </w:r>
      <w:r>
        <w:rPr>
          <w:vertAlign w:val="baseline"/>
        </w:rPr>
        <w:t>form</w:t>
      </w:r>
      <w:r>
        <w:rPr>
          <w:spacing w:val="-10"/>
          <w:vertAlign w:val="baseline"/>
        </w:rPr>
        <w:t> </w:t>
      </w:r>
      <w:r>
        <w:rPr>
          <w:vertAlign w:val="baseline"/>
        </w:rPr>
        <w:t>of</w:t>
      </w:r>
      <w:r>
        <w:rPr>
          <w:spacing w:val="-10"/>
          <w:vertAlign w:val="baseline"/>
        </w:rPr>
        <w:t> </w:t>
      </w:r>
      <w:r>
        <w:rPr>
          <w:vertAlign w:val="baseline"/>
        </w:rPr>
        <w:t>domain</w:t>
      </w:r>
      <w:r>
        <w:rPr>
          <w:spacing w:val="-11"/>
          <w:vertAlign w:val="baseline"/>
        </w:rPr>
        <w:t> </w:t>
      </w:r>
      <w:r>
        <w:rPr>
          <w:vertAlign w:val="baseline"/>
        </w:rPr>
        <w:t>evidence</w:t>
      </w:r>
      <w:r>
        <w:rPr>
          <w:spacing w:val="-10"/>
          <w:vertAlign w:val="baseline"/>
        </w:rPr>
        <w:t> </w:t>
      </w:r>
      <w:r>
        <w:rPr>
          <w:vertAlign w:val="baseline"/>
        </w:rPr>
        <w:t>available</w:t>
      </w:r>
      <w:r>
        <w:rPr>
          <w:spacing w:val="-10"/>
          <w:vertAlign w:val="baseline"/>
        </w:rPr>
        <w:t> </w:t>
      </w:r>
      <w:r>
        <w:rPr>
          <w:vertAlign w:val="baseline"/>
        </w:rPr>
        <w:t>in</w:t>
      </w:r>
      <w:r>
        <w:rPr>
          <w:spacing w:val="-10"/>
          <w:vertAlign w:val="baseline"/>
        </w:rPr>
        <w:t> </w:t>
      </w:r>
      <w:r>
        <w:rPr>
          <w:vertAlign w:val="baseline"/>
        </w:rPr>
        <w:t>this</w:t>
      </w:r>
      <w:r>
        <w:rPr>
          <w:spacing w:val="-11"/>
          <w:vertAlign w:val="baseline"/>
        </w:rPr>
        <w:t> </w:t>
      </w:r>
      <w:r>
        <w:rPr>
          <w:vertAlign w:val="baseline"/>
        </w:rPr>
        <w:t>design</w:t>
      </w:r>
      <w:r>
        <w:rPr>
          <w:spacing w:val="-10"/>
          <w:vertAlign w:val="baseline"/>
        </w:rPr>
        <w:t> </w:t>
      </w:r>
      <w:r>
        <w:rPr>
          <w:vertAlign w:val="baseline"/>
        </w:rPr>
        <w:t>short</w:t>
      </w:r>
      <w:r>
        <w:rPr>
          <w:spacing w:val="-10"/>
          <w:vertAlign w:val="baseline"/>
        </w:rPr>
        <w:t> </w:t>
      </w:r>
      <w:r>
        <w:rPr>
          <w:vertAlign w:val="baseline"/>
        </w:rPr>
        <w:t>of external</w:t>
      </w:r>
      <w:r>
        <w:rPr>
          <w:spacing w:val="-13"/>
          <w:vertAlign w:val="baseline"/>
        </w:rPr>
        <w:t> </w:t>
      </w:r>
      <w:r>
        <w:rPr>
          <w:vertAlign w:val="baseline"/>
        </w:rPr>
        <w:t>credit</w:t>
      </w:r>
      <w:r>
        <w:rPr>
          <w:spacing w:val="-13"/>
          <w:vertAlign w:val="baseline"/>
        </w:rPr>
        <w:t> </w:t>
      </w:r>
      <w:r>
        <w:rPr>
          <w:vertAlign w:val="baseline"/>
        </w:rPr>
        <w:t>labels.</w:t>
      </w:r>
      <w:r>
        <w:rPr>
          <w:spacing w:val="9"/>
          <w:vertAlign w:val="baseline"/>
        </w:rPr>
        <w:t> </w:t>
      </w:r>
      <w:r>
        <w:rPr>
          <w:vertAlign w:val="baseline"/>
        </w:rPr>
        <w:t>Count,</w:t>
      </w:r>
      <w:r>
        <w:rPr>
          <w:spacing w:val="-12"/>
          <w:vertAlign w:val="baseline"/>
        </w:rPr>
        <w:t> </w:t>
      </w:r>
      <w:r>
        <w:rPr>
          <w:vertAlign w:val="baseline"/>
        </w:rPr>
        <w:t>sum,</w:t>
      </w:r>
      <w:r>
        <w:rPr>
          <w:spacing w:val="-12"/>
          <w:vertAlign w:val="baseline"/>
        </w:rPr>
        <w:t> </w:t>
      </w:r>
      <w:r>
        <w:rPr>
          <w:vertAlign w:val="baseline"/>
        </w:rPr>
        <w:t>and</w:t>
      </w:r>
      <w:r>
        <w:rPr>
          <w:spacing w:val="-13"/>
          <w:vertAlign w:val="baseline"/>
        </w:rPr>
        <w:t> </w:t>
      </w:r>
      <w:r>
        <w:rPr>
          <w:vertAlign w:val="baseline"/>
        </w:rPr>
        <w:t>rate</w:t>
      </w:r>
      <w:r>
        <w:rPr>
          <w:spacing w:val="-13"/>
          <w:vertAlign w:val="baseline"/>
        </w:rPr>
        <w:t> </w:t>
      </w:r>
      <w:r>
        <w:rPr>
          <w:vertAlign w:val="baseline"/>
        </w:rPr>
        <w:t>capture</w:t>
      </w:r>
      <w:r>
        <w:rPr>
          <w:spacing w:val="-13"/>
          <w:vertAlign w:val="baseline"/>
        </w:rPr>
        <w:t> </w:t>
      </w:r>
      <w:r>
        <w:rPr>
          <w:vertAlign w:val="baseline"/>
        </w:rPr>
        <w:t>complementary</w:t>
      </w:r>
      <w:r>
        <w:rPr>
          <w:spacing w:val="-13"/>
          <w:vertAlign w:val="baseline"/>
        </w:rPr>
        <w:t> </w:t>
      </w:r>
      <w:r>
        <w:rPr>
          <w:vertAlign w:val="baseline"/>
        </w:rPr>
        <w:t>aspects</w:t>
      </w:r>
      <w:r>
        <w:rPr>
          <w:spacing w:val="-13"/>
          <w:vertAlign w:val="baseline"/>
        </w:rPr>
        <w:t> </w:t>
      </w:r>
      <w:r>
        <w:rPr>
          <w:vertAlign w:val="baseline"/>
        </w:rPr>
        <w:t>of</w:t>
      </w:r>
      <w:r>
        <w:rPr>
          <w:spacing w:val="-13"/>
          <w:vertAlign w:val="baseline"/>
        </w:rPr>
        <w:t> </w:t>
      </w:r>
      <w:r>
        <w:rPr>
          <w:vertAlign w:val="baseline"/>
        </w:rPr>
        <w:t>success—frequency, magnitude, and consistency—so family-level mean </w:t>
      </w:r>
      <w:r>
        <w:rPr>
          <w:rFonts w:ascii="Calibri" w:hAnsi="Calibri"/>
          <w:i/>
          <w:vertAlign w:val="baseline"/>
        </w:rPr>
        <w:t>τ</w:t>
      </w:r>
      <w:r>
        <w:rPr>
          <w:rFonts w:ascii="Calibri" w:hAnsi="Calibri"/>
          <w:i/>
          <w:spacing w:val="31"/>
          <w:vertAlign w:val="baseline"/>
        </w:rPr>
        <w:t> </w:t>
      </w:r>
      <w:r>
        <w:rPr>
          <w:vertAlign w:val="baseline"/>
        </w:rPr>
        <w:t>is not dominated by a single operationaliza-</w:t>
      </w:r>
      <w:bookmarkStart w:name="Liquidation family (ancillary)" w:id="128"/>
      <w:bookmarkEnd w:id="128"/>
      <w:r>
        <w:rPr>
          <w:spacing w:val="-2"/>
          <w:w w:val="110"/>
          <w:vertAlign w:val="baseline"/>
        </w:rPr>
        <w:t>tion.</w:t>
      </w:r>
    </w:p>
    <w:p>
      <w:pPr>
        <w:pStyle w:val="BodyText"/>
        <w:spacing w:line="456" w:lineRule="exact" w:before="200"/>
        <w:ind w:left="276" w:right="524" w:hanging="2"/>
        <w:jc w:val="both"/>
      </w:pPr>
      <w:r>
        <w:rPr>
          <w:i/>
        </w:rPr>
        <w:t>실현_이득_프록시의 기본 정의는 양수 PnL의 원시 합계입니다. 크기 가중치 변형은 각각의 양수 PnL에 max(|sc|, 1)를 곱합니다. 여기서 sc는 종가의 sizeDeltaUsd이며 견고성 검사에만 사용됩니다(섹션 3.12). 이러한 프록시는 GMX V2 영구 시장에서 거래 성공을 실현합니다[23],[53]. 소셜 그래프 기능이 아닌 결과 측정입니다. EndorseRank 또는 AWP는 가장자리를 구축할 때 basePnlUsd를 읽지 않습니다. 결과적으로, 거래 성공과의 사소한 일치는 외부 신용 라벨이 부족한 이 디자인에서 사용할 수 있는 가장 강력한 형태의 도메인 증거입니다. 개수, 합계 및 비율은 성공의 보완적인 측면(빈도, 크기 및 일관성)을 포착하므로 가족 수준 평균 τ는 단일 조작화에 의해 지배되지 않습니다.</w:t>
      </w:r>
    </w:p>
    <w:p>
      <w:pPr>
        <w:pStyle w:val="BodyText"/>
        <w:spacing w:before="150"/>
      </w:pPr>
    </w:p>
    <w:p>
      <w:pPr>
        <w:pStyle w:val="Heading4"/>
        <w:numPr>
          <w:ilvl w:val="2"/>
          <w:numId w:val="8"/>
        </w:numPr>
        <w:tabs>
          <w:tab w:pos="879" w:val="left" w:leader="none"/>
        </w:tabs>
        <w:spacing w:line="240" w:lineRule="auto" w:before="1" w:after="0"/>
        <w:ind w:left="879" w:right="0" w:hanging="597"/>
        <w:jc w:val="left"/>
      </w:pPr>
      <w:r>
        <w:rPr>
          <w:spacing w:val="-2"/>
        </w:rPr>
        <w:t>Liquidation</w:t>
      </w:r>
      <w:r>
        <w:rPr>
          <w:spacing w:val="1"/>
        </w:rPr>
        <w:t> </w:t>
      </w:r>
      <w:r>
        <w:rPr>
          <w:spacing w:val="-2"/>
        </w:rPr>
        <w:t>family</w:t>
      </w:r>
      <w:r>
        <w:rPr>
          <w:spacing w:val="2"/>
        </w:rPr>
        <w:t> </w:t>
      </w:r>
      <w:r>
        <w:rPr>
          <w:spacing w:val="-2"/>
        </w:rPr>
        <w:t>(ancillary)</w:t>
      </w:r>
    </w:p>
    <w:p>
      <w:pPr>
        <w:pStyle w:val="Heading4"/>
        <w:numPr>
          <w:ilvl w:val="2"/>
          <w:numId w:val="8"/>
        </w:numPr>
        <w:tabs>
          <w:tab w:pos="879" w:val="left" w:leader="none"/>
        </w:tabs>
        <w:spacing w:line="240" w:lineRule="auto" w:before="1" w:after="0"/>
        <w:ind w:left="879" w:right="0" w:hanging="597"/>
        <w:jc w:val="left"/>
      </w:pPr>
      <w:r>
        <w:rPr>
          <w:i/>
        </w:rPr>
        <w:t>청산가족(보조)</w:t>
      </w:r>
    </w:p>
    <w:p>
      <w:pPr>
        <w:pStyle w:val="BodyText"/>
        <w:spacing w:before="46"/>
        <w:rPr>
          <w:b/>
        </w:rPr>
      </w:pPr>
    </w:p>
    <w:p>
      <w:pPr>
        <w:pStyle w:val="BodyText"/>
        <w:ind w:left="282"/>
        <w:jc w:val="both"/>
      </w:pPr>
      <w:r>
        <w:rPr/>
        <w:t>For</w:t>
      </w:r>
      <w:r>
        <w:rPr>
          <w:spacing w:val="-8"/>
        </w:rPr>
        <w:t> </w:t>
      </w:r>
      <w:r>
        <w:rPr/>
        <w:t>completeness,</w:t>
      </w:r>
      <w:r>
        <w:rPr>
          <w:spacing w:val="-7"/>
        </w:rPr>
        <w:t> </w:t>
      </w:r>
      <w:r>
        <w:rPr/>
        <w:t>the</w:t>
      </w:r>
      <w:r>
        <w:rPr>
          <w:spacing w:val="-7"/>
        </w:rPr>
        <w:t> </w:t>
      </w:r>
      <w:r>
        <w:rPr/>
        <w:t>pipeline</w:t>
      </w:r>
      <w:r>
        <w:rPr>
          <w:spacing w:val="-8"/>
        </w:rPr>
        <w:t> </w:t>
      </w:r>
      <w:r>
        <w:rPr/>
        <w:t>also</w:t>
      </w:r>
      <w:r>
        <w:rPr>
          <w:spacing w:val="-7"/>
        </w:rPr>
        <w:t> </w:t>
      </w:r>
      <w:r>
        <w:rPr>
          <w:spacing w:val="-2"/>
        </w:rPr>
        <w:t>computes</w:t>
      </w:r>
    </w:p>
    <w:p>
      <w:pPr>
        <w:pStyle w:val="BodyText"/>
        <w:ind w:left="282"/>
        <w:jc w:val="both"/>
      </w:pPr>
      <w:r>
        <w:rPr>
          <w:i/>
        </w:rPr>
        <w:t>완전성을 위해 파이프라인은 다음도 계산합니다.</w:t>
      </w:r>
    </w:p>
    <w:p>
      <w:pPr>
        <w:pStyle w:val="BodyText"/>
        <w:spacing w:before="118"/>
      </w:pPr>
    </w:p>
    <w:p>
      <w:pPr>
        <w:pStyle w:val="BodyText"/>
        <w:tabs>
          <w:tab w:pos="6381" w:val="left" w:leader="none"/>
          <w:tab w:pos="9077" w:val="left" w:leader="none"/>
        </w:tabs>
        <w:spacing w:line="392" w:lineRule="exact"/>
        <w:ind w:left="2984"/>
      </w:pPr>
      <w:r>
        <w:rPr/>
        <mc:AlternateContent>
          <mc:Choice Requires="wps">
            <w:drawing>
              <wp:anchor distT="0" distB="0" distL="0" distR="0" allowOverlap="1" layoutInCell="1" locked="0" behindDoc="1" simplePos="0" relativeHeight="484025344">
                <wp:simplePos x="0" y="0"/>
                <wp:positionH relativeFrom="page">
                  <wp:posOffset>4499470</wp:posOffset>
                </wp:positionH>
                <wp:positionV relativeFrom="paragraph">
                  <wp:posOffset>208942</wp:posOffset>
                </wp:positionV>
                <wp:extent cx="399415"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399415" cy="1270"/>
                        </a:xfrm>
                        <a:custGeom>
                          <a:avLst/>
                          <a:gdLst/>
                          <a:ahLst/>
                          <a:cxnLst/>
                          <a:rect l="l" t="t" r="r" b="b"/>
                          <a:pathLst>
                            <a:path w="399415" h="0">
                              <a:moveTo>
                                <a:pt x="0" y="0"/>
                              </a:moveTo>
                              <a:lnTo>
                                <a:pt x="399135"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1136" from="354.289001pt,16.452152pt" to="385.717001pt,16.452152pt" stroked="true" strokeweight=".4782pt" strokecolor="#000000">
                <v:stroke dashstyle="solid"/>
                <w10:wrap type="none"/>
              </v:line>
            </w:pict>
          </mc:Fallback>
        </mc:AlternateContent>
      </w:r>
      <w:r>
        <w:rPr/>
        <mc:AlternateContent>
          <mc:Choice Requires="wps">
            <w:drawing>
              <wp:anchor distT="0" distB="0" distL="0" distR="0" allowOverlap="1" layoutInCell="1" locked="0" behindDoc="1" simplePos="0" relativeHeight="484026368">
                <wp:simplePos x="0" y="0"/>
                <wp:positionH relativeFrom="page">
                  <wp:posOffset>4522152</wp:posOffset>
                </wp:positionH>
                <wp:positionV relativeFrom="paragraph">
                  <wp:posOffset>-84343</wp:posOffset>
                </wp:positionV>
                <wp:extent cx="160655" cy="5632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356.075012pt;margin-top:-6.641248pt;width:12.65pt;height:44.35pt;mso-position-horizontal-relative:page;mso-position-vertical-relative:paragraph;z-index:-19290112" type="#_x0000_t202" id="docshape150" filled="false" stroked="false">
                <v:textbox inset="0,0,0,0">
                  <w:txbxContent>
                    <w:p>
                      <w:pPr>
                        <w:pStyle w:val="BodyText"/>
                        <w:spacing w:line="231" w:lineRule="exact"/>
                      </w:pPr>
                      <w:r>
                        <w:rPr>
                          <w:spacing w:val="-10"/>
                          <w:w w:val="180"/>
                        </w:rPr>
                        <w:t>Σ</w:t>
                      </w:r>
                    </w:p>
                  </w:txbxContent>
                </v:textbox>
                <w10:wrap type="none"/>
              </v:shape>
            </w:pict>
          </mc:Fallback>
        </mc:AlternateContent>
      </w:r>
      <w:r>
        <w:rPr/>
        <w:t>liquidation_free_rate</w:t>
      </w:r>
      <w:r>
        <w:rPr>
          <w:rFonts w:ascii="Calibri" w:hAnsi="Calibri"/>
        </w:rPr>
        <w:t>(</w:t>
      </w:r>
      <w:r>
        <w:rPr>
          <w:rFonts w:ascii="Calibri" w:hAnsi="Calibri"/>
          <w:i/>
        </w:rPr>
        <w:t>w</w:t>
      </w:r>
      <w:r>
        <w:rPr>
          <w:rFonts w:ascii="Calibri" w:hAnsi="Calibri"/>
        </w:rPr>
        <w:t>)</w:t>
      </w:r>
      <w:r>
        <w:rPr>
          <w:rFonts w:ascii="Calibri" w:hAnsi="Calibri"/>
          <w:spacing w:val="17"/>
          <w:w w:val="120"/>
        </w:rPr>
        <w:t> </w:t>
      </w:r>
      <w:r>
        <w:rPr>
          <w:rFonts w:ascii="Calibri" w:hAnsi="Calibri"/>
          <w:w w:val="120"/>
        </w:rPr>
        <w:t>=</w:t>
      </w:r>
      <w:r>
        <w:rPr>
          <w:rFonts w:ascii="Calibri" w:hAnsi="Calibri"/>
          <w:spacing w:val="18"/>
          <w:w w:val="120"/>
        </w:rPr>
        <w:t> </w:t>
      </w:r>
      <w:r>
        <w:rPr>
          <w:rFonts w:ascii="Calibri" w:hAnsi="Calibri"/>
        </w:rPr>
        <w:t>1</w:t>
      </w:r>
      <w:r>
        <w:rPr>
          <w:rFonts w:ascii="Calibri" w:hAnsi="Calibri"/>
          <w:spacing w:val="13"/>
        </w:rPr>
        <w:t> </w:t>
      </w:r>
      <w:r>
        <w:rPr>
          <w:rFonts w:ascii="Lucida Sans Unicode" w:hAnsi="Lucida Sans Unicode"/>
          <w:spacing w:val="-10"/>
        </w:rPr>
        <w:t>—</w:t>
      </w:r>
      <w:r>
        <w:rPr>
          <w:rFonts w:ascii="Lucida Sans Unicode" w:hAnsi="Lucida Sans Unicode"/>
        </w:rPr>
        <w:tab/>
      </w:r>
      <w:r>
        <w:rPr>
          <w:rFonts w:ascii="Cambria" w:hAnsi="Cambria"/>
          <w:vertAlign w:val="superscript"/>
        </w:rPr>
        <w:t>c</w:t>
      </w:r>
      <w:r>
        <w:rPr>
          <w:rFonts w:ascii="Cambria" w:hAnsi="Cambria"/>
          <w:spacing w:val="-11"/>
          <w:vertAlign w:val="baseline"/>
        </w:rPr>
        <w:t> </w:t>
      </w:r>
      <w:r>
        <w:rPr>
          <w:rFonts w:ascii="Calibri" w:hAnsi="Calibri"/>
          <w:i/>
          <w:position w:val="16"/>
          <w:vertAlign w:val="baseline"/>
        </w:rPr>
        <w:t>ℓ</w:t>
      </w:r>
      <w:r>
        <w:rPr>
          <w:rFonts w:ascii="Cambria" w:hAnsi="Cambria"/>
          <w:position w:val="13"/>
          <w:sz w:val="16"/>
          <w:vertAlign w:val="baseline"/>
        </w:rPr>
        <w:t>c</w:t>
      </w:r>
      <w:r>
        <w:rPr>
          <w:rFonts w:ascii="Cambria" w:hAnsi="Cambria"/>
          <w:spacing w:val="23"/>
          <w:position w:val="13"/>
          <w:sz w:val="16"/>
          <w:vertAlign w:val="baseline"/>
        </w:rPr>
        <w:t> </w:t>
      </w:r>
      <w:r>
        <w:rPr>
          <w:rFonts w:ascii="Calibri" w:hAnsi="Calibri"/>
          <w:i/>
          <w:spacing w:val="-10"/>
          <w:vertAlign w:val="baseline"/>
        </w:rPr>
        <w:t>,</w:t>
      </w:r>
      <w:r>
        <w:rPr>
          <w:rFonts w:ascii="Calibri" w:hAnsi="Calibri"/>
          <w:i/>
          <w:vertAlign w:val="baseline"/>
        </w:rPr>
        <w:tab/>
      </w:r>
      <w:r>
        <w:rPr>
          <w:spacing w:val="-2"/>
          <w:vertAlign w:val="baseline"/>
        </w:rPr>
        <w:t>(3.19)</w:t>
      </w:r>
    </w:p>
    <w:p>
      <w:pPr>
        <w:pStyle w:val="BodyText"/>
        <w:tabs>
          <w:tab w:pos="6381" w:val="left" w:leader="none"/>
          <w:tab w:pos="9077" w:val="left" w:leader="none"/>
        </w:tabs>
        <w:spacing w:line="392" w:lineRule="exact"/>
        <w:ind w:left="2984"/>
      </w:pPr>
      <w:r>
        <w:rPr>
          <w:i/>
        </w:rPr>
        <w:t>liquidation_free_rate(w) = 1 —</w:t>
        <w:tab/>
        <w:t>cℓc ,</w:t>
        <w:tab/>
        <w:t>(3.19)</w:t>
      </w:r>
    </w:p>
    <w:p>
      <w:pPr>
        <w:pStyle w:val="BodyText"/>
        <w:spacing w:line="176" w:lineRule="exact"/>
        <w:ind w:left="3232" w:right="622"/>
        <w:jc w:val="center"/>
        <w:rPr>
          <w:rFonts w:ascii="Lucida Sans Unicode"/>
        </w:rPr>
      </w:pPr>
      <w:r>
        <w:rPr>
          <w:rFonts w:ascii="Lucida Sans Unicode"/>
          <w:spacing w:val="-2"/>
        </w:rPr>
        <w:t>|C</w:t>
      </w:r>
      <w:r>
        <w:rPr>
          <w:rFonts w:ascii="Calibri"/>
          <w:spacing w:val="-2"/>
        </w:rPr>
        <w:t>(</w:t>
      </w:r>
      <w:r>
        <w:rPr>
          <w:rFonts w:ascii="Calibri"/>
          <w:i/>
          <w:spacing w:val="-2"/>
        </w:rPr>
        <w:t>w</w:t>
      </w:r>
      <w:r>
        <w:rPr>
          <w:rFonts w:ascii="Calibri"/>
          <w:spacing w:val="-2"/>
        </w:rPr>
        <w:t>)</w:t>
      </w:r>
      <w:r>
        <w:rPr>
          <w:rFonts w:ascii="Lucida Sans Unicode"/>
          <w:spacing w:val="-2"/>
        </w:rPr>
        <w:t>|</w:t>
      </w:r>
    </w:p>
    <w:p>
      <w:pPr>
        <w:pStyle w:val="BodyText"/>
        <w:tabs>
          <w:tab w:pos="9077" w:val="left" w:leader="none"/>
        </w:tabs>
        <w:spacing w:line="608" w:lineRule="exact"/>
        <w:ind w:left="2931"/>
      </w:pPr>
      <w:r>
        <w:rPr/>
        <mc:AlternateContent>
          <mc:Choice Requires="wps">
            <w:drawing>
              <wp:anchor distT="0" distB="0" distL="0" distR="0" allowOverlap="1" layoutInCell="1" locked="0" behindDoc="1" simplePos="0" relativeHeight="484026880">
                <wp:simplePos x="0" y="0"/>
                <wp:positionH relativeFrom="page">
                  <wp:posOffset>4224375</wp:posOffset>
                </wp:positionH>
                <wp:positionV relativeFrom="paragraph">
                  <wp:posOffset>530325</wp:posOffset>
                </wp:positionV>
                <wp:extent cx="219710" cy="56324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32.627991pt;margin-top:41.757889pt;width:17.3pt;height:44.35pt;mso-position-horizontal-relative:page;mso-position-vertical-relative:paragraph;z-index:-19289600" type="#_x0000_t202" id="docshape151" filled="false" stroked="false">
                <v:textbox inset="0,0,0,0">
                  <w:txbxContent>
                    <w:p>
                      <w:pPr>
                        <w:pStyle w:val="BodyText"/>
                        <w:spacing w:line="231" w:lineRule="exact"/>
                      </w:pPr>
                      <w:r>
                        <w:rPr>
                          <w:spacing w:val="-10"/>
                          <w:w w:val="245"/>
                        </w:rPr>
                        <w:t>Σ</w:t>
                      </w:r>
                    </w:p>
                  </w:txbxContent>
                </v:textbox>
                <w10:wrap type="none"/>
              </v:shape>
            </w:pict>
          </mc:Fallback>
        </mc:AlternateContent>
      </w:r>
      <w:r>
        <w:rPr>
          <w:w w:val="110"/>
        </w:rPr>
        <w:t>zero_liquidation_flag</w:t>
      </w:r>
      <w:r>
        <w:rPr>
          <w:rFonts w:ascii="Calibri" w:hAnsi="Calibri"/>
          <w:w w:val="110"/>
        </w:rPr>
        <w:t>(</w:t>
      </w:r>
      <w:r>
        <w:rPr>
          <w:rFonts w:ascii="Calibri" w:hAnsi="Calibri"/>
          <w:i/>
          <w:w w:val="110"/>
        </w:rPr>
        <w:t>w</w:t>
      </w:r>
      <w:r>
        <w:rPr>
          <w:rFonts w:ascii="Calibri" w:hAnsi="Calibri"/>
          <w:w w:val="110"/>
        </w:rPr>
        <w:t>)</w:t>
      </w:r>
      <w:r>
        <w:rPr>
          <w:rFonts w:ascii="Calibri" w:hAnsi="Calibri"/>
          <w:spacing w:val="-15"/>
          <w:w w:val="110"/>
        </w:rPr>
        <w:t> </w:t>
      </w:r>
      <w:r>
        <w:rPr>
          <w:rFonts w:ascii="Calibri" w:hAnsi="Calibri"/>
          <w:w w:val="125"/>
        </w:rPr>
        <w:t>=</w:t>
      </w:r>
      <w:r>
        <w:rPr>
          <w:rFonts w:ascii="Calibri" w:hAnsi="Calibri"/>
          <w:spacing w:val="-13"/>
          <w:w w:val="125"/>
        </w:rPr>
        <w:t> </w:t>
      </w:r>
      <w:r>
        <w:rPr>
          <w:b/>
          <w:w w:val="125"/>
        </w:rPr>
        <w:t>1</w:t>
      </w:r>
      <w:r>
        <w:rPr>
          <w:w w:val="125"/>
          <w:position w:val="41"/>
        </w:rPr>
        <w:t>"</w:t>
      </w:r>
      <w:r>
        <w:rPr>
          <w:w w:val="125"/>
          <w:position w:val="23"/>
        </w:rPr>
        <w:t>Σ</w:t>
      </w:r>
      <w:r>
        <w:rPr>
          <w:spacing w:val="-36"/>
          <w:w w:val="125"/>
          <w:position w:val="23"/>
        </w:rPr>
        <w:t> </w:t>
      </w:r>
      <w:r>
        <w:rPr>
          <w:rFonts w:ascii="Calibri" w:hAnsi="Calibri"/>
          <w:i/>
          <w:w w:val="110"/>
        </w:rPr>
        <w:t>ℓ</w:t>
      </w:r>
      <w:r>
        <w:rPr>
          <w:rFonts w:ascii="Cambria" w:hAnsi="Cambria"/>
          <w:w w:val="110"/>
          <w:vertAlign w:val="subscript"/>
        </w:rPr>
        <w:t>c</w:t>
      </w:r>
      <w:r>
        <w:rPr>
          <w:rFonts w:ascii="Cambria" w:hAnsi="Cambria"/>
          <w:spacing w:val="-1"/>
          <w:w w:val="125"/>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w w:val="110"/>
          <w:vertAlign w:val="baseline"/>
        </w:rPr>
        <w:t>0</w:t>
      </w:r>
      <w:r>
        <w:rPr>
          <w:w w:val="110"/>
          <w:position w:val="41"/>
          <w:vertAlign w:val="baseline"/>
        </w:rPr>
        <w:t>#</w:t>
      </w:r>
      <w:r>
        <w:rPr>
          <w:spacing w:val="-27"/>
          <w:w w:val="110"/>
          <w:position w:val="41"/>
          <w:vertAlign w:val="baseline"/>
        </w:rPr>
        <w:t> </w:t>
      </w:r>
      <w:r>
        <w:rPr>
          <w:rFonts w:ascii="Calibri" w:hAnsi="Calibri"/>
          <w:i/>
          <w:spacing w:val="-10"/>
          <w:w w:val="110"/>
          <w:vertAlign w:val="baseline"/>
        </w:rPr>
        <w:t>,</w:t>
      </w:r>
      <w:r>
        <w:rPr>
          <w:rFonts w:ascii="Calibri" w:hAnsi="Calibri"/>
          <w:i/>
          <w:vertAlign w:val="baseline"/>
        </w:rPr>
        <w:tab/>
      </w:r>
      <w:r>
        <w:rPr>
          <w:spacing w:val="-2"/>
          <w:w w:val="110"/>
          <w:vertAlign w:val="baseline"/>
        </w:rPr>
        <w:t>(3.20)</w:t>
      </w:r>
    </w:p>
    <w:p>
      <w:pPr>
        <w:pStyle w:val="BodyText"/>
        <w:spacing w:before="9"/>
        <w:rPr>
          <w:sz w:val="5"/>
        </w:rPr>
      </w:pPr>
      <w:r>
        <w:rPr>
          <w:sz w:val="5"/>
        </w:rPr>
        <mc:AlternateContent>
          <mc:Choice Requires="wps">
            <w:drawing>
              <wp:anchor distT="0" distB="0" distL="0" distR="0" allowOverlap="1" layoutInCell="1" locked="0" behindDoc="1" simplePos="0" relativeHeight="487617024">
                <wp:simplePos x="0" y="0"/>
                <wp:positionH relativeFrom="page">
                  <wp:posOffset>4475226</wp:posOffset>
                </wp:positionH>
                <wp:positionV relativeFrom="paragraph">
                  <wp:posOffset>57951</wp:posOffset>
                </wp:positionV>
                <wp:extent cx="46990" cy="101600"/>
                <wp:effectExtent l="0" t="0" r="0" b="0"/>
                <wp:wrapTopAndBottom/>
                <wp:docPr id="222" name="Textbox 222"/>
                <wp:cNvGraphicFramePr>
                  <a:graphicFrameLocks/>
                </wp:cNvGraphicFramePr>
                <a:graphic>
                  <a:graphicData uri="http://schemas.microsoft.com/office/word/2010/wordprocessingShape">
                    <wps:wsp>
                      <wps:cNvPr id="222" name="Textbox 222"/>
                      <wps:cNvSpPr txBox="1"/>
                      <wps:spPr>
                        <a:xfrm>
                          <a:off x="0" y="0"/>
                          <a:ext cx="46990" cy="101600"/>
                        </a:xfrm>
                        <a:prstGeom prst="rect">
                          <a:avLst/>
                        </a:prstGeom>
                      </wps:spPr>
                      <wps:txbx>
                        <w:txbxContent>
                          <w:p>
                            <w:pPr>
                              <w:spacing w:line="155" w:lineRule="exact" w:before="0"/>
                              <w:ind w:left="0" w:right="0" w:firstLine="0"/>
                              <w:jc w:val="left"/>
                              <w:rPr>
                                <w:rFonts w:ascii="Cambria"/>
                                <w:sz w:val="16"/>
                              </w:rPr>
                            </w:pPr>
                            <w:r>
                              <w:rPr>
                                <w:rFonts w:ascii="Cambria"/>
                                <w:spacing w:val="-10"/>
                                <w:sz w:val="16"/>
                              </w:rPr>
                              <w:t>c</w:t>
                            </w:r>
                          </w:p>
                        </w:txbxContent>
                      </wps:txbx>
                      <wps:bodyPr wrap="square" lIns="0" tIns="0" rIns="0" bIns="0" rtlCol="0">
                        <a:noAutofit/>
                      </wps:bodyPr>
                    </wps:wsp>
                  </a:graphicData>
                </a:graphic>
              </wp:anchor>
            </w:drawing>
          </mc:Choice>
          <mc:Fallback>
            <w:pict>
              <v:shape style="position:absolute;margin-left:352.380005pt;margin-top:4.563146pt;width:3.7pt;height:8pt;mso-position-horizontal-relative:page;mso-position-vertical-relative:paragraph;z-index:-15699456;mso-wrap-distance-left:0;mso-wrap-distance-right:0" type="#_x0000_t202" id="docshape152" filled="false" stroked="false">
                <v:textbox inset="0,0,0,0">
                  <w:txbxContent>
                    <w:p>
                      <w:pPr>
                        <w:spacing w:line="155" w:lineRule="exact" w:before="0"/>
                        <w:ind w:left="0" w:right="0" w:firstLine="0"/>
                        <w:jc w:val="left"/>
                        <w:rPr>
                          <w:rFonts w:ascii="Cambria"/>
                          <w:sz w:val="16"/>
                        </w:rPr>
                      </w:pPr>
                      <w:r>
                        <w:rPr>
                          <w:rFonts w:ascii="Cambria"/>
                          <w:spacing w:val="-10"/>
                          <w:sz w:val="16"/>
                        </w:rPr>
                        <w:t>c</w:t>
                      </w:r>
                    </w:p>
                  </w:txbxContent>
                </v:textbox>
                <w10:wrap type="topAndBottom"/>
              </v:shape>
            </w:pict>
          </mc:Fallback>
        </mc:AlternateContent>
      </w:r>
    </w:p>
    <w:p>
      <w:pPr>
        <w:pStyle w:val="BodyText"/>
        <w:tabs>
          <w:tab w:pos="6005" w:val="left" w:leader="none"/>
          <w:tab w:pos="9077" w:val="left" w:leader="none"/>
        </w:tabs>
        <w:spacing w:before="120"/>
        <w:ind w:left="2758"/>
      </w:pPr>
      <w:r>
        <w:rPr/>
        <w:t>liquidation_free_closes</w:t>
      </w:r>
      <w:r>
        <w:rPr>
          <w:rFonts w:ascii="Calibri" w:hAnsi="Calibri"/>
        </w:rPr>
        <w:t>(</w:t>
      </w:r>
      <w:r>
        <w:rPr>
          <w:rFonts w:ascii="Calibri" w:hAnsi="Calibri"/>
          <w:i/>
        </w:rPr>
        <w:t>w</w:t>
      </w:r>
      <w:r>
        <w:rPr>
          <w:rFonts w:ascii="Calibri" w:hAnsi="Calibri"/>
        </w:rPr>
        <w:t>)</w:t>
      </w:r>
      <w:r>
        <w:rPr>
          <w:rFonts w:ascii="Calibri" w:hAnsi="Calibri"/>
          <w:spacing w:val="-9"/>
          <w:w w:val="120"/>
        </w:rPr>
        <w:t> </w:t>
      </w:r>
      <w:r>
        <w:rPr>
          <w:rFonts w:ascii="Calibri" w:hAnsi="Calibri"/>
          <w:spacing w:val="-10"/>
          <w:w w:val="120"/>
        </w:rPr>
        <w:t>=</w:t>
      </w:r>
      <w:r>
        <w:rPr>
          <w:rFonts w:ascii="Calibri" w:hAnsi="Calibri"/>
        </w:rPr>
        <w:tab/>
      </w:r>
      <w:r>
        <w:rPr>
          <w:rFonts w:ascii="Calibri" w:hAnsi="Calibri"/>
          <w:w w:val="90"/>
        </w:rPr>
        <w:t>(1</w:t>
      </w:r>
      <w:r>
        <w:rPr>
          <w:rFonts w:ascii="Calibri" w:hAnsi="Calibri"/>
          <w:spacing w:val="-2"/>
        </w:rPr>
        <w:t> </w:t>
      </w:r>
      <w:r>
        <w:rPr>
          <w:rFonts w:ascii="Lucida Sans Unicode" w:hAnsi="Lucida Sans Unicode"/>
          <w:w w:val="90"/>
        </w:rPr>
        <w:t>—</w:t>
      </w:r>
      <w:r>
        <w:rPr>
          <w:rFonts w:ascii="Lucida Sans Unicode" w:hAnsi="Lucida Sans Unicode"/>
          <w:spacing w:val="-15"/>
          <w:w w:val="90"/>
        </w:rPr>
        <w:t> </w:t>
      </w:r>
      <w:r>
        <w:rPr>
          <w:rFonts w:ascii="Calibri" w:hAnsi="Calibri"/>
          <w:i/>
          <w:spacing w:val="-4"/>
          <w:w w:val="90"/>
        </w:rPr>
        <w:t>ℓ</w:t>
      </w:r>
      <w:r>
        <w:rPr>
          <w:rFonts w:ascii="Cambria" w:hAnsi="Cambria"/>
          <w:spacing w:val="-4"/>
          <w:w w:val="90"/>
          <w:vertAlign w:val="subscript"/>
        </w:rPr>
        <w:t>c</w:t>
      </w:r>
      <w:r>
        <w:rPr>
          <w:rFonts w:ascii="Calibri" w:hAnsi="Calibri"/>
          <w:spacing w:val="-4"/>
          <w:w w:val="90"/>
          <w:vertAlign w:val="baseline"/>
        </w:rPr>
        <w:t>)</w:t>
      </w:r>
      <w:r>
        <w:rPr>
          <w:rFonts w:ascii="Calibri" w:hAnsi="Calibri"/>
          <w:i/>
          <w:spacing w:val="-4"/>
          <w:w w:val="90"/>
          <w:vertAlign w:val="baseline"/>
        </w:rPr>
        <w:t>.</w:t>
      </w:r>
      <w:r>
        <w:rPr>
          <w:rFonts w:ascii="Calibri" w:hAnsi="Calibri"/>
          <w:i/>
          <w:vertAlign w:val="baseline"/>
        </w:rPr>
        <w:tab/>
      </w:r>
      <w:r>
        <w:rPr>
          <w:spacing w:val="-2"/>
          <w:w w:val="105"/>
          <w:vertAlign w:val="baseline"/>
        </w:rPr>
        <w:t>(3.21)</w:t>
      </w:r>
    </w:p>
    <w:p>
      <w:pPr>
        <w:pStyle w:val="BodyText"/>
        <w:tabs>
          <w:tab w:pos="6005" w:val="left" w:leader="none"/>
          <w:tab w:pos="9077" w:val="left" w:leader="none"/>
        </w:tabs>
        <w:spacing w:before="120"/>
        <w:ind w:left="2758"/>
      </w:pPr>
      <w:r>
        <w:rPr>
          <w:i/>
        </w:rPr>
        <w:t>liquidation_free_closes(w) =</w:t>
        <w:tab/>
        <w:t>(1 – ℓc).</w:t>
        <w:tab/>
        <w:t>(3.21)</w:t>
      </w:r>
    </w:p>
    <w:p>
      <w:pPr>
        <w:spacing w:before="17"/>
        <w:ind w:left="1460" w:right="0" w:firstLine="0"/>
        <w:jc w:val="center"/>
        <w:rPr>
          <w:rFonts w:ascii="Cambria"/>
          <w:sz w:val="16"/>
        </w:rPr>
      </w:pPr>
      <w:r>
        <w:rPr>
          <w:rFonts w:ascii="Cambria"/>
          <w:spacing w:val="-10"/>
          <w:w w:val="105"/>
          <w:sz w:val="16"/>
        </w:rPr>
        <w:t>c</w:t>
      </w:r>
    </w:p>
    <w:p>
      <w:pPr>
        <w:spacing w:before="17"/>
        <w:ind w:left="1460" w:right="0" w:firstLine="0"/>
        <w:jc w:val="center"/>
        <w:rPr>
          <w:rFonts w:ascii="Cambria"/>
          <w:sz w:val="16"/>
        </w:rPr>
      </w:pPr>
      <w:r>
        <w:rPr>
          <w:i/>
        </w:rPr>
        <w:t>기음</w:t>
      </w:r>
    </w:p>
    <w:p>
      <w:pPr>
        <w:spacing w:after="0"/>
        <w:jc w:val="center"/>
        <w:rPr>
          <w:rFonts w:ascii="Cambria"/>
          <w:sz w:val="16"/>
        </w:rPr>
        <w:sectPr>
          <w:pgSz w:w="11910" w:h="16840"/>
          <w:pgMar w:header="0" w:footer="2115" w:top="1920" w:bottom="2300" w:left="992" w:right="708"/>
        </w:sectPr>
      </w:pPr>
    </w:p>
    <w:p>
      <w:pPr>
        <w:pStyle w:val="BodyText"/>
        <w:spacing w:line="396" w:lineRule="auto" w:before="72"/>
        <w:ind w:left="282" w:right="558" w:hanging="8"/>
        <w:jc w:val="both"/>
      </w:pPr>
      <w:r>
        <w:rPr>
          <w:spacing w:val="-2"/>
        </w:rPr>
        <w:t>These</w:t>
      </w:r>
      <w:r>
        <w:rPr>
          <w:spacing w:val="-7"/>
        </w:rPr>
        <w:t> </w:t>
      </w:r>
      <w:r>
        <w:rPr>
          <w:spacing w:val="-2"/>
        </w:rPr>
        <w:t>metrics</w:t>
      </w:r>
      <w:r>
        <w:rPr>
          <w:spacing w:val="-6"/>
        </w:rPr>
        <w:t> </w:t>
      </w:r>
      <w:r>
        <w:rPr>
          <w:spacing w:val="-2"/>
        </w:rPr>
        <w:t>support</w:t>
      </w:r>
      <w:r>
        <w:rPr>
          <w:spacing w:val="-7"/>
        </w:rPr>
        <w:t> </w:t>
      </w:r>
      <w:r>
        <w:rPr>
          <w:spacing w:val="-2"/>
        </w:rPr>
        <w:t>sensitivity</w:t>
      </w:r>
      <w:r>
        <w:rPr>
          <w:spacing w:val="-6"/>
        </w:rPr>
        <w:t> </w:t>
      </w:r>
      <w:r>
        <w:rPr>
          <w:spacing w:val="-2"/>
        </w:rPr>
        <w:t>analyses</w:t>
      </w:r>
      <w:r>
        <w:rPr>
          <w:spacing w:val="-6"/>
        </w:rPr>
        <w:t> </w:t>
      </w:r>
      <w:r>
        <w:rPr>
          <w:spacing w:val="-2"/>
        </w:rPr>
        <w:t>and</w:t>
      </w:r>
      <w:r>
        <w:rPr>
          <w:spacing w:val="-7"/>
        </w:rPr>
        <w:t> </w:t>
      </w:r>
      <w:r>
        <w:rPr>
          <w:spacing w:val="-2"/>
        </w:rPr>
        <w:t>GF-PR</w:t>
      </w:r>
      <w:r>
        <w:rPr>
          <w:spacing w:val="-6"/>
        </w:rPr>
        <w:t> </w:t>
      </w:r>
      <w:r>
        <w:rPr>
          <w:spacing w:val="-2"/>
        </w:rPr>
        <w:t>diagnostics</w:t>
      </w:r>
      <w:r>
        <w:rPr>
          <w:spacing w:val="-6"/>
        </w:rPr>
        <w:t> </w:t>
      </w:r>
      <w:r>
        <w:rPr>
          <w:spacing w:val="-2"/>
        </w:rPr>
        <w:t>but</w:t>
      </w:r>
      <w:r>
        <w:rPr>
          <w:spacing w:val="-7"/>
        </w:rPr>
        <w:t> </w:t>
      </w:r>
      <w:r>
        <w:rPr>
          <w:spacing w:val="-2"/>
        </w:rPr>
        <w:t>are</w:t>
      </w:r>
      <w:r>
        <w:rPr>
          <w:spacing w:val="-6"/>
        </w:rPr>
        <w:t> </w:t>
      </w:r>
      <w:r>
        <w:rPr>
          <w:spacing w:val="-2"/>
        </w:rPr>
        <w:t>not</w:t>
      </w:r>
      <w:r>
        <w:rPr>
          <w:spacing w:val="-7"/>
        </w:rPr>
        <w:t> </w:t>
      </w:r>
      <w:r>
        <w:rPr>
          <w:spacing w:val="-2"/>
        </w:rPr>
        <w:t>part</w:t>
      </w:r>
      <w:r>
        <w:rPr>
          <w:spacing w:val="-6"/>
        </w:rPr>
        <w:t> </w:t>
      </w:r>
      <w:r>
        <w:rPr>
          <w:spacing w:val="-2"/>
        </w:rPr>
        <w:t>of</w:t>
      </w:r>
      <w:r>
        <w:rPr>
          <w:spacing w:val="-6"/>
        </w:rPr>
        <w:t> </w:t>
      </w:r>
      <w:r>
        <w:rPr>
          <w:spacing w:val="-2"/>
        </w:rPr>
        <w:t>the</w:t>
      </w:r>
      <w:r>
        <w:rPr>
          <w:spacing w:val="-7"/>
        </w:rPr>
        <w:t> </w:t>
      </w:r>
      <w:r>
        <w:rPr>
          <w:spacing w:val="-2"/>
        </w:rPr>
        <w:t>five-family </w:t>
      </w:r>
      <w:bookmarkStart w:name="Statistical tests" w:id="129"/>
      <w:bookmarkEnd w:id="129"/>
      <w:r>
        <w:rPr>
          <w:w w:val="99"/>
        </w:rPr>
      </w:r>
      <w:bookmarkStart w:name="_bookmark71" w:id="130"/>
      <w:bookmarkEnd w:id="130"/>
      <w:r>
        <w:rPr/>
        <w:t>primary</w:t>
      </w:r>
      <w:r>
        <w:rPr/>
        <w:t> claims.</w:t>
      </w:r>
    </w:p>
    <w:p>
      <w:pPr>
        <w:pStyle w:val="BodyText"/>
        <w:spacing w:line="396" w:lineRule="auto" w:before="72"/>
        <w:ind w:left="282" w:right="558" w:hanging="8"/>
        <w:jc w:val="both"/>
      </w:pPr>
      <w:r>
        <w:rPr>
          <w:i/>
        </w:rPr>
        <w:t>이러한 측정항목은 민감도 분석 및 GF-PR 진단을 지원하지만 5가지 주요 주장에는 포함되지 않습니다.</w:t>
      </w:r>
    </w:p>
    <w:p>
      <w:pPr>
        <w:pStyle w:val="BodyText"/>
        <w:spacing w:before="160"/>
      </w:pPr>
    </w:p>
    <w:p>
      <w:pPr>
        <w:pStyle w:val="Heading2"/>
        <w:numPr>
          <w:ilvl w:val="1"/>
          <w:numId w:val="8"/>
        </w:numPr>
        <w:tabs>
          <w:tab w:pos="927" w:val="left" w:leader="none"/>
        </w:tabs>
        <w:spacing w:line="240" w:lineRule="auto" w:before="1" w:after="0"/>
        <w:ind w:left="927" w:right="0" w:hanging="645"/>
        <w:jc w:val="left"/>
      </w:pPr>
      <w:r>
        <w:rPr/>
        <w:t>Statistical</w:t>
      </w:r>
      <w:r>
        <w:rPr>
          <w:spacing w:val="24"/>
        </w:rPr>
        <w:t> </w:t>
      </w:r>
      <w:r>
        <w:rPr>
          <w:spacing w:val="-2"/>
        </w:rPr>
        <w:t>tests</w:t>
      </w:r>
    </w:p>
    <w:p>
      <w:pPr>
        <w:pStyle w:val="Heading2"/>
        <w:numPr>
          <w:ilvl w:val="1"/>
          <w:numId w:val="8"/>
        </w:numPr>
        <w:tabs>
          <w:tab w:pos="927" w:val="left" w:leader="none"/>
        </w:tabs>
        <w:spacing w:line="240" w:lineRule="auto" w:before="1" w:after="0"/>
        <w:ind w:left="927" w:right="0" w:hanging="645"/>
        <w:jc w:val="left"/>
      </w:pPr>
      <w:r>
        <w:rPr>
          <w:i/>
        </w:rPr>
        <w:t>통계 테스트</w:t>
      </w:r>
    </w:p>
    <w:p>
      <w:pPr>
        <w:pStyle w:val="BodyText"/>
        <w:spacing w:before="23"/>
        <w:rPr>
          <w:b/>
          <w:sz w:val="28"/>
        </w:rPr>
      </w:pPr>
    </w:p>
    <w:p>
      <w:pPr>
        <w:pStyle w:val="BodyText"/>
        <w:spacing w:line="396" w:lineRule="auto" w:before="1"/>
        <w:ind w:left="282" w:right="523"/>
        <w:jc w:val="both"/>
      </w:pPr>
      <w:r>
        <w:rPr/>
        <w:t>Reputation scores and validation proxies are continuous rank variables, not binary default labels. Following</w:t>
      </w:r>
      <w:r>
        <w:rPr>
          <w:spacing w:val="-6"/>
        </w:rPr>
        <w:t> </w:t>
      </w:r>
      <w:r>
        <w:rPr/>
        <w:t>Do</w:t>
      </w:r>
      <w:r>
        <w:rPr>
          <w:spacing w:val="-5"/>
        </w:rPr>
        <w:t> </w:t>
      </w:r>
      <w:r>
        <w:rPr/>
        <w:t>et</w:t>
      </w:r>
      <w:r>
        <w:rPr>
          <w:spacing w:val="-5"/>
        </w:rPr>
        <w:t> </w:t>
      </w:r>
      <w:r>
        <w:rPr/>
        <w:t>al.</w:t>
      </w:r>
      <w:hyperlink w:history="true" w:anchor="_bookmark149">
        <w:r>
          <w:rPr>
            <w:vertAlign w:val="superscript"/>
          </w:rPr>
          <w:t>[16]</w:t>
        </w:r>
      </w:hyperlink>
      <w:r>
        <w:rPr>
          <w:vertAlign w:val="baseline"/>
        </w:rPr>
        <w:t> and</w:t>
      </w:r>
      <w:r>
        <w:rPr>
          <w:spacing w:val="-5"/>
          <w:vertAlign w:val="baseline"/>
        </w:rPr>
        <w:t> </w:t>
      </w:r>
      <w:r>
        <w:rPr>
          <w:vertAlign w:val="baseline"/>
        </w:rPr>
        <w:t>the</w:t>
      </w:r>
      <w:r>
        <w:rPr>
          <w:spacing w:val="-5"/>
          <w:vertAlign w:val="baseline"/>
        </w:rPr>
        <w:t> </w:t>
      </w:r>
      <w:r>
        <w:rPr>
          <w:vertAlign w:val="baseline"/>
        </w:rPr>
        <w:t>construct-validity</w:t>
      </w:r>
      <w:r>
        <w:rPr>
          <w:spacing w:val="-5"/>
          <w:vertAlign w:val="baseline"/>
        </w:rPr>
        <w:t> </w:t>
      </w:r>
      <w:r>
        <w:rPr>
          <w:vertAlign w:val="baseline"/>
        </w:rPr>
        <w:t>tradition</w:t>
      </w:r>
      <w:r>
        <w:rPr>
          <w:spacing w:val="-6"/>
          <w:vertAlign w:val="baseline"/>
        </w:rPr>
        <w:t> </w:t>
      </w:r>
      <w:r>
        <w:rPr>
          <w:vertAlign w:val="baseline"/>
        </w:rPr>
        <w:t>of</w:t>
      </w:r>
      <w:r>
        <w:rPr>
          <w:spacing w:val="-5"/>
          <w:vertAlign w:val="baseline"/>
        </w:rPr>
        <w:t> </w:t>
      </w:r>
      <w:r>
        <w:rPr>
          <w:vertAlign w:val="baseline"/>
        </w:rPr>
        <w:t>Cronbach</w:t>
      </w:r>
      <w:r>
        <w:rPr>
          <w:spacing w:val="-5"/>
          <w:vertAlign w:val="baseline"/>
        </w:rPr>
        <w:t> </w:t>
      </w:r>
      <w:r>
        <w:rPr>
          <w:vertAlign w:val="baseline"/>
        </w:rPr>
        <w:t>and</w:t>
      </w:r>
      <w:r>
        <w:rPr>
          <w:spacing w:val="-5"/>
          <w:vertAlign w:val="baseline"/>
        </w:rPr>
        <w:t> </w:t>
      </w:r>
      <w:r>
        <w:rPr>
          <w:vertAlign w:val="baseline"/>
        </w:rPr>
        <w:t>Meehl</w:t>
      </w:r>
      <w:hyperlink w:history="true" w:anchor="_bookmark147">
        <w:r>
          <w:rPr>
            <w:vertAlign w:val="superscript"/>
          </w:rPr>
          <w:t>[14]</w:t>
        </w:r>
      </w:hyperlink>
      <w:r>
        <w:rPr>
          <w:vertAlign w:val="baseline"/>
        </w:rPr>
        <w:t>,</w:t>
      </w:r>
      <w:r>
        <w:rPr>
          <w:spacing w:val="-5"/>
          <w:vertAlign w:val="baseline"/>
        </w:rPr>
        <w:t> </w:t>
      </w:r>
      <w:r>
        <w:rPr>
          <w:vertAlign w:val="baseline"/>
        </w:rPr>
        <w:t>alignment</w:t>
      </w:r>
      <w:r>
        <w:rPr>
          <w:spacing w:val="-5"/>
          <w:vertAlign w:val="baseline"/>
        </w:rPr>
        <w:t> </w:t>
      </w:r>
      <w:r>
        <w:rPr>
          <w:vertAlign w:val="baseline"/>
        </w:rPr>
        <w:t>is measured with rank correlations that are invariant to monotonic transforms of either variable.</w:t>
      </w:r>
    </w:p>
    <w:p>
      <w:pPr>
        <w:pStyle w:val="BodyText"/>
        <w:spacing w:line="396" w:lineRule="auto" w:before="1"/>
        <w:ind w:left="282" w:right="523"/>
        <w:jc w:val="both"/>
      </w:pPr>
      <w:r>
        <w:rPr>
          <w:i/>
        </w:rPr>
        <w:t>평판 점수와 검증 프록시는 이진 기본 레이블이 아닌 연속 순위 변수입니다. Do 등[16] Cronbach와 Meehl[14]의 구성-타당성 전통에 따라 정렬은 두 변수의 단조로운 변환에 불변인 순위 상관 관계로 측정됩니다.</w:t>
      </w:r>
    </w:p>
    <w:p>
      <w:pPr>
        <w:pStyle w:val="ListParagraph"/>
        <w:numPr>
          <w:ilvl w:val="0"/>
          <w:numId w:val="22"/>
        </w:numPr>
        <w:tabs>
          <w:tab w:pos="806" w:val="left" w:leader="none"/>
          <w:tab w:pos="808" w:val="left" w:leader="none"/>
        </w:tabs>
        <w:spacing w:line="376" w:lineRule="auto" w:before="118" w:after="0"/>
        <w:ind w:left="808" w:right="522" w:hanging="216"/>
        <w:jc w:val="both"/>
        <w:rPr>
          <w:sz w:val="24"/>
        </w:rPr>
      </w:pPr>
      <w:r>
        <w:rPr>
          <w:b/>
          <w:w w:val="105"/>
          <w:sz w:val="24"/>
        </w:rPr>
        <w:t>Spearman’s</w:t>
      </w:r>
      <w:r>
        <w:rPr>
          <w:b/>
          <w:spacing w:val="-16"/>
          <w:w w:val="105"/>
          <w:sz w:val="24"/>
        </w:rPr>
        <w:t> </w:t>
      </w:r>
      <w:r>
        <w:rPr>
          <w:rFonts w:ascii="Calibri" w:hAnsi="Calibri"/>
          <w:i/>
          <w:w w:val="105"/>
          <w:sz w:val="24"/>
        </w:rPr>
        <w:t>ρ</w:t>
      </w:r>
      <w:r>
        <w:rPr>
          <w:b/>
          <w:w w:val="105"/>
          <w:sz w:val="24"/>
        </w:rPr>
        <w:t>:</w:t>
      </w:r>
      <w:r>
        <w:rPr>
          <w:b/>
          <w:spacing w:val="-16"/>
          <w:w w:val="105"/>
          <w:sz w:val="24"/>
        </w:rPr>
        <w:t> </w:t>
      </w:r>
      <w:r>
        <w:rPr>
          <w:w w:val="105"/>
          <w:sz w:val="24"/>
        </w:rPr>
        <w:t>Let</w:t>
      </w:r>
      <w:r>
        <w:rPr>
          <w:spacing w:val="-16"/>
          <w:w w:val="105"/>
          <w:sz w:val="24"/>
        </w:rPr>
        <w:t> </w:t>
      </w:r>
      <w:r>
        <w:rPr>
          <w:rFonts w:ascii="Calibri" w:hAnsi="Calibri"/>
          <w:i/>
          <w:w w:val="125"/>
          <w:sz w:val="24"/>
        </w:rPr>
        <w:t>R</w:t>
      </w:r>
      <w:r>
        <w:rPr>
          <w:rFonts w:ascii="Cambria" w:hAnsi="Cambria"/>
          <w:w w:val="125"/>
          <w:sz w:val="24"/>
          <w:vertAlign w:val="subscript"/>
        </w:rPr>
        <w:t>i</w:t>
      </w:r>
      <w:r>
        <w:rPr>
          <w:rFonts w:ascii="Cambria" w:hAnsi="Cambria"/>
          <w:spacing w:val="-16"/>
          <w:w w:val="125"/>
          <w:sz w:val="24"/>
          <w:vertAlign w:val="baseline"/>
        </w:rPr>
        <w:t> </w:t>
      </w:r>
      <w:r>
        <w:rPr>
          <w:w w:val="105"/>
          <w:sz w:val="24"/>
          <w:vertAlign w:val="baseline"/>
        </w:rPr>
        <w:t>and</w:t>
      </w:r>
      <w:r>
        <w:rPr>
          <w:spacing w:val="-16"/>
          <w:w w:val="105"/>
          <w:sz w:val="24"/>
          <w:vertAlign w:val="baseline"/>
        </w:rPr>
        <w:t> </w:t>
      </w:r>
      <w:r>
        <w:rPr>
          <w:rFonts w:ascii="Calibri" w:hAnsi="Calibri"/>
          <w:i/>
          <w:w w:val="125"/>
          <w:sz w:val="24"/>
          <w:vertAlign w:val="baseline"/>
        </w:rPr>
        <w:t>S</w:t>
      </w:r>
      <w:r>
        <w:rPr>
          <w:rFonts w:ascii="Cambria" w:hAnsi="Cambria"/>
          <w:w w:val="125"/>
          <w:sz w:val="24"/>
          <w:vertAlign w:val="subscript"/>
        </w:rPr>
        <w:t>i</w:t>
      </w:r>
      <w:r>
        <w:rPr>
          <w:rFonts w:ascii="Cambria" w:hAnsi="Cambria"/>
          <w:spacing w:val="-17"/>
          <w:w w:val="125"/>
          <w:sz w:val="24"/>
          <w:vertAlign w:val="baseline"/>
        </w:rPr>
        <w:t> </w:t>
      </w:r>
      <w:r>
        <w:rPr>
          <w:w w:val="105"/>
          <w:sz w:val="24"/>
          <w:vertAlign w:val="baseline"/>
        </w:rPr>
        <w:t>be</w:t>
      </w:r>
      <w:r>
        <w:rPr>
          <w:spacing w:val="-15"/>
          <w:w w:val="105"/>
          <w:sz w:val="24"/>
          <w:vertAlign w:val="baseline"/>
        </w:rPr>
        <w:t> </w:t>
      </w:r>
      <w:r>
        <w:rPr>
          <w:w w:val="105"/>
          <w:sz w:val="24"/>
          <w:vertAlign w:val="baseline"/>
        </w:rPr>
        <w:t>the</w:t>
      </w:r>
      <w:r>
        <w:rPr>
          <w:spacing w:val="-16"/>
          <w:w w:val="105"/>
          <w:sz w:val="24"/>
          <w:vertAlign w:val="baseline"/>
        </w:rPr>
        <w:t> </w:t>
      </w:r>
      <w:r>
        <w:rPr>
          <w:w w:val="105"/>
          <w:sz w:val="24"/>
          <w:vertAlign w:val="baseline"/>
        </w:rPr>
        <w:t>dense</w:t>
      </w:r>
      <w:r>
        <w:rPr>
          <w:spacing w:val="-16"/>
          <w:w w:val="105"/>
          <w:sz w:val="24"/>
          <w:vertAlign w:val="baseline"/>
        </w:rPr>
        <w:t> </w:t>
      </w:r>
      <w:r>
        <w:rPr>
          <w:w w:val="105"/>
          <w:sz w:val="24"/>
          <w:vertAlign w:val="baseline"/>
        </w:rPr>
        <w:t>ranks</w:t>
      </w:r>
      <w:r>
        <w:rPr>
          <w:spacing w:val="-15"/>
          <w:w w:val="105"/>
          <w:sz w:val="24"/>
          <w:vertAlign w:val="baseline"/>
        </w:rPr>
        <w:t> </w:t>
      </w:r>
      <w:r>
        <w:rPr>
          <w:w w:val="105"/>
          <w:sz w:val="24"/>
          <w:vertAlign w:val="baseline"/>
        </w:rPr>
        <w:t>of</w:t>
      </w:r>
      <w:r>
        <w:rPr>
          <w:spacing w:val="-13"/>
          <w:w w:val="105"/>
          <w:sz w:val="24"/>
          <w:vertAlign w:val="baseline"/>
        </w:rPr>
        <w:t> </w:t>
      </w:r>
      <w:r>
        <w:rPr>
          <w:w w:val="105"/>
          <w:sz w:val="24"/>
          <w:vertAlign w:val="baseline"/>
        </w:rPr>
        <w:t>score</w:t>
      </w:r>
      <w:r>
        <w:rPr>
          <w:spacing w:val="-13"/>
          <w:w w:val="105"/>
          <w:sz w:val="24"/>
          <w:vertAlign w:val="baseline"/>
        </w:rPr>
        <w:t> </w:t>
      </w:r>
      <w:r>
        <w:rPr>
          <w:w w:val="105"/>
          <w:sz w:val="24"/>
          <w:vertAlign w:val="baseline"/>
        </w:rPr>
        <w:t>and</w:t>
      </w:r>
      <w:r>
        <w:rPr>
          <w:spacing w:val="-13"/>
          <w:w w:val="105"/>
          <w:sz w:val="24"/>
          <w:vertAlign w:val="baseline"/>
        </w:rPr>
        <w:t> </w:t>
      </w:r>
      <w:r>
        <w:rPr>
          <w:w w:val="105"/>
          <w:sz w:val="24"/>
          <w:vertAlign w:val="baseline"/>
        </w:rPr>
        <w:t>proxy</w:t>
      </w:r>
      <w:r>
        <w:rPr>
          <w:spacing w:val="-13"/>
          <w:w w:val="105"/>
          <w:sz w:val="24"/>
          <w:vertAlign w:val="baseline"/>
        </w:rPr>
        <w:t> </w:t>
      </w:r>
      <w:r>
        <w:rPr>
          <w:w w:val="105"/>
          <w:sz w:val="24"/>
          <w:vertAlign w:val="baseline"/>
        </w:rPr>
        <w:t>for</w:t>
      </w:r>
      <w:r>
        <w:rPr>
          <w:spacing w:val="-13"/>
          <w:w w:val="105"/>
          <w:sz w:val="24"/>
          <w:vertAlign w:val="baseline"/>
        </w:rPr>
        <w:t> </w:t>
      </w:r>
      <w:r>
        <w:rPr>
          <w:w w:val="105"/>
          <w:sz w:val="24"/>
          <w:vertAlign w:val="baseline"/>
        </w:rPr>
        <w:t>wallet</w:t>
      </w:r>
      <w:r>
        <w:rPr>
          <w:spacing w:val="-14"/>
          <w:w w:val="105"/>
          <w:sz w:val="24"/>
          <w:vertAlign w:val="baseline"/>
        </w:rPr>
        <w:t> </w:t>
      </w:r>
      <w:r>
        <w:rPr>
          <w:rFonts w:ascii="Calibri" w:hAnsi="Calibri"/>
          <w:i/>
          <w:w w:val="125"/>
          <w:sz w:val="24"/>
          <w:vertAlign w:val="baseline"/>
        </w:rPr>
        <w:t>i</w:t>
      </w:r>
      <w:r>
        <w:rPr>
          <w:rFonts w:ascii="Calibri" w:hAnsi="Calibri"/>
          <w:i/>
          <w:spacing w:val="-9"/>
          <w:w w:val="125"/>
          <w:sz w:val="24"/>
          <w:vertAlign w:val="baseline"/>
        </w:rPr>
        <w:t> </w:t>
      </w:r>
      <w:r>
        <w:rPr>
          <w:rFonts w:ascii="Calibri" w:hAnsi="Calibri"/>
          <w:w w:val="125"/>
          <w:sz w:val="24"/>
          <w:vertAlign w:val="baseline"/>
        </w:rPr>
        <w:t>=</w:t>
      </w:r>
      <w:r>
        <w:rPr>
          <w:rFonts w:ascii="Calibri" w:hAnsi="Calibri"/>
          <w:spacing w:val="-10"/>
          <w:w w:val="125"/>
          <w:sz w:val="24"/>
          <w:vertAlign w:val="baseline"/>
        </w:rPr>
        <w:t> </w:t>
      </w:r>
      <w:r>
        <w:rPr>
          <w:rFonts w:ascii="Calibri" w:hAnsi="Calibri"/>
          <w:w w:val="105"/>
          <w:sz w:val="24"/>
          <w:vertAlign w:val="baseline"/>
        </w:rPr>
        <w:t>1</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4"/>
          <w:w w:val="105"/>
          <w:sz w:val="24"/>
          <w:vertAlign w:val="baseline"/>
        </w:rPr>
        <w:t> </w:t>
      </w:r>
      <w:r>
        <w:rPr>
          <w:rFonts w:ascii="Calibri" w:hAnsi="Calibri"/>
          <w:i/>
          <w:w w:val="105"/>
          <w:sz w:val="24"/>
          <w:vertAlign w:val="baseline"/>
        </w:rPr>
        <w:t>,</w:t>
      </w:r>
      <w:r>
        <w:rPr>
          <w:rFonts w:ascii="Calibri" w:hAnsi="Calibri"/>
          <w:i/>
          <w:spacing w:val="-15"/>
          <w:w w:val="105"/>
          <w:sz w:val="24"/>
          <w:vertAlign w:val="baseline"/>
        </w:rPr>
        <w:t> </w:t>
      </w:r>
      <w:r>
        <w:rPr>
          <w:rFonts w:ascii="Calibri" w:hAnsi="Calibri"/>
          <w:i/>
          <w:w w:val="105"/>
          <w:sz w:val="24"/>
          <w:vertAlign w:val="baseline"/>
        </w:rPr>
        <w:t>n</w:t>
      </w:r>
      <w:r>
        <w:rPr>
          <w:w w:val="105"/>
          <w:sz w:val="24"/>
          <w:vertAlign w:val="baseline"/>
        </w:rPr>
        <w:t>. </w:t>
      </w:r>
      <w:r>
        <w:rPr>
          <w:sz w:val="24"/>
          <w:vertAlign w:val="baseline"/>
        </w:rPr>
        <w:t>Spearman’s coefficient is the Pearson correlation of these ranks:</w:t>
      </w:r>
    </w:p>
    <w:p>
      <w:pPr>
        <w:pStyle w:val="ListParagraph"/>
        <w:numPr>
          <w:ilvl w:val="0"/>
          <w:numId w:val="22"/>
        </w:numPr>
        <w:tabs>
          <w:tab w:pos="806" w:val="left" w:leader="none"/>
          <w:tab w:pos="808" w:val="left" w:leader="none"/>
        </w:tabs>
        <w:spacing w:line="376" w:lineRule="auto" w:before="118" w:after="0"/>
        <w:ind w:left="808" w:right="522" w:hanging="216"/>
        <w:jc w:val="both"/>
        <w:rPr>
          <w:sz w:val="24"/>
        </w:rPr>
      </w:pPr>
      <w:r>
        <w:rPr>
          <w:i/>
        </w:rPr>
        <w:t>Spearman의 ρ: Ri와 Si를 지갑 i = 1, 에 대한 점수 및 프록시의 조밀한 순위로 둡니다. . . , N. Spearman의 계수는 다음 순위의 Pearson 상관 관계입니다.</w:t>
      </w:r>
    </w:p>
    <w:p>
      <w:pPr>
        <w:spacing w:before="59"/>
        <w:ind w:left="612" w:right="0" w:firstLine="0"/>
        <w:jc w:val="center"/>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7620608">
                <wp:simplePos x="0" y="0"/>
                <wp:positionH relativeFrom="page">
                  <wp:posOffset>3173450</wp:posOffset>
                </wp:positionH>
                <wp:positionV relativeFrom="paragraph">
                  <wp:posOffset>389856</wp:posOffset>
                </wp:positionV>
                <wp:extent cx="1934845"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1934845" cy="1270"/>
                        </a:xfrm>
                        <a:custGeom>
                          <a:avLst/>
                          <a:gdLst/>
                          <a:ahLst/>
                          <a:cxnLst/>
                          <a:rect l="l" t="t" r="r" b="b"/>
                          <a:pathLst>
                            <a:path w="1934845" h="0">
                              <a:moveTo>
                                <a:pt x="0" y="0"/>
                              </a:moveTo>
                              <a:lnTo>
                                <a:pt x="1934324"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878006pt;margin-top:30.697367pt;width:152.35pt;height:.1pt;mso-position-horizontal-relative:page;mso-position-vertical-relative:paragraph;z-index:-15695872;mso-wrap-distance-left:0;mso-wrap-distance-right:0" id="docshape153" coordorigin="4998,614" coordsize="3047,0" path="m4998,614l8044,614e" filled="false" stroked="true" strokeweight=".4782pt" strokecolor="#000000">
                <v:path arrowok="t"/>
                <v:stroke dashstyle="solid"/>
                <w10:wrap type="topAndBottom"/>
              </v:shape>
            </w:pict>
          </mc:Fallback>
        </mc:AlternateContent>
      </w:r>
      <w:r>
        <w:rPr>
          <w:rFonts w:ascii="Calibri" w:hAnsi="Calibri"/>
          <w:sz w:val="24"/>
        </w:rPr>
        <mc:AlternateContent>
          <mc:Choice Requires="wps">
            <w:drawing>
              <wp:anchor distT="0" distB="0" distL="0" distR="0" allowOverlap="1" layoutInCell="1" locked="0" behindDoc="1" simplePos="0" relativeHeight="484031488">
                <wp:simplePos x="0" y="0"/>
                <wp:positionH relativeFrom="page">
                  <wp:posOffset>3021622</wp:posOffset>
                </wp:positionH>
                <wp:positionV relativeFrom="paragraph">
                  <wp:posOffset>279018</wp:posOffset>
                </wp:positionV>
                <wp:extent cx="312420" cy="5816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312420" cy="581660"/>
                        </a:xfrm>
                        <a:prstGeom prst="rect">
                          <a:avLst/>
                        </a:prstGeom>
                      </wps:spPr>
                      <wps:txbx>
                        <w:txbxContent>
                          <w:p>
                            <w:pPr>
                              <w:pStyle w:val="BodyText"/>
                              <w:spacing w:line="261" w:lineRule="exact"/>
                              <w:rPr>
                                <w:position w:val="-2"/>
                              </w:rPr>
                            </w:pPr>
                            <w:r>
                              <w:rPr>
                                <w:spacing w:val="-5"/>
                                <w:w w:val="180"/>
                              </w:rPr>
                              <w:t>√</w:t>
                            </w:r>
                            <w:r>
                              <w:rPr>
                                <w:spacing w:val="-5"/>
                                <w:w w:val="180"/>
                                <w:position w:val="-2"/>
                              </w:rPr>
                              <w:t>Σ</w:t>
                            </w:r>
                          </w:p>
                        </w:txbxContent>
                      </wps:txbx>
                      <wps:bodyPr wrap="square" lIns="0" tIns="0" rIns="0" bIns="0" rtlCol="0">
                        <a:noAutofit/>
                      </wps:bodyPr>
                    </wps:wsp>
                  </a:graphicData>
                </a:graphic>
              </wp:anchor>
            </w:drawing>
          </mc:Choice>
          <mc:Fallback>
            <w:pict>
              <v:shape style="position:absolute;margin-left:237.923004pt;margin-top:21.969967pt;width:24.6pt;height:45.8pt;mso-position-horizontal-relative:page;mso-position-vertical-relative:paragraph;z-index:-19284992" type="#_x0000_t202" id="docshape154" filled="false" stroked="false">
                <v:textbox inset="0,0,0,0">
                  <w:txbxContent>
                    <w:p>
                      <w:pPr>
                        <w:pStyle w:val="BodyText"/>
                        <w:spacing w:line="261" w:lineRule="exact"/>
                        <w:rPr>
                          <w:position w:val="-2"/>
                        </w:rPr>
                      </w:pPr>
                      <w:r>
                        <w:rPr>
                          <w:spacing w:val="-5"/>
                          <w:w w:val="180"/>
                        </w:rPr>
                        <w:t>√</w:t>
                      </w:r>
                      <w:r>
                        <w:rPr>
                          <w:spacing w:val="-5"/>
                          <w:w w:val="180"/>
                          <w:position w:val="-2"/>
                        </w:rPr>
                        <w:t>Σ</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2000">
                <wp:simplePos x="0" y="0"/>
                <wp:positionH relativeFrom="page">
                  <wp:posOffset>3021622</wp:posOffset>
                </wp:positionH>
                <wp:positionV relativeFrom="paragraph">
                  <wp:posOffset>248032</wp:posOffset>
                </wp:positionV>
                <wp:extent cx="2086610" cy="11557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086610" cy="115570"/>
                        </a:xfrm>
                        <a:prstGeom prst="rect">
                          <a:avLst/>
                        </a:prstGeom>
                      </wps:spPr>
                      <wps:txbx>
                        <w:txbxContent>
                          <w:p>
                            <w:pPr>
                              <w:tabs>
                                <w:tab w:pos="754" w:val="left" w:leader="none"/>
                                <w:tab w:pos="3285" w:val="left" w:leader="none"/>
                              </w:tabs>
                              <w:spacing w:line="182" w:lineRule="exact" w:before="0"/>
                              <w:ind w:left="0" w:right="0" w:firstLine="0"/>
                              <w:jc w:val="left"/>
                              <w:rPr>
                                <w:rFonts w:ascii="Calibri"/>
                                <w:sz w:val="16"/>
                              </w:rPr>
                            </w:pPr>
                            <w:r>
                              <w:rPr>
                                <w:sz w:val="16"/>
                                <w:u w:val="single"/>
                              </w:rPr>
                              <w:tab/>
                            </w:r>
                            <w:r>
                              <w:rPr>
                                <w:rFonts w:ascii="Cambria"/>
                                <w:spacing w:val="-5"/>
                                <w:w w:val="135"/>
                                <w:sz w:val="16"/>
                                <w:u w:val="single"/>
                              </w:rPr>
                              <w:t>i</w:t>
                            </w:r>
                            <w:r>
                              <w:rPr>
                                <w:rFonts w:ascii="Calibri"/>
                                <w:spacing w:val="-5"/>
                                <w:w w:val="135"/>
                                <w:sz w:val="16"/>
                                <w:u w:val="single"/>
                              </w:rPr>
                              <w:t>=1</w:t>
                            </w:r>
                            <w:r>
                              <w:rPr>
                                <w:rFonts w:ascii="Calibri"/>
                                <w:sz w:val="16"/>
                                <w:u w:val="single"/>
                              </w:rPr>
                              <w:tab/>
                            </w:r>
                          </w:p>
                        </w:txbxContent>
                      </wps:txbx>
                      <wps:bodyPr wrap="square" lIns="0" tIns="0" rIns="0" bIns="0" rtlCol="0">
                        <a:noAutofit/>
                      </wps:bodyPr>
                    </wps:wsp>
                  </a:graphicData>
                </a:graphic>
              </wp:anchor>
            </w:drawing>
          </mc:Choice>
          <mc:Fallback>
            <w:pict>
              <v:shape style="position:absolute;margin-left:237.923004pt;margin-top:19.530106pt;width:164.3pt;height:9.1pt;mso-position-horizontal-relative:page;mso-position-vertical-relative:paragraph;z-index:-19284480" type="#_x0000_t202" id="docshape155" filled="false" stroked="false">
                <v:textbox inset="0,0,0,0">
                  <w:txbxContent>
                    <w:p>
                      <w:pPr>
                        <w:tabs>
                          <w:tab w:pos="754" w:val="left" w:leader="none"/>
                          <w:tab w:pos="3285" w:val="left" w:leader="none"/>
                        </w:tabs>
                        <w:spacing w:line="182" w:lineRule="exact" w:before="0"/>
                        <w:ind w:left="0" w:right="0" w:firstLine="0"/>
                        <w:jc w:val="left"/>
                        <w:rPr>
                          <w:rFonts w:ascii="Calibri"/>
                          <w:sz w:val="16"/>
                        </w:rPr>
                      </w:pPr>
                      <w:r>
                        <w:rPr>
                          <w:sz w:val="16"/>
                          <w:u w:val="single"/>
                        </w:rPr>
                        <w:tab/>
                      </w:r>
                      <w:r>
                        <w:rPr>
                          <w:rFonts w:ascii="Cambria"/>
                          <w:spacing w:val="-5"/>
                          <w:w w:val="135"/>
                          <w:sz w:val="16"/>
                          <w:u w:val="single"/>
                        </w:rPr>
                        <w:t>i</w:t>
                      </w:r>
                      <w:r>
                        <w:rPr>
                          <w:rFonts w:ascii="Calibri"/>
                          <w:spacing w:val="-5"/>
                          <w:w w:val="135"/>
                          <w:sz w:val="16"/>
                          <w:u w:val="single"/>
                        </w:rPr>
                        <w:t>=1</w:t>
                      </w:r>
                      <w:r>
                        <w:rPr>
                          <w:rFonts w:ascii="Calibri"/>
                          <w:sz w:val="16"/>
                          <w:u w:val="single"/>
                        </w:rPr>
                        <w:tab/>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0" simplePos="0" relativeHeight="15766016">
                <wp:simplePos x="0" y="0"/>
                <wp:positionH relativeFrom="page">
                  <wp:posOffset>6394106</wp:posOffset>
                </wp:positionH>
                <wp:positionV relativeFrom="paragraph">
                  <wp:posOffset>262152</wp:posOffset>
                </wp:positionV>
                <wp:extent cx="367030" cy="16827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67030" cy="168275"/>
                        </a:xfrm>
                        <a:prstGeom prst="rect">
                          <a:avLst/>
                        </a:prstGeom>
                      </wps:spPr>
                      <wps:txbx>
                        <w:txbxContent>
                          <w:p>
                            <w:pPr>
                              <w:pStyle w:val="BodyText"/>
                              <w:spacing w:line="265" w:lineRule="exact"/>
                            </w:pPr>
                            <w:r>
                              <w:rPr>
                                <w:spacing w:val="-2"/>
                              </w:rPr>
                              <w:t>(3.22)</w:t>
                            </w:r>
                          </w:p>
                        </w:txbxContent>
                      </wps:txbx>
                      <wps:bodyPr wrap="square" lIns="0" tIns="0" rIns="0" bIns="0" rtlCol="0">
                        <a:noAutofit/>
                      </wps:bodyPr>
                    </wps:wsp>
                  </a:graphicData>
                </a:graphic>
              </wp:anchor>
            </w:drawing>
          </mc:Choice>
          <mc:Fallback>
            <w:pict>
              <v:shape style="position:absolute;margin-left:503.472992pt;margin-top:20.641930pt;width:28.9pt;height:13.25pt;mso-position-horizontal-relative:page;mso-position-vertical-relative:paragraph;z-index:15766016" type="#_x0000_t202" id="docshape156" filled="false" stroked="false">
                <v:textbox inset="0,0,0,0">
                  <w:txbxContent>
                    <w:p>
                      <w:pPr>
                        <w:pStyle w:val="BodyText"/>
                        <w:spacing w:line="265" w:lineRule="exact"/>
                      </w:pPr>
                      <w:r>
                        <w:rPr>
                          <w:spacing w:val="-2"/>
                        </w:rPr>
                        <w:t>(3.22)</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3024">
                <wp:simplePos x="0" y="0"/>
                <wp:positionH relativeFrom="page">
                  <wp:posOffset>2729776</wp:posOffset>
                </wp:positionH>
                <wp:positionV relativeFrom="paragraph">
                  <wp:posOffset>283577</wp:posOffset>
                </wp:positionV>
                <wp:extent cx="778510" cy="31115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778510" cy="311150"/>
                        </a:xfrm>
                        <a:prstGeom prst="rect">
                          <a:avLst/>
                        </a:prstGeom>
                      </wps:spPr>
                      <wps:txbx>
                        <w:txbxContent>
                          <w:p>
                            <w:pPr>
                              <w:tabs>
                                <w:tab w:pos="950" w:val="left" w:leader="none"/>
                              </w:tabs>
                              <w:spacing w:line="187" w:lineRule="auto" w:before="0"/>
                              <w:ind w:left="0" w:right="0" w:firstLine="0"/>
                              <w:jc w:val="left"/>
                              <w:rPr>
                                <w:rFonts w:ascii="Cambria" w:hAnsi="Cambria"/>
                                <w:position w:val="-7"/>
                                <w:sz w:val="16"/>
                              </w:rPr>
                            </w:pPr>
                            <w:r>
                              <w:rPr>
                                <w:rFonts w:ascii="Calibri" w:hAnsi="Calibri"/>
                                <w:i/>
                                <w:w w:val="110"/>
                                <w:sz w:val="24"/>
                              </w:rPr>
                              <w:t>ρ</w:t>
                            </w:r>
                            <w:r>
                              <w:rPr>
                                <w:rFonts w:ascii="Calibri" w:hAnsi="Calibri"/>
                                <w:i/>
                                <w:spacing w:val="-9"/>
                                <w:w w:val="110"/>
                                <w:sz w:val="24"/>
                              </w:rPr>
                              <w:t> </w:t>
                            </w:r>
                            <w:r>
                              <w:rPr>
                                <w:rFonts w:ascii="Calibri" w:hAnsi="Calibri"/>
                                <w:spacing w:val="-10"/>
                                <w:w w:val="135"/>
                                <w:sz w:val="24"/>
                              </w:rPr>
                              <w:t>=</w:t>
                            </w:r>
                            <w:r>
                              <w:rPr>
                                <w:rFonts w:ascii="Calibri" w:hAnsi="Calibri"/>
                                <w:sz w:val="24"/>
                              </w:rPr>
                              <w:tab/>
                            </w:r>
                            <w:r>
                              <w:rPr>
                                <w:rFonts w:ascii="Cambria" w:hAnsi="Cambria"/>
                                <w:spacing w:val="-10"/>
                                <w:w w:val="115"/>
                                <w:position w:val="-7"/>
                                <w:sz w:val="16"/>
                              </w:rPr>
                              <w:t>n</w:t>
                            </w:r>
                          </w:p>
                          <w:p>
                            <w:pPr>
                              <w:spacing w:line="192" w:lineRule="exact" w:before="17"/>
                              <w:ind w:left="0" w:right="0" w:firstLine="0"/>
                              <w:jc w:val="right"/>
                              <w:rPr>
                                <w:rFonts w:ascii="Calibri"/>
                                <w:sz w:val="16"/>
                              </w:rPr>
                            </w:pPr>
                            <w:r>
                              <w:rPr>
                                <w:rFonts w:ascii="Cambria"/>
                                <w:spacing w:val="-5"/>
                                <w:w w:val="130"/>
                                <w:sz w:val="16"/>
                              </w:rPr>
                              <w:t>i</w:t>
                            </w:r>
                            <w:r>
                              <w:rPr>
                                <w:rFonts w:ascii="Calibri"/>
                                <w:spacing w:val="-5"/>
                                <w:w w:val="130"/>
                                <w:sz w:val="16"/>
                              </w:rPr>
                              <w:t>=1</w:t>
                            </w:r>
                          </w:p>
                        </w:txbxContent>
                      </wps:txbx>
                      <wps:bodyPr wrap="square" lIns="0" tIns="0" rIns="0" bIns="0" rtlCol="0">
                        <a:noAutofit/>
                      </wps:bodyPr>
                    </wps:wsp>
                  </a:graphicData>
                </a:graphic>
              </wp:anchor>
            </w:drawing>
          </mc:Choice>
          <mc:Fallback>
            <w:pict>
              <v:shape style="position:absolute;margin-left:214.942993pt;margin-top:22.328968pt;width:61.3pt;height:24.5pt;mso-position-horizontal-relative:page;mso-position-vertical-relative:paragraph;z-index:-19283456" type="#_x0000_t202" id="docshape157" filled="false" stroked="false">
                <v:textbox inset="0,0,0,0">
                  <w:txbxContent>
                    <w:p>
                      <w:pPr>
                        <w:tabs>
                          <w:tab w:pos="950" w:val="left" w:leader="none"/>
                        </w:tabs>
                        <w:spacing w:line="187" w:lineRule="auto" w:before="0"/>
                        <w:ind w:left="0" w:right="0" w:firstLine="0"/>
                        <w:jc w:val="left"/>
                        <w:rPr>
                          <w:rFonts w:ascii="Cambria" w:hAnsi="Cambria"/>
                          <w:position w:val="-7"/>
                          <w:sz w:val="16"/>
                        </w:rPr>
                      </w:pPr>
                      <w:r>
                        <w:rPr>
                          <w:rFonts w:ascii="Calibri" w:hAnsi="Calibri"/>
                          <w:i/>
                          <w:w w:val="110"/>
                          <w:sz w:val="24"/>
                        </w:rPr>
                        <w:t>ρ</w:t>
                      </w:r>
                      <w:r>
                        <w:rPr>
                          <w:rFonts w:ascii="Calibri" w:hAnsi="Calibri"/>
                          <w:i/>
                          <w:spacing w:val="-9"/>
                          <w:w w:val="110"/>
                          <w:sz w:val="24"/>
                        </w:rPr>
                        <w:t> </w:t>
                      </w:r>
                      <w:r>
                        <w:rPr>
                          <w:rFonts w:ascii="Calibri" w:hAnsi="Calibri"/>
                          <w:spacing w:val="-10"/>
                          <w:w w:val="135"/>
                          <w:sz w:val="24"/>
                        </w:rPr>
                        <w:t>=</w:t>
                      </w:r>
                      <w:r>
                        <w:rPr>
                          <w:rFonts w:ascii="Calibri" w:hAnsi="Calibri"/>
                          <w:sz w:val="24"/>
                        </w:rPr>
                        <w:tab/>
                      </w:r>
                      <w:r>
                        <w:rPr>
                          <w:rFonts w:ascii="Cambria" w:hAnsi="Cambria"/>
                          <w:spacing w:val="-10"/>
                          <w:w w:val="115"/>
                          <w:position w:val="-7"/>
                          <w:sz w:val="16"/>
                        </w:rPr>
                        <w:t>n</w:t>
                      </w:r>
                    </w:p>
                    <w:p>
                      <w:pPr>
                        <w:spacing w:line="192" w:lineRule="exact" w:before="17"/>
                        <w:ind w:left="0" w:right="0" w:firstLine="0"/>
                        <w:jc w:val="right"/>
                        <w:rPr>
                          <w:rFonts w:ascii="Calibri"/>
                          <w:sz w:val="16"/>
                        </w:rPr>
                      </w:pPr>
                      <w:r>
                        <w:rPr>
                          <w:rFonts w:ascii="Cambria"/>
                          <w:spacing w:val="-5"/>
                          <w:w w:val="130"/>
                          <w:sz w:val="16"/>
                        </w:rPr>
                        <w:t>i</w:t>
                      </w:r>
                      <w:r>
                        <w:rPr>
                          <w:rFonts w:ascii="Calibri"/>
                          <w:spacing w:val="-5"/>
                          <w:w w:val="130"/>
                          <w:sz w:val="16"/>
                        </w:rPr>
                        <w:t>=1</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3536">
                <wp:simplePos x="0" y="0"/>
                <wp:positionH relativeFrom="page">
                  <wp:posOffset>3761740</wp:posOffset>
                </wp:positionH>
                <wp:positionV relativeFrom="paragraph">
                  <wp:posOffset>296925</wp:posOffset>
                </wp:positionV>
                <wp:extent cx="635000" cy="56324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635000" cy="563245"/>
                        </a:xfrm>
                        <a:prstGeom prst="rect">
                          <a:avLst/>
                        </a:prstGeom>
                      </wps:spPr>
                      <wps:txbx>
                        <w:txbxContent>
                          <w:p>
                            <w:pPr>
                              <w:spacing w:line="464" w:lineRule="exact" w:before="0"/>
                              <w:ind w:left="0" w:right="0" w:firstLine="0"/>
                              <w:jc w:val="left"/>
                              <w:rPr>
                                <w:rFonts w:ascii="Cambria" w:hAnsi="Cambria"/>
                                <w:position w:val="12"/>
                                <w:sz w:val="16"/>
                              </w:rPr>
                            </w:pPr>
                            <w:r>
                              <w:rPr>
                                <w:rFonts w:ascii="Lucida Sans Unicode" w:hAnsi="Lucida Sans Unicode"/>
                                <w:spacing w:val="-18"/>
                                <w:sz w:val="24"/>
                              </w:rPr>
                              <w:t>—</w:t>
                            </w:r>
                            <w:r>
                              <w:rPr>
                                <w:rFonts w:ascii="Lucida Sans Unicode" w:hAnsi="Lucida Sans Unicode"/>
                                <w:spacing w:val="-22"/>
                                <w:sz w:val="24"/>
                              </w:rPr>
                              <w:t> </w:t>
                            </w:r>
                            <w:r>
                              <w:rPr>
                                <w:rFonts w:ascii="Calibri" w:hAnsi="Calibri"/>
                                <w:i/>
                                <w:spacing w:val="-117"/>
                                <w:w w:val="114"/>
                                <w:sz w:val="24"/>
                              </w:rPr>
                              <w:t>R</w:t>
                            </w:r>
                            <w:r>
                              <w:rPr>
                                <w:rFonts w:ascii="Calibri" w:hAnsi="Calibri"/>
                                <w:spacing w:val="23"/>
                                <w:w w:val="101"/>
                                <w:position w:val="6"/>
                                <w:sz w:val="24"/>
                              </w:rPr>
                              <w:t>¯</w:t>
                            </w:r>
                            <w:r>
                              <w:rPr>
                                <w:rFonts w:ascii="Calibri" w:hAnsi="Calibri"/>
                                <w:spacing w:val="11"/>
                                <w:w w:val="102"/>
                                <w:sz w:val="24"/>
                              </w:rPr>
                              <w:t>)</w:t>
                            </w:r>
                            <w:r>
                              <w:rPr>
                                <w:rFonts w:ascii="Calibri" w:hAnsi="Calibri"/>
                                <w:spacing w:val="11"/>
                                <w:w w:val="82"/>
                                <w:position w:val="7"/>
                                <w:sz w:val="16"/>
                              </w:rPr>
                              <w:t>2</w:t>
                            </w:r>
                            <w:r>
                              <w:rPr>
                                <w:rFonts w:ascii="Calibri" w:hAnsi="Calibri"/>
                                <w:spacing w:val="14"/>
                                <w:position w:val="7"/>
                                <w:sz w:val="16"/>
                              </w:rPr>
                              <w:t> </w:t>
                            </w:r>
                            <w:r>
                              <w:rPr>
                                <w:spacing w:val="-18"/>
                                <w:position w:val="18"/>
                                <w:sz w:val="24"/>
                              </w:rPr>
                              <w:t>Σ</w:t>
                            </w:r>
                            <w:r>
                              <w:rPr>
                                <w:rFonts w:ascii="Cambria" w:hAnsi="Cambria"/>
                                <w:spacing w:val="-18"/>
                                <w:position w:val="12"/>
                                <w:sz w:val="16"/>
                              </w:rPr>
                              <w:t>n</w:t>
                            </w:r>
                          </w:p>
                        </w:txbxContent>
                      </wps:txbx>
                      <wps:bodyPr wrap="square" lIns="0" tIns="0" rIns="0" bIns="0" rtlCol="0">
                        <a:noAutofit/>
                      </wps:bodyPr>
                    </wps:wsp>
                  </a:graphicData>
                </a:graphic>
              </wp:anchor>
            </w:drawing>
          </mc:Choice>
          <mc:Fallback>
            <w:pict>
              <v:shape style="position:absolute;margin-left:296.200012pt;margin-top:23.379967pt;width:50pt;height:44.35pt;mso-position-horizontal-relative:page;mso-position-vertical-relative:paragraph;z-index:-19282944" type="#_x0000_t202" id="docshape158" filled="false" stroked="false">
                <v:textbox inset="0,0,0,0">
                  <w:txbxContent>
                    <w:p>
                      <w:pPr>
                        <w:spacing w:line="464" w:lineRule="exact" w:before="0"/>
                        <w:ind w:left="0" w:right="0" w:firstLine="0"/>
                        <w:jc w:val="left"/>
                        <w:rPr>
                          <w:rFonts w:ascii="Cambria" w:hAnsi="Cambria"/>
                          <w:position w:val="12"/>
                          <w:sz w:val="16"/>
                        </w:rPr>
                      </w:pPr>
                      <w:r>
                        <w:rPr>
                          <w:rFonts w:ascii="Lucida Sans Unicode" w:hAnsi="Lucida Sans Unicode"/>
                          <w:spacing w:val="-18"/>
                          <w:sz w:val="24"/>
                        </w:rPr>
                        <w:t>—</w:t>
                      </w:r>
                      <w:r>
                        <w:rPr>
                          <w:rFonts w:ascii="Lucida Sans Unicode" w:hAnsi="Lucida Sans Unicode"/>
                          <w:spacing w:val="-22"/>
                          <w:sz w:val="24"/>
                        </w:rPr>
                        <w:t> </w:t>
                      </w:r>
                      <w:r>
                        <w:rPr>
                          <w:rFonts w:ascii="Calibri" w:hAnsi="Calibri"/>
                          <w:i/>
                          <w:spacing w:val="-117"/>
                          <w:w w:val="114"/>
                          <w:sz w:val="24"/>
                        </w:rPr>
                        <w:t>R</w:t>
                      </w:r>
                      <w:r>
                        <w:rPr>
                          <w:rFonts w:ascii="Calibri" w:hAnsi="Calibri"/>
                          <w:spacing w:val="23"/>
                          <w:w w:val="101"/>
                          <w:position w:val="6"/>
                          <w:sz w:val="24"/>
                        </w:rPr>
                        <w:t>¯</w:t>
                      </w:r>
                      <w:r>
                        <w:rPr>
                          <w:rFonts w:ascii="Calibri" w:hAnsi="Calibri"/>
                          <w:spacing w:val="11"/>
                          <w:w w:val="102"/>
                          <w:sz w:val="24"/>
                        </w:rPr>
                        <w:t>)</w:t>
                      </w:r>
                      <w:r>
                        <w:rPr>
                          <w:rFonts w:ascii="Calibri" w:hAnsi="Calibri"/>
                          <w:spacing w:val="11"/>
                          <w:w w:val="82"/>
                          <w:position w:val="7"/>
                          <w:sz w:val="16"/>
                        </w:rPr>
                        <w:t>2</w:t>
                      </w:r>
                      <w:r>
                        <w:rPr>
                          <w:rFonts w:ascii="Calibri" w:hAnsi="Calibri"/>
                          <w:spacing w:val="14"/>
                          <w:position w:val="7"/>
                          <w:sz w:val="16"/>
                        </w:rPr>
                        <w:t> </w:t>
                      </w:r>
                      <w:r>
                        <w:rPr>
                          <w:spacing w:val="-18"/>
                          <w:position w:val="18"/>
                          <w:sz w:val="24"/>
                        </w:rPr>
                        <w:t>Σ</w:t>
                      </w:r>
                      <w:r>
                        <w:rPr>
                          <w:rFonts w:ascii="Cambria" w:hAnsi="Cambria"/>
                          <w:spacing w:val="-18"/>
                          <w:position w:val="12"/>
                          <w:sz w:val="16"/>
                        </w:rPr>
                        <w:t>n</w:t>
                      </w:r>
                    </w:p>
                  </w:txbxContent>
                </v:textbox>
                <w10:wrap type="none"/>
              </v:shape>
            </w:pict>
          </mc:Fallback>
        </mc:AlternateContent>
      </w:r>
      <w:r>
        <w:rPr>
          <w:rFonts w:ascii="Calibri" w:hAnsi="Calibri"/>
          <w:sz w:val="24"/>
        </w:rPr>
        <mc:AlternateContent>
          <mc:Choice Requires="wps">
            <w:drawing>
              <wp:anchor distT="0" distB="0" distL="0" distR="0" allowOverlap="1" layoutInCell="1" locked="0" behindDoc="1" simplePos="0" relativeHeight="484034048">
                <wp:simplePos x="0" y="0"/>
                <wp:positionH relativeFrom="page">
                  <wp:posOffset>4737747</wp:posOffset>
                </wp:positionH>
                <wp:positionV relativeFrom="paragraph">
                  <wp:posOffset>283577</wp:posOffset>
                </wp:positionV>
                <wp:extent cx="426720" cy="2794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426720" cy="279400"/>
                        </a:xfrm>
                        <a:prstGeom prst="rect">
                          <a:avLst/>
                        </a:prstGeom>
                      </wps:spPr>
                      <wps:txbx>
                        <w:txbxContent>
                          <w:p>
                            <w:pPr>
                              <w:spacing w:line="167" w:lineRule="exact" w:before="0"/>
                              <w:ind w:left="0" w:right="0" w:firstLine="0"/>
                              <w:jc w:val="right"/>
                              <w:rPr>
                                <w:rFonts w:ascii="Calibri"/>
                                <w:i/>
                                <w:sz w:val="24"/>
                              </w:rPr>
                            </w:pPr>
                            <w:r>
                              <w:rPr>
                                <w:rFonts w:ascii="Calibri"/>
                                <w:i/>
                                <w:spacing w:val="-10"/>
                                <w:w w:val="105"/>
                                <w:sz w:val="24"/>
                              </w:rPr>
                              <w:t>.</w:t>
                            </w:r>
                          </w:p>
                          <w:p>
                            <w:pPr>
                              <w:spacing w:line="272" w:lineRule="exact" w:before="0"/>
                              <w:ind w:left="0" w:right="0" w:firstLine="0"/>
                              <w:jc w:val="left"/>
                              <w:rPr>
                                <w:rFonts w:ascii="Calibri" w:hAnsi="Calibri"/>
                                <w:position w:val="7"/>
                                <w:sz w:val="16"/>
                              </w:rPr>
                            </w:pPr>
                            <w:r>
                              <w:rPr>
                                <w:rFonts w:ascii="Lucida Sans Unicode" w:hAnsi="Lucida Sans Unicode"/>
                                <w:w w:val="75"/>
                                <w:sz w:val="24"/>
                              </w:rPr>
                              <w:t>—</w:t>
                            </w:r>
                            <w:r>
                              <w:rPr>
                                <w:rFonts w:ascii="Lucida Sans Unicode" w:hAnsi="Lucida Sans Unicode"/>
                                <w:spacing w:val="-18"/>
                                <w:w w:val="99"/>
                                <w:sz w:val="24"/>
                              </w:rPr>
                              <w:t> </w:t>
                            </w:r>
                            <w:r>
                              <w:rPr>
                                <w:rFonts w:ascii="Calibri" w:hAnsi="Calibri"/>
                                <w:i/>
                                <w:spacing w:val="-83"/>
                                <w:w w:val="111"/>
                                <w:sz w:val="24"/>
                              </w:rPr>
                              <w:t>S</w:t>
                            </w:r>
                            <w:r>
                              <w:rPr>
                                <w:rFonts w:ascii="Calibri" w:hAnsi="Calibri"/>
                                <w:spacing w:val="23"/>
                                <w:w w:val="102"/>
                                <w:position w:val="6"/>
                                <w:sz w:val="24"/>
                              </w:rPr>
                              <w:t>¯</w:t>
                            </w:r>
                            <w:r>
                              <w:rPr>
                                <w:rFonts w:ascii="Calibri" w:hAnsi="Calibri"/>
                                <w:spacing w:val="22"/>
                                <w:w w:val="103"/>
                                <w:sz w:val="24"/>
                              </w:rPr>
                              <w:t>)</w:t>
                            </w:r>
                            <w:r>
                              <w:rPr>
                                <w:rFonts w:ascii="Calibri" w:hAnsi="Calibri"/>
                                <w:spacing w:val="22"/>
                                <w:w w:val="83"/>
                                <w:position w:val="7"/>
                                <w:sz w:val="16"/>
                              </w:rPr>
                              <w:t>2</w:t>
                            </w:r>
                          </w:p>
                        </w:txbxContent>
                      </wps:txbx>
                      <wps:bodyPr wrap="square" lIns="0" tIns="0" rIns="0" bIns="0" rtlCol="0">
                        <a:noAutofit/>
                      </wps:bodyPr>
                    </wps:wsp>
                  </a:graphicData>
                </a:graphic>
              </wp:anchor>
            </w:drawing>
          </mc:Choice>
          <mc:Fallback>
            <w:pict>
              <v:shape style="position:absolute;margin-left:373.050995pt;margin-top:22.328968pt;width:33.6pt;height:22pt;mso-position-horizontal-relative:page;mso-position-vertical-relative:paragraph;z-index:-19282432" type="#_x0000_t202" id="docshape159" filled="false" stroked="false">
                <v:textbox inset="0,0,0,0">
                  <w:txbxContent>
                    <w:p>
                      <w:pPr>
                        <w:spacing w:line="167" w:lineRule="exact" w:before="0"/>
                        <w:ind w:left="0" w:right="0" w:firstLine="0"/>
                        <w:jc w:val="right"/>
                        <w:rPr>
                          <w:rFonts w:ascii="Calibri"/>
                          <w:i/>
                          <w:sz w:val="24"/>
                        </w:rPr>
                      </w:pPr>
                      <w:r>
                        <w:rPr>
                          <w:rFonts w:ascii="Calibri"/>
                          <w:i/>
                          <w:spacing w:val="-10"/>
                          <w:w w:val="105"/>
                          <w:sz w:val="24"/>
                        </w:rPr>
                        <w:t>.</w:t>
                      </w:r>
                    </w:p>
                    <w:p>
                      <w:pPr>
                        <w:spacing w:line="272" w:lineRule="exact" w:before="0"/>
                        <w:ind w:left="0" w:right="0" w:firstLine="0"/>
                        <w:jc w:val="left"/>
                        <w:rPr>
                          <w:rFonts w:ascii="Calibri" w:hAnsi="Calibri"/>
                          <w:position w:val="7"/>
                          <w:sz w:val="16"/>
                        </w:rPr>
                      </w:pPr>
                      <w:r>
                        <w:rPr>
                          <w:rFonts w:ascii="Lucida Sans Unicode" w:hAnsi="Lucida Sans Unicode"/>
                          <w:w w:val="75"/>
                          <w:sz w:val="24"/>
                        </w:rPr>
                        <w:t>—</w:t>
                      </w:r>
                      <w:r>
                        <w:rPr>
                          <w:rFonts w:ascii="Lucida Sans Unicode" w:hAnsi="Lucida Sans Unicode"/>
                          <w:spacing w:val="-18"/>
                          <w:w w:val="99"/>
                          <w:sz w:val="24"/>
                        </w:rPr>
                        <w:t> </w:t>
                      </w:r>
                      <w:r>
                        <w:rPr>
                          <w:rFonts w:ascii="Calibri" w:hAnsi="Calibri"/>
                          <w:i/>
                          <w:spacing w:val="-83"/>
                          <w:w w:val="111"/>
                          <w:sz w:val="24"/>
                        </w:rPr>
                        <w:t>S</w:t>
                      </w:r>
                      <w:r>
                        <w:rPr>
                          <w:rFonts w:ascii="Calibri" w:hAnsi="Calibri"/>
                          <w:spacing w:val="23"/>
                          <w:w w:val="102"/>
                          <w:position w:val="6"/>
                          <w:sz w:val="24"/>
                        </w:rPr>
                        <w:t>¯</w:t>
                      </w:r>
                      <w:r>
                        <w:rPr>
                          <w:rFonts w:ascii="Calibri" w:hAnsi="Calibri"/>
                          <w:spacing w:val="22"/>
                          <w:w w:val="103"/>
                          <w:sz w:val="24"/>
                        </w:rPr>
                        <w:t>)</w:t>
                      </w:r>
                      <w:r>
                        <w:rPr>
                          <w:rFonts w:ascii="Calibri" w:hAnsi="Calibri"/>
                          <w:spacing w:val="22"/>
                          <w:w w:val="83"/>
                          <w:position w:val="7"/>
                          <w:sz w:val="16"/>
                        </w:rPr>
                        <w:t>2</w:t>
                      </w:r>
                    </w:p>
                  </w:txbxContent>
                </v:textbox>
                <w10:wrap type="none"/>
              </v:shape>
            </w:pict>
          </mc:Fallback>
        </mc:AlternateContent>
      </w:r>
      <w:r>
        <w:rPr>
          <w:spacing w:val="-6"/>
          <w:w w:val="125"/>
          <w:position w:val="18"/>
          <w:sz w:val="24"/>
        </w:rPr>
        <w:t>Σ</w:t>
      </w:r>
      <w:r>
        <w:rPr>
          <w:rFonts w:ascii="Cambria" w:hAnsi="Cambria"/>
          <w:spacing w:val="-6"/>
          <w:w w:val="125"/>
          <w:position w:val="12"/>
          <w:sz w:val="16"/>
        </w:rPr>
        <w:t>n</w:t>
      </w:r>
      <w:r>
        <w:rPr>
          <w:rFonts w:ascii="Cambria" w:hAnsi="Cambria"/>
          <w:spacing w:val="77"/>
          <w:w w:val="125"/>
          <w:position w:val="12"/>
          <w:sz w:val="16"/>
        </w:rPr>
        <w:t> </w:t>
      </w:r>
      <w:r>
        <w:rPr>
          <w:rFonts w:ascii="Calibri" w:hAnsi="Calibri"/>
          <w:spacing w:val="-6"/>
          <w:w w:val="125"/>
          <w:sz w:val="24"/>
        </w:rPr>
        <w:t>(</w:t>
      </w:r>
      <w:r>
        <w:rPr>
          <w:rFonts w:ascii="Calibri" w:hAnsi="Calibri"/>
          <w:i/>
          <w:spacing w:val="-6"/>
          <w:w w:val="125"/>
          <w:sz w:val="24"/>
        </w:rPr>
        <w:t>R</w:t>
      </w:r>
      <w:r>
        <w:rPr>
          <w:rFonts w:ascii="Cambria" w:hAnsi="Cambria"/>
          <w:spacing w:val="-6"/>
          <w:w w:val="125"/>
          <w:sz w:val="24"/>
          <w:vertAlign w:val="subscript"/>
        </w:rPr>
        <w:t>i</w:t>
      </w:r>
      <w:r>
        <w:rPr>
          <w:rFonts w:ascii="Cambria" w:hAnsi="Cambria"/>
          <w:spacing w:val="-10"/>
          <w:w w:val="125"/>
          <w:sz w:val="24"/>
          <w:vertAlign w:val="baseline"/>
        </w:rPr>
        <w:t> </w:t>
      </w:r>
      <w:r>
        <w:rPr>
          <w:rFonts w:ascii="Lucida Sans Unicode" w:hAnsi="Lucida Sans Unicode"/>
          <w:spacing w:val="-6"/>
          <w:w w:val="105"/>
          <w:sz w:val="24"/>
          <w:vertAlign w:val="baseline"/>
        </w:rPr>
        <w:t>—</w:t>
      </w:r>
      <w:r>
        <w:rPr>
          <w:rFonts w:ascii="Lucida Sans Unicode" w:hAnsi="Lucida Sans Unicode"/>
          <w:spacing w:val="-27"/>
          <w:w w:val="105"/>
          <w:sz w:val="24"/>
          <w:vertAlign w:val="baseline"/>
        </w:rPr>
        <w:t> </w:t>
      </w:r>
      <w:r>
        <w:rPr>
          <w:rFonts w:ascii="Calibri" w:hAnsi="Calibri"/>
          <w:i/>
          <w:spacing w:val="-115"/>
          <w:w w:val="133"/>
          <w:sz w:val="24"/>
          <w:vertAlign w:val="baseline"/>
        </w:rPr>
        <w:t>R</w:t>
      </w:r>
      <w:r>
        <w:rPr>
          <w:rFonts w:ascii="Calibri" w:hAnsi="Calibri"/>
          <w:spacing w:val="25"/>
          <w:w w:val="120"/>
          <w:position w:val="6"/>
          <w:sz w:val="24"/>
          <w:vertAlign w:val="baseline"/>
        </w:rPr>
        <w:t>¯</w:t>
      </w:r>
      <w:r>
        <w:rPr>
          <w:rFonts w:ascii="Calibri" w:hAnsi="Calibri"/>
          <w:spacing w:val="13"/>
          <w:w w:val="121"/>
          <w:sz w:val="24"/>
          <w:vertAlign w:val="baseline"/>
        </w:rPr>
        <w:t>)(</w:t>
      </w:r>
      <w:r>
        <w:rPr>
          <w:rFonts w:ascii="Calibri" w:hAnsi="Calibri"/>
          <w:i/>
          <w:spacing w:val="13"/>
          <w:w w:val="129"/>
          <w:sz w:val="24"/>
          <w:vertAlign w:val="baseline"/>
        </w:rPr>
        <w:t>S</w:t>
      </w:r>
      <w:r>
        <w:rPr>
          <w:rFonts w:ascii="Cambria" w:hAnsi="Cambria"/>
          <w:spacing w:val="13"/>
          <w:w w:val="125"/>
          <w:sz w:val="24"/>
          <w:vertAlign w:val="subscript"/>
        </w:rPr>
        <w:t>i</w:t>
      </w:r>
      <w:r>
        <w:rPr>
          <w:rFonts w:ascii="Cambria" w:hAnsi="Cambria"/>
          <w:spacing w:val="-9"/>
          <w:w w:val="124"/>
          <w:sz w:val="24"/>
          <w:vertAlign w:val="baseline"/>
        </w:rPr>
        <w:t> </w:t>
      </w:r>
      <w:r>
        <w:rPr>
          <w:rFonts w:ascii="Lucida Sans Unicode" w:hAnsi="Lucida Sans Unicode"/>
          <w:spacing w:val="-6"/>
          <w:w w:val="105"/>
          <w:sz w:val="24"/>
          <w:vertAlign w:val="baseline"/>
        </w:rPr>
        <w:t>—</w:t>
      </w:r>
      <w:r>
        <w:rPr>
          <w:rFonts w:ascii="Lucida Sans Unicode" w:hAnsi="Lucida Sans Unicode"/>
          <w:spacing w:val="-28"/>
          <w:w w:val="105"/>
          <w:sz w:val="24"/>
          <w:vertAlign w:val="baseline"/>
        </w:rPr>
        <w:t> </w:t>
      </w:r>
      <w:r>
        <w:rPr>
          <w:rFonts w:ascii="Calibri" w:hAnsi="Calibri"/>
          <w:i/>
          <w:spacing w:val="-76"/>
          <w:w w:val="130"/>
          <w:sz w:val="24"/>
          <w:vertAlign w:val="baseline"/>
        </w:rPr>
        <w:t>S</w:t>
      </w:r>
      <w:r>
        <w:rPr>
          <w:rFonts w:ascii="Calibri" w:hAnsi="Calibri"/>
          <w:spacing w:val="29"/>
          <w:w w:val="121"/>
          <w:position w:val="6"/>
          <w:sz w:val="24"/>
          <w:vertAlign w:val="baseline"/>
        </w:rPr>
        <w:t>¯</w:t>
      </w:r>
      <w:r>
        <w:rPr>
          <w:rFonts w:ascii="Calibri" w:hAnsi="Calibri"/>
          <w:spacing w:val="28"/>
          <w:w w:val="122"/>
          <w:sz w:val="24"/>
          <w:vertAlign w:val="baseline"/>
        </w:rPr>
        <w:t>)</w:t>
      </w:r>
    </w:p>
    <w:p>
      <w:pPr>
        <w:spacing w:before="59"/>
        <w:ind w:left="612" w:right="0" w:firstLine="0"/>
        <w:jc w:val="center"/>
        <w:rPr>
          <w:rFonts w:ascii="Calibri" w:hAnsi="Calibri"/>
          <w:sz w:val="24"/>
        </w:rPr>
      </w:pPr>
      <w:r>
        <w:rPr>
          <w:i/>
        </w:rPr>
        <w:t>Σn (Ri — R̅)(Si — S̅)</w:t>
      </w:r>
    </w:p>
    <w:p>
      <w:pPr>
        <w:pStyle w:val="BodyText"/>
        <w:spacing w:before="3"/>
        <w:rPr>
          <w:rFonts w:ascii="Calibri"/>
          <w:sz w:val="2"/>
        </w:rPr>
      </w:pPr>
    </w:p>
    <w:p>
      <w:pPr>
        <w:tabs>
          <w:tab w:pos="5829" w:val="left" w:leader="none"/>
        </w:tabs>
        <w:spacing w:line="240" w:lineRule="auto"/>
        <w:ind w:left="4541" w:right="0" w:firstLine="0"/>
        <w:jc w:val="left"/>
        <w:rPr>
          <w:rFonts w:ascii="Calibri"/>
          <w:position w:val="3"/>
          <w:sz w:val="20"/>
        </w:rPr>
      </w:pPr>
      <w:r>
        <w:rPr>
          <w:rFonts w:ascii="Calibri"/>
          <w:position w:val="5"/>
          <w:sz w:val="20"/>
        </w:rPr>
        <mc:AlternateContent>
          <mc:Choice Requires="wps">
            <w:drawing>
              <wp:inline distT="0" distB="0" distL="0" distR="0">
                <wp:extent cx="171450" cy="152400"/>
                <wp:effectExtent l="0" t="0" r="0" b="0"/>
                <wp:docPr id="230" name="Textbox 230"/>
                <wp:cNvGraphicFramePr>
                  <a:graphicFrameLocks/>
                </wp:cNvGraphicFramePr>
                <a:graphic>
                  <a:graphicData uri="http://schemas.microsoft.com/office/word/2010/wordprocessingShape">
                    <wps:wsp>
                      <wps:cNvPr id="230" name="Textbox 230"/>
                      <wps:cNvSpPr txBox="1"/>
                      <wps:spPr>
                        <a:xfrm>
                          <a:off x="0" y="0"/>
                          <a:ext cx="171450" cy="152400"/>
                        </a:xfrm>
                        <a:prstGeom prst="rect">
                          <a:avLst/>
                        </a:prstGeom>
                      </wps:spPr>
                      <wps:txbx>
                        <w:txbxContent>
                          <w:p>
                            <w:pPr>
                              <w:spacing w:line="239" w:lineRule="exact" w:before="0"/>
                              <w:ind w:left="0" w:right="0" w:firstLine="0"/>
                              <w:jc w:val="left"/>
                              <w:rPr>
                                <w:rFonts w:ascii="Calibri"/>
                                <w:i/>
                                <w:sz w:val="24"/>
                              </w:rPr>
                            </w:pPr>
                            <w:r>
                              <w:rPr>
                                <w:rFonts w:ascii="Calibri"/>
                                <w:spacing w:val="-5"/>
                                <w:w w:val="130"/>
                                <w:sz w:val="24"/>
                              </w:rPr>
                              <w:t>(</w:t>
                            </w:r>
                            <w:r>
                              <w:rPr>
                                <w:rFonts w:ascii="Calibri"/>
                                <w:i/>
                                <w:spacing w:val="-5"/>
                                <w:w w:val="130"/>
                                <w:sz w:val="24"/>
                              </w:rPr>
                              <w:t>R</w:t>
                            </w:r>
                          </w:p>
                        </w:txbxContent>
                      </wps:txbx>
                      <wps:bodyPr wrap="square" lIns="0" tIns="0" rIns="0" bIns="0" rtlCol="0">
                        <a:noAutofit/>
                      </wps:bodyPr>
                    </wps:wsp>
                  </a:graphicData>
                </a:graphic>
              </wp:inline>
            </w:drawing>
          </mc:Choice>
          <mc:Fallback>
            <w:pict>
              <v:shape style="width:13.5pt;height:12pt;mso-position-horizontal-relative:char;mso-position-vertical-relative:line" type="#_x0000_t202" id="docshape160" filled="false" stroked="false">
                <w10:anchorlock/>
                <v:textbox inset="0,0,0,0">
                  <w:txbxContent>
                    <w:p>
                      <w:pPr>
                        <w:spacing w:line="239" w:lineRule="exact" w:before="0"/>
                        <w:ind w:left="0" w:right="0" w:firstLine="0"/>
                        <w:jc w:val="left"/>
                        <w:rPr>
                          <w:rFonts w:ascii="Calibri"/>
                          <w:i/>
                          <w:sz w:val="24"/>
                        </w:rPr>
                      </w:pPr>
                      <w:r>
                        <w:rPr>
                          <w:rFonts w:ascii="Calibri"/>
                          <w:spacing w:val="-5"/>
                          <w:w w:val="130"/>
                          <w:sz w:val="24"/>
                        </w:rPr>
                        <w:t>(</w:t>
                      </w:r>
                      <w:r>
                        <w:rPr>
                          <w:rFonts w:ascii="Calibri"/>
                          <w:i/>
                          <w:spacing w:val="-5"/>
                          <w:w w:val="130"/>
                          <w:sz w:val="24"/>
                        </w:rPr>
                        <w:t>R</w:t>
                      </w:r>
                    </w:p>
                  </w:txbxContent>
                </v:textbox>
              </v:shape>
            </w:pict>
          </mc:Fallback>
        </mc:AlternateContent>
      </w:r>
      <w:r>
        <w:rPr>
          <w:rFonts w:ascii="Calibri"/>
          <w:position w:val="5"/>
          <w:sz w:val="20"/>
        </w:rPr>
      </w:r>
      <w:r>
        <w:rPr>
          <w:rFonts w:ascii="Calibri"/>
          <w:position w:val="3"/>
          <w:sz w:val="20"/>
        </w:rPr>
        <mc:AlternateContent>
          <mc:Choice Requires="wps">
            <w:drawing>
              <wp:inline distT="0" distB="0" distL="0" distR="0">
                <wp:extent cx="36830" cy="101600"/>
                <wp:effectExtent l="0" t="0" r="0" b="0"/>
                <wp:docPr id="231" name="Textbox 231"/>
                <wp:cNvGraphicFramePr>
                  <a:graphicFrameLocks/>
                </wp:cNvGraphicFramePr>
                <a:graphic>
                  <a:graphicData uri="http://schemas.microsoft.com/office/word/2010/wordprocessingShape">
                    <wps:wsp>
                      <wps:cNvPr id="231" name="Textbox 231"/>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inline>
            </w:drawing>
          </mc:Choice>
          <mc:Fallback>
            <w:pict>
              <v:shape style="width:2.9pt;height:8pt;mso-position-horizontal-relative:char;mso-position-vertical-relative:line" type="#_x0000_t202" id="docshape161" filled="false" stroked="false">
                <w10:anchorlock/>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v:shape>
            </w:pict>
          </mc:Fallback>
        </mc:AlternateContent>
      </w:r>
      <w:r>
        <w:rPr>
          <w:rFonts w:ascii="Calibri"/>
          <w:position w:val="3"/>
          <w:sz w:val="20"/>
        </w:rPr>
      </w:r>
      <w:r>
        <w:rPr>
          <w:rFonts w:ascii="Calibri"/>
          <w:position w:val="3"/>
          <w:sz w:val="20"/>
        </w:rPr>
        <w:tab/>
      </w:r>
      <w:r>
        <w:rPr>
          <w:rFonts w:ascii="Calibri"/>
          <w:sz w:val="20"/>
        </w:rPr>
        <mc:AlternateContent>
          <mc:Choice Requires="wps">
            <w:drawing>
              <wp:inline distT="0" distB="0" distL="0" distR="0">
                <wp:extent cx="173990" cy="101600"/>
                <wp:effectExtent l="0" t="0" r="0" b="0"/>
                <wp:docPr id="232" name="Textbox 232"/>
                <wp:cNvGraphicFramePr>
                  <a:graphicFrameLocks/>
                </wp:cNvGraphicFramePr>
                <a:graphic>
                  <a:graphicData uri="http://schemas.microsoft.com/office/word/2010/wordprocessingShape">
                    <wps:wsp>
                      <wps:cNvPr id="232" name="Textbox 232"/>
                      <wps:cNvSpPr txBox="1"/>
                      <wps:spPr>
                        <a:xfrm>
                          <a:off x="0" y="0"/>
                          <a:ext cx="173990" cy="101600"/>
                        </a:xfrm>
                        <a:prstGeom prst="rect">
                          <a:avLst/>
                        </a:prstGeom>
                      </wps:spPr>
                      <wps:txbx>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wps:txbx>
                      <wps:bodyPr wrap="square" lIns="0" tIns="0" rIns="0" bIns="0" rtlCol="0">
                        <a:noAutofit/>
                      </wps:bodyPr>
                    </wps:wsp>
                  </a:graphicData>
                </a:graphic>
              </wp:inline>
            </w:drawing>
          </mc:Choice>
          <mc:Fallback>
            <w:pict>
              <v:shape style="width:13.7pt;height:8pt;mso-position-horizontal-relative:char;mso-position-vertical-relative:line" type="#_x0000_t202" id="docshape162" filled="false" stroked="false">
                <w10:anchorlock/>
                <v:textbox inset="0,0,0,0">
                  <w:txbxContent>
                    <w:p>
                      <w:pPr>
                        <w:spacing w:line="159" w:lineRule="exact" w:before="0"/>
                        <w:ind w:left="0" w:right="0" w:firstLine="0"/>
                        <w:jc w:val="left"/>
                        <w:rPr>
                          <w:rFonts w:ascii="Calibri"/>
                          <w:sz w:val="16"/>
                        </w:rPr>
                      </w:pPr>
                      <w:r>
                        <w:rPr>
                          <w:rFonts w:ascii="Cambria"/>
                          <w:spacing w:val="-5"/>
                          <w:w w:val="130"/>
                          <w:sz w:val="16"/>
                        </w:rPr>
                        <w:t>i</w:t>
                      </w:r>
                      <w:r>
                        <w:rPr>
                          <w:rFonts w:ascii="Calibri"/>
                          <w:spacing w:val="-5"/>
                          <w:w w:val="130"/>
                          <w:sz w:val="16"/>
                        </w:rPr>
                        <w:t>=1</w:t>
                      </w:r>
                    </w:p>
                  </w:txbxContent>
                </v:textbox>
              </v:shape>
            </w:pict>
          </mc:Fallback>
        </mc:AlternateContent>
      </w:r>
      <w:r>
        <w:rPr>
          <w:rFonts w:ascii="Calibri"/>
          <w:sz w:val="20"/>
        </w:rPr>
      </w:r>
      <w:r>
        <w:rPr>
          <w:spacing w:val="-40"/>
          <w:sz w:val="20"/>
        </w:rPr>
        <w:t> </w:t>
      </w:r>
      <w:r>
        <w:rPr>
          <w:rFonts w:ascii="Calibri"/>
          <w:spacing w:val="-40"/>
          <w:position w:val="5"/>
          <w:sz w:val="20"/>
        </w:rPr>
        <mc:AlternateContent>
          <mc:Choice Requires="wps">
            <w:drawing>
              <wp:inline distT="0" distB="0" distL="0" distR="0">
                <wp:extent cx="149225" cy="152400"/>
                <wp:effectExtent l="0" t="0" r="0" b="0"/>
                <wp:docPr id="233" name="Textbox 233"/>
                <wp:cNvGraphicFramePr>
                  <a:graphicFrameLocks/>
                </wp:cNvGraphicFramePr>
                <a:graphic>
                  <a:graphicData uri="http://schemas.microsoft.com/office/word/2010/wordprocessingShape">
                    <wps:wsp>
                      <wps:cNvPr id="233" name="Textbox 233"/>
                      <wps:cNvSpPr txBox="1"/>
                      <wps:spPr>
                        <a:xfrm>
                          <a:off x="0" y="0"/>
                          <a:ext cx="149225" cy="152400"/>
                        </a:xfrm>
                        <a:prstGeom prst="rect">
                          <a:avLst/>
                        </a:prstGeom>
                      </wps:spPr>
                      <wps:txbx>
                        <w:txbxContent>
                          <w:p>
                            <w:pPr>
                              <w:spacing w:line="239" w:lineRule="exact" w:before="0"/>
                              <w:ind w:left="0" w:right="0" w:firstLine="0"/>
                              <w:jc w:val="left"/>
                              <w:rPr>
                                <w:rFonts w:ascii="Calibri"/>
                                <w:i/>
                                <w:sz w:val="24"/>
                              </w:rPr>
                            </w:pPr>
                            <w:r>
                              <w:rPr>
                                <w:rFonts w:ascii="Calibri"/>
                                <w:spacing w:val="-5"/>
                                <w:w w:val="125"/>
                                <w:sz w:val="24"/>
                              </w:rPr>
                              <w:t>(</w:t>
                            </w:r>
                            <w:r>
                              <w:rPr>
                                <w:rFonts w:ascii="Calibri"/>
                                <w:i/>
                                <w:spacing w:val="-5"/>
                                <w:w w:val="125"/>
                                <w:sz w:val="24"/>
                              </w:rPr>
                              <w:t>S</w:t>
                            </w:r>
                          </w:p>
                        </w:txbxContent>
                      </wps:txbx>
                      <wps:bodyPr wrap="square" lIns="0" tIns="0" rIns="0" bIns="0" rtlCol="0">
                        <a:noAutofit/>
                      </wps:bodyPr>
                    </wps:wsp>
                  </a:graphicData>
                </a:graphic>
              </wp:inline>
            </w:drawing>
          </mc:Choice>
          <mc:Fallback>
            <w:pict>
              <v:shape style="width:11.75pt;height:12pt;mso-position-horizontal-relative:char;mso-position-vertical-relative:line" type="#_x0000_t202" id="docshape163" filled="false" stroked="false">
                <w10:anchorlock/>
                <v:textbox inset="0,0,0,0">
                  <w:txbxContent>
                    <w:p>
                      <w:pPr>
                        <w:spacing w:line="239" w:lineRule="exact" w:before="0"/>
                        <w:ind w:left="0" w:right="0" w:firstLine="0"/>
                        <w:jc w:val="left"/>
                        <w:rPr>
                          <w:rFonts w:ascii="Calibri"/>
                          <w:i/>
                          <w:sz w:val="24"/>
                        </w:rPr>
                      </w:pPr>
                      <w:r>
                        <w:rPr>
                          <w:rFonts w:ascii="Calibri"/>
                          <w:spacing w:val="-5"/>
                          <w:w w:val="125"/>
                          <w:sz w:val="24"/>
                        </w:rPr>
                        <w:t>(</w:t>
                      </w:r>
                      <w:r>
                        <w:rPr>
                          <w:rFonts w:ascii="Calibri"/>
                          <w:i/>
                          <w:spacing w:val="-5"/>
                          <w:w w:val="125"/>
                          <w:sz w:val="24"/>
                        </w:rPr>
                        <w:t>S</w:t>
                      </w:r>
                    </w:p>
                  </w:txbxContent>
                </v:textbox>
              </v:shape>
            </w:pict>
          </mc:Fallback>
        </mc:AlternateContent>
      </w:r>
      <w:r>
        <w:rPr>
          <w:rFonts w:ascii="Calibri"/>
          <w:spacing w:val="-40"/>
          <w:position w:val="5"/>
          <w:sz w:val="20"/>
        </w:rPr>
      </w:r>
      <w:r>
        <w:rPr>
          <w:rFonts w:ascii="Calibri"/>
          <w:spacing w:val="-40"/>
          <w:position w:val="3"/>
          <w:sz w:val="20"/>
        </w:rPr>
        <mc:AlternateContent>
          <mc:Choice Requires="wps">
            <w:drawing>
              <wp:inline distT="0" distB="0" distL="0" distR="0">
                <wp:extent cx="36830" cy="101600"/>
                <wp:effectExtent l="0" t="0" r="0" b="0"/>
                <wp:docPr id="234" name="Textbox 234"/>
                <wp:cNvGraphicFramePr>
                  <a:graphicFrameLocks/>
                </wp:cNvGraphicFramePr>
                <a:graphic>
                  <a:graphicData uri="http://schemas.microsoft.com/office/word/2010/wordprocessingShape">
                    <wps:wsp>
                      <wps:cNvPr id="234" name="Textbox 234"/>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inline>
            </w:drawing>
          </mc:Choice>
          <mc:Fallback>
            <w:pict>
              <v:shape style="width:2.9pt;height:8pt;mso-position-horizontal-relative:char;mso-position-vertical-relative:line" type="#_x0000_t202" id="docshape164" filled="false" stroked="false">
                <w10:anchorlock/>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v:shape>
            </w:pict>
          </mc:Fallback>
        </mc:AlternateContent>
      </w:r>
      <w:r>
        <w:rPr>
          <w:rFonts w:ascii="Calibri"/>
          <w:spacing w:val="-40"/>
          <w:position w:val="3"/>
          <w:sz w:val="20"/>
        </w:rPr>
      </w:r>
    </w:p>
    <w:p>
      <w:pPr>
        <w:pStyle w:val="BodyText"/>
        <w:spacing w:before="8"/>
        <w:rPr>
          <w:rFonts w:ascii="Calibri"/>
        </w:rPr>
      </w:pPr>
    </w:p>
    <w:p>
      <w:pPr>
        <w:pStyle w:val="BodyText"/>
        <w:spacing w:line="393" w:lineRule="auto"/>
        <w:ind w:left="808" w:right="564"/>
      </w:pPr>
      <w:r>
        <w:rPr/>
        <w:t>Spearman captures monotonic agreement:</w:t>
      </w:r>
      <w:r>
        <w:rPr>
          <w:spacing w:val="40"/>
        </w:rPr>
        <w:t> </w:t>
      </w:r>
      <w:r>
        <w:rPr/>
        <w:t>if higher reputation consistently co-occurs with higher proxy values, </w:t>
      </w:r>
      <w:r>
        <w:rPr>
          <w:rFonts w:ascii="Calibri" w:hAnsi="Calibri"/>
          <w:i/>
        </w:rPr>
        <w:t>ρ </w:t>
      </w:r>
      <w:r>
        <w:rPr/>
        <w:t>is positive even when the relationship is nonlinear in the raw scores.</w:t>
      </w:r>
    </w:p>
    <w:p>
      <w:pPr>
        <w:pStyle w:val="BodyText"/>
        <w:spacing w:line="393" w:lineRule="auto"/>
        <w:ind w:left="808" w:right="564"/>
      </w:pPr>
      <w:r>
        <w:rPr>
          <w:i/>
        </w:rPr>
        <w:t>Spearman는 단조로운 합의를 포착합니다. 더 높은 평판이 더 높은 프록시 값과 지속적으로 동시에 발생하는 경우 원시 점수에서 관계가 비선형인 경우에도 ρ는 양수입니다.</w:t>
      </w:r>
    </w:p>
    <w:p>
      <w:pPr>
        <w:pStyle w:val="ListParagraph"/>
        <w:numPr>
          <w:ilvl w:val="0"/>
          <w:numId w:val="22"/>
        </w:numPr>
        <w:tabs>
          <w:tab w:pos="807" w:val="left" w:leader="none"/>
        </w:tabs>
        <w:spacing w:line="240" w:lineRule="auto" w:before="12" w:after="0"/>
        <w:ind w:left="807" w:right="0" w:hanging="214"/>
        <w:jc w:val="left"/>
        <w:rPr>
          <w:sz w:val="24"/>
        </w:rPr>
      </w:pPr>
      <w:r>
        <w:rPr>
          <w:b/>
          <w:sz w:val="24"/>
        </w:rPr>
        <w:t>Kendall’s</w:t>
      </w:r>
      <w:r>
        <w:rPr>
          <w:b/>
          <w:spacing w:val="-16"/>
          <w:sz w:val="24"/>
        </w:rPr>
        <w:t> </w:t>
      </w:r>
      <w:r>
        <w:rPr>
          <w:rFonts w:ascii="Calibri" w:hAnsi="Calibri"/>
          <w:i/>
          <w:sz w:val="24"/>
        </w:rPr>
        <w:t>τ</w:t>
      </w:r>
      <w:r>
        <w:rPr>
          <w:rFonts w:ascii="Calibri" w:hAnsi="Calibri"/>
          <w:i/>
          <w:spacing w:val="-28"/>
          <w:sz w:val="24"/>
        </w:rPr>
        <w:t> </w:t>
      </w:r>
      <w:r>
        <w:rPr>
          <w:b/>
          <w:sz w:val="24"/>
        </w:rPr>
        <w:t>:</w:t>
      </w:r>
      <w:r>
        <w:rPr>
          <w:b/>
          <w:spacing w:val="-2"/>
          <w:sz w:val="24"/>
        </w:rPr>
        <w:t> </w:t>
      </w:r>
      <w:r>
        <w:rPr>
          <w:sz w:val="24"/>
        </w:rPr>
        <w:t>Kendall’s</w:t>
      </w:r>
      <w:r>
        <w:rPr>
          <w:spacing w:val="-16"/>
          <w:sz w:val="24"/>
        </w:rPr>
        <w:t> </w:t>
      </w:r>
      <w:r>
        <w:rPr>
          <w:sz w:val="24"/>
        </w:rPr>
        <w:t>coefficient</w:t>
      </w:r>
      <w:r>
        <w:rPr>
          <w:spacing w:val="-16"/>
          <w:sz w:val="24"/>
        </w:rPr>
        <w:t> </w:t>
      </w:r>
      <w:r>
        <w:rPr>
          <w:sz w:val="24"/>
        </w:rPr>
        <w:t>counts</w:t>
      </w:r>
      <w:r>
        <w:rPr>
          <w:spacing w:val="-16"/>
          <w:sz w:val="24"/>
        </w:rPr>
        <w:t> </w:t>
      </w:r>
      <w:r>
        <w:rPr>
          <w:sz w:val="24"/>
        </w:rPr>
        <w:t>concordant</w:t>
      </w:r>
      <w:r>
        <w:rPr>
          <w:spacing w:val="-16"/>
          <w:sz w:val="24"/>
        </w:rPr>
        <w:t> </w:t>
      </w:r>
      <w:r>
        <w:rPr>
          <w:sz w:val="24"/>
        </w:rPr>
        <w:t>and</w:t>
      </w:r>
      <w:r>
        <w:rPr>
          <w:spacing w:val="-16"/>
          <w:sz w:val="24"/>
        </w:rPr>
        <w:t> </w:t>
      </w:r>
      <w:r>
        <w:rPr>
          <w:sz w:val="24"/>
        </w:rPr>
        <w:t>discordant</w:t>
      </w:r>
      <w:r>
        <w:rPr>
          <w:spacing w:val="-16"/>
          <w:sz w:val="24"/>
        </w:rPr>
        <w:t> </w:t>
      </w:r>
      <w:r>
        <w:rPr>
          <w:sz w:val="24"/>
        </w:rPr>
        <w:t>pairs.</w:t>
      </w:r>
      <w:r>
        <w:rPr>
          <w:spacing w:val="12"/>
          <w:sz w:val="24"/>
        </w:rPr>
        <w:t> </w:t>
      </w:r>
      <w:r>
        <w:rPr>
          <w:sz w:val="24"/>
        </w:rPr>
        <w:t>For</w:t>
      </w:r>
      <w:r>
        <w:rPr>
          <w:spacing w:val="-16"/>
          <w:sz w:val="24"/>
        </w:rPr>
        <w:t> </w:t>
      </w:r>
      <w:r>
        <w:rPr>
          <w:sz w:val="24"/>
        </w:rPr>
        <w:t>all</w:t>
      </w:r>
      <w:r>
        <w:rPr>
          <w:spacing w:val="-16"/>
          <w:sz w:val="24"/>
        </w:rPr>
        <w:t> </w:t>
      </w:r>
      <w:r>
        <w:rPr>
          <w:sz w:val="24"/>
        </w:rPr>
        <w:t>pairs</w:t>
      </w:r>
      <w:r>
        <w:rPr>
          <w:spacing w:val="-17"/>
          <w:sz w:val="24"/>
        </w:rPr>
        <w:t> </w:t>
      </w:r>
      <w:r>
        <w:rPr>
          <w:rFonts w:ascii="Calibri" w:hAnsi="Calibri"/>
          <w:i/>
          <w:sz w:val="24"/>
        </w:rPr>
        <w:t>i</w:t>
      </w:r>
      <w:r>
        <w:rPr>
          <w:rFonts w:ascii="Calibri" w:hAnsi="Calibri"/>
          <w:i/>
          <w:spacing w:val="10"/>
          <w:sz w:val="24"/>
        </w:rPr>
        <w:t> </w:t>
      </w:r>
      <w:r>
        <w:rPr>
          <w:rFonts w:ascii="Calibri" w:hAnsi="Calibri"/>
          <w:i/>
          <w:sz w:val="24"/>
        </w:rPr>
        <w:t>&lt;</w:t>
      </w:r>
      <w:r>
        <w:rPr>
          <w:rFonts w:ascii="Calibri" w:hAnsi="Calibri"/>
          <w:i/>
          <w:spacing w:val="10"/>
          <w:sz w:val="24"/>
        </w:rPr>
        <w:t> </w:t>
      </w:r>
      <w:r>
        <w:rPr>
          <w:rFonts w:ascii="Calibri" w:hAnsi="Calibri"/>
          <w:i/>
          <w:spacing w:val="-5"/>
          <w:sz w:val="24"/>
        </w:rPr>
        <w:t>j</w:t>
      </w:r>
      <w:r>
        <w:rPr>
          <w:spacing w:val="-5"/>
          <w:sz w:val="24"/>
        </w:rPr>
        <w:t>,</w:t>
      </w:r>
    </w:p>
    <w:p>
      <w:pPr>
        <w:pStyle w:val="ListParagraph"/>
        <w:numPr>
          <w:ilvl w:val="0"/>
          <w:numId w:val="22"/>
        </w:numPr>
        <w:tabs>
          <w:tab w:pos="807" w:val="left" w:leader="none"/>
        </w:tabs>
        <w:spacing w:line="240" w:lineRule="auto" w:before="12" w:after="0"/>
        <w:ind w:left="807" w:right="0" w:hanging="214"/>
        <w:jc w:val="left"/>
        <w:rPr>
          <w:sz w:val="24"/>
        </w:rPr>
      </w:pPr>
      <w:r>
        <w:rPr>
          <w:i/>
        </w:rPr>
        <w:t>Kendall의 τ : Kendall의 계수는 일치하는 쌍과 불일치하는 쌍을 셉니다. 모든 쌍 i &lt; j에 대해,</w:t>
      </w:r>
    </w:p>
    <w:p>
      <w:pPr>
        <w:pStyle w:val="BodyText"/>
        <w:spacing w:before="93"/>
        <w:rPr>
          <w:sz w:val="20"/>
        </w:rPr>
      </w:pPr>
    </w:p>
    <w:p>
      <w:pPr>
        <w:pStyle w:val="BodyText"/>
        <w:spacing w:after="0"/>
        <w:rPr>
          <w:sz w:val="20"/>
        </w:rPr>
        <w:sectPr>
          <w:pgSz w:w="11910" w:h="16840"/>
          <w:pgMar w:header="0" w:footer="2115" w:top="1840" w:bottom="2300" w:left="992" w:right="708"/>
        </w:sectPr>
      </w:pPr>
    </w:p>
    <w:p>
      <w:pPr>
        <w:spacing w:line="283" w:lineRule="exact" w:before="22"/>
        <w:ind w:left="4924" w:right="0" w:firstLine="0"/>
        <w:jc w:val="left"/>
        <w:rPr>
          <w:rFonts w:ascii="Calibri" w:hAnsi="Calibri"/>
          <w:sz w:val="24"/>
        </w:rPr>
      </w:pPr>
      <w:r>
        <w:rPr>
          <w:rFonts w:ascii="Calibri" w:hAnsi="Calibri"/>
          <w:sz w:val="24"/>
        </w:rPr>
        <w:t>2(</w:t>
      </w:r>
      <w:r>
        <w:rPr>
          <w:rFonts w:ascii="Calibri" w:hAnsi="Calibri"/>
          <w:i/>
          <w:sz w:val="24"/>
        </w:rPr>
        <w:t>C</w:t>
      </w:r>
      <w:r>
        <w:rPr>
          <w:rFonts w:ascii="Calibri" w:hAnsi="Calibri"/>
          <w:i/>
          <w:spacing w:val="13"/>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5"/>
          <w:sz w:val="24"/>
        </w:rPr>
        <w:t>D</w:t>
      </w:r>
      <w:r>
        <w:rPr>
          <w:rFonts w:ascii="Calibri" w:hAnsi="Calibri"/>
          <w:spacing w:val="-5"/>
          <w:sz w:val="24"/>
        </w:rPr>
        <w:t>)</w:t>
      </w:r>
    </w:p>
    <w:p>
      <w:pPr>
        <w:spacing w:line="125" w:lineRule="exact" w:before="0"/>
        <w:ind w:left="0" w:right="1065"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64480">
                <wp:simplePos x="0" y="0"/>
                <wp:positionH relativeFrom="page">
                  <wp:posOffset>3756926</wp:posOffset>
                </wp:positionH>
                <wp:positionV relativeFrom="paragraph">
                  <wp:posOffset>52334</wp:posOffset>
                </wp:positionV>
                <wp:extent cx="620395"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20395" cy="1270"/>
                        </a:xfrm>
                        <a:custGeom>
                          <a:avLst/>
                          <a:gdLst/>
                          <a:ahLst/>
                          <a:cxnLst/>
                          <a:rect l="l" t="t" r="r" b="b"/>
                          <a:pathLst>
                            <a:path w="620395" h="0">
                              <a:moveTo>
                                <a:pt x="0" y="0"/>
                              </a:moveTo>
                              <a:lnTo>
                                <a:pt x="62036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295.821014pt,4.120862pt" to="344.669014pt,4.120862pt" stroked="true" strokeweight=".4782pt" strokecolor="#000000">
                <v:stroke dashstyle="solid"/>
                <w10:wrap type="none"/>
              </v:line>
            </w:pict>
          </mc:Fallback>
        </mc:AlternateContent>
      </w:r>
      <w:r>
        <w:rPr>
          <w:rFonts w:ascii="Calibri" w:hAnsi="Calibri"/>
          <w:i/>
          <w:w w:val="130"/>
          <w:sz w:val="24"/>
        </w:rPr>
        <w:t>τ</w:t>
      </w:r>
      <w:r>
        <w:rPr>
          <w:rFonts w:ascii="Calibri" w:hAnsi="Calibri"/>
          <w:i/>
          <w:spacing w:val="-1"/>
          <w:w w:val="135"/>
          <w:sz w:val="24"/>
        </w:rPr>
        <w:t> </w:t>
      </w:r>
      <w:r>
        <w:rPr>
          <w:rFonts w:ascii="Calibri" w:hAnsi="Calibri"/>
          <w:spacing w:val="-10"/>
          <w:w w:val="135"/>
          <w:sz w:val="24"/>
        </w:rPr>
        <w:t>=</w:t>
      </w:r>
    </w:p>
    <w:p>
      <w:pPr>
        <w:spacing w:line="287" w:lineRule="exact" w:before="0"/>
        <w:ind w:left="4977" w:right="0" w:firstLine="0"/>
        <w:jc w:val="left"/>
        <w:rPr>
          <w:rFonts w:ascii="Calibri" w:hAnsi="Calibri"/>
          <w:sz w:val="24"/>
        </w:rPr>
      </w:pPr>
      <w:r>
        <w:rPr>
          <w:rFonts w:ascii="Calibri" w:hAnsi="Calibri"/>
          <w:i/>
          <w:sz w:val="24"/>
        </w:rPr>
        <w:t>n</w:t>
      </w:r>
      <w:r>
        <w:rPr>
          <w:rFonts w:ascii="Calibri" w:hAnsi="Calibri"/>
          <w:sz w:val="24"/>
        </w:rPr>
        <w:t>(</w:t>
      </w:r>
      <w:r>
        <w:rPr>
          <w:rFonts w:ascii="Calibri" w:hAnsi="Calibri"/>
          <w:i/>
          <w:sz w:val="24"/>
        </w:rPr>
        <w:t>n</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spacing w:val="-5"/>
          <w:sz w:val="24"/>
        </w:rPr>
        <w:t>1)</w:t>
      </w:r>
    </w:p>
    <w:p>
      <w:pPr>
        <w:tabs>
          <w:tab w:pos="3152" w:val="left" w:leader="none"/>
        </w:tabs>
        <w:spacing w:before="218"/>
        <w:ind w:left="0" w:right="0" w:firstLine="0"/>
        <w:jc w:val="left"/>
        <w:rPr>
          <w:sz w:val="24"/>
        </w:rPr>
      </w:pPr>
      <w:r>
        <w:rPr/>
        <w:br w:type="column"/>
      </w:r>
      <w:r>
        <w:rPr>
          <w:rFonts w:ascii="Calibri"/>
          <w:i/>
          <w:spacing w:val="-10"/>
          <w:sz w:val="24"/>
        </w:rPr>
        <w:t>,</w:t>
      </w:r>
      <w:r>
        <w:rPr>
          <w:rFonts w:ascii="Calibri"/>
          <w:i/>
          <w:sz w:val="24"/>
        </w:rPr>
        <w:tab/>
      </w:r>
      <w:r>
        <w:rPr>
          <w:spacing w:val="-2"/>
          <w:sz w:val="24"/>
        </w:rPr>
        <w:t>(3.23)</w:t>
      </w:r>
    </w:p>
    <w:p>
      <w:pPr>
        <w:spacing w:after="0"/>
        <w:jc w:val="left"/>
        <w:rPr>
          <w:sz w:val="24"/>
        </w:rPr>
        <w:sectPr>
          <w:type w:val="continuous"/>
          <w:pgSz w:w="11910" w:h="16840"/>
          <w:pgMar w:header="0" w:footer="2115" w:top="1920" w:bottom="280" w:left="992" w:right="708"/>
          <w:cols w:num="2" w:equalWidth="0">
            <w:col w:w="5902" w:space="24"/>
            <w:col w:w="4284"/>
          </w:cols>
        </w:sectPr>
      </w:pPr>
    </w:p>
    <w:p>
      <w:pPr>
        <w:pStyle w:val="BodyText"/>
        <w:spacing w:before="60"/>
      </w:pPr>
    </w:p>
    <w:p>
      <w:pPr>
        <w:pStyle w:val="BodyText"/>
        <w:spacing w:line="381" w:lineRule="auto"/>
        <w:ind w:left="808" w:right="557" w:hanging="9"/>
        <w:jc w:val="both"/>
      </w:pPr>
      <w:r>
        <w:rPr/>
        <w:t>where </w:t>
      </w:r>
      <w:r>
        <w:rPr>
          <w:rFonts w:ascii="Calibri" w:hAnsi="Calibri"/>
          <w:i/>
        </w:rPr>
        <w:t>C</w:t>
      </w:r>
      <w:r>
        <w:rPr>
          <w:rFonts w:ascii="Calibri" w:hAnsi="Calibri"/>
          <w:i/>
          <w:spacing w:val="26"/>
        </w:rPr>
        <w:t> </w:t>
      </w:r>
      <w:r>
        <w:rPr/>
        <w:t>is the number of pairs ordered the same way by both rankings and </w:t>
      </w:r>
      <w:r>
        <w:rPr>
          <w:rFonts w:ascii="Calibri" w:hAnsi="Calibri"/>
          <w:i/>
        </w:rPr>
        <w:t>D </w:t>
      </w:r>
      <w:r>
        <w:rPr/>
        <w:t>is the number ordered</w:t>
      </w:r>
      <w:r>
        <w:rPr>
          <w:spacing w:val="-5"/>
        </w:rPr>
        <w:t> </w:t>
      </w:r>
      <w:r>
        <w:rPr/>
        <w:t>differently</w:t>
      </w:r>
      <w:r>
        <w:rPr>
          <w:spacing w:val="-5"/>
        </w:rPr>
        <w:t> </w:t>
      </w:r>
      <w:r>
        <w:rPr/>
        <w:t>(ties</w:t>
      </w:r>
      <w:r>
        <w:rPr>
          <w:spacing w:val="-5"/>
        </w:rPr>
        <w:t> </w:t>
      </w:r>
      <w:r>
        <w:rPr/>
        <w:t>handled</w:t>
      </w:r>
      <w:r>
        <w:rPr>
          <w:spacing w:val="-5"/>
        </w:rPr>
        <w:t> </w:t>
      </w:r>
      <w:r>
        <w:rPr/>
        <w:t>by</w:t>
      </w:r>
      <w:r>
        <w:rPr>
          <w:spacing w:val="-5"/>
        </w:rPr>
        <w:t> </w:t>
      </w:r>
      <w:r>
        <w:rPr/>
        <w:t>the</w:t>
      </w:r>
      <w:r>
        <w:rPr>
          <w:spacing w:val="-5"/>
        </w:rPr>
        <w:t> </w:t>
      </w:r>
      <w:r>
        <w:rPr/>
        <w:t>implementation’s</w:t>
      </w:r>
      <w:r>
        <w:rPr>
          <w:spacing w:val="-5"/>
        </w:rPr>
        <w:t> </w:t>
      </w:r>
      <w:r>
        <w:rPr/>
        <w:t>standard</w:t>
      </w:r>
      <w:r>
        <w:rPr>
          <w:spacing w:val="-5"/>
        </w:rPr>
        <w:t> </w:t>
      </w:r>
      <w:r>
        <w:rPr/>
        <w:t>tie</w:t>
      </w:r>
      <w:r>
        <w:rPr>
          <w:spacing w:val="-5"/>
        </w:rPr>
        <w:t> </w:t>
      </w:r>
      <w:r>
        <w:rPr/>
        <w:t>correction).</w:t>
      </w:r>
      <w:r>
        <w:rPr>
          <w:spacing w:val="18"/>
        </w:rPr>
        <w:t> </w:t>
      </w:r>
      <w:r>
        <w:rPr/>
        <w:t>Kendall’s </w:t>
      </w:r>
      <w:r>
        <w:rPr>
          <w:rFonts w:ascii="Calibri" w:hAnsi="Calibri"/>
          <w:i/>
          <w:spacing w:val="-2"/>
          <w:w w:val="105"/>
        </w:rPr>
        <w:t>τ</w:t>
      </w:r>
      <w:r>
        <w:rPr>
          <w:rFonts w:ascii="Calibri" w:hAnsi="Calibri"/>
          <w:i/>
          <w:spacing w:val="16"/>
          <w:w w:val="105"/>
        </w:rPr>
        <w:t> </w:t>
      </w:r>
      <w:r>
        <w:rPr>
          <w:spacing w:val="-2"/>
          <w:w w:val="105"/>
        </w:rPr>
        <w:t>is</w:t>
      </w:r>
      <w:r>
        <w:rPr>
          <w:spacing w:val="-9"/>
          <w:w w:val="105"/>
        </w:rPr>
        <w:t> </w:t>
      </w:r>
      <w:r>
        <w:rPr>
          <w:spacing w:val="-2"/>
          <w:w w:val="105"/>
        </w:rPr>
        <w:t>more</w:t>
      </w:r>
      <w:r>
        <w:rPr>
          <w:spacing w:val="-9"/>
          <w:w w:val="105"/>
        </w:rPr>
        <w:t> </w:t>
      </w:r>
      <w:r>
        <w:rPr>
          <w:spacing w:val="-2"/>
          <w:w w:val="105"/>
        </w:rPr>
        <w:t>interpretable</w:t>
      </w:r>
      <w:r>
        <w:rPr>
          <w:spacing w:val="-9"/>
          <w:w w:val="105"/>
        </w:rPr>
        <w:t> </w:t>
      </w:r>
      <w:r>
        <w:rPr>
          <w:spacing w:val="-2"/>
          <w:w w:val="105"/>
        </w:rPr>
        <w:t>as</w:t>
      </w:r>
      <w:r>
        <w:rPr>
          <w:spacing w:val="-9"/>
          <w:w w:val="105"/>
        </w:rPr>
        <w:t> </w:t>
      </w:r>
      <w:r>
        <w:rPr>
          <w:spacing w:val="-2"/>
          <w:w w:val="105"/>
        </w:rPr>
        <w:t>a</w:t>
      </w:r>
      <w:r>
        <w:rPr>
          <w:spacing w:val="-9"/>
          <w:w w:val="105"/>
        </w:rPr>
        <w:t> </w:t>
      </w:r>
      <w:r>
        <w:rPr>
          <w:spacing w:val="-2"/>
          <w:w w:val="105"/>
        </w:rPr>
        <w:t>pairwise</w:t>
      </w:r>
      <w:r>
        <w:rPr>
          <w:spacing w:val="-9"/>
          <w:w w:val="105"/>
        </w:rPr>
        <w:t> </w:t>
      </w:r>
      <w:r>
        <w:rPr>
          <w:spacing w:val="-2"/>
          <w:w w:val="105"/>
        </w:rPr>
        <w:t>ordering</w:t>
      </w:r>
      <w:r>
        <w:rPr>
          <w:spacing w:val="-9"/>
          <w:w w:val="105"/>
        </w:rPr>
        <w:t> </w:t>
      </w:r>
      <w:r>
        <w:rPr>
          <w:spacing w:val="-2"/>
          <w:w w:val="105"/>
        </w:rPr>
        <w:t>probability</w:t>
      </w:r>
      <w:r>
        <w:rPr>
          <w:spacing w:val="-9"/>
          <w:w w:val="105"/>
        </w:rPr>
        <w:t> </w:t>
      </w:r>
      <w:r>
        <w:rPr>
          <w:spacing w:val="-2"/>
          <w:w w:val="105"/>
        </w:rPr>
        <w:t>and</w:t>
      </w:r>
      <w:r>
        <w:rPr>
          <w:spacing w:val="-9"/>
          <w:w w:val="105"/>
        </w:rPr>
        <w:t> </w:t>
      </w:r>
      <w:r>
        <w:rPr>
          <w:spacing w:val="-2"/>
          <w:w w:val="105"/>
        </w:rPr>
        <w:t>is</w:t>
      </w:r>
      <w:r>
        <w:rPr>
          <w:spacing w:val="-9"/>
          <w:w w:val="105"/>
        </w:rPr>
        <w:t> </w:t>
      </w:r>
      <w:r>
        <w:rPr>
          <w:spacing w:val="-2"/>
          <w:w w:val="105"/>
        </w:rPr>
        <w:t>less</w:t>
      </w:r>
      <w:r>
        <w:rPr>
          <w:spacing w:val="-9"/>
          <w:w w:val="105"/>
        </w:rPr>
        <w:t> </w:t>
      </w:r>
      <w:r>
        <w:rPr>
          <w:spacing w:val="-2"/>
          <w:w w:val="105"/>
        </w:rPr>
        <w:t>sensitive</w:t>
      </w:r>
      <w:r>
        <w:rPr>
          <w:spacing w:val="-9"/>
          <w:w w:val="105"/>
        </w:rPr>
        <w:t> </w:t>
      </w:r>
      <w:r>
        <w:rPr>
          <w:spacing w:val="-2"/>
          <w:w w:val="105"/>
        </w:rPr>
        <w:t>to</w:t>
      </w:r>
      <w:r>
        <w:rPr>
          <w:spacing w:val="-9"/>
          <w:w w:val="105"/>
        </w:rPr>
        <w:t> </w:t>
      </w:r>
      <w:r>
        <w:rPr>
          <w:spacing w:val="-2"/>
          <w:w w:val="105"/>
        </w:rPr>
        <w:t>large</w:t>
      </w:r>
      <w:r>
        <w:rPr>
          <w:spacing w:val="-9"/>
          <w:w w:val="105"/>
        </w:rPr>
        <w:t> </w:t>
      </w:r>
      <w:r>
        <w:rPr>
          <w:spacing w:val="-2"/>
          <w:w w:val="105"/>
        </w:rPr>
        <w:t>rank </w:t>
      </w:r>
      <w:r>
        <w:rPr/>
        <w:t>displacements than Spearman in some heavy-tailed settings.</w:t>
      </w:r>
    </w:p>
    <w:p>
      <w:pPr>
        <w:pStyle w:val="BodyText"/>
        <w:spacing w:line="381" w:lineRule="auto"/>
        <w:ind w:left="808" w:right="557" w:hanging="9"/>
        <w:jc w:val="both"/>
      </w:pPr>
      <w:r>
        <w:rPr>
          <w:i/>
        </w:rPr>
        <w:t>여기서 C는 두 순위에서 동일한 방식으로 정렬된 쌍의 수이고 D는 다르게 정렬된 수입니다(구현의 표준 동점 수정에 의해 처리되는 동점). Kendall의 τ는 쌍별 순서 확률로 더 해석하기 쉽고 일부 두꺼운 꼬리 설정에서 Spearman보다 큰 순위 변위에 덜 민감합니다.</w:t>
      </w:r>
    </w:p>
    <w:p>
      <w:pPr>
        <w:pStyle w:val="ListParagraph"/>
        <w:numPr>
          <w:ilvl w:val="0"/>
          <w:numId w:val="22"/>
        </w:numPr>
        <w:tabs>
          <w:tab w:pos="794" w:val="left" w:leader="none"/>
          <w:tab w:pos="799" w:val="left" w:leader="none"/>
        </w:tabs>
        <w:spacing w:line="396" w:lineRule="auto" w:before="57" w:after="0"/>
        <w:ind w:left="799" w:right="523" w:hanging="207"/>
        <w:jc w:val="both"/>
        <w:rPr>
          <w:sz w:val="24"/>
        </w:rPr>
      </w:pPr>
      <w:r>
        <w:rPr>
          <w:b/>
          <w:sz w:val="24"/>
        </w:rPr>
        <w:t>Why both:</w:t>
      </w:r>
      <w:r>
        <w:rPr>
          <w:b/>
          <w:spacing w:val="35"/>
          <w:sz w:val="24"/>
        </w:rPr>
        <w:t> </w:t>
      </w:r>
      <w:r>
        <w:rPr>
          <w:sz w:val="24"/>
        </w:rPr>
        <w:t>Spearman summarizes global monotonic association; Kendall emphasizes pair-wise order fidelity.</w:t>
      </w:r>
      <w:r>
        <w:rPr>
          <w:spacing w:val="40"/>
          <w:sz w:val="24"/>
        </w:rPr>
        <w:t> </w:t>
      </w:r>
      <w:r>
        <w:rPr>
          <w:sz w:val="24"/>
        </w:rPr>
        <w:t>Reporting both follows Do et al.</w:t>
      </w:r>
      <w:hyperlink w:history="true" w:anchor="_bookmark149">
        <w:r>
          <w:rPr>
            <w:sz w:val="24"/>
            <w:vertAlign w:val="superscript"/>
          </w:rPr>
          <w:t>[16]</w:t>
        </w:r>
      </w:hyperlink>
      <w:r>
        <w:rPr>
          <w:sz w:val="24"/>
          <w:vertAlign w:val="baseline"/>
        </w:rPr>
        <w:t> and allows readers to verify that family-level</w:t>
      </w:r>
      <w:r>
        <w:rPr>
          <w:spacing w:val="-8"/>
          <w:sz w:val="24"/>
          <w:vertAlign w:val="baseline"/>
        </w:rPr>
        <w:t> </w:t>
      </w:r>
      <w:r>
        <w:rPr>
          <w:sz w:val="24"/>
          <w:vertAlign w:val="baseline"/>
        </w:rPr>
        <w:t>conclusions</w:t>
      </w:r>
      <w:r>
        <w:rPr>
          <w:spacing w:val="-8"/>
          <w:sz w:val="24"/>
          <w:vertAlign w:val="baseline"/>
        </w:rPr>
        <w:t> </w:t>
      </w:r>
      <w:r>
        <w:rPr>
          <w:sz w:val="24"/>
          <w:vertAlign w:val="baseline"/>
        </w:rPr>
        <w:t>are</w:t>
      </w:r>
      <w:r>
        <w:rPr>
          <w:spacing w:val="-8"/>
          <w:sz w:val="24"/>
          <w:vertAlign w:val="baseline"/>
        </w:rPr>
        <w:t> </w:t>
      </w:r>
      <w:r>
        <w:rPr>
          <w:sz w:val="24"/>
          <w:vertAlign w:val="baseline"/>
        </w:rPr>
        <w:t>not</w:t>
      </w:r>
      <w:r>
        <w:rPr>
          <w:spacing w:val="-7"/>
          <w:sz w:val="24"/>
          <w:vertAlign w:val="baseline"/>
        </w:rPr>
        <w:t> </w:t>
      </w:r>
      <w:r>
        <w:rPr>
          <w:sz w:val="24"/>
          <w:vertAlign w:val="baseline"/>
        </w:rPr>
        <w:t>an</w:t>
      </w:r>
      <w:r>
        <w:rPr>
          <w:spacing w:val="-8"/>
          <w:sz w:val="24"/>
          <w:vertAlign w:val="baseline"/>
        </w:rPr>
        <w:t> </w:t>
      </w:r>
      <w:r>
        <w:rPr>
          <w:sz w:val="24"/>
          <w:vertAlign w:val="baseline"/>
        </w:rPr>
        <w:t>artifact</w:t>
      </w:r>
      <w:r>
        <w:rPr>
          <w:spacing w:val="-8"/>
          <w:sz w:val="24"/>
          <w:vertAlign w:val="baseline"/>
        </w:rPr>
        <w:t> </w:t>
      </w:r>
      <w:r>
        <w:rPr>
          <w:sz w:val="24"/>
          <w:vertAlign w:val="baseline"/>
        </w:rPr>
        <w:t>of</w:t>
      </w:r>
      <w:r>
        <w:rPr>
          <w:spacing w:val="-7"/>
          <w:sz w:val="24"/>
          <w:vertAlign w:val="baseline"/>
        </w:rPr>
        <w:t> </w:t>
      </w:r>
      <w:r>
        <w:rPr>
          <w:sz w:val="24"/>
          <w:vertAlign w:val="baseline"/>
        </w:rPr>
        <w:t>a</w:t>
      </w:r>
      <w:r>
        <w:rPr>
          <w:spacing w:val="-8"/>
          <w:sz w:val="24"/>
          <w:vertAlign w:val="baseline"/>
        </w:rPr>
        <w:t> </w:t>
      </w:r>
      <w:r>
        <w:rPr>
          <w:sz w:val="24"/>
          <w:vertAlign w:val="baseline"/>
        </w:rPr>
        <w:t>single</w:t>
      </w:r>
      <w:r>
        <w:rPr>
          <w:spacing w:val="-8"/>
          <w:sz w:val="24"/>
          <w:vertAlign w:val="baseline"/>
        </w:rPr>
        <w:t> </w:t>
      </w:r>
      <w:r>
        <w:rPr>
          <w:sz w:val="24"/>
          <w:vertAlign w:val="baseline"/>
        </w:rPr>
        <w:t>rank</w:t>
      </w:r>
      <w:r>
        <w:rPr>
          <w:spacing w:val="-7"/>
          <w:sz w:val="24"/>
          <w:vertAlign w:val="baseline"/>
        </w:rPr>
        <w:t> </w:t>
      </w:r>
      <w:r>
        <w:rPr>
          <w:sz w:val="24"/>
          <w:vertAlign w:val="baseline"/>
        </w:rPr>
        <w:t>statistic.</w:t>
      </w:r>
      <w:r>
        <w:rPr>
          <w:spacing w:val="16"/>
          <w:sz w:val="24"/>
          <w:vertAlign w:val="baseline"/>
        </w:rPr>
        <w:t> </w:t>
      </w:r>
      <w:r>
        <w:rPr>
          <w:sz w:val="24"/>
          <w:vertAlign w:val="baseline"/>
        </w:rPr>
        <w:t>In</w:t>
      </w:r>
      <w:r>
        <w:rPr>
          <w:spacing w:val="-8"/>
          <w:sz w:val="24"/>
          <w:vertAlign w:val="baseline"/>
        </w:rPr>
        <w:t> </w:t>
      </w:r>
      <w:r>
        <w:rPr>
          <w:sz w:val="24"/>
          <w:vertAlign w:val="baseline"/>
        </w:rPr>
        <w:t>blockchain</w:t>
      </w:r>
      <w:r>
        <w:rPr>
          <w:spacing w:val="-8"/>
          <w:sz w:val="24"/>
          <w:vertAlign w:val="baseline"/>
        </w:rPr>
        <w:t> </w:t>
      </w:r>
      <w:r>
        <w:rPr>
          <w:sz w:val="24"/>
          <w:vertAlign w:val="baseline"/>
        </w:rPr>
        <w:t>reputation settings,</w:t>
      </w:r>
      <w:r>
        <w:rPr>
          <w:spacing w:val="-9"/>
          <w:sz w:val="24"/>
          <w:vertAlign w:val="baseline"/>
        </w:rPr>
        <w:t> </w:t>
      </w:r>
      <w:r>
        <w:rPr>
          <w:sz w:val="24"/>
          <w:vertAlign w:val="baseline"/>
        </w:rPr>
        <w:t>score</w:t>
      </w:r>
      <w:r>
        <w:rPr>
          <w:spacing w:val="-11"/>
          <w:sz w:val="24"/>
          <w:vertAlign w:val="baseline"/>
        </w:rPr>
        <w:t> </w:t>
      </w:r>
      <w:r>
        <w:rPr>
          <w:sz w:val="24"/>
          <w:vertAlign w:val="baseline"/>
        </w:rPr>
        <w:t>distributions</w:t>
      </w:r>
      <w:r>
        <w:rPr>
          <w:spacing w:val="-11"/>
          <w:sz w:val="24"/>
          <w:vertAlign w:val="baseline"/>
        </w:rPr>
        <w:t> </w:t>
      </w:r>
      <w:r>
        <w:rPr>
          <w:sz w:val="24"/>
          <w:vertAlign w:val="baseline"/>
        </w:rPr>
        <w:t>are</w:t>
      </w:r>
      <w:r>
        <w:rPr>
          <w:spacing w:val="-11"/>
          <w:sz w:val="24"/>
          <w:vertAlign w:val="baseline"/>
        </w:rPr>
        <w:t> </w:t>
      </w:r>
      <w:r>
        <w:rPr>
          <w:sz w:val="24"/>
          <w:vertAlign w:val="baseline"/>
        </w:rPr>
        <w:t>often</w:t>
      </w:r>
      <w:r>
        <w:rPr>
          <w:spacing w:val="-11"/>
          <w:sz w:val="24"/>
          <w:vertAlign w:val="baseline"/>
        </w:rPr>
        <w:t> </w:t>
      </w:r>
      <w:r>
        <w:rPr>
          <w:sz w:val="24"/>
          <w:vertAlign w:val="baseline"/>
        </w:rPr>
        <w:t>heavy-tailed:</w:t>
      </w:r>
      <w:r>
        <w:rPr>
          <w:spacing w:val="13"/>
          <w:sz w:val="24"/>
          <w:vertAlign w:val="baseline"/>
        </w:rPr>
        <w:t> </w:t>
      </w:r>
      <w:r>
        <w:rPr>
          <w:sz w:val="24"/>
          <w:vertAlign w:val="baseline"/>
        </w:rPr>
        <w:t>a</w:t>
      </w:r>
      <w:r>
        <w:rPr>
          <w:spacing w:val="-11"/>
          <w:sz w:val="24"/>
          <w:vertAlign w:val="baseline"/>
        </w:rPr>
        <w:t> </w:t>
      </w:r>
      <w:r>
        <w:rPr>
          <w:sz w:val="24"/>
          <w:vertAlign w:val="baseline"/>
        </w:rPr>
        <w:t>few</w:t>
      </w:r>
      <w:r>
        <w:rPr>
          <w:spacing w:val="-11"/>
          <w:sz w:val="24"/>
          <w:vertAlign w:val="baseline"/>
        </w:rPr>
        <w:t> </w:t>
      </w:r>
      <w:r>
        <w:rPr>
          <w:sz w:val="24"/>
          <w:vertAlign w:val="baseline"/>
        </w:rPr>
        <w:t>hubs</w:t>
      </w:r>
      <w:r>
        <w:rPr>
          <w:spacing w:val="-11"/>
          <w:sz w:val="24"/>
          <w:vertAlign w:val="baseline"/>
        </w:rPr>
        <w:t> </w:t>
      </w:r>
      <w:r>
        <w:rPr>
          <w:sz w:val="24"/>
          <w:vertAlign w:val="baseline"/>
        </w:rPr>
        <w:t>receive</w:t>
      </w:r>
      <w:r>
        <w:rPr>
          <w:spacing w:val="-11"/>
          <w:sz w:val="24"/>
          <w:vertAlign w:val="baseline"/>
        </w:rPr>
        <w:t> </w:t>
      </w:r>
      <w:r>
        <w:rPr>
          <w:sz w:val="24"/>
          <w:vertAlign w:val="baseline"/>
        </w:rPr>
        <w:t>large</w:t>
      </w:r>
      <w:r>
        <w:rPr>
          <w:spacing w:val="-11"/>
          <w:sz w:val="24"/>
          <w:vertAlign w:val="baseline"/>
        </w:rPr>
        <w:t> </w:t>
      </w:r>
      <w:r>
        <w:rPr>
          <w:sz w:val="24"/>
          <w:vertAlign w:val="baseline"/>
        </w:rPr>
        <w:t>mass</w:t>
      </w:r>
      <w:r>
        <w:rPr>
          <w:spacing w:val="-11"/>
          <w:sz w:val="24"/>
          <w:vertAlign w:val="baseline"/>
        </w:rPr>
        <w:t> </w:t>
      </w:r>
      <w:r>
        <w:rPr>
          <w:sz w:val="24"/>
          <w:vertAlign w:val="baseline"/>
        </w:rPr>
        <w:t>while</w:t>
      </w:r>
      <w:r>
        <w:rPr>
          <w:spacing w:val="-11"/>
          <w:sz w:val="24"/>
          <w:vertAlign w:val="baseline"/>
        </w:rPr>
        <w:t> </w:t>
      </w:r>
      <w:r>
        <w:rPr>
          <w:sz w:val="24"/>
          <w:vertAlign w:val="baseline"/>
        </w:rPr>
        <w:t>many wallets</w:t>
      </w:r>
      <w:r>
        <w:rPr>
          <w:spacing w:val="-15"/>
          <w:sz w:val="24"/>
          <w:vertAlign w:val="baseline"/>
        </w:rPr>
        <w:t> </w:t>
      </w:r>
      <w:r>
        <w:rPr>
          <w:sz w:val="24"/>
          <w:vertAlign w:val="baseline"/>
        </w:rPr>
        <w:t>share</w:t>
      </w:r>
      <w:r>
        <w:rPr>
          <w:spacing w:val="-15"/>
          <w:sz w:val="24"/>
          <w:vertAlign w:val="baseline"/>
        </w:rPr>
        <w:t> </w:t>
      </w:r>
      <w:r>
        <w:rPr>
          <w:sz w:val="24"/>
          <w:vertAlign w:val="baseline"/>
        </w:rPr>
        <w:t>near-zero</w:t>
      </w:r>
      <w:r>
        <w:rPr>
          <w:spacing w:val="-15"/>
          <w:sz w:val="24"/>
          <w:vertAlign w:val="baseline"/>
        </w:rPr>
        <w:t> </w:t>
      </w:r>
      <w:r>
        <w:rPr>
          <w:sz w:val="24"/>
          <w:vertAlign w:val="baseline"/>
        </w:rPr>
        <w:t>scores.</w:t>
      </w:r>
      <w:r>
        <w:rPr>
          <w:spacing w:val="6"/>
          <w:sz w:val="24"/>
          <w:vertAlign w:val="baseline"/>
        </w:rPr>
        <w:t> </w:t>
      </w:r>
      <w:r>
        <w:rPr>
          <w:sz w:val="24"/>
          <w:vertAlign w:val="baseline"/>
        </w:rPr>
        <w:t>Rank</w:t>
      </w:r>
      <w:r>
        <w:rPr>
          <w:spacing w:val="-15"/>
          <w:sz w:val="24"/>
          <w:vertAlign w:val="baseline"/>
        </w:rPr>
        <w:t> </w:t>
      </w:r>
      <w:r>
        <w:rPr>
          <w:sz w:val="24"/>
          <w:vertAlign w:val="baseline"/>
        </w:rPr>
        <w:t>correlations</w:t>
      </w:r>
      <w:r>
        <w:rPr>
          <w:spacing w:val="-15"/>
          <w:sz w:val="24"/>
          <w:vertAlign w:val="baseline"/>
        </w:rPr>
        <w:t> </w:t>
      </w:r>
      <w:r>
        <w:rPr>
          <w:sz w:val="24"/>
          <w:vertAlign w:val="baseline"/>
        </w:rPr>
        <w:t>remain</w:t>
      </w:r>
      <w:r>
        <w:rPr>
          <w:spacing w:val="-15"/>
          <w:sz w:val="24"/>
          <w:vertAlign w:val="baseline"/>
        </w:rPr>
        <w:t> </w:t>
      </w:r>
      <w:r>
        <w:rPr>
          <w:sz w:val="24"/>
          <w:vertAlign w:val="baseline"/>
        </w:rPr>
        <w:t>well-defined</w:t>
      </w:r>
      <w:r>
        <w:rPr>
          <w:spacing w:val="-15"/>
          <w:sz w:val="24"/>
          <w:vertAlign w:val="baseline"/>
        </w:rPr>
        <w:t> </w:t>
      </w:r>
      <w:r>
        <w:rPr>
          <w:sz w:val="24"/>
          <w:vertAlign w:val="baseline"/>
        </w:rPr>
        <w:t>in</w:t>
      </w:r>
      <w:r>
        <w:rPr>
          <w:spacing w:val="-15"/>
          <w:sz w:val="24"/>
          <w:vertAlign w:val="baseline"/>
        </w:rPr>
        <w:t> </w:t>
      </w:r>
      <w:r>
        <w:rPr>
          <w:sz w:val="24"/>
          <w:vertAlign w:val="baseline"/>
        </w:rPr>
        <w:t>that</w:t>
      </w:r>
      <w:r>
        <w:rPr>
          <w:spacing w:val="-15"/>
          <w:sz w:val="24"/>
          <w:vertAlign w:val="baseline"/>
        </w:rPr>
        <w:t> </w:t>
      </w:r>
      <w:r>
        <w:rPr>
          <w:sz w:val="24"/>
          <w:vertAlign w:val="baseline"/>
        </w:rPr>
        <w:t>regime,</w:t>
      </w:r>
      <w:r>
        <w:rPr>
          <w:spacing w:val="-13"/>
          <w:sz w:val="24"/>
          <w:vertAlign w:val="baseline"/>
        </w:rPr>
        <w:t> </w:t>
      </w:r>
      <w:r>
        <w:rPr>
          <w:sz w:val="24"/>
          <w:vertAlign w:val="baseline"/>
        </w:rPr>
        <w:t>whereas</w:t>
      </w:r>
    </w:p>
    <w:p>
      <w:pPr>
        <w:pStyle w:val="ListParagraph"/>
        <w:numPr>
          <w:ilvl w:val="0"/>
          <w:numId w:val="22"/>
        </w:numPr>
        <w:tabs>
          <w:tab w:pos="794" w:val="left" w:leader="none"/>
          <w:tab w:pos="799" w:val="left" w:leader="none"/>
        </w:tabs>
        <w:spacing w:line="396" w:lineRule="auto" w:before="57" w:after="0"/>
        <w:ind w:left="799" w:right="523" w:hanging="207"/>
        <w:jc w:val="both"/>
        <w:rPr>
          <w:sz w:val="24"/>
        </w:rPr>
      </w:pPr>
      <w:r>
        <w:rPr>
          <w:i/>
        </w:rPr>
        <w:t>둘 다인 이유: Spearman는 전역 단조 연관성을 요약하고 Kendall는 쌍별 순서 충실도를 강조합니다. 둘 다 보고하는 것은 Do et al.[16]을 따릅니다. 그리고 독자는 가족 수준의 결론이 단일 순위 통계의 인공물이 아니라는 것을 확인할 수 있습니다. 블록체인 평판 설정에서 점수 분포는 종종 두꺼운 꼬리를 가지고 있습니다. 몇몇 허브는 많은 양을 받는 반면 많은 지갑은 거의 0에 가까운 점수를 공유합니다. 해당 체제에서는 순위 상관관계가 잘 정의되어 있는 반면,</w:t>
      </w:r>
    </w:p>
    <w:p>
      <w:pPr>
        <w:pStyle w:val="ListParagraph"/>
        <w:spacing w:after="0" w:line="396" w:lineRule="auto"/>
        <w:jc w:val="both"/>
        <w:rPr>
          <w:sz w:val="24"/>
        </w:rPr>
        <w:sectPr>
          <w:type w:val="continuous"/>
          <w:pgSz w:w="11910" w:h="16840"/>
          <w:pgMar w:header="0" w:footer="2115" w:top="1920" w:bottom="280" w:left="992" w:right="708"/>
        </w:sectPr>
      </w:pPr>
    </w:p>
    <w:p>
      <w:pPr>
        <w:pStyle w:val="BodyText"/>
        <w:spacing w:before="72"/>
        <w:ind w:left="808"/>
        <w:jc w:val="both"/>
      </w:pPr>
      <w:r>
        <w:rPr/>
        <w:t>Pearson</w:t>
      </w:r>
      <w:r>
        <w:rPr>
          <w:spacing w:val="-8"/>
        </w:rPr>
        <w:t> </w:t>
      </w:r>
      <w:r>
        <w:rPr/>
        <w:t>correlation</w:t>
      </w:r>
      <w:r>
        <w:rPr>
          <w:spacing w:val="-7"/>
        </w:rPr>
        <w:t> </w:t>
      </w:r>
      <w:r>
        <w:rPr/>
        <w:t>on</w:t>
      </w:r>
      <w:r>
        <w:rPr>
          <w:spacing w:val="-8"/>
        </w:rPr>
        <w:t> </w:t>
      </w:r>
      <w:r>
        <w:rPr/>
        <w:t>raw</w:t>
      </w:r>
      <w:r>
        <w:rPr>
          <w:spacing w:val="-7"/>
        </w:rPr>
        <w:t> </w:t>
      </w:r>
      <w:r>
        <w:rPr/>
        <w:t>scores</w:t>
      </w:r>
      <w:r>
        <w:rPr>
          <w:spacing w:val="-8"/>
        </w:rPr>
        <w:t> </w:t>
      </w:r>
      <w:r>
        <w:rPr/>
        <w:t>would</w:t>
      </w:r>
      <w:r>
        <w:rPr>
          <w:spacing w:val="-7"/>
        </w:rPr>
        <w:t> </w:t>
      </w:r>
      <w:r>
        <w:rPr/>
        <w:t>be</w:t>
      </w:r>
      <w:r>
        <w:rPr>
          <w:spacing w:val="-7"/>
        </w:rPr>
        <w:t> </w:t>
      </w:r>
      <w:r>
        <w:rPr/>
        <w:t>dominated</w:t>
      </w:r>
      <w:r>
        <w:rPr>
          <w:spacing w:val="-8"/>
        </w:rPr>
        <w:t> </w:t>
      </w:r>
      <w:r>
        <w:rPr/>
        <w:t>by</w:t>
      </w:r>
      <w:r>
        <w:rPr>
          <w:spacing w:val="-7"/>
        </w:rPr>
        <w:t> </w:t>
      </w:r>
      <w:r>
        <w:rPr>
          <w:spacing w:val="-2"/>
        </w:rPr>
        <w:t>hubs.</w:t>
      </w:r>
    </w:p>
    <w:p>
      <w:pPr>
        <w:pStyle w:val="BodyText"/>
        <w:spacing w:before="72"/>
        <w:ind w:left="808"/>
        <w:jc w:val="both"/>
      </w:pPr>
      <w:r>
        <w:rPr>
          <w:i/>
        </w:rPr>
        <w:t>원시 점수에 대한 피어슨 상관관계는 허브에 의해 지배됩니다.</w:t>
      </w:r>
    </w:p>
    <w:p>
      <w:pPr>
        <w:pStyle w:val="ListParagraph"/>
        <w:numPr>
          <w:ilvl w:val="0"/>
          <w:numId w:val="22"/>
        </w:numPr>
        <w:tabs>
          <w:tab w:pos="799" w:val="left" w:leader="none"/>
          <w:tab w:pos="806" w:val="left" w:leader="none"/>
        </w:tabs>
        <w:spacing w:line="456" w:lineRule="exact" w:before="76" w:after="0"/>
        <w:ind w:left="799" w:right="558" w:hanging="207"/>
        <w:jc w:val="both"/>
        <w:rPr>
          <w:sz w:val="24"/>
        </w:rPr>
      </w:pPr>
      <w:r>
        <w:rPr>
          <w:sz w:val="24"/>
        </w:rPr>
        <mc:AlternateContent>
          <mc:Choice Requires="wps">
            <w:drawing>
              <wp:anchor distT="0" distB="0" distL="0" distR="0" allowOverlap="1" layoutInCell="1" locked="0" behindDoc="1" simplePos="0" relativeHeight="484034560">
                <wp:simplePos x="0" y="0"/>
                <wp:positionH relativeFrom="page">
                  <wp:posOffset>3403853</wp:posOffset>
                </wp:positionH>
                <wp:positionV relativeFrom="paragraph">
                  <wp:posOffset>546691</wp:posOffset>
                </wp:positionV>
                <wp:extent cx="53975" cy="1016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3975" cy="101600"/>
                        </a:xfrm>
                        <a:prstGeom prst="rect">
                          <a:avLst/>
                        </a:prstGeom>
                      </wps:spPr>
                      <wps:txbx>
                        <w:txbxContent>
                          <w:p>
                            <w:pPr>
                              <w:spacing w:line="159"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a:graphicData>
                </a:graphic>
              </wp:anchor>
            </w:drawing>
          </mc:Choice>
          <mc:Fallback>
            <w:pict>
              <v:shape style="position:absolute;margin-left:268.019989pt;margin-top:43.046597pt;width:4.25pt;height:8pt;mso-position-horizontal-relative:page;mso-position-vertical-relative:paragraph;z-index:-19281920" type="#_x0000_t202" id="docshape165" filled="false" stroked="false">
                <v:textbox inset="0,0,0,0">
                  <w:txbxContent>
                    <w:p>
                      <w:pPr>
                        <w:spacing w:line="159" w:lineRule="exact" w:before="0"/>
                        <w:ind w:left="0" w:right="0" w:firstLine="0"/>
                        <w:jc w:val="left"/>
                        <w:rPr>
                          <w:rFonts w:ascii="Calibri"/>
                          <w:sz w:val="16"/>
                        </w:rPr>
                      </w:pPr>
                      <w:r>
                        <w:rPr>
                          <w:rFonts w:ascii="Calibri"/>
                          <w:spacing w:val="-10"/>
                          <w:sz w:val="16"/>
                        </w:rPr>
                        <w:t>2</w:t>
                      </w:r>
                    </w:p>
                  </w:txbxContent>
                </v:textbox>
                <w10:wrap type="none"/>
              </v:shape>
            </w:pict>
          </mc:Fallback>
        </mc:AlternateContent>
      </w:r>
      <w:r>
        <w:rPr>
          <w:b/>
          <w:sz w:val="24"/>
        </w:rPr>
        <w:t>Family</w:t>
      </w:r>
      <w:r>
        <w:rPr>
          <w:b/>
          <w:spacing w:val="-15"/>
          <w:sz w:val="24"/>
        </w:rPr>
        <w:t> </w:t>
      </w:r>
      <w:r>
        <w:rPr>
          <w:b/>
          <w:sz w:val="24"/>
        </w:rPr>
        <w:t>aggregation:</w:t>
      </w:r>
      <w:r>
        <w:rPr>
          <w:b/>
          <w:spacing w:val="-15"/>
          <w:sz w:val="24"/>
        </w:rPr>
        <w:t> </w:t>
      </w:r>
      <w:r>
        <w:rPr>
          <w:sz w:val="24"/>
        </w:rPr>
        <w:t>Family-level</w:t>
      </w:r>
      <w:r>
        <w:rPr>
          <w:spacing w:val="-15"/>
          <w:sz w:val="24"/>
        </w:rPr>
        <w:t> </w:t>
      </w:r>
      <w:r>
        <w:rPr>
          <w:sz w:val="24"/>
        </w:rPr>
        <w:t>summaries</w:t>
      </w:r>
      <w:r>
        <w:rPr>
          <w:spacing w:val="-15"/>
          <w:sz w:val="24"/>
        </w:rPr>
        <w:t> </w:t>
      </w:r>
      <w:r>
        <w:rPr>
          <w:sz w:val="24"/>
        </w:rPr>
        <w:t>use</w:t>
      </w:r>
      <w:r>
        <w:rPr>
          <w:spacing w:val="-15"/>
          <w:sz w:val="24"/>
        </w:rPr>
        <w:t> </w:t>
      </w:r>
      <w:r>
        <w:rPr>
          <w:sz w:val="24"/>
        </w:rPr>
        <w:t>mean</w:t>
      </w:r>
      <w:r>
        <w:rPr>
          <w:spacing w:val="-15"/>
          <w:sz w:val="24"/>
        </w:rPr>
        <w:t> </w:t>
      </w:r>
      <w:r>
        <w:rPr>
          <w:rFonts w:ascii="Calibri" w:hAnsi="Calibri"/>
          <w:i/>
          <w:sz w:val="24"/>
        </w:rPr>
        <w:t>τ</w:t>
      </w:r>
      <w:r>
        <w:rPr>
          <w:rFonts w:ascii="Calibri" w:hAnsi="Calibri"/>
          <w:i/>
          <w:spacing w:val="-14"/>
          <w:sz w:val="24"/>
        </w:rPr>
        <w:t> </w:t>
      </w:r>
      <w:r>
        <w:rPr>
          <w:sz w:val="24"/>
        </w:rPr>
        <w:t>across</w:t>
      </w:r>
      <w:r>
        <w:rPr>
          <w:spacing w:val="-15"/>
          <w:sz w:val="24"/>
        </w:rPr>
        <w:t> </w:t>
      </w:r>
      <w:r>
        <w:rPr>
          <w:sz w:val="24"/>
        </w:rPr>
        <w:t>proxies</w:t>
      </w:r>
      <w:r>
        <w:rPr>
          <w:spacing w:val="-15"/>
          <w:sz w:val="24"/>
        </w:rPr>
        <w:t> </w:t>
      </w:r>
      <w:r>
        <w:rPr>
          <w:sz w:val="24"/>
        </w:rPr>
        <w:t>within</w:t>
      </w:r>
      <w:r>
        <w:rPr>
          <w:spacing w:val="-15"/>
          <w:sz w:val="24"/>
        </w:rPr>
        <w:t> </w:t>
      </w:r>
      <w:r>
        <w:rPr>
          <w:sz w:val="24"/>
        </w:rPr>
        <w:t>a</w:t>
      </w:r>
      <w:r>
        <w:rPr>
          <w:spacing w:val="-15"/>
          <w:sz w:val="24"/>
        </w:rPr>
        <w:t> </w:t>
      </w:r>
      <w:r>
        <w:rPr>
          <w:sz w:val="24"/>
        </w:rPr>
        <w:t>family.</w:t>
      </w:r>
      <w:r>
        <w:rPr>
          <w:spacing w:val="4"/>
          <w:sz w:val="24"/>
        </w:rPr>
        <w:t> </w:t>
      </w:r>
      <w:r>
        <w:rPr>
          <w:sz w:val="24"/>
        </w:rPr>
        <w:t>For example,</w:t>
      </w:r>
      <w:r>
        <w:rPr>
          <w:spacing w:val="-15"/>
          <w:sz w:val="24"/>
        </w:rPr>
        <w:t> </w:t>
      </w:r>
      <w:r>
        <w:rPr>
          <w:sz w:val="24"/>
        </w:rPr>
        <w:t>the</w:t>
      </w:r>
      <w:r>
        <w:rPr>
          <w:spacing w:val="-15"/>
          <w:sz w:val="24"/>
        </w:rPr>
        <w:t> </w:t>
      </w:r>
      <w:r>
        <w:rPr>
          <w:sz w:val="24"/>
        </w:rPr>
        <w:t>transfer-family</w:t>
      </w:r>
      <w:r>
        <w:rPr>
          <w:spacing w:val="-6"/>
          <w:sz w:val="24"/>
        </w:rPr>
        <w:t> </w:t>
      </w:r>
      <w:r>
        <w:rPr>
          <w:sz w:val="24"/>
        </w:rPr>
        <w:t>mean</w:t>
      </w:r>
      <w:r>
        <w:rPr>
          <w:spacing w:val="-3"/>
          <w:sz w:val="24"/>
        </w:rPr>
        <w:t> </w:t>
      </w:r>
      <w:r>
        <w:rPr>
          <w:sz w:val="24"/>
        </w:rPr>
        <w:t>is</w:t>
      </w:r>
      <w:r>
        <w:rPr>
          <w:spacing w:val="23"/>
          <w:sz w:val="24"/>
        </w:rPr>
        <w:t> </w:t>
      </w:r>
      <w:r>
        <w:rPr>
          <w:rFonts w:ascii="Calibri" w:hAnsi="Calibri"/>
          <w:sz w:val="24"/>
          <w:u w:val="single"/>
          <w:vertAlign w:val="superscript"/>
        </w:rPr>
        <w:t>1</w:t>
      </w:r>
      <w:r>
        <w:rPr>
          <w:rFonts w:ascii="Calibri" w:hAnsi="Calibri"/>
          <w:spacing w:val="-14"/>
          <w:sz w:val="24"/>
          <w:vertAlign w:val="baseline"/>
        </w:rPr>
        <w:t> </w:t>
      </w:r>
      <w:r>
        <w:rPr>
          <w:rFonts w:ascii="Calibri" w:hAnsi="Calibri"/>
          <w:sz w:val="24"/>
          <w:vertAlign w:val="baseline"/>
        </w:rPr>
        <w:t>(</w:t>
      </w:r>
      <w:r>
        <w:rPr>
          <w:rFonts w:ascii="Calibri" w:hAnsi="Calibri"/>
          <w:i/>
          <w:sz w:val="24"/>
          <w:vertAlign w:val="baseline"/>
        </w:rPr>
        <w:t>τ</w:t>
      </w:r>
      <w:r>
        <w:rPr>
          <w:sz w:val="24"/>
          <w:vertAlign w:val="subscript"/>
        </w:rPr>
        <w:t>in_degree</w:t>
      </w:r>
      <w:r>
        <w:rPr>
          <w:spacing w:val="-11"/>
          <w:sz w:val="24"/>
          <w:vertAlign w:val="baseline"/>
        </w:rPr>
        <w:t> </w:t>
      </w:r>
      <w:r>
        <w:rPr>
          <w:rFonts w:ascii="Calibri" w:hAnsi="Calibri"/>
          <w:w w:val="125"/>
          <w:sz w:val="24"/>
          <w:vertAlign w:val="baseline"/>
        </w:rPr>
        <w:t>+</w:t>
      </w:r>
      <w:r>
        <w:rPr>
          <w:rFonts w:ascii="Calibri" w:hAnsi="Calibri"/>
          <w:spacing w:val="-17"/>
          <w:w w:val="125"/>
          <w:sz w:val="24"/>
          <w:vertAlign w:val="baseline"/>
        </w:rPr>
        <w:t> </w:t>
      </w:r>
      <w:r>
        <w:rPr>
          <w:rFonts w:ascii="Calibri" w:hAnsi="Calibri"/>
          <w:i/>
          <w:sz w:val="24"/>
          <w:vertAlign w:val="baseline"/>
        </w:rPr>
        <w:t>τ</w:t>
      </w:r>
      <w:r>
        <w:rPr>
          <w:sz w:val="24"/>
          <w:vertAlign w:val="subscript"/>
        </w:rPr>
        <w:t>in_value</w:t>
      </w:r>
      <w:r>
        <w:rPr>
          <w:rFonts w:ascii="Calibri" w:hAnsi="Calibri"/>
          <w:sz w:val="24"/>
          <w:vertAlign w:val="baseline"/>
        </w:rPr>
        <w:t>)</w:t>
      </w:r>
      <w:r>
        <w:rPr>
          <w:sz w:val="24"/>
          <w:vertAlign w:val="baseline"/>
        </w:rPr>
        <w:t>.</w:t>
      </w:r>
      <w:r>
        <w:rPr>
          <w:spacing w:val="23"/>
          <w:sz w:val="24"/>
          <w:vertAlign w:val="baseline"/>
        </w:rPr>
        <w:t> </w:t>
      </w:r>
      <w:r>
        <w:rPr>
          <w:sz w:val="24"/>
          <w:vertAlign w:val="baseline"/>
        </w:rPr>
        <w:t>Method</w:t>
      </w:r>
      <w:r>
        <w:rPr>
          <w:spacing w:val="-3"/>
          <w:sz w:val="24"/>
          <w:vertAlign w:val="baseline"/>
        </w:rPr>
        <w:t> </w:t>
      </w:r>
      <w:r>
        <w:rPr>
          <w:sz w:val="24"/>
          <w:vertAlign w:val="baseline"/>
        </w:rPr>
        <w:t>comparisons</w:t>
      </w:r>
      <w:r>
        <w:rPr>
          <w:spacing w:val="-3"/>
          <w:sz w:val="24"/>
          <w:vertAlign w:val="baseline"/>
        </w:rPr>
        <w:t> </w:t>
      </w:r>
      <w:r>
        <w:rPr>
          <w:sz w:val="24"/>
          <w:vertAlign w:val="baseline"/>
        </w:rPr>
        <w:t>on</w:t>
      </w:r>
      <w:r>
        <w:rPr>
          <w:spacing w:val="-3"/>
          <w:sz w:val="24"/>
          <w:vertAlign w:val="baseline"/>
        </w:rPr>
        <w:t> </w:t>
      </w:r>
      <w:r>
        <w:rPr>
          <w:sz w:val="24"/>
          <w:vertAlign w:val="baseline"/>
        </w:rPr>
        <w:t>the</w:t>
      </w:r>
      <w:r>
        <w:rPr>
          <w:spacing w:val="-3"/>
          <w:sz w:val="24"/>
          <w:vertAlign w:val="baseline"/>
        </w:rPr>
        <w:t> </w:t>
      </w:r>
      <w:r>
        <w:rPr>
          <w:sz w:val="24"/>
          <w:vertAlign w:val="baseline"/>
        </w:rPr>
        <w:t>same cohort and proxies are relative, not absolute claims about universal reputation.</w:t>
      </w:r>
      <w:r>
        <w:rPr>
          <w:spacing w:val="40"/>
          <w:sz w:val="24"/>
          <w:vertAlign w:val="baseline"/>
        </w:rPr>
        <w:t> </w:t>
      </w:r>
      <w:r>
        <w:rPr>
          <w:sz w:val="24"/>
          <w:vertAlign w:val="baseline"/>
        </w:rPr>
        <w:t>Chapter </w:t>
      </w:r>
      <w:hyperlink w:history="true" w:anchor="_bookmark17">
        <w:r>
          <w:rPr>
            <w:sz w:val="24"/>
            <w:vertAlign w:val="baseline"/>
          </w:rPr>
          <w:t>2</w:t>
        </w:r>
      </w:hyperlink>
      <w:r>
        <w:rPr>
          <w:sz w:val="24"/>
          <w:vertAlign w:val="baseline"/>
        </w:rPr>
        <w:t> notes</w:t>
      </w:r>
      <w:r>
        <w:rPr>
          <w:spacing w:val="-15"/>
          <w:sz w:val="24"/>
          <w:vertAlign w:val="baseline"/>
        </w:rPr>
        <w:t> </w:t>
      </w:r>
      <w:r>
        <w:rPr>
          <w:sz w:val="24"/>
          <w:vertAlign w:val="baseline"/>
        </w:rPr>
        <w:t>interpretive bands used in related PageRank studies (</w:t>
      </w:r>
      <w:r>
        <w:rPr>
          <w:rFonts w:ascii="Lucida Sans Unicode" w:hAnsi="Lucida Sans Unicode"/>
          <w:sz w:val="24"/>
          <w:vertAlign w:val="baseline"/>
        </w:rPr>
        <w:t>|</w:t>
      </w:r>
      <w:r>
        <w:rPr>
          <w:rFonts w:ascii="Calibri" w:hAnsi="Calibri"/>
          <w:i/>
          <w:sz w:val="24"/>
          <w:vertAlign w:val="baseline"/>
        </w:rPr>
        <w:t>τ</w:t>
      </w:r>
      <w:r>
        <w:rPr>
          <w:rFonts w:ascii="Calibri" w:hAnsi="Calibri"/>
          <w:i/>
          <w:spacing w:val="-14"/>
          <w:sz w:val="24"/>
          <w:vertAlign w:val="baseline"/>
        </w:rPr>
        <w:t> </w:t>
      </w:r>
      <w:r>
        <w:rPr>
          <w:rFonts w:ascii="Lucida Sans Unicode" w:hAnsi="Lucida Sans Unicode"/>
          <w:sz w:val="24"/>
          <w:vertAlign w:val="baseline"/>
        </w:rPr>
        <w:t>| </w:t>
      </w:r>
      <w:r>
        <w:rPr>
          <w:rFonts w:ascii="Calibri" w:hAnsi="Calibri"/>
          <w:i/>
          <w:w w:val="125"/>
          <w:sz w:val="24"/>
          <w:vertAlign w:val="baseline"/>
        </w:rPr>
        <w:t>&lt;</w:t>
      </w:r>
      <w:r>
        <w:rPr>
          <w:rFonts w:ascii="Calibri" w:hAnsi="Calibri"/>
          <w:i/>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10 </w:t>
      </w:r>
      <w:r>
        <w:rPr>
          <w:sz w:val="24"/>
          <w:vertAlign w:val="baseline"/>
        </w:rPr>
        <w:t>negligible;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10</w:t>
      </w:r>
      <w:r>
        <w:rPr>
          <w:sz w:val="24"/>
          <w:vertAlign w:val="baseline"/>
        </w:rPr>
        <w:t>–</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 </w:t>
      </w:r>
      <w:r>
        <w:rPr>
          <w:sz w:val="24"/>
          <w:vertAlign w:val="baseline"/>
        </w:rPr>
        <w:t>weak-to-moderate; </w:t>
      </w:r>
      <w:r>
        <w:rPr>
          <w:rFonts w:ascii="Lucida Sans Unicode" w:hAnsi="Lucida Sans Unicode"/>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 </w:t>
      </w:r>
      <w:r>
        <w:rPr>
          <w:sz w:val="24"/>
          <w:vertAlign w:val="baseline"/>
        </w:rPr>
        <w:t>substantively meaningful); these bands guide discussion but do not replace the primary EndorseRank-versus-AWP contrast on identical inputs.</w:t>
      </w:r>
    </w:p>
    <w:p>
      <w:pPr>
        <w:pStyle w:val="ListParagraph"/>
        <w:numPr>
          <w:ilvl w:val="0"/>
          <w:numId w:val="22"/>
        </w:numPr>
        <w:tabs>
          <w:tab w:pos="799" w:val="left" w:leader="none"/>
          <w:tab w:pos="806" w:val="left" w:leader="none"/>
        </w:tabs>
        <w:spacing w:line="456" w:lineRule="exact" w:before="76" w:after="0"/>
        <w:ind w:left="799" w:right="558" w:hanging="207"/>
        <w:jc w:val="both"/>
        <w:rPr>
          <w:sz w:val="24"/>
        </w:rPr>
      </w:pPr>
      <w:r>
        <w:rPr>
          <w:i/>
        </w:rPr>
        <w:t>패밀리 집계: 패밀리 수준 요약은 패밀리 내 프록시 전체에서 평균 τ를 사용합니다. 예를 들어, 전이 가족 평균은 1(τin_degree + τin_value)입니다. 동일한 코호트 및 프록시에 대한 방법 비교는 상대적인 것이며 보편적 평판에 대한 절대적인 주장은 아닙니다. 2장에서는 관련 PageRank 연구에 사용된 해석 밴드에 대해 설명합니다(|τ | &lt; 0.10 무시할 수 있음, 0.10–0.35 약함~보통, ≥ 0.35 실질적으로 의미 있음). 이러한 밴드는 논의를 안내하지만 동일한 입력에 대한 기본 EndorseRank-대-AWP 대비를 대체하지는 않습니다.</w:t>
      </w:r>
    </w:p>
    <w:p>
      <w:pPr>
        <w:pStyle w:val="ListParagraph"/>
        <w:numPr>
          <w:ilvl w:val="0"/>
          <w:numId w:val="22"/>
        </w:numPr>
        <w:tabs>
          <w:tab w:pos="806" w:val="left" w:leader="none"/>
          <w:tab w:pos="808" w:val="left" w:leader="none"/>
        </w:tabs>
        <w:spacing w:line="456" w:lineRule="exact" w:before="40" w:after="0"/>
        <w:ind w:left="808" w:right="560" w:hanging="216"/>
        <w:jc w:val="both"/>
        <w:rPr>
          <w:sz w:val="24"/>
        </w:rPr>
      </w:pPr>
      <w:r>
        <w:rPr>
          <w:b/>
          <w:sz w:val="24"/>
        </w:rPr>
        <w:t>Orientation and missingness:</w:t>
      </w:r>
      <w:r>
        <w:rPr>
          <w:b/>
          <w:spacing w:val="26"/>
          <w:sz w:val="24"/>
        </w:rPr>
        <w:t> </w:t>
      </w:r>
      <w:r>
        <w:rPr>
          <w:sz w:val="24"/>
        </w:rPr>
        <w:t>Proxies are pre-oriented so that larger values indicate better reputation.</w:t>
      </w:r>
      <w:r>
        <w:rPr>
          <w:spacing w:val="40"/>
          <w:sz w:val="24"/>
        </w:rPr>
        <w:t> </w:t>
      </w:r>
      <w:r>
        <w:rPr>
          <w:sz w:val="24"/>
        </w:rPr>
        <w:t>Wallets absent from a proxy source receive zeros after alignment to </w:t>
      </w:r>
      <w:r>
        <w:rPr>
          <w:rFonts w:ascii="Lucida Sans Unicode" w:hAnsi="Lucida Sans Unicode"/>
          <w:spacing w:val="9"/>
          <w:sz w:val="24"/>
        </w:rPr>
        <w:t>M</w:t>
      </w:r>
      <w:r>
        <w:rPr>
          <w:spacing w:val="9"/>
          <w:sz w:val="24"/>
        </w:rPr>
        <w:t>, </w:t>
      </w:r>
      <w:r>
        <w:rPr>
          <w:sz w:val="24"/>
        </w:rPr>
        <w:t>which</w:t>
      </w:r>
      <w:r>
        <w:rPr>
          <w:spacing w:val="40"/>
          <w:sz w:val="24"/>
        </w:rPr>
        <w:t> </w:t>
      </w:r>
      <w:r>
        <w:rPr>
          <w:sz w:val="24"/>
        </w:rPr>
        <w:t>is conservative for sparse activity and is applied identically to both methods.</w:t>
      </w:r>
      <w:r>
        <w:rPr>
          <w:spacing w:val="40"/>
          <w:sz w:val="24"/>
        </w:rPr>
        <w:t> </w:t>
      </w:r>
      <w:r>
        <w:rPr>
          <w:sz w:val="24"/>
        </w:rPr>
        <w:t>No wallet is dropped</w:t>
      </w:r>
      <w:r>
        <w:rPr>
          <w:spacing w:val="-2"/>
          <w:sz w:val="24"/>
        </w:rPr>
        <w:t> </w:t>
      </w:r>
      <w:r>
        <w:rPr>
          <w:sz w:val="24"/>
        </w:rPr>
        <w:t>from</w:t>
      </w:r>
      <w:r>
        <w:rPr>
          <w:spacing w:val="-2"/>
          <w:sz w:val="24"/>
        </w:rPr>
        <w:t> </w:t>
      </w:r>
      <w:r>
        <w:rPr>
          <w:sz w:val="24"/>
        </w:rPr>
        <w:t>one</w:t>
      </w:r>
      <w:r>
        <w:rPr>
          <w:spacing w:val="-2"/>
          <w:sz w:val="24"/>
        </w:rPr>
        <w:t> </w:t>
      </w:r>
      <w:r>
        <w:rPr>
          <w:sz w:val="24"/>
        </w:rPr>
        <w:t>method</w:t>
      </w:r>
      <w:r>
        <w:rPr>
          <w:spacing w:val="-2"/>
          <w:sz w:val="24"/>
        </w:rPr>
        <w:t> </w:t>
      </w:r>
      <w:r>
        <w:rPr>
          <w:sz w:val="24"/>
        </w:rPr>
        <w:t>but</w:t>
      </w:r>
      <w:r>
        <w:rPr>
          <w:spacing w:val="-2"/>
          <w:sz w:val="24"/>
        </w:rPr>
        <w:t> </w:t>
      </w:r>
      <w:r>
        <w:rPr>
          <w:sz w:val="24"/>
        </w:rPr>
        <w:t>retained</w:t>
      </w:r>
      <w:r>
        <w:rPr>
          <w:spacing w:val="-2"/>
          <w:sz w:val="24"/>
        </w:rPr>
        <w:t> </w:t>
      </w:r>
      <w:r>
        <w:rPr>
          <w:sz w:val="24"/>
        </w:rPr>
        <w:t>in</w:t>
      </w:r>
      <w:r>
        <w:rPr>
          <w:spacing w:val="-2"/>
          <w:sz w:val="24"/>
        </w:rPr>
        <w:t> </w:t>
      </w:r>
      <w:r>
        <w:rPr>
          <w:sz w:val="24"/>
        </w:rPr>
        <w:t>the</w:t>
      </w:r>
      <w:r>
        <w:rPr>
          <w:spacing w:val="-2"/>
          <w:sz w:val="24"/>
        </w:rPr>
        <w:t> </w:t>
      </w:r>
      <w:r>
        <w:rPr>
          <w:sz w:val="24"/>
        </w:rPr>
        <w:t>other: the</w:t>
      </w:r>
      <w:r>
        <w:rPr>
          <w:spacing w:val="-2"/>
          <w:sz w:val="24"/>
        </w:rPr>
        <w:t> </w:t>
      </w:r>
      <w:r>
        <w:rPr>
          <w:sz w:val="24"/>
        </w:rPr>
        <w:t>correlation</w:t>
      </w:r>
      <w:r>
        <w:rPr>
          <w:spacing w:val="-2"/>
          <w:sz w:val="24"/>
        </w:rPr>
        <w:t> </w:t>
      </w:r>
      <w:r>
        <w:rPr>
          <w:sz w:val="24"/>
        </w:rPr>
        <w:t>sample</w:t>
      </w:r>
      <w:r>
        <w:rPr>
          <w:spacing w:val="-2"/>
          <w:sz w:val="24"/>
        </w:rPr>
        <w:t> </w:t>
      </w:r>
      <w:r>
        <w:rPr>
          <w:sz w:val="24"/>
        </w:rPr>
        <w:t>is</w:t>
      </w:r>
      <w:r>
        <w:rPr>
          <w:spacing w:val="-2"/>
          <w:sz w:val="24"/>
        </w:rPr>
        <w:t> </w:t>
      </w:r>
      <w:r>
        <w:rPr>
          <w:sz w:val="24"/>
        </w:rPr>
        <w:t>always</w:t>
      </w:r>
      <w:r>
        <w:rPr>
          <w:spacing w:val="-2"/>
          <w:sz w:val="24"/>
        </w:rPr>
        <w:t> </w:t>
      </w:r>
      <w:r>
        <w:rPr>
          <w:sz w:val="24"/>
        </w:rPr>
        <w:t>the</w:t>
      </w:r>
      <w:r>
        <w:rPr>
          <w:spacing w:val="-2"/>
          <w:sz w:val="24"/>
        </w:rPr>
        <w:t> </w:t>
      </w:r>
      <w:r>
        <w:rPr>
          <w:sz w:val="24"/>
        </w:rPr>
        <w:t>full matched cohort for primary tables.</w:t>
      </w:r>
    </w:p>
    <w:p>
      <w:pPr>
        <w:pStyle w:val="ListParagraph"/>
        <w:numPr>
          <w:ilvl w:val="0"/>
          <w:numId w:val="22"/>
        </w:numPr>
        <w:tabs>
          <w:tab w:pos="806" w:val="left" w:leader="none"/>
          <w:tab w:pos="808" w:val="left" w:leader="none"/>
        </w:tabs>
        <w:spacing w:line="456" w:lineRule="exact" w:before="40" w:after="0"/>
        <w:ind w:left="808" w:right="560" w:hanging="216"/>
        <w:jc w:val="both"/>
        <w:rPr>
          <w:sz w:val="24"/>
        </w:rPr>
      </w:pPr>
      <w:r>
        <w:rPr>
          <w:i/>
        </w:rPr>
        <w:t>방향 및 누락: 프록시는 미리 방향이 지정되어 있으므로 값이 클수록 더 나은 평판을 나타냅니다. 프록시 소스에 없는 지갑은 M에 정렬한 후 0을 받습니다. 이는 희소 활동에 대해 보수적이며 두 방법 모두에 동일하게 적용됩니다. 한 방법에서는 지갑이 삭제되지 않고 다른 방법에서는 유지됩니다. 상관관계 샘플은 항상 기본 테이블에 대해 완전히 일치하는 코호트입니다.</w:t>
      </w:r>
    </w:p>
    <w:p>
      <w:pPr>
        <w:pStyle w:val="ListParagraph"/>
        <w:numPr>
          <w:ilvl w:val="0"/>
          <w:numId w:val="22"/>
        </w:numPr>
        <w:tabs>
          <w:tab w:pos="776" w:val="left" w:leader="none"/>
          <w:tab w:pos="794" w:val="left" w:leader="none"/>
        </w:tabs>
        <w:spacing w:line="391" w:lineRule="auto" w:before="180" w:after="0"/>
        <w:ind w:left="776" w:right="562" w:hanging="184"/>
        <w:jc w:val="both"/>
        <w:rPr>
          <w:sz w:val="24"/>
        </w:rPr>
      </w:pPr>
      <w:r>
        <w:rPr>
          <w:b/>
          <w:sz w:val="24"/>
        </w:rPr>
        <w:t>What</w:t>
      </w:r>
      <w:r>
        <w:rPr>
          <w:b/>
          <w:sz w:val="24"/>
        </w:rPr>
        <w:t> is not tested:</w:t>
      </w:r>
      <w:r>
        <w:rPr>
          <w:b/>
          <w:spacing w:val="40"/>
          <w:sz w:val="24"/>
        </w:rPr>
        <w:t> </w:t>
      </w:r>
      <w:r>
        <w:rPr>
          <w:sz w:val="24"/>
        </w:rPr>
        <w:t>The study does not claim causal identification (reputation does not “cause” trading success in an interventional sense), does not fit predictive classifiers with train/test</w:t>
      </w:r>
      <w:r>
        <w:rPr>
          <w:spacing w:val="-3"/>
          <w:sz w:val="24"/>
        </w:rPr>
        <w:t> </w:t>
      </w:r>
      <w:r>
        <w:rPr>
          <w:sz w:val="24"/>
        </w:rPr>
        <w:t>splits,</w:t>
      </w:r>
      <w:r>
        <w:rPr>
          <w:spacing w:val="-3"/>
          <w:sz w:val="24"/>
        </w:rPr>
        <w:t> </w:t>
      </w:r>
      <w:r>
        <w:rPr>
          <w:sz w:val="24"/>
        </w:rPr>
        <w:t>and</w:t>
      </w:r>
      <w:r>
        <w:rPr>
          <w:spacing w:val="-3"/>
          <w:sz w:val="24"/>
        </w:rPr>
        <w:t> </w:t>
      </w:r>
      <w:r>
        <w:rPr>
          <w:sz w:val="24"/>
        </w:rPr>
        <w:t>does</w:t>
      </w:r>
      <w:r>
        <w:rPr>
          <w:spacing w:val="-3"/>
          <w:sz w:val="24"/>
        </w:rPr>
        <w:t> </w:t>
      </w:r>
      <w:r>
        <w:rPr>
          <w:sz w:val="24"/>
        </w:rPr>
        <w:t>not</w:t>
      </w:r>
      <w:r>
        <w:rPr>
          <w:spacing w:val="-3"/>
          <w:sz w:val="24"/>
        </w:rPr>
        <w:t> </w:t>
      </w:r>
      <w:r>
        <w:rPr>
          <w:sz w:val="24"/>
        </w:rPr>
        <w:t>report</w:t>
      </w:r>
      <w:r>
        <w:rPr>
          <w:spacing w:val="-3"/>
          <w:sz w:val="24"/>
        </w:rPr>
        <w:t> </w:t>
      </w:r>
      <w:r>
        <w:rPr>
          <w:rFonts w:ascii="Calibri" w:hAnsi="Calibri"/>
          <w:i/>
          <w:sz w:val="24"/>
        </w:rPr>
        <w:t>p</w:t>
      </w:r>
      <w:r>
        <w:rPr>
          <w:sz w:val="24"/>
        </w:rPr>
        <w:t>-values</w:t>
      </w:r>
      <w:r>
        <w:rPr>
          <w:spacing w:val="-3"/>
          <w:sz w:val="24"/>
        </w:rPr>
        <w:t> </w:t>
      </w:r>
      <w:r>
        <w:rPr>
          <w:sz w:val="24"/>
        </w:rPr>
        <w:t>as</w:t>
      </w:r>
      <w:r>
        <w:rPr>
          <w:spacing w:val="-3"/>
          <w:sz w:val="24"/>
        </w:rPr>
        <w:t> </w:t>
      </w:r>
      <w:r>
        <w:rPr>
          <w:sz w:val="24"/>
        </w:rPr>
        <w:t>the</w:t>
      </w:r>
      <w:r>
        <w:rPr>
          <w:spacing w:val="-3"/>
          <w:sz w:val="24"/>
        </w:rPr>
        <w:t> </w:t>
      </w:r>
      <w:r>
        <w:rPr>
          <w:sz w:val="24"/>
        </w:rPr>
        <w:t>primary</w:t>
      </w:r>
      <w:r>
        <w:rPr>
          <w:spacing w:val="-3"/>
          <w:sz w:val="24"/>
        </w:rPr>
        <w:t> </w:t>
      </w:r>
      <w:r>
        <w:rPr>
          <w:sz w:val="24"/>
        </w:rPr>
        <w:t>decision</w:t>
      </w:r>
      <w:r>
        <w:rPr>
          <w:spacing w:val="-3"/>
          <w:sz w:val="24"/>
        </w:rPr>
        <w:t> </w:t>
      </w:r>
      <w:r>
        <w:rPr>
          <w:sz w:val="24"/>
        </w:rPr>
        <w:t>criterion. The</w:t>
      </w:r>
      <w:r>
        <w:rPr>
          <w:spacing w:val="-3"/>
          <w:sz w:val="24"/>
        </w:rPr>
        <w:t> </w:t>
      </w:r>
      <w:r>
        <w:rPr>
          <w:sz w:val="24"/>
        </w:rPr>
        <w:t>scientific target is comparative construct alignment and computational cost under a fixed, transparent </w:t>
      </w:r>
      <w:r>
        <w:rPr>
          <w:spacing w:val="-2"/>
          <w:sz w:val="24"/>
        </w:rPr>
        <w:t>protocol.</w:t>
      </w:r>
    </w:p>
    <w:p>
      <w:pPr>
        <w:pStyle w:val="ListParagraph"/>
        <w:numPr>
          <w:ilvl w:val="0"/>
          <w:numId w:val="22"/>
        </w:numPr>
        <w:tabs>
          <w:tab w:pos="776" w:val="left" w:leader="none"/>
          <w:tab w:pos="794" w:val="left" w:leader="none"/>
        </w:tabs>
        <w:spacing w:line="391" w:lineRule="auto" w:before="180" w:after="0"/>
        <w:ind w:left="776" w:right="562" w:hanging="184"/>
        <w:jc w:val="both"/>
        <w:rPr>
          <w:sz w:val="24"/>
        </w:rPr>
      </w:pPr>
      <w:r>
        <w:rPr>
          <w:i/>
        </w:rPr>
        <w:t>테스트되지 않은 것: 이 연구는 인과 관계 식별을 주장하지 않으며(평판은 중재적 의미에서 거래 성공을 "원인"하지 않음), 훈련/테스트 분할을 통한 예측 분류기에 적합하지 않으며, p-값을 주요 결정 기준으로 보고하지 않습니다. 과학적 목표는 고정되고 투명한 프로토콜 하에서 비교 구성 정렬 및 계산 비용입니다.</w:t>
      </w:r>
    </w:p>
    <w:p>
      <w:pPr>
        <w:pStyle w:val="BodyText"/>
        <w:spacing w:before="163"/>
      </w:pPr>
    </w:p>
    <w:p>
      <w:pPr>
        <w:pStyle w:val="Heading2"/>
        <w:numPr>
          <w:ilvl w:val="1"/>
          <w:numId w:val="8"/>
        </w:numPr>
        <w:tabs>
          <w:tab w:pos="911" w:val="left" w:leader="none"/>
        </w:tabs>
        <w:spacing w:line="240" w:lineRule="auto" w:before="0" w:after="0"/>
        <w:ind w:left="911" w:right="0" w:hanging="629"/>
        <w:jc w:val="left"/>
      </w:pPr>
      <w:bookmarkStart w:name="Computational benchmark (Claim C1)" w:id="131"/>
      <w:bookmarkEnd w:id="131"/>
      <w:r>
        <w:rPr>
          <w:b w:val="0"/>
        </w:rPr>
      </w:r>
      <w:bookmarkStart w:name="_bookmark72" w:id="132"/>
      <w:bookmarkEnd w:id="132"/>
      <w:r>
        <w:rPr>
          <w:b w:val="0"/>
        </w:rPr>
      </w:r>
      <w:r>
        <w:rPr/>
        <w:t>Computational</w:t>
      </w:r>
      <w:r>
        <w:rPr>
          <w:spacing w:val="24"/>
        </w:rPr>
        <w:t> </w:t>
      </w:r>
      <w:r>
        <w:rPr/>
        <w:t>benchmark</w:t>
      </w:r>
      <w:r>
        <w:rPr>
          <w:spacing w:val="25"/>
        </w:rPr>
        <w:t> </w:t>
      </w:r>
      <w:r>
        <w:rPr/>
        <w:t>(Claim</w:t>
      </w:r>
      <w:r>
        <w:rPr>
          <w:spacing w:val="25"/>
        </w:rPr>
        <w:t> </w:t>
      </w:r>
      <w:r>
        <w:rPr>
          <w:spacing w:val="-5"/>
        </w:rPr>
        <w:t>C1)</w:t>
      </w:r>
    </w:p>
    <w:p>
      <w:pPr>
        <w:pStyle w:val="Heading2"/>
        <w:numPr>
          <w:ilvl w:val="1"/>
          <w:numId w:val="8"/>
        </w:numPr>
        <w:tabs>
          <w:tab w:pos="911" w:val="left" w:leader="none"/>
        </w:tabs>
        <w:spacing w:line="240" w:lineRule="auto" w:before="0" w:after="0"/>
        <w:ind w:left="911" w:right="0" w:hanging="629"/>
        <w:jc w:val="left"/>
      </w:pPr>
      <w:r>
        <w:rPr>
          <w:i/>
        </w:rPr>
        <w:t>컴퓨팅 벤치마크(청구항 C1)</w:t>
      </w:r>
    </w:p>
    <w:p>
      <w:pPr>
        <w:pStyle w:val="BodyText"/>
        <w:spacing w:before="24"/>
        <w:rPr>
          <w:b/>
          <w:sz w:val="28"/>
        </w:rPr>
      </w:pPr>
    </w:p>
    <w:p>
      <w:pPr>
        <w:pStyle w:val="BodyText"/>
        <w:spacing w:line="396" w:lineRule="auto"/>
        <w:ind w:left="282" w:right="523"/>
        <w:jc w:val="both"/>
      </w:pPr>
      <w:r>
        <w:rPr/>
        <w:t>Claim</w:t>
      </w:r>
      <w:r>
        <w:rPr>
          <w:spacing w:val="-14"/>
        </w:rPr>
        <w:t> </w:t>
      </w:r>
      <w:r>
        <w:rPr/>
        <w:t>C1</w:t>
      </w:r>
      <w:r>
        <w:rPr>
          <w:spacing w:val="-14"/>
        </w:rPr>
        <w:t> </w:t>
      </w:r>
      <w:r>
        <w:rPr/>
        <w:t>concerns</w:t>
      </w:r>
      <w:r>
        <w:rPr>
          <w:spacing w:val="-14"/>
        </w:rPr>
        <w:t> </w:t>
      </w:r>
      <w:r>
        <w:rPr/>
        <w:t>computational</w:t>
      </w:r>
      <w:r>
        <w:rPr>
          <w:spacing w:val="-14"/>
        </w:rPr>
        <w:t> </w:t>
      </w:r>
      <w:r>
        <w:rPr/>
        <w:t>efficiency</w:t>
      </w:r>
      <w:r>
        <w:rPr>
          <w:spacing w:val="-14"/>
        </w:rPr>
        <w:t> </w:t>
      </w:r>
      <w:r>
        <w:rPr/>
        <w:t>of</w:t>
      </w:r>
      <w:r>
        <w:rPr>
          <w:spacing w:val="-14"/>
        </w:rPr>
        <w:t> </w:t>
      </w:r>
      <w:r>
        <w:rPr/>
        <w:t>EndorseRank</w:t>
      </w:r>
      <w:r>
        <w:rPr>
          <w:spacing w:val="-14"/>
        </w:rPr>
        <w:t> </w:t>
      </w:r>
      <w:r>
        <w:rPr/>
        <w:t>versus</w:t>
      </w:r>
      <w:r>
        <w:rPr>
          <w:spacing w:val="-14"/>
        </w:rPr>
        <w:t> </w:t>
      </w:r>
      <w:r>
        <w:rPr/>
        <w:t>AWP</w:t>
      </w:r>
      <w:r>
        <w:rPr>
          <w:spacing w:val="-14"/>
        </w:rPr>
        <w:t> </w:t>
      </w:r>
      <w:r>
        <w:rPr/>
        <w:t>on</w:t>
      </w:r>
      <w:r>
        <w:rPr>
          <w:spacing w:val="-14"/>
        </w:rPr>
        <w:t> </w:t>
      </w:r>
      <w:r>
        <w:rPr/>
        <w:t>identical</w:t>
      </w:r>
      <w:r>
        <w:rPr>
          <w:spacing w:val="-14"/>
        </w:rPr>
        <w:t> </w:t>
      </w:r>
      <w:r>
        <w:rPr/>
        <w:t>inputs.</w:t>
      </w:r>
      <w:r>
        <w:rPr>
          <w:spacing w:val="11"/>
        </w:rPr>
        <w:t> </w:t>
      </w:r>
      <w:r>
        <w:rPr/>
        <w:t>The benchmark</w:t>
      </w:r>
      <w:r>
        <w:rPr>
          <w:spacing w:val="-5"/>
        </w:rPr>
        <w:t> </w:t>
      </w:r>
      <w:r>
        <w:rPr/>
        <w:t>protocol</w:t>
      </w:r>
      <w:r>
        <w:rPr>
          <w:spacing w:val="-5"/>
        </w:rPr>
        <w:t> </w:t>
      </w:r>
      <w:r>
        <w:rPr/>
        <w:t>isolates</w:t>
      </w:r>
      <w:r>
        <w:rPr>
          <w:spacing w:val="-5"/>
        </w:rPr>
        <w:t> </w:t>
      </w:r>
      <w:r>
        <w:rPr/>
        <w:t>PageRank</w:t>
      </w:r>
      <w:r>
        <w:rPr>
          <w:spacing w:val="-5"/>
        </w:rPr>
        <w:t> </w:t>
      </w:r>
      <w:r>
        <w:rPr/>
        <w:t>solve</w:t>
      </w:r>
      <w:r>
        <w:rPr>
          <w:spacing w:val="-5"/>
        </w:rPr>
        <w:t> </w:t>
      </w:r>
      <w:r>
        <w:rPr/>
        <w:t>cost</w:t>
      </w:r>
      <w:r>
        <w:rPr>
          <w:spacing w:val="-5"/>
        </w:rPr>
        <w:t> </w:t>
      </w:r>
      <w:r>
        <w:rPr/>
        <w:t>from</w:t>
      </w:r>
      <w:r>
        <w:rPr>
          <w:spacing w:val="-5"/>
        </w:rPr>
        <w:t> </w:t>
      </w:r>
      <w:r>
        <w:rPr/>
        <w:t>one-time</w:t>
      </w:r>
      <w:r>
        <w:rPr>
          <w:spacing w:val="-5"/>
        </w:rPr>
        <w:t> </w:t>
      </w:r>
      <w:r>
        <w:rPr/>
        <w:t>graph</w:t>
      </w:r>
      <w:r>
        <w:rPr>
          <w:spacing w:val="-5"/>
        </w:rPr>
        <w:t> </w:t>
      </w:r>
      <w:r>
        <w:rPr/>
        <w:t>construction,</w:t>
      </w:r>
      <w:r>
        <w:rPr>
          <w:spacing w:val="-4"/>
        </w:rPr>
        <w:t> </w:t>
      </w:r>
      <w:r>
        <w:rPr/>
        <w:t>because</w:t>
      </w:r>
      <w:r>
        <w:rPr>
          <w:spacing w:val="-5"/>
        </w:rPr>
        <w:t> </w:t>
      </w:r>
      <w:r>
        <w:rPr/>
        <w:t>con-struction</w:t>
      </w:r>
      <w:r>
        <w:rPr>
          <w:spacing w:val="-6"/>
        </w:rPr>
        <w:t> </w:t>
      </w:r>
      <w:r>
        <w:rPr/>
        <w:t>cost</w:t>
      </w:r>
      <w:r>
        <w:rPr>
          <w:spacing w:val="-6"/>
        </w:rPr>
        <w:t> </w:t>
      </w:r>
      <w:r>
        <w:rPr/>
        <w:t>is</w:t>
      </w:r>
      <w:r>
        <w:rPr>
          <w:spacing w:val="-6"/>
        </w:rPr>
        <w:t> </w:t>
      </w:r>
      <w:r>
        <w:rPr/>
        <w:t>dominated</w:t>
      </w:r>
      <w:r>
        <w:rPr>
          <w:spacing w:val="-6"/>
        </w:rPr>
        <w:t> </w:t>
      </w:r>
      <w:r>
        <w:rPr/>
        <w:t>by</w:t>
      </w:r>
      <w:r>
        <w:rPr>
          <w:spacing w:val="-6"/>
        </w:rPr>
        <w:t> </w:t>
      </w:r>
      <w:r>
        <w:rPr/>
        <w:t>I/O</w:t>
      </w:r>
      <w:r>
        <w:rPr>
          <w:spacing w:val="-6"/>
        </w:rPr>
        <w:t> </w:t>
      </w:r>
      <w:r>
        <w:rPr/>
        <w:t>and</w:t>
      </w:r>
      <w:r>
        <w:rPr>
          <w:spacing w:val="-6"/>
        </w:rPr>
        <w:t> </w:t>
      </w:r>
      <w:r>
        <w:rPr/>
        <w:t>preprocessing</w:t>
      </w:r>
      <w:r>
        <w:rPr>
          <w:spacing w:val="-6"/>
        </w:rPr>
        <w:t> </w:t>
      </w:r>
      <w:r>
        <w:rPr/>
        <w:t>that</w:t>
      </w:r>
      <w:r>
        <w:rPr>
          <w:spacing w:val="-6"/>
        </w:rPr>
        <w:t> </w:t>
      </w:r>
      <w:r>
        <w:rPr/>
        <w:t>would</w:t>
      </w:r>
      <w:r>
        <w:rPr>
          <w:spacing w:val="-6"/>
        </w:rPr>
        <w:t> </w:t>
      </w:r>
      <w:r>
        <w:rPr/>
        <w:t>be</w:t>
      </w:r>
      <w:r>
        <w:rPr>
          <w:spacing w:val="-6"/>
        </w:rPr>
        <w:t> </w:t>
      </w:r>
      <w:r>
        <w:rPr/>
        <w:t>amortized</w:t>
      </w:r>
      <w:r>
        <w:rPr>
          <w:spacing w:val="-6"/>
        </w:rPr>
        <w:t> </w:t>
      </w:r>
      <w:r>
        <w:rPr/>
        <w:t>in</w:t>
      </w:r>
      <w:r>
        <w:rPr>
          <w:spacing w:val="-6"/>
        </w:rPr>
        <w:t> </w:t>
      </w:r>
      <w:r>
        <w:rPr/>
        <w:t>a</w:t>
      </w:r>
      <w:r>
        <w:rPr>
          <w:spacing w:val="-6"/>
        </w:rPr>
        <w:t> </w:t>
      </w:r>
      <w:r>
        <w:rPr/>
        <w:t>deployed</w:t>
      </w:r>
      <w:r>
        <w:rPr>
          <w:spacing w:val="-6"/>
        </w:rPr>
        <w:t> </w:t>
      </w:r>
      <w:r>
        <w:rPr/>
        <w:t>scorer that</w:t>
      </w:r>
      <w:r>
        <w:rPr>
          <w:spacing w:val="-1"/>
        </w:rPr>
        <w:t> </w:t>
      </w:r>
      <w:r>
        <w:rPr/>
        <w:t>updates</w:t>
      </w:r>
      <w:r>
        <w:rPr>
          <w:spacing w:val="-1"/>
        </w:rPr>
        <w:t> </w:t>
      </w:r>
      <w:r>
        <w:rPr/>
        <w:t>incrementally, whereas</w:t>
      </w:r>
      <w:r>
        <w:rPr>
          <w:spacing w:val="-1"/>
        </w:rPr>
        <w:t> </w:t>
      </w:r>
      <w:r>
        <w:rPr/>
        <w:t>the</w:t>
      </w:r>
      <w:r>
        <w:rPr>
          <w:spacing w:val="-1"/>
        </w:rPr>
        <w:t> </w:t>
      </w:r>
      <w:r>
        <w:rPr/>
        <w:t>iterative</w:t>
      </w:r>
      <w:r>
        <w:rPr>
          <w:spacing w:val="-1"/>
        </w:rPr>
        <w:t> </w:t>
      </w:r>
      <w:r>
        <w:rPr/>
        <w:t>solve</w:t>
      </w:r>
      <w:r>
        <w:rPr>
          <w:spacing w:val="-1"/>
        </w:rPr>
        <w:t> </w:t>
      </w:r>
      <w:r>
        <w:rPr/>
        <w:t>is</w:t>
      </w:r>
      <w:r>
        <w:rPr>
          <w:spacing w:val="-1"/>
        </w:rPr>
        <w:t> </w:t>
      </w:r>
      <w:r>
        <w:rPr/>
        <w:t>the</w:t>
      </w:r>
      <w:r>
        <w:rPr>
          <w:spacing w:val="-1"/>
        </w:rPr>
        <w:t> </w:t>
      </w:r>
      <w:r>
        <w:rPr/>
        <w:t>recurring</w:t>
      </w:r>
      <w:r>
        <w:rPr>
          <w:spacing w:val="-1"/>
        </w:rPr>
        <w:t> </w:t>
      </w:r>
      <w:r>
        <w:rPr/>
        <w:t>computational</w:t>
      </w:r>
      <w:r>
        <w:rPr>
          <w:spacing w:val="-1"/>
        </w:rPr>
        <w:t> </w:t>
      </w:r>
      <w:r>
        <w:rPr/>
        <w:t>core</w:t>
      </w:r>
      <w:r>
        <w:rPr>
          <w:spacing w:val="-1"/>
        </w:rPr>
        <w:t> </w:t>
      </w:r>
      <w:r>
        <w:rPr/>
        <w:t>of</w:t>
      </w:r>
      <w:r>
        <w:rPr>
          <w:spacing w:val="-1"/>
        </w:rPr>
        <w:t> </w:t>
      </w:r>
      <w:r>
        <w:rPr/>
        <w:t>both </w:t>
      </w:r>
      <w:r>
        <w:rPr>
          <w:spacing w:val="-2"/>
        </w:rPr>
        <w:t>methods.</w:t>
      </w:r>
    </w:p>
    <w:p>
      <w:pPr>
        <w:pStyle w:val="BodyText"/>
        <w:spacing w:line="396" w:lineRule="auto"/>
        <w:ind w:left="282" w:right="523"/>
        <w:jc w:val="both"/>
      </w:pPr>
      <w:r>
        <w:rPr>
          <w:i/>
        </w:rPr>
        <w:t>주장 C1은 동일한 입력에 대한 EndorseRank 대 AWP의 계산 효율성에 관한 것입니다. 벤치마크 프로토콜은 PageRank 해결 비용을 일회성 그래프 구성에서 분리합니다. 왜냐하면 구성 비용은 점진적으로 업데이트되는 배포된 채점기에서 상각되는 I/O 및 전처리에 의해 좌우되는 반면, 반복 해결은 두 방법 모두의 반복 계산 핵심이기 때문입니다.</w:t>
      </w:r>
    </w:p>
    <w:p>
      <w:pPr>
        <w:pStyle w:val="ListParagraph"/>
        <w:numPr>
          <w:ilvl w:val="0"/>
          <w:numId w:val="23"/>
        </w:numPr>
        <w:tabs>
          <w:tab w:pos="799" w:val="left" w:leader="none"/>
          <w:tab w:pos="801" w:val="left" w:leader="none"/>
        </w:tabs>
        <w:spacing w:line="393" w:lineRule="auto" w:before="125" w:after="0"/>
        <w:ind w:left="801" w:right="521" w:hanging="208"/>
        <w:jc w:val="both"/>
        <w:rPr>
          <w:rFonts w:ascii="Calibri" w:hAnsi="Calibri"/>
          <w:sz w:val="24"/>
        </w:rPr>
      </w:pPr>
      <w:r>
        <w:rPr>
          <w:b/>
          <w:sz w:val="24"/>
        </w:rPr>
        <w:t>Timed</w:t>
      </w:r>
      <w:r>
        <w:rPr>
          <w:b/>
          <w:spacing w:val="-14"/>
          <w:sz w:val="24"/>
        </w:rPr>
        <w:t> </w:t>
      </w:r>
      <w:r>
        <w:rPr>
          <w:b/>
          <w:sz w:val="24"/>
        </w:rPr>
        <w:t>quantity:</w:t>
      </w:r>
      <w:r>
        <w:rPr>
          <w:b/>
          <w:spacing w:val="9"/>
          <w:sz w:val="24"/>
        </w:rPr>
        <w:t> </w:t>
      </w:r>
      <w:r>
        <w:rPr>
          <w:sz w:val="24"/>
        </w:rPr>
        <w:t>For</w:t>
      </w:r>
      <w:r>
        <w:rPr>
          <w:spacing w:val="-14"/>
          <w:sz w:val="24"/>
        </w:rPr>
        <w:t> </w:t>
      </w:r>
      <w:r>
        <w:rPr>
          <w:sz w:val="24"/>
        </w:rPr>
        <w:t>each</w:t>
      </w:r>
      <w:r>
        <w:rPr>
          <w:spacing w:val="-14"/>
          <w:sz w:val="24"/>
        </w:rPr>
        <w:t> </w:t>
      </w:r>
      <w:r>
        <w:rPr>
          <w:sz w:val="24"/>
        </w:rPr>
        <w:t>method,</w:t>
      </w:r>
      <w:r>
        <w:rPr>
          <w:spacing w:val="-12"/>
          <w:sz w:val="24"/>
        </w:rPr>
        <w:t> </w:t>
      </w:r>
      <w:r>
        <w:rPr>
          <w:sz w:val="24"/>
        </w:rPr>
        <w:t>edge</w:t>
      </w:r>
      <w:r>
        <w:rPr>
          <w:spacing w:val="-14"/>
          <w:sz w:val="24"/>
        </w:rPr>
        <w:t> </w:t>
      </w:r>
      <w:r>
        <w:rPr>
          <w:sz w:val="24"/>
        </w:rPr>
        <w:t>lists</w:t>
      </w:r>
      <w:r>
        <w:rPr>
          <w:spacing w:val="-14"/>
          <w:sz w:val="24"/>
        </w:rPr>
        <w:t> </w:t>
      </w:r>
      <w:r>
        <w:rPr>
          <w:sz w:val="24"/>
        </w:rPr>
        <w:t>are</w:t>
      </w:r>
      <w:r>
        <w:rPr>
          <w:spacing w:val="-14"/>
          <w:sz w:val="24"/>
        </w:rPr>
        <w:t> </w:t>
      </w:r>
      <w:r>
        <w:rPr>
          <w:sz w:val="24"/>
        </w:rPr>
        <w:t>built</w:t>
      </w:r>
      <w:r>
        <w:rPr>
          <w:spacing w:val="-14"/>
          <w:sz w:val="24"/>
        </w:rPr>
        <w:t> </w:t>
      </w:r>
      <w:r>
        <w:rPr>
          <w:sz w:val="24"/>
        </w:rPr>
        <w:t>once</w:t>
      </w:r>
      <w:r>
        <w:rPr>
          <w:spacing w:val="-14"/>
          <w:sz w:val="24"/>
        </w:rPr>
        <w:t> </w:t>
      </w:r>
      <w:r>
        <w:rPr>
          <w:sz w:val="24"/>
        </w:rPr>
        <w:t>per</w:t>
      </w:r>
      <w:r>
        <w:rPr>
          <w:spacing w:val="-14"/>
          <w:sz w:val="24"/>
        </w:rPr>
        <w:t> </w:t>
      </w:r>
      <w:r>
        <w:rPr>
          <w:sz w:val="24"/>
        </w:rPr>
        <w:t>cohort</w:t>
      </w:r>
      <w:r>
        <w:rPr>
          <w:spacing w:val="-14"/>
          <w:sz w:val="24"/>
        </w:rPr>
        <w:t> </w:t>
      </w:r>
      <w:r>
        <w:rPr>
          <w:sz w:val="24"/>
        </w:rPr>
        <w:t>outside</w:t>
      </w:r>
      <w:r>
        <w:rPr>
          <w:spacing w:val="-14"/>
          <w:sz w:val="24"/>
        </w:rPr>
        <w:t> </w:t>
      </w:r>
      <w:r>
        <w:rPr>
          <w:sz w:val="24"/>
        </w:rPr>
        <w:t>the</w:t>
      </w:r>
      <w:r>
        <w:rPr>
          <w:spacing w:val="-14"/>
          <w:sz w:val="24"/>
        </w:rPr>
        <w:t> </w:t>
      </w:r>
      <w:r>
        <w:rPr>
          <w:sz w:val="24"/>
        </w:rPr>
        <w:t>timed</w:t>
      </w:r>
      <w:r>
        <w:rPr>
          <w:spacing w:val="-14"/>
          <w:sz w:val="24"/>
        </w:rPr>
        <w:t> </w:t>
      </w:r>
      <w:r>
        <w:rPr>
          <w:sz w:val="24"/>
        </w:rPr>
        <w:t>loop. </w:t>
      </w:r>
      <w:r>
        <w:rPr>
          <w:w w:val="105"/>
          <w:sz w:val="24"/>
        </w:rPr>
        <w:t>The</w:t>
      </w:r>
      <w:r>
        <w:rPr>
          <w:spacing w:val="-10"/>
          <w:w w:val="105"/>
          <w:sz w:val="24"/>
        </w:rPr>
        <w:t> </w:t>
      </w:r>
      <w:r>
        <w:rPr>
          <w:w w:val="105"/>
          <w:sz w:val="24"/>
        </w:rPr>
        <w:t>timed</w:t>
      </w:r>
      <w:r>
        <w:rPr>
          <w:spacing w:val="-10"/>
          <w:w w:val="105"/>
          <w:sz w:val="24"/>
        </w:rPr>
        <w:t> </w:t>
      </w:r>
      <w:r>
        <w:rPr>
          <w:w w:val="105"/>
          <w:sz w:val="24"/>
        </w:rPr>
        <w:t>section</w:t>
      </w:r>
      <w:r>
        <w:rPr>
          <w:spacing w:val="-10"/>
          <w:w w:val="105"/>
          <w:sz w:val="24"/>
        </w:rPr>
        <w:t> </w:t>
      </w:r>
      <w:r>
        <w:rPr>
          <w:w w:val="105"/>
          <w:sz w:val="24"/>
        </w:rPr>
        <w:t>runs</w:t>
      </w:r>
      <w:r>
        <w:rPr>
          <w:spacing w:val="-10"/>
          <w:w w:val="105"/>
          <w:sz w:val="24"/>
        </w:rPr>
        <w:t> </w:t>
      </w:r>
      <w:r>
        <w:rPr>
          <w:w w:val="105"/>
          <w:sz w:val="24"/>
        </w:rPr>
        <w:t>weighted</w:t>
      </w:r>
      <w:r>
        <w:rPr>
          <w:spacing w:val="-10"/>
          <w:w w:val="105"/>
          <w:sz w:val="24"/>
        </w:rPr>
        <w:t> </w:t>
      </w:r>
      <w:r>
        <w:rPr>
          <w:w w:val="105"/>
          <w:sz w:val="24"/>
        </w:rPr>
        <w:t>PageRank</w:t>
      </w:r>
      <w:r>
        <w:rPr>
          <w:spacing w:val="-10"/>
          <w:w w:val="105"/>
          <w:sz w:val="24"/>
        </w:rPr>
        <w:t> </w:t>
      </w:r>
      <w:r>
        <w:rPr>
          <w:w w:val="105"/>
          <w:sz w:val="24"/>
        </w:rPr>
        <w:t>only,</w:t>
      </w:r>
      <w:r>
        <w:rPr>
          <w:spacing w:val="-8"/>
          <w:w w:val="105"/>
          <w:sz w:val="24"/>
        </w:rPr>
        <w:t> </w:t>
      </w:r>
      <w:r>
        <w:rPr>
          <w:w w:val="105"/>
          <w:sz w:val="24"/>
        </w:rPr>
        <w:t>with</w:t>
      </w:r>
      <w:r>
        <w:rPr>
          <w:spacing w:val="-10"/>
          <w:w w:val="105"/>
          <w:sz w:val="24"/>
        </w:rPr>
        <w:t> </w:t>
      </w:r>
      <w:r>
        <w:rPr>
          <w:w w:val="105"/>
          <w:sz w:val="24"/>
        </w:rPr>
        <w:t>damping</w:t>
      </w:r>
      <w:r>
        <w:rPr>
          <w:spacing w:val="-10"/>
          <w:w w:val="105"/>
          <w:sz w:val="24"/>
        </w:rPr>
        <w:t> </w:t>
      </w:r>
      <w:r>
        <w:rPr>
          <w:rFonts w:ascii="Calibri" w:hAnsi="Calibri"/>
          <w:i/>
          <w:w w:val="105"/>
          <w:sz w:val="24"/>
        </w:rPr>
        <w:t>d</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85</w:t>
      </w:r>
      <w:r>
        <w:rPr>
          <w:w w:val="105"/>
          <w:sz w:val="24"/>
        </w:rPr>
        <w:t>,</w:t>
      </w:r>
      <w:r>
        <w:rPr>
          <w:spacing w:val="-8"/>
          <w:w w:val="105"/>
          <w:sz w:val="24"/>
        </w:rPr>
        <w:t> </w:t>
      </w:r>
      <w:r>
        <w:rPr>
          <w:w w:val="105"/>
          <w:sz w:val="24"/>
        </w:rPr>
        <w:t>tolerance</w:t>
      </w:r>
      <w:r>
        <w:rPr>
          <w:spacing w:val="-10"/>
          <w:w w:val="105"/>
          <w:sz w:val="24"/>
        </w:rPr>
        <w:t> </w:t>
      </w:r>
      <w:r>
        <w:rPr>
          <w:rFonts w:ascii="Calibri" w:hAnsi="Calibri"/>
          <w:i/>
          <w:w w:val="105"/>
          <w:sz w:val="24"/>
        </w:rPr>
        <w:t>τ</w:t>
      </w:r>
      <w:r>
        <w:rPr>
          <w:w w:val="105"/>
          <w:sz w:val="24"/>
          <w:vertAlign w:val="subscript"/>
        </w:rPr>
        <w:t>tol</w:t>
      </w:r>
      <w:r>
        <w:rPr>
          <w:w w:val="125"/>
          <w:sz w:val="24"/>
          <w:vertAlign w:val="baseline"/>
        </w:rPr>
        <w:t> </w:t>
      </w:r>
      <w:r>
        <w:rPr>
          <w:rFonts w:ascii="Calibri" w:hAnsi="Calibri"/>
          <w:w w:val="125"/>
          <w:sz w:val="24"/>
          <w:vertAlign w:val="baseline"/>
        </w:rPr>
        <w:t>=</w:t>
      </w:r>
    </w:p>
    <w:p>
      <w:pPr>
        <w:pStyle w:val="ListParagraph"/>
        <w:numPr>
          <w:ilvl w:val="0"/>
          <w:numId w:val="23"/>
        </w:numPr>
        <w:tabs>
          <w:tab w:pos="799" w:val="left" w:leader="none"/>
          <w:tab w:pos="801" w:val="left" w:leader="none"/>
        </w:tabs>
        <w:spacing w:line="393" w:lineRule="auto" w:before="125" w:after="0"/>
        <w:ind w:left="801" w:right="521" w:hanging="208"/>
        <w:jc w:val="both"/>
        <w:rPr>
          <w:rFonts w:ascii="Calibri" w:hAnsi="Calibri"/>
          <w:sz w:val="24"/>
        </w:rPr>
      </w:pPr>
      <w:r>
        <w:rPr>
          <w:i/>
        </w:rPr>
        <w:t>시간 제한 수량: 각 방법에 대해 에지 목록은 시간 제한 루프 외부에서 코호트당 한 번씩 작성됩니다. 시간 구간은 가중 PageRank만 실행되며 감쇠 d = 0.85, 공차 τtol =</w:t>
      </w:r>
    </w:p>
    <w:p>
      <w:pPr>
        <w:pStyle w:val="ListParagraph"/>
        <w:spacing w:after="0" w:line="393" w:lineRule="auto"/>
        <w:jc w:val="both"/>
        <w:rPr>
          <w:rFonts w:ascii="Calibri" w:hAnsi="Calibri"/>
          <w:sz w:val="24"/>
        </w:rPr>
        <w:sectPr>
          <w:pgSz w:w="11910" w:h="16840"/>
          <w:pgMar w:header="0" w:footer="2115" w:top="1840" w:bottom="2300" w:left="992" w:right="708"/>
        </w:sectPr>
      </w:pPr>
    </w:p>
    <w:p>
      <w:pPr>
        <w:pStyle w:val="BodyText"/>
        <w:spacing w:line="376" w:lineRule="auto" w:before="68"/>
        <w:ind w:left="808" w:right="564" w:hanging="12"/>
        <w:jc w:val="both"/>
      </w:pPr>
      <w:r>
        <w:rPr>
          <w:rFonts w:ascii="Calibri" w:hAnsi="Calibri"/>
        </w:rPr>
        <w:t>10</w:t>
      </w:r>
      <w:r>
        <w:rPr>
          <w:rFonts w:ascii="Cambria" w:hAnsi="Cambria"/>
          <w:vertAlign w:val="superscript"/>
        </w:rPr>
        <w:t>−</w:t>
      </w:r>
      <w:r>
        <w:rPr>
          <w:rFonts w:ascii="Calibri" w:hAnsi="Calibri"/>
          <w:vertAlign w:val="superscript"/>
        </w:rPr>
        <w:t>8</w:t>
      </w:r>
      <w:r>
        <w:rPr>
          <w:vertAlign w:val="baseline"/>
        </w:rPr>
        <w:t>, and at most </w:t>
      </w:r>
      <w:r>
        <w:rPr>
          <w:rFonts w:ascii="Calibri" w:hAnsi="Calibri"/>
          <w:i/>
          <w:vertAlign w:val="baseline"/>
        </w:rPr>
        <w:t>I</w:t>
      </w:r>
      <w:r>
        <w:rPr>
          <w:vertAlign w:val="subscript"/>
        </w:rPr>
        <w:t>max</w:t>
      </w:r>
      <w:r>
        <w:rPr>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300 </w:t>
      </w:r>
      <w:r>
        <w:rPr>
          <w:vertAlign w:val="baseline"/>
        </w:rPr>
        <w:t>iterations.</w:t>
      </w:r>
      <w:r>
        <w:rPr>
          <w:spacing w:val="40"/>
          <w:vertAlign w:val="baseline"/>
        </w:rPr>
        <w:t> </w:t>
      </w:r>
      <w:r>
        <w:rPr>
          <w:vertAlign w:val="baseline"/>
        </w:rPr>
        <w:t>These numerical settings match the configuration used for alignment scores, so runtime and alignment refer to the same mathematical object.</w:t>
      </w:r>
    </w:p>
    <w:p>
      <w:pPr>
        <w:pStyle w:val="BodyText"/>
        <w:spacing w:line="376" w:lineRule="auto" w:before="68"/>
        <w:ind w:left="808" w:right="564" w:hanging="12"/>
        <w:jc w:val="both"/>
      </w:pPr>
      <w:r>
        <w:rPr>
          <w:i/>
        </w:rPr>
        <w:t>10−8, 최대 Imax = 300 반복. 이러한 숫자 설정은 정렬 점수에 사용되는 구성과 일치하므로 런타임과 정렬은 동일한 수학적 개체를 참조합니다.</w:t>
      </w:r>
    </w:p>
    <w:p>
      <w:pPr>
        <w:pStyle w:val="ListParagraph"/>
        <w:numPr>
          <w:ilvl w:val="0"/>
          <w:numId w:val="23"/>
        </w:numPr>
        <w:tabs>
          <w:tab w:pos="806" w:val="left" w:leader="none"/>
          <w:tab w:pos="808" w:val="left" w:leader="none"/>
        </w:tabs>
        <w:spacing w:line="396" w:lineRule="auto" w:before="60" w:after="0"/>
        <w:ind w:left="808" w:right="533" w:hanging="216"/>
        <w:jc w:val="both"/>
        <w:rPr>
          <w:sz w:val="24"/>
        </w:rPr>
      </w:pPr>
      <w:r>
        <w:rPr>
          <w:b/>
          <w:sz w:val="24"/>
        </w:rPr>
        <w:t>Repetitions</w:t>
      </w:r>
      <w:r>
        <w:rPr>
          <w:b/>
          <w:spacing w:val="-15"/>
          <w:sz w:val="24"/>
        </w:rPr>
        <w:t> </w:t>
      </w:r>
      <w:r>
        <w:rPr>
          <w:b/>
          <w:sz w:val="24"/>
        </w:rPr>
        <w:t>and</w:t>
      </w:r>
      <w:r>
        <w:rPr>
          <w:b/>
          <w:spacing w:val="-15"/>
          <w:sz w:val="24"/>
        </w:rPr>
        <w:t> </w:t>
      </w:r>
      <w:r>
        <w:rPr>
          <w:b/>
          <w:sz w:val="24"/>
        </w:rPr>
        <w:t>metrics:</w:t>
      </w:r>
      <w:r>
        <w:rPr>
          <w:b/>
          <w:spacing w:val="-15"/>
          <w:sz w:val="24"/>
        </w:rPr>
        <w:t> </w:t>
      </w:r>
      <w:r>
        <w:rPr>
          <w:sz w:val="24"/>
        </w:rPr>
        <w:t>Each</w:t>
      </w:r>
      <w:r>
        <w:rPr>
          <w:spacing w:val="-15"/>
          <w:sz w:val="24"/>
        </w:rPr>
        <w:t> </w:t>
      </w:r>
      <w:r>
        <w:rPr>
          <w:sz w:val="24"/>
        </w:rPr>
        <w:t>configuration</w:t>
      </w:r>
      <w:r>
        <w:rPr>
          <w:spacing w:val="-15"/>
          <w:sz w:val="24"/>
        </w:rPr>
        <w:t> </w:t>
      </w:r>
      <w:r>
        <w:rPr>
          <w:sz w:val="24"/>
        </w:rPr>
        <w:t>is</w:t>
      </w:r>
      <w:r>
        <w:rPr>
          <w:spacing w:val="-15"/>
          <w:sz w:val="24"/>
        </w:rPr>
        <w:t> </w:t>
      </w:r>
      <w:r>
        <w:rPr>
          <w:sz w:val="24"/>
        </w:rPr>
        <w:t>repeated</w:t>
      </w:r>
      <w:r>
        <w:rPr>
          <w:spacing w:val="-15"/>
          <w:sz w:val="24"/>
        </w:rPr>
        <w:t> </w:t>
      </w:r>
      <w:r>
        <w:rPr>
          <w:sz w:val="24"/>
        </w:rPr>
        <w:t>for</w:t>
      </w:r>
      <w:r>
        <w:rPr>
          <w:spacing w:val="-15"/>
          <w:sz w:val="24"/>
        </w:rPr>
        <w:t> </w:t>
      </w:r>
      <w:r>
        <w:rPr>
          <w:sz w:val="24"/>
        </w:rPr>
        <w:t>five</w:t>
      </w:r>
      <w:r>
        <w:rPr>
          <w:spacing w:val="-15"/>
          <w:sz w:val="24"/>
        </w:rPr>
        <w:t> </w:t>
      </w:r>
      <w:r>
        <w:rPr>
          <w:sz w:val="24"/>
        </w:rPr>
        <w:t>independent</w:t>
      </w:r>
      <w:r>
        <w:rPr>
          <w:spacing w:val="-15"/>
          <w:sz w:val="24"/>
        </w:rPr>
        <w:t> </w:t>
      </w:r>
      <w:r>
        <w:rPr>
          <w:sz w:val="24"/>
        </w:rPr>
        <w:t>runs</w:t>
      </w:r>
      <w:r>
        <w:rPr>
          <w:spacing w:val="-15"/>
          <w:sz w:val="24"/>
        </w:rPr>
        <w:t> </w:t>
      </w:r>
      <w:r>
        <w:rPr>
          <w:sz w:val="24"/>
        </w:rPr>
        <w:t>to</w:t>
      </w:r>
      <w:r>
        <w:rPr>
          <w:spacing w:val="-15"/>
          <w:sz w:val="24"/>
        </w:rPr>
        <w:t> </w:t>
      </w:r>
      <w:r>
        <w:rPr>
          <w:sz w:val="24"/>
        </w:rPr>
        <w:t>average out</w:t>
      </w:r>
      <w:r>
        <w:rPr>
          <w:spacing w:val="-15"/>
          <w:sz w:val="24"/>
        </w:rPr>
        <w:t> </w:t>
      </w:r>
      <w:r>
        <w:rPr>
          <w:sz w:val="24"/>
        </w:rPr>
        <w:t>operating-system</w:t>
      </w:r>
      <w:r>
        <w:rPr>
          <w:spacing w:val="-15"/>
          <w:sz w:val="24"/>
        </w:rPr>
        <w:t> </w:t>
      </w:r>
      <w:r>
        <w:rPr>
          <w:sz w:val="24"/>
        </w:rPr>
        <w:t>noise.</w:t>
      </w:r>
      <w:r>
        <w:rPr>
          <w:spacing w:val="-15"/>
          <w:sz w:val="24"/>
        </w:rPr>
        <w:t> </w:t>
      </w:r>
      <w:r>
        <w:rPr>
          <w:sz w:val="24"/>
        </w:rPr>
        <w:t>Per</w:t>
      </w:r>
      <w:r>
        <w:rPr>
          <w:spacing w:val="-15"/>
          <w:sz w:val="24"/>
        </w:rPr>
        <w:t> </w:t>
      </w:r>
      <w:r>
        <w:rPr>
          <w:sz w:val="24"/>
        </w:rPr>
        <w:t>run,</w:t>
      </w:r>
      <w:r>
        <w:rPr>
          <w:spacing w:val="-15"/>
          <w:sz w:val="24"/>
        </w:rPr>
        <w:t> </w:t>
      </w:r>
      <w:r>
        <w:rPr>
          <w:sz w:val="24"/>
        </w:rPr>
        <w:t>the</w:t>
      </w:r>
      <w:r>
        <w:rPr>
          <w:spacing w:val="-15"/>
          <w:sz w:val="24"/>
        </w:rPr>
        <w:t> </w:t>
      </w:r>
      <w:r>
        <w:rPr>
          <w:sz w:val="24"/>
        </w:rPr>
        <w:t>pipeline</w:t>
      </w:r>
      <w:r>
        <w:rPr>
          <w:spacing w:val="-15"/>
          <w:sz w:val="24"/>
        </w:rPr>
        <w:t> </w:t>
      </w:r>
      <w:r>
        <w:rPr>
          <w:sz w:val="24"/>
        </w:rPr>
        <w:t>records</w:t>
      </w:r>
      <w:r>
        <w:rPr>
          <w:spacing w:val="-15"/>
          <w:sz w:val="24"/>
        </w:rPr>
        <w:t> </w:t>
      </w:r>
      <w:r>
        <w:rPr>
          <w:sz w:val="24"/>
        </w:rPr>
        <w:t>wall-clock</w:t>
      </w:r>
      <w:r>
        <w:rPr>
          <w:spacing w:val="-15"/>
          <w:sz w:val="24"/>
        </w:rPr>
        <w:t> </w:t>
      </w:r>
      <w:r>
        <w:rPr>
          <w:sz w:val="24"/>
        </w:rPr>
        <w:t>solve</w:t>
      </w:r>
      <w:r>
        <w:rPr>
          <w:spacing w:val="-15"/>
          <w:sz w:val="24"/>
        </w:rPr>
        <w:t> </w:t>
      </w:r>
      <w:r>
        <w:rPr>
          <w:sz w:val="24"/>
        </w:rPr>
        <w:t>time,</w:t>
      </w:r>
      <w:r>
        <w:rPr>
          <w:spacing w:val="-15"/>
          <w:sz w:val="24"/>
        </w:rPr>
        <w:t> </w:t>
      </w:r>
      <w:r>
        <w:rPr>
          <w:sz w:val="24"/>
        </w:rPr>
        <w:t>peak</w:t>
      </w:r>
      <w:r>
        <w:rPr>
          <w:spacing w:val="-15"/>
          <w:sz w:val="24"/>
        </w:rPr>
        <w:t> </w:t>
      </w:r>
      <w:r>
        <w:rPr>
          <w:sz w:val="24"/>
        </w:rPr>
        <w:t>memory, and iterations to convergence.</w:t>
      </w:r>
      <w:r>
        <w:rPr>
          <w:spacing w:val="40"/>
          <w:sz w:val="24"/>
        </w:rPr>
        <w:t> </w:t>
      </w:r>
      <w:r>
        <w:rPr>
          <w:sz w:val="24"/>
        </w:rPr>
        <w:t>Reported statistics are the mean runtime, runtime standard deviation,</w:t>
      </w:r>
      <w:r>
        <w:rPr>
          <w:spacing w:val="-5"/>
          <w:sz w:val="24"/>
        </w:rPr>
        <w:t> </w:t>
      </w:r>
      <w:r>
        <w:rPr>
          <w:sz w:val="24"/>
        </w:rPr>
        <w:t>mean</w:t>
      </w:r>
      <w:r>
        <w:rPr>
          <w:spacing w:val="-6"/>
          <w:sz w:val="24"/>
        </w:rPr>
        <w:t> </w:t>
      </w:r>
      <w:r>
        <w:rPr>
          <w:sz w:val="24"/>
        </w:rPr>
        <w:t>iterations,</w:t>
      </w:r>
      <w:r>
        <w:rPr>
          <w:spacing w:val="-5"/>
          <w:sz w:val="24"/>
        </w:rPr>
        <w:t> </w:t>
      </w:r>
      <w:r>
        <w:rPr>
          <w:sz w:val="24"/>
        </w:rPr>
        <w:t>maximum</w:t>
      </w:r>
      <w:r>
        <w:rPr>
          <w:spacing w:val="-6"/>
          <w:sz w:val="24"/>
        </w:rPr>
        <w:t> </w:t>
      </w:r>
      <w:r>
        <w:rPr>
          <w:sz w:val="24"/>
        </w:rPr>
        <w:t>peak</w:t>
      </w:r>
      <w:r>
        <w:rPr>
          <w:spacing w:val="-6"/>
          <w:sz w:val="24"/>
        </w:rPr>
        <w:t> </w:t>
      </w:r>
      <w:r>
        <w:rPr>
          <w:sz w:val="24"/>
        </w:rPr>
        <w:t>memory</w:t>
      </w:r>
      <w:r>
        <w:rPr>
          <w:spacing w:val="-6"/>
          <w:sz w:val="24"/>
        </w:rPr>
        <w:t> </w:t>
      </w:r>
      <w:r>
        <w:rPr>
          <w:sz w:val="24"/>
        </w:rPr>
        <w:t>across</w:t>
      </w:r>
      <w:r>
        <w:rPr>
          <w:spacing w:val="-6"/>
          <w:sz w:val="24"/>
        </w:rPr>
        <w:t> </w:t>
      </w:r>
      <w:r>
        <w:rPr>
          <w:sz w:val="24"/>
        </w:rPr>
        <w:t>runs,</w:t>
      </w:r>
      <w:r>
        <w:rPr>
          <w:spacing w:val="-5"/>
          <w:sz w:val="24"/>
        </w:rPr>
        <w:t> </w:t>
      </w:r>
      <w:r>
        <w:rPr>
          <w:sz w:val="24"/>
        </w:rPr>
        <w:t>and</w:t>
      </w:r>
      <w:r>
        <w:rPr>
          <w:spacing w:val="-6"/>
          <w:sz w:val="24"/>
        </w:rPr>
        <w:t> </w:t>
      </w:r>
      <w:r>
        <w:rPr>
          <w:sz w:val="24"/>
        </w:rPr>
        <w:t>edge/node</w:t>
      </w:r>
      <w:r>
        <w:rPr>
          <w:spacing w:val="-6"/>
          <w:sz w:val="24"/>
        </w:rPr>
        <w:t> </w:t>
      </w:r>
      <w:r>
        <w:rPr>
          <w:sz w:val="24"/>
        </w:rPr>
        <w:t>counts</w:t>
      </w:r>
      <w:r>
        <w:rPr>
          <w:spacing w:val="-6"/>
          <w:sz w:val="24"/>
        </w:rPr>
        <w:t> </w:t>
      </w:r>
      <w:r>
        <w:rPr>
          <w:sz w:val="24"/>
        </w:rPr>
        <w:t>of</w:t>
      </w:r>
      <w:r>
        <w:rPr>
          <w:spacing w:val="-6"/>
          <w:sz w:val="24"/>
        </w:rPr>
        <w:t> </w:t>
      </w:r>
      <w:r>
        <w:rPr>
          <w:sz w:val="24"/>
        </w:rPr>
        <w:t>the</w:t>
      </w:r>
    </w:p>
    <w:p>
      <w:pPr>
        <w:pStyle w:val="ListParagraph"/>
        <w:numPr>
          <w:ilvl w:val="0"/>
          <w:numId w:val="23"/>
        </w:numPr>
        <w:tabs>
          <w:tab w:pos="806" w:val="left" w:leader="none"/>
          <w:tab w:pos="808" w:val="left" w:leader="none"/>
        </w:tabs>
        <w:spacing w:line="396" w:lineRule="auto" w:before="60" w:after="0"/>
        <w:ind w:left="808" w:right="533" w:hanging="216"/>
        <w:jc w:val="both"/>
        <w:rPr>
          <w:sz w:val="24"/>
        </w:rPr>
      </w:pPr>
      <w:r>
        <w:rPr>
          <w:i/>
        </w:rPr>
        <w:t>반복 및 메트릭: 각 구성은 5번의 독립적인 실행을 위해 반복되어 운영 체제 소음의 평균을 냅니다. 실행 시 파이프라인은 벽시계 해결 시간, 최대 메모리 및 수렴 반복을 기록합니다. 보고된 통계에는 평균 런타임, 런타임 표준 편차, 평균 반복, 실행 전체의 최대 피크 메모리 및 에지/노드 수가 포함됩니다.</w:t>
      </w:r>
    </w:p>
    <w:p>
      <w:pPr>
        <w:pStyle w:val="BodyText"/>
        <w:spacing w:line="362" w:lineRule="auto" w:before="5"/>
        <w:ind w:left="808" w:right="563"/>
        <w:jc w:val="both"/>
      </w:pPr>
      <w:r>
        <w:rPr/>
        <w:t>pre-built</w:t>
      </w:r>
      <w:r>
        <w:rPr>
          <w:spacing w:val="-7"/>
        </w:rPr>
        <w:t> </w:t>
      </w:r>
      <w:r>
        <w:rPr/>
        <w:t>graph. Edge</w:t>
      </w:r>
      <w:r>
        <w:rPr>
          <w:spacing w:val="-7"/>
        </w:rPr>
        <w:t> </w:t>
      </w:r>
      <w:r>
        <w:rPr/>
        <w:t>counts</w:t>
      </w:r>
      <w:r>
        <w:rPr>
          <w:spacing w:val="-7"/>
        </w:rPr>
        <w:t> </w:t>
      </w:r>
      <w:r>
        <w:rPr/>
        <w:t>are</w:t>
      </w:r>
      <w:r>
        <w:rPr>
          <w:spacing w:val="-7"/>
        </w:rPr>
        <w:t> </w:t>
      </w:r>
      <w:r>
        <w:rPr/>
        <w:t>reported</w:t>
      </w:r>
      <w:r>
        <w:rPr>
          <w:spacing w:val="-7"/>
        </w:rPr>
        <w:t> </w:t>
      </w:r>
      <w:r>
        <w:rPr/>
        <w:t>because</w:t>
      </w:r>
      <w:r>
        <w:rPr>
          <w:spacing w:val="-7"/>
        </w:rPr>
        <w:t> </w:t>
      </w:r>
      <w:r>
        <w:rPr/>
        <w:t>they</w:t>
      </w:r>
      <w:r>
        <w:rPr>
          <w:spacing w:val="-7"/>
        </w:rPr>
        <w:t> </w:t>
      </w:r>
      <w:r>
        <w:rPr/>
        <w:t>are</w:t>
      </w:r>
      <w:r>
        <w:rPr>
          <w:spacing w:val="-7"/>
        </w:rPr>
        <w:t> </w:t>
      </w:r>
      <w:r>
        <w:rPr/>
        <w:t>the</w:t>
      </w:r>
      <w:r>
        <w:rPr>
          <w:spacing w:val="-7"/>
        </w:rPr>
        <w:t> </w:t>
      </w:r>
      <w:r>
        <w:rPr/>
        <w:t>leading</w:t>
      </w:r>
      <w:r>
        <w:rPr>
          <w:spacing w:val="-7"/>
        </w:rPr>
        <w:t> </w:t>
      </w:r>
      <w:r>
        <w:rPr/>
        <w:t>structural</w:t>
      </w:r>
      <w:r>
        <w:rPr>
          <w:spacing w:val="-7"/>
        </w:rPr>
        <w:t> </w:t>
      </w:r>
      <w:r>
        <w:rPr/>
        <w:t>explanation for runtime differences under </w:t>
      </w:r>
      <w:r>
        <w:rPr>
          <w:rFonts w:ascii="Calibri"/>
          <w:i/>
        </w:rPr>
        <w:t>O</w:t>
      </w:r>
      <w:r>
        <w:rPr>
          <w:rFonts w:ascii="Calibri"/>
        </w:rPr>
        <w:t>(</w:t>
      </w:r>
      <w:r>
        <w:rPr>
          <w:rFonts w:ascii="Lucida Sans Unicode"/>
        </w:rPr>
        <w:t>|</w:t>
      </w:r>
      <w:r>
        <w:rPr>
          <w:rFonts w:ascii="Calibri"/>
          <w:i/>
        </w:rPr>
        <w:t>E</w:t>
      </w:r>
      <w:r>
        <w:rPr>
          <w:rFonts w:ascii="Lucida Sans Unicode"/>
        </w:rPr>
        <w:t>|</w:t>
      </w:r>
      <w:r>
        <w:rPr>
          <w:rFonts w:ascii="Calibri"/>
        </w:rPr>
        <w:t>) </w:t>
      </w:r>
      <w:r>
        <w:rPr/>
        <w:t>per-iteration complexity </w:t>
      </w:r>
      <w:hyperlink w:history="true" w:anchor="_bookmark182">
        <w:r>
          <w:rPr>
            <w:vertAlign w:val="superscript"/>
          </w:rPr>
          <w:t>[49]</w:t>
        </w:r>
      </w:hyperlink>
      <w:r>
        <w:rPr>
          <w:vertAlign w:val="baseline"/>
        </w:rPr>
        <w:t>.</w:t>
      </w:r>
    </w:p>
    <w:p>
      <w:pPr>
        <w:pStyle w:val="BodyText"/>
        <w:spacing w:line="362" w:lineRule="auto" w:before="5"/>
        <w:ind w:left="808" w:right="563"/>
        <w:jc w:val="both"/>
      </w:pPr>
      <w:r>
        <w:rPr>
          <w:i/>
        </w:rPr>
        <w:t>미리 만들어진 그래프. 간선 개수는 O(|E|) 반복당 복잡성에서 런타임 차이에 대한 주요 구조적 설명이기 때문에 보고됩니다[49].</w:t>
      </w:r>
    </w:p>
    <w:p>
      <w:pPr>
        <w:pStyle w:val="ListParagraph"/>
        <w:numPr>
          <w:ilvl w:val="0"/>
          <w:numId w:val="23"/>
        </w:numPr>
        <w:tabs>
          <w:tab w:pos="807" w:val="left" w:leader="none"/>
        </w:tabs>
        <w:spacing w:line="264" w:lineRule="exact" w:before="0" w:after="0"/>
        <w:ind w:left="807" w:right="0" w:hanging="214"/>
        <w:jc w:val="both"/>
        <w:rPr>
          <w:sz w:val="24"/>
        </w:rPr>
      </w:pPr>
      <w:r>
        <w:rPr>
          <w:b/>
          <w:w w:val="105"/>
          <w:sz w:val="24"/>
        </w:rPr>
        <w:t>Cohorts:</w:t>
      </w:r>
      <w:r>
        <w:rPr>
          <w:b/>
          <w:spacing w:val="30"/>
          <w:w w:val="105"/>
          <w:sz w:val="24"/>
        </w:rPr>
        <w:t> </w:t>
      </w:r>
      <w:r>
        <w:rPr>
          <w:w w:val="105"/>
          <w:sz w:val="24"/>
        </w:rPr>
        <w:t>The</w:t>
      </w:r>
      <w:r>
        <w:rPr>
          <w:spacing w:val="-3"/>
          <w:w w:val="105"/>
          <w:sz w:val="24"/>
        </w:rPr>
        <w:t> </w:t>
      </w:r>
      <w:r>
        <w:rPr>
          <w:w w:val="105"/>
          <w:sz w:val="24"/>
        </w:rPr>
        <w:t>primary</w:t>
      </w:r>
      <w:r>
        <w:rPr>
          <w:spacing w:val="-2"/>
          <w:w w:val="105"/>
          <w:sz w:val="24"/>
        </w:rPr>
        <w:t> </w:t>
      </w:r>
      <w:r>
        <w:rPr>
          <w:w w:val="105"/>
          <w:sz w:val="24"/>
        </w:rPr>
        <w:t>benchmark</w:t>
      </w:r>
      <w:r>
        <w:rPr>
          <w:spacing w:val="-3"/>
          <w:w w:val="105"/>
          <w:sz w:val="24"/>
        </w:rPr>
        <w:t> </w:t>
      </w:r>
      <w:r>
        <w:rPr>
          <w:w w:val="105"/>
          <w:sz w:val="24"/>
        </w:rPr>
        <w:t>uses</w:t>
      </w:r>
      <w:r>
        <w:rPr>
          <w:spacing w:val="-3"/>
          <w:w w:val="105"/>
          <w:sz w:val="24"/>
        </w:rPr>
        <w:t> </w:t>
      </w:r>
      <w:r>
        <w:rPr>
          <w:w w:val="105"/>
          <w:sz w:val="24"/>
        </w:rPr>
        <w:t>the</w:t>
      </w:r>
      <w:r>
        <w:rPr>
          <w:spacing w:val="-2"/>
          <w:w w:val="105"/>
          <w:sz w:val="24"/>
        </w:rPr>
        <w:t> </w:t>
      </w:r>
      <w:r>
        <w:rPr>
          <w:w w:val="105"/>
          <w:sz w:val="24"/>
        </w:rPr>
        <w:t>matched</w:t>
      </w:r>
      <w:r>
        <w:rPr>
          <w:spacing w:val="-3"/>
          <w:w w:val="105"/>
          <w:sz w:val="24"/>
        </w:rPr>
        <w:t> </w:t>
      </w:r>
      <w:r>
        <w:rPr>
          <w:w w:val="105"/>
          <w:sz w:val="24"/>
        </w:rPr>
        <w:t>wallet</w:t>
      </w:r>
      <w:r>
        <w:rPr>
          <w:spacing w:val="-2"/>
          <w:w w:val="105"/>
          <w:sz w:val="24"/>
        </w:rPr>
        <w:t> </w:t>
      </w:r>
      <w:r>
        <w:rPr>
          <w:w w:val="105"/>
          <w:sz w:val="24"/>
        </w:rPr>
        <w:t>cohort</w:t>
      </w:r>
      <w:r>
        <w:rPr>
          <w:spacing w:val="-3"/>
          <w:w w:val="105"/>
          <w:sz w:val="24"/>
        </w:rPr>
        <w:t> </w:t>
      </w:r>
      <w:r>
        <w:rPr>
          <w:w w:val="105"/>
          <w:sz w:val="24"/>
        </w:rPr>
        <w:t>(</w:t>
      </w:r>
      <w:r>
        <w:rPr>
          <w:rFonts w:ascii="Calibri" w:hAnsi="Calibri"/>
          <w:i/>
          <w:w w:val="105"/>
          <w:sz w:val="24"/>
        </w:rPr>
        <w:t>n</w:t>
      </w:r>
      <w:r>
        <w:rPr>
          <w:rFonts w:ascii="Calibri" w:hAnsi="Calibri"/>
          <w:i/>
          <w:spacing w:val="20"/>
          <w:w w:val="125"/>
          <w:sz w:val="24"/>
        </w:rPr>
        <w:t> </w:t>
      </w:r>
      <w:r>
        <w:rPr>
          <w:rFonts w:ascii="Calibri" w:hAnsi="Calibri"/>
          <w:w w:val="125"/>
          <w:sz w:val="24"/>
        </w:rPr>
        <w:t>=</w:t>
      </w:r>
      <w:r>
        <w:rPr>
          <w:rFonts w:ascii="Calibri" w:hAnsi="Calibri"/>
          <w:spacing w:val="20"/>
          <w:w w:val="125"/>
          <w:sz w:val="24"/>
        </w:rPr>
        <w:t> </w:t>
      </w:r>
      <w:r>
        <w:rPr>
          <w:rFonts w:ascii="Calibri" w:hAnsi="Calibri"/>
          <w:w w:val="105"/>
          <w:sz w:val="24"/>
        </w:rPr>
        <w:t>5</w:t>
      </w:r>
      <w:r>
        <w:rPr>
          <w:rFonts w:ascii="Calibri" w:hAnsi="Calibri"/>
          <w:i/>
          <w:w w:val="105"/>
          <w:sz w:val="24"/>
        </w:rPr>
        <w:t>,</w:t>
      </w:r>
      <w:r>
        <w:rPr>
          <w:rFonts w:ascii="Calibri" w:hAnsi="Calibri"/>
          <w:w w:val="105"/>
          <w:sz w:val="24"/>
        </w:rPr>
        <w:t>521</w:t>
      </w:r>
      <w:r>
        <w:rPr>
          <w:w w:val="105"/>
          <w:sz w:val="24"/>
        </w:rPr>
        <w:t>).</w:t>
      </w:r>
      <w:r>
        <w:rPr>
          <w:spacing w:val="49"/>
          <w:w w:val="105"/>
          <w:sz w:val="24"/>
        </w:rPr>
        <w:t> </w:t>
      </w:r>
      <w:r>
        <w:rPr>
          <w:spacing w:val="-2"/>
          <w:w w:val="105"/>
          <w:sz w:val="24"/>
        </w:rPr>
        <w:t>Scaling</w:t>
      </w:r>
    </w:p>
    <w:p>
      <w:pPr>
        <w:pStyle w:val="ListParagraph"/>
        <w:numPr>
          <w:ilvl w:val="0"/>
          <w:numId w:val="23"/>
        </w:numPr>
        <w:tabs>
          <w:tab w:pos="807" w:val="left" w:leader="none"/>
        </w:tabs>
        <w:spacing w:line="264" w:lineRule="exact" w:before="0" w:after="0"/>
        <w:ind w:left="807" w:right="0" w:hanging="214"/>
        <w:jc w:val="both"/>
        <w:rPr>
          <w:sz w:val="24"/>
        </w:rPr>
      </w:pPr>
      <w:r>
        <w:rPr>
          <w:i/>
        </w:rPr>
        <w:t>집단: 기본 벤치마크는 일치하는 지갑 집단(n = 5,521)을 사용합니다. 스케일링</w:t>
      </w:r>
    </w:p>
    <w:p>
      <w:pPr>
        <w:pStyle w:val="BodyText"/>
        <w:spacing w:line="396" w:lineRule="auto" w:before="168"/>
        <w:ind w:left="808" w:right="524"/>
        <w:jc w:val="both"/>
      </w:pPr>
      <w:r>
        <w:rPr/>
        <w:t>benchmarks use deterministic subsamples of the expanded wallet pool (Section </w:t>
      </w:r>
      <w:hyperlink w:history="true" w:anchor="_bookmark73">
        <w:r>
          <w:rPr/>
          <w:t>3.12</w:t>
        </w:r>
      </w:hyperlink>
      <w:r>
        <w:rPr/>
        <w:t>).</w:t>
      </w:r>
      <w:r>
        <w:rPr>
          <w:spacing w:val="40"/>
        </w:rPr>
        <w:t> </w:t>
      </w:r>
      <w:r>
        <w:rPr/>
        <w:t>GF-PR</w:t>
      </w:r>
      <w:r>
        <w:rPr>
          <w:spacing w:val="-1"/>
        </w:rPr>
        <w:t> </w:t>
      </w:r>
      <w:r>
        <w:rPr/>
        <w:t>runtime</w:t>
      </w:r>
      <w:r>
        <w:rPr>
          <w:spacing w:val="-1"/>
        </w:rPr>
        <w:t> </w:t>
      </w:r>
      <w:r>
        <w:rPr/>
        <w:t>may</w:t>
      </w:r>
      <w:r>
        <w:rPr>
          <w:spacing w:val="-1"/>
        </w:rPr>
        <w:t> </w:t>
      </w:r>
      <w:r>
        <w:rPr/>
        <w:t>be</w:t>
      </w:r>
      <w:r>
        <w:rPr>
          <w:spacing w:val="-1"/>
        </w:rPr>
        <w:t> </w:t>
      </w:r>
      <w:r>
        <w:rPr/>
        <w:t>reported</w:t>
      </w:r>
      <w:r>
        <w:rPr>
          <w:spacing w:val="-1"/>
        </w:rPr>
        <w:t> </w:t>
      </w:r>
      <w:r>
        <w:rPr/>
        <w:t>parenthetically</w:t>
      </w:r>
      <w:r>
        <w:rPr>
          <w:spacing w:val="-1"/>
        </w:rPr>
        <w:t> </w:t>
      </w:r>
      <w:r>
        <w:rPr/>
        <w:t>in</w:t>
      </w:r>
      <w:r>
        <w:rPr>
          <w:spacing w:val="-1"/>
        </w:rPr>
        <w:t> </w:t>
      </w:r>
      <w:r>
        <w:rPr/>
        <w:t>Chapter</w:t>
      </w:r>
      <w:r>
        <w:rPr>
          <w:spacing w:val="-2"/>
        </w:rPr>
        <w:t> </w:t>
      </w:r>
      <w:hyperlink w:history="true" w:anchor="_bookmark84">
        <w:r>
          <w:rPr/>
          <w:t>4</w:t>
        </w:r>
      </w:hyperlink>
      <w:r>
        <w:rPr>
          <w:spacing w:val="-1"/>
        </w:rPr>
        <w:t> </w:t>
      </w:r>
      <w:r>
        <w:rPr/>
        <w:t>as</w:t>
      </w:r>
      <w:r>
        <w:rPr>
          <w:spacing w:val="-1"/>
        </w:rPr>
        <w:t> </w:t>
      </w:r>
      <w:r>
        <w:rPr/>
        <w:t>supplementary</w:t>
      </w:r>
      <w:r>
        <w:rPr>
          <w:spacing w:val="-1"/>
        </w:rPr>
        <w:t> </w:t>
      </w:r>
      <w:r>
        <w:rPr/>
        <w:t>context</w:t>
      </w:r>
      <w:r>
        <w:rPr>
          <w:spacing w:val="-1"/>
        </w:rPr>
        <w:t> </w:t>
      </w:r>
      <w:r>
        <w:rPr/>
        <w:t>only</w:t>
      </w:r>
      <w:r>
        <w:rPr>
          <w:spacing w:val="-1"/>
        </w:rPr>
        <w:t> </w:t>
      </w:r>
      <w:r>
        <w:rPr/>
        <w:t>and is not part of Claim C1.</w:t>
      </w:r>
    </w:p>
    <w:p>
      <w:pPr>
        <w:pStyle w:val="BodyText"/>
        <w:spacing w:line="396" w:lineRule="auto" w:before="168"/>
        <w:ind w:left="808" w:right="524"/>
        <w:jc w:val="both"/>
      </w:pPr>
      <w:r>
        <w:rPr>
          <w:i/>
        </w:rPr>
        <w:t>벤치마크는 확장된 지갑 풀의 결정론적 하위 샘플을 사용합니다(섹션 3.12). GF-PR 런타임은 보충적인 맥락으로만 4장에 괄호 안에 보고될 수 있으며 청구 C1의 일부가 아닙니다.</w:t>
      </w:r>
    </w:p>
    <w:p>
      <w:pPr>
        <w:pStyle w:val="ListParagraph"/>
        <w:numPr>
          <w:ilvl w:val="0"/>
          <w:numId w:val="23"/>
        </w:numPr>
        <w:tabs>
          <w:tab w:pos="806" w:val="left" w:leader="none"/>
          <w:tab w:pos="808" w:val="left" w:leader="none"/>
        </w:tabs>
        <w:spacing w:line="393" w:lineRule="auto" w:before="40" w:after="0"/>
        <w:ind w:left="808" w:right="524" w:hanging="216"/>
        <w:jc w:val="both"/>
        <w:rPr>
          <w:sz w:val="24"/>
        </w:rPr>
      </w:pPr>
      <w:r>
        <w:rPr>
          <w:b/>
          <w:sz w:val="24"/>
        </w:rPr>
        <w:t>Fairness</w:t>
      </w:r>
      <w:r>
        <w:rPr>
          <w:b/>
          <w:spacing w:val="-3"/>
          <w:sz w:val="24"/>
        </w:rPr>
        <w:t> </w:t>
      </w:r>
      <w:r>
        <w:rPr>
          <w:b/>
          <w:sz w:val="24"/>
        </w:rPr>
        <w:t>of</w:t>
      </w:r>
      <w:r>
        <w:rPr>
          <w:b/>
          <w:spacing w:val="-3"/>
          <w:sz w:val="24"/>
        </w:rPr>
        <w:t> </w:t>
      </w:r>
      <w:r>
        <w:rPr>
          <w:b/>
          <w:sz w:val="24"/>
        </w:rPr>
        <w:t>comparison:</w:t>
      </w:r>
      <w:r>
        <w:rPr>
          <w:b/>
          <w:spacing w:val="19"/>
          <w:sz w:val="24"/>
        </w:rPr>
        <w:t> </w:t>
      </w:r>
      <w:r>
        <w:rPr>
          <w:sz w:val="24"/>
        </w:rPr>
        <w:t>Both</w:t>
      </w:r>
      <w:r>
        <w:rPr>
          <w:spacing w:val="-3"/>
          <w:sz w:val="24"/>
        </w:rPr>
        <w:t> </w:t>
      </w:r>
      <w:r>
        <w:rPr>
          <w:sz w:val="24"/>
        </w:rPr>
        <w:t>methods</w:t>
      </w:r>
      <w:r>
        <w:rPr>
          <w:spacing w:val="-3"/>
          <w:sz w:val="24"/>
        </w:rPr>
        <w:t> </w:t>
      </w:r>
      <w:r>
        <w:rPr>
          <w:sz w:val="24"/>
        </w:rPr>
        <w:t>use</w:t>
      </w:r>
      <w:r>
        <w:rPr>
          <w:spacing w:val="-3"/>
          <w:sz w:val="24"/>
        </w:rPr>
        <w:t> </w:t>
      </w:r>
      <w:r>
        <w:rPr>
          <w:sz w:val="24"/>
        </w:rPr>
        <w:t>the</w:t>
      </w:r>
      <w:r>
        <w:rPr>
          <w:spacing w:val="-3"/>
          <w:sz w:val="24"/>
        </w:rPr>
        <w:t> </w:t>
      </w:r>
      <w:r>
        <w:rPr>
          <w:sz w:val="24"/>
        </w:rPr>
        <w:t>same</w:t>
      </w:r>
      <w:r>
        <w:rPr>
          <w:spacing w:val="-3"/>
          <w:sz w:val="24"/>
        </w:rPr>
        <w:t> </w:t>
      </w:r>
      <w:r>
        <w:rPr>
          <w:sz w:val="24"/>
        </w:rPr>
        <w:t>solver,</w:t>
      </w:r>
      <w:r>
        <w:rPr>
          <w:spacing w:val="-3"/>
          <w:sz w:val="24"/>
        </w:rPr>
        <w:t> </w:t>
      </w:r>
      <w:r>
        <w:rPr>
          <w:sz w:val="24"/>
        </w:rPr>
        <w:t>tolerance,</w:t>
      </w:r>
      <w:r>
        <w:rPr>
          <w:spacing w:val="-2"/>
          <w:sz w:val="24"/>
        </w:rPr>
        <w:t> </w:t>
      </w:r>
      <w:r>
        <w:rPr>
          <w:sz w:val="24"/>
        </w:rPr>
        <w:t>iteration</w:t>
      </w:r>
      <w:r>
        <w:rPr>
          <w:spacing w:val="-3"/>
          <w:sz w:val="24"/>
        </w:rPr>
        <w:t> </w:t>
      </w:r>
      <w:r>
        <w:rPr>
          <w:sz w:val="24"/>
        </w:rPr>
        <w:t>cap,</w:t>
      </w:r>
      <w:r>
        <w:rPr>
          <w:spacing w:val="-2"/>
          <w:sz w:val="24"/>
        </w:rPr>
        <w:t> </w:t>
      </w:r>
      <w:r>
        <w:rPr>
          <w:sz w:val="24"/>
        </w:rPr>
        <w:t>damp-ing (unless a robustness sweep varies </w:t>
      </w:r>
      <w:r>
        <w:rPr>
          <w:rFonts w:ascii="Calibri" w:hAnsi="Calibri"/>
          <w:i/>
          <w:sz w:val="24"/>
        </w:rPr>
        <w:t>d</w:t>
      </w:r>
      <w:r>
        <w:rPr>
          <w:sz w:val="24"/>
        </w:rPr>
        <w:t>), and seed wallet set.</w:t>
      </w:r>
      <w:r>
        <w:rPr>
          <w:spacing w:val="40"/>
          <w:sz w:val="24"/>
        </w:rPr>
        <w:t> </w:t>
      </w:r>
      <w:r>
        <w:rPr>
          <w:sz w:val="24"/>
        </w:rPr>
        <w:t>Differences therefore reflect graph density and weight structure—allowance snapshots versus time-decayed transfers—rather than implementation asymmetry.</w:t>
      </w:r>
      <w:r>
        <w:rPr>
          <w:spacing w:val="28"/>
          <w:sz w:val="24"/>
        </w:rPr>
        <w:t> </w:t>
      </w:r>
      <w:r>
        <w:rPr>
          <w:sz w:val="24"/>
        </w:rPr>
        <w:t>Hardware and software versions are recorded in the evaluation manifest so that absolute seconds can be interpreted relative to the experimental machine;</w:t>
      </w:r>
      <w:r>
        <w:rPr>
          <w:spacing w:val="-12"/>
          <w:sz w:val="24"/>
        </w:rPr>
        <w:t> </w:t>
      </w:r>
      <w:r>
        <w:rPr>
          <w:sz w:val="24"/>
        </w:rPr>
        <w:t>speedup</w:t>
      </w:r>
      <w:r>
        <w:rPr>
          <w:spacing w:val="-13"/>
          <w:sz w:val="24"/>
        </w:rPr>
        <w:t> </w:t>
      </w:r>
      <w:r>
        <w:rPr>
          <w:sz w:val="24"/>
        </w:rPr>
        <w:t>ratios</w:t>
      </w:r>
      <w:r>
        <w:rPr>
          <w:spacing w:val="-13"/>
          <w:sz w:val="24"/>
        </w:rPr>
        <w:t> </w:t>
      </w:r>
      <w:r>
        <w:rPr>
          <w:sz w:val="24"/>
        </w:rPr>
        <w:t>(AWP</w:t>
      </w:r>
      <w:r>
        <w:rPr>
          <w:spacing w:val="-13"/>
          <w:sz w:val="24"/>
        </w:rPr>
        <w:t> </w:t>
      </w:r>
      <w:r>
        <w:rPr>
          <w:sz w:val="24"/>
        </w:rPr>
        <w:t>time</w:t>
      </w:r>
      <w:r>
        <w:rPr>
          <w:spacing w:val="-13"/>
          <w:sz w:val="24"/>
        </w:rPr>
        <w:t> </w:t>
      </w:r>
      <w:r>
        <w:rPr>
          <w:sz w:val="24"/>
        </w:rPr>
        <w:t>divided</w:t>
      </w:r>
      <w:r>
        <w:rPr>
          <w:spacing w:val="-13"/>
          <w:sz w:val="24"/>
        </w:rPr>
        <w:t> </w:t>
      </w:r>
      <w:r>
        <w:rPr>
          <w:sz w:val="24"/>
        </w:rPr>
        <w:t>by</w:t>
      </w:r>
      <w:r>
        <w:rPr>
          <w:spacing w:val="-13"/>
          <w:sz w:val="24"/>
        </w:rPr>
        <w:t> </w:t>
      </w:r>
      <w:r>
        <w:rPr>
          <w:sz w:val="24"/>
        </w:rPr>
        <w:t>EndorseRank</w:t>
      </w:r>
      <w:r>
        <w:rPr>
          <w:spacing w:val="-13"/>
          <w:sz w:val="24"/>
        </w:rPr>
        <w:t> </w:t>
      </w:r>
      <w:r>
        <w:rPr>
          <w:sz w:val="24"/>
        </w:rPr>
        <w:t>time)</w:t>
      </w:r>
      <w:r>
        <w:rPr>
          <w:spacing w:val="-13"/>
          <w:sz w:val="24"/>
        </w:rPr>
        <w:t> </w:t>
      </w:r>
      <w:r>
        <w:rPr>
          <w:sz w:val="24"/>
        </w:rPr>
        <w:t>are</w:t>
      </w:r>
      <w:r>
        <w:rPr>
          <w:spacing w:val="-13"/>
          <w:sz w:val="24"/>
        </w:rPr>
        <w:t> </w:t>
      </w:r>
      <w:r>
        <w:rPr>
          <w:sz w:val="24"/>
        </w:rPr>
        <w:t>the</w:t>
      </w:r>
      <w:r>
        <w:rPr>
          <w:spacing w:val="-13"/>
          <w:sz w:val="24"/>
        </w:rPr>
        <w:t> </w:t>
      </w:r>
      <w:r>
        <w:rPr>
          <w:sz w:val="24"/>
        </w:rPr>
        <w:t>preferred</w:t>
      </w:r>
      <w:r>
        <w:rPr>
          <w:spacing w:val="-13"/>
          <w:sz w:val="24"/>
        </w:rPr>
        <w:t> </w:t>
      </w:r>
      <w:r>
        <w:rPr>
          <w:sz w:val="24"/>
        </w:rPr>
        <w:t>compar-ative summary.</w:t>
      </w:r>
    </w:p>
    <w:p>
      <w:pPr>
        <w:pStyle w:val="ListParagraph"/>
        <w:numPr>
          <w:ilvl w:val="0"/>
          <w:numId w:val="23"/>
        </w:numPr>
        <w:tabs>
          <w:tab w:pos="806" w:val="left" w:leader="none"/>
          <w:tab w:pos="808" w:val="left" w:leader="none"/>
        </w:tabs>
        <w:spacing w:line="393" w:lineRule="auto" w:before="40" w:after="0"/>
        <w:ind w:left="808" w:right="524" w:hanging="216"/>
        <w:jc w:val="both"/>
        <w:rPr>
          <w:sz w:val="24"/>
        </w:rPr>
      </w:pPr>
      <w:r>
        <w:rPr>
          <w:i/>
        </w:rPr>
        <w:t>비교의 공정성: 두 방법 모두 동일한 솔버, 허용오차, 반복 제한, 감쇠(강건성 스윕이 d에 따라 달라지지 않는 한) 및 시드 지갑 세트를 사용합니다. 따라서 차이점은 구현 비대칭이 아니라 그래프 밀도와 가중치 구조(허용 스냅샷 대 시간 경과 전송)를 반영합니다. 하드웨어 및 소프트웨어 버전은 평가 매니페스트에 기록되어 절대 초를 실험 기계와 관련하여 해석할 수 있습니다. 속도 향상 비율(AWP 시간을 EndorseRank 시간으로 나눈 값)이 선호되는 비교 요약입니다.</w:t>
      </w:r>
    </w:p>
    <w:p>
      <w:pPr>
        <w:pStyle w:val="BodyText"/>
        <w:spacing w:before="157"/>
      </w:pPr>
    </w:p>
    <w:p>
      <w:pPr>
        <w:pStyle w:val="Heading2"/>
        <w:numPr>
          <w:ilvl w:val="1"/>
          <w:numId w:val="8"/>
        </w:numPr>
        <w:tabs>
          <w:tab w:pos="927" w:val="left" w:leader="none"/>
        </w:tabs>
        <w:spacing w:line="240" w:lineRule="auto" w:before="0" w:after="0"/>
        <w:ind w:left="927" w:right="0" w:hanging="645"/>
        <w:jc w:val="left"/>
      </w:pPr>
      <w:bookmarkStart w:name="Scaling and robustness extensions" w:id="133"/>
      <w:bookmarkEnd w:id="133"/>
      <w:r>
        <w:rPr>
          <w:b w:val="0"/>
        </w:rPr>
      </w:r>
      <w:bookmarkStart w:name="_bookmark73" w:id="134"/>
      <w:bookmarkEnd w:id="134"/>
      <w:r>
        <w:rPr>
          <w:b w:val="0"/>
        </w:rPr>
      </w:r>
      <w:r>
        <w:rPr/>
        <w:t>Scaling</w:t>
      </w:r>
      <w:r>
        <w:rPr>
          <w:spacing w:val="13"/>
        </w:rPr>
        <w:t> </w:t>
      </w:r>
      <w:r>
        <w:rPr/>
        <w:t>and</w:t>
      </w:r>
      <w:r>
        <w:rPr>
          <w:spacing w:val="13"/>
        </w:rPr>
        <w:t> </w:t>
      </w:r>
      <w:r>
        <w:rPr/>
        <w:t>robustness</w:t>
      </w:r>
      <w:r>
        <w:rPr>
          <w:spacing w:val="13"/>
        </w:rPr>
        <w:t> </w:t>
      </w:r>
      <w:r>
        <w:rPr>
          <w:spacing w:val="-2"/>
        </w:rPr>
        <w:t>extensions</w:t>
      </w:r>
    </w:p>
    <w:p>
      <w:pPr>
        <w:pStyle w:val="Heading2"/>
        <w:numPr>
          <w:ilvl w:val="1"/>
          <w:numId w:val="8"/>
        </w:numPr>
        <w:tabs>
          <w:tab w:pos="927" w:val="left" w:leader="none"/>
        </w:tabs>
        <w:spacing w:line="240" w:lineRule="auto" w:before="0" w:after="0"/>
        <w:ind w:left="927" w:right="0" w:hanging="645"/>
        <w:jc w:val="left"/>
      </w:pPr>
      <w:r>
        <w:rPr>
          <w:i/>
        </w:rPr>
        <w:t>확장 및 견고성 확장</w:t>
      </w:r>
    </w:p>
    <w:p>
      <w:pPr>
        <w:pStyle w:val="BodyText"/>
        <w:spacing w:before="24"/>
        <w:rPr>
          <w:b/>
          <w:sz w:val="28"/>
        </w:rPr>
      </w:pPr>
    </w:p>
    <w:p>
      <w:pPr>
        <w:pStyle w:val="BodyText"/>
        <w:spacing w:line="391" w:lineRule="auto"/>
        <w:ind w:left="282" w:right="524"/>
        <w:jc w:val="both"/>
      </w:pPr>
      <w:r>
        <w:rPr/>
        <w:t>Beyond</w:t>
      </w:r>
      <w:r>
        <w:rPr>
          <w:spacing w:val="-4"/>
        </w:rPr>
        <w:t> </w:t>
      </w:r>
      <w:r>
        <w:rPr/>
        <w:t>the</w:t>
      </w:r>
      <w:r>
        <w:rPr>
          <w:spacing w:val="-4"/>
        </w:rPr>
        <w:t> </w:t>
      </w:r>
      <w:r>
        <w:rPr/>
        <w:t>matched</w:t>
      </w:r>
      <w:r>
        <w:rPr>
          <w:spacing w:val="-4"/>
        </w:rPr>
        <w:t> </w:t>
      </w:r>
      <w:r>
        <w:rPr/>
        <w:t>cohort,</w:t>
      </w:r>
      <w:r>
        <w:rPr>
          <w:spacing w:val="-4"/>
        </w:rPr>
        <w:t> </w:t>
      </w:r>
      <w:r>
        <w:rPr/>
        <w:t>the</w:t>
      </w:r>
      <w:r>
        <w:rPr>
          <w:spacing w:val="-4"/>
        </w:rPr>
        <w:t> </w:t>
      </w:r>
      <w:r>
        <w:rPr/>
        <w:t>study</w:t>
      </w:r>
      <w:r>
        <w:rPr>
          <w:spacing w:val="-4"/>
        </w:rPr>
        <w:t> </w:t>
      </w:r>
      <w:r>
        <w:rPr/>
        <w:t>evaluates</w:t>
      </w:r>
      <w:r>
        <w:rPr>
          <w:spacing w:val="-4"/>
        </w:rPr>
        <w:t> </w:t>
      </w:r>
      <w:r>
        <w:rPr/>
        <w:t>runtime</w:t>
      </w:r>
      <w:r>
        <w:rPr>
          <w:spacing w:val="-4"/>
        </w:rPr>
        <w:t> </w:t>
      </w:r>
      <w:r>
        <w:rPr/>
        <w:t>scaling</w:t>
      </w:r>
      <w:r>
        <w:rPr>
          <w:spacing w:val="-4"/>
        </w:rPr>
        <w:t> </w:t>
      </w:r>
      <w:r>
        <w:rPr/>
        <w:t>on</w:t>
      </w:r>
      <w:r>
        <w:rPr>
          <w:spacing w:val="-4"/>
        </w:rPr>
        <w:t> </w:t>
      </w:r>
      <w:r>
        <w:rPr/>
        <w:t>a</w:t>
      </w:r>
      <w:r>
        <w:rPr>
          <w:spacing w:val="-4"/>
        </w:rPr>
        <w:t> </w:t>
      </w:r>
      <w:r>
        <w:rPr/>
        <w:t>larger</w:t>
      </w:r>
      <w:r>
        <w:rPr>
          <w:spacing w:val="-4"/>
        </w:rPr>
        <w:t> </w:t>
      </w:r>
      <w:r>
        <w:rPr/>
        <w:t>address</w:t>
      </w:r>
      <w:r>
        <w:rPr>
          <w:spacing w:val="-4"/>
        </w:rPr>
        <w:t> </w:t>
      </w:r>
      <w:r>
        <w:rPr/>
        <w:t>set</w:t>
      </w:r>
      <w:r>
        <w:rPr>
          <w:spacing w:val="-4"/>
        </w:rPr>
        <w:t> </w:t>
      </w:r>
      <w:r>
        <w:rPr/>
        <w:t>and</w:t>
      </w:r>
      <w:r>
        <w:rPr>
          <w:spacing w:val="-4"/>
        </w:rPr>
        <w:t> </w:t>
      </w:r>
      <w:r>
        <w:rPr/>
        <w:t>stress-tests</w:t>
      </w:r>
      <w:r>
        <w:rPr>
          <w:spacing w:val="-15"/>
        </w:rPr>
        <w:t> </w:t>
      </w:r>
      <w:r>
        <w:rPr/>
        <w:t>alignment</w:t>
      </w:r>
      <w:r>
        <w:rPr>
          <w:spacing w:val="-15"/>
        </w:rPr>
        <w:t> </w:t>
      </w:r>
      <w:r>
        <w:rPr/>
        <w:t>under</w:t>
      </w:r>
      <w:r>
        <w:rPr>
          <w:spacing w:val="-15"/>
        </w:rPr>
        <w:t> </w:t>
      </w:r>
      <w:r>
        <w:rPr/>
        <w:t>parameter</w:t>
      </w:r>
      <w:r>
        <w:rPr>
          <w:spacing w:val="-15"/>
        </w:rPr>
        <w:t> </w:t>
      </w:r>
      <w:r>
        <w:rPr/>
        <w:t>and</w:t>
      </w:r>
      <w:r>
        <w:rPr>
          <w:spacing w:val="-15"/>
        </w:rPr>
        <w:t> </w:t>
      </w:r>
      <w:r>
        <w:rPr/>
        <w:t>sample</w:t>
      </w:r>
      <w:r>
        <w:rPr>
          <w:spacing w:val="-15"/>
        </w:rPr>
        <w:t> </w:t>
      </w:r>
      <w:r>
        <w:rPr/>
        <w:t>perturbations.</w:t>
      </w:r>
      <w:r>
        <w:rPr>
          <w:spacing w:val="-15"/>
        </w:rPr>
        <w:t> </w:t>
      </w:r>
      <w:r>
        <w:rPr/>
        <w:t>These</w:t>
      </w:r>
      <w:r>
        <w:rPr>
          <w:spacing w:val="-15"/>
        </w:rPr>
        <w:t> </w:t>
      </w:r>
      <w:r>
        <w:rPr/>
        <w:t>extensions</w:t>
      </w:r>
      <w:r>
        <w:rPr>
          <w:spacing w:val="-15"/>
        </w:rPr>
        <w:t> </w:t>
      </w:r>
      <w:r>
        <w:rPr/>
        <w:t>support</w:t>
      </w:r>
      <w:r>
        <w:rPr>
          <w:spacing w:val="-15"/>
        </w:rPr>
        <w:t> </w:t>
      </w:r>
      <w:r>
        <w:rPr/>
        <w:t>H3</w:t>
      </w:r>
      <w:r>
        <w:rPr>
          <w:spacing w:val="-15"/>
        </w:rPr>
        <w:t> </w:t>
      </w:r>
      <w:r>
        <w:rPr/>
        <w:t>(efficiency at</w:t>
      </w:r>
      <w:r>
        <w:rPr>
          <w:spacing w:val="-9"/>
        </w:rPr>
        <w:t> </w:t>
      </w:r>
      <w:r>
        <w:rPr/>
        <w:t>larger</w:t>
      </w:r>
      <w:r>
        <w:rPr>
          <w:spacing w:val="-9"/>
        </w:rPr>
        <w:t> </w:t>
      </w:r>
      <w:r>
        <w:rPr>
          <w:rFonts w:ascii="Calibri"/>
          <w:i/>
        </w:rPr>
        <w:t>n</w:t>
      </w:r>
      <w:r>
        <w:rPr/>
        <w:t>)</w:t>
      </w:r>
      <w:r>
        <w:rPr>
          <w:spacing w:val="-9"/>
        </w:rPr>
        <w:t> </w:t>
      </w:r>
      <w:r>
        <w:rPr/>
        <w:t>and</w:t>
      </w:r>
      <w:r>
        <w:rPr>
          <w:spacing w:val="-9"/>
        </w:rPr>
        <w:t> </w:t>
      </w:r>
      <w:r>
        <w:rPr/>
        <w:t>the</w:t>
      </w:r>
      <w:r>
        <w:rPr>
          <w:spacing w:val="-9"/>
        </w:rPr>
        <w:t> </w:t>
      </w:r>
      <w:r>
        <w:rPr/>
        <w:t>stability</w:t>
      </w:r>
      <w:r>
        <w:rPr>
          <w:spacing w:val="-9"/>
        </w:rPr>
        <w:t> </w:t>
      </w:r>
      <w:r>
        <w:rPr/>
        <w:t>of</w:t>
      </w:r>
      <w:r>
        <w:rPr>
          <w:spacing w:val="-9"/>
        </w:rPr>
        <w:t> </w:t>
      </w:r>
      <w:r>
        <w:rPr/>
        <w:t>family-level</w:t>
      </w:r>
      <w:r>
        <w:rPr>
          <w:spacing w:val="-9"/>
        </w:rPr>
        <w:t> </w:t>
      </w:r>
      <w:r>
        <w:rPr/>
        <w:t>conclusions.</w:t>
      </w:r>
      <w:r>
        <w:rPr>
          <w:spacing w:val="13"/>
        </w:rPr>
        <w:t> </w:t>
      </w:r>
      <w:r>
        <w:rPr/>
        <w:t>They</w:t>
      </w:r>
      <w:r>
        <w:rPr>
          <w:spacing w:val="-9"/>
        </w:rPr>
        <w:t> </w:t>
      </w:r>
      <w:r>
        <w:rPr/>
        <w:t>are</w:t>
      </w:r>
      <w:r>
        <w:rPr>
          <w:spacing w:val="-9"/>
        </w:rPr>
        <w:t> </w:t>
      </w:r>
      <w:r>
        <w:rPr/>
        <w:t>not</w:t>
      </w:r>
      <w:r>
        <w:rPr>
          <w:spacing w:val="-9"/>
        </w:rPr>
        <w:t> </w:t>
      </w:r>
      <w:r>
        <w:rPr/>
        <w:t>alternative</w:t>
      </w:r>
      <w:r>
        <w:rPr>
          <w:spacing w:val="-9"/>
        </w:rPr>
        <w:t> </w:t>
      </w:r>
      <w:r>
        <w:rPr/>
        <w:t>primary</w:t>
      </w:r>
      <w:r>
        <w:rPr>
          <w:spacing w:val="-9"/>
        </w:rPr>
        <w:t> </w:t>
      </w:r>
      <w:r>
        <w:rPr/>
        <w:t>samples: unless otherwise noted, alignment claims in Chapter </w:t>
      </w:r>
      <w:hyperlink w:history="true" w:anchor="_bookmark84">
        <w:r>
          <w:rPr/>
          <w:t>4</w:t>
        </w:r>
      </w:hyperlink>
      <w:r>
        <w:rPr/>
        <w:t> refer to the matched cohort, and scaling </w:t>
      </w:r>
      <w:bookmarkStart w:name="Expanded wallet pool and runtime scaling" w:id="135"/>
      <w:bookmarkEnd w:id="135"/>
      <w:r>
        <w:rPr/>
        <w:t>claim</w:t>
      </w:r>
      <w:r>
        <w:rPr/>
        <w:t>s refer to the expanded pool.</w:t>
      </w:r>
    </w:p>
    <w:p>
      <w:pPr>
        <w:pStyle w:val="BodyText"/>
        <w:spacing w:line="391" w:lineRule="auto"/>
        <w:ind w:left="282" w:right="524"/>
        <w:jc w:val="both"/>
      </w:pPr>
      <w:r>
        <w:rPr>
          <w:i/>
        </w:rPr>
        <w:t>일치하는 코호트 외에도 이 연구에서는 더 큰 주소 세트에 대한 런타임 확장과 매개변수 및 샘플 변동에 따른 스트레스 테스트 정렬을 평가합니다. 이러한 확장은 H3(더 큰 n에서의 효율성)과 가족 수준 결론의 안정성을 지원합니다. 이는 대체 기본 샘플이 아닙니다. 달리 명시하지 않는 한 4장의 정렬 주장은 일치하는 코호트를 참조하고 확장 주장은 확장된 풀을 참조합니다.</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998" w:val="left" w:leader="none"/>
        </w:tabs>
        <w:spacing w:line="240" w:lineRule="auto" w:before="73" w:after="0"/>
        <w:ind w:left="998" w:right="0" w:hanging="716"/>
        <w:jc w:val="both"/>
      </w:pPr>
      <w:r>
        <w:rPr/>
        <w:t>Expanded</w:t>
      </w:r>
      <w:r>
        <w:rPr>
          <w:spacing w:val="-10"/>
        </w:rPr>
        <w:t> </w:t>
      </w:r>
      <w:r>
        <w:rPr/>
        <w:t>wallet</w:t>
      </w:r>
      <w:r>
        <w:rPr>
          <w:spacing w:val="-9"/>
        </w:rPr>
        <w:t> </w:t>
      </w:r>
      <w:r>
        <w:rPr/>
        <w:t>pool</w:t>
      </w:r>
      <w:r>
        <w:rPr>
          <w:spacing w:val="-10"/>
        </w:rPr>
        <w:t> </w:t>
      </w:r>
      <w:r>
        <w:rPr/>
        <w:t>and</w:t>
      </w:r>
      <w:r>
        <w:rPr>
          <w:spacing w:val="-9"/>
        </w:rPr>
        <w:t> </w:t>
      </w:r>
      <w:r>
        <w:rPr/>
        <w:t>runtime</w:t>
      </w:r>
      <w:r>
        <w:rPr>
          <w:spacing w:val="-10"/>
        </w:rPr>
        <w:t> </w:t>
      </w:r>
      <w:r>
        <w:rPr>
          <w:spacing w:val="-2"/>
        </w:rPr>
        <w:t>scaling</w:t>
      </w:r>
    </w:p>
    <w:p>
      <w:pPr>
        <w:pStyle w:val="Heading4"/>
        <w:numPr>
          <w:ilvl w:val="2"/>
          <w:numId w:val="8"/>
        </w:numPr>
        <w:tabs>
          <w:tab w:pos="998" w:val="left" w:leader="none"/>
        </w:tabs>
        <w:spacing w:line="240" w:lineRule="auto" w:before="73" w:after="0"/>
        <w:ind w:left="998" w:right="0" w:hanging="716"/>
        <w:jc w:val="both"/>
      </w:pPr>
      <w:r>
        <w:rPr>
          <w:i/>
        </w:rPr>
        <w:t>확장된 지갑 풀 및 런타임 확장</w:t>
      </w:r>
    </w:p>
    <w:p>
      <w:pPr>
        <w:pStyle w:val="BodyText"/>
        <w:spacing w:line="456" w:lineRule="exact" w:before="181"/>
        <w:ind w:left="282" w:right="523" w:hanging="8"/>
        <w:jc w:val="both"/>
      </w:pPr>
      <w:r>
        <w:rPr/>
        <w:t>The expanded wallet pool </w:t>
      </w:r>
      <w:r>
        <w:rPr>
          <w:rFonts w:ascii="Lucida Sans Unicode"/>
        </w:rPr>
        <w:t>M</w:t>
      </w:r>
      <w:r>
        <w:rPr>
          <w:vertAlign w:val="subscript"/>
        </w:rPr>
        <w:t>pool</w:t>
      </w:r>
      <w:r>
        <w:rPr>
          <w:vertAlign w:val="baseline"/>
        </w:rPr>
        <w:t> unions the matched GMX cohort with supplemental active ad-dresses derived from the reputation subgraph (and, when present, supplemental active-wallet par-quet), yielding </w:t>
      </w:r>
      <w:r>
        <w:rPr>
          <w:rFonts w:ascii="Calibri"/>
          <w:i/>
          <w:vertAlign w:val="baseline"/>
        </w:rPr>
        <w:t>N</w:t>
      </w:r>
      <w:r>
        <w:rPr>
          <w:rFonts w:ascii="Calibri"/>
          <w:i/>
          <w:spacing w:val="40"/>
          <w:vertAlign w:val="baseline"/>
        </w:rPr>
        <w:t> </w:t>
      </w:r>
      <w:r>
        <w:rPr>
          <w:rFonts w:ascii="Calibri"/>
          <w:vertAlign w:val="baseline"/>
        </w:rPr>
        <w:t>= </w:t>
      </w:r>
      <w:r>
        <w:rPr>
          <w:rFonts w:ascii="Lucida Sans Unicode"/>
          <w:vertAlign w:val="baseline"/>
        </w:rPr>
        <w:t>|M</w:t>
      </w:r>
      <w:r>
        <w:rPr>
          <w:vertAlign w:val="subscript"/>
        </w:rPr>
        <w:t>pool</w:t>
      </w:r>
      <w:r>
        <w:rPr>
          <w:rFonts w:ascii="Lucida Sans Unicode"/>
          <w:vertAlign w:val="baseline"/>
        </w:rPr>
        <w:t>| </w:t>
      </w:r>
      <w:r>
        <w:rPr>
          <w:rFonts w:ascii="Calibri"/>
          <w:vertAlign w:val="baseline"/>
        </w:rPr>
        <w:t>= 31</w:t>
      </w:r>
      <w:r>
        <w:rPr>
          <w:rFonts w:ascii="Calibri"/>
          <w:i/>
          <w:vertAlign w:val="baseline"/>
        </w:rPr>
        <w:t>,</w:t>
      </w:r>
      <w:r>
        <w:rPr>
          <w:rFonts w:ascii="Calibri"/>
          <w:vertAlign w:val="baseline"/>
        </w:rPr>
        <w:t>612 </w:t>
      </w:r>
      <w:r>
        <w:rPr>
          <w:vertAlign w:val="baseline"/>
        </w:rPr>
        <w:t>addresses in this study.</w:t>
      </w:r>
      <w:r>
        <w:rPr>
          <w:spacing w:val="40"/>
          <w:vertAlign w:val="baseline"/>
        </w:rPr>
        <w:t> </w:t>
      </w:r>
      <w:r>
        <w:rPr>
          <w:vertAlign w:val="baseline"/>
        </w:rPr>
        <w:t>Supplemental addresses increase graph size for timing experiments without requiring every address to carry GMX labels.</w:t>
      </w:r>
      <w:r>
        <w:rPr>
          <w:spacing w:val="25"/>
          <w:vertAlign w:val="baseline"/>
        </w:rPr>
        <w:t> </w:t>
      </w:r>
      <w:r>
        <w:rPr>
          <w:vertAlign w:val="baseline"/>
        </w:rPr>
        <w:t>Runtime benchmarks</w:t>
      </w:r>
      <w:r>
        <w:rPr>
          <w:spacing w:val="-11"/>
          <w:vertAlign w:val="baseline"/>
        </w:rPr>
        <w:t> </w:t>
      </w:r>
      <w:r>
        <w:rPr>
          <w:vertAlign w:val="baseline"/>
        </w:rPr>
        <w:t>at</w:t>
      </w:r>
      <w:r>
        <w:rPr>
          <w:spacing w:val="-11"/>
          <w:vertAlign w:val="baseline"/>
        </w:rPr>
        <w:t> </w:t>
      </w:r>
      <w:r>
        <w:rPr>
          <w:vertAlign w:val="baseline"/>
        </w:rPr>
        <w:t>intermediate</w:t>
      </w:r>
      <w:r>
        <w:rPr>
          <w:spacing w:val="-11"/>
          <w:vertAlign w:val="baseline"/>
        </w:rPr>
        <w:t> </w:t>
      </w:r>
      <w:r>
        <w:rPr>
          <w:vertAlign w:val="baseline"/>
        </w:rPr>
        <w:t>sizes</w:t>
      </w:r>
      <w:r>
        <w:rPr>
          <w:spacing w:val="-11"/>
          <w:vertAlign w:val="baseline"/>
        </w:rPr>
        <w:t> </w:t>
      </w:r>
      <w:r>
        <w:rPr>
          <w:vertAlign w:val="baseline"/>
        </w:rPr>
        <w:t>use</w:t>
      </w:r>
      <w:r>
        <w:rPr>
          <w:spacing w:val="-11"/>
          <w:vertAlign w:val="baseline"/>
        </w:rPr>
        <w:t> </w:t>
      </w:r>
      <w:r>
        <w:rPr>
          <w:vertAlign w:val="baseline"/>
        </w:rPr>
        <w:t>deterministic</w:t>
      </w:r>
      <w:r>
        <w:rPr>
          <w:spacing w:val="-11"/>
          <w:vertAlign w:val="baseline"/>
        </w:rPr>
        <w:t> </w:t>
      </w:r>
      <w:r>
        <w:rPr>
          <w:vertAlign w:val="baseline"/>
        </w:rPr>
        <w:t>SHA256</w:t>
      </w:r>
      <w:r>
        <w:rPr>
          <w:spacing w:val="-11"/>
          <w:vertAlign w:val="baseline"/>
        </w:rPr>
        <w:t> </w:t>
      </w:r>
      <w:r>
        <w:rPr>
          <w:vertAlign w:val="baseline"/>
        </w:rPr>
        <w:t>subsampling</w:t>
      </w:r>
      <w:r>
        <w:rPr>
          <w:spacing w:val="-11"/>
          <w:vertAlign w:val="baseline"/>
        </w:rPr>
        <w:t> </w:t>
      </w:r>
      <w:r>
        <w:rPr>
          <w:vertAlign w:val="baseline"/>
        </w:rPr>
        <w:t>with</w:t>
      </w:r>
      <w:r>
        <w:rPr>
          <w:spacing w:val="-11"/>
          <w:vertAlign w:val="baseline"/>
        </w:rPr>
        <w:t> </w:t>
      </w:r>
      <w:r>
        <w:rPr>
          <w:vertAlign w:val="baseline"/>
        </w:rPr>
        <w:t>seed</w:t>
      </w:r>
      <w:r>
        <w:rPr>
          <w:spacing w:val="-11"/>
          <w:vertAlign w:val="baseline"/>
        </w:rPr>
        <w:t> </w:t>
      </w:r>
      <w:r>
        <w:rPr>
          <w:vertAlign w:val="baseline"/>
        </w:rPr>
        <w:t>string</w:t>
      </w:r>
      <w:r>
        <w:rPr>
          <w:spacing w:val="-11"/>
          <w:vertAlign w:val="baseline"/>
        </w:rPr>
        <w:t> </w:t>
      </w:r>
      <w:r>
        <w:rPr>
          <w:rFonts w:ascii="Calibri"/>
          <w:vertAlign w:val="baseline"/>
        </w:rPr>
        <w:t>benchm </w:t>
      </w:r>
      <w:r>
        <w:rPr>
          <w:rFonts w:ascii="Calibri"/>
          <w:w w:val="110"/>
          <w:vertAlign w:val="baseline"/>
        </w:rPr>
        <w:t>ark-</w:t>
      </w:r>
      <w:r>
        <w:rPr>
          <w:rFonts w:ascii="Calibri"/>
          <w:w w:val="125"/>
          <w:vertAlign w:val="baseline"/>
        </w:rPr>
        <w:t>tier2-v1</w:t>
      </w:r>
      <w:r>
        <w:rPr>
          <w:w w:val="125"/>
          <w:vertAlign w:val="baseline"/>
        </w:rPr>
        <w:t>: </w:t>
      </w:r>
      <w:r>
        <w:rPr>
          <w:w w:val="110"/>
          <w:vertAlign w:val="baseline"/>
        </w:rPr>
        <w:t>wallets are ordered by</w:t>
      </w:r>
    </w:p>
    <w:p>
      <w:pPr>
        <w:pStyle w:val="BodyText"/>
        <w:spacing w:line="456" w:lineRule="exact" w:before="181"/>
        <w:ind w:left="282" w:right="523" w:hanging="8"/>
        <w:jc w:val="both"/>
      </w:pPr>
      <w:r>
        <w:rPr>
          <w:i/>
        </w:rPr>
        <w:t>확장된 지갑 풀 Mpool은 일치하는 GMX 코호트를 평판 하위 그래프에서 파생된 추가 활성 주소(및 존재하는 경우 추가 활성 지갑 par-quet)와 통합하여 N = |Mpool|을 생성합니다. = 이 연구에서는 31,612개의 주소가 사용되었습니다. 보충 주소는 모든 주소에 GMX 라벨을 포함하지 않고도 타이밍 실험을 위한 그래프 크기를 늘립니다. 중간 크기의 런타임 벤치마크는 시드 문자열 벤치마크 ark-tier2-v1과 함께 결정적 SHA256 서브샘플링을 사용합니다. 지갑은 다음에 의해 주문됩니다.</w:t>
      </w:r>
    </w:p>
    <w:p>
      <w:pPr>
        <w:pStyle w:val="BodyText"/>
        <w:spacing w:before="72"/>
      </w:pPr>
    </w:p>
    <w:p>
      <w:pPr>
        <w:pStyle w:val="BodyText"/>
        <w:ind w:left="774" w:right="1050"/>
        <w:jc w:val="center"/>
        <w:rPr>
          <w:rFonts w:ascii="Calibri"/>
        </w:rPr>
      </w:pPr>
      <w:r>
        <w:rPr>
          <w:rFonts w:ascii="Calibri"/>
          <w:w w:val="110"/>
        </w:rPr>
        <w:t>SHA256(seed||address)</w:t>
      </w:r>
      <w:r>
        <w:rPr>
          <w:rFonts w:ascii="Calibri"/>
          <w:spacing w:val="-9"/>
          <w:w w:val="110"/>
        </w:rPr>
        <w:t> </w:t>
      </w:r>
      <w:r>
        <w:rPr>
          <w:w w:val="110"/>
        </w:rPr>
        <w:t>with</w:t>
      </w:r>
      <w:r>
        <w:rPr>
          <w:spacing w:val="-16"/>
          <w:w w:val="110"/>
        </w:rPr>
        <w:t> </w:t>
      </w:r>
      <w:r>
        <w:rPr>
          <w:w w:val="110"/>
        </w:rPr>
        <w:t>seed</w:t>
      </w:r>
      <w:r>
        <w:rPr>
          <w:spacing w:val="-15"/>
          <w:w w:val="110"/>
        </w:rPr>
        <w:t> </w:t>
      </w:r>
      <w:r>
        <w:rPr>
          <w:rFonts w:ascii="Calibri"/>
          <w:w w:val="110"/>
        </w:rPr>
        <w:t>benchmark-tier2-</w:t>
      </w:r>
      <w:r>
        <w:rPr>
          <w:rFonts w:ascii="Calibri"/>
          <w:spacing w:val="-5"/>
          <w:w w:val="110"/>
        </w:rPr>
        <w:t>v1</w:t>
      </w:r>
    </w:p>
    <w:p>
      <w:pPr>
        <w:pStyle w:val="BodyText"/>
        <w:ind w:left="774" w:right="1050"/>
        <w:jc w:val="center"/>
        <w:rPr>
          <w:rFonts w:ascii="Calibri"/>
        </w:rPr>
      </w:pPr>
      <w:r>
        <w:rPr>
          <w:i/>
        </w:rPr>
        <w:t>SHA256(seed||address)(시드 벤치마크-tier2-v1 포함)</w:t>
      </w:r>
    </w:p>
    <w:p>
      <w:pPr>
        <w:pStyle w:val="BodyText"/>
        <w:spacing w:line="456" w:lineRule="exact" w:before="236"/>
        <w:ind w:left="282" w:right="524"/>
        <w:jc w:val="both"/>
      </w:pPr>
      <w:r>
        <w:rPr/>
        <w:t>and</w:t>
      </w:r>
      <w:r>
        <w:rPr>
          <w:spacing w:val="-10"/>
        </w:rPr>
        <w:t> </w:t>
      </w:r>
      <w:r>
        <w:rPr/>
        <w:t>the</w:t>
      </w:r>
      <w:r>
        <w:rPr>
          <w:spacing w:val="-10"/>
        </w:rPr>
        <w:t> </w:t>
      </w:r>
      <w:r>
        <w:rPr/>
        <w:t>first</w:t>
      </w:r>
      <w:r>
        <w:rPr>
          <w:spacing w:val="-10"/>
        </w:rPr>
        <w:t> </w:t>
      </w:r>
      <w:r>
        <w:rPr>
          <w:rFonts w:ascii="Calibri" w:hAnsi="Calibri"/>
          <w:i/>
        </w:rPr>
        <w:t>n</w:t>
      </w:r>
      <w:r>
        <w:rPr>
          <w:rFonts w:ascii="Calibri" w:hAnsi="Calibri"/>
          <w:i/>
          <w:spacing w:val="-4"/>
        </w:rPr>
        <w:t> </w:t>
      </w:r>
      <w:r>
        <w:rPr/>
        <w:t>addresses</w:t>
      </w:r>
      <w:r>
        <w:rPr>
          <w:spacing w:val="-10"/>
        </w:rPr>
        <w:t> </w:t>
      </w:r>
      <w:r>
        <w:rPr/>
        <w:t>form</w:t>
      </w:r>
      <w:r>
        <w:rPr>
          <w:spacing w:val="-10"/>
        </w:rPr>
        <w:t> </w:t>
      </w:r>
      <w:r>
        <w:rPr/>
        <w:t>the</w:t>
      </w:r>
      <w:r>
        <w:rPr>
          <w:spacing w:val="-10"/>
        </w:rPr>
        <w:t> </w:t>
      </w:r>
      <w:r>
        <w:rPr/>
        <w:t>subsample.</w:t>
      </w:r>
      <w:r>
        <w:rPr>
          <w:spacing w:val="13"/>
        </w:rPr>
        <w:t> </w:t>
      </w:r>
      <w:r>
        <w:rPr/>
        <w:t>The</w:t>
      </w:r>
      <w:r>
        <w:rPr>
          <w:spacing w:val="-10"/>
        </w:rPr>
        <w:t> </w:t>
      </w:r>
      <w:r>
        <w:rPr/>
        <w:t>seed</w:t>
      </w:r>
      <w:r>
        <w:rPr>
          <w:spacing w:val="-10"/>
        </w:rPr>
        <w:t> </w:t>
      </w:r>
      <w:r>
        <w:rPr/>
        <w:t>string</w:t>
      </w:r>
      <w:r>
        <w:rPr>
          <w:spacing w:val="-10"/>
        </w:rPr>
        <w:t> </w:t>
      </w:r>
      <w:r>
        <w:rPr/>
        <w:t>is</w:t>
      </w:r>
      <w:r>
        <w:rPr>
          <w:spacing w:val="-10"/>
        </w:rPr>
        <w:t> </w:t>
      </w:r>
      <w:r>
        <w:rPr/>
        <w:t>a</w:t>
      </w:r>
      <w:r>
        <w:rPr>
          <w:spacing w:val="-10"/>
        </w:rPr>
        <w:t> </w:t>
      </w:r>
      <w:r>
        <w:rPr/>
        <w:t>fixed</w:t>
      </w:r>
      <w:r>
        <w:rPr>
          <w:spacing w:val="-10"/>
        </w:rPr>
        <w:t> </w:t>
      </w:r>
      <w:r>
        <w:rPr/>
        <w:t>configuration</w:t>
      </w:r>
      <w:r>
        <w:rPr>
          <w:spacing w:val="-10"/>
        </w:rPr>
        <w:t> </w:t>
      </w:r>
      <w:r>
        <w:rPr/>
        <w:t>constant.</w:t>
      </w:r>
      <w:r>
        <w:rPr>
          <w:spacing w:val="13"/>
        </w:rPr>
        <w:t> </w:t>
      </w:r>
      <w:r>
        <w:rPr/>
        <w:t>Re-</w:t>
      </w:r>
      <w:r>
        <w:rPr>
          <w:w w:val="105"/>
        </w:rPr>
        <w:t>ported</w:t>
      </w:r>
      <w:r>
        <w:rPr>
          <w:spacing w:val="-16"/>
          <w:w w:val="105"/>
        </w:rPr>
        <w:t> </w:t>
      </w:r>
      <w:r>
        <w:rPr>
          <w:w w:val="105"/>
        </w:rPr>
        <w:t>stages</w:t>
      </w:r>
      <w:r>
        <w:rPr>
          <w:spacing w:val="-16"/>
          <w:w w:val="105"/>
        </w:rPr>
        <w:t> </w:t>
      </w:r>
      <w:r>
        <w:rPr>
          <w:w w:val="105"/>
        </w:rPr>
        <w:t>include</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14"/>
          <w:w w:val="105"/>
        </w:rPr>
        <w:t> </w:t>
      </w:r>
      <w:r>
        <w:rPr>
          <w:w w:val="105"/>
        </w:rPr>
        <w:t>and</w:t>
      </w:r>
      <w:r>
        <w:rPr>
          <w:spacing w:val="-16"/>
          <w:w w:val="105"/>
        </w:rPr>
        <w:t> </w:t>
      </w:r>
      <w:r>
        <w:rPr>
          <w:w w:val="105"/>
        </w:rPr>
        <w:t>the</w:t>
      </w:r>
      <w:r>
        <w:rPr>
          <w:spacing w:val="-16"/>
          <w:w w:val="105"/>
        </w:rPr>
        <w:t> </w:t>
      </w:r>
      <w:r>
        <w:rPr>
          <w:w w:val="105"/>
        </w:rPr>
        <w:t>full</w:t>
      </w:r>
      <w:r>
        <w:rPr>
          <w:spacing w:val="-15"/>
          <w:w w:val="105"/>
        </w:rPr>
        <w:t> </w:t>
      </w:r>
      <w:r>
        <w:rPr>
          <w:w w:val="105"/>
        </w:rPr>
        <w:t>pool</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i/>
          <w:w w:val="105"/>
        </w:rPr>
        <w:t>N</w:t>
      </w:r>
      <w:r>
        <w:rPr>
          <w:rFonts w:ascii="Calibri" w:hAnsi="Calibri"/>
          <w:i/>
          <w:spacing w:val="-7"/>
          <w:w w:val="105"/>
        </w:rPr>
        <w:t> </w:t>
      </w:r>
      <w:r>
        <w:rPr>
          <w:rFonts w:ascii="Calibri" w:hAnsi="Calibri"/>
          <w:w w:val="125"/>
        </w:rPr>
        <w:t>=</w:t>
      </w:r>
      <w:r>
        <w:rPr>
          <w:rFonts w:ascii="Calibri" w:hAnsi="Calibri"/>
          <w:spacing w:val="-17"/>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6"/>
          <w:w w:val="105"/>
        </w:rPr>
        <w:t> </w:t>
      </w:r>
      <w:r>
        <w:rPr>
          <w:w w:val="105"/>
        </w:rPr>
        <w:t>always</w:t>
      </w:r>
      <w:r>
        <w:rPr>
          <w:spacing w:val="-16"/>
          <w:w w:val="105"/>
        </w:rPr>
        <w:t> </w:t>
      </w:r>
      <w:r>
        <w:rPr>
          <w:w w:val="105"/>
        </w:rPr>
        <w:t>on</w:t>
      </w:r>
      <w:r>
        <w:rPr>
          <w:spacing w:val="-15"/>
          <w:w w:val="105"/>
        </w:rPr>
        <w:t> </w:t>
      </w:r>
      <w:r>
        <w:rPr>
          <w:w w:val="105"/>
        </w:rPr>
        <w:t>the</w:t>
      </w:r>
      <w:r>
        <w:rPr>
          <w:spacing w:val="-16"/>
          <w:w w:val="105"/>
        </w:rPr>
        <w:t> </w:t>
      </w:r>
      <w:r>
        <w:rPr>
          <w:w w:val="105"/>
        </w:rPr>
        <w:t>same</w:t>
      </w:r>
      <w:r>
        <w:rPr>
          <w:spacing w:val="-16"/>
          <w:w w:val="105"/>
        </w:rPr>
        <w:t> </w:t>
      </w:r>
      <w:r>
        <w:rPr>
          <w:w w:val="105"/>
        </w:rPr>
        <w:t>approval </w:t>
      </w:r>
      <w:r>
        <w:rPr/>
        <w:t>and</w:t>
      </w:r>
      <w:r>
        <w:rPr>
          <w:spacing w:val="-7"/>
        </w:rPr>
        <w:t> </w:t>
      </w:r>
      <w:r>
        <w:rPr/>
        <w:t>transfer</w:t>
      </w:r>
      <w:r>
        <w:rPr>
          <w:spacing w:val="-7"/>
        </w:rPr>
        <w:t> </w:t>
      </w:r>
      <w:r>
        <w:rPr/>
        <w:t>parquet. In-cohort</w:t>
      </w:r>
      <w:r>
        <w:rPr>
          <w:spacing w:val="-7"/>
        </w:rPr>
        <w:t> </w:t>
      </w:r>
      <w:r>
        <w:rPr/>
        <w:t>scaling</w:t>
      </w:r>
      <w:r>
        <w:rPr>
          <w:spacing w:val="-7"/>
        </w:rPr>
        <w:t> </w:t>
      </w:r>
      <w:r>
        <w:rPr/>
        <w:t>stages</w:t>
      </w:r>
      <w:r>
        <w:rPr>
          <w:spacing w:val="-7"/>
        </w:rPr>
        <w:t> </w:t>
      </w:r>
      <w:r>
        <w:rPr/>
        <w:t>with</w:t>
      </w:r>
      <w:r>
        <w:rPr>
          <w:spacing w:val="-7"/>
        </w:rPr>
        <w:t> </w:t>
      </w:r>
      <w:r>
        <w:rPr>
          <w:rFonts w:ascii="Calibri" w:hAnsi="Calibri"/>
          <w:i/>
        </w:rPr>
        <w:t>n </w:t>
      </w:r>
      <w:r>
        <w:rPr>
          <w:rFonts w:ascii="Lucida Sans Unicode" w:hAnsi="Lucida Sans Unicode"/>
        </w:rPr>
        <w:t>≤</w:t>
      </w:r>
      <w:r>
        <w:rPr>
          <w:rFonts w:ascii="Lucida Sans Unicode" w:hAnsi="Lucida Sans Unicode"/>
          <w:spacing w:val="-15"/>
        </w:rPr>
        <w:t> </w:t>
      </w:r>
      <w:r>
        <w:rPr>
          <w:rFonts w:ascii="Calibri" w:hAnsi="Calibri"/>
        </w:rPr>
        <w:t>5</w:t>
      </w:r>
      <w:r>
        <w:rPr>
          <w:rFonts w:ascii="Calibri" w:hAnsi="Calibri"/>
          <w:i/>
        </w:rPr>
        <w:t>,</w:t>
      </w:r>
      <w:r>
        <w:rPr>
          <w:rFonts w:ascii="Calibri" w:hAnsi="Calibri"/>
        </w:rPr>
        <w:t>521 </w:t>
      </w:r>
      <w:r>
        <w:rPr/>
        <w:t>are</w:t>
      </w:r>
      <w:r>
        <w:rPr>
          <w:spacing w:val="-7"/>
        </w:rPr>
        <w:t> </w:t>
      </w:r>
      <w:r>
        <w:rPr/>
        <w:t>reported</w:t>
      </w:r>
      <w:r>
        <w:rPr>
          <w:spacing w:val="-7"/>
        </w:rPr>
        <w:t> </w:t>
      </w:r>
      <w:r>
        <w:rPr/>
        <w:t>in</w:t>
      </w:r>
      <w:r>
        <w:rPr>
          <w:spacing w:val="-7"/>
        </w:rPr>
        <w:t> </w:t>
      </w:r>
      <w:r>
        <w:rPr/>
        <w:t>Appendix</w:t>
      </w:r>
      <w:r>
        <w:rPr>
          <w:spacing w:val="-7"/>
        </w:rPr>
        <w:t> </w:t>
      </w:r>
      <w:hyperlink w:history="true" w:anchor="_bookmark198">
        <w:r>
          <w:rPr/>
          <w:t>8.1</w:t>
        </w:r>
      </w:hyperlink>
      <w:r>
        <w:rPr/>
        <w:t>. Deter-</w:t>
      </w:r>
      <w:bookmarkStart w:name="Damping sensitivity" w:id="136"/>
      <w:bookmarkEnd w:id="136"/>
      <w:r>
        <w:rPr/>
        <w:t>ministic</w:t>
      </w:r>
      <w:r>
        <w:rPr/>
        <w:t> hashing avoids the non-reproducibility of pseudorandom draws across library versions.</w:t>
      </w:r>
    </w:p>
    <w:p>
      <w:pPr>
        <w:pStyle w:val="BodyText"/>
        <w:spacing w:line="456" w:lineRule="exact" w:before="236"/>
        <w:ind w:left="282" w:right="524"/>
        <w:jc w:val="both"/>
      </w:pPr>
      <w:r>
        <w:rPr>
          <w:i/>
        </w:rPr>
        <w:t>처음 n개의 주소가 하위 샘플을 형성합니다. 시드 문자열은 고정된 구성 상수입니다. 보고된 단계에는 n = 10,000 및 전체 풀 n = N = 31,612가 포함되며 항상 동일한 승인 및 전송 마루에 있습니다. n ≤ 5,521인 코호트 내 확장 단계는 부록 8.1에 보고되어 있습니다. 결정적 해싱은 라이브러리 버전 전반에 걸쳐 의사 난수 그리기의 재현 불가능성을 방지합니다.</w:t>
      </w:r>
    </w:p>
    <w:p>
      <w:pPr>
        <w:pStyle w:val="BodyText"/>
        <w:spacing w:before="147"/>
      </w:pPr>
    </w:p>
    <w:p>
      <w:pPr>
        <w:pStyle w:val="Heading4"/>
        <w:numPr>
          <w:ilvl w:val="2"/>
          <w:numId w:val="8"/>
        </w:numPr>
        <w:tabs>
          <w:tab w:pos="998" w:val="left" w:leader="none"/>
        </w:tabs>
        <w:spacing w:line="240" w:lineRule="auto" w:before="0" w:after="0"/>
        <w:ind w:left="998" w:right="0" w:hanging="716"/>
        <w:jc w:val="both"/>
      </w:pPr>
      <w:r>
        <w:rPr/>
        <w:t>Damping</w:t>
      </w:r>
      <w:r>
        <w:rPr>
          <w:spacing w:val="-11"/>
        </w:rPr>
        <w:t> </w:t>
      </w:r>
      <w:r>
        <w:rPr>
          <w:spacing w:val="-2"/>
        </w:rPr>
        <w:t>sensitivity</w:t>
      </w:r>
    </w:p>
    <w:p>
      <w:pPr>
        <w:pStyle w:val="Heading4"/>
        <w:numPr>
          <w:ilvl w:val="2"/>
          <w:numId w:val="8"/>
        </w:numPr>
        <w:tabs>
          <w:tab w:pos="998" w:val="left" w:leader="none"/>
        </w:tabs>
        <w:spacing w:line="240" w:lineRule="auto" w:before="0" w:after="0"/>
        <w:ind w:left="998" w:right="0" w:hanging="716"/>
        <w:jc w:val="both"/>
      </w:pPr>
      <w:r>
        <w:rPr>
          <w:i/>
        </w:rPr>
        <w:t>감쇠감도</w:t>
      </w:r>
    </w:p>
    <w:p>
      <w:pPr>
        <w:pStyle w:val="BodyText"/>
        <w:spacing w:line="456" w:lineRule="exact" w:before="182"/>
        <w:ind w:left="282" w:right="564"/>
        <w:jc w:val="both"/>
      </w:pPr>
      <w:r>
        <w:rPr/>
        <w:t>PageRank damping is swept over </w:t>
      </w:r>
      <w:r>
        <w:rPr>
          <w:rFonts w:ascii="Calibri" w:hAnsi="Calibri"/>
          <w:i/>
        </w:rPr>
        <w:t>d</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rFonts w:ascii="Lucida Sans Unicode" w:hAnsi="Lucida Sans Unicode"/>
          <w:spacing w:val="-1"/>
        </w:rPr>
        <w:t> </w:t>
      </w:r>
      <w:r>
        <w:rPr/>
        <w:t>on the matched cohort, holding graphs and</w:t>
      </w:r>
      <w:r>
        <w:rPr>
          <w:spacing w:val="-5"/>
        </w:rPr>
        <w:t> </w:t>
      </w:r>
      <w:r>
        <w:rPr/>
        <w:t>proxies</w:t>
      </w:r>
      <w:r>
        <w:rPr>
          <w:spacing w:val="-4"/>
        </w:rPr>
        <w:t> </w:t>
      </w:r>
      <w:r>
        <w:rPr/>
        <w:t>fixed. The</w:t>
      </w:r>
      <w:r>
        <w:rPr>
          <w:spacing w:val="-4"/>
        </w:rPr>
        <w:t> </w:t>
      </w:r>
      <w:r>
        <w:rPr/>
        <w:t>default</w:t>
      </w:r>
      <w:r>
        <w:rPr>
          <w:spacing w:val="-4"/>
        </w:rPr>
        <w:t> </w:t>
      </w:r>
      <w:r>
        <w:rPr>
          <w:rFonts w:ascii="Calibri" w:hAnsi="Calibri"/>
          <w:i/>
        </w:rPr>
        <w:t>d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85 </w:t>
      </w:r>
      <w:r>
        <w:rPr/>
        <w:t>matches</w:t>
      </w:r>
      <w:r>
        <w:rPr>
          <w:spacing w:val="-5"/>
        </w:rPr>
        <w:t> </w:t>
      </w:r>
      <w:r>
        <w:rPr/>
        <w:t>the</w:t>
      </w:r>
      <w:r>
        <w:rPr>
          <w:spacing w:val="-4"/>
        </w:rPr>
        <w:t> </w:t>
      </w:r>
      <w:r>
        <w:rPr/>
        <w:t>classical</w:t>
      </w:r>
      <w:r>
        <w:rPr>
          <w:spacing w:val="-4"/>
        </w:rPr>
        <w:t> </w:t>
      </w:r>
      <w:r>
        <w:rPr/>
        <w:t>web</w:t>
      </w:r>
      <w:r>
        <w:rPr>
          <w:spacing w:val="-4"/>
        </w:rPr>
        <w:t> </w:t>
      </w:r>
      <w:r>
        <w:rPr/>
        <w:t>PageRank</w:t>
      </w:r>
      <w:r>
        <w:rPr>
          <w:spacing w:val="-5"/>
        </w:rPr>
        <w:t> </w:t>
      </w:r>
      <w:r>
        <w:rPr/>
        <w:t>setting</w:t>
      </w:r>
      <w:r>
        <w:rPr>
          <w:spacing w:val="-4"/>
        </w:rPr>
        <w:t> </w:t>
      </w:r>
      <w:hyperlink w:history="true" w:anchor="_bookmark182">
        <w:r>
          <w:rPr>
            <w:vertAlign w:val="superscript"/>
          </w:rPr>
          <w:t>[49]</w:t>
        </w:r>
      </w:hyperlink>
      <w:r>
        <w:rPr>
          <w:vertAlign w:val="baseline"/>
        </w:rPr>
        <w:t> and</w:t>
      </w:r>
      <w:r>
        <w:rPr>
          <w:spacing w:val="-5"/>
          <w:vertAlign w:val="baseline"/>
        </w:rPr>
        <w:t> </w:t>
      </w:r>
      <w:r>
        <w:rPr>
          <w:vertAlign w:val="baseline"/>
        </w:rPr>
        <w:t>Do</w:t>
      </w:r>
      <w:r>
        <w:rPr>
          <w:spacing w:val="-4"/>
          <w:vertAlign w:val="baseline"/>
        </w:rPr>
        <w:t> </w:t>
      </w:r>
      <w:r>
        <w:rPr>
          <w:vertAlign w:val="baseline"/>
        </w:rPr>
        <w:t>et al.</w:t>
      </w:r>
      <w:hyperlink w:history="true" w:anchor="_bookmark149">
        <w:r>
          <w:rPr>
            <w:vertAlign w:val="superscript"/>
          </w:rPr>
          <w:t>[16]</w:t>
        </w:r>
      </w:hyperlink>
      <w:r>
        <w:rPr>
          <w:vertAlign w:val="baseline"/>
        </w:rPr>
        <w:t>.</w:t>
      </w:r>
      <w:r>
        <w:rPr>
          <w:spacing w:val="9"/>
          <w:vertAlign w:val="baseline"/>
        </w:rPr>
        <w:t> </w:t>
      </w:r>
      <w:r>
        <w:rPr>
          <w:vertAlign w:val="baseline"/>
        </w:rPr>
        <w:t>Lower</w:t>
      </w:r>
      <w:r>
        <w:rPr>
          <w:spacing w:val="-15"/>
          <w:vertAlign w:val="baseline"/>
        </w:rPr>
        <w:t> </w:t>
      </w:r>
      <w:r>
        <w:rPr>
          <w:rFonts w:ascii="Calibri" w:hAnsi="Calibri"/>
          <w:i/>
          <w:vertAlign w:val="baseline"/>
        </w:rPr>
        <w:t>d</w:t>
      </w:r>
      <w:r>
        <w:rPr>
          <w:rFonts w:ascii="Calibri" w:hAnsi="Calibri"/>
          <w:i/>
          <w:spacing w:val="-9"/>
          <w:vertAlign w:val="baseline"/>
        </w:rPr>
        <w:t> </w:t>
      </w:r>
      <w:r>
        <w:rPr>
          <w:vertAlign w:val="baseline"/>
        </w:rPr>
        <w:t>increases</w:t>
      </w:r>
      <w:r>
        <w:rPr>
          <w:spacing w:val="-15"/>
          <w:vertAlign w:val="baseline"/>
        </w:rPr>
        <w:t> </w:t>
      </w:r>
      <w:r>
        <w:rPr>
          <w:vertAlign w:val="baseline"/>
        </w:rPr>
        <w:t>teleportation</w:t>
      </w:r>
      <w:r>
        <w:rPr>
          <w:spacing w:val="-15"/>
          <w:vertAlign w:val="baseline"/>
        </w:rPr>
        <w:t> </w:t>
      </w:r>
      <w:r>
        <w:rPr>
          <w:vertAlign w:val="baseline"/>
        </w:rPr>
        <w:t>and</w:t>
      </w:r>
      <w:r>
        <w:rPr>
          <w:spacing w:val="-15"/>
          <w:vertAlign w:val="baseline"/>
        </w:rPr>
        <w:t> </w:t>
      </w:r>
      <w:r>
        <w:rPr>
          <w:vertAlign w:val="baseline"/>
        </w:rPr>
        <w:t>flattens</w:t>
      </w:r>
      <w:r>
        <w:rPr>
          <w:spacing w:val="-15"/>
          <w:vertAlign w:val="baseline"/>
        </w:rPr>
        <w:t> </w:t>
      </w:r>
      <w:r>
        <w:rPr>
          <w:vertAlign w:val="baseline"/>
        </w:rPr>
        <w:t>scores;</w:t>
      </w:r>
      <w:r>
        <w:rPr>
          <w:spacing w:val="-12"/>
          <w:vertAlign w:val="baseline"/>
        </w:rPr>
        <w:t> </w:t>
      </w:r>
      <w:r>
        <w:rPr>
          <w:vertAlign w:val="baseline"/>
        </w:rPr>
        <w:t>higher</w:t>
      </w:r>
      <w:r>
        <w:rPr>
          <w:spacing w:val="-15"/>
          <w:vertAlign w:val="baseline"/>
        </w:rPr>
        <w:t> </w:t>
      </w:r>
      <w:r>
        <w:rPr>
          <w:rFonts w:ascii="Calibri" w:hAnsi="Calibri"/>
          <w:i/>
          <w:vertAlign w:val="baseline"/>
        </w:rPr>
        <w:t>d</w:t>
      </w:r>
      <w:r>
        <w:rPr>
          <w:rFonts w:ascii="Calibri" w:hAnsi="Calibri"/>
          <w:i/>
          <w:spacing w:val="-9"/>
          <w:vertAlign w:val="baseline"/>
        </w:rPr>
        <w:t> </w:t>
      </w:r>
      <w:r>
        <w:rPr>
          <w:vertAlign w:val="baseline"/>
        </w:rPr>
        <w:t>emphasizes</w:t>
      </w:r>
      <w:r>
        <w:rPr>
          <w:spacing w:val="-15"/>
          <w:vertAlign w:val="baseline"/>
        </w:rPr>
        <w:t> </w:t>
      </w:r>
      <w:r>
        <w:rPr>
          <w:vertAlign w:val="baseline"/>
        </w:rPr>
        <w:t>multi-hop</w:t>
      </w:r>
      <w:r>
        <w:rPr>
          <w:spacing w:val="-15"/>
          <w:vertAlign w:val="baseline"/>
        </w:rPr>
        <w:t> </w:t>
      </w:r>
      <w:r>
        <w:rPr>
          <w:vertAlign w:val="baseline"/>
        </w:rPr>
        <w:t>structure and</w:t>
      </w:r>
      <w:r>
        <w:rPr>
          <w:spacing w:val="-8"/>
          <w:vertAlign w:val="baseline"/>
        </w:rPr>
        <w:t> </w:t>
      </w:r>
      <w:r>
        <w:rPr>
          <w:vertAlign w:val="baseline"/>
        </w:rPr>
        <w:t>can</w:t>
      </w:r>
      <w:r>
        <w:rPr>
          <w:spacing w:val="-7"/>
          <w:vertAlign w:val="baseline"/>
        </w:rPr>
        <w:t> </w:t>
      </w:r>
      <w:r>
        <w:rPr>
          <w:vertAlign w:val="baseline"/>
        </w:rPr>
        <w:t>slow</w:t>
      </w:r>
      <w:r>
        <w:rPr>
          <w:spacing w:val="-7"/>
          <w:vertAlign w:val="baseline"/>
        </w:rPr>
        <w:t> </w:t>
      </w:r>
      <w:r>
        <w:rPr>
          <w:vertAlign w:val="baseline"/>
        </w:rPr>
        <w:t>convergence. The</w:t>
      </w:r>
      <w:r>
        <w:rPr>
          <w:spacing w:val="-8"/>
          <w:vertAlign w:val="baseline"/>
        </w:rPr>
        <w:t> </w:t>
      </w:r>
      <w:r>
        <w:rPr>
          <w:vertAlign w:val="baseline"/>
        </w:rPr>
        <w:t>sweep</w:t>
      </w:r>
      <w:r>
        <w:rPr>
          <w:spacing w:val="-7"/>
          <w:vertAlign w:val="baseline"/>
        </w:rPr>
        <w:t> </w:t>
      </w:r>
      <w:r>
        <w:rPr>
          <w:vertAlign w:val="baseline"/>
        </w:rPr>
        <w:t>tests</w:t>
      </w:r>
      <w:r>
        <w:rPr>
          <w:spacing w:val="-7"/>
          <w:vertAlign w:val="baseline"/>
        </w:rPr>
        <w:t> </w:t>
      </w:r>
      <w:r>
        <w:rPr>
          <w:vertAlign w:val="baseline"/>
        </w:rPr>
        <w:t>whether</w:t>
      </w:r>
      <w:r>
        <w:rPr>
          <w:spacing w:val="-7"/>
          <w:vertAlign w:val="baseline"/>
        </w:rPr>
        <w:t> </w:t>
      </w:r>
      <w:r>
        <w:rPr>
          <w:vertAlign w:val="baseline"/>
        </w:rPr>
        <w:t>allowance-</w:t>
      </w:r>
      <w:r>
        <w:rPr>
          <w:spacing w:val="-7"/>
          <w:vertAlign w:val="baseline"/>
        </w:rPr>
        <w:t> </w:t>
      </w:r>
      <w:r>
        <w:rPr>
          <w:vertAlign w:val="baseline"/>
        </w:rPr>
        <w:t>and</w:t>
      </w:r>
      <w:r>
        <w:rPr>
          <w:spacing w:val="-7"/>
          <w:vertAlign w:val="baseline"/>
        </w:rPr>
        <w:t> </w:t>
      </w:r>
      <w:r>
        <w:rPr>
          <w:vertAlign w:val="baseline"/>
        </w:rPr>
        <w:t>transfer-family</w:t>
      </w:r>
      <w:r>
        <w:rPr>
          <w:spacing w:val="-8"/>
          <w:vertAlign w:val="baseline"/>
        </w:rPr>
        <w:t> </w:t>
      </w:r>
      <w:r>
        <w:rPr>
          <w:vertAlign w:val="baseline"/>
        </w:rPr>
        <w:t>alignment</w:t>
      </w:r>
      <w:r>
        <w:rPr>
          <w:spacing w:val="-7"/>
          <w:vertAlign w:val="baseline"/>
        </w:rPr>
        <w:t> </w:t>
      </w:r>
      <w:r>
        <w:rPr>
          <w:vertAlign w:val="baseline"/>
        </w:rPr>
        <w:t>are </w:t>
      </w:r>
      <w:bookmarkStart w:name="Top-token subgraph" w:id="137"/>
      <w:bookmarkEnd w:id="137"/>
      <w:r>
        <w:rPr>
          <w:vertAlign w:val="baseline"/>
        </w:rPr>
        <w:t>artifact</w:t>
      </w:r>
      <w:r>
        <w:rPr>
          <w:vertAlign w:val="baseline"/>
        </w:rPr>
        <w:t>s of a single teleportation weight.</w:t>
      </w:r>
    </w:p>
    <w:p>
      <w:pPr>
        <w:pStyle w:val="BodyText"/>
        <w:spacing w:line="456" w:lineRule="exact" w:before="182"/>
        <w:ind w:left="282" w:right="564"/>
        <w:jc w:val="both"/>
      </w:pPr>
      <w:r>
        <w:rPr>
          <w:i/>
        </w:rPr>
        <w:t>PageRank 감쇠는 일치하는 코호트에서 d ∈ {0.75, 0.85, 0.95}로 스윕되어 그래프와 프록시가 고정됩니다. 기본 d = 0.85는 기존 웹 PageRank 설정[49] 및 Do et al.[16]과 일치합니다. d가 낮을수록 순간 이동이 증가하고 점수가 평탄해지며, d가 높을수록 다중 홉 구조가 강조되고 수렴 속도가 느려질 수 있습니다. 스윕은 수당 및 이전 가족 정렬이 단일 순간 이동 가중치의 인공물인지 여부를 테스트합니다.</w:t>
      </w:r>
    </w:p>
    <w:p>
      <w:pPr>
        <w:pStyle w:val="BodyText"/>
        <w:spacing w:before="147"/>
      </w:pPr>
    </w:p>
    <w:p>
      <w:pPr>
        <w:pStyle w:val="Heading4"/>
        <w:numPr>
          <w:ilvl w:val="2"/>
          <w:numId w:val="8"/>
        </w:numPr>
        <w:tabs>
          <w:tab w:pos="998" w:val="left" w:leader="none"/>
        </w:tabs>
        <w:spacing w:line="240" w:lineRule="auto" w:before="0" w:after="0"/>
        <w:ind w:left="998" w:right="0" w:hanging="716"/>
        <w:jc w:val="both"/>
      </w:pPr>
      <w:r>
        <w:rPr>
          <w:spacing w:val="-4"/>
        </w:rPr>
        <w:t>Top-token</w:t>
      </w:r>
      <w:r>
        <w:rPr>
          <w:spacing w:val="-5"/>
        </w:rPr>
        <w:t> </w:t>
      </w:r>
      <w:r>
        <w:rPr>
          <w:spacing w:val="-4"/>
        </w:rPr>
        <w:t>subgraph</w:t>
      </w:r>
    </w:p>
    <w:p>
      <w:pPr>
        <w:pStyle w:val="Heading4"/>
        <w:numPr>
          <w:ilvl w:val="2"/>
          <w:numId w:val="8"/>
        </w:numPr>
        <w:tabs>
          <w:tab w:pos="998" w:val="left" w:leader="none"/>
        </w:tabs>
        <w:spacing w:line="240" w:lineRule="auto" w:before="0" w:after="0"/>
        <w:ind w:left="998" w:right="0" w:hanging="716"/>
        <w:jc w:val="both"/>
      </w:pPr>
      <w:r>
        <w:rPr>
          <w:i/>
        </w:rPr>
        <w:t>최상위 토큰 하위 그래프</w:t>
      </w:r>
    </w:p>
    <w:p>
      <w:pPr>
        <w:pStyle w:val="BodyText"/>
        <w:spacing w:before="42"/>
        <w:rPr>
          <w:b/>
        </w:rPr>
      </w:pPr>
    </w:p>
    <w:p>
      <w:pPr>
        <w:pStyle w:val="BodyText"/>
        <w:spacing w:line="391" w:lineRule="auto"/>
        <w:ind w:left="273" w:right="543"/>
        <w:jc w:val="both"/>
      </w:pPr>
      <w:r>
        <w:rPr/>
        <w:t>A</w:t>
      </w:r>
      <w:r>
        <w:rPr>
          <w:spacing w:val="-2"/>
        </w:rPr>
        <w:t> </w:t>
      </w:r>
      <w:r>
        <w:rPr/>
        <w:t>restricted</w:t>
      </w:r>
      <w:r>
        <w:rPr>
          <w:spacing w:val="-2"/>
        </w:rPr>
        <w:t> </w:t>
      </w:r>
      <w:r>
        <w:rPr/>
        <w:t>subgraph</w:t>
      </w:r>
      <w:r>
        <w:rPr>
          <w:spacing w:val="-2"/>
        </w:rPr>
        <w:t> </w:t>
      </w:r>
      <w:r>
        <w:rPr/>
        <w:t>retains</w:t>
      </w:r>
      <w:r>
        <w:rPr>
          <w:spacing w:val="-1"/>
        </w:rPr>
        <w:t> </w:t>
      </w:r>
      <w:r>
        <w:rPr/>
        <w:t>only</w:t>
      </w:r>
      <w:r>
        <w:rPr>
          <w:spacing w:val="-2"/>
        </w:rPr>
        <w:t> </w:t>
      </w:r>
      <w:r>
        <w:rPr/>
        <w:t>the</w:t>
      </w:r>
      <w:r>
        <w:rPr>
          <w:spacing w:val="-2"/>
        </w:rPr>
        <w:t> </w:t>
      </w:r>
      <w:r>
        <w:rPr/>
        <w:t>top-</w:t>
      </w:r>
      <w:r>
        <w:rPr>
          <w:rFonts w:ascii="Calibri" w:hAnsi="Calibri"/>
        </w:rPr>
        <w:t>20 </w:t>
      </w:r>
      <w:r>
        <w:rPr/>
        <w:t>ERC-20</w:t>
      </w:r>
      <w:r>
        <w:rPr>
          <w:spacing w:val="-2"/>
        </w:rPr>
        <w:t> </w:t>
      </w:r>
      <w:r>
        <w:rPr/>
        <w:t>tokens</w:t>
      </w:r>
      <w:r>
        <w:rPr>
          <w:spacing w:val="-2"/>
        </w:rPr>
        <w:t> </w:t>
      </w:r>
      <w:r>
        <w:rPr/>
        <w:t>by</w:t>
      </w:r>
      <w:r>
        <w:rPr>
          <w:spacing w:val="-2"/>
        </w:rPr>
        <w:t> </w:t>
      </w:r>
      <w:r>
        <w:rPr/>
        <w:t>combined</w:t>
      </w:r>
      <w:r>
        <w:rPr>
          <w:spacing w:val="-2"/>
        </w:rPr>
        <w:t> </w:t>
      </w:r>
      <w:r>
        <w:rPr/>
        <w:t>transfer</w:t>
      </w:r>
      <w:r>
        <w:rPr>
          <w:spacing w:val="-1"/>
        </w:rPr>
        <w:t> </w:t>
      </w:r>
      <w:r>
        <w:rPr/>
        <w:t>and</w:t>
      </w:r>
      <w:r>
        <w:rPr>
          <w:spacing w:val="-2"/>
        </w:rPr>
        <w:t> </w:t>
      </w:r>
      <w:r>
        <w:rPr/>
        <w:t>allowance </w:t>
      </w:r>
      <w:r>
        <w:rPr>
          <w:spacing w:val="-2"/>
        </w:rPr>
        <w:t>volume</w:t>
      </w:r>
      <w:r>
        <w:rPr>
          <w:spacing w:val="-11"/>
        </w:rPr>
        <w:t> </w:t>
      </w:r>
      <w:r>
        <w:rPr>
          <w:spacing w:val="-2"/>
        </w:rPr>
        <w:t>within</w:t>
      </w:r>
      <w:r>
        <w:rPr>
          <w:spacing w:val="-11"/>
        </w:rPr>
        <w:t> </w:t>
      </w:r>
      <w:r>
        <w:rPr>
          <w:spacing w:val="-2"/>
        </w:rPr>
        <w:t>the</w:t>
      </w:r>
      <w:r>
        <w:rPr>
          <w:spacing w:val="-11"/>
        </w:rPr>
        <w:t> </w:t>
      </w:r>
      <w:r>
        <w:rPr>
          <w:spacing w:val="-2"/>
        </w:rPr>
        <w:t>observation</w:t>
      </w:r>
      <w:r>
        <w:rPr>
          <w:spacing w:val="-11"/>
        </w:rPr>
        <w:t> </w:t>
      </w:r>
      <w:r>
        <w:rPr>
          <w:spacing w:val="-2"/>
        </w:rPr>
        <w:t>window.</w:t>
      </w:r>
      <w:r>
        <w:rPr>
          <w:spacing w:val="25"/>
        </w:rPr>
        <w:t> </w:t>
      </w:r>
      <w:r>
        <w:rPr>
          <w:spacing w:val="-2"/>
        </w:rPr>
        <w:t>EndorseRank</w:t>
      </w:r>
      <w:r>
        <w:rPr>
          <w:spacing w:val="-11"/>
        </w:rPr>
        <w:t> </w:t>
      </w:r>
      <w:r>
        <w:rPr>
          <w:spacing w:val="-2"/>
        </w:rPr>
        <w:t>and</w:t>
      </w:r>
      <w:r>
        <w:rPr>
          <w:spacing w:val="-11"/>
        </w:rPr>
        <w:t> </w:t>
      </w:r>
      <w:r>
        <w:rPr>
          <w:spacing w:val="-2"/>
        </w:rPr>
        <w:t>AWP</w:t>
      </w:r>
      <w:r>
        <w:rPr>
          <w:spacing w:val="-11"/>
        </w:rPr>
        <w:t> </w:t>
      </w:r>
      <w:r>
        <w:rPr>
          <w:spacing w:val="-2"/>
        </w:rPr>
        <w:t>are</w:t>
      </w:r>
      <w:r>
        <w:rPr>
          <w:spacing w:val="-11"/>
        </w:rPr>
        <w:t> </w:t>
      </w:r>
      <w:r>
        <w:rPr>
          <w:spacing w:val="-2"/>
        </w:rPr>
        <w:t>recomputed</w:t>
      </w:r>
      <w:r>
        <w:rPr>
          <w:spacing w:val="-11"/>
        </w:rPr>
        <w:t> </w:t>
      </w:r>
      <w:r>
        <w:rPr>
          <w:spacing w:val="-2"/>
        </w:rPr>
        <w:t>on</w:t>
      </w:r>
      <w:r>
        <w:rPr>
          <w:spacing w:val="-11"/>
        </w:rPr>
        <w:t> </w:t>
      </w:r>
      <w:r>
        <w:rPr>
          <w:spacing w:val="-2"/>
        </w:rPr>
        <w:t>this</w:t>
      </w:r>
      <w:r>
        <w:rPr>
          <w:spacing w:val="-11"/>
        </w:rPr>
        <w:t> </w:t>
      </w:r>
      <w:r>
        <w:rPr>
          <w:spacing w:val="-2"/>
        </w:rPr>
        <w:t>subgraph</w:t>
      </w:r>
      <w:r>
        <w:rPr>
          <w:spacing w:val="-11"/>
        </w:rPr>
        <w:t> </w:t>
      </w:r>
      <w:r>
        <w:rPr>
          <w:spacing w:val="-2"/>
        </w:rPr>
        <w:t>to </w:t>
      </w:r>
      <w:r>
        <w:rPr/>
        <w:t>assess</w:t>
      </w:r>
      <w:r>
        <w:rPr>
          <w:spacing w:val="-2"/>
        </w:rPr>
        <w:t> </w:t>
      </w:r>
      <w:r>
        <w:rPr/>
        <w:t>sensitivity</w:t>
      </w:r>
      <w:r>
        <w:rPr>
          <w:spacing w:val="-1"/>
        </w:rPr>
        <w:t> </w:t>
      </w:r>
      <w:r>
        <w:rPr/>
        <w:t>to</w:t>
      </w:r>
      <w:r>
        <w:rPr>
          <w:spacing w:val="-1"/>
        </w:rPr>
        <w:t> </w:t>
      </w:r>
      <w:r>
        <w:rPr/>
        <w:t>long-tail</w:t>
      </w:r>
      <w:r>
        <w:rPr>
          <w:spacing w:val="-1"/>
        </w:rPr>
        <w:t> </w:t>
      </w:r>
      <w:r>
        <w:rPr/>
        <w:t>tokens</w:t>
      </w:r>
      <w:r>
        <w:rPr>
          <w:spacing w:val="-1"/>
        </w:rPr>
        <w:t> </w:t>
      </w:r>
      <w:r>
        <w:rPr/>
        <w:t>and</w:t>
      </w:r>
      <w:r>
        <w:rPr>
          <w:spacing w:val="-1"/>
        </w:rPr>
        <w:t> </w:t>
      </w:r>
      <w:r>
        <w:rPr/>
        <w:t>possible</w:t>
      </w:r>
      <w:r>
        <w:rPr>
          <w:spacing w:val="-1"/>
        </w:rPr>
        <w:t> </w:t>
      </w:r>
      <w:r>
        <w:rPr/>
        <w:t>spam</w:t>
      </w:r>
      <w:r>
        <w:rPr>
          <w:spacing w:val="-1"/>
        </w:rPr>
        <w:t> </w:t>
      </w:r>
      <w:r>
        <w:rPr/>
        <w:t>assets.</w:t>
      </w:r>
      <w:r>
        <w:rPr>
          <w:spacing w:val="22"/>
        </w:rPr>
        <w:t> </w:t>
      </w:r>
      <w:r>
        <w:rPr/>
        <w:t>If</w:t>
      </w:r>
      <w:r>
        <w:rPr>
          <w:spacing w:val="-1"/>
        </w:rPr>
        <w:t> </w:t>
      </w:r>
      <w:r>
        <w:rPr/>
        <w:t>family-level</w:t>
      </w:r>
      <w:r>
        <w:rPr>
          <w:spacing w:val="-1"/>
        </w:rPr>
        <w:t> </w:t>
      </w:r>
      <w:r>
        <w:rPr/>
        <w:t>conclusions</w:t>
      </w:r>
      <w:r>
        <w:rPr>
          <w:spacing w:val="-1"/>
        </w:rPr>
        <w:t> </w:t>
      </w:r>
      <w:r>
        <w:rPr/>
        <w:t>reverse when low-volume tokens are removed, the primary result would be fragile to token composition; </w:t>
      </w:r>
      <w:bookmarkStart w:name="Sample-size sensitivity" w:id="138"/>
      <w:bookmarkEnd w:id="138"/>
      <w:r>
        <w:rPr/>
        <w:t>stability</w:t>
      </w:r>
      <w:r>
        <w:rPr/>
        <w:t> supports interpreting the full-token graphs as representative of major economic activity.</w:t>
      </w:r>
    </w:p>
    <w:p>
      <w:pPr>
        <w:pStyle w:val="BodyText"/>
        <w:spacing w:line="391" w:lineRule="auto"/>
        <w:ind w:left="273" w:right="543"/>
        <w:jc w:val="both"/>
      </w:pPr>
      <w:r>
        <w:rPr>
          <w:i/>
        </w:rPr>
        <w:t>제한된 하위 그래프는 관찰 창 내에서 전송 및 허용량을 합친 상위 20개 ERC-20 토큰만 유지합니다. EndorseRank 및 AWP는 롱테일 토큰 및 가능한 스팸 자산에 대한 민감도를 평가하기 위해 이 하위 그래프에서 다시 계산됩니다. 소량의 토큰이 제거될 때 패밀리 수준의 결론이 뒤집히면 기본 결과는 토큰 구성에 취약할 수 있습니다. 안정성은 전체 토큰 그래프를 주요 경제 활동을 대표하는 것으로 해석하는 것을 지원합니다.</w:t>
      </w:r>
    </w:p>
    <w:p>
      <w:pPr>
        <w:pStyle w:val="BodyText"/>
        <w:spacing w:after="0" w:line="391" w:lineRule="auto"/>
        <w:jc w:val="both"/>
        <w:sectPr>
          <w:pgSz w:w="11910" w:h="16840"/>
          <w:pgMar w:header="0" w:footer="2115" w:top="1920" w:bottom="2300" w:left="992" w:right="708"/>
        </w:sectPr>
      </w:pPr>
    </w:p>
    <w:p>
      <w:pPr>
        <w:pStyle w:val="Heading4"/>
        <w:numPr>
          <w:ilvl w:val="2"/>
          <w:numId w:val="8"/>
        </w:numPr>
        <w:tabs>
          <w:tab w:pos="998" w:val="left" w:leader="none"/>
        </w:tabs>
        <w:spacing w:line="240" w:lineRule="auto" w:before="73" w:after="0"/>
        <w:ind w:left="998" w:right="0" w:hanging="716"/>
        <w:jc w:val="both"/>
      </w:pPr>
      <w:r>
        <w:rPr/>
        <w:t>Sample-size</w:t>
      </w:r>
      <w:r>
        <w:rPr>
          <w:spacing w:val="-14"/>
        </w:rPr>
        <w:t> </w:t>
      </w:r>
      <w:r>
        <w:rPr>
          <w:spacing w:val="-2"/>
        </w:rPr>
        <w:t>sensitivity</w:t>
      </w:r>
    </w:p>
    <w:p>
      <w:pPr>
        <w:pStyle w:val="Heading4"/>
        <w:numPr>
          <w:ilvl w:val="2"/>
          <w:numId w:val="8"/>
        </w:numPr>
        <w:tabs>
          <w:tab w:pos="998" w:val="left" w:leader="none"/>
        </w:tabs>
        <w:spacing w:line="240" w:lineRule="auto" w:before="73" w:after="0"/>
        <w:ind w:left="998" w:right="0" w:hanging="716"/>
        <w:jc w:val="both"/>
      </w:pPr>
      <w:r>
        <w:rPr>
          <w:i/>
        </w:rPr>
        <w:t>샘플 크기 감도</w:t>
      </w:r>
    </w:p>
    <w:p>
      <w:pPr>
        <w:pStyle w:val="BodyText"/>
        <w:spacing w:line="456" w:lineRule="exact" w:before="181"/>
        <w:ind w:left="282" w:right="523" w:hanging="9"/>
        <w:jc w:val="both"/>
      </w:pPr>
      <w:r>
        <w:rPr/>
        <w:t>Alignment statistics are recomputed on staged subsamples drawn from the expanded wallet pool using the same deterministic seed.</w:t>
      </w:r>
      <w:r>
        <w:rPr>
          <w:spacing w:val="36"/>
        </w:rPr>
        <w:t> </w:t>
      </w:r>
      <w:r>
        <w:rPr/>
        <w:t>Subsamples include supplemental addresses without GMX la-bels</w:t>
      </w:r>
      <w:r>
        <w:rPr>
          <w:spacing w:val="-6"/>
        </w:rPr>
        <w:t> </w:t>
      </w:r>
      <w:r>
        <w:rPr/>
        <w:t>(zeros</w:t>
      </w:r>
      <w:r>
        <w:rPr>
          <w:spacing w:val="-6"/>
        </w:rPr>
        <w:t> </w:t>
      </w:r>
      <w:r>
        <w:rPr/>
        <w:t>on</w:t>
      </w:r>
      <w:r>
        <w:rPr>
          <w:spacing w:val="-6"/>
        </w:rPr>
        <w:t> </w:t>
      </w:r>
      <w:r>
        <w:rPr/>
        <w:t>outcome</w:t>
      </w:r>
      <w:r>
        <w:rPr>
          <w:spacing w:val="-6"/>
        </w:rPr>
        <w:t> </w:t>
      </w:r>
      <w:r>
        <w:rPr/>
        <w:t>proxies),</w:t>
      </w:r>
      <w:r>
        <w:rPr>
          <w:spacing w:val="-5"/>
        </w:rPr>
        <w:t> </w:t>
      </w:r>
      <w:r>
        <w:rPr/>
        <w:t>so</w:t>
      </w:r>
      <w:r>
        <w:rPr>
          <w:spacing w:val="-6"/>
        </w:rPr>
        <w:t> </w:t>
      </w:r>
      <w:r>
        <w:rPr/>
        <w:t>reported</w:t>
      </w:r>
      <w:r>
        <w:rPr>
          <w:spacing w:val="-6"/>
        </w:rPr>
        <w:t> </w:t>
      </w:r>
      <w:r>
        <w:rPr/>
        <w:t>sample-size</w:t>
      </w:r>
      <w:r>
        <w:rPr>
          <w:spacing w:val="-6"/>
        </w:rPr>
        <w:t> </w:t>
      </w:r>
      <w:r>
        <w:rPr>
          <w:rFonts w:ascii="Calibri" w:hAnsi="Calibri"/>
          <w:i/>
        </w:rPr>
        <w:t>τ</w:t>
      </w:r>
      <w:r>
        <w:rPr>
          <w:rFonts w:ascii="Calibri" w:hAnsi="Calibri"/>
          <w:i/>
          <w:spacing w:val="26"/>
        </w:rPr>
        <w:t> </w:t>
      </w:r>
      <w:r>
        <w:rPr/>
        <w:t>is</w:t>
      </w:r>
      <w:r>
        <w:rPr>
          <w:spacing w:val="-6"/>
        </w:rPr>
        <w:t> </w:t>
      </w:r>
      <w:r>
        <w:rPr/>
        <w:t>interpreted</w:t>
      </w:r>
      <w:r>
        <w:rPr>
          <w:spacing w:val="-6"/>
        </w:rPr>
        <w:t> </w:t>
      </w:r>
      <w:r>
        <w:rPr/>
        <w:t>primarily</w:t>
      </w:r>
      <w:r>
        <w:rPr>
          <w:spacing w:val="-6"/>
        </w:rPr>
        <w:t> </w:t>
      </w:r>
      <w:r>
        <w:rPr/>
        <w:t>for</w:t>
      </w:r>
      <w:r>
        <w:rPr>
          <w:spacing w:val="-6"/>
        </w:rPr>
        <w:t> </w:t>
      </w:r>
      <w:r>
        <w:rPr/>
        <w:t>transfer</w:t>
      </w:r>
      <w:r>
        <w:rPr>
          <w:spacing w:val="-6"/>
        </w:rPr>
        <w:t> </w:t>
      </w:r>
      <w:r>
        <w:rPr/>
        <w:t>and allowance</w:t>
      </w:r>
      <w:r>
        <w:rPr>
          <w:spacing w:val="-9"/>
        </w:rPr>
        <w:t> </w:t>
      </w:r>
      <w:r>
        <w:rPr/>
        <w:t>families</w:t>
      </w:r>
      <w:r>
        <w:rPr>
          <w:spacing w:val="-9"/>
        </w:rPr>
        <w:t> </w:t>
      </w:r>
      <w:r>
        <w:rPr/>
        <w:t>on</w:t>
      </w:r>
      <w:r>
        <w:rPr>
          <w:spacing w:val="-9"/>
        </w:rPr>
        <w:t> </w:t>
      </w:r>
      <w:r>
        <w:rPr>
          <w:rFonts w:ascii="Lucida Sans Unicode" w:hAnsi="Lucida Sans Unicode"/>
        </w:rPr>
        <w:t>M</w:t>
      </w:r>
      <w:r>
        <w:rPr>
          <w:vertAlign w:val="subscript"/>
        </w:rPr>
        <w:t>pool</w:t>
      </w:r>
      <w:r>
        <w:rPr>
          <w:vertAlign w:val="baseline"/>
        </w:rPr>
        <w:t>;</w:t>
      </w:r>
      <w:r>
        <w:rPr>
          <w:spacing w:val="-6"/>
          <w:vertAlign w:val="baseline"/>
        </w:rPr>
        <w:t> </w:t>
      </w:r>
      <w:r>
        <w:rPr>
          <w:vertAlign w:val="baseline"/>
        </w:rPr>
        <w:t>primary</w:t>
      </w:r>
      <w:r>
        <w:rPr>
          <w:spacing w:val="-9"/>
          <w:vertAlign w:val="baseline"/>
        </w:rPr>
        <w:t> </w:t>
      </w:r>
      <w:r>
        <w:rPr>
          <w:vertAlign w:val="baseline"/>
        </w:rPr>
        <w:t>claims</w:t>
      </w:r>
      <w:r>
        <w:rPr>
          <w:spacing w:val="-9"/>
          <w:vertAlign w:val="baseline"/>
        </w:rPr>
        <w:t> </w:t>
      </w:r>
      <w:r>
        <w:rPr>
          <w:vertAlign w:val="baseline"/>
        </w:rPr>
        <w:t>remain</w:t>
      </w:r>
      <w:r>
        <w:rPr>
          <w:spacing w:val="-9"/>
          <w:vertAlign w:val="baseline"/>
        </w:rPr>
        <w:t> </w:t>
      </w:r>
      <w:r>
        <w:rPr>
          <w:vertAlign w:val="baseline"/>
        </w:rPr>
        <w:t>on</w:t>
      </w:r>
      <w:r>
        <w:rPr>
          <w:spacing w:val="-9"/>
          <w:vertAlign w:val="baseline"/>
        </w:rPr>
        <w:t> </w:t>
      </w:r>
      <w:r>
        <w:rPr>
          <w:vertAlign w:val="baseline"/>
        </w:rPr>
        <w:t>the</w:t>
      </w:r>
      <w:r>
        <w:rPr>
          <w:spacing w:val="-9"/>
          <w:vertAlign w:val="baseline"/>
        </w:rPr>
        <w:t> </w:t>
      </w:r>
      <w:r>
        <w:rPr>
          <w:vertAlign w:val="baseline"/>
        </w:rPr>
        <w:t>matched</w:t>
      </w:r>
      <w:r>
        <w:rPr>
          <w:spacing w:val="-9"/>
          <w:vertAlign w:val="baseline"/>
        </w:rPr>
        <w:t> </w:t>
      </w:r>
      <w:r>
        <w:rPr>
          <w:vertAlign w:val="baseline"/>
        </w:rPr>
        <w:t>wallet</w:t>
      </w:r>
      <w:r>
        <w:rPr>
          <w:spacing w:val="-9"/>
          <w:vertAlign w:val="baseline"/>
        </w:rPr>
        <w:t> </w:t>
      </w:r>
      <w:r>
        <w:rPr>
          <w:vertAlign w:val="baseline"/>
        </w:rPr>
        <w:t>cohort</w:t>
      </w:r>
      <w:r>
        <w:rPr>
          <w:spacing w:val="-9"/>
          <w:vertAlign w:val="baseline"/>
        </w:rPr>
        <w:t> </w:t>
      </w:r>
      <w:r>
        <w:rPr>
          <w:vertAlign w:val="baseline"/>
        </w:rPr>
        <w:t>(</w:t>
      </w:r>
      <w:r>
        <w:rPr>
          <w:rFonts w:ascii="Calibri" w:hAnsi="Calibri"/>
          <w:i/>
          <w:vertAlign w:val="baseline"/>
        </w:rPr>
        <w:t>n</w:t>
      </w:r>
      <w:r>
        <w:rPr>
          <w:rFonts w:ascii="Calibri" w:hAnsi="Calibri"/>
          <w:i/>
          <w:w w:val="125"/>
          <w:vertAlign w:val="baseline"/>
        </w:rPr>
        <w:t> </w:t>
      </w:r>
      <w:r>
        <w:rPr>
          <w:rFonts w:ascii="Calibri" w:hAnsi="Calibri"/>
          <w:w w:val="125"/>
          <w:vertAlign w:val="baseline"/>
        </w:rPr>
        <w:t>=</w:t>
      </w:r>
      <w:r>
        <w:rPr>
          <w:rFonts w:ascii="Calibri" w:hAnsi="Calibri"/>
          <w:spacing w:val="-1"/>
          <w:w w:val="125"/>
          <w:vertAlign w:val="baseline"/>
        </w:rPr>
        <w:t> </w:t>
      </w:r>
      <w:r>
        <w:rPr>
          <w:rFonts w:ascii="Calibri" w:hAnsi="Calibri"/>
          <w:vertAlign w:val="baseline"/>
        </w:rPr>
        <w:t>5</w:t>
      </w:r>
      <w:r>
        <w:rPr>
          <w:rFonts w:ascii="Calibri" w:hAnsi="Calibri"/>
          <w:i/>
          <w:vertAlign w:val="baseline"/>
        </w:rPr>
        <w:t>,</w:t>
      </w:r>
      <w:r>
        <w:rPr>
          <w:rFonts w:ascii="Calibri" w:hAnsi="Calibri"/>
          <w:vertAlign w:val="baseline"/>
        </w:rPr>
        <w:t>521</w:t>
      </w:r>
      <w:r>
        <w:rPr>
          <w:vertAlign w:val="baseline"/>
        </w:rPr>
        <w:t>).</w:t>
      </w:r>
      <w:r>
        <w:rPr>
          <w:spacing w:val="18"/>
          <w:vertAlign w:val="baseline"/>
        </w:rPr>
        <w:t> </w:t>
      </w:r>
      <w:r>
        <w:rPr>
          <w:vertAlign w:val="baseline"/>
        </w:rPr>
        <w:t>Be-cause</w:t>
      </w:r>
      <w:r>
        <w:rPr>
          <w:spacing w:val="-4"/>
          <w:vertAlign w:val="baseline"/>
        </w:rPr>
        <w:t> </w:t>
      </w:r>
      <w:r>
        <w:rPr>
          <w:vertAlign w:val="baseline"/>
        </w:rPr>
        <w:t>rank</w:t>
      </w:r>
      <w:r>
        <w:rPr>
          <w:spacing w:val="-4"/>
          <w:vertAlign w:val="baseline"/>
        </w:rPr>
        <w:t> </w:t>
      </w:r>
      <w:r>
        <w:rPr>
          <w:vertAlign w:val="baseline"/>
        </w:rPr>
        <w:t>correlations</w:t>
      </w:r>
      <w:r>
        <w:rPr>
          <w:spacing w:val="-4"/>
          <w:vertAlign w:val="baseline"/>
        </w:rPr>
        <w:t> </w:t>
      </w:r>
      <w:r>
        <w:rPr>
          <w:vertAlign w:val="baseline"/>
        </w:rPr>
        <w:t>have</w:t>
      </w:r>
      <w:r>
        <w:rPr>
          <w:spacing w:val="-4"/>
          <w:vertAlign w:val="baseline"/>
        </w:rPr>
        <w:t> </w:t>
      </w:r>
      <w:r>
        <w:rPr>
          <w:vertAlign w:val="baseline"/>
        </w:rPr>
        <w:t>sampling</w:t>
      </w:r>
      <w:r>
        <w:rPr>
          <w:spacing w:val="-4"/>
          <w:vertAlign w:val="baseline"/>
        </w:rPr>
        <w:t> </w:t>
      </w:r>
      <w:r>
        <w:rPr>
          <w:vertAlign w:val="baseline"/>
        </w:rPr>
        <w:t>variability,</w:t>
      </w:r>
      <w:r>
        <w:rPr>
          <w:spacing w:val="-4"/>
          <w:vertAlign w:val="baseline"/>
        </w:rPr>
        <w:t> </w:t>
      </w:r>
      <w:r>
        <w:rPr>
          <w:vertAlign w:val="baseline"/>
        </w:rPr>
        <w:t>modest</w:t>
      </w:r>
      <w:r>
        <w:rPr>
          <w:spacing w:val="-4"/>
          <w:vertAlign w:val="baseline"/>
        </w:rPr>
        <w:t> </w:t>
      </w:r>
      <w:r>
        <w:rPr>
          <w:vertAlign w:val="baseline"/>
        </w:rPr>
        <w:t>movement</w:t>
      </w:r>
      <w:r>
        <w:rPr>
          <w:spacing w:val="-4"/>
          <w:vertAlign w:val="baseline"/>
        </w:rPr>
        <w:t> </w:t>
      </w:r>
      <w:r>
        <w:rPr>
          <w:vertAlign w:val="baseline"/>
        </w:rPr>
        <w:t>in</w:t>
      </w:r>
      <w:r>
        <w:rPr>
          <w:spacing w:val="-4"/>
          <w:vertAlign w:val="baseline"/>
        </w:rPr>
        <w:t> </w:t>
      </w:r>
      <w:r>
        <w:rPr>
          <w:rFonts w:ascii="Calibri" w:hAnsi="Calibri"/>
          <w:i/>
          <w:vertAlign w:val="baseline"/>
        </w:rPr>
        <w:t>τ</w:t>
      </w:r>
      <w:r>
        <w:rPr>
          <w:rFonts w:ascii="Calibri" w:hAnsi="Calibri"/>
          <w:i/>
          <w:spacing w:val="27"/>
          <w:vertAlign w:val="baseline"/>
        </w:rPr>
        <w:t> </w:t>
      </w:r>
      <w:r>
        <w:rPr>
          <w:vertAlign w:val="baseline"/>
        </w:rPr>
        <w:t>across</w:t>
      </w:r>
      <w:r>
        <w:rPr>
          <w:spacing w:val="-4"/>
          <w:vertAlign w:val="baseline"/>
        </w:rPr>
        <w:t> </w:t>
      </w:r>
      <w:r>
        <w:rPr>
          <w:vertAlign w:val="baseline"/>
        </w:rPr>
        <w:t>sizes</w:t>
      </w:r>
      <w:r>
        <w:rPr>
          <w:spacing w:val="-4"/>
          <w:vertAlign w:val="baseline"/>
        </w:rPr>
        <w:t> </w:t>
      </w:r>
      <w:r>
        <w:rPr>
          <w:vertAlign w:val="baseline"/>
        </w:rPr>
        <w:t>is</w:t>
      </w:r>
      <w:r>
        <w:rPr>
          <w:spacing w:val="-4"/>
          <w:vertAlign w:val="baseline"/>
        </w:rPr>
        <w:t> </w:t>
      </w:r>
      <w:r>
        <w:rPr>
          <w:vertAlign w:val="baseline"/>
        </w:rPr>
        <w:t>expected; the</w:t>
      </w:r>
      <w:r>
        <w:rPr>
          <w:spacing w:val="-1"/>
          <w:vertAlign w:val="baseline"/>
        </w:rPr>
        <w:t> </w:t>
      </w:r>
      <w:r>
        <w:rPr>
          <w:vertAlign w:val="baseline"/>
        </w:rPr>
        <w:t>robustness</w:t>
      </w:r>
      <w:r>
        <w:rPr>
          <w:spacing w:val="-1"/>
          <w:vertAlign w:val="baseline"/>
        </w:rPr>
        <w:t> </w:t>
      </w:r>
      <w:r>
        <w:rPr>
          <w:vertAlign w:val="baseline"/>
        </w:rPr>
        <w:t>question</w:t>
      </w:r>
      <w:r>
        <w:rPr>
          <w:spacing w:val="-1"/>
          <w:vertAlign w:val="baseline"/>
        </w:rPr>
        <w:t> </w:t>
      </w:r>
      <w:r>
        <w:rPr>
          <w:vertAlign w:val="baseline"/>
        </w:rPr>
        <w:t>is</w:t>
      </w:r>
      <w:r>
        <w:rPr>
          <w:spacing w:val="-1"/>
          <w:vertAlign w:val="baseline"/>
        </w:rPr>
        <w:t> </w:t>
      </w:r>
      <w:r>
        <w:rPr>
          <w:vertAlign w:val="baseline"/>
        </w:rPr>
        <w:t>whether</w:t>
      </w:r>
      <w:r>
        <w:rPr>
          <w:spacing w:val="-1"/>
          <w:vertAlign w:val="baseline"/>
        </w:rPr>
        <w:t> </w:t>
      </w:r>
      <w:r>
        <w:rPr>
          <w:vertAlign w:val="baseline"/>
        </w:rPr>
        <w:t>EndorseRank</w:t>
      </w:r>
      <w:r>
        <w:rPr>
          <w:spacing w:val="-1"/>
          <w:vertAlign w:val="baseline"/>
        </w:rPr>
        <w:t> </w:t>
      </w:r>
      <w:r>
        <w:rPr>
          <w:vertAlign w:val="baseline"/>
        </w:rPr>
        <w:t>and</w:t>
      </w:r>
      <w:r>
        <w:rPr>
          <w:spacing w:val="-1"/>
          <w:vertAlign w:val="baseline"/>
        </w:rPr>
        <w:t> </w:t>
      </w:r>
      <w:r>
        <w:rPr>
          <w:vertAlign w:val="baseline"/>
        </w:rPr>
        <w:t>AWP</w:t>
      </w:r>
      <w:r>
        <w:rPr>
          <w:spacing w:val="-1"/>
          <w:vertAlign w:val="baseline"/>
        </w:rPr>
        <w:t> </w:t>
      </w:r>
      <w:r>
        <w:rPr>
          <w:vertAlign w:val="baseline"/>
        </w:rPr>
        <w:t>preserve</w:t>
      </w:r>
      <w:r>
        <w:rPr>
          <w:spacing w:val="-1"/>
          <w:vertAlign w:val="baseline"/>
        </w:rPr>
        <w:t> </w:t>
      </w:r>
      <w:r>
        <w:rPr>
          <w:vertAlign w:val="baseline"/>
        </w:rPr>
        <w:t>their</w:t>
      </w:r>
      <w:r>
        <w:rPr>
          <w:spacing w:val="-1"/>
          <w:vertAlign w:val="baseline"/>
        </w:rPr>
        <w:t> </w:t>
      </w:r>
      <w:r>
        <w:rPr>
          <w:vertAlign w:val="baseline"/>
        </w:rPr>
        <w:t>relative</w:t>
      </w:r>
      <w:r>
        <w:rPr>
          <w:spacing w:val="-1"/>
          <w:vertAlign w:val="baseline"/>
        </w:rPr>
        <w:t> </w:t>
      </w:r>
      <w:r>
        <w:rPr>
          <w:vertAlign w:val="baseline"/>
        </w:rPr>
        <w:t>ordering</w:t>
      </w:r>
      <w:r>
        <w:rPr>
          <w:spacing w:val="-1"/>
          <w:vertAlign w:val="baseline"/>
        </w:rPr>
        <w:t> </w:t>
      </w:r>
      <w:r>
        <w:rPr>
          <w:vertAlign w:val="baseline"/>
        </w:rPr>
        <w:t>on</w:t>
      </w:r>
      <w:r>
        <w:rPr>
          <w:spacing w:val="-1"/>
          <w:vertAlign w:val="baseline"/>
        </w:rPr>
        <w:t> </w:t>
      </w:r>
      <w:r>
        <w:rPr>
          <w:vertAlign w:val="baseline"/>
        </w:rPr>
        <w:t>key </w:t>
      </w:r>
      <w:bookmarkStart w:name="GMX proxy definition variants" w:id="139"/>
      <w:bookmarkEnd w:id="139"/>
      <w:r>
        <w:rPr>
          <w:vertAlign w:val="baseline"/>
        </w:rPr>
        <w:t>graph</w:t>
      </w:r>
      <w:r>
        <w:rPr>
          <w:vertAlign w:val="baseline"/>
        </w:rPr>
        <w:t>-adjacent families.</w:t>
      </w:r>
    </w:p>
    <w:p>
      <w:pPr>
        <w:pStyle w:val="BodyText"/>
        <w:spacing w:line="456" w:lineRule="exact" w:before="181"/>
        <w:ind w:left="282" w:right="523" w:hanging="9"/>
        <w:jc w:val="both"/>
      </w:pPr>
      <w:r>
        <w:rPr>
          <w:i/>
        </w:rPr>
        <w:t>동일한 결정적 시드를 사용하여 확장된 지갑 풀에서 가져온 단계적 하위 샘플에 대해 정렬 통계가 다시 계산됩니다. 하위 샘플에는 GMX 라벨(결과 프록시에 0)이 없는 보충 주소가 포함되어 있으므로 보고된 샘플 크기 τ는 주로 Mpool의 이체 및 수당 제품군에 대해 해석됩니다. 기본 청구는 일치하는 지갑 코호트(n = 5,521)에 유지됩니다. 순위 상관관계에는 샘플링 가변성이 있기 때문에 크기에 따라 τ의 적당한 움직임이 예상됩니다. 견고성 질문은 EndorseRank 및 AWP가 주요 그래프 인접 계열에서 상대적 순서를 유지하는지 여부입니다.</w:t>
      </w:r>
    </w:p>
    <w:p>
      <w:pPr>
        <w:pStyle w:val="BodyText"/>
        <w:spacing w:before="149"/>
      </w:pPr>
    </w:p>
    <w:p>
      <w:pPr>
        <w:pStyle w:val="Heading4"/>
        <w:numPr>
          <w:ilvl w:val="2"/>
          <w:numId w:val="8"/>
        </w:numPr>
        <w:tabs>
          <w:tab w:pos="998" w:val="left" w:leader="none"/>
        </w:tabs>
        <w:spacing w:line="240" w:lineRule="auto" w:before="1" w:after="0"/>
        <w:ind w:left="998" w:right="0" w:hanging="716"/>
        <w:jc w:val="both"/>
      </w:pPr>
      <w:r>
        <w:rPr/>
        <w:t>GMX</w:t>
      </w:r>
      <w:r>
        <w:rPr>
          <w:spacing w:val="-14"/>
        </w:rPr>
        <w:t> </w:t>
      </w:r>
      <w:r>
        <w:rPr/>
        <w:t>proxy</w:t>
      </w:r>
      <w:r>
        <w:rPr>
          <w:spacing w:val="-14"/>
        </w:rPr>
        <w:t> </w:t>
      </w:r>
      <w:r>
        <w:rPr/>
        <w:t>definition</w:t>
      </w:r>
      <w:r>
        <w:rPr>
          <w:spacing w:val="-13"/>
        </w:rPr>
        <w:t> </w:t>
      </w:r>
      <w:r>
        <w:rPr>
          <w:spacing w:val="-2"/>
        </w:rPr>
        <w:t>variants</w:t>
      </w:r>
    </w:p>
    <w:p>
      <w:pPr>
        <w:pStyle w:val="Heading4"/>
        <w:numPr>
          <w:ilvl w:val="2"/>
          <w:numId w:val="8"/>
        </w:numPr>
        <w:tabs>
          <w:tab w:pos="998" w:val="left" w:leader="none"/>
        </w:tabs>
        <w:spacing w:line="240" w:lineRule="auto" w:before="1" w:after="0"/>
        <w:ind w:left="998" w:right="0" w:hanging="716"/>
        <w:jc w:val="both"/>
      </w:pPr>
      <w:r>
        <w:rPr>
          <w:i/>
        </w:rPr>
        <w:t>GMX 프록시 정의 변형</w:t>
      </w:r>
    </w:p>
    <w:p>
      <w:pPr>
        <w:pStyle w:val="BodyText"/>
        <w:spacing w:line="456" w:lineRule="exact" w:before="181"/>
        <w:ind w:left="282" w:right="525"/>
        <w:jc w:val="both"/>
      </w:pPr>
      <w:r>
        <w:rPr/>
        <w:t>For trading-success robustness,</w:t>
      </w:r>
      <w:r>
        <w:rPr>
          <w:spacing w:val="40"/>
        </w:rPr>
        <w:t> </w:t>
      </w:r>
      <w:r>
        <w:rPr/>
        <w:t>realized_gain_proxy is computed under both the primary raw-sum definition (Equation (</w:t>
      </w:r>
      <w:hyperlink w:history="true" w:anchor="_bookmark70">
        <w:r>
          <w:rPr/>
          <w:t>3.17</w:t>
        </w:r>
      </w:hyperlink>
      <w:r>
        <w:rPr/>
        <w:t>)) and a size-weighted definition that multiplies positive PnL by max</w:t>
      </w:r>
      <w:r>
        <w:rPr>
          <w:rFonts w:ascii="Calibri" w:hAnsi="Calibri"/>
        </w:rPr>
        <w:t>(</w:t>
      </w:r>
      <w:r>
        <w:rPr>
          <w:rFonts w:ascii="Lucida Sans Unicode" w:hAnsi="Lucida Sans Unicode"/>
        </w:rPr>
        <w:t>|</w:t>
      </w:r>
      <w:r>
        <w:rPr>
          <w:rFonts w:ascii="Calibri" w:hAnsi="Calibri"/>
          <w:i/>
        </w:rPr>
        <w:t>s</w:t>
      </w:r>
      <w:r>
        <w:rPr>
          <w:rFonts w:ascii="Cambria" w:hAnsi="Cambria"/>
          <w:vertAlign w:val="subscript"/>
        </w:rPr>
        <w:t>c</w:t>
      </w:r>
      <w:r>
        <w:rPr>
          <w:rFonts w:ascii="Lucida Sans Unicode" w:hAnsi="Lucida Sans Unicode"/>
          <w:vertAlign w:val="baseline"/>
        </w:rPr>
        <w:t>|</w:t>
      </w:r>
      <w:r>
        <w:rPr>
          <w:rFonts w:ascii="Calibri" w:hAnsi="Calibri"/>
          <w:i/>
          <w:vertAlign w:val="baseline"/>
        </w:rPr>
        <w:t>,</w:t>
      </w:r>
      <w:r>
        <w:rPr>
          <w:rFonts w:ascii="Calibri" w:hAnsi="Calibri"/>
          <w:i/>
          <w:spacing w:val="-1"/>
          <w:vertAlign w:val="baseline"/>
        </w:rPr>
        <w:t> </w:t>
      </w:r>
      <w:r>
        <w:rPr>
          <w:rFonts w:ascii="Calibri" w:hAnsi="Calibri"/>
          <w:vertAlign w:val="baseline"/>
        </w:rPr>
        <w:t>1) </w:t>
      </w:r>
      <w:r>
        <w:rPr>
          <w:vertAlign w:val="baseline"/>
        </w:rPr>
        <w:t>for close size </w:t>
      </w:r>
      <w:r>
        <w:rPr>
          <w:rFonts w:ascii="Calibri" w:hAnsi="Calibri"/>
          <w:i/>
          <w:vertAlign w:val="baseline"/>
        </w:rPr>
        <w:t>s</w:t>
      </w:r>
      <w:r>
        <w:rPr>
          <w:rFonts w:ascii="Cambria" w:hAnsi="Cambria"/>
          <w:vertAlign w:val="subscript"/>
        </w:rPr>
        <w:t>c</w:t>
      </w:r>
      <w:r>
        <w:rPr>
          <w:rFonts w:ascii="Cambria" w:hAnsi="Cambria"/>
          <w:vertAlign w:val="baseline"/>
        </w:rPr>
        <w:t> </w:t>
      </w:r>
      <w:r>
        <w:rPr>
          <w:vertAlign w:val="baseline"/>
        </w:rPr>
        <w:t>(</w:t>
      </w:r>
      <w:r>
        <w:rPr>
          <w:rFonts w:ascii="Calibri" w:hAnsi="Calibri"/>
          <w:vertAlign w:val="baseline"/>
        </w:rPr>
        <w:t>sizeDeltaUsd</w:t>
      </w:r>
      <w:r>
        <w:rPr>
          <w:vertAlign w:val="baseline"/>
        </w:rPr>
        <w:t>). Size-weighting up-weights large positions and can change</w:t>
      </w:r>
      <w:r>
        <w:rPr>
          <w:spacing w:val="-9"/>
          <w:vertAlign w:val="baseline"/>
        </w:rPr>
        <w:t> </w:t>
      </w:r>
      <w:r>
        <w:rPr>
          <w:vertAlign w:val="baseline"/>
        </w:rPr>
        <w:t>the</w:t>
      </w:r>
      <w:r>
        <w:rPr>
          <w:spacing w:val="-9"/>
          <w:vertAlign w:val="baseline"/>
        </w:rPr>
        <w:t> </w:t>
      </w:r>
      <w:r>
        <w:rPr>
          <w:vertAlign w:val="baseline"/>
        </w:rPr>
        <w:t>identity</w:t>
      </w:r>
      <w:r>
        <w:rPr>
          <w:spacing w:val="-9"/>
          <w:vertAlign w:val="baseline"/>
        </w:rPr>
        <w:t> </w:t>
      </w:r>
      <w:r>
        <w:rPr>
          <w:vertAlign w:val="baseline"/>
        </w:rPr>
        <w:t>of</w:t>
      </w:r>
      <w:r>
        <w:rPr>
          <w:spacing w:val="-9"/>
          <w:vertAlign w:val="baseline"/>
        </w:rPr>
        <w:t> </w:t>
      </w:r>
      <w:r>
        <w:rPr>
          <w:vertAlign w:val="baseline"/>
        </w:rPr>
        <w:t>top</w:t>
      </w:r>
      <w:r>
        <w:rPr>
          <w:spacing w:val="-9"/>
          <w:vertAlign w:val="baseline"/>
        </w:rPr>
        <w:t> </w:t>
      </w:r>
      <w:r>
        <w:rPr>
          <w:vertAlign w:val="baseline"/>
        </w:rPr>
        <w:t>traders.</w:t>
      </w:r>
      <w:r>
        <w:rPr>
          <w:spacing w:val="14"/>
          <w:vertAlign w:val="baseline"/>
        </w:rPr>
        <w:t> </w:t>
      </w:r>
      <w:r>
        <w:rPr>
          <w:vertAlign w:val="baseline"/>
        </w:rPr>
        <w:t>Primary</w:t>
      </w:r>
      <w:r>
        <w:rPr>
          <w:spacing w:val="-9"/>
          <w:vertAlign w:val="baseline"/>
        </w:rPr>
        <w:t> </w:t>
      </w:r>
      <w:r>
        <w:rPr>
          <w:vertAlign w:val="baseline"/>
        </w:rPr>
        <w:t>tables</w:t>
      </w:r>
      <w:r>
        <w:rPr>
          <w:spacing w:val="-9"/>
          <w:vertAlign w:val="baseline"/>
        </w:rPr>
        <w:t> </w:t>
      </w:r>
      <w:r>
        <w:rPr>
          <w:vertAlign w:val="baseline"/>
        </w:rPr>
        <w:t>use</w:t>
      </w:r>
      <w:r>
        <w:rPr>
          <w:spacing w:val="-9"/>
          <w:vertAlign w:val="baseline"/>
        </w:rPr>
        <w:t> </w:t>
      </w:r>
      <w:r>
        <w:rPr>
          <w:vertAlign w:val="baseline"/>
        </w:rPr>
        <w:t>the</w:t>
      </w:r>
      <w:r>
        <w:rPr>
          <w:spacing w:val="-9"/>
          <w:vertAlign w:val="baseline"/>
        </w:rPr>
        <w:t> </w:t>
      </w:r>
      <w:r>
        <w:rPr>
          <w:vertAlign w:val="baseline"/>
        </w:rPr>
        <w:t>raw-sum</w:t>
      </w:r>
      <w:r>
        <w:rPr>
          <w:spacing w:val="-9"/>
          <w:vertAlign w:val="baseline"/>
        </w:rPr>
        <w:t> </w:t>
      </w:r>
      <w:r>
        <w:rPr>
          <w:vertAlign w:val="baseline"/>
        </w:rPr>
        <w:t>definition;</w:t>
      </w:r>
      <w:r>
        <w:rPr>
          <w:spacing w:val="-7"/>
          <w:vertAlign w:val="baseline"/>
        </w:rPr>
        <w:t> </w:t>
      </w:r>
      <w:r>
        <w:rPr>
          <w:vertAlign w:val="baseline"/>
        </w:rPr>
        <w:t>size-weighted</w:t>
      </w:r>
      <w:r>
        <w:rPr>
          <w:spacing w:val="-9"/>
          <w:vertAlign w:val="baseline"/>
        </w:rPr>
        <w:t> </w:t>
      </w:r>
      <w:r>
        <w:rPr>
          <w:vertAlign w:val="baseline"/>
        </w:rPr>
        <w:t>results </w:t>
      </w:r>
      <w:bookmarkStart w:name="Reproducibility" w:id="140"/>
      <w:bookmarkEnd w:id="140"/>
      <w:r>
        <w:rPr>
          <w:spacing w:val="-1"/>
          <w:w w:val="99"/>
          <w:vertAlign w:val="baseline"/>
        </w:rPr>
      </w:r>
      <w:bookmarkStart w:name="_bookmark74" w:id="141"/>
      <w:bookmarkEnd w:id="141"/>
      <w:r>
        <w:rPr>
          <w:vertAlign w:val="baseline"/>
        </w:rPr>
        <w:t>appear</w:t>
      </w:r>
      <w:r>
        <w:rPr>
          <w:vertAlign w:val="baseline"/>
        </w:rPr>
        <w:t> only in robustness tables.</w:t>
      </w:r>
    </w:p>
    <w:p>
      <w:pPr>
        <w:pStyle w:val="BodyText"/>
        <w:spacing w:line="456" w:lineRule="exact" w:before="181"/>
        <w:ind w:left="282" w:right="525"/>
        <w:jc w:val="both"/>
      </w:pPr>
      <w:r>
        <w:rPr>
          <w:i/>
        </w:rPr>
        <w:t>거래 성공 견고성을 위해 실현된_gain_proxy는 기본 원시 합계 정의(식 (3.17))와 가까운 크기 sc(sizeDeltaUsd)에 대해 양의 PnL에 max(|sc|, 1)를 곱하는 크기 가중 정의에 따라 계산됩니다. 규모 가중치는 대규모 포지션에 가중치를 부여하고 최고 거래자의 정체성을 바꿀 수 있습니다. 기본 테이블은 원시 합계 정의를 사용하며 크기 가중치 결과는 견고성 테이블에만 나타납니다.</w:t>
      </w:r>
    </w:p>
    <w:p>
      <w:pPr>
        <w:pStyle w:val="BodyText"/>
      </w:pPr>
    </w:p>
    <w:p>
      <w:pPr>
        <w:pStyle w:val="BodyText"/>
        <w:spacing w:before="26"/>
      </w:pPr>
    </w:p>
    <w:p>
      <w:pPr>
        <w:pStyle w:val="Heading2"/>
        <w:numPr>
          <w:ilvl w:val="1"/>
          <w:numId w:val="8"/>
        </w:numPr>
        <w:tabs>
          <w:tab w:pos="927" w:val="left" w:leader="none"/>
        </w:tabs>
        <w:spacing w:line="240" w:lineRule="auto" w:before="0" w:after="0"/>
        <w:ind w:left="927" w:right="0" w:hanging="645"/>
        <w:jc w:val="both"/>
      </w:pPr>
      <w:r>
        <w:rPr>
          <w:spacing w:val="-2"/>
        </w:rPr>
        <w:t>Reproducibility</w:t>
      </w:r>
    </w:p>
    <w:p>
      <w:pPr>
        <w:pStyle w:val="Heading2"/>
        <w:numPr>
          <w:ilvl w:val="1"/>
          <w:numId w:val="8"/>
        </w:numPr>
        <w:tabs>
          <w:tab w:pos="927" w:val="left" w:leader="none"/>
        </w:tabs>
        <w:spacing w:line="240" w:lineRule="auto" w:before="0" w:after="0"/>
        <w:ind w:left="927" w:right="0" w:hanging="645"/>
        <w:jc w:val="both"/>
      </w:pPr>
      <w:r>
        <w:rPr>
          <w:i/>
        </w:rPr>
        <w:t>재현성</w:t>
      </w:r>
    </w:p>
    <w:p>
      <w:pPr>
        <w:pStyle w:val="BodyText"/>
        <w:spacing w:before="24"/>
        <w:rPr>
          <w:b/>
          <w:sz w:val="28"/>
        </w:rPr>
      </w:pPr>
    </w:p>
    <w:p>
      <w:pPr>
        <w:pStyle w:val="BodyText"/>
        <w:spacing w:line="396" w:lineRule="auto"/>
        <w:ind w:left="282" w:right="534" w:hanging="9"/>
        <w:jc w:val="both"/>
      </w:pPr>
      <w:r>
        <w:rPr/>
        <w:t>All empirical tables in Chapter </w:t>
      </w:r>
      <w:hyperlink w:history="true" w:anchor="_bookmark84">
        <w:r>
          <w:rPr/>
          <w:t>4</w:t>
        </w:r>
      </w:hyperlink>
      <w:r>
        <w:rPr/>
        <w:t> are produced by an open evaluation pipeline.</w:t>
      </w:r>
      <w:r>
        <w:rPr>
          <w:spacing w:val="40"/>
        </w:rPr>
        <w:t> </w:t>
      </w:r>
      <w:r>
        <w:rPr/>
        <w:t>After Phase 1–2 </w:t>
      </w:r>
      <w:r>
        <w:rPr>
          <w:spacing w:val="-2"/>
        </w:rPr>
        <w:t>parquet</w:t>
      </w:r>
      <w:r>
        <w:rPr>
          <w:spacing w:val="-5"/>
        </w:rPr>
        <w:t> </w:t>
      </w:r>
      <w:r>
        <w:rPr>
          <w:spacing w:val="-2"/>
        </w:rPr>
        <w:t>artifacts</w:t>
      </w:r>
      <w:r>
        <w:rPr>
          <w:spacing w:val="-5"/>
        </w:rPr>
        <w:t> </w:t>
      </w:r>
      <w:r>
        <w:rPr>
          <w:spacing w:val="-2"/>
        </w:rPr>
        <w:t>are</w:t>
      </w:r>
      <w:r>
        <w:rPr>
          <w:spacing w:val="-5"/>
        </w:rPr>
        <w:t> </w:t>
      </w:r>
      <w:r>
        <w:rPr>
          <w:spacing w:val="-2"/>
        </w:rPr>
        <w:t>present, a</w:t>
      </w:r>
      <w:r>
        <w:rPr>
          <w:spacing w:val="-5"/>
        </w:rPr>
        <w:t> </w:t>
      </w:r>
      <w:r>
        <w:rPr>
          <w:spacing w:val="-2"/>
        </w:rPr>
        <w:t>single</w:t>
      </w:r>
      <w:r>
        <w:rPr>
          <w:spacing w:val="-5"/>
        </w:rPr>
        <w:t> </w:t>
      </w:r>
      <w:r>
        <w:rPr>
          <w:spacing w:val="-2"/>
        </w:rPr>
        <w:t>evaluation</w:t>
      </w:r>
      <w:r>
        <w:rPr>
          <w:spacing w:val="-5"/>
        </w:rPr>
        <w:t> </w:t>
      </w:r>
      <w:r>
        <w:rPr>
          <w:spacing w:val="-2"/>
        </w:rPr>
        <w:t>driver</w:t>
      </w:r>
      <w:r>
        <w:rPr>
          <w:spacing w:val="-5"/>
        </w:rPr>
        <w:t> </w:t>
      </w:r>
      <w:r>
        <w:rPr>
          <w:spacing w:val="-2"/>
        </w:rPr>
        <w:t>recomputes</w:t>
      </w:r>
      <w:r>
        <w:rPr>
          <w:spacing w:val="-5"/>
        </w:rPr>
        <w:t> </w:t>
      </w:r>
      <w:r>
        <w:rPr>
          <w:spacing w:val="-2"/>
        </w:rPr>
        <w:t>proxies, alignment</w:t>
      </w:r>
      <w:r>
        <w:rPr>
          <w:spacing w:val="-5"/>
        </w:rPr>
        <w:t> </w:t>
      </w:r>
      <w:r>
        <w:rPr>
          <w:spacing w:val="-2"/>
        </w:rPr>
        <w:t>statistics, and </w:t>
      </w:r>
      <w:r>
        <w:rPr/>
        <w:t>benchmarks</w:t>
      </w:r>
      <w:r>
        <w:rPr>
          <w:spacing w:val="-12"/>
        </w:rPr>
        <w:t> </w:t>
      </w:r>
      <w:r>
        <w:rPr/>
        <w:t>from</w:t>
      </w:r>
      <w:r>
        <w:rPr>
          <w:spacing w:val="-12"/>
        </w:rPr>
        <w:t> </w:t>
      </w:r>
      <w:r>
        <w:rPr/>
        <w:t>those</w:t>
      </w:r>
      <w:r>
        <w:rPr>
          <w:spacing w:val="-12"/>
        </w:rPr>
        <w:t> </w:t>
      </w:r>
      <w:r>
        <w:rPr/>
        <w:t>inputs.</w:t>
      </w:r>
      <w:r>
        <w:rPr>
          <w:spacing w:val="12"/>
        </w:rPr>
        <w:t> </w:t>
      </w:r>
      <w:r>
        <w:rPr/>
        <w:t>Command-line</w:t>
      </w:r>
      <w:r>
        <w:rPr>
          <w:spacing w:val="-12"/>
        </w:rPr>
        <w:t> </w:t>
      </w:r>
      <w:r>
        <w:rPr/>
        <w:t>flags</w:t>
      </w:r>
      <w:r>
        <w:rPr>
          <w:spacing w:val="-12"/>
        </w:rPr>
        <w:t> </w:t>
      </w:r>
      <w:r>
        <w:rPr/>
        <w:t>select</w:t>
      </w:r>
      <w:r>
        <w:rPr>
          <w:spacing w:val="-12"/>
        </w:rPr>
        <w:t> </w:t>
      </w:r>
      <w:r>
        <w:rPr/>
        <w:t>cached</w:t>
      </w:r>
      <w:r>
        <w:rPr>
          <w:spacing w:val="-12"/>
        </w:rPr>
        <w:t> </w:t>
      </w:r>
      <w:r>
        <w:rPr/>
        <w:t>BigQuery-derived</w:t>
      </w:r>
      <w:r>
        <w:rPr>
          <w:spacing w:val="-12"/>
        </w:rPr>
        <w:t> </w:t>
      </w:r>
      <w:r>
        <w:rPr/>
        <w:t>inputs</w:t>
      </w:r>
      <w:r>
        <w:rPr>
          <w:spacing w:val="-12"/>
        </w:rPr>
        <w:t> </w:t>
      </w:r>
      <w:r>
        <w:rPr/>
        <w:t>versus synthetic fixtures, enable damping, top-token, sample-size, and GMX-proxy variant sweeps, and export the result tables reported in Chapter </w:t>
      </w:r>
      <w:hyperlink w:history="true" w:anchor="_bookmark84">
        <w:r>
          <w:rPr/>
          <w:t>4</w:t>
        </w:r>
      </w:hyperlink>
      <w:r>
        <w:rPr/>
        <w:t>.</w:t>
      </w:r>
      <w:r>
        <w:rPr>
          <w:spacing w:val="40"/>
        </w:rPr>
        <w:t> </w:t>
      </w:r>
      <w:r>
        <w:rPr/>
        <w:t>Observation window, damping, decay parameters, topic hashes, and benchmark seeds are collected in a single versioned configuration file.</w:t>
      </w:r>
      <w:r>
        <w:rPr>
          <w:spacing w:val="40"/>
        </w:rPr>
        <w:t> </w:t>
      </w:r>
      <w:r>
        <w:rPr/>
        <w:t>Fixture mode supports offline verification without cloud credentials.</w:t>
      </w:r>
    </w:p>
    <w:p>
      <w:pPr>
        <w:pStyle w:val="BodyText"/>
        <w:spacing w:line="396" w:lineRule="auto"/>
        <w:ind w:left="282" w:right="534" w:hanging="9"/>
        <w:jc w:val="both"/>
      </w:pPr>
      <w:r>
        <w:rPr>
          <w:i/>
        </w:rPr>
        <w:t>4장의 모든 경험표는 개방형 평가 파이프라인에 의해 생성됩니다. 1~2단계 마루 아티팩트가 존재하면 단일 평가 드라이버가 해당 입력에서 프록시, 정렬 통계 및 벤치마크를 다시 계산합니다. 명령줄 플래그는 캐시된 BigQuery 파생 입력과 합성 고정 장치를 선택하고, 댐핑, 최상위 토큰, 샘플 크기 및 GMX-프록시 변형 스윕을 활성화하고, 4장에 보고된 결과 테이블을 내보냅니다. 관찰 창, 댐핑, 붕괴 매개변수, 주제 해시 및 벤치마크 시드는 버전이 지정된 단일 구성 파일에 수집됩니다. Fixture 모드는 클라우드 자격 증명 없이 오프라인 확인을 지원합니다.</w:t>
      </w:r>
    </w:p>
    <w:p>
      <w:pPr>
        <w:pStyle w:val="BodyText"/>
        <w:spacing w:line="396" w:lineRule="auto" w:before="21"/>
        <w:ind w:left="282" w:right="523"/>
        <w:jc w:val="both"/>
      </w:pPr>
      <w:r>
        <w:rPr/>
        <w:t>Reproducible</w:t>
      </w:r>
      <w:r>
        <w:rPr>
          <w:spacing w:val="-15"/>
        </w:rPr>
        <w:t> </w:t>
      </w:r>
      <w:r>
        <w:rPr/>
        <w:t>elements</w:t>
      </w:r>
      <w:r>
        <w:rPr>
          <w:spacing w:val="-15"/>
        </w:rPr>
        <w:t> </w:t>
      </w:r>
      <w:r>
        <w:rPr/>
        <w:t>include:</w:t>
      </w:r>
      <w:r>
        <w:rPr>
          <w:spacing w:val="5"/>
        </w:rPr>
        <w:t> </w:t>
      </w:r>
      <w:r>
        <w:rPr/>
        <w:t>deterministic</w:t>
      </w:r>
      <w:r>
        <w:rPr>
          <w:spacing w:val="-15"/>
        </w:rPr>
        <w:t> </w:t>
      </w:r>
      <w:r>
        <w:rPr/>
        <w:t>wallet</w:t>
      </w:r>
      <w:r>
        <w:rPr>
          <w:spacing w:val="-15"/>
        </w:rPr>
        <w:t> </w:t>
      </w:r>
      <w:r>
        <w:rPr/>
        <w:t>subsampling</w:t>
      </w:r>
      <w:r>
        <w:rPr>
          <w:spacing w:val="-15"/>
        </w:rPr>
        <w:t> </w:t>
      </w:r>
      <w:r>
        <w:rPr/>
        <w:t>via</w:t>
      </w:r>
      <w:r>
        <w:rPr>
          <w:spacing w:val="-15"/>
        </w:rPr>
        <w:t> </w:t>
      </w:r>
      <w:r>
        <w:rPr/>
        <w:t>SHA256</w:t>
      </w:r>
      <w:r>
        <w:rPr>
          <w:spacing w:val="-15"/>
        </w:rPr>
        <w:t> </w:t>
      </w:r>
      <w:r>
        <w:rPr/>
        <w:t>seeds;</w:t>
      </w:r>
      <w:r>
        <w:rPr>
          <w:spacing w:val="-13"/>
        </w:rPr>
        <w:t> </w:t>
      </w:r>
      <w:r>
        <w:rPr/>
        <w:t>fixed</w:t>
      </w:r>
      <w:r>
        <w:rPr>
          <w:spacing w:val="-15"/>
        </w:rPr>
        <w:t> </w:t>
      </w:r>
      <w:r>
        <w:rPr/>
        <w:t>PageR-ank</w:t>
      </w:r>
      <w:r>
        <w:rPr>
          <w:spacing w:val="24"/>
        </w:rPr>
        <w:t> </w:t>
      </w:r>
      <w:r>
        <w:rPr/>
        <w:t>tolerance</w:t>
      </w:r>
      <w:r>
        <w:rPr>
          <w:spacing w:val="24"/>
        </w:rPr>
        <w:t> </w:t>
      </w:r>
      <w:r>
        <w:rPr/>
        <w:t>and</w:t>
      </w:r>
      <w:r>
        <w:rPr>
          <w:spacing w:val="25"/>
        </w:rPr>
        <w:t> </w:t>
      </w:r>
      <w:r>
        <w:rPr/>
        <w:t>iteration</w:t>
      </w:r>
      <w:r>
        <w:rPr>
          <w:spacing w:val="24"/>
        </w:rPr>
        <w:t> </w:t>
      </w:r>
      <w:r>
        <w:rPr/>
        <w:t>caps;</w:t>
      </w:r>
      <w:r>
        <w:rPr>
          <w:spacing w:val="38"/>
        </w:rPr>
        <w:t> </w:t>
      </w:r>
      <w:r>
        <w:rPr/>
        <w:t>explicit</w:t>
      </w:r>
      <w:r>
        <w:rPr>
          <w:spacing w:val="24"/>
        </w:rPr>
        <w:t> </w:t>
      </w:r>
      <w:r>
        <w:rPr/>
        <w:t>proxy</w:t>
      </w:r>
      <w:r>
        <w:rPr>
          <w:spacing w:val="25"/>
        </w:rPr>
        <w:t> </w:t>
      </w:r>
      <w:r>
        <w:rPr/>
        <w:t>formulas</w:t>
      </w:r>
      <w:r>
        <w:rPr>
          <w:spacing w:val="24"/>
        </w:rPr>
        <w:t> </w:t>
      </w:r>
      <w:r>
        <w:rPr/>
        <w:t>in</w:t>
      </w:r>
      <w:r>
        <w:rPr>
          <w:spacing w:val="24"/>
        </w:rPr>
        <w:t> </w:t>
      </w:r>
      <w:r>
        <w:rPr/>
        <w:t>Section</w:t>
      </w:r>
      <w:r>
        <w:rPr>
          <w:spacing w:val="24"/>
        </w:rPr>
        <w:t> </w:t>
      </w:r>
      <w:hyperlink w:history="true" w:anchor="_bookmark66">
        <w:r>
          <w:rPr/>
          <w:t>3.9</w:t>
        </w:r>
      </w:hyperlink>
      <w:r>
        <w:rPr/>
        <w:t>;</w:t>
      </w:r>
      <w:r>
        <w:rPr>
          <w:spacing w:val="38"/>
        </w:rPr>
        <w:t> </w:t>
      </w:r>
      <w:r>
        <w:rPr/>
        <w:t>and</w:t>
      </w:r>
      <w:r>
        <w:rPr>
          <w:spacing w:val="24"/>
        </w:rPr>
        <w:t> </w:t>
      </w:r>
      <w:r>
        <w:rPr/>
        <w:t>logged</w:t>
      </w:r>
      <w:r>
        <w:rPr>
          <w:spacing w:val="25"/>
        </w:rPr>
        <w:t> </w:t>
      </w:r>
      <w:r>
        <w:rPr/>
        <w:t>extraction</w:t>
      </w:r>
    </w:p>
    <w:p>
      <w:pPr>
        <w:pStyle w:val="BodyText"/>
        <w:spacing w:line="396" w:lineRule="auto" w:before="21"/>
        <w:ind w:left="282" w:right="523"/>
        <w:jc w:val="both"/>
      </w:pPr>
      <w:r>
        <w:rPr>
          <w:i/>
        </w:rPr>
        <w:t>재현 가능한 요소에는 SHA256 시드를 통한 결정론적 지갑 서브샘플링, 고정된 PageR-ank 허용 오차 및 반복 제한, 섹션 3.9의 명시적 프록시 공식 및 로그 추출이 포함됩니다.</w:t>
      </w:r>
    </w:p>
    <w:p>
      <w:pPr>
        <w:pStyle w:val="BodyText"/>
        <w:spacing w:after="0" w:line="396" w:lineRule="auto"/>
        <w:jc w:val="both"/>
        <w:sectPr>
          <w:pgSz w:w="11910" w:h="16840"/>
          <w:pgMar w:header="0" w:footer="2115" w:top="1920" w:bottom="2300" w:left="992" w:right="708"/>
        </w:sectPr>
      </w:pPr>
    </w:p>
    <w:p>
      <w:pPr>
        <w:pStyle w:val="BodyText"/>
        <w:spacing w:line="396" w:lineRule="auto" w:before="72"/>
        <w:ind w:left="273" w:right="563" w:firstLine="8"/>
        <w:jc w:val="both"/>
      </w:pPr>
      <w:r>
        <w:rPr/>
        <w:t>manifests.</w:t>
      </w:r>
      <w:r>
        <w:rPr>
          <w:spacing w:val="27"/>
        </w:rPr>
        <w:t> </w:t>
      </w:r>
      <w:r>
        <w:rPr/>
        <w:t>Peer reviewers can regenerate alignment and benchmark tables from the same parquet </w:t>
      </w:r>
      <w:bookmarkStart w:name="Sampling considerations and missingness" w:id="142"/>
      <w:bookmarkEnd w:id="142"/>
      <w:r>
        <w:rPr>
          <w:w w:val="99"/>
        </w:rPr>
      </w:r>
      <w:bookmarkStart w:name="_bookmark75" w:id="143"/>
      <w:bookmarkEnd w:id="143"/>
      <w:r>
        <w:rPr/>
        <w:t>without</w:t>
      </w:r>
      <w:r>
        <w:rPr/>
        <w:t> re-querying BigQuery.</w:t>
      </w:r>
    </w:p>
    <w:p>
      <w:pPr>
        <w:pStyle w:val="BodyText"/>
        <w:spacing w:line="396" w:lineRule="auto" w:before="72"/>
        <w:ind w:left="273" w:right="563" w:firstLine="8"/>
        <w:jc w:val="both"/>
      </w:pPr>
      <w:r>
        <w:rPr>
          <w:i/>
        </w:rPr>
        <w:t>나타납니다. 동료 검토자는 BigQuery를 다시 쿼리하지 않고도 동일한 마루에서 정렬 및 벤치마크 테이블을 다시 생성할 수 있습니다.</w:t>
      </w:r>
    </w:p>
    <w:p>
      <w:pPr>
        <w:pStyle w:val="BodyText"/>
        <w:spacing w:before="160"/>
      </w:pPr>
    </w:p>
    <w:p>
      <w:pPr>
        <w:pStyle w:val="Heading2"/>
        <w:numPr>
          <w:ilvl w:val="1"/>
          <w:numId w:val="8"/>
        </w:numPr>
        <w:tabs>
          <w:tab w:pos="927" w:val="left" w:leader="none"/>
        </w:tabs>
        <w:spacing w:line="240" w:lineRule="auto" w:before="1" w:after="0"/>
        <w:ind w:left="927" w:right="0" w:hanging="645"/>
        <w:jc w:val="left"/>
      </w:pPr>
      <w:r>
        <w:rPr/>
        <w:t>Sampling</w:t>
      </w:r>
      <w:r>
        <w:rPr>
          <w:spacing w:val="18"/>
        </w:rPr>
        <w:t> </w:t>
      </w:r>
      <w:r>
        <w:rPr/>
        <w:t>considerations</w:t>
      </w:r>
      <w:r>
        <w:rPr>
          <w:spacing w:val="18"/>
        </w:rPr>
        <w:t> </w:t>
      </w:r>
      <w:r>
        <w:rPr/>
        <w:t>and</w:t>
      </w:r>
      <w:r>
        <w:rPr>
          <w:spacing w:val="18"/>
        </w:rPr>
        <w:t> </w:t>
      </w:r>
      <w:r>
        <w:rPr>
          <w:spacing w:val="-2"/>
        </w:rPr>
        <w:t>missingness</w:t>
      </w:r>
    </w:p>
    <w:p>
      <w:pPr>
        <w:pStyle w:val="Heading2"/>
        <w:numPr>
          <w:ilvl w:val="1"/>
          <w:numId w:val="8"/>
        </w:numPr>
        <w:tabs>
          <w:tab w:pos="927" w:val="left" w:leader="none"/>
        </w:tabs>
        <w:spacing w:line="240" w:lineRule="auto" w:before="1" w:after="0"/>
        <w:ind w:left="927" w:right="0" w:hanging="645"/>
        <w:jc w:val="left"/>
      </w:pPr>
      <w:r>
        <w:rPr>
          <w:i/>
        </w:rPr>
        <w:t>샘플링 고려사항 및 누락</w:t>
      </w:r>
    </w:p>
    <w:p>
      <w:pPr>
        <w:pStyle w:val="BodyText"/>
        <w:spacing w:before="23"/>
        <w:rPr>
          <w:b/>
          <w:sz w:val="28"/>
        </w:rPr>
      </w:pPr>
    </w:p>
    <w:p>
      <w:pPr>
        <w:pStyle w:val="BodyText"/>
        <w:spacing w:line="396" w:lineRule="auto" w:before="1"/>
        <w:ind w:left="282" w:right="524" w:hanging="8"/>
        <w:jc w:val="both"/>
      </w:pPr>
      <w:r>
        <w:rPr/>
        <w:t>The matched cohort is a purposeful sample, not a random sample of all Arbitrum addresses.</w:t>
      </w:r>
      <w:r>
        <w:rPr>
          <w:spacing w:val="40"/>
        </w:rPr>
        <w:t> </w:t>
      </w:r>
      <w:r>
        <w:rPr/>
        <w:t>El-igibility requires GMX activity and reputation-subgraph connectivity, so results speak to </w:t>
      </w:r>
      <w:r>
        <w:rPr>
          <w:i/>
        </w:rPr>
        <w:t>active perpetual traders with observable approval or transfer structure</w:t>
      </w:r>
      <w:r>
        <w:rPr/>
        <w:t>.</w:t>
      </w:r>
      <w:r>
        <w:rPr>
          <w:spacing w:val="40"/>
        </w:rPr>
        <w:t> </w:t>
      </w:r>
      <w:r>
        <w:rPr/>
        <w:t>Idle wallets, pure holders, and addresses that interact only through non-ERC-20 mechanisms are out of scope by design.</w:t>
      </w:r>
    </w:p>
    <w:p>
      <w:pPr>
        <w:pStyle w:val="BodyText"/>
        <w:spacing w:line="396" w:lineRule="auto" w:before="1"/>
        <w:ind w:left="282" w:right="524" w:hanging="8"/>
        <w:jc w:val="both"/>
      </w:pPr>
      <w:r>
        <w:rPr>
          <w:i/>
        </w:rPr>
        <w:t>일치하는 코호트는 모든 Arbitrum 주소의 무작위 샘플이 아닌 목적이 있는 샘플입니다. 자격을 갖추려면 GMX 활동과 평판-하위 그래프 연결이 필요하므로 결과는 관찰 가능한 승인 또는 전송 구조를 통해 활동적인 무기한 거래자에게 전달됩니다. 비ERC-20 메커니즘을 통해서만 상호 작용하는 유휴 지갑, 순수 보유자 및 주소는 설계상 범위를 벗어납니다.</w:t>
      </w:r>
    </w:p>
    <w:p>
      <w:pPr>
        <w:pStyle w:val="BodyText"/>
        <w:spacing w:line="396" w:lineRule="auto" w:before="18"/>
        <w:ind w:left="282" w:right="560"/>
        <w:jc w:val="both"/>
      </w:pPr>
      <w:r>
        <w:rPr/>
        <w:t>Missingness</w:t>
      </w:r>
      <w:r>
        <w:rPr>
          <w:spacing w:val="-8"/>
        </w:rPr>
        <w:t> </w:t>
      </w:r>
      <w:r>
        <w:rPr/>
        <w:t>arises</w:t>
      </w:r>
      <w:r>
        <w:rPr>
          <w:spacing w:val="-7"/>
        </w:rPr>
        <w:t> </w:t>
      </w:r>
      <w:r>
        <w:rPr/>
        <w:t>in</w:t>
      </w:r>
      <w:r>
        <w:rPr>
          <w:spacing w:val="-7"/>
        </w:rPr>
        <w:t> </w:t>
      </w:r>
      <w:r>
        <w:rPr/>
        <w:t>several</w:t>
      </w:r>
      <w:r>
        <w:rPr>
          <w:spacing w:val="-7"/>
        </w:rPr>
        <w:t> </w:t>
      </w:r>
      <w:r>
        <w:rPr/>
        <w:t>forms. Tokens</w:t>
      </w:r>
      <w:r>
        <w:rPr>
          <w:spacing w:val="-8"/>
        </w:rPr>
        <w:t> </w:t>
      </w:r>
      <w:r>
        <w:rPr/>
        <w:t>with</w:t>
      </w:r>
      <w:r>
        <w:rPr>
          <w:spacing w:val="-7"/>
        </w:rPr>
        <w:t> </w:t>
      </w:r>
      <w:r>
        <w:rPr/>
        <w:t>unknown</w:t>
      </w:r>
      <w:r>
        <w:rPr>
          <w:spacing w:val="-7"/>
        </w:rPr>
        <w:t> </w:t>
      </w:r>
      <w:r>
        <w:rPr/>
        <w:t>decimals</w:t>
      </w:r>
      <w:r>
        <w:rPr>
          <w:spacing w:val="-7"/>
        </w:rPr>
        <w:t> </w:t>
      </w:r>
      <w:r>
        <w:rPr/>
        <w:t>may</w:t>
      </w:r>
      <w:r>
        <w:rPr>
          <w:spacing w:val="-8"/>
        </w:rPr>
        <w:t> </w:t>
      </w:r>
      <w:r>
        <w:rPr/>
        <w:t>be</w:t>
      </w:r>
      <w:r>
        <w:rPr>
          <w:spacing w:val="-7"/>
        </w:rPr>
        <w:t> </w:t>
      </w:r>
      <w:r>
        <w:rPr/>
        <w:t>dropped</w:t>
      </w:r>
      <w:r>
        <w:rPr>
          <w:spacing w:val="-7"/>
        </w:rPr>
        <w:t> </w:t>
      </w:r>
      <w:r>
        <w:rPr/>
        <w:t>or</w:t>
      </w:r>
      <w:r>
        <w:rPr>
          <w:spacing w:val="-7"/>
        </w:rPr>
        <w:t> </w:t>
      </w:r>
      <w:r>
        <w:rPr/>
        <w:t>defaulted during</w:t>
      </w:r>
      <w:r>
        <w:rPr>
          <w:spacing w:val="-15"/>
        </w:rPr>
        <w:t> </w:t>
      </w:r>
      <w:r>
        <w:rPr/>
        <w:t>preprocessing;</w:t>
      </w:r>
      <w:r>
        <w:rPr>
          <w:spacing w:val="-15"/>
        </w:rPr>
        <w:t> </w:t>
      </w:r>
      <w:r>
        <w:rPr/>
        <w:t>such</w:t>
      </w:r>
      <w:r>
        <w:rPr>
          <w:spacing w:val="-15"/>
        </w:rPr>
        <w:t> </w:t>
      </w:r>
      <w:r>
        <w:rPr/>
        <w:t>decisions</w:t>
      </w:r>
      <w:r>
        <w:rPr>
          <w:spacing w:val="-15"/>
        </w:rPr>
        <w:t> </w:t>
      </w:r>
      <w:r>
        <w:rPr/>
        <w:t>are</w:t>
      </w:r>
      <w:r>
        <w:rPr>
          <w:spacing w:val="-15"/>
        </w:rPr>
        <w:t> </w:t>
      </w:r>
      <w:r>
        <w:rPr/>
        <w:t>logged</w:t>
      </w:r>
      <w:r>
        <w:rPr>
          <w:spacing w:val="-15"/>
        </w:rPr>
        <w:t> </w:t>
      </w:r>
      <w:r>
        <w:rPr/>
        <w:t>in</w:t>
      </w:r>
      <w:r>
        <w:rPr>
          <w:spacing w:val="-15"/>
        </w:rPr>
        <w:t> </w:t>
      </w:r>
      <w:r>
        <w:rPr/>
        <w:t>the</w:t>
      </w:r>
      <w:r>
        <w:rPr>
          <w:spacing w:val="-15"/>
        </w:rPr>
        <w:t> </w:t>
      </w:r>
      <w:r>
        <w:rPr/>
        <w:t>pipeline.</w:t>
      </w:r>
      <w:r>
        <w:rPr>
          <w:spacing w:val="-15"/>
        </w:rPr>
        <w:t> </w:t>
      </w:r>
      <w:r>
        <w:rPr/>
        <w:t>Approvals</w:t>
      </w:r>
      <w:r>
        <w:rPr>
          <w:spacing w:val="-15"/>
        </w:rPr>
        <w:t> </w:t>
      </w:r>
      <w:r>
        <w:rPr/>
        <w:t>that</w:t>
      </w:r>
      <w:r>
        <w:rPr>
          <w:spacing w:val="-15"/>
        </w:rPr>
        <w:t> </w:t>
      </w:r>
      <w:r>
        <w:rPr/>
        <w:t>never</w:t>
      </w:r>
      <w:r>
        <w:rPr>
          <w:spacing w:val="-15"/>
        </w:rPr>
        <w:t> </w:t>
      </w:r>
      <w:r>
        <w:rPr/>
        <w:t>emit</w:t>
      </w:r>
      <w:r>
        <w:rPr>
          <w:spacing w:val="-15"/>
        </w:rPr>
        <w:t> </w:t>
      </w:r>
      <w:r>
        <w:rPr/>
        <w:t>standard ERC-20</w:t>
      </w:r>
      <w:r>
        <w:rPr>
          <w:spacing w:val="-15"/>
        </w:rPr>
        <w:t> </w:t>
      </w:r>
      <w:r>
        <w:rPr/>
        <w:t>logs</w:t>
      </w:r>
      <w:r>
        <w:rPr>
          <w:spacing w:val="-15"/>
        </w:rPr>
        <w:t> </w:t>
      </w:r>
      <w:r>
        <w:rPr/>
        <w:t>(non-standard</w:t>
      </w:r>
      <w:r>
        <w:rPr>
          <w:spacing w:val="-15"/>
        </w:rPr>
        <w:t> </w:t>
      </w:r>
      <w:r>
        <w:rPr/>
        <w:t>tokens)</w:t>
      </w:r>
      <w:r>
        <w:rPr>
          <w:spacing w:val="-15"/>
        </w:rPr>
        <w:t> </w:t>
      </w:r>
      <w:r>
        <w:rPr/>
        <w:t>are</w:t>
      </w:r>
      <w:r>
        <w:rPr>
          <w:spacing w:val="-15"/>
        </w:rPr>
        <w:t> </w:t>
      </w:r>
      <w:r>
        <w:rPr/>
        <w:t>invisible</w:t>
      </w:r>
      <w:r>
        <w:rPr>
          <w:spacing w:val="-15"/>
        </w:rPr>
        <w:t> </w:t>
      </w:r>
      <w:r>
        <w:rPr/>
        <w:t>to</w:t>
      </w:r>
      <w:r>
        <w:rPr>
          <w:spacing w:val="-15"/>
        </w:rPr>
        <w:t> </w:t>
      </w:r>
      <w:r>
        <w:rPr/>
        <w:t>EndorseRank.</w:t>
      </w:r>
      <w:r>
        <w:rPr>
          <w:spacing w:val="8"/>
        </w:rPr>
        <w:t> </w:t>
      </w:r>
      <w:r>
        <w:rPr/>
        <w:t>Transfers</w:t>
      </w:r>
      <w:r>
        <w:rPr>
          <w:spacing w:val="-15"/>
        </w:rPr>
        <w:t> </w:t>
      </w:r>
      <w:r>
        <w:rPr/>
        <w:t>that</w:t>
      </w:r>
      <w:r>
        <w:rPr>
          <w:spacing w:val="-15"/>
        </w:rPr>
        <w:t> </w:t>
      </w:r>
      <w:r>
        <w:rPr/>
        <w:t>occur</w:t>
      </w:r>
      <w:r>
        <w:rPr>
          <w:spacing w:val="-15"/>
        </w:rPr>
        <w:t> </w:t>
      </w:r>
      <w:r>
        <w:rPr/>
        <w:t>off-chain</w:t>
      </w:r>
      <w:r>
        <w:rPr>
          <w:spacing w:val="-15"/>
        </w:rPr>
        <w:t> </w:t>
      </w:r>
      <w:r>
        <w:rPr/>
        <w:t>or through</w:t>
      </w:r>
      <w:r>
        <w:rPr>
          <w:spacing w:val="-14"/>
        </w:rPr>
        <w:t> </w:t>
      </w:r>
      <w:r>
        <w:rPr/>
        <w:t>custodial</w:t>
      </w:r>
      <w:r>
        <w:rPr>
          <w:spacing w:val="-13"/>
        </w:rPr>
        <w:t> </w:t>
      </w:r>
      <w:r>
        <w:rPr/>
        <w:t>systems</w:t>
      </w:r>
      <w:r>
        <w:rPr>
          <w:spacing w:val="-14"/>
        </w:rPr>
        <w:t> </w:t>
      </w:r>
      <w:r>
        <w:rPr/>
        <w:t>never</w:t>
      </w:r>
      <w:r>
        <w:rPr>
          <w:spacing w:val="-14"/>
        </w:rPr>
        <w:t> </w:t>
      </w:r>
      <w:r>
        <w:rPr/>
        <w:t>enter</w:t>
      </w:r>
      <w:r>
        <w:rPr>
          <w:spacing w:val="-14"/>
        </w:rPr>
        <w:t> </w:t>
      </w:r>
      <w:r>
        <w:rPr/>
        <w:t>AWP.</w:t>
      </w:r>
      <w:r>
        <w:rPr>
          <w:spacing w:val="-14"/>
        </w:rPr>
        <w:t> </w:t>
      </w:r>
      <w:r>
        <w:rPr/>
        <w:t>These</w:t>
      </w:r>
      <w:r>
        <w:rPr>
          <w:spacing w:val="-14"/>
        </w:rPr>
        <w:t> </w:t>
      </w:r>
      <w:r>
        <w:rPr/>
        <w:t>missingness</w:t>
      </w:r>
      <w:r>
        <w:rPr>
          <w:spacing w:val="-14"/>
        </w:rPr>
        <w:t> </w:t>
      </w:r>
      <w:r>
        <w:rPr/>
        <w:t>patterns</w:t>
      </w:r>
      <w:r>
        <w:rPr>
          <w:spacing w:val="-14"/>
        </w:rPr>
        <w:t> </w:t>
      </w:r>
      <w:r>
        <w:rPr/>
        <w:t>bias</w:t>
      </w:r>
      <w:r>
        <w:rPr>
          <w:spacing w:val="-14"/>
        </w:rPr>
        <w:t> </w:t>
      </w:r>
      <w:r>
        <w:rPr/>
        <w:t>both</w:t>
      </w:r>
      <w:r>
        <w:rPr>
          <w:spacing w:val="-14"/>
        </w:rPr>
        <w:t> </w:t>
      </w:r>
      <w:r>
        <w:rPr/>
        <w:t>methods</w:t>
      </w:r>
      <w:r>
        <w:rPr>
          <w:spacing w:val="-14"/>
        </w:rPr>
        <w:t> </w:t>
      </w:r>
      <w:r>
        <w:rPr/>
        <w:t>toward on-chain,</w:t>
      </w:r>
      <w:r>
        <w:rPr>
          <w:spacing w:val="-7"/>
        </w:rPr>
        <w:t> </w:t>
      </w:r>
      <w:r>
        <w:rPr/>
        <w:t>standard-token</w:t>
      </w:r>
      <w:r>
        <w:rPr>
          <w:spacing w:val="-7"/>
        </w:rPr>
        <w:t> </w:t>
      </w:r>
      <w:r>
        <w:rPr/>
        <w:t>activity—acceptable</w:t>
      </w:r>
      <w:r>
        <w:rPr>
          <w:spacing w:val="-7"/>
        </w:rPr>
        <w:t> </w:t>
      </w:r>
      <w:r>
        <w:rPr/>
        <w:t>for</w:t>
      </w:r>
      <w:r>
        <w:rPr>
          <w:spacing w:val="-7"/>
        </w:rPr>
        <w:t> </w:t>
      </w:r>
      <w:r>
        <w:rPr/>
        <w:t>an</w:t>
      </w:r>
      <w:r>
        <w:rPr>
          <w:spacing w:val="-7"/>
        </w:rPr>
        <w:t> </w:t>
      </w:r>
      <w:r>
        <w:rPr/>
        <w:t>on-chain</w:t>
      </w:r>
      <w:r>
        <w:rPr>
          <w:spacing w:val="-7"/>
        </w:rPr>
        <w:t> </w:t>
      </w:r>
      <w:r>
        <w:rPr/>
        <w:t>reputation</w:t>
      </w:r>
      <w:r>
        <w:rPr>
          <w:spacing w:val="-7"/>
        </w:rPr>
        <w:t> </w:t>
      </w:r>
      <w:r>
        <w:rPr/>
        <w:t>study,</w:t>
      </w:r>
      <w:r>
        <w:rPr>
          <w:spacing w:val="-7"/>
        </w:rPr>
        <w:t> </w:t>
      </w:r>
      <w:r>
        <w:rPr/>
        <w:t>but</w:t>
      </w:r>
      <w:r>
        <w:rPr>
          <w:spacing w:val="-7"/>
        </w:rPr>
        <w:t> </w:t>
      </w:r>
      <w:r>
        <w:rPr/>
        <w:t>relevant</w:t>
      </w:r>
      <w:r>
        <w:rPr>
          <w:spacing w:val="-7"/>
        </w:rPr>
        <w:t> </w:t>
      </w:r>
      <w:r>
        <w:rPr/>
        <w:t>when generalizing to the full user population of a protocol.</w:t>
      </w:r>
    </w:p>
    <w:p>
      <w:pPr>
        <w:pStyle w:val="BodyText"/>
        <w:spacing w:line="396" w:lineRule="auto" w:before="18"/>
        <w:ind w:left="282" w:right="560"/>
        <w:jc w:val="both"/>
      </w:pPr>
      <w:r>
        <w:rPr>
          <w:i/>
        </w:rPr>
        <w:t>실종은 여러 형태로 발생합니다. 알 수 없는 소수점 이하 자릿수가 포함된 토큰은 전처리 중에 삭제되거나 기본값으로 설정될 수 있습니다. 이러한 결정은 파이프라인에 기록됩니다. 표준 ERC-20 로그(비표준 토큰)를 내보내지 않는 승인은 EndorseRank에 표시되지 않습니다. 오프체인이나 관리 시스템을 통해 발생하는 전송은 절대 AWP에 들어가지 않습니다. 이러한 누락 패턴은 두 방법 모두 온체인 표준 토큰 활동에 편향되어 있습니다. 이는 온체인 평판 연구에 허용되지만 프로토콜의 전체 사용자 집단으로 일반화할 때 관련이 있습니다.</w:t>
      </w:r>
    </w:p>
    <w:p>
      <w:pPr>
        <w:pStyle w:val="BodyText"/>
        <w:spacing w:line="386" w:lineRule="auto" w:before="16"/>
        <w:ind w:left="282" w:right="563"/>
        <w:jc w:val="both"/>
      </w:pPr>
      <w:r>
        <w:rPr/>
        <w:t>Supplemental addresses in the expanded wallet pool (</w:t>
      </w:r>
      <w:r>
        <w:rPr>
          <w:rFonts w:ascii="Calibri"/>
          <w:i/>
        </w:rPr>
        <w:t>N</w:t>
      </w:r>
      <w:r>
        <w:rPr>
          <w:rFonts w:ascii="Calibri"/>
          <w:i/>
          <w:spacing w:val="40"/>
        </w:rPr>
        <w:t> </w:t>
      </w:r>
      <w:r>
        <w:rPr>
          <w:rFonts w:ascii="Calibri"/>
        </w:rPr>
        <w:t>= 31</w:t>
      </w:r>
      <w:r>
        <w:rPr>
          <w:rFonts w:ascii="Calibri"/>
          <w:i/>
        </w:rPr>
        <w:t>,</w:t>
      </w:r>
      <w:r>
        <w:rPr>
          <w:rFonts w:ascii="Calibri"/>
        </w:rPr>
        <w:t>612</w:t>
      </w:r>
      <w:r>
        <w:rPr/>
        <w:t>) increase coverage for runtime tests but do not automatically carry GMX labels.</w:t>
      </w:r>
      <w:r>
        <w:rPr>
          <w:spacing w:val="28"/>
        </w:rPr>
        <w:t> </w:t>
      </w:r>
      <w:r>
        <w:rPr/>
        <w:t>Alignment claims therefore remain anchored to </w:t>
      </w:r>
      <w:bookmarkStart w:name="Implementation notes" w:id="144"/>
      <w:bookmarkEnd w:id="144"/>
      <w:r>
        <w:rPr>
          <w:w w:val="99"/>
        </w:rPr>
      </w:r>
      <w:bookmarkStart w:name="_bookmark76" w:id="145"/>
      <w:bookmarkEnd w:id="145"/>
      <w:r>
        <w:rPr>
          <w:w w:val="105"/>
        </w:rPr>
        <w:t>the</w:t>
      </w:r>
      <w:r>
        <w:rPr>
          <w:spacing w:val="-14"/>
          <w:w w:val="105"/>
        </w:rPr>
        <w:t> </w:t>
      </w:r>
      <w:r>
        <w:rPr>
          <w:w w:val="105"/>
        </w:rPr>
        <w:t>matched</w:t>
      </w:r>
      <w:r>
        <w:rPr>
          <w:spacing w:val="-14"/>
          <w:w w:val="105"/>
        </w:rPr>
        <w:t> </w:t>
      </w:r>
      <w:r>
        <w:rPr>
          <w:w w:val="105"/>
        </w:rPr>
        <w:t>cohort</w:t>
      </w:r>
      <w:r>
        <w:rPr>
          <w:spacing w:val="-14"/>
          <w:w w:val="105"/>
        </w:rPr>
        <w:t> </w:t>
      </w:r>
      <w:r>
        <w:rPr>
          <w:w w:val="105"/>
        </w:rPr>
        <w:t>(</w:t>
      </w:r>
      <w:r>
        <w:rPr>
          <w:rFonts w:ascii="Calibri"/>
          <w:i/>
          <w:w w:val="105"/>
        </w:rPr>
        <w:t>n</w:t>
      </w:r>
      <w:r>
        <w:rPr>
          <w:rFonts w:ascii="Calibri"/>
          <w:i/>
          <w:spacing w:val="-2"/>
          <w:w w:val="105"/>
        </w:rPr>
        <w:t> </w:t>
      </w:r>
      <w:r>
        <w:rPr>
          <w:rFonts w:ascii="Calibri"/>
          <w:w w:val="125"/>
        </w:rPr>
        <w:t>=</w:t>
      </w:r>
      <w:r>
        <w:rPr>
          <w:rFonts w:ascii="Calibri"/>
          <w:spacing w:val="-14"/>
          <w:w w:val="125"/>
        </w:rPr>
        <w:t> </w:t>
      </w:r>
      <w:r>
        <w:rPr>
          <w:rFonts w:ascii="Calibri"/>
          <w:w w:val="105"/>
        </w:rPr>
        <w:t>5</w:t>
      </w:r>
      <w:r>
        <w:rPr>
          <w:rFonts w:ascii="Calibri"/>
          <w:i/>
          <w:w w:val="105"/>
        </w:rPr>
        <w:t>,</w:t>
      </w:r>
      <w:r>
        <w:rPr>
          <w:rFonts w:ascii="Calibri"/>
          <w:w w:val="105"/>
        </w:rPr>
        <w:t>521</w:t>
      </w:r>
      <w:r>
        <w:rPr>
          <w:w w:val="105"/>
        </w:rPr>
        <w:t>),</w:t>
      </w:r>
      <w:r>
        <w:rPr>
          <w:spacing w:val="-14"/>
          <w:w w:val="105"/>
        </w:rPr>
        <w:t> </w:t>
      </w:r>
      <w:r>
        <w:rPr>
          <w:w w:val="105"/>
        </w:rPr>
        <w:t>while</w:t>
      </w:r>
      <w:r>
        <w:rPr>
          <w:spacing w:val="-14"/>
          <w:w w:val="105"/>
        </w:rPr>
        <w:t> </w:t>
      </w:r>
      <w:r>
        <w:rPr>
          <w:w w:val="105"/>
        </w:rPr>
        <w:t>scaling</w:t>
      </w:r>
      <w:r>
        <w:rPr>
          <w:spacing w:val="-14"/>
          <w:w w:val="105"/>
        </w:rPr>
        <w:t> </w:t>
      </w:r>
      <w:r>
        <w:rPr>
          <w:w w:val="105"/>
        </w:rPr>
        <w:t>claims</w:t>
      </w:r>
      <w:r>
        <w:rPr>
          <w:spacing w:val="-14"/>
          <w:w w:val="105"/>
        </w:rPr>
        <w:t> </w:t>
      </w:r>
      <w:r>
        <w:rPr>
          <w:w w:val="105"/>
        </w:rPr>
        <w:t>use</w:t>
      </w:r>
      <w:r>
        <w:rPr>
          <w:spacing w:val="-14"/>
          <w:w w:val="105"/>
        </w:rPr>
        <w:t> </w:t>
      </w:r>
      <w:r>
        <w:rPr>
          <w:w w:val="105"/>
        </w:rPr>
        <w:t>the</w:t>
      </w:r>
      <w:r>
        <w:rPr>
          <w:spacing w:val="-14"/>
          <w:w w:val="105"/>
        </w:rPr>
        <w:t> </w:t>
      </w:r>
      <w:r>
        <w:rPr>
          <w:w w:val="105"/>
        </w:rPr>
        <w:t>pool.</w:t>
      </w:r>
    </w:p>
    <w:p>
      <w:pPr>
        <w:pStyle w:val="BodyText"/>
        <w:spacing w:line="386" w:lineRule="auto" w:before="16"/>
        <w:ind w:left="282" w:right="563"/>
        <w:jc w:val="both"/>
      </w:pPr>
      <w:r>
        <w:rPr>
          <w:i/>
        </w:rPr>
        <w:t>확장된 지갑 풀(N = 31,612)의 보조 주소는 런타임 테스트에 대한 적용 범위를 늘리지만 GMX 라벨을 자동으로 전달하지는 않습니다. 따라서 정렬 주장은 일치하는 코호트(n = 5,521)에 고정된 상태로 유지되는 반면 확장 주장은 풀을 사용합니다.</w:t>
      </w:r>
    </w:p>
    <w:p>
      <w:pPr>
        <w:pStyle w:val="BodyText"/>
        <w:spacing w:before="144"/>
      </w:pPr>
    </w:p>
    <w:p>
      <w:pPr>
        <w:pStyle w:val="Heading2"/>
        <w:numPr>
          <w:ilvl w:val="1"/>
          <w:numId w:val="8"/>
        </w:numPr>
        <w:tabs>
          <w:tab w:pos="927" w:val="left" w:leader="none"/>
        </w:tabs>
        <w:spacing w:line="240" w:lineRule="auto" w:before="0" w:after="0"/>
        <w:ind w:left="927" w:right="0" w:hanging="645"/>
        <w:jc w:val="left"/>
      </w:pPr>
      <w:r>
        <w:rPr/>
        <w:t>Implementation</w:t>
      </w:r>
      <w:r>
        <w:rPr>
          <w:spacing w:val="26"/>
        </w:rPr>
        <w:t> </w:t>
      </w:r>
      <w:r>
        <w:rPr>
          <w:spacing w:val="-2"/>
        </w:rPr>
        <w:t>notes</w:t>
      </w:r>
    </w:p>
    <w:p>
      <w:pPr>
        <w:pStyle w:val="Heading2"/>
        <w:numPr>
          <w:ilvl w:val="1"/>
          <w:numId w:val="8"/>
        </w:numPr>
        <w:tabs>
          <w:tab w:pos="927" w:val="left" w:leader="none"/>
        </w:tabs>
        <w:spacing w:line="240" w:lineRule="auto" w:before="0" w:after="0"/>
        <w:ind w:left="927" w:right="0" w:hanging="645"/>
        <w:jc w:val="left"/>
      </w:pPr>
      <w:r>
        <w:rPr>
          <w:i/>
        </w:rPr>
        <w:t>구현 노트</w:t>
      </w:r>
    </w:p>
    <w:p>
      <w:pPr>
        <w:pStyle w:val="BodyText"/>
        <w:spacing w:before="24"/>
        <w:rPr>
          <w:b/>
          <w:sz w:val="28"/>
        </w:rPr>
      </w:pPr>
    </w:p>
    <w:p>
      <w:pPr>
        <w:pStyle w:val="BodyText"/>
        <w:spacing w:line="391" w:lineRule="auto"/>
        <w:ind w:left="282" w:right="523"/>
        <w:jc w:val="both"/>
      </w:pPr>
      <w:r>
        <w:rPr/>
        <w:t>PageRank</w:t>
      </w:r>
      <w:r>
        <w:rPr>
          <w:spacing w:val="-5"/>
        </w:rPr>
        <w:t> </w:t>
      </w:r>
      <w:r>
        <w:rPr/>
        <w:t>is</w:t>
      </w:r>
      <w:r>
        <w:rPr>
          <w:spacing w:val="-5"/>
        </w:rPr>
        <w:t> </w:t>
      </w:r>
      <w:r>
        <w:rPr/>
        <w:t>implemented</w:t>
      </w:r>
      <w:r>
        <w:rPr>
          <w:spacing w:val="-5"/>
        </w:rPr>
        <w:t> </w:t>
      </w:r>
      <w:r>
        <w:rPr/>
        <w:t>with</w:t>
      </w:r>
      <w:r>
        <w:rPr>
          <w:spacing w:val="-5"/>
        </w:rPr>
        <w:t> </w:t>
      </w:r>
      <w:r>
        <w:rPr/>
        <w:t>sparse</w:t>
      </w:r>
      <w:r>
        <w:rPr>
          <w:spacing w:val="-5"/>
        </w:rPr>
        <w:t> </w:t>
      </w:r>
      <w:r>
        <w:rPr/>
        <w:t>adjacency</w:t>
      </w:r>
      <w:r>
        <w:rPr>
          <w:spacing w:val="-5"/>
        </w:rPr>
        <w:t> </w:t>
      </w:r>
      <w:r>
        <w:rPr/>
        <w:t>lists</w:t>
      </w:r>
      <w:r>
        <w:rPr>
          <w:spacing w:val="-5"/>
        </w:rPr>
        <w:t> </w:t>
      </w:r>
      <w:r>
        <w:rPr/>
        <w:t>and</w:t>
      </w:r>
      <w:r>
        <w:rPr>
          <w:spacing w:val="-5"/>
        </w:rPr>
        <w:t> </w:t>
      </w:r>
      <w:r>
        <w:rPr/>
        <w:t>power</w:t>
      </w:r>
      <w:r>
        <w:rPr>
          <w:spacing w:val="-5"/>
        </w:rPr>
        <w:t> </w:t>
      </w:r>
      <w:r>
        <w:rPr/>
        <w:t>iteration</w:t>
      </w:r>
      <w:r>
        <w:rPr>
          <w:spacing w:val="-5"/>
        </w:rPr>
        <w:t> </w:t>
      </w:r>
      <w:r>
        <w:rPr/>
        <w:t>in</w:t>
      </w:r>
      <w:r>
        <w:rPr>
          <w:spacing w:val="-5"/>
        </w:rPr>
        <w:t> </w:t>
      </w:r>
      <w:r>
        <w:rPr/>
        <w:t>Python,</w:t>
      </w:r>
      <w:r>
        <w:rPr>
          <w:spacing w:val="-5"/>
        </w:rPr>
        <w:t> </w:t>
      </w:r>
      <w:r>
        <w:rPr/>
        <w:t>with</w:t>
      </w:r>
      <w:r>
        <w:rPr>
          <w:spacing w:val="-5"/>
        </w:rPr>
        <w:t> </w:t>
      </w:r>
      <w:r>
        <w:rPr/>
        <w:t>optional NumPy</w:t>
      </w:r>
      <w:r>
        <w:rPr>
          <w:spacing w:val="-15"/>
        </w:rPr>
        <w:t> </w:t>
      </w:r>
      <w:r>
        <w:rPr/>
        <w:t>vectorization</w:t>
      </w:r>
      <w:r>
        <w:rPr>
          <w:spacing w:val="-15"/>
        </w:rPr>
        <w:t> </w:t>
      </w:r>
      <w:r>
        <w:rPr/>
        <w:t>for</w:t>
      </w:r>
      <w:r>
        <w:rPr>
          <w:spacing w:val="-15"/>
        </w:rPr>
        <w:t> </w:t>
      </w:r>
      <w:r>
        <w:rPr/>
        <w:t>score</w:t>
      </w:r>
      <w:r>
        <w:rPr>
          <w:spacing w:val="-15"/>
        </w:rPr>
        <w:t> </w:t>
      </w:r>
      <w:r>
        <w:rPr/>
        <w:t>updates.</w:t>
      </w:r>
      <w:r>
        <w:rPr>
          <w:spacing w:val="-10"/>
        </w:rPr>
        <w:t> </w:t>
      </w:r>
      <w:r>
        <w:rPr/>
        <w:t>Graphs</w:t>
      </w:r>
      <w:r>
        <w:rPr>
          <w:spacing w:val="-15"/>
        </w:rPr>
        <w:t> </w:t>
      </w:r>
      <w:r>
        <w:rPr/>
        <w:t>are</w:t>
      </w:r>
      <w:r>
        <w:rPr>
          <w:spacing w:val="-15"/>
        </w:rPr>
        <w:t> </w:t>
      </w:r>
      <w:r>
        <w:rPr/>
        <w:t>built</w:t>
      </w:r>
      <w:r>
        <w:rPr>
          <w:spacing w:val="-15"/>
        </w:rPr>
        <w:t> </w:t>
      </w:r>
      <w:r>
        <w:rPr/>
        <w:t>once</w:t>
      </w:r>
      <w:r>
        <w:rPr>
          <w:spacing w:val="-15"/>
        </w:rPr>
        <w:t> </w:t>
      </w:r>
      <w:r>
        <w:rPr/>
        <w:t>per</w:t>
      </w:r>
      <w:r>
        <w:rPr>
          <w:spacing w:val="-15"/>
        </w:rPr>
        <w:t> </w:t>
      </w:r>
      <w:r>
        <w:rPr/>
        <w:t>configuration;</w:t>
      </w:r>
      <w:r>
        <w:rPr>
          <w:spacing w:val="-13"/>
        </w:rPr>
        <w:t> </w:t>
      </w:r>
      <w:r>
        <w:rPr/>
        <w:t>timed</w:t>
      </w:r>
      <w:r>
        <w:rPr>
          <w:spacing w:val="-15"/>
        </w:rPr>
        <w:t> </w:t>
      </w:r>
      <w:r>
        <w:rPr/>
        <w:t>benchmarks exclude</w:t>
      </w:r>
      <w:r>
        <w:rPr>
          <w:spacing w:val="-4"/>
        </w:rPr>
        <w:t> </w:t>
      </w:r>
      <w:r>
        <w:rPr/>
        <w:t>I/O</w:t>
      </w:r>
      <w:r>
        <w:rPr>
          <w:spacing w:val="-4"/>
        </w:rPr>
        <w:t> </w:t>
      </w:r>
      <w:r>
        <w:rPr/>
        <w:t>and</w:t>
      </w:r>
      <w:r>
        <w:rPr>
          <w:spacing w:val="-4"/>
        </w:rPr>
        <w:t> </w:t>
      </w:r>
      <w:r>
        <w:rPr/>
        <w:t>preprocessing.</w:t>
      </w:r>
      <w:r>
        <w:rPr>
          <w:spacing w:val="19"/>
        </w:rPr>
        <w:t> </w:t>
      </w:r>
      <w:r>
        <w:rPr/>
        <w:t>Randomness</w:t>
      </w:r>
      <w:r>
        <w:rPr>
          <w:spacing w:val="-4"/>
        </w:rPr>
        <w:t> </w:t>
      </w:r>
      <w:r>
        <w:rPr/>
        <w:t>enters</w:t>
      </w:r>
      <w:r>
        <w:rPr>
          <w:spacing w:val="-4"/>
        </w:rPr>
        <w:t> </w:t>
      </w:r>
      <w:r>
        <w:rPr/>
        <w:t>only</w:t>
      </w:r>
      <w:r>
        <w:rPr>
          <w:spacing w:val="-4"/>
        </w:rPr>
        <w:t> </w:t>
      </w:r>
      <w:r>
        <w:rPr/>
        <w:t>through</w:t>
      </w:r>
      <w:r>
        <w:rPr>
          <w:spacing w:val="-4"/>
        </w:rPr>
        <w:t> </w:t>
      </w:r>
      <w:r>
        <w:rPr/>
        <w:t>optional</w:t>
      </w:r>
      <w:r>
        <w:rPr>
          <w:spacing w:val="-4"/>
        </w:rPr>
        <w:t> </w:t>
      </w:r>
      <w:r>
        <w:rPr/>
        <w:t>fixture</w:t>
      </w:r>
      <w:r>
        <w:rPr>
          <w:spacing w:val="-4"/>
        </w:rPr>
        <w:t> </w:t>
      </w:r>
      <w:r>
        <w:rPr/>
        <w:t>generation;</w:t>
      </w:r>
      <w:r>
        <w:rPr>
          <w:spacing w:val="-3"/>
        </w:rPr>
        <w:t> </w:t>
      </w:r>
      <w:r>
        <w:rPr/>
        <w:t>real-data evaluation is deterministic given parquet inputs and configuration seeds.</w:t>
      </w:r>
      <w:r>
        <w:rPr>
          <w:spacing w:val="40"/>
        </w:rPr>
        <w:t> </w:t>
      </w:r>
      <w:r>
        <w:rPr/>
        <w:t>Floating-point dif-ferences across machines are expected to be negligible relative to the reported </w:t>
      </w:r>
      <w:r>
        <w:rPr>
          <w:rFonts w:ascii="Calibri" w:hAnsi="Calibri"/>
          <w:i/>
        </w:rPr>
        <w:t>τ</w:t>
      </w:r>
      <w:r>
        <w:rPr>
          <w:rFonts w:ascii="Calibri" w:hAnsi="Calibri"/>
          <w:i/>
          <w:spacing w:val="40"/>
        </w:rPr>
        <w:t> </w:t>
      </w:r>
      <w:r>
        <w:rPr/>
        <w:t>precision (three decimal places).</w:t>
      </w:r>
    </w:p>
    <w:p>
      <w:pPr>
        <w:pStyle w:val="BodyText"/>
        <w:spacing w:line="391" w:lineRule="auto"/>
        <w:ind w:left="282" w:right="523"/>
        <w:jc w:val="both"/>
      </w:pPr>
      <w:r>
        <w:rPr>
          <w:i/>
        </w:rPr>
        <w:t>PageRank는 점수 업데이트를 위한 선택적 NumPy 벡터화와 함께 Python의 희소 인접 목록 및 강력한 반복으로 구현됩니다. 그래프는 구성당 한 번씩 작성되며, 시간 제한 벤치마크에서는 I/O 및 전처리가 제외됩니다. 임의성은 선택적 고정물 생성을 통해서만 입력되며, 실제 데이터 평가는 마루 입력 및 구성 시드가 주어지면 결정론적입니다. 기계 간 부동 소수점 차이는 보고된 τ 정밀도(소수점 세 자리)에 비해 무시할 수 있을 것으로 예상됩니다.</w:t>
      </w:r>
    </w:p>
    <w:p>
      <w:pPr>
        <w:pStyle w:val="BodyText"/>
        <w:spacing w:before="26"/>
        <w:ind w:left="282"/>
        <w:jc w:val="both"/>
      </w:pPr>
      <w:r>
        <w:rPr/>
        <w:t>Figures</w:t>
      </w:r>
      <w:r>
        <w:rPr>
          <w:spacing w:val="7"/>
        </w:rPr>
        <w:t> </w:t>
      </w:r>
      <w:r>
        <w:rPr/>
        <w:t>are</w:t>
      </w:r>
      <w:r>
        <w:rPr>
          <w:spacing w:val="8"/>
        </w:rPr>
        <w:t> </w:t>
      </w:r>
      <w:r>
        <w:rPr/>
        <w:t>generated</w:t>
      </w:r>
      <w:r>
        <w:rPr>
          <w:spacing w:val="8"/>
        </w:rPr>
        <w:t> </w:t>
      </w:r>
      <w:r>
        <w:rPr/>
        <w:t>from</w:t>
      </w:r>
      <w:r>
        <w:rPr>
          <w:spacing w:val="8"/>
        </w:rPr>
        <w:t> </w:t>
      </w:r>
      <w:r>
        <w:rPr/>
        <w:t>the</w:t>
      </w:r>
      <w:r>
        <w:rPr>
          <w:spacing w:val="7"/>
        </w:rPr>
        <w:t> </w:t>
      </w:r>
      <w:r>
        <w:rPr/>
        <w:t>same</w:t>
      </w:r>
      <w:r>
        <w:rPr>
          <w:spacing w:val="8"/>
        </w:rPr>
        <w:t> </w:t>
      </w:r>
      <w:r>
        <w:rPr/>
        <w:t>evaluation</w:t>
      </w:r>
      <w:r>
        <w:rPr>
          <w:spacing w:val="8"/>
        </w:rPr>
        <w:t> </w:t>
      </w:r>
      <w:r>
        <w:rPr/>
        <w:t>artifacts</w:t>
      </w:r>
      <w:r>
        <w:rPr>
          <w:spacing w:val="8"/>
        </w:rPr>
        <w:t> </w:t>
      </w:r>
      <w:r>
        <w:rPr/>
        <w:t>as</w:t>
      </w:r>
      <w:r>
        <w:rPr>
          <w:spacing w:val="7"/>
        </w:rPr>
        <w:t> </w:t>
      </w:r>
      <w:r>
        <w:rPr/>
        <w:t>the</w:t>
      </w:r>
      <w:r>
        <w:rPr>
          <w:spacing w:val="8"/>
        </w:rPr>
        <w:t> </w:t>
      </w:r>
      <w:r>
        <w:rPr/>
        <w:t>tables,</w:t>
      </w:r>
      <w:r>
        <w:rPr>
          <w:spacing w:val="11"/>
        </w:rPr>
        <w:t> </w:t>
      </w:r>
      <w:r>
        <w:rPr/>
        <w:t>so</w:t>
      </w:r>
      <w:r>
        <w:rPr>
          <w:spacing w:val="8"/>
        </w:rPr>
        <w:t> </w:t>
      </w:r>
      <w:r>
        <w:rPr/>
        <w:t>reported</w:t>
      </w:r>
      <w:r>
        <w:rPr>
          <w:spacing w:val="8"/>
        </w:rPr>
        <w:t> </w:t>
      </w:r>
      <w:r>
        <w:rPr/>
        <w:t>numerics</w:t>
      </w:r>
      <w:r>
        <w:rPr>
          <w:spacing w:val="8"/>
        </w:rPr>
        <w:t> </w:t>
      </w:r>
      <w:r>
        <w:rPr>
          <w:spacing w:val="-5"/>
        </w:rPr>
        <w:t>and</w:t>
      </w:r>
    </w:p>
    <w:p>
      <w:pPr>
        <w:pStyle w:val="BodyText"/>
        <w:spacing w:before="26"/>
        <w:ind w:left="282"/>
        <w:jc w:val="both"/>
      </w:pPr>
      <w:r>
        <w:rPr>
          <w:i/>
        </w:rPr>
        <w:t>그림은 테이블과 동일한 평가 아티팩트에서 생성되므로 숫자 및</w:t>
      </w:r>
    </w:p>
    <w:p>
      <w:pPr>
        <w:pStyle w:val="BodyText"/>
        <w:spacing w:after="0"/>
        <w:jc w:val="both"/>
        <w:sectPr>
          <w:pgSz w:w="11910" w:h="16840"/>
          <w:pgMar w:header="0" w:footer="2115" w:top="1840" w:bottom="2300" w:left="992" w:right="708"/>
        </w:sectPr>
      </w:pPr>
    </w:p>
    <w:p>
      <w:pPr>
        <w:pStyle w:val="BodyText"/>
        <w:spacing w:before="72"/>
        <w:ind w:left="282"/>
        <w:jc w:val="both"/>
      </w:pPr>
      <w:bookmarkStart w:name="Ethics" w:id="146"/>
      <w:bookmarkEnd w:id="146"/>
      <w:r>
        <w:rPr/>
      </w:r>
      <w:bookmarkStart w:name="_bookmark77" w:id="147"/>
      <w:bookmarkEnd w:id="147"/>
      <w:r>
        <w:rPr/>
      </w:r>
      <w:r>
        <w:rPr/>
        <w:t>plots</w:t>
      </w:r>
      <w:r>
        <w:rPr>
          <w:spacing w:val="-9"/>
        </w:rPr>
        <w:t> </w:t>
      </w:r>
      <w:r>
        <w:rPr/>
        <w:t>remain</w:t>
      </w:r>
      <w:r>
        <w:rPr>
          <w:spacing w:val="-9"/>
        </w:rPr>
        <w:t> </w:t>
      </w:r>
      <w:r>
        <w:rPr>
          <w:spacing w:val="-2"/>
        </w:rPr>
        <w:t>consistent.</w:t>
      </w:r>
    </w:p>
    <w:p>
      <w:pPr>
        <w:pStyle w:val="BodyText"/>
        <w:spacing w:before="72"/>
        <w:ind w:left="282"/>
        <w:jc w:val="both"/>
      </w:pPr>
      <w:r>
        <w:rPr>
          <w:i/>
        </w:rPr>
        <w:t>플롯은 일관되게 유지됩니다.</w:t>
      </w:r>
    </w:p>
    <w:p>
      <w:pPr>
        <w:pStyle w:val="BodyText"/>
      </w:pPr>
    </w:p>
    <w:p>
      <w:pPr>
        <w:pStyle w:val="BodyText"/>
        <w:spacing w:before="63"/>
      </w:pPr>
    </w:p>
    <w:p>
      <w:pPr>
        <w:pStyle w:val="Heading2"/>
        <w:numPr>
          <w:ilvl w:val="1"/>
          <w:numId w:val="8"/>
        </w:numPr>
        <w:tabs>
          <w:tab w:pos="927" w:val="left" w:leader="none"/>
        </w:tabs>
        <w:spacing w:line="240" w:lineRule="auto" w:before="0" w:after="0"/>
        <w:ind w:left="927" w:right="0" w:hanging="645"/>
        <w:jc w:val="left"/>
      </w:pPr>
      <w:r>
        <w:rPr>
          <w:spacing w:val="-2"/>
        </w:rPr>
        <w:t>Ethics</w:t>
      </w:r>
    </w:p>
    <w:p>
      <w:pPr>
        <w:pStyle w:val="Heading2"/>
        <w:numPr>
          <w:ilvl w:val="1"/>
          <w:numId w:val="8"/>
        </w:numPr>
        <w:tabs>
          <w:tab w:pos="927" w:val="left" w:leader="none"/>
        </w:tabs>
        <w:spacing w:line="240" w:lineRule="auto" w:before="0" w:after="0"/>
        <w:ind w:left="927" w:right="0" w:hanging="645"/>
        <w:jc w:val="left"/>
      </w:pPr>
      <w:r>
        <w:rPr>
          <w:i/>
        </w:rPr>
        <w:t>윤리학</w:t>
      </w:r>
    </w:p>
    <w:p>
      <w:pPr>
        <w:pStyle w:val="BodyText"/>
        <w:spacing w:before="24"/>
        <w:rPr>
          <w:b/>
          <w:sz w:val="28"/>
        </w:rPr>
      </w:pPr>
    </w:p>
    <w:p>
      <w:pPr>
        <w:pStyle w:val="BodyText"/>
        <w:spacing w:line="396" w:lineRule="auto"/>
        <w:ind w:left="282" w:right="560" w:hanging="8"/>
        <w:jc w:val="both"/>
      </w:pPr>
      <w:r>
        <w:rPr/>
        <w:t>This</w:t>
      </w:r>
      <w:r>
        <w:rPr>
          <w:spacing w:val="-6"/>
        </w:rPr>
        <w:t> </w:t>
      </w:r>
      <w:r>
        <w:rPr/>
        <w:t>study</w:t>
      </w:r>
      <w:r>
        <w:rPr>
          <w:spacing w:val="-6"/>
        </w:rPr>
        <w:t> </w:t>
      </w:r>
      <w:r>
        <w:rPr/>
        <w:t>uses</w:t>
      </w:r>
      <w:r>
        <w:rPr>
          <w:spacing w:val="-6"/>
        </w:rPr>
        <w:t> </w:t>
      </w:r>
      <w:r>
        <w:rPr/>
        <w:t>exclusively</w:t>
      </w:r>
      <w:r>
        <w:rPr>
          <w:spacing w:val="-6"/>
        </w:rPr>
        <w:t> </w:t>
      </w:r>
      <w:r>
        <w:rPr/>
        <w:t>publicly</w:t>
      </w:r>
      <w:r>
        <w:rPr>
          <w:spacing w:val="-6"/>
        </w:rPr>
        <w:t> </w:t>
      </w:r>
      <w:r>
        <w:rPr/>
        <w:t>available</w:t>
      </w:r>
      <w:r>
        <w:rPr>
          <w:spacing w:val="-6"/>
        </w:rPr>
        <w:t> </w:t>
      </w:r>
      <w:r>
        <w:rPr/>
        <w:t>blockchain</w:t>
      </w:r>
      <w:r>
        <w:rPr>
          <w:spacing w:val="-6"/>
        </w:rPr>
        <w:t> </w:t>
      </w:r>
      <w:r>
        <w:rPr/>
        <w:t>data</w:t>
      </w:r>
      <w:r>
        <w:rPr>
          <w:spacing w:val="-6"/>
        </w:rPr>
        <w:t> </w:t>
      </w:r>
      <w:r>
        <w:rPr/>
        <w:t>and</w:t>
      </w:r>
      <w:r>
        <w:rPr>
          <w:spacing w:val="-6"/>
        </w:rPr>
        <w:t> </w:t>
      </w:r>
      <w:r>
        <w:rPr/>
        <w:t>does</w:t>
      </w:r>
      <w:r>
        <w:rPr>
          <w:spacing w:val="-6"/>
        </w:rPr>
        <w:t> </w:t>
      </w:r>
      <w:r>
        <w:rPr/>
        <w:t>not</w:t>
      </w:r>
      <w:r>
        <w:rPr>
          <w:spacing w:val="-6"/>
        </w:rPr>
        <w:t> </w:t>
      </w:r>
      <w:r>
        <w:rPr/>
        <w:t>intervene</w:t>
      </w:r>
      <w:r>
        <w:rPr>
          <w:spacing w:val="-6"/>
        </w:rPr>
        <w:t> </w:t>
      </w:r>
      <w:r>
        <w:rPr/>
        <w:t>with</w:t>
      </w:r>
      <w:r>
        <w:rPr>
          <w:spacing w:val="-6"/>
        </w:rPr>
        <w:t> </w:t>
      </w:r>
      <w:r>
        <w:rPr/>
        <w:t>human participants. Ethics</w:t>
      </w:r>
      <w:r>
        <w:rPr>
          <w:spacing w:val="-8"/>
        </w:rPr>
        <w:t> </w:t>
      </w:r>
      <w:r>
        <w:rPr/>
        <w:t>clearance</w:t>
      </w:r>
      <w:r>
        <w:rPr>
          <w:spacing w:val="-8"/>
        </w:rPr>
        <w:t> </w:t>
      </w:r>
      <w:r>
        <w:rPr/>
        <w:t>and</w:t>
      </w:r>
      <w:r>
        <w:rPr>
          <w:spacing w:val="-8"/>
        </w:rPr>
        <w:t> </w:t>
      </w:r>
      <w:r>
        <w:rPr/>
        <w:t>data-handling</w:t>
      </w:r>
      <w:r>
        <w:rPr>
          <w:spacing w:val="-8"/>
        </w:rPr>
        <w:t> </w:t>
      </w:r>
      <w:r>
        <w:rPr/>
        <w:t>procedures</w:t>
      </w:r>
      <w:r>
        <w:rPr>
          <w:spacing w:val="-8"/>
        </w:rPr>
        <w:t> </w:t>
      </w:r>
      <w:r>
        <w:rPr/>
        <w:t>were</w:t>
      </w:r>
      <w:r>
        <w:rPr>
          <w:spacing w:val="-8"/>
        </w:rPr>
        <w:t> </w:t>
      </w:r>
      <w:r>
        <w:rPr/>
        <w:t>approved</w:t>
      </w:r>
      <w:r>
        <w:rPr>
          <w:spacing w:val="-8"/>
        </w:rPr>
        <w:t> </w:t>
      </w:r>
      <w:r>
        <w:rPr/>
        <w:t>by</w:t>
      </w:r>
      <w:r>
        <w:rPr>
          <w:spacing w:val="-8"/>
        </w:rPr>
        <w:t> </w:t>
      </w:r>
      <w:r>
        <w:rPr/>
        <w:t>the</w:t>
      </w:r>
      <w:r>
        <w:rPr>
          <w:spacing w:val="-8"/>
        </w:rPr>
        <w:t> </w:t>
      </w:r>
      <w:r>
        <w:rPr/>
        <w:t>institution</w:t>
      </w:r>
      <w:r>
        <w:rPr>
          <w:spacing w:val="-8"/>
        </w:rPr>
        <w:t> </w:t>
      </w:r>
      <w:r>
        <w:rPr/>
        <w:t>prior to empirical data collection; the exemption or clearance confirmation is retained as part of the research record.</w:t>
      </w:r>
    </w:p>
    <w:p>
      <w:pPr>
        <w:pStyle w:val="BodyText"/>
        <w:spacing w:line="396" w:lineRule="auto"/>
        <w:ind w:left="282" w:right="560" w:hanging="8"/>
        <w:jc w:val="both"/>
      </w:pPr>
      <w:r>
        <w:rPr>
          <w:i/>
        </w:rPr>
        <w:t>본 연구는 공개적으로 이용 가능한 블록체인 데이터를 독점적으로 사용하며 인간 참여자에게 개입하지 않습니다. 윤리 승인 및 데이터 처리 절차는 경험적 데이터 수집 이전에 기관의 승인을 받았으며, 면제 또는 승인 확인은 연구 기록의 일부로 보관됩니다.</w:t>
      </w:r>
    </w:p>
    <w:p>
      <w:pPr>
        <w:pStyle w:val="ListParagraph"/>
        <w:numPr>
          <w:ilvl w:val="0"/>
          <w:numId w:val="24"/>
        </w:numPr>
        <w:tabs>
          <w:tab w:pos="776" w:val="left" w:leader="none"/>
          <w:tab w:pos="806" w:val="left" w:leader="none"/>
        </w:tabs>
        <w:spacing w:line="396" w:lineRule="auto" w:before="123" w:after="0"/>
        <w:ind w:left="776" w:right="523" w:hanging="184"/>
        <w:jc w:val="both"/>
        <w:rPr>
          <w:sz w:val="24"/>
        </w:rPr>
      </w:pPr>
      <w:bookmarkStart w:name="_bookmark78" w:id="148"/>
      <w:bookmarkEnd w:id="148"/>
      <w:r>
        <w:rPr/>
      </w:r>
      <w:r>
        <w:rPr>
          <w:sz w:val="24"/>
        </w:rPr>
        <w:tab/>
      </w:r>
      <w:r>
        <w:rPr>
          <w:b/>
          <w:sz w:val="24"/>
        </w:rPr>
        <w:t>Privacy and anonymity:</w:t>
      </w:r>
      <w:r>
        <w:rPr>
          <w:b/>
          <w:spacing w:val="25"/>
          <w:sz w:val="24"/>
        </w:rPr>
        <w:t> </w:t>
      </w:r>
      <w:r>
        <w:rPr>
          <w:sz w:val="24"/>
        </w:rPr>
        <w:t>Arbitrum One addresses are pseudonymous identifiers, not inher-ently linked to real-world identities </w:t>
      </w:r>
      <w:hyperlink w:history="true" w:anchor="_bookmark181">
        <w:r>
          <w:rPr>
            <w:sz w:val="24"/>
            <w:vertAlign w:val="superscript"/>
          </w:rPr>
          <w:t>[48]</w:t>
        </w:r>
      </w:hyperlink>
      <w:r>
        <w:rPr>
          <w:sz w:val="24"/>
          <w:vertAlign w:val="baseline"/>
        </w:rPr>
        <w:t>.</w:t>
      </w:r>
      <w:r>
        <w:rPr>
          <w:spacing w:val="38"/>
          <w:sz w:val="24"/>
          <w:vertAlign w:val="baseline"/>
        </w:rPr>
        <w:t> </w:t>
      </w:r>
      <w:r>
        <w:rPr>
          <w:sz w:val="24"/>
          <w:vertAlign w:val="baseline"/>
        </w:rPr>
        <w:t>Pseudonymity is not anonymity: determined adver-</w:t>
      </w:r>
      <w:r>
        <w:rPr>
          <w:spacing w:val="-2"/>
          <w:w w:val="105"/>
          <w:sz w:val="24"/>
          <w:vertAlign w:val="baseline"/>
        </w:rPr>
        <w:t>saries</w:t>
      </w:r>
      <w:r>
        <w:rPr>
          <w:spacing w:val="-8"/>
          <w:w w:val="105"/>
          <w:sz w:val="24"/>
          <w:vertAlign w:val="baseline"/>
        </w:rPr>
        <w:t> </w:t>
      </w:r>
      <w:r>
        <w:rPr>
          <w:spacing w:val="-2"/>
          <w:w w:val="105"/>
          <w:sz w:val="24"/>
          <w:vertAlign w:val="baseline"/>
        </w:rPr>
        <w:t>can</w:t>
      </w:r>
      <w:r>
        <w:rPr>
          <w:spacing w:val="-8"/>
          <w:w w:val="105"/>
          <w:sz w:val="24"/>
          <w:vertAlign w:val="baseline"/>
        </w:rPr>
        <w:t> </w:t>
      </w:r>
      <w:r>
        <w:rPr>
          <w:spacing w:val="-2"/>
          <w:w w:val="105"/>
          <w:sz w:val="24"/>
          <w:vertAlign w:val="baseline"/>
        </w:rPr>
        <w:t>sometimes</w:t>
      </w:r>
      <w:r>
        <w:rPr>
          <w:spacing w:val="-8"/>
          <w:w w:val="105"/>
          <w:sz w:val="24"/>
          <w:vertAlign w:val="baseline"/>
        </w:rPr>
        <w:t> </w:t>
      </w:r>
      <w:r>
        <w:rPr>
          <w:spacing w:val="-2"/>
          <w:w w:val="105"/>
          <w:sz w:val="24"/>
          <w:vertAlign w:val="baseline"/>
        </w:rPr>
        <w:t>link</w:t>
      </w:r>
      <w:r>
        <w:rPr>
          <w:spacing w:val="-8"/>
          <w:w w:val="105"/>
          <w:sz w:val="24"/>
          <w:vertAlign w:val="baseline"/>
        </w:rPr>
        <w:t> </w:t>
      </w:r>
      <w:r>
        <w:rPr>
          <w:spacing w:val="-2"/>
          <w:w w:val="105"/>
          <w:sz w:val="24"/>
          <w:vertAlign w:val="baseline"/>
        </w:rPr>
        <w:t>addresses</w:t>
      </w:r>
      <w:r>
        <w:rPr>
          <w:spacing w:val="-8"/>
          <w:w w:val="105"/>
          <w:sz w:val="24"/>
          <w:vertAlign w:val="baseline"/>
        </w:rPr>
        <w:t> </w:t>
      </w:r>
      <w:r>
        <w:rPr>
          <w:spacing w:val="-2"/>
          <w:w w:val="105"/>
          <w:sz w:val="24"/>
          <w:vertAlign w:val="baseline"/>
        </w:rPr>
        <w:t>to</w:t>
      </w:r>
      <w:r>
        <w:rPr>
          <w:spacing w:val="-8"/>
          <w:w w:val="105"/>
          <w:sz w:val="24"/>
          <w:vertAlign w:val="baseline"/>
        </w:rPr>
        <w:t> </w:t>
      </w:r>
      <w:r>
        <w:rPr>
          <w:spacing w:val="-2"/>
          <w:w w:val="105"/>
          <w:sz w:val="24"/>
          <w:vertAlign w:val="baseline"/>
        </w:rPr>
        <w:t>persons</w:t>
      </w:r>
      <w:r>
        <w:rPr>
          <w:spacing w:val="-8"/>
          <w:w w:val="105"/>
          <w:sz w:val="24"/>
          <w:vertAlign w:val="baseline"/>
        </w:rPr>
        <w:t> </w:t>
      </w:r>
      <w:r>
        <w:rPr>
          <w:spacing w:val="-2"/>
          <w:w w:val="105"/>
          <w:sz w:val="24"/>
          <w:vertAlign w:val="baseline"/>
        </w:rPr>
        <w:t>through</w:t>
      </w:r>
      <w:r>
        <w:rPr>
          <w:spacing w:val="-8"/>
          <w:w w:val="105"/>
          <w:sz w:val="24"/>
          <w:vertAlign w:val="baseline"/>
        </w:rPr>
        <w:t> </w:t>
      </w:r>
      <w:r>
        <w:rPr>
          <w:spacing w:val="-2"/>
          <w:w w:val="105"/>
          <w:sz w:val="24"/>
          <w:vertAlign w:val="baseline"/>
        </w:rPr>
        <w:t>exchange</w:t>
      </w:r>
      <w:r>
        <w:rPr>
          <w:spacing w:val="-8"/>
          <w:w w:val="105"/>
          <w:sz w:val="24"/>
          <w:vertAlign w:val="baseline"/>
        </w:rPr>
        <w:t> </w:t>
      </w:r>
      <w:r>
        <w:rPr>
          <w:spacing w:val="-2"/>
          <w:w w:val="105"/>
          <w:sz w:val="24"/>
          <w:vertAlign w:val="baseline"/>
        </w:rPr>
        <w:t>deposits,</w:t>
      </w:r>
      <w:r>
        <w:rPr>
          <w:spacing w:val="-4"/>
          <w:w w:val="105"/>
          <w:sz w:val="24"/>
          <w:vertAlign w:val="baseline"/>
        </w:rPr>
        <w:t> </w:t>
      </w:r>
      <w:r>
        <w:rPr>
          <w:spacing w:val="-2"/>
          <w:w w:val="105"/>
          <w:sz w:val="24"/>
          <w:vertAlign w:val="baseline"/>
        </w:rPr>
        <w:t>public</w:t>
      </w:r>
      <w:r>
        <w:rPr>
          <w:spacing w:val="-8"/>
          <w:w w:val="105"/>
          <w:sz w:val="24"/>
          <w:vertAlign w:val="baseline"/>
        </w:rPr>
        <w:t> </w:t>
      </w:r>
      <w:r>
        <w:rPr>
          <w:spacing w:val="-2"/>
          <w:w w:val="105"/>
          <w:sz w:val="24"/>
          <w:vertAlign w:val="baseline"/>
        </w:rPr>
        <w:t>profiles, </w:t>
      </w:r>
      <w:r>
        <w:rPr>
          <w:sz w:val="24"/>
          <w:vertAlign w:val="baseline"/>
        </w:rPr>
        <w:t>or clustering heuristics.</w:t>
      </w:r>
      <w:r>
        <w:rPr>
          <w:spacing w:val="36"/>
          <w:sz w:val="24"/>
          <w:vertAlign w:val="baseline"/>
        </w:rPr>
        <w:t> </w:t>
      </w:r>
      <w:r>
        <w:rPr>
          <w:sz w:val="24"/>
          <w:vertAlign w:val="baseline"/>
        </w:rPr>
        <w:t>This study deliberately refrains from such linkage.</w:t>
      </w:r>
      <w:r>
        <w:rPr>
          <w:spacing w:val="36"/>
          <w:sz w:val="24"/>
          <w:vertAlign w:val="baseline"/>
        </w:rPr>
        <w:t> </w:t>
      </w:r>
      <w:r>
        <w:rPr>
          <w:sz w:val="24"/>
          <w:vertAlign w:val="baseline"/>
        </w:rPr>
        <w:t>Collection is re-</w:t>
      </w:r>
      <w:r>
        <w:rPr>
          <w:w w:val="105"/>
          <w:sz w:val="24"/>
          <w:vertAlign w:val="baseline"/>
        </w:rPr>
        <w:t>stricted</w:t>
      </w:r>
      <w:r>
        <w:rPr>
          <w:spacing w:val="40"/>
          <w:w w:val="105"/>
          <w:sz w:val="24"/>
          <w:vertAlign w:val="baseline"/>
        </w:rPr>
        <w:t> </w:t>
      </w:r>
      <w:r>
        <w:rPr>
          <w:w w:val="105"/>
          <w:sz w:val="24"/>
          <w:vertAlign w:val="baseline"/>
        </w:rPr>
        <w:t>to</w:t>
      </w:r>
      <w:r>
        <w:rPr>
          <w:spacing w:val="40"/>
          <w:w w:val="105"/>
          <w:sz w:val="24"/>
          <w:vertAlign w:val="baseline"/>
        </w:rPr>
        <w:t> </w:t>
      </w:r>
      <w:r>
        <w:rPr>
          <w:w w:val="105"/>
          <w:sz w:val="24"/>
          <w:vertAlign w:val="baseline"/>
        </w:rPr>
        <w:t>on-chain</w:t>
      </w:r>
      <w:r>
        <w:rPr>
          <w:spacing w:val="40"/>
          <w:w w:val="105"/>
          <w:sz w:val="24"/>
          <w:vertAlign w:val="baseline"/>
        </w:rPr>
        <w:t> </w:t>
      </w:r>
      <w:r>
        <w:rPr>
          <w:w w:val="105"/>
          <w:sz w:val="24"/>
          <w:vertAlign w:val="baseline"/>
        </w:rPr>
        <w:t>events—</w:t>
      </w:r>
      <w:r>
        <w:rPr>
          <w:rFonts w:ascii="Calibri" w:hAnsi="Calibri"/>
          <w:w w:val="105"/>
          <w:sz w:val="24"/>
          <w:vertAlign w:val="baseline"/>
        </w:rPr>
        <w:t>Approval</w:t>
      </w:r>
      <w:r>
        <w:rPr>
          <w:w w:val="105"/>
          <w:sz w:val="24"/>
          <w:vertAlign w:val="baseline"/>
        </w:rPr>
        <w:t>,</w:t>
      </w:r>
      <w:r>
        <w:rPr>
          <w:spacing w:val="40"/>
          <w:w w:val="105"/>
          <w:sz w:val="24"/>
          <w:vertAlign w:val="baseline"/>
        </w:rPr>
        <w:t> </w:t>
      </w:r>
      <w:r>
        <w:rPr>
          <w:rFonts w:ascii="Calibri" w:hAnsi="Calibri"/>
          <w:w w:val="105"/>
          <w:sz w:val="24"/>
          <w:vertAlign w:val="baseline"/>
        </w:rPr>
        <w:t>Transfer</w:t>
      </w:r>
      <w:r>
        <w:rPr>
          <w:w w:val="105"/>
          <w:sz w:val="24"/>
          <w:vertAlign w:val="baseline"/>
        </w:rPr>
        <w:t>,</w:t>
      </w:r>
      <w:r>
        <w:rPr>
          <w:spacing w:val="40"/>
          <w:w w:val="105"/>
          <w:sz w:val="24"/>
          <w:vertAlign w:val="baseline"/>
        </w:rPr>
        <w:t> </w:t>
      </w:r>
      <w:r>
        <w:rPr>
          <w:w w:val="105"/>
          <w:sz w:val="24"/>
          <w:vertAlign w:val="baseline"/>
        </w:rPr>
        <w:t>and</w:t>
      </w:r>
      <w:r>
        <w:rPr>
          <w:spacing w:val="40"/>
          <w:w w:val="105"/>
          <w:sz w:val="24"/>
          <w:vertAlign w:val="baseline"/>
        </w:rPr>
        <w:t> </w:t>
      </w:r>
      <w:r>
        <w:rPr>
          <w:w w:val="105"/>
          <w:sz w:val="24"/>
          <w:vertAlign w:val="baseline"/>
        </w:rPr>
        <w:t>GMX</w:t>
      </w:r>
      <w:r>
        <w:rPr>
          <w:spacing w:val="40"/>
          <w:w w:val="105"/>
          <w:sz w:val="24"/>
          <w:vertAlign w:val="baseline"/>
        </w:rPr>
        <w:t> </w:t>
      </w:r>
      <w:r>
        <w:rPr>
          <w:rFonts w:ascii="Calibri" w:hAnsi="Calibri"/>
          <w:w w:val="105"/>
          <w:sz w:val="24"/>
          <w:vertAlign w:val="baseline"/>
        </w:rPr>
        <w:t>PositionDecrease</w:t>
      </w:r>
      <w:r>
        <w:rPr>
          <w:w w:val="105"/>
          <w:sz w:val="24"/>
          <w:vertAlign w:val="baseline"/>
        </w:rPr>
        <w:t>—with no</w:t>
      </w:r>
      <w:r>
        <w:rPr>
          <w:spacing w:val="-14"/>
          <w:w w:val="105"/>
          <w:sz w:val="24"/>
          <w:vertAlign w:val="baseline"/>
        </w:rPr>
        <w:t> </w:t>
      </w:r>
      <w:r>
        <w:rPr>
          <w:w w:val="105"/>
          <w:sz w:val="24"/>
          <w:vertAlign w:val="baseline"/>
        </w:rPr>
        <w:t>scraping</w:t>
      </w:r>
      <w:r>
        <w:rPr>
          <w:spacing w:val="-14"/>
          <w:w w:val="105"/>
          <w:sz w:val="24"/>
          <w:vertAlign w:val="baseline"/>
        </w:rPr>
        <w:t> </w:t>
      </w:r>
      <w:r>
        <w:rPr>
          <w:w w:val="105"/>
          <w:sz w:val="24"/>
          <w:vertAlign w:val="baseline"/>
        </w:rPr>
        <w:t>or</w:t>
      </w:r>
      <w:r>
        <w:rPr>
          <w:spacing w:val="-14"/>
          <w:w w:val="105"/>
          <w:sz w:val="24"/>
          <w:vertAlign w:val="baseline"/>
        </w:rPr>
        <w:t> </w:t>
      </w:r>
      <w:r>
        <w:rPr>
          <w:w w:val="105"/>
          <w:sz w:val="24"/>
          <w:vertAlign w:val="baseline"/>
        </w:rPr>
        <w:t>integration</w:t>
      </w:r>
      <w:r>
        <w:rPr>
          <w:spacing w:val="-14"/>
          <w:w w:val="105"/>
          <w:sz w:val="24"/>
          <w:vertAlign w:val="baseline"/>
        </w:rPr>
        <w:t> </w:t>
      </w:r>
      <w:r>
        <w:rPr>
          <w:w w:val="105"/>
          <w:sz w:val="24"/>
          <w:vertAlign w:val="baseline"/>
        </w:rPr>
        <w:t>of</w:t>
      </w:r>
      <w:r>
        <w:rPr>
          <w:spacing w:val="-14"/>
          <w:w w:val="105"/>
          <w:sz w:val="24"/>
          <w:vertAlign w:val="baseline"/>
        </w:rPr>
        <w:t> </w:t>
      </w:r>
      <w:r>
        <w:rPr>
          <w:w w:val="105"/>
          <w:sz w:val="24"/>
          <w:vertAlign w:val="baseline"/>
        </w:rPr>
        <w:t>off-chain</w:t>
      </w:r>
      <w:r>
        <w:rPr>
          <w:spacing w:val="-14"/>
          <w:w w:val="105"/>
          <w:sz w:val="24"/>
          <w:vertAlign w:val="baseline"/>
        </w:rPr>
        <w:t> </w:t>
      </w:r>
      <w:r>
        <w:rPr>
          <w:w w:val="105"/>
          <w:sz w:val="24"/>
          <w:vertAlign w:val="baseline"/>
        </w:rPr>
        <w:t>personal</w:t>
      </w:r>
      <w:r>
        <w:rPr>
          <w:spacing w:val="-14"/>
          <w:w w:val="105"/>
          <w:sz w:val="24"/>
          <w:vertAlign w:val="baseline"/>
        </w:rPr>
        <w:t> </w:t>
      </w:r>
      <w:r>
        <w:rPr>
          <w:w w:val="105"/>
          <w:sz w:val="24"/>
          <w:vertAlign w:val="baseline"/>
        </w:rPr>
        <w:t>data</w:t>
      </w:r>
      <w:r>
        <w:rPr>
          <w:spacing w:val="-14"/>
          <w:w w:val="105"/>
          <w:sz w:val="24"/>
          <w:vertAlign w:val="baseline"/>
        </w:rPr>
        <w:t> </w:t>
      </w:r>
      <w:r>
        <w:rPr>
          <w:w w:val="105"/>
          <w:sz w:val="24"/>
          <w:vertAlign w:val="baseline"/>
        </w:rPr>
        <w:t>such</w:t>
      </w:r>
      <w:r>
        <w:rPr>
          <w:spacing w:val="-14"/>
          <w:w w:val="105"/>
          <w:sz w:val="24"/>
          <w:vertAlign w:val="baseline"/>
        </w:rPr>
        <w:t> </w:t>
      </w:r>
      <w:r>
        <w:rPr>
          <w:w w:val="105"/>
          <w:sz w:val="24"/>
          <w:vertAlign w:val="baseline"/>
        </w:rPr>
        <w:t>as</w:t>
      </w:r>
      <w:r>
        <w:rPr>
          <w:spacing w:val="-14"/>
          <w:w w:val="105"/>
          <w:sz w:val="24"/>
          <w:vertAlign w:val="baseline"/>
        </w:rPr>
        <w:t> </w:t>
      </w:r>
      <w:r>
        <w:rPr>
          <w:w w:val="105"/>
          <w:sz w:val="24"/>
          <w:vertAlign w:val="baseline"/>
        </w:rPr>
        <w:t>IP</w:t>
      </w:r>
      <w:r>
        <w:rPr>
          <w:spacing w:val="-14"/>
          <w:w w:val="105"/>
          <w:sz w:val="24"/>
          <w:vertAlign w:val="baseline"/>
        </w:rPr>
        <w:t> </w:t>
      </w:r>
      <w:r>
        <w:rPr>
          <w:w w:val="105"/>
          <w:sz w:val="24"/>
          <w:vertAlign w:val="baseline"/>
        </w:rPr>
        <w:t>addresses,</w:t>
      </w:r>
      <w:r>
        <w:rPr>
          <w:spacing w:val="-11"/>
          <w:w w:val="105"/>
          <w:sz w:val="24"/>
          <w:vertAlign w:val="baseline"/>
        </w:rPr>
        <w:t> </w:t>
      </w:r>
      <w:r>
        <w:rPr>
          <w:w w:val="105"/>
          <w:sz w:val="24"/>
          <w:vertAlign w:val="baseline"/>
        </w:rPr>
        <w:t>exchange</w:t>
      </w:r>
      <w:r>
        <w:rPr>
          <w:spacing w:val="-14"/>
          <w:w w:val="105"/>
          <w:sz w:val="24"/>
          <w:vertAlign w:val="baseline"/>
        </w:rPr>
        <w:t> </w:t>
      </w:r>
      <w:r>
        <w:rPr>
          <w:w w:val="105"/>
          <w:sz w:val="24"/>
          <w:vertAlign w:val="baseline"/>
        </w:rPr>
        <w:t>KYC records,</w:t>
      </w:r>
      <w:r>
        <w:rPr>
          <w:spacing w:val="-12"/>
          <w:w w:val="105"/>
          <w:sz w:val="24"/>
          <w:vertAlign w:val="baseline"/>
        </w:rPr>
        <w:t> </w:t>
      </w:r>
      <w:r>
        <w:rPr>
          <w:w w:val="105"/>
          <w:sz w:val="24"/>
          <w:vertAlign w:val="baseline"/>
        </w:rPr>
        <w:t>social-media</w:t>
      </w:r>
      <w:r>
        <w:rPr>
          <w:spacing w:val="-15"/>
          <w:w w:val="105"/>
          <w:sz w:val="24"/>
          <w:vertAlign w:val="baseline"/>
        </w:rPr>
        <w:t> </w:t>
      </w:r>
      <w:r>
        <w:rPr>
          <w:w w:val="105"/>
          <w:sz w:val="24"/>
          <w:vertAlign w:val="baseline"/>
        </w:rPr>
        <w:t>handles,</w:t>
      </w:r>
      <w:r>
        <w:rPr>
          <w:spacing w:val="-12"/>
          <w:w w:val="105"/>
          <w:sz w:val="24"/>
          <w:vertAlign w:val="baseline"/>
        </w:rPr>
        <w:t> </w:t>
      </w:r>
      <w:r>
        <w:rPr>
          <w:w w:val="105"/>
          <w:sz w:val="24"/>
          <w:vertAlign w:val="baseline"/>
        </w:rPr>
        <w:t>or</w:t>
      </w:r>
      <w:r>
        <w:rPr>
          <w:spacing w:val="-15"/>
          <w:w w:val="105"/>
          <w:sz w:val="24"/>
          <w:vertAlign w:val="baseline"/>
        </w:rPr>
        <w:t> </w:t>
      </w:r>
      <w:r>
        <w:rPr>
          <w:w w:val="105"/>
          <w:sz w:val="24"/>
          <w:vertAlign w:val="baseline"/>
        </w:rPr>
        <w:t>deanonymization</w:t>
      </w:r>
      <w:r>
        <w:rPr>
          <w:spacing w:val="-15"/>
          <w:w w:val="105"/>
          <w:sz w:val="24"/>
          <w:vertAlign w:val="baseline"/>
        </w:rPr>
        <w:t> </w:t>
      </w:r>
      <w:r>
        <w:rPr>
          <w:w w:val="105"/>
          <w:sz w:val="24"/>
          <w:vertAlign w:val="baseline"/>
        </w:rPr>
        <w:t>graphs.</w:t>
      </w:r>
      <w:r>
        <w:rPr>
          <w:spacing w:val="24"/>
          <w:w w:val="105"/>
          <w:sz w:val="24"/>
          <w:vertAlign w:val="baseline"/>
        </w:rPr>
        <w:t> </w:t>
      </w:r>
      <w:r>
        <w:rPr>
          <w:w w:val="105"/>
          <w:sz w:val="24"/>
          <w:vertAlign w:val="baseline"/>
        </w:rPr>
        <w:t>No</w:t>
      </w:r>
      <w:r>
        <w:rPr>
          <w:spacing w:val="-15"/>
          <w:w w:val="105"/>
          <w:sz w:val="24"/>
          <w:vertAlign w:val="baseline"/>
        </w:rPr>
        <w:t> </w:t>
      </w:r>
      <w:r>
        <w:rPr>
          <w:w w:val="105"/>
          <w:sz w:val="24"/>
          <w:vertAlign w:val="baseline"/>
        </w:rPr>
        <w:t>attempt</w:t>
      </w:r>
      <w:r>
        <w:rPr>
          <w:spacing w:val="-15"/>
          <w:w w:val="105"/>
          <w:sz w:val="24"/>
          <w:vertAlign w:val="baseline"/>
        </w:rPr>
        <w:t> </w:t>
      </w:r>
      <w:r>
        <w:rPr>
          <w:w w:val="105"/>
          <w:sz w:val="24"/>
          <w:vertAlign w:val="baseline"/>
        </w:rPr>
        <w:t>was</w:t>
      </w:r>
      <w:r>
        <w:rPr>
          <w:spacing w:val="-15"/>
          <w:w w:val="105"/>
          <w:sz w:val="24"/>
          <w:vertAlign w:val="baseline"/>
        </w:rPr>
        <w:t> </w:t>
      </w:r>
      <w:r>
        <w:rPr>
          <w:w w:val="105"/>
          <w:sz w:val="24"/>
          <w:vertAlign w:val="baseline"/>
        </w:rPr>
        <w:t>made</w:t>
      </w:r>
      <w:r>
        <w:rPr>
          <w:spacing w:val="-15"/>
          <w:w w:val="105"/>
          <w:sz w:val="24"/>
          <w:vertAlign w:val="baseline"/>
        </w:rPr>
        <w:t> </w:t>
      </w:r>
      <w:r>
        <w:rPr>
          <w:w w:val="105"/>
          <w:sz w:val="24"/>
          <w:vertAlign w:val="baseline"/>
        </w:rPr>
        <w:t>to</w:t>
      </w:r>
      <w:r>
        <w:rPr>
          <w:spacing w:val="-15"/>
          <w:w w:val="105"/>
          <w:sz w:val="24"/>
          <w:vertAlign w:val="baseline"/>
        </w:rPr>
        <w:t> </w:t>
      </w:r>
      <w:r>
        <w:rPr>
          <w:w w:val="105"/>
          <w:sz w:val="24"/>
          <w:vertAlign w:val="baseline"/>
        </w:rPr>
        <w:t>clus-</w:t>
      </w:r>
      <w:r>
        <w:rPr>
          <w:sz w:val="24"/>
          <w:vertAlign w:val="baseline"/>
        </w:rPr>
        <w:t>ter</w:t>
      </w:r>
      <w:r>
        <w:rPr>
          <w:spacing w:val="-1"/>
          <w:sz w:val="24"/>
          <w:vertAlign w:val="baseline"/>
        </w:rPr>
        <w:t> </w:t>
      </w:r>
      <w:r>
        <w:rPr>
          <w:sz w:val="24"/>
          <w:vertAlign w:val="baseline"/>
        </w:rPr>
        <w:t>addresses</w:t>
      </w:r>
      <w:r>
        <w:rPr>
          <w:spacing w:val="-1"/>
          <w:sz w:val="24"/>
          <w:vertAlign w:val="baseline"/>
        </w:rPr>
        <w:t> </w:t>
      </w:r>
      <w:r>
        <w:rPr>
          <w:sz w:val="24"/>
          <w:vertAlign w:val="baseline"/>
        </w:rPr>
        <w:t>into</w:t>
      </w:r>
      <w:r>
        <w:rPr>
          <w:spacing w:val="-1"/>
          <w:sz w:val="24"/>
          <w:vertAlign w:val="baseline"/>
        </w:rPr>
        <w:t> </w:t>
      </w:r>
      <w:r>
        <w:rPr>
          <w:sz w:val="24"/>
          <w:vertAlign w:val="baseline"/>
        </w:rPr>
        <w:t>real-world</w:t>
      </w:r>
      <w:r>
        <w:rPr>
          <w:spacing w:val="-1"/>
          <w:sz w:val="24"/>
          <w:vertAlign w:val="baseline"/>
        </w:rPr>
        <w:t> </w:t>
      </w:r>
      <w:r>
        <w:rPr>
          <w:sz w:val="24"/>
          <w:vertAlign w:val="baseline"/>
        </w:rPr>
        <w:t>entities,</w:t>
      </w:r>
      <w:r>
        <w:rPr>
          <w:spacing w:val="-1"/>
          <w:sz w:val="24"/>
          <w:vertAlign w:val="baseline"/>
        </w:rPr>
        <w:t> </w:t>
      </w:r>
      <w:r>
        <w:rPr>
          <w:sz w:val="24"/>
          <w:vertAlign w:val="baseline"/>
        </w:rPr>
        <w:t>to</w:t>
      </w:r>
      <w:r>
        <w:rPr>
          <w:spacing w:val="-1"/>
          <w:sz w:val="24"/>
          <w:vertAlign w:val="baseline"/>
        </w:rPr>
        <w:t> </w:t>
      </w:r>
      <w:r>
        <w:rPr>
          <w:sz w:val="24"/>
          <w:vertAlign w:val="baseline"/>
        </w:rPr>
        <w:t>publish</w:t>
      </w:r>
      <w:r>
        <w:rPr>
          <w:spacing w:val="-1"/>
          <w:sz w:val="24"/>
          <w:vertAlign w:val="baseline"/>
        </w:rPr>
        <w:t> </w:t>
      </w:r>
      <w:r>
        <w:rPr>
          <w:sz w:val="24"/>
          <w:vertAlign w:val="baseline"/>
        </w:rPr>
        <w:t>address-level</w:t>
      </w:r>
      <w:r>
        <w:rPr>
          <w:spacing w:val="-1"/>
          <w:sz w:val="24"/>
          <w:vertAlign w:val="baseline"/>
        </w:rPr>
        <w:t> </w:t>
      </w:r>
      <w:r>
        <w:rPr>
          <w:sz w:val="24"/>
          <w:vertAlign w:val="baseline"/>
        </w:rPr>
        <w:t>rankings</w:t>
      </w:r>
      <w:r>
        <w:rPr>
          <w:spacing w:val="-1"/>
          <w:sz w:val="24"/>
          <w:vertAlign w:val="baseline"/>
        </w:rPr>
        <w:t> </w:t>
      </w:r>
      <w:r>
        <w:rPr>
          <w:sz w:val="24"/>
          <w:vertAlign w:val="baseline"/>
        </w:rPr>
        <w:t>that</w:t>
      </w:r>
      <w:r>
        <w:rPr>
          <w:spacing w:val="-1"/>
          <w:sz w:val="24"/>
          <w:vertAlign w:val="baseline"/>
        </w:rPr>
        <w:t> </w:t>
      </w:r>
      <w:r>
        <w:rPr>
          <w:sz w:val="24"/>
          <w:vertAlign w:val="baseline"/>
        </w:rPr>
        <w:t>could</w:t>
      </w:r>
      <w:r>
        <w:rPr>
          <w:spacing w:val="-1"/>
          <w:sz w:val="24"/>
          <w:vertAlign w:val="baseline"/>
        </w:rPr>
        <w:t> </w:t>
      </w:r>
      <w:r>
        <w:rPr>
          <w:sz w:val="24"/>
          <w:vertAlign w:val="baseline"/>
        </w:rPr>
        <w:t>reasonably identify</w:t>
      </w:r>
      <w:r>
        <w:rPr>
          <w:spacing w:val="-8"/>
          <w:sz w:val="24"/>
          <w:vertAlign w:val="baseline"/>
        </w:rPr>
        <w:t> </w:t>
      </w:r>
      <w:r>
        <w:rPr>
          <w:sz w:val="24"/>
          <w:vertAlign w:val="baseline"/>
        </w:rPr>
        <w:t>individuals,</w:t>
      </w:r>
      <w:r>
        <w:rPr>
          <w:spacing w:val="-6"/>
          <w:sz w:val="24"/>
          <w:vertAlign w:val="baseline"/>
        </w:rPr>
        <w:t> </w:t>
      </w:r>
      <w:r>
        <w:rPr>
          <w:sz w:val="24"/>
          <w:vertAlign w:val="baseline"/>
        </w:rPr>
        <w:t>or</w:t>
      </w:r>
      <w:r>
        <w:rPr>
          <w:spacing w:val="-8"/>
          <w:sz w:val="24"/>
          <w:vertAlign w:val="baseline"/>
        </w:rPr>
        <w:t> </w:t>
      </w:r>
      <w:r>
        <w:rPr>
          <w:sz w:val="24"/>
          <w:vertAlign w:val="baseline"/>
        </w:rPr>
        <w:t>to</w:t>
      </w:r>
      <w:r>
        <w:rPr>
          <w:spacing w:val="-8"/>
          <w:sz w:val="24"/>
          <w:vertAlign w:val="baseline"/>
        </w:rPr>
        <w:t> </w:t>
      </w:r>
      <w:r>
        <w:rPr>
          <w:sz w:val="24"/>
          <w:vertAlign w:val="baseline"/>
        </w:rPr>
        <w:t>combine</w:t>
      </w:r>
      <w:r>
        <w:rPr>
          <w:spacing w:val="-8"/>
          <w:sz w:val="24"/>
          <w:vertAlign w:val="baseline"/>
        </w:rPr>
        <w:t> </w:t>
      </w:r>
      <w:r>
        <w:rPr>
          <w:sz w:val="24"/>
          <w:vertAlign w:val="baseline"/>
        </w:rPr>
        <w:t>wallet</w:t>
      </w:r>
      <w:r>
        <w:rPr>
          <w:spacing w:val="-8"/>
          <w:sz w:val="24"/>
          <w:vertAlign w:val="baseline"/>
        </w:rPr>
        <w:t> </w:t>
      </w:r>
      <w:r>
        <w:rPr>
          <w:sz w:val="24"/>
          <w:vertAlign w:val="baseline"/>
        </w:rPr>
        <w:t>histories</w:t>
      </w:r>
      <w:r>
        <w:rPr>
          <w:spacing w:val="-8"/>
          <w:sz w:val="24"/>
          <w:vertAlign w:val="baseline"/>
        </w:rPr>
        <w:t> </w:t>
      </w:r>
      <w:r>
        <w:rPr>
          <w:sz w:val="24"/>
          <w:vertAlign w:val="baseline"/>
        </w:rPr>
        <w:t>with</w:t>
      </w:r>
      <w:r>
        <w:rPr>
          <w:spacing w:val="-8"/>
          <w:sz w:val="24"/>
          <w:vertAlign w:val="baseline"/>
        </w:rPr>
        <w:t> </w:t>
      </w:r>
      <w:r>
        <w:rPr>
          <w:sz w:val="24"/>
          <w:vertAlign w:val="baseline"/>
        </w:rPr>
        <w:t>external</w:t>
      </w:r>
      <w:r>
        <w:rPr>
          <w:spacing w:val="-8"/>
          <w:sz w:val="24"/>
          <w:vertAlign w:val="baseline"/>
        </w:rPr>
        <w:t> </w:t>
      </w:r>
      <w:r>
        <w:rPr>
          <w:sz w:val="24"/>
          <w:vertAlign w:val="baseline"/>
        </w:rPr>
        <w:t>identity</w:t>
      </w:r>
      <w:r>
        <w:rPr>
          <w:spacing w:val="-8"/>
          <w:sz w:val="24"/>
          <w:vertAlign w:val="baseline"/>
        </w:rPr>
        <w:t> </w:t>
      </w:r>
      <w:r>
        <w:rPr>
          <w:sz w:val="24"/>
          <w:vertAlign w:val="baseline"/>
        </w:rPr>
        <w:t>providers.</w:t>
      </w:r>
      <w:r>
        <w:rPr>
          <w:spacing w:val="19"/>
          <w:sz w:val="24"/>
          <w:vertAlign w:val="baseline"/>
        </w:rPr>
        <w:t> </w:t>
      </w:r>
      <w:r>
        <w:rPr>
          <w:sz w:val="24"/>
          <w:vertAlign w:val="baseline"/>
        </w:rPr>
        <w:t>Reported results are cohort-level aggregates (correlations, runtimes, family means), not leaderboards </w:t>
      </w:r>
      <w:r>
        <w:rPr>
          <w:w w:val="105"/>
          <w:sz w:val="24"/>
          <w:vertAlign w:val="baseline"/>
        </w:rPr>
        <w:t>of</w:t>
      </w:r>
      <w:r>
        <w:rPr>
          <w:spacing w:val="-8"/>
          <w:w w:val="105"/>
          <w:sz w:val="24"/>
          <w:vertAlign w:val="baseline"/>
        </w:rPr>
        <w:t> </w:t>
      </w:r>
      <w:r>
        <w:rPr>
          <w:w w:val="105"/>
          <w:sz w:val="24"/>
          <w:vertAlign w:val="baseline"/>
        </w:rPr>
        <w:t>named</w:t>
      </w:r>
      <w:r>
        <w:rPr>
          <w:spacing w:val="-8"/>
          <w:w w:val="105"/>
          <w:sz w:val="24"/>
          <w:vertAlign w:val="baseline"/>
        </w:rPr>
        <w:t> </w:t>
      </w:r>
      <w:r>
        <w:rPr>
          <w:w w:val="105"/>
          <w:sz w:val="24"/>
          <w:vertAlign w:val="baseline"/>
        </w:rPr>
        <w:t>users.</w:t>
      </w:r>
      <w:r>
        <w:rPr>
          <w:spacing w:val="35"/>
          <w:w w:val="105"/>
          <w:sz w:val="24"/>
          <w:vertAlign w:val="baseline"/>
        </w:rPr>
        <w:t> </w:t>
      </w:r>
      <w:r>
        <w:rPr>
          <w:w w:val="105"/>
          <w:sz w:val="24"/>
          <w:vertAlign w:val="baseline"/>
        </w:rPr>
        <w:t>Where</w:t>
      </w:r>
      <w:r>
        <w:rPr>
          <w:spacing w:val="-8"/>
          <w:w w:val="105"/>
          <w:sz w:val="24"/>
          <w:vertAlign w:val="baseline"/>
        </w:rPr>
        <w:t> </w:t>
      </w:r>
      <w:r>
        <w:rPr>
          <w:w w:val="105"/>
          <w:sz w:val="24"/>
          <w:vertAlign w:val="baseline"/>
        </w:rPr>
        <w:t>examples</w:t>
      </w:r>
      <w:r>
        <w:rPr>
          <w:spacing w:val="-8"/>
          <w:w w:val="105"/>
          <w:sz w:val="24"/>
          <w:vertAlign w:val="baseline"/>
        </w:rPr>
        <w:t> </w:t>
      </w:r>
      <w:r>
        <w:rPr>
          <w:w w:val="105"/>
          <w:sz w:val="24"/>
          <w:vertAlign w:val="baseline"/>
        </w:rPr>
        <w:t>are</w:t>
      </w:r>
      <w:r>
        <w:rPr>
          <w:spacing w:val="-8"/>
          <w:w w:val="105"/>
          <w:sz w:val="24"/>
          <w:vertAlign w:val="baseline"/>
        </w:rPr>
        <w:t> </w:t>
      </w:r>
      <w:r>
        <w:rPr>
          <w:w w:val="105"/>
          <w:sz w:val="24"/>
          <w:vertAlign w:val="baseline"/>
        </w:rPr>
        <w:t>discussed</w:t>
      </w:r>
      <w:r>
        <w:rPr>
          <w:spacing w:val="-8"/>
          <w:w w:val="105"/>
          <w:sz w:val="24"/>
          <w:vertAlign w:val="baseline"/>
        </w:rPr>
        <w:t> </w:t>
      </w:r>
      <w:r>
        <w:rPr>
          <w:w w:val="105"/>
          <w:sz w:val="24"/>
          <w:vertAlign w:val="baseline"/>
        </w:rPr>
        <w:t>in</w:t>
      </w:r>
      <w:r>
        <w:rPr>
          <w:spacing w:val="-8"/>
          <w:w w:val="105"/>
          <w:sz w:val="24"/>
          <w:vertAlign w:val="baseline"/>
        </w:rPr>
        <w:t> </w:t>
      </w:r>
      <w:r>
        <w:rPr>
          <w:w w:val="105"/>
          <w:sz w:val="24"/>
          <w:vertAlign w:val="baseline"/>
        </w:rPr>
        <w:t>prose,</w:t>
      </w:r>
      <w:r>
        <w:rPr>
          <w:spacing w:val="-5"/>
          <w:w w:val="105"/>
          <w:sz w:val="24"/>
          <w:vertAlign w:val="baseline"/>
        </w:rPr>
        <w:t> </w:t>
      </w:r>
      <w:r>
        <w:rPr>
          <w:w w:val="105"/>
          <w:sz w:val="24"/>
          <w:vertAlign w:val="baseline"/>
        </w:rPr>
        <w:t>they</w:t>
      </w:r>
      <w:r>
        <w:rPr>
          <w:spacing w:val="-8"/>
          <w:w w:val="105"/>
          <w:sz w:val="24"/>
          <w:vertAlign w:val="baseline"/>
        </w:rPr>
        <w:t> </w:t>
      </w:r>
      <w:r>
        <w:rPr>
          <w:w w:val="105"/>
          <w:sz w:val="24"/>
          <w:vertAlign w:val="baseline"/>
        </w:rPr>
        <w:t>refer</w:t>
      </w:r>
      <w:r>
        <w:rPr>
          <w:spacing w:val="-8"/>
          <w:w w:val="105"/>
          <w:sz w:val="24"/>
          <w:vertAlign w:val="baseline"/>
        </w:rPr>
        <w:t> </w:t>
      </w:r>
      <w:r>
        <w:rPr>
          <w:w w:val="105"/>
          <w:sz w:val="24"/>
          <w:vertAlign w:val="baseline"/>
        </w:rPr>
        <w:t>to</w:t>
      </w:r>
      <w:r>
        <w:rPr>
          <w:spacing w:val="-8"/>
          <w:w w:val="105"/>
          <w:sz w:val="24"/>
          <w:vertAlign w:val="baseline"/>
        </w:rPr>
        <w:t> </w:t>
      </w:r>
      <w:r>
        <w:rPr>
          <w:w w:val="105"/>
          <w:sz w:val="24"/>
          <w:vertAlign w:val="baseline"/>
        </w:rPr>
        <w:t>abstract</w:t>
      </w:r>
      <w:r>
        <w:rPr>
          <w:spacing w:val="-8"/>
          <w:w w:val="105"/>
          <w:sz w:val="24"/>
          <w:vertAlign w:val="baseline"/>
        </w:rPr>
        <w:t> </w:t>
      </w:r>
      <w:r>
        <w:rPr>
          <w:w w:val="105"/>
          <w:sz w:val="24"/>
          <w:vertAlign w:val="baseline"/>
        </w:rPr>
        <w:t>roles</w:t>
      </w:r>
      <w:r>
        <w:rPr>
          <w:spacing w:val="-8"/>
          <w:w w:val="105"/>
          <w:sz w:val="24"/>
          <w:vertAlign w:val="baseline"/>
        </w:rPr>
        <w:t> </w:t>
      </w:r>
      <w:r>
        <w:rPr>
          <w:w w:val="105"/>
          <w:sz w:val="24"/>
          <w:vertAlign w:val="baseline"/>
        </w:rPr>
        <w:t>(e.g., </w:t>
      </w:r>
      <w:r>
        <w:rPr>
          <w:sz w:val="24"/>
          <w:vertAlign w:val="baseline"/>
        </w:rPr>
        <w:t>“high-allowance spenders”) rather than concrete addresses.</w:t>
      </w:r>
    </w:p>
    <w:p>
      <w:pPr>
        <w:pStyle w:val="ListParagraph"/>
        <w:numPr>
          <w:ilvl w:val="0"/>
          <w:numId w:val="24"/>
        </w:numPr>
        <w:tabs>
          <w:tab w:pos="776" w:val="left" w:leader="none"/>
          <w:tab w:pos="806" w:val="left" w:leader="none"/>
        </w:tabs>
        <w:spacing w:line="396" w:lineRule="auto" w:before="123" w:after="0"/>
        <w:ind w:left="776" w:right="523" w:hanging="184"/>
        <w:jc w:val="both"/>
        <w:rPr>
          <w:sz w:val="24"/>
        </w:rPr>
      </w:pPr>
      <w:r>
        <w:rPr>
          <w:i/>
        </w:rPr>
        <w:tab/>
        <w:t>개인 정보 보호 및 익명성: Arbitrum One 주소는 실제 신원과 본질적으로 연결되지 않은 가명 식별자입니다[48]. 가명은 익명성이 아닙니다. 단호한 공격자는 때때로 교환 예금, 공개 프로필 또는 클러스터링 휴리스틱을 통해 주소를 사람에게 연결할 수 있습니다. 본 연구에서는 의도적으로 그러한 연결을 자제하고 있습니다. 수집은 승인, 전송 및 GMX PositionDecrease 등 온체인 이벤트로 제한되며, IP 주소, 교환 KYC 기록, 소셜 미디어 핸들 또는 비익명화 그래프와 같은 오프체인 개인 데이터를 스크랩하거나 통합하지 않습니다. 주소를 실제 개체로 클러스터링하거나, 개인을 합리적으로 식별할 수 있는 주소 수준 순위를 게시하거나, 지갑 기록을 외부 ID 공급자와 결합하려는 시도는 이루어지지 않았습니다. 보고된 결과는 명명된 사용자의 리더보드가 아닌 집단 수준 집계(상관 관계, 런타임, 제품군 평균)입니다. 산문에서 예가 논의되는 경우 구체적인 주소보다는 추상적인 역할(예: "고액 지출자")을 나타냅니다.</w:t>
      </w:r>
    </w:p>
    <w:p>
      <w:pPr>
        <w:pStyle w:val="ListParagraph"/>
        <w:numPr>
          <w:ilvl w:val="0"/>
          <w:numId w:val="24"/>
        </w:numPr>
        <w:tabs>
          <w:tab w:pos="806" w:val="left" w:leader="none"/>
          <w:tab w:pos="808" w:val="left" w:leader="none"/>
        </w:tabs>
        <w:spacing w:line="396" w:lineRule="auto" w:before="22" w:after="0"/>
        <w:ind w:left="808" w:right="522" w:hanging="216"/>
        <w:jc w:val="both"/>
        <w:rPr>
          <w:sz w:val="24"/>
        </w:rPr>
      </w:pPr>
      <w:bookmarkStart w:name="_bookmark79" w:id="149"/>
      <w:bookmarkEnd w:id="149"/>
      <w:r>
        <w:rPr/>
      </w:r>
      <w:r>
        <w:rPr>
          <w:b/>
          <w:sz w:val="24"/>
        </w:rPr>
        <w:t>Data minimization: </w:t>
      </w:r>
      <w:r>
        <w:rPr>
          <w:sz w:val="24"/>
        </w:rPr>
        <w:t>Only fields required for graph construction and proxies are retained in processed</w:t>
      </w:r>
      <w:r>
        <w:rPr>
          <w:spacing w:val="-9"/>
          <w:sz w:val="24"/>
        </w:rPr>
        <w:t> </w:t>
      </w:r>
      <w:r>
        <w:rPr>
          <w:sz w:val="24"/>
        </w:rPr>
        <w:t>tables</w:t>
      </w:r>
      <w:r>
        <w:rPr>
          <w:spacing w:val="-9"/>
          <w:sz w:val="24"/>
        </w:rPr>
        <w:t> </w:t>
      </w:r>
      <w:r>
        <w:rPr>
          <w:sz w:val="24"/>
        </w:rPr>
        <w:t>(addresses,</w:t>
      </w:r>
      <w:r>
        <w:rPr>
          <w:spacing w:val="-8"/>
          <w:sz w:val="24"/>
        </w:rPr>
        <w:t> </w:t>
      </w:r>
      <w:r>
        <w:rPr>
          <w:sz w:val="24"/>
        </w:rPr>
        <w:t>token</w:t>
      </w:r>
      <w:r>
        <w:rPr>
          <w:spacing w:val="-9"/>
          <w:sz w:val="24"/>
        </w:rPr>
        <w:t> </w:t>
      </w:r>
      <w:r>
        <w:rPr>
          <w:sz w:val="24"/>
        </w:rPr>
        <w:t>amounts,</w:t>
      </w:r>
      <w:r>
        <w:rPr>
          <w:spacing w:val="-8"/>
          <w:sz w:val="24"/>
        </w:rPr>
        <w:t> </w:t>
      </w:r>
      <w:r>
        <w:rPr>
          <w:sz w:val="24"/>
        </w:rPr>
        <w:t>timestamps,</w:t>
      </w:r>
      <w:r>
        <w:rPr>
          <w:spacing w:val="-8"/>
          <w:sz w:val="24"/>
        </w:rPr>
        <w:t> </w:t>
      </w:r>
      <w:r>
        <w:rPr>
          <w:sz w:val="24"/>
        </w:rPr>
        <w:t>GMX</w:t>
      </w:r>
      <w:r>
        <w:rPr>
          <w:spacing w:val="-9"/>
          <w:sz w:val="24"/>
        </w:rPr>
        <w:t> </w:t>
      </w:r>
      <w:r>
        <w:rPr>
          <w:sz w:val="24"/>
        </w:rPr>
        <w:t>PnL</w:t>
      </w:r>
      <w:r>
        <w:rPr>
          <w:spacing w:val="-9"/>
          <w:sz w:val="24"/>
        </w:rPr>
        <w:t> </w:t>
      </w:r>
      <w:r>
        <w:rPr>
          <w:sz w:val="24"/>
        </w:rPr>
        <w:t>fields,</w:t>
      </w:r>
      <w:r>
        <w:rPr>
          <w:spacing w:val="-8"/>
          <w:sz w:val="24"/>
        </w:rPr>
        <w:t> </w:t>
      </w:r>
      <w:r>
        <w:rPr>
          <w:sz w:val="24"/>
        </w:rPr>
        <w:t>liquidation</w:t>
      </w:r>
      <w:r>
        <w:rPr>
          <w:spacing w:val="-9"/>
          <w:sz w:val="24"/>
        </w:rPr>
        <w:t> </w:t>
      </w:r>
      <w:r>
        <w:rPr>
          <w:sz w:val="24"/>
        </w:rPr>
        <w:t>flags). Raw logs are stored for auditability of the research pipeline but are not redistributed as a deanonymization</w:t>
      </w:r>
      <w:r>
        <w:rPr>
          <w:spacing w:val="-4"/>
          <w:sz w:val="24"/>
        </w:rPr>
        <w:t> </w:t>
      </w:r>
      <w:r>
        <w:rPr>
          <w:sz w:val="24"/>
        </w:rPr>
        <w:t>aid. Query</w:t>
      </w:r>
      <w:r>
        <w:rPr>
          <w:spacing w:val="-4"/>
          <w:sz w:val="24"/>
        </w:rPr>
        <w:t> </w:t>
      </w:r>
      <w:r>
        <w:rPr>
          <w:sz w:val="24"/>
        </w:rPr>
        <w:t>filters</w:t>
      </w:r>
      <w:r>
        <w:rPr>
          <w:spacing w:val="-4"/>
          <w:sz w:val="24"/>
        </w:rPr>
        <w:t> </w:t>
      </w:r>
      <w:r>
        <w:rPr>
          <w:sz w:val="24"/>
        </w:rPr>
        <w:t>are</w:t>
      </w:r>
      <w:r>
        <w:rPr>
          <w:spacing w:val="-4"/>
          <w:sz w:val="24"/>
        </w:rPr>
        <w:t> </w:t>
      </w:r>
      <w:r>
        <w:rPr>
          <w:sz w:val="24"/>
        </w:rPr>
        <w:t>wallet-scoped</w:t>
      </w:r>
      <w:r>
        <w:rPr>
          <w:spacing w:val="-4"/>
          <w:sz w:val="24"/>
        </w:rPr>
        <w:t> </w:t>
      </w:r>
      <w:r>
        <w:rPr>
          <w:sz w:val="24"/>
        </w:rPr>
        <w:t>where</w:t>
      </w:r>
      <w:r>
        <w:rPr>
          <w:spacing w:val="-4"/>
          <w:sz w:val="24"/>
        </w:rPr>
        <w:t> </w:t>
      </w:r>
      <w:r>
        <w:rPr>
          <w:sz w:val="24"/>
        </w:rPr>
        <w:t>possible</w:t>
      </w:r>
      <w:r>
        <w:rPr>
          <w:spacing w:val="-4"/>
          <w:sz w:val="24"/>
        </w:rPr>
        <w:t> </w:t>
      </w:r>
      <w:r>
        <w:rPr>
          <w:sz w:val="24"/>
        </w:rPr>
        <w:t>to</w:t>
      </w:r>
      <w:r>
        <w:rPr>
          <w:spacing w:val="-4"/>
          <w:sz w:val="24"/>
        </w:rPr>
        <w:t> </w:t>
      </w:r>
      <w:r>
        <w:rPr>
          <w:sz w:val="24"/>
        </w:rPr>
        <w:t>avoid</w:t>
      </w:r>
      <w:r>
        <w:rPr>
          <w:spacing w:val="-4"/>
          <w:sz w:val="24"/>
        </w:rPr>
        <w:t> </w:t>
      </w:r>
      <w:r>
        <w:rPr>
          <w:sz w:val="24"/>
        </w:rPr>
        <w:t>indiscriminate full-chain dumps beyond the study design.</w:t>
      </w:r>
    </w:p>
    <w:p>
      <w:pPr>
        <w:pStyle w:val="ListParagraph"/>
        <w:numPr>
          <w:ilvl w:val="0"/>
          <w:numId w:val="24"/>
        </w:numPr>
        <w:tabs>
          <w:tab w:pos="806" w:val="left" w:leader="none"/>
          <w:tab w:pos="808" w:val="left" w:leader="none"/>
        </w:tabs>
        <w:spacing w:line="396" w:lineRule="auto" w:before="22" w:after="0"/>
        <w:ind w:left="808" w:right="522" w:hanging="216"/>
        <w:jc w:val="both"/>
        <w:rPr>
          <w:sz w:val="24"/>
        </w:rPr>
      </w:pPr>
      <w:r>
        <w:rPr>
          <w:i/>
        </w:rPr>
        <w:t>데이터 최소화: 그래프 구성 및 프록시에 필요한 필드만 처리된 테이블에 유지됩니다(주소, 토큰 금액, 타임스탬프, GMX PnL 필드, 청산 플래그). 원시 로그는 연구 파이프라인의 감사를 위해 저장되지만 익명화 보조 수단으로 재배포되지는 않습니다. 쿼리 필터는 연구 설계를 넘어서는 무차별적인 전체 체인 덤프를 방지하기 위해 가능한 경우 지갑 범위에 적용됩니다.</w:t>
      </w:r>
    </w:p>
    <w:p>
      <w:pPr>
        <w:pStyle w:val="ListParagraph"/>
        <w:numPr>
          <w:ilvl w:val="0"/>
          <w:numId w:val="24"/>
        </w:numPr>
        <w:tabs>
          <w:tab w:pos="806" w:val="left" w:leader="none"/>
          <w:tab w:pos="808" w:val="left" w:leader="none"/>
        </w:tabs>
        <w:spacing w:line="374" w:lineRule="auto" w:before="38" w:after="0"/>
        <w:ind w:left="808" w:right="564" w:hanging="216"/>
        <w:jc w:val="both"/>
        <w:rPr>
          <w:sz w:val="24"/>
        </w:rPr>
      </w:pPr>
      <w:bookmarkStart w:name="_bookmark80" w:id="150"/>
      <w:bookmarkEnd w:id="150"/>
      <w:r>
        <w:rPr/>
      </w:r>
      <w:r>
        <w:rPr>
          <w:b/>
          <w:sz w:val="24"/>
        </w:rPr>
        <w:t>Data</w:t>
      </w:r>
      <w:r>
        <w:rPr>
          <w:b/>
          <w:spacing w:val="36"/>
          <w:sz w:val="24"/>
        </w:rPr>
        <w:t> </w:t>
      </w:r>
      <w:r>
        <w:rPr>
          <w:b/>
          <w:sz w:val="24"/>
        </w:rPr>
        <w:t>usage</w:t>
      </w:r>
      <w:r>
        <w:rPr>
          <w:b/>
          <w:spacing w:val="36"/>
          <w:sz w:val="24"/>
        </w:rPr>
        <w:t> </w:t>
      </w:r>
      <w:r>
        <w:rPr>
          <w:b/>
          <w:sz w:val="24"/>
        </w:rPr>
        <w:t>and</w:t>
      </w:r>
      <w:r>
        <w:rPr>
          <w:b/>
          <w:spacing w:val="36"/>
          <w:sz w:val="24"/>
        </w:rPr>
        <w:t> </w:t>
      </w:r>
      <w:r>
        <w:rPr>
          <w:b/>
          <w:sz w:val="24"/>
        </w:rPr>
        <w:t>compliance:</w:t>
      </w:r>
      <w:r>
        <w:rPr>
          <w:b/>
          <w:spacing w:val="79"/>
          <w:sz w:val="24"/>
        </w:rPr>
        <w:t> </w:t>
      </w:r>
      <w:r>
        <w:rPr>
          <w:sz w:val="24"/>
        </w:rPr>
        <w:t>All</w:t>
      </w:r>
      <w:r>
        <w:rPr>
          <w:spacing w:val="36"/>
          <w:sz w:val="24"/>
        </w:rPr>
        <w:t> </w:t>
      </w:r>
      <w:r>
        <w:rPr>
          <w:sz w:val="24"/>
        </w:rPr>
        <w:t>queries</w:t>
      </w:r>
      <w:r>
        <w:rPr>
          <w:spacing w:val="36"/>
          <w:sz w:val="24"/>
        </w:rPr>
        <w:t> </w:t>
      </w:r>
      <w:r>
        <w:rPr>
          <w:sz w:val="24"/>
        </w:rPr>
        <w:t>targeted</w:t>
      </w:r>
      <w:r>
        <w:rPr>
          <w:spacing w:val="36"/>
          <w:sz w:val="24"/>
        </w:rPr>
        <w:t> </w:t>
      </w:r>
      <w:r>
        <w:rPr>
          <w:sz w:val="24"/>
        </w:rPr>
        <w:t>public</w:t>
      </w:r>
      <w:r>
        <w:rPr>
          <w:spacing w:val="36"/>
          <w:sz w:val="24"/>
        </w:rPr>
        <w:t> </w:t>
      </w:r>
      <w:r>
        <w:rPr>
          <w:sz w:val="24"/>
        </w:rPr>
        <w:t>datasets</w:t>
      </w:r>
      <w:r>
        <w:rPr>
          <w:spacing w:val="36"/>
          <w:sz w:val="24"/>
        </w:rPr>
        <w:t> </w:t>
      </w:r>
      <w:r>
        <w:rPr>
          <w:sz w:val="24"/>
        </w:rPr>
        <w:t>under</w:t>
      </w:r>
      <w:r>
        <w:rPr>
          <w:spacing w:val="37"/>
          <w:sz w:val="24"/>
        </w:rPr>
        <w:t> </w:t>
      </w:r>
      <w:r>
        <w:rPr>
          <w:rFonts w:ascii="Calibri" w:hAnsi="Calibri"/>
          <w:sz w:val="24"/>
        </w:rPr>
        <w:t>bigquery-publi c-data.goog_blockchain_arbitrum_one_us</w:t>
      </w:r>
      <w:r>
        <w:rPr>
          <w:rFonts w:ascii="Calibri" w:hAnsi="Calibri"/>
          <w:spacing w:val="62"/>
          <w:sz w:val="24"/>
        </w:rPr>
        <w:t> </w:t>
      </w:r>
      <w:r>
        <w:rPr>
          <w:sz w:val="24"/>
        </w:rPr>
        <w:t>in</w:t>
      </w:r>
      <w:r>
        <w:rPr>
          <w:spacing w:val="56"/>
          <w:sz w:val="24"/>
        </w:rPr>
        <w:t> </w:t>
      </w:r>
      <w:r>
        <w:rPr>
          <w:sz w:val="24"/>
        </w:rPr>
        <w:t>accordance</w:t>
      </w:r>
      <w:r>
        <w:rPr>
          <w:spacing w:val="56"/>
          <w:sz w:val="24"/>
        </w:rPr>
        <w:t> </w:t>
      </w:r>
      <w:r>
        <w:rPr>
          <w:sz w:val="24"/>
        </w:rPr>
        <w:t>with</w:t>
      </w:r>
      <w:r>
        <w:rPr>
          <w:spacing w:val="56"/>
          <w:sz w:val="24"/>
        </w:rPr>
        <w:t> </w:t>
      </w:r>
      <w:r>
        <w:rPr>
          <w:sz w:val="24"/>
        </w:rPr>
        <w:t>Google</w:t>
      </w:r>
      <w:r>
        <w:rPr>
          <w:spacing w:val="56"/>
          <w:sz w:val="24"/>
        </w:rPr>
        <w:t> </w:t>
      </w:r>
      <w:r>
        <w:rPr>
          <w:sz w:val="24"/>
        </w:rPr>
        <w:t>Cloud</w:t>
      </w:r>
      <w:r>
        <w:rPr>
          <w:spacing w:val="56"/>
          <w:sz w:val="24"/>
        </w:rPr>
        <w:t> </w:t>
      </w:r>
      <w:r>
        <w:rPr>
          <w:sz w:val="24"/>
        </w:rPr>
        <w:t>terms</w:t>
      </w:r>
      <w:r>
        <w:rPr>
          <w:spacing w:val="56"/>
          <w:sz w:val="24"/>
        </w:rPr>
        <w:t> </w:t>
      </w:r>
      <w:r>
        <w:rPr>
          <w:sz w:val="24"/>
        </w:rPr>
        <w:t>of</w:t>
      </w:r>
    </w:p>
    <w:p>
      <w:pPr>
        <w:pStyle w:val="ListParagraph"/>
        <w:numPr>
          <w:ilvl w:val="0"/>
          <w:numId w:val="24"/>
        </w:numPr>
        <w:tabs>
          <w:tab w:pos="806" w:val="left" w:leader="none"/>
          <w:tab w:pos="808" w:val="left" w:leader="none"/>
        </w:tabs>
        <w:spacing w:line="374" w:lineRule="auto" w:before="38" w:after="0"/>
        <w:ind w:left="808" w:right="564" w:hanging="216"/>
        <w:jc w:val="both"/>
        <w:rPr>
          <w:sz w:val="24"/>
        </w:rPr>
      </w:pPr>
      <w:r>
        <w:rPr>
          <w:i/>
        </w:rPr>
        <w:t>데이터 사용 및 규정 준수: 모든 쿼리는 Google Cloud 약관에 따라 bigquery-publi c-data.goog_blockchain_arbitrum_one_us의 공개 데이터세트를 대상으로 합니다.</w:t>
      </w:r>
    </w:p>
    <w:p>
      <w:pPr>
        <w:pStyle w:val="ListParagraph"/>
        <w:spacing w:after="0" w:line="374" w:lineRule="auto"/>
        <w:jc w:val="both"/>
        <w:rPr>
          <w:sz w:val="24"/>
        </w:rPr>
        <w:sectPr>
          <w:pgSz w:w="11910" w:h="16840"/>
          <w:pgMar w:header="0" w:footer="2115" w:top="1840" w:bottom="2300" w:left="992" w:right="708"/>
        </w:sectPr>
      </w:pPr>
    </w:p>
    <w:p>
      <w:pPr>
        <w:pStyle w:val="BodyText"/>
        <w:spacing w:line="396" w:lineRule="auto" w:before="72"/>
        <w:ind w:left="808" w:right="522"/>
        <w:jc w:val="both"/>
      </w:pPr>
      <w:r>
        <w:rPr/>
        <w:t>service</w:t>
      </w:r>
      <w:r>
        <w:rPr>
          <w:spacing w:val="-15"/>
        </w:rPr>
        <w:t> </w:t>
      </w:r>
      <w:r>
        <w:rPr/>
        <w:t>and</w:t>
      </w:r>
      <w:r>
        <w:rPr>
          <w:spacing w:val="-15"/>
        </w:rPr>
        <w:t> </w:t>
      </w:r>
      <w:r>
        <w:rPr/>
        <w:t>rate</w:t>
      </w:r>
      <w:r>
        <w:rPr>
          <w:spacing w:val="-15"/>
        </w:rPr>
        <w:t> </w:t>
      </w:r>
      <w:r>
        <w:rPr/>
        <w:t>limits.</w:t>
      </w:r>
      <w:r>
        <w:rPr>
          <w:spacing w:val="-15"/>
        </w:rPr>
        <w:t> </w:t>
      </w:r>
      <w:r>
        <w:rPr/>
        <w:t>Dry-run</w:t>
      </w:r>
      <w:r>
        <w:rPr>
          <w:spacing w:val="-15"/>
        </w:rPr>
        <w:t> </w:t>
      </w:r>
      <w:r>
        <w:rPr/>
        <w:t>byte</w:t>
      </w:r>
      <w:r>
        <w:rPr>
          <w:spacing w:val="-15"/>
        </w:rPr>
        <w:t> </w:t>
      </w:r>
      <w:r>
        <w:rPr/>
        <w:t>estimates</w:t>
      </w:r>
      <w:r>
        <w:rPr>
          <w:spacing w:val="-15"/>
        </w:rPr>
        <w:t> </w:t>
      </w:r>
      <w:r>
        <w:rPr/>
        <w:t>and</w:t>
      </w:r>
      <w:r>
        <w:rPr>
          <w:spacing w:val="-15"/>
        </w:rPr>
        <w:t> </w:t>
      </w:r>
      <w:r>
        <w:rPr/>
        <w:t>per-query</w:t>
      </w:r>
      <w:r>
        <w:rPr>
          <w:spacing w:val="-15"/>
        </w:rPr>
        <w:t> </w:t>
      </w:r>
      <w:r>
        <w:rPr/>
        <w:t>caps</w:t>
      </w:r>
      <w:r>
        <w:rPr>
          <w:spacing w:val="-15"/>
        </w:rPr>
        <w:t> </w:t>
      </w:r>
      <w:r>
        <w:rPr/>
        <w:t>limit</w:t>
      </w:r>
      <w:r>
        <w:rPr>
          <w:spacing w:val="-15"/>
        </w:rPr>
        <w:t> </w:t>
      </w:r>
      <w:r>
        <w:rPr/>
        <w:t>unnecessary</w:t>
      </w:r>
      <w:r>
        <w:rPr>
          <w:spacing w:val="-15"/>
        </w:rPr>
        <w:t> </w:t>
      </w:r>
      <w:r>
        <w:rPr/>
        <w:t>scanning. No transactions were broadcast, no smart contracts were called in ways that could disrupt network operations, and no privileged or non-public indexer access was used.</w:t>
      </w:r>
    </w:p>
    <w:p>
      <w:pPr>
        <w:pStyle w:val="BodyText"/>
        <w:spacing w:line="396" w:lineRule="auto" w:before="72"/>
        <w:ind w:left="808" w:right="522"/>
        <w:jc w:val="both"/>
      </w:pPr>
      <w:r>
        <w:rPr>
          <w:i/>
        </w:rPr>
        <w:t>서비스 및 요금 제한. 테스트 실행 바이트 추정 및 쿼리당 한도는 불필요한 검색을 제한합니다. 어떤 트랜잭션도 브로드캐스트되지 않았고, 네트워크 운영을 방해할 수 있는 방식으로 스마트 계약이 호출되지 않았으며, 특권 또는 비공개 인덱서 액세스가 사용되지 않았습니다.</w:t>
      </w:r>
    </w:p>
    <w:p>
      <w:pPr>
        <w:pStyle w:val="ListParagraph"/>
        <w:numPr>
          <w:ilvl w:val="0"/>
          <w:numId w:val="24"/>
        </w:numPr>
        <w:tabs>
          <w:tab w:pos="799" w:val="left" w:leader="none"/>
          <w:tab w:pos="806" w:val="left" w:leader="none"/>
        </w:tabs>
        <w:spacing w:line="396" w:lineRule="auto" w:before="40" w:after="0"/>
        <w:ind w:left="799" w:right="524" w:hanging="207"/>
        <w:jc w:val="both"/>
        <w:rPr>
          <w:sz w:val="24"/>
        </w:rPr>
      </w:pPr>
      <w:bookmarkStart w:name="_bookmark81" w:id="151"/>
      <w:bookmarkEnd w:id="151"/>
      <w:r>
        <w:rPr/>
      </w:r>
      <w:r>
        <w:rPr>
          <w:sz w:val="24"/>
        </w:rPr>
        <w:tab/>
      </w:r>
      <w:r>
        <w:rPr>
          <w:b/>
          <w:sz w:val="24"/>
        </w:rPr>
        <w:t>Fairness and transparency:</w:t>
      </w:r>
      <w:r>
        <w:rPr>
          <w:b/>
          <w:spacing w:val="38"/>
          <w:sz w:val="24"/>
        </w:rPr>
        <w:t> </w:t>
      </w:r>
      <w:r>
        <w:rPr>
          <w:sz w:val="24"/>
        </w:rPr>
        <w:t>Graph reputation systems can systematically undervalue new entrants, low-volume participants, or wallets that avoid public approvals </w:t>
      </w:r>
      <w:hyperlink w:history="true" w:anchor="_bookmark181">
        <w:r>
          <w:rPr>
            <w:sz w:val="24"/>
            <w:vertAlign w:val="superscript"/>
          </w:rPr>
          <w:t>[48]</w:t>
        </w:r>
      </w:hyperlink>
      <w:r>
        <w:rPr>
          <w:sz w:val="24"/>
          <w:vertAlign w:val="baseline"/>
        </w:rPr>
        <w:t>.</w:t>
      </w:r>
      <w:r>
        <w:rPr>
          <w:spacing w:val="40"/>
          <w:sz w:val="24"/>
          <w:vertAlign w:val="baseline"/>
        </w:rPr>
        <w:t> </w:t>
      </w:r>
      <w:r>
        <w:rPr>
          <w:sz w:val="24"/>
          <w:vertAlign w:val="baseline"/>
        </w:rPr>
        <w:t>EndorseRank and</w:t>
      </w:r>
      <w:r>
        <w:rPr>
          <w:spacing w:val="-12"/>
          <w:sz w:val="24"/>
          <w:vertAlign w:val="baseline"/>
        </w:rPr>
        <w:t> </w:t>
      </w:r>
      <w:r>
        <w:rPr>
          <w:sz w:val="24"/>
          <w:vertAlign w:val="baseline"/>
        </w:rPr>
        <w:t>AWP</w:t>
      </w:r>
      <w:r>
        <w:rPr>
          <w:spacing w:val="-12"/>
          <w:sz w:val="24"/>
          <w:vertAlign w:val="baseline"/>
        </w:rPr>
        <w:t> </w:t>
      </w:r>
      <w:r>
        <w:rPr>
          <w:sz w:val="24"/>
          <w:vertAlign w:val="baseline"/>
        </w:rPr>
        <w:t>were</w:t>
      </w:r>
      <w:r>
        <w:rPr>
          <w:spacing w:val="-12"/>
          <w:sz w:val="24"/>
          <w:vertAlign w:val="baseline"/>
        </w:rPr>
        <w:t> </w:t>
      </w:r>
      <w:r>
        <w:rPr>
          <w:sz w:val="24"/>
          <w:vertAlign w:val="baseline"/>
        </w:rPr>
        <w:t>therefore</w:t>
      </w:r>
      <w:r>
        <w:rPr>
          <w:spacing w:val="-12"/>
          <w:sz w:val="24"/>
          <w:vertAlign w:val="baseline"/>
        </w:rPr>
        <w:t> </w:t>
      </w:r>
      <w:r>
        <w:rPr>
          <w:sz w:val="24"/>
          <w:vertAlign w:val="baseline"/>
        </w:rPr>
        <w:t>audited</w:t>
      </w:r>
      <w:r>
        <w:rPr>
          <w:spacing w:val="-12"/>
          <w:sz w:val="24"/>
          <w:vertAlign w:val="baseline"/>
        </w:rPr>
        <w:t> </w:t>
      </w:r>
      <w:r>
        <w:rPr>
          <w:sz w:val="24"/>
          <w:vertAlign w:val="baseline"/>
        </w:rPr>
        <w:t>for</w:t>
      </w:r>
      <w:r>
        <w:rPr>
          <w:spacing w:val="-12"/>
          <w:sz w:val="24"/>
          <w:vertAlign w:val="baseline"/>
        </w:rPr>
        <w:t> </w:t>
      </w:r>
      <w:r>
        <w:rPr>
          <w:sz w:val="24"/>
          <w:vertAlign w:val="baseline"/>
        </w:rPr>
        <w:t>such</w:t>
      </w:r>
      <w:r>
        <w:rPr>
          <w:spacing w:val="-12"/>
          <w:sz w:val="24"/>
          <w:vertAlign w:val="baseline"/>
        </w:rPr>
        <w:t> </w:t>
      </w:r>
      <w:r>
        <w:rPr>
          <w:sz w:val="24"/>
          <w:vertAlign w:val="baseline"/>
        </w:rPr>
        <w:t>structural</w:t>
      </w:r>
      <w:r>
        <w:rPr>
          <w:spacing w:val="-12"/>
          <w:sz w:val="24"/>
          <w:vertAlign w:val="baseline"/>
        </w:rPr>
        <w:t> </w:t>
      </w:r>
      <w:r>
        <w:rPr>
          <w:sz w:val="24"/>
          <w:vertAlign w:val="baseline"/>
        </w:rPr>
        <w:t>biases:</w:t>
      </w:r>
      <w:r>
        <w:rPr>
          <w:spacing w:val="11"/>
          <w:sz w:val="24"/>
          <w:vertAlign w:val="baseline"/>
        </w:rPr>
        <w:t> </w:t>
      </w:r>
      <w:r>
        <w:rPr>
          <w:sz w:val="24"/>
          <w:vertAlign w:val="baseline"/>
        </w:rPr>
        <w:t>allowance</w:t>
      </w:r>
      <w:r>
        <w:rPr>
          <w:spacing w:val="-12"/>
          <w:sz w:val="24"/>
          <w:vertAlign w:val="baseline"/>
        </w:rPr>
        <w:t> </w:t>
      </w:r>
      <w:r>
        <w:rPr>
          <w:sz w:val="24"/>
          <w:vertAlign w:val="baseline"/>
        </w:rPr>
        <w:t>graphs</w:t>
      </w:r>
      <w:r>
        <w:rPr>
          <w:spacing w:val="-12"/>
          <w:sz w:val="24"/>
          <w:vertAlign w:val="baseline"/>
        </w:rPr>
        <w:t> </w:t>
      </w:r>
      <w:r>
        <w:rPr>
          <w:sz w:val="24"/>
          <w:vertAlign w:val="baseline"/>
        </w:rPr>
        <w:t>favor</w:t>
      </w:r>
      <w:r>
        <w:rPr>
          <w:spacing w:val="-12"/>
          <w:sz w:val="24"/>
          <w:vertAlign w:val="baseline"/>
        </w:rPr>
        <w:t> </w:t>
      </w:r>
      <w:r>
        <w:rPr>
          <w:sz w:val="24"/>
          <w:vertAlign w:val="baseline"/>
        </w:rPr>
        <w:t>addresses that</w:t>
      </w:r>
      <w:r>
        <w:rPr>
          <w:spacing w:val="-5"/>
          <w:sz w:val="24"/>
          <w:vertAlign w:val="baseline"/>
        </w:rPr>
        <w:t> </w:t>
      </w:r>
      <w:r>
        <w:rPr>
          <w:sz w:val="24"/>
          <w:vertAlign w:val="baseline"/>
        </w:rPr>
        <w:t>receive</w:t>
      </w:r>
      <w:r>
        <w:rPr>
          <w:spacing w:val="-5"/>
          <w:sz w:val="24"/>
          <w:vertAlign w:val="baseline"/>
        </w:rPr>
        <w:t> </w:t>
      </w:r>
      <w:r>
        <w:rPr>
          <w:sz w:val="24"/>
          <w:vertAlign w:val="baseline"/>
        </w:rPr>
        <w:t>spending</w:t>
      </w:r>
      <w:r>
        <w:rPr>
          <w:spacing w:val="-5"/>
          <w:sz w:val="24"/>
          <w:vertAlign w:val="baseline"/>
        </w:rPr>
        <w:t> </w:t>
      </w:r>
      <w:r>
        <w:rPr>
          <w:sz w:val="24"/>
          <w:vertAlign w:val="baseline"/>
        </w:rPr>
        <w:t>authority;</w:t>
      </w:r>
      <w:r>
        <w:rPr>
          <w:spacing w:val="-5"/>
          <w:sz w:val="24"/>
          <w:vertAlign w:val="baseline"/>
        </w:rPr>
        <w:t> </w:t>
      </w:r>
      <w:r>
        <w:rPr>
          <w:sz w:val="24"/>
          <w:vertAlign w:val="baseline"/>
        </w:rPr>
        <w:t>transfer</w:t>
      </w:r>
      <w:r>
        <w:rPr>
          <w:spacing w:val="-5"/>
          <w:sz w:val="24"/>
          <w:vertAlign w:val="baseline"/>
        </w:rPr>
        <w:t> </w:t>
      </w:r>
      <w:r>
        <w:rPr>
          <w:sz w:val="24"/>
          <w:vertAlign w:val="baseline"/>
        </w:rPr>
        <w:t>graphs</w:t>
      </w:r>
      <w:r>
        <w:rPr>
          <w:spacing w:val="-5"/>
          <w:sz w:val="24"/>
          <w:vertAlign w:val="baseline"/>
        </w:rPr>
        <w:t> </w:t>
      </w:r>
      <w:r>
        <w:rPr>
          <w:sz w:val="24"/>
          <w:vertAlign w:val="baseline"/>
        </w:rPr>
        <w:t>favor</w:t>
      </w:r>
      <w:r>
        <w:rPr>
          <w:spacing w:val="-5"/>
          <w:sz w:val="24"/>
          <w:vertAlign w:val="baseline"/>
        </w:rPr>
        <w:t> </w:t>
      </w:r>
      <w:r>
        <w:rPr>
          <w:sz w:val="24"/>
          <w:vertAlign w:val="baseline"/>
        </w:rPr>
        <w:t>addresses</w:t>
      </w:r>
      <w:r>
        <w:rPr>
          <w:spacing w:val="-5"/>
          <w:sz w:val="24"/>
          <w:vertAlign w:val="baseline"/>
        </w:rPr>
        <w:t> </w:t>
      </w:r>
      <w:r>
        <w:rPr>
          <w:sz w:val="24"/>
          <w:vertAlign w:val="baseline"/>
        </w:rPr>
        <w:t>embedded</w:t>
      </w:r>
      <w:r>
        <w:rPr>
          <w:spacing w:val="-5"/>
          <w:sz w:val="24"/>
          <w:vertAlign w:val="baseline"/>
        </w:rPr>
        <w:t> </w:t>
      </w:r>
      <w:r>
        <w:rPr>
          <w:sz w:val="24"/>
          <w:vertAlign w:val="baseline"/>
        </w:rPr>
        <w:t>in</w:t>
      </w:r>
      <w:r>
        <w:rPr>
          <w:spacing w:val="-5"/>
          <w:sz w:val="24"/>
          <w:vertAlign w:val="baseline"/>
        </w:rPr>
        <w:t> </w:t>
      </w:r>
      <w:r>
        <w:rPr>
          <w:sz w:val="24"/>
          <w:vertAlign w:val="baseline"/>
        </w:rPr>
        <w:t>value-flow</w:t>
      </w:r>
      <w:r>
        <w:rPr>
          <w:spacing w:val="-5"/>
          <w:sz w:val="24"/>
          <w:vertAlign w:val="baseline"/>
        </w:rPr>
        <w:t> </w:t>
      </w:r>
      <w:r>
        <w:rPr>
          <w:sz w:val="24"/>
          <w:vertAlign w:val="baseline"/>
        </w:rPr>
        <w:t>net-works.</w:t>
      </w:r>
      <w:r>
        <w:rPr>
          <w:spacing w:val="13"/>
          <w:sz w:val="24"/>
          <w:vertAlign w:val="baseline"/>
        </w:rPr>
        <w:t> </w:t>
      </w:r>
      <w:r>
        <w:rPr>
          <w:sz w:val="24"/>
          <w:vertAlign w:val="baseline"/>
        </w:rPr>
        <w:t>Limitations—including</w:t>
      </w:r>
      <w:r>
        <w:rPr>
          <w:spacing w:val="-11"/>
          <w:sz w:val="24"/>
          <w:vertAlign w:val="baseline"/>
        </w:rPr>
        <w:t> </w:t>
      </w:r>
      <w:r>
        <w:rPr>
          <w:sz w:val="24"/>
          <w:vertAlign w:val="baseline"/>
        </w:rPr>
        <w:t>cold-start</w:t>
      </w:r>
      <w:r>
        <w:rPr>
          <w:spacing w:val="-12"/>
          <w:sz w:val="24"/>
          <w:vertAlign w:val="baseline"/>
        </w:rPr>
        <w:t> </w:t>
      </w:r>
      <w:r>
        <w:rPr>
          <w:sz w:val="24"/>
          <w:vertAlign w:val="baseline"/>
        </w:rPr>
        <w:t>effects,</w:t>
      </w:r>
      <w:r>
        <w:rPr>
          <w:spacing w:val="-10"/>
          <w:sz w:val="24"/>
          <w:vertAlign w:val="baseline"/>
        </w:rPr>
        <w:t> </w:t>
      </w:r>
      <w:r>
        <w:rPr>
          <w:sz w:val="24"/>
          <w:vertAlign w:val="baseline"/>
        </w:rPr>
        <w:t>Sybil</w:t>
      </w:r>
      <w:r>
        <w:rPr>
          <w:spacing w:val="-11"/>
          <w:sz w:val="24"/>
          <w:vertAlign w:val="baseline"/>
        </w:rPr>
        <w:t> </w:t>
      </w:r>
      <w:r>
        <w:rPr>
          <w:sz w:val="24"/>
          <w:vertAlign w:val="baseline"/>
        </w:rPr>
        <w:t>susceptibility</w:t>
      </w:r>
      <w:r>
        <w:rPr>
          <w:spacing w:val="-11"/>
          <w:sz w:val="24"/>
          <w:vertAlign w:val="baseline"/>
        </w:rPr>
        <w:t> </w:t>
      </w:r>
      <w:r>
        <w:rPr>
          <w:sz w:val="24"/>
          <w:vertAlign w:val="baseline"/>
        </w:rPr>
        <w:t>of</w:t>
      </w:r>
      <w:r>
        <w:rPr>
          <w:spacing w:val="-11"/>
          <w:sz w:val="24"/>
          <w:vertAlign w:val="baseline"/>
        </w:rPr>
        <w:t> </w:t>
      </w:r>
      <w:r>
        <w:rPr>
          <w:sz w:val="24"/>
          <w:vertAlign w:val="baseline"/>
        </w:rPr>
        <w:t>approval</w:t>
      </w:r>
      <w:r>
        <w:rPr>
          <w:spacing w:val="-12"/>
          <w:sz w:val="24"/>
          <w:vertAlign w:val="baseline"/>
        </w:rPr>
        <w:t> </w:t>
      </w:r>
      <w:r>
        <w:rPr>
          <w:sz w:val="24"/>
          <w:vertAlign w:val="baseline"/>
        </w:rPr>
        <w:t>graphs,</w:t>
      </w:r>
      <w:r>
        <w:rPr>
          <w:spacing w:val="-10"/>
          <w:sz w:val="24"/>
          <w:vertAlign w:val="baseline"/>
        </w:rPr>
        <w:t> </w:t>
      </w:r>
      <w:r>
        <w:rPr>
          <w:sz w:val="24"/>
          <w:vertAlign w:val="baseline"/>
        </w:rPr>
        <w:t>and construct</w:t>
      </w:r>
      <w:r>
        <w:rPr>
          <w:spacing w:val="-9"/>
          <w:sz w:val="24"/>
          <w:vertAlign w:val="baseline"/>
        </w:rPr>
        <w:t> </w:t>
      </w:r>
      <w:r>
        <w:rPr>
          <w:sz w:val="24"/>
          <w:vertAlign w:val="baseline"/>
        </w:rPr>
        <w:t>overlap</w:t>
      </w:r>
      <w:r>
        <w:rPr>
          <w:spacing w:val="-9"/>
          <w:sz w:val="24"/>
          <w:vertAlign w:val="baseline"/>
        </w:rPr>
        <w:t> </w:t>
      </w:r>
      <w:r>
        <w:rPr>
          <w:sz w:val="24"/>
          <w:vertAlign w:val="baseline"/>
        </w:rPr>
        <w:t>for</w:t>
      </w:r>
      <w:r>
        <w:rPr>
          <w:spacing w:val="-9"/>
          <w:sz w:val="24"/>
          <w:vertAlign w:val="baseline"/>
        </w:rPr>
        <w:t> </w:t>
      </w:r>
      <w:r>
        <w:rPr>
          <w:sz w:val="24"/>
          <w:vertAlign w:val="baseline"/>
        </w:rPr>
        <w:t>GF-PR—are</w:t>
      </w:r>
      <w:r>
        <w:rPr>
          <w:spacing w:val="-9"/>
          <w:sz w:val="24"/>
          <w:vertAlign w:val="baseline"/>
        </w:rPr>
        <w:t> </w:t>
      </w:r>
      <w:r>
        <w:rPr>
          <w:sz w:val="24"/>
          <w:vertAlign w:val="baseline"/>
        </w:rPr>
        <w:t>discussed</w:t>
      </w:r>
      <w:r>
        <w:rPr>
          <w:spacing w:val="-9"/>
          <w:sz w:val="24"/>
          <w:vertAlign w:val="baseline"/>
        </w:rPr>
        <w:t> </w:t>
      </w:r>
      <w:r>
        <w:rPr>
          <w:sz w:val="24"/>
          <w:vertAlign w:val="baseline"/>
        </w:rPr>
        <w:t>in</w:t>
      </w:r>
      <w:r>
        <w:rPr>
          <w:spacing w:val="-9"/>
          <w:sz w:val="24"/>
          <w:vertAlign w:val="baseline"/>
        </w:rPr>
        <w:t> </w:t>
      </w:r>
      <w:r>
        <w:rPr>
          <w:sz w:val="24"/>
          <w:vertAlign w:val="baseline"/>
        </w:rPr>
        <w:t>Chapter</w:t>
      </w:r>
      <w:r>
        <w:rPr>
          <w:spacing w:val="-10"/>
          <w:sz w:val="24"/>
          <w:vertAlign w:val="baseline"/>
        </w:rPr>
        <w:t> </w:t>
      </w:r>
      <w:hyperlink w:history="true" w:anchor="_bookmark114">
        <w:r>
          <w:rPr>
            <w:sz w:val="24"/>
            <w:vertAlign w:val="baseline"/>
          </w:rPr>
          <w:t>5</w:t>
        </w:r>
      </w:hyperlink>
      <w:r>
        <w:rPr>
          <w:sz w:val="24"/>
          <w:vertAlign w:val="baseline"/>
        </w:rPr>
        <w:t>.</w:t>
      </w:r>
      <w:r>
        <w:rPr>
          <w:spacing w:val="13"/>
          <w:sz w:val="24"/>
          <w:vertAlign w:val="baseline"/>
        </w:rPr>
        <w:t> </w:t>
      </w:r>
      <w:r>
        <w:rPr>
          <w:sz w:val="24"/>
          <w:vertAlign w:val="baseline"/>
        </w:rPr>
        <w:t>All</w:t>
      </w:r>
      <w:r>
        <w:rPr>
          <w:spacing w:val="-9"/>
          <w:sz w:val="24"/>
          <w:vertAlign w:val="baseline"/>
        </w:rPr>
        <w:t> </w:t>
      </w:r>
      <w:r>
        <w:rPr>
          <w:sz w:val="24"/>
          <w:vertAlign w:val="baseline"/>
        </w:rPr>
        <w:t>code</w:t>
      </w:r>
      <w:r>
        <w:rPr>
          <w:spacing w:val="-9"/>
          <w:sz w:val="24"/>
          <w:vertAlign w:val="baseline"/>
        </w:rPr>
        <w:t> </w:t>
      </w:r>
      <w:r>
        <w:rPr>
          <w:sz w:val="24"/>
          <w:vertAlign w:val="baseline"/>
        </w:rPr>
        <w:t>paths,</w:t>
      </w:r>
      <w:r>
        <w:rPr>
          <w:spacing w:val="-8"/>
          <w:sz w:val="24"/>
          <w:vertAlign w:val="baseline"/>
        </w:rPr>
        <w:t> </w:t>
      </w:r>
      <w:r>
        <w:rPr>
          <w:sz w:val="24"/>
          <w:vertAlign w:val="baseline"/>
        </w:rPr>
        <w:t>parameter</w:t>
      </w:r>
      <w:r>
        <w:rPr>
          <w:spacing w:val="-9"/>
          <w:sz w:val="24"/>
          <w:vertAlign w:val="baseline"/>
        </w:rPr>
        <w:t> </w:t>
      </w:r>
      <w:r>
        <w:rPr>
          <w:sz w:val="24"/>
          <w:vertAlign w:val="baseline"/>
        </w:rPr>
        <w:t>choices, and evaluation metrics are documented in the open pipeline (Appendix </w:t>
      </w:r>
      <w:hyperlink w:history="true" w:anchor="_bookmark198">
        <w:r>
          <w:rPr>
            <w:sz w:val="24"/>
            <w:vertAlign w:val="baseline"/>
          </w:rPr>
          <w:t>8.1</w:t>
        </w:r>
      </w:hyperlink>
      <w:r>
        <w:rPr>
          <w:sz w:val="24"/>
          <w:vertAlign w:val="baseline"/>
        </w:rPr>
        <w:t>) to enable peer review and independent replication.</w:t>
      </w:r>
    </w:p>
    <w:p>
      <w:pPr>
        <w:pStyle w:val="ListParagraph"/>
        <w:numPr>
          <w:ilvl w:val="0"/>
          <w:numId w:val="24"/>
        </w:numPr>
        <w:tabs>
          <w:tab w:pos="799" w:val="left" w:leader="none"/>
          <w:tab w:pos="806" w:val="left" w:leader="none"/>
        </w:tabs>
        <w:spacing w:line="396" w:lineRule="auto" w:before="40" w:after="0"/>
        <w:ind w:left="799" w:right="524" w:hanging="207"/>
        <w:jc w:val="both"/>
        <w:rPr>
          <w:sz w:val="24"/>
        </w:rPr>
      </w:pPr>
      <w:r>
        <w:rPr>
          <w:i/>
        </w:rPr>
        <w:tab/>
        <w:t>공정성과 투명성: 그래프 평판 시스템은 신규 참가자, 소규모 참가자 또는 대중의 승인을 피하는 지갑을 체계적으로 과소평가할 수 있습니다[48]. 따라서 EndorseRank 및 AWP은 그러한 구조적 편향에 대해 감사되었습니다: 수당 그래프는 지출 권한을 받는 주소를 선호하고 이전 그래프는 가치 흐름 네트워크에 포함된 주소를 선호합니다. 콜드 스타트 ​​효과, Sybil 승인 그래프의 민감성 및 GF-PR에 대한 구성 중복을 포함한 제한 사항은 5장에서 논의됩니다. 모든 코드 경로, 매개변수 선택 및 평가 지표는 동료 검토 및 독립적 복제가 가능하도록 개방형 파이프라인(부록 8.1)에 문서화되어 있습니다.</w:t>
      </w:r>
    </w:p>
    <w:p>
      <w:pPr>
        <w:pStyle w:val="ListParagraph"/>
        <w:numPr>
          <w:ilvl w:val="0"/>
          <w:numId w:val="24"/>
        </w:numPr>
        <w:tabs>
          <w:tab w:pos="806" w:val="left" w:leader="none"/>
          <w:tab w:pos="808" w:val="left" w:leader="none"/>
        </w:tabs>
        <w:spacing w:line="393" w:lineRule="auto" w:before="46" w:after="0"/>
        <w:ind w:left="808" w:right="523" w:hanging="216"/>
        <w:jc w:val="both"/>
        <w:rPr>
          <w:sz w:val="24"/>
        </w:rPr>
      </w:pPr>
      <w:bookmarkStart w:name="_bookmark82" w:id="152"/>
      <w:bookmarkEnd w:id="152"/>
      <w:r>
        <w:rPr/>
      </w:r>
      <w:r>
        <w:rPr>
          <w:b/>
          <w:sz w:val="24"/>
        </w:rPr>
        <w:t>Responsible</w:t>
      </w:r>
      <w:r>
        <w:rPr>
          <w:b/>
          <w:spacing w:val="-9"/>
          <w:sz w:val="24"/>
        </w:rPr>
        <w:t> </w:t>
      </w:r>
      <w:r>
        <w:rPr>
          <w:b/>
          <w:sz w:val="24"/>
        </w:rPr>
        <w:t>disclosure</w:t>
      </w:r>
      <w:r>
        <w:rPr>
          <w:b/>
          <w:spacing w:val="-9"/>
          <w:sz w:val="24"/>
        </w:rPr>
        <w:t> </w:t>
      </w:r>
      <w:r>
        <w:rPr>
          <w:b/>
          <w:sz w:val="24"/>
        </w:rPr>
        <w:t>and</w:t>
      </w:r>
      <w:r>
        <w:rPr>
          <w:b/>
          <w:spacing w:val="-9"/>
          <w:sz w:val="24"/>
        </w:rPr>
        <w:t> </w:t>
      </w:r>
      <w:r>
        <w:rPr>
          <w:b/>
          <w:sz w:val="24"/>
        </w:rPr>
        <w:t>impact:</w:t>
      </w:r>
      <w:r>
        <w:rPr>
          <w:b/>
          <w:spacing w:val="13"/>
          <w:sz w:val="24"/>
        </w:rPr>
        <w:t> </w:t>
      </w:r>
      <w:r>
        <w:rPr>
          <w:sz w:val="24"/>
        </w:rPr>
        <w:t>Although</w:t>
      </w:r>
      <w:r>
        <w:rPr>
          <w:spacing w:val="-9"/>
          <w:sz w:val="24"/>
        </w:rPr>
        <w:t> </w:t>
      </w:r>
      <w:r>
        <w:rPr>
          <w:sz w:val="24"/>
        </w:rPr>
        <w:t>EndorseRank</w:t>
      </w:r>
      <w:r>
        <w:rPr>
          <w:spacing w:val="-9"/>
          <w:sz w:val="24"/>
        </w:rPr>
        <w:t> </w:t>
      </w:r>
      <w:r>
        <w:rPr>
          <w:sz w:val="24"/>
        </w:rPr>
        <w:t>may</w:t>
      </w:r>
      <w:r>
        <w:rPr>
          <w:spacing w:val="-9"/>
          <w:sz w:val="24"/>
        </w:rPr>
        <w:t> </w:t>
      </w:r>
      <w:r>
        <w:rPr>
          <w:sz w:val="24"/>
        </w:rPr>
        <w:t>inform</w:t>
      </w:r>
      <w:r>
        <w:rPr>
          <w:spacing w:val="-9"/>
          <w:sz w:val="24"/>
        </w:rPr>
        <w:t> </w:t>
      </w:r>
      <w:r>
        <w:rPr>
          <w:sz w:val="24"/>
        </w:rPr>
        <w:t>risk</w:t>
      </w:r>
      <w:r>
        <w:rPr>
          <w:spacing w:val="-9"/>
          <w:sz w:val="24"/>
        </w:rPr>
        <w:t> </w:t>
      </w:r>
      <w:r>
        <w:rPr>
          <w:sz w:val="24"/>
        </w:rPr>
        <w:t>assessment</w:t>
      </w:r>
      <w:r>
        <w:rPr>
          <w:spacing w:val="-9"/>
          <w:sz w:val="24"/>
        </w:rPr>
        <w:t> </w:t>
      </w:r>
      <w:r>
        <w:rPr>
          <w:sz w:val="24"/>
        </w:rPr>
        <w:t>in DeFi</w:t>
      </w:r>
      <w:r>
        <w:rPr>
          <w:spacing w:val="-1"/>
          <w:sz w:val="24"/>
        </w:rPr>
        <w:t> </w:t>
      </w:r>
      <w:r>
        <w:rPr>
          <w:sz w:val="24"/>
        </w:rPr>
        <w:t>contexts, it</w:t>
      </w:r>
      <w:r>
        <w:rPr>
          <w:spacing w:val="-1"/>
          <w:sz w:val="24"/>
        </w:rPr>
        <w:t> </w:t>
      </w:r>
      <w:r>
        <w:rPr>
          <w:sz w:val="24"/>
        </w:rPr>
        <w:t>is</w:t>
      </w:r>
      <w:r>
        <w:rPr>
          <w:spacing w:val="-1"/>
          <w:sz w:val="24"/>
        </w:rPr>
        <w:t> </w:t>
      </w:r>
      <w:r>
        <w:rPr>
          <w:sz w:val="24"/>
        </w:rPr>
        <w:t>not</w:t>
      </w:r>
      <w:r>
        <w:rPr>
          <w:spacing w:val="-1"/>
          <w:sz w:val="24"/>
        </w:rPr>
        <w:t> </w:t>
      </w:r>
      <w:r>
        <w:rPr>
          <w:sz w:val="24"/>
        </w:rPr>
        <w:t>financial</w:t>
      </w:r>
      <w:r>
        <w:rPr>
          <w:spacing w:val="-1"/>
          <w:sz w:val="24"/>
        </w:rPr>
        <w:t> </w:t>
      </w:r>
      <w:r>
        <w:rPr>
          <w:sz w:val="24"/>
        </w:rPr>
        <w:t>advice, credit</w:t>
      </w:r>
      <w:r>
        <w:rPr>
          <w:spacing w:val="-1"/>
          <w:sz w:val="24"/>
        </w:rPr>
        <w:t> </w:t>
      </w:r>
      <w:r>
        <w:rPr>
          <w:sz w:val="24"/>
        </w:rPr>
        <w:t>advice, or</w:t>
      </w:r>
      <w:r>
        <w:rPr>
          <w:spacing w:val="-1"/>
          <w:sz w:val="24"/>
        </w:rPr>
        <w:t> </w:t>
      </w:r>
      <w:r>
        <w:rPr>
          <w:sz w:val="24"/>
        </w:rPr>
        <w:t>a</w:t>
      </w:r>
      <w:r>
        <w:rPr>
          <w:spacing w:val="-1"/>
          <w:sz w:val="24"/>
        </w:rPr>
        <w:t> </w:t>
      </w:r>
      <w:r>
        <w:rPr>
          <w:sz w:val="24"/>
        </w:rPr>
        <w:t>consumer</w:t>
      </w:r>
      <w:r>
        <w:rPr>
          <w:spacing w:val="-1"/>
          <w:sz w:val="24"/>
        </w:rPr>
        <w:t> </w:t>
      </w:r>
      <w:r>
        <w:rPr>
          <w:sz w:val="24"/>
        </w:rPr>
        <w:t>reporting</w:t>
      </w:r>
      <w:r>
        <w:rPr>
          <w:spacing w:val="-1"/>
          <w:sz w:val="24"/>
        </w:rPr>
        <w:t> </w:t>
      </w:r>
      <w:r>
        <w:rPr>
          <w:sz w:val="24"/>
        </w:rPr>
        <w:t>product.</w:t>
      </w:r>
      <w:r>
        <w:rPr>
          <w:spacing w:val="24"/>
          <w:sz w:val="24"/>
        </w:rPr>
        <w:t> </w:t>
      </w:r>
      <w:r>
        <w:rPr>
          <w:sz w:val="24"/>
        </w:rPr>
        <w:t>Hu-man oversight remains necessary for lending, trading, and compliance decisions.</w:t>
      </w:r>
      <w:r>
        <w:rPr>
          <w:spacing w:val="40"/>
          <w:sz w:val="24"/>
        </w:rPr>
        <w:t> </w:t>
      </w:r>
      <w:r>
        <w:rPr>
          <w:sz w:val="24"/>
        </w:rPr>
        <w:t>Potential adversarial</w:t>
      </w:r>
      <w:r>
        <w:rPr>
          <w:spacing w:val="-1"/>
          <w:sz w:val="24"/>
        </w:rPr>
        <w:t> </w:t>
      </w:r>
      <w:r>
        <w:rPr>
          <w:sz w:val="24"/>
        </w:rPr>
        <w:t>manipulation</w:t>
      </w:r>
      <w:r>
        <w:rPr>
          <w:spacing w:val="-1"/>
          <w:sz w:val="24"/>
        </w:rPr>
        <w:t> </w:t>
      </w:r>
      <w:r>
        <w:rPr>
          <w:sz w:val="24"/>
        </w:rPr>
        <w:t>(for</w:t>
      </w:r>
      <w:r>
        <w:rPr>
          <w:spacing w:val="-1"/>
          <w:sz w:val="24"/>
        </w:rPr>
        <w:t> </w:t>
      </w:r>
      <w:r>
        <w:rPr>
          <w:sz w:val="24"/>
        </w:rPr>
        <w:t>example, Sybil</w:t>
      </w:r>
      <w:r>
        <w:rPr>
          <w:spacing w:val="-1"/>
          <w:sz w:val="24"/>
        </w:rPr>
        <w:t> </w:t>
      </w:r>
      <w:r>
        <w:rPr>
          <w:sz w:val="24"/>
        </w:rPr>
        <w:t>attacks</w:t>
      </w:r>
      <w:r>
        <w:rPr>
          <w:spacing w:val="-1"/>
          <w:sz w:val="24"/>
        </w:rPr>
        <w:t> </w:t>
      </w:r>
      <w:r>
        <w:rPr>
          <w:sz w:val="24"/>
        </w:rPr>
        <w:t>on</w:t>
      </w:r>
      <w:r>
        <w:rPr>
          <w:spacing w:val="-1"/>
          <w:sz w:val="24"/>
        </w:rPr>
        <w:t> </w:t>
      </w:r>
      <w:r>
        <w:rPr>
          <w:rFonts w:ascii="Calibri" w:hAnsi="Calibri"/>
          <w:i/>
          <w:sz w:val="24"/>
        </w:rPr>
        <w:t>G</w:t>
      </w:r>
      <w:r>
        <w:rPr>
          <w:sz w:val="24"/>
          <w:vertAlign w:val="subscript"/>
        </w:rPr>
        <w:t>approve</w:t>
      </w:r>
      <w:r>
        <w:rPr>
          <w:sz w:val="24"/>
          <w:vertAlign w:val="baseline"/>
        </w:rPr>
        <w:t> or</w:t>
      </w:r>
      <w:r>
        <w:rPr>
          <w:spacing w:val="-1"/>
          <w:sz w:val="24"/>
          <w:vertAlign w:val="baseline"/>
        </w:rPr>
        <w:t> </w:t>
      </w:r>
      <w:r>
        <w:rPr>
          <w:sz w:val="24"/>
          <w:vertAlign w:val="baseline"/>
        </w:rPr>
        <w:t>wash</w:t>
      </w:r>
      <w:r>
        <w:rPr>
          <w:spacing w:val="-1"/>
          <w:sz w:val="24"/>
          <w:vertAlign w:val="baseline"/>
        </w:rPr>
        <w:t> </w:t>
      </w:r>
      <w:r>
        <w:rPr>
          <w:sz w:val="24"/>
          <w:vertAlign w:val="baseline"/>
        </w:rPr>
        <w:t>transfers</w:t>
      </w:r>
      <w:r>
        <w:rPr>
          <w:spacing w:val="-1"/>
          <w:sz w:val="24"/>
          <w:vertAlign w:val="baseline"/>
        </w:rPr>
        <w:t> </w:t>
      </w:r>
      <w:r>
        <w:rPr>
          <w:sz w:val="24"/>
          <w:vertAlign w:val="baseline"/>
        </w:rPr>
        <w:t>on</w:t>
      </w:r>
      <w:r>
        <w:rPr>
          <w:spacing w:val="-1"/>
          <w:sz w:val="24"/>
          <w:vertAlign w:val="baseline"/>
        </w:rPr>
        <w:t> </w:t>
      </w:r>
      <w:r>
        <w:rPr>
          <w:rFonts w:ascii="Calibri" w:hAnsi="Calibri"/>
          <w:i/>
          <w:sz w:val="24"/>
          <w:vertAlign w:val="baseline"/>
        </w:rPr>
        <w:t>G</w:t>
      </w:r>
      <w:r>
        <w:rPr>
          <w:sz w:val="24"/>
          <w:vertAlign w:val="subscript"/>
        </w:rPr>
        <w:t>transfer</w:t>
      </w:r>
      <w:r>
        <w:rPr>
          <w:sz w:val="24"/>
          <w:vertAlign w:val="baseline"/>
        </w:rPr>
        <w:t>) is</w:t>
      </w:r>
      <w:r>
        <w:rPr>
          <w:spacing w:val="-7"/>
          <w:sz w:val="24"/>
          <w:vertAlign w:val="baseline"/>
        </w:rPr>
        <w:t> </w:t>
      </w:r>
      <w:r>
        <w:rPr>
          <w:sz w:val="24"/>
          <w:vertAlign w:val="baseline"/>
        </w:rPr>
        <w:t>acknowledged</w:t>
      </w:r>
      <w:r>
        <w:rPr>
          <w:spacing w:val="-7"/>
          <w:sz w:val="24"/>
          <w:vertAlign w:val="baseline"/>
        </w:rPr>
        <w:t> </w:t>
      </w:r>
      <w:r>
        <w:rPr>
          <w:sz w:val="24"/>
          <w:vertAlign w:val="baseline"/>
        </w:rPr>
        <w:t>and</w:t>
      </w:r>
      <w:r>
        <w:rPr>
          <w:spacing w:val="-7"/>
          <w:sz w:val="24"/>
          <w:vertAlign w:val="baseline"/>
        </w:rPr>
        <w:t> </w:t>
      </w:r>
      <w:r>
        <w:rPr>
          <w:sz w:val="24"/>
          <w:vertAlign w:val="baseline"/>
        </w:rPr>
        <w:t>discussed</w:t>
      </w:r>
      <w:r>
        <w:rPr>
          <w:spacing w:val="-7"/>
          <w:sz w:val="24"/>
          <w:vertAlign w:val="baseline"/>
        </w:rPr>
        <w:t> </w:t>
      </w:r>
      <w:r>
        <w:rPr>
          <w:sz w:val="24"/>
          <w:vertAlign w:val="baseline"/>
        </w:rPr>
        <w:t>in</w:t>
      </w:r>
      <w:r>
        <w:rPr>
          <w:spacing w:val="-7"/>
          <w:sz w:val="24"/>
          <w:vertAlign w:val="baseline"/>
        </w:rPr>
        <w:t> </w:t>
      </w:r>
      <w:r>
        <w:rPr>
          <w:sz w:val="24"/>
          <w:vertAlign w:val="baseline"/>
        </w:rPr>
        <w:t>Chapter</w:t>
      </w:r>
      <w:r>
        <w:rPr>
          <w:spacing w:val="-7"/>
          <w:sz w:val="24"/>
          <w:vertAlign w:val="baseline"/>
        </w:rPr>
        <w:t> </w:t>
      </w:r>
      <w:hyperlink w:history="true" w:anchor="_bookmark114">
        <w:r>
          <w:rPr>
            <w:sz w:val="24"/>
            <w:vertAlign w:val="baseline"/>
          </w:rPr>
          <w:t>5</w:t>
        </w:r>
      </w:hyperlink>
      <w:r>
        <w:rPr>
          <w:sz w:val="24"/>
          <w:vertAlign w:val="baseline"/>
        </w:rPr>
        <w:t>. The</w:t>
      </w:r>
      <w:r>
        <w:rPr>
          <w:spacing w:val="-7"/>
          <w:sz w:val="24"/>
          <w:vertAlign w:val="baseline"/>
        </w:rPr>
        <w:t> </w:t>
      </w:r>
      <w:r>
        <w:rPr>
          <w:sz w:val="24"/>
          <w:vertAlign w:val="baseline"/>
        </w:rPr>
        <w:t>study</w:t>
      </w:r>
      <w:r>
        <w:rPr>
          <w:spacing w:val="-7"/>
          <w:sz w:val="24"/>
          <w:vertAlign w:val="baseline"/>
        </w:rPr>
        <w:t> </w:t>
      </w:r>
      <w:r>
        <w:rPr>
          <w:sz w:val="24"/>
          <w:vertAlign w:val="baseline"/>
        </w:rPr>
        <w:t>reports</w:t>
      </w:r>
      <w:r>
        <w:rPr>
          <w:spacing w:val="-7"/>
          <w:sz w:val="24"/>
          <w:vertAlign w:val="baseline"/>
        </w:rPr>
        <w:t> </w:t>
      </w:r>
      <w:r>
        <w:rPr>
          <w:sz w:val="24"/>
          <w:vertAlign w:val="baseline"/>
        </w:rPr>
        <w:t>aggregated</w:t>
      </w:r>
      <w:r>
        <w:rPr>
          <w:spacing w:val="-7"/>
          <w:sz w:val="24"/>
          <w:vertAlign w:val="baseline"/>
        </w:rPr>
        <w:t> </w:t>
      </w:r>
      <w:r>
        <w:rPr>
          <w:sz w:val="24"/>
          <w:vertAlign w:val="baseline"/>
        </w:rPr>
        <w:t>cohort-level</w:t>
      </w:r>
      <w:r>
        <w:rPr>
          <w:spacing w:val="-7"/>
          <w:sz w:val="24"/>
          <w:vertAlign w:val="baseline"/>
        </w:rPr>
        <w:t> </w:t>
      </w:r>
      <w:r>
        <w:rPr>
          <w:sz w:val="24"/>
          <w:vertAlign w:val="baseline"/>
        </w:rPr>
        <w:t>find-ings</w:t>
      </w:r>
      <w:r>
        <w:rPr>
          <w:spacing w:val="-3"/>
          <w:sz w:val="24"/>
          <w:vertAlign w:val="baseline"/>
        </w:rPr>
        <w:t> </w:t>
      </w:r>
      <w:r>
        <w:rPr>
          <w:sz w:val="24"/>
          <w:vertAlign w:val="baseline"/>
        </w:rPr>
        <w:t>rather</w:t>
      </w:r>
      <w:r>
        <w:rPr>
          <w:spacing w:val="-3"/>
          <w:sz w:val="24"/>
          <w:vertAlign w:val="baseline"/>
        </w:rPr>
        <w:t> </w:t>
      </w:r>
      <w:r>
        <w:rPr>
          <w:sz w:val="24"/>
          <w:vertAlign w:val="baseline"/>
        </w:rPr>
        <w:t>than</w:t>
      </w:r>
      <w:r>
        <w:rPr>
          <w:spacing w:val="-3"/>
          <w:sz w:val="24"/>
          <w:vertAlign w:val="baseline"/>
        </w:rPr>
        <w:t> </w:t>
      </w:r>
      <w:r>
        <w:rPr>
          <w:sz w:val="24"/>
          <w:vertAlign w:val="baseline"/>
        </w:rPr>
        <w:t>wallet-level</w:t>
      </w:r>
      <w:r>
        <w:rPr>
          <w:spacing w:val="-3"/>
          <w:sz w:val="24"/>
          <w:vertAlign w:val="baseline"/>
        </w:rPr>
        <w:t> </w:t>
      </w:r>
      <w:r>
        <w:rPr>
          <w:sz w:val="24"/>
          <w:vertAlign w:val="baseline"/>
        </w:rPr>
        <w:t>rankings</w:t>
      </w:r>
      <w:r>
        <w:rPr>
          <w:spacing w:val="-3"/>
          <w:sz w:val="24"/>
          <w:vertAlign w:val="baseline"/>
        </w:rPr>
        <w:t> </w:t>
      </w:r>
      <w:r>
        <w:rPr>
          <w:sz w:val="24"/>
          <w:vertAlign w:val="baseline"/>
        </w:rPr>
        <w:t>intended</w:t>
      </w:r>
      <w:r>
        <w:rPr>
          <w:spacing w:val="-3"/>
          <w:sz w:val="24"/>
          <w:vertAlign w:val="baseline"/>
        </w:rPr>
        <w:t> </w:t>
      </w:r>
      <w:r>
        <w:rPr>
          <w:sz w:val="24"/>
          <w:vertAlign w:val="baseline"/>
        </w:rPr>
        <w:t>for</w:t>
      </w:r>
      <w:r>
        <w:rPr>
          <w:spacing w:val="-3"/>
          <w:sz w:val="24"/>
          <w:vertAlign w:val="baseline"/>
        </w:rPr>
        <w:t> </w:t>
      </w:r>
      <w:r>
        <w:rPr>
          <w:sz w:val="24"/>
          <w:vertAlign w:val="baseline"/>
        </w:rPr>
        <w:t>targeting</w:t>
      </w:r>
      <w:r>
        <w:rPr>
          <w:spacing w:val="-3"/>
          <w:sz w:val="24"/>
          <w:vertAlign w:val="baseline"/>
        </w:rPr>
        <w:t> </w:t>
      </w:r>
      <w:r>
        <w:rPr>
          <w:sz w:val="24"/>
          <w:vertAlign w:val="baseline"/>
        </w:rPr>
        <w:t>individual</w:t>
      </w:r>
      <w:r>
        <w:rPr>
          <w:spacing w:val="-2"/>
          <w:sz w:val="24"/>
          <w:vertAlign w:val="baseline"/>
        </w:rPr>
        <w:t> </w:t>
      </w:r>
      <w:r>
        <w:rPr>
          <w:sz w:val="24"/>
          <w:vertAlign w:val="baseline"/>
        </w:rPr>
        <w:t>users.</w:t>
      </w:r>
      <w:r>
        <w:rPr>
          <w:spacing w:val="21"/>
          <w:sz w:val="24"/>
          <w:vertAlign w:val="baseline"/>
        </w:rPr>
        <w:t> </w:t>
      </w:r>
      <w:r>
        <w:rPr>
          <w:sz w:val="24"/>
          <w:vertAlign w:val="baseline"/>
        </w:rPr>
        <w:t>Any</w:t>
      </w:r>
      <w:r>
        <w:rPr>
          <w:spacing w:val="-3"/>
          <w:sz w:val="24"/>
          <w:vertAlign w:val="baseline"/>
        </w:rPr>
        <w:t> </w:t>
      </w:r>
      <w:r>
        <w:rPr>
          <w:sz w:val="24"/>
          <w:vertAlign w:val="baseline"/>
        </w:rPr>
        <w:t>future</w:t>
      </w:r>
      <w:r>
        <w:rPr>
          <w:spacing w:val="-3"/>
          <w:sz w:val="24"/>
          <w:vertAlign w:val="baseline"/>
        </w:rPr>
        <w:t> </w:t>
      </w:r>
      <w:r>
        <w:rPr>
          <w:sz w:val="24"/>
          <w:vertAlign w:val="baseline"/>
        </w:rPr>
        <w:t>op-erational</w:t>
      </w:r>
      <w:r>
        <w:rPr>
          <w:spacing w:val="-5"/>
          <w:sz w:val="24"/>
          <w:vertAlign w:val="baseline"/>
        </w:rPr>
        <w:t> </w:t>
      </w:r>
      <w:r>
        <w:rPr>
          <w:sz w:val="24"/>
          <w:vertAlign w:val="baseline"/>
        </w:rPr>
        <w:t>deployment</w:t>
      </w:r>
      <w:r>
        <w:rPr>
          <w:spacing w:val="-5"/>
          <w:sz w:val="24"/>
          <w:vertAlign w:val="baseline"/>
        </w:rPr>
        <w:t> </w:t>
      </w:r>
      <w:r>
        <w:rPr>
          <w:sz w:val="24"/>
          <w:vertAlign w:val="baseline"/>
        </w:rPr>
        <w:t>would</w:t>
      </w:r>
      <w:r>
        <w:rPr>
          <w:spacing w:val="-5"/>
          <w:sz w:val="24"/>
          <w:vertAlign w:val="baseline"/>
        </w:rPr>
        <w:t> </w:t>
      </w:r>
      <w:r>
        <w:rPr>
          <w:sz w:val="24"/>
          <w:vertAlign w:val="baseline"/>
        </w:rPr>
        <w:t>require</w:t>
      </w:r>
      <w:r>
        <w:rPr>
          <w:spacing w:val="-5"/>
          <w:sz w:val="24"/>
          <w:vertAlign w:val="baseline"/>
        </w:rPr>
        <w:t> </w:t>
      </w:r>
      <w:r>
        <w:rPr>
          <w:sz w:val="24"/>
          <w:vertAlign w:val="baseline"/>
        </w:rPr>
        <w:t>additional</w:t>
      </w:r>
      <w:r>
        <w:rPr>
          <w:spacing w:val="-5"/>
          <w:sz w:val="24"/>
          <w:vertAlign w:val="baseline"/>
        </w:rPr>
        <w:t> </w:t>
      </w:r>
      <w:r>
        <w:rPr>
          <w:sz w:val="24"/>
          <w:vertAlign w:val="baseline"/>
        </w:rPr>
        <w:t>governance,</w:t>
      </w:r>
      <w:r>
        <w:rPr>
          <w:spacing w:val="-5"/>
          <w:sz w:val="24"/>
          <w:vertAlign w:val="baseline"/>
        </w:rPr>
        <w:t> </w:t>
      </w:r>
      <w:r>
        <w:rPr>
          <w:sz w:val="24"/>
          <w:vertAlign w:val="baseline"/>
        </w:rPr>
        <w:t>appeal</w:t>
      </w:r>
      <w:r>
        <w:rPr>
          <w:spacing w:val="-5"/>
          <w:sz w:val="24"/>
          <w:vertAlign w:val="baseline"/>
        </w:rPr>
        <w:t> </w:t>
      </w:r>
      <w:r>
        <w:rPr>
          <w:sz w:val="24"/>
          <w:vertAlign w:val="baseline"/>
        </w:rPr>
        <w:t>mechanisms,</w:t>
      </w:r>
      <w:r>
        <w:rPr>
          <w:spacing w:val="-5"/>
          <w:sz w:val="24"/>
          <w:vertAlign w:val="baseline"/>
        </w:rPr>
        <w:t> </w:t>
      </w:r>
      <w:r>
        <w:rPr>
          <w:sz w:val="24"/>
          <w:vertAlign w:val="baseline"/>
        </w:rPr>
        <w:t>and</w:t>
      </w:r>
      <w:r>
        <w:rPr>
          <w:spacing w:val="-5"/>
          <w:sz w:val="24"/>
          <w:vertAlign w:val="baseline"/>
        </w:rPr>
        <w:t> </w:t>
      </w:r>
      <w:r>
        <w:rPr>
          <w:sz w:val="24"/>
          <w:vertAlign w:val="baseline"/>
        </w:rPr>
        <w:t>fairness monitoring beyond the scope of this dissertation.</w:t>
      </w:r>
    </w:p>
    <w:p>
      <w:pPr>
        <w:pStyle w:val="ListParagraph"/>
        <w:numPr>
          <w:ilvl w:val="0"/>
          <w:numId w:val="24"/>
        </w:numPr>
        <w:tabs>
          <w:tab w:pos="806" w:val="left" w:leader="none"/>
          <w:tab w:pos="808" w:val="left" w:leader="none"/>
        </w:tabs>
        <w:spacing w:line="393" w:lineRule="auto" w:before="46" w:after="0"/>
        <w:ind w:left="808" w:right="523" w:hanging="216"/>
        <w:jc w:val="both"/>
        <w:rPr>
          <w:sz w:val="24"/>
        </w:rPr>
      </w:pPr>
      <w:r>
        <w:rPr>
          <w:i/>
        </w:rPr>
        <w:t>책임 있는 공개 및 영향: EndorseRank가 DeFi 맥락에서 위험 평가를 알릴 수 있지만 이는 재정 조언, 신용 조언 또는 소비자 보고 제품이 아닙니다. 대출, 거래 및 규정 준수 결정에는 인간의 감독이 여전히 필요합니다. 잠재적인 적대적 조작(예: Gapprove에 대한 Sybil 공격 또는 Gtransfer에 대한 워시 전송)은 5장에서 인정되고 논의됩니다. 이 연구는 개별 사용자를 대상으로 하는 지갑 수준 순위가 아닌 집계된 코호트 수준 결과를 보고합니다. 향후 운영 배포에는 이 논문의 범위를 넘어서는 추가 거버넌스, 호소 메커니즘 및 공정성 모니터링이 필요합니다.</w:t>
      </w:r>
    </w:p>
    <w:p>
      <w:pPr>
        <w:pStyle w:val="ListParagraph"/>
        <w:numPr>
          <w:ilvl w:val="0"/>
          <w:numId w:val="24"/>
        </w:numPr>
        <w:tabs>
          <w:tab w:pos="806" w:val="left" w:leader="none"/>
          <w:tab w:pos="808" w:val="left" w:leader="none"/>
        </w:tabs>
        <w:spacing w:line="396" w:lineRule="auto" w:before="39" w:after="0"/>
        <w:ind w:left="808" w:right="523" w:hanging="216"/>
        <w:jc w:val="both"/>
        <w:rPr>
          <w:sz w:val="24"/>
        </w:rPr>
      </w:pPr>
      <w:bookmarkStart w:name="_bookmark83" w:id="153"/>
      <w:bookmarkEnd w:id="153"/>
      <w:r>
        <w:rPr/>
      </w:r>
      <w:r>
        <w:rPr>
          <w:b/>
          <w:sz w:val="24"/>
        </w:rPr>
        <w:t>Summary of methodological commitments:</w:t>
      </w:r>
      <w:r>
        <w:rPr>
          <w:b/>
          <w:spacing w:val="40"/>
          <w:sz w:val="24"/>
        </w:rPr>
        <w:t> </w:t>
      </w:r>
      <w:r>
        <w:rPr>
          <w:sz w:val="24"/>
        </w:rPr>
        <w:t>The design fixes the chain, window, cohort rules, graph formulas, proxy definitions, and statistical tests before interpreting results.</w:t>
      </w:r>
      <w:r>
        <w:rPr>
          <w:spacing w:val="40"/>
          <w:sz w:val="24"/>
        </w:rPr>
        <w:t> </w:t>
      </w:r>
      <w:r>
        <w:rPr>
          <w:sz w:val="24"/>
        </w:rPr>
        <w:t>Pri-mary claims compare only EndorseRank and AWP on the matched wallet cohort; the ex-panded pool and robustness sweeps test efficiency and stability; GF-PR bounds outcome-native alignment for SRQ1. Chapter </w:t>
      </w:r>
      <w:hyperlink w:history="true" w:anchor="_bookmark84">
        <w:r>
          <w:rPr>
            <w:sz w:val="24"/>
          </w:rPr>
          <w:t>4</w:t>
        </w:r>
      </w:hyperlink>
      <w:r>
        <w:rPr>
          <w:sz w:val="24"/>
        </w:rPr>
        <w:t> reports the empirical outcomes of this protocol.</w:t>
      </w:r>
    </w:p>
    <w:p>
      <w:pPr>
        <w:pStyle w:val="ListParagraph"/>
        <w:numPr>
          <w:ilvl w:val="0"/>
          <w:numId w:val="24"/>
        </w:numPr>
        <w:tabs>
          <w:tab w:pos="806" w:val="left" w:leader="none"/>
          <w:tab w:pos="808" w:val="left" w:leader="none"/>
        </w:tabs>
        <w:spacing w:line="396" w:lineRule="auto" w:before="39" w:after="0"/>
        <w:ind w:left="808" w:right="523" w:hanging="216"/>
        <w:jc w:val="both"/>
        <w:rPr>
          <w:sz w:val="24"/>
        </w:rPr>
      </w:pPr>
      <w:r>
        <w:rPr>
          <w:i/>
        </w:rPr>
        <w:t>방법론적 약속 요약: 설계에서는 결과를 해석하기 전에 체인, 창, 코호트 규칙, 그래프 공식, 프록시 정의 및 통계 테스트를 수정합니다. 기본 주장은 일치하는 지갑 집단의 EndorseRank 및 AWP만 비교합니다. 확장된 풀과 견고성은 테스트 효율성과 안정성을 휩쓸고, GF-PR은 SRQ1에 대한 결과 기반 정렬을 제한합니다. 4장에서는 이 프로토콜의 경험적 결과를 보고합니다.</w:t>
      </w:r>
    </w:p>
    <w:p>
      <w:pPr>
        <w:pStyle w:val="ListParagraph"/>
        <w:spacing w:after="0" w:line="396" w:lineRule="auto"/>
        <w:jc w:val="both"/>
        <w:rPr>
          <w:sz w:val="24"/>
        </w:rPr>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Implementation and Empirical Results" w:id="154"/>
      <w:bookmarkEnd w:id="154"/>
      <w:r>
        <w:rPr>
          <w:b w:val="0"/>
        </w:rPr>
      </w:r>
      <w:bookmarkStart w:name="_bookmark84" w:id="155"/>
      <w:bookmarkEnd w:id="155"/>
      <w:r>
        <w:rPr>
          <w:b w:val="0"/>
        </w:rPr>
      </w:r>
      <w:r>
        <w:rPr/>
        <w:t>Implementation</w:t>
      </w:r>
      <w:r>
        <w:rPr>
          <w:spacing w:val="10"/>
        </w:rPr>
        <w:t> </w:t>
      </w:r>
      <w:r>
        <w:rPr/>
        <w:t>and</w:t>
      </w:r>
      <w:r>
        <w:rPr>
          <w:spacing w:val="10"/>
        </w:rPr>
        <w:t> </w:t>
      </w:r>
      <w:r>
        <w:rPr/>
        <w:t>Empirical</w:t>
      </w:r>
      <w:r>
        <w:rPr>
          <w:spacing w:val="11"/>
        </w:rPr>
        <w:t> </w:t>
      </w:r>
      <w:r>
        <w:rPr>
          <w:spacing w:val="-2"/>
        </w:rPr>
        <w:t>Results</w:t>
      </w:r>
    </w:p>
    <w:p>
      <w:pPr>
        <w:pStyle w:val="Heading1"/>
        <w:numPr>
          <w:ilvl w:val="0"/>
          <w:numId w:val="8"/>
        </w:numPr>
        <w:tabs>
          <w:tab w:pos="625" w:val="left" w:leader="none"/>
        </w:tabs>
        <w:spacing w:line="240" w:lineRule="auto" w:before="0" w:after="0"/>
        <w:ind w:left="625" w:right="0" w:hanging="343"/>
        <w:jc w:val="both"/>
      </w:pPr>
      <w:r>
        <w:rPr>
          <w:i/>
        </w:rPr>
        <w:t>구현 및 실증 결과</w:t>
      </w:r>
    </w:p>
    <w:p>
      <w:pPr>
        <w:pStyle w:val="BodyText"/>
        <w:spacing w:before="28"/>
        <w:rPr>
          <w:b/>
          <w:sz w:val="34"/>
        </w:rPr>
      </w:pPr>
    </w:p>
    <w:p>
      <w:pPr>
        <w:pStyle w:val="BodyText"/>
        <w:spacing w:line="396" w:lineRule="auto"/>
        <w:ind w:left="282" w:right="523" w:hanging="8"/>
        <w:jc w:val="both"/>
      </w:pPr>
      <w:r>
        <w:rPr/>
        <w:t>This chapter reports the empirical evaluation of EndorseRank against Adaptive Weighted PageR-ank (AWP) on Arbitrum One.</w:t>
      </w:r>
      <w:r>
        <w:rPr>
          <w:spacing w:val="40"/>
        </w:rPr>
        <w:t> </w:t>
      </w:r>
      <w:r>
        <w:rPr/>
        <w:t>The analysis proceeds from cohort construction and descriptive distributions, through computational benchmarks and robustness checks, to social-method align-ment across five proxy families, inter-method rank divergence, and a supplementary GainFlow PageRank</w:t>
      </w:r>
      <w:r>
        <w:rPr>
          <w:spacing w:val="-9"/>
        </w:rPr>
        <w:t> </w:t>
      </w:r>
      <w:r>
        <w:rPr/>
        <w:t>(GF-PR)</w:t>
      </w:r>
      <w:r>
        <w:rPr>
          <w:spacing w:val="-9"/>
        </w:rPr>
        <w:t> </w:t>
      </w:r>
      <w:r>
        <w:rPr/>
        <w:t>ceiling</w:t>
      </w:r>
      <w:r>
        <w:rPr>
          <w:spacing w:val="-9"/>
        </w:rPr>
        <w:t> </w:t>
      </w:r>
      <w:r>
        <w:rPr/>
        <w:t>analysis. Primary</w:t>
      </w:r>
      <w:r>
        <w:rPr>
          <w:spacing w:val="-9"/>
        </w:rPr>
        <w:t> </w:t>
      </w:r>
      <w:r>
        <w:rPr/>
        <w:t>claims</w:t>
      </w:r>
      <w:r>
        <w:rPr>
          <w:spacing w:val="-9"/>
        </w:rPr>
        <w:t> </w:t>
      </w:r>
      <w:r>
        <w:rPr/>
        <w:t>C1–C4</w:t>
      </w:r>
      <w:r>
        <w:rPr>
          <w:spacing w:val="-9"/>
        </w:rPr>
        <w:t> </w:t>
      </w:r>
      <w:r>
        <w:rPr/>
        <w:t>address</w:t>
      </w:r>
      <w:r>
        <w:rPr>
          <w:spacing w:val="-9"/>
        </w:rPr>
        <w:t> </w:t>
      </w:r>
      <w:r>
        <w:rPr/>
        <w:t>the</w:t>
      </w:r>
      <w:r>
        <w:rPr>
          <w:spacing w:val="-9"/>
        </w:rPr>
        <w:t> </w:t>
      </w:r>
      <w:r>
        <w:rPr/>
        <w:t>EndorseRank–AWP</w:t>
      </w:r>
      <w:r>
        <w:rPr>
          <w:spacing w:val="-9"/>
        </w:rPr>
        <w:t> </w:t>
      </w:r>
      <w:r>
        <w:rPr/>
        <w:t>com-parison;</w:t>
      </w:r>
      <w:r>
        <w:rPr>
          <w:spacing w:val="-5"/>
        </w:rPr>
        <w:t> </w:t>
      </w:r>
      <w:r>
        <w:rPr/>
        <w:t>supplementary</w:t>
      </w:r>
      <w:r>
        <w:rPr>
          <w:spacing w:val="-6"/>
        </w:rPr>
        <w:t> </w:t>
      </w:r>
      <w:r>
        <w:rPr/>
        <w:t>claim</w:t>
      </w:r>
      <w:r>
        <w:rPr>
          <w:spacing w:val="-6"/>
        </w:rPr>
        <w:t> </w:t>
      </w:r>
      <w:r>
        <w:rPr/>
        <w:t>SC1</w:t>
      </w:r>
      <w:r>
        <w:rPr>
          <w:spacing w:val="-6"/>
        </w:rPr>
        <w:t> </w:t>
      </w:r>
      <w:r>
        <w:rPr/>
        <w:t>interprets</w:t>
      </w:r>
      <w:r>
        <w:rPr>
          <w:spacing w:val="-6"/>
        </w:rPr>
        <w:t> </w:t>
      </w:r>
      <w:r>
        <w:rPr/>
        <w:t>GF-PR</w:t>
      </w:r>
      <w:r>
        <w:rPr>
          <w:spacing w:val="-5"/>
        </w:rPr>
        <w:t> </w:t>
      </w:r>
      <w:r>
        <w:rPr/>
        <w:t>as</w:t>
      </w:r>
      <w:r>
        <w:rPr>
          <w:spacing w:val="-6"/>
        </w:rPr>
        <w:t> </w:t>
      </w:r>
      <w:r>
        <w:rPr/>
        <w:t>an</w:t>
      </w:r>
      <w:r>
        <w:rPr>
          <w:spacing w:val="-6"/>
        </w:rPr>
        <w:t> </w:t>
      </w:r>
      <w:r>
        <w:rPr/>
        <w:t>outcome-native</w:t>
      </w:r>
      <w:r>
        <w:rPr>
          <w:spacing w:val="-5"/>
        </w:rPr>
        <w:t> </w:t>
      </w:r>
      <w:r>
        <w:rPr/>
        <w:t>diagnostic</w:t>
      </w:r>
      <w:r>
        <w:rPr>
          <w:spacing w:val="-6"/>
        </w:rPr>
        <w:t> </w:t>
      </w:r>
      <w:r>
        <w:rPr/>
        <w:t>rather</w:t>
      </w:r>
      <w:r>
        <w:rPr>
          <w:spacing w:val="-5"/>
        </w:rPr>
        <w:t> </w:t>
      </w:r>
      <w:r>
        <w:rPr/>
        <w:t>than</w:t>
      </w:r>
      <w:r>
        <w:rPr>
          <w:spacing w:val="-6"/>
        </w:rPr>
        <w:t> </w:t>
      </w:r>
      <w:r>
        <w:rPr/>
        <w:t>a deployable social reputation method.</w:t>
      </w:r>
    </w:p>
    <w:p>
      <w:pPr>
        <w:pStyle w:val="BodyText"/>
        <w:spacing w:line="396" w:lineRule="auto"/>
        <w:ind w:left="282" w:right="523" w:hanging="8"/>
        <w:jc w:val="both"/>
      </w:pPr>
      <w:r>
        <w:rPr>
          <w:i/>
        </w:rPr>
        <w:t>이 장에서는 Arbitrum One의 적응형 가중 PageR-ank(AWP)에 대한 EndorseRank의 실증적 평가를 보고합니다. 분석은 계산 벤치마크 및 견고성 확인을 통해 코호트 구성 및 설명 분포부터 5개 프록시 제품군 간의 사회적 방법 정렬, 방법 간 순위 차이 및 보충 GainFlow PageRank(GF-PR) 상한 분석에 이르기까지 진행됩니다. 기본 주장 C1–C4는 EndorseRank–AWP 비교를 다루고, 보충 주장 SC1은 GF-PR을 배포 가능한 사회적 평판 방법이 아닌 결과 기반 진단으로 해석합니다.</w:t>
      </w:r>
    </w:p>
    <w:p>
      <w:pPr>
        <w:pStyle w:val="BodyText"/>
        <w:spacing w:line="388" w:lineRule="auto" w:before="17"/>
        <w:ind w:left="282" w:right="544" w:hanging="9"/>
        <w:jc w:val="both"/>
      </w:pPr>
      <w:r>
        <w:rPr/>
        <w:t>All primary results use an identical matched cohort of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 </w:t>
      </w:r>
      <w:r>
        <w:rPr/>
        <w:t>wallets that satisfy both a GMX trading-activity filter and non-zero connectivity in the reputation subgraphs.</w:t>
      </w:r>
      <w:r>
        <w:rPr>
          <w:spacing w:val="40"/>
        </w:rPr>
        <w:t> </w:t>
      </w:r>
      <w:r>
        <w:rPr/>
        <w:t>Runtime scaling is evaluated</w:t>
      </w:r>
      <w:r>
        <w:rPr>
          <w:spacing w:val="-15"/>
        </w:rPr>
        <w:t> </w:t>
      </w:r>
      <w:r>
        <w:rPr/>
        <w:t>on</w:t>
      </w:r>
      <w:r>
        <w:rPr>
          <w:spacing w:val="-15"/>
        </w:rPr>
        <w:t> </w:t>
      </w:r>
      <w:r>
        <w:rPr/>
        <w:t>an</w:t>
      </w:r>
      <w:r>
        <w:rPr>
          <w:spacing w:val="-15"/>
        </w:rPr>
        <w:t> </w:t>
      </w:r>
      <w:r>
        <w:rPr/>
        <w:t>expanded</w:t>
      </w:r>
      <w:r>
        <w:rPr>
          <w:spacing w:val="-15"/>
        </w:rPr>
        <w:t> </w:t>
      </w:r>
      <w:r>
        <w:rPr/>
        <w:t>wallet</w:t>
      </w:r>
      <w:r>
        <w:rPr>
          <w:spacing w:val="-15"/>
        </w:rPr>
        <w:t> </w:t>
      </w:r>
      <w:r>
        <w:rPr/>
        <w:t>pool</w:t>
      </w:r>
      <w:r>
        <w:rPr>
          <w:spacing w:val="-15"/>
        </w:rPr>
        <w:t> </w:t>
      </w:r>
      <w:r>
        <w:rPr/>
        <w:t>of</w:t>
      </w:r>
      <w:r>
        <w:rPr>
          <w:spacing w:val="-15"/>
        </w:rPr>
        <w:t> </w:t>
      </w:r>
      <w:r>
        <w:rPr>
          <w:rFonts w:ascii="Calibri" w:hAnsi="Calibri"/>
          <w:i/>
        </w:rPr>
        <w:t>N</w:t>
      </w:r>
      <w:r>
        <w:rPr>
          <w:rFonts w:ascii="Calibri" w:hAnsi="Calibri"/>
          <w:i/>
          <w:spacing w:val="22"/>
          <w:w w:val="125"/>
        </w:rPr>
        <w:t> </w:t>
      </w:r>
      <w:r>
        <w:rPr>
          <w:rFonts w:ascii="Calibri" w:hAnsi="Calibri"/>
          <w:w w:val="125"/>
        </w:rPr>
        <w:t>=</w:t>
      </w:r>
      <w:r>
        <w:rPr>
          <w:rFonts w:ascii="Calibri" w:hAnsi="Calibri"/>
          <w:spacing w:val="-2"/>
          <w:w w:val="125"/>
        </w:rPr>
        <w:t> </w:t>
      </w:r>
      <w:r>
        <w:rPr>
          <w:rFonts w:ascii="Calibri" w:hAnsi="Calibri"/>
        </w:rPr>
        <w:t>31</w:t>
      </w:r>
      <w:r>
        <w:rPr>
          <w:rFonts w:ascii="Calibri" w:hAnsi="Calibri"/>
          <w:i/>
        </w:rPr>
        <w:t>,</w:t>
      </w:r>
      <w:r>
        <w:rPr>
          <w:rFonts w:ascii="Calibri" w:hAnsi="Calibri"/>
        </w:rPr>
        <w:t>612</w:t>
      </w:r>
      <w:r>
        <w:rPr>
          <w:rFonts w:ascii="Calibri" w:hAnsi="Calibri"/>
          <w:spacing w:val="-9"/>
        </w:rPr>
        <w:t> </w:t>
      </w:r>
      <w:r>
        <w:rPr/>
        <w:t>addresses.</w:t>
      </w:r>
      <w:r>
        <w:rPr>
          <w:spacing w:val="14"/>
        </w:rPr>
        <w:t> </w:t>
      </w:r>
      <w:r>
        <w:rPr/>
        <w:t>Robustness</w:t>
      </w:r>
      <w:r>
        <w:rPr>
          <w:spacing w:val="-15"/>
        </w:rPr>
        <w:t> </w:t>
      </w:r>
      <w:r>
        <w:rPr/>
        <w:t>checks</w:t>
      </w:r>
      <w:r>
        <w:rPr>
          <w:spacing w:val="-15"/>
        </w:rPr>
        <w:t> </w:t>
      </w:r>
      <w:r>
        <w:rPr/>
        <w:t>vary</w:t>
      </w:r>
      <w:r>
        <w:rPr>
          <w:spacing w:val="-15"/>
        </w:rPr>
        <w:t> </w:t>
      </w:r>
      <w:r>
        <w:rPr/>
        <w:t>PageRank damping, restrict the reputation graph to high-volume tokens, and recompute alignment at staged subsample sizes drawn from the expanded pool.</w:t>
      </w:r>
      <w:r>
        <w:rPr>
          <w:spacing w:val="34"/>
        </w:rPr>
        <w:t> </w:t>
      </w:r>
      <w:r>
        <w:rPr/>
        <w:t>Methodological definitions appear in Chapter </w:t>
      </w:r>
      <w:hyperlink w:history="true" w:anchor="_bookmark48">
        <w:r>
          <w:rPr/>
          <w:t>3</w:t>
        </w:r>
      </w:hyperlink>
      <w:r>
        <w:rPr/>
        <w:t>; the</w:t>
      </w:r>
      <w:r>
        <w:rPr>
          <w:spacing w:val="-15"/>
        </w:rPr>
        <w:t> </w:t>
      </w:r>
      <w:r>
        <w:rPr/>
        <w:t>open</w:t>
      </w:r>
      <w:r>
        <w:rPr>
          <w:spacing w:val="-15"/>
        </w:rPr>
        <w:t> </w:t>
      </w:r>
      <w:r>
        <w:rPr/>
        <w:t>evaluation</w:t>
      </w:r>
      <w:r>
        <w:rPr>
          <w:spacing w:val="-15"/>
        </w:rPr>
        <w:t> </w:t>
      </w:r>
      <w:r>
        <w:rPr/>
        <w:t>pipeline</w:t>
      </w:r>
      <w:r>
        <w:rPr>
          <w:spacing w:val="-15"/>
        </w:rPr>
        <w:t> </w:t>
      </w:r>
      <w:r>
        <w:rPr/>
        <w:t>is</w:t>
      </w:r>
      <w:r>
        <w:rPr>
          <w:spacing w:val="-15"/>
        </w:rPr>
        <w:t> </w:t>
      </w:r>
      <w:r>
        <w:rPr/>
        <w:t>documented</w:t>
      </w:r>
      <w:r>
        <w:rPr>
          <w:spacing w:val="-15"/>
        </w:rPr>
        <w:t> </w:t>
      </w:r>
      <w:r>
        <w:rPr/>
        <w:t>in</w:t>
      </w:r>
      <w:r>
        <w:rPr>
          <w:spacing w:val="-15"/>
        </w:rPr>
        <w:t> </w:t>
      </w:r>
      <w:r>
        <w:rPr/>
        <w:t>Appendix</w:t>
      </w:r>
      <w:r>
        <w:rPr>
          <w:spacing w:val="-15"/>
        </w:rPr>
        <w:t> </w:t>
      </w:r>
      <w:hyperlink w:history="true" w:anchor="_bookmark198">
        <w:r>
          <w:rPr/>
          <w:t>8.1</w:t>
        </w:r>
      </w:hyperlink>
      <w:r>
        <w:rPr/>
        <w:t>.</w:t>
      </w:r>
      <w:r>
        <w:rPr>
          <w:spacing w:val="-13"/>
        </w:rPr>
        <w:t> </w:t>
      </w:r>
      <w:r>
        <w:rPr/>
        <w:t>Claims</w:t>
      </w:r>
      <w:r>
        <w:rPr>
          <w:spacing w:val="-15"/>
        </w:rPr>
        <w:t> </w:t>
      </w:r>
      <w:r>
        <w:rPr/>
        <w:t>are</w:t>
      </w:r>
      <w:r>
        <w:rPr>
          <w:spacing w:val="-15"/>
        </w:rPr>
        <w:t> </w:t>
      </w:r>
      <w:r>
        <w:rPr/>
        <w:t>summarized</w:t>
      </w:r>
      <w:r>
        <w:rPr>
          <w:spacing w:val="-15"/>
        </w:rPr>
        <w:t> </w:t>
      </w:r>
      <w:r>
        <w:rPr/>
        <w:t>in</w:t>
      </w:r>
      <w:r>
        <w:rPr>
          <w:spacing w:val="-15"/>
        </w:rPr>
        <w:t> </w:t>
      </w:r>
      <w:r>
        <w:rPr/>
        <w:t>Section</w:t>
      </w:r>
      <w:r>
        <w:rPr>
          <w:spacing w:val="-15"/>
        </w:rPr>
        <w:t> </w:t>
      </w:r>
      <w:hyperlink w:history="true" w:anchor="_bookmark113">
        <w:r>
          <w:rPr/>
          <w:t>4.8</w:t>
        </w:r>
      </w:hyperlink>
      <w:r>
        <w:rPr/>
        <w:t> </w:t>
      </w:r>
      <w:bookmarkStart w:name="Dataset" w:id="156"/>
      <w:bookmarkEnd w:id="156"/>
      <w:r>
        <w:rPr>
          <w:w w:val="99"/>
        </w:rPr>
      </w:r>
      <w:bookmarkStart w:name="_bookmark85" w:id="157"/>
      <w:bookmarkEnd w:id="157"/>
      <w:r>
        <w:rPr/>
        <w:t>and</w:t>
      </w:r>
      <w:r>
        <w:rPr/>
        <w:t> mapped to hypotheses and research questions in Table </w:t>
      </w:r>
      <w:hyperlink w:history="true" w:anchor="_bookmark13">
        <w:r>
          <w:rPr/>
          <w:t>1.3</w:t>
        </w:r>
      </w:hyperlink>
      <w:r>
        <w:rPr/>
        <w:t>.</w:t>
      </w:r>
    </w:p>
    <w:p>
      <w:pPr>
        <w:pStyle w:val="BodyText"/>
        <w:spacing w:line="388" w:lineRule="auto" w:before="17"/>
        <w:ind w:left="282" w:right="544" w:hanging="9"/>
        <w:jc w:val="both"/>
      </w:pPr>
      <w:r>
        <w:rPr>
          <w:i/>
        </w:rPr>
        <w:t>모든 기본 결과는 GMX 거래 활동 필터와 평판 하위 그래프의 0이 아닌 연결을 모두 충족하는 n = 5,521개의 지갑으로 구성된 동일한 일치 코호트를 사용합니다. 런타임 확장은 N = 31,612개 주소의 확장된 지갑 풀에서 평가됩니다. 견고성 검사는 PageRank 댐핑으로 다양하고, 평판 그래프를 대용량 토큰으로 제한하고, 확장된 풀에서 가져온 단계적 하위 샘플 크기로 정렬을 다시 계산합니다. 방법론적 정의는 3장에 나와 있으며 공개 평가 파이프라인은 부록 8.1에 문서화되어 있습니다. 주장은 섹션 4.8에 요약되어 있으며 표 1.3의 가설 및 연구 질문과 연결되어 있습니다.</w:t>
      </w:r>
    </w:p>
    <w:p>
      <w:pPr>
        <w:pStyle w:val="BodyText"/>
        <w:spacing w:before="173"/>
      </w:pPr>
    </w:p>
    <w:p>
      <w:pPr>
        <w:pStyle w:val="Heading2"/>
        <w:numPr>
          <w:ilvl w:val="1"/>
          <w:numId w:val="8"/>
        </w:numPr>
        <w:tabs>
          <w:tab w:pos="783" w:val="left" w:leader="none"/>
        </w:tabs>
        <w:spacing w:line="240" w:lineRule="auto" w:before="1" w:after="0"/>
        <w:ind w:left="783" w:right="0" w:hanging="501"/>
        <w:jc w:val="left"/>
      </w:pPr>
      <w:r>
        <w:rPr>
          <w:spacing w:val="-2"/>
        </w:rPr>
        <w:t>Dataset</w:t>
      </w:r>
    </w:p>
    <w:p>
      <w:pPr>
        <w:pStyle w:val="Heading2"/>
        <w:numPr>
          <w:ilvl w:val="1"/>
          <w:numId w:val="8"/>
        </w:numPr>
        <w:tabs>
          <w:tab w:pos="783" w:val="left" w:leader="none"/>
        </w:tabs>
        <w:spacing w:line="240" w:lineRule="auto" w:before="1" w:after="0"/>
        <w:ind w:left="783" w:right="0" w:hanging="501"/>
        <w:jc w:val="left"/>
      </w:pPr>
      <w:r>
        <w:rPr>
          <w:i/>
        </w:rPr>
        <w:t>데이터세트</w:t>
      </w:r>
    </w:p>
    <w:p>
      <w:pPr>
        <w:pStyle w:val="BodyText"/>
        <w:spacing w:before="19"/>
        <w:rPr>
          <w:b/>
          <w:sz w:val="28"/>
        </w:rPr>
      </w:pPr>
    </w:p>
    <w:p>
      <w:pPr>
        <w:pStyle w:val="BodyText"/>
        <w:spacing w:line="379" w:lineRule="auto"/>
        <w:ind w:left="282" w:right="524" w:hanging="8"/>
        <w:jc w:val="both"/>
      </w:pPr>
      <w:r>
        <w:rPr/>
        <w:t>The</w:t>
      </w:r>
      <w:r>
        <w:rPr>
          <w:spacing w:val="23"/>
        </w:rPr>
        <w:t> </w:t>
      </w:r>
      <w:r>
        <w:rPr/>
        <w:t>matched</w:t>
      </w:r>
      <w:r>
        <w:rPr>
          <w:spacing w:val="23"/>
        </w:rPr>
        <w:t> </w:t>
      </w:r>
      <w:r>
        <w:rPr/>
        <w:t>cohort</w:t>
      </w:r>
      <w:r>
        <w:rPr>
          <w:spacing w:val="23"/>
        </w:rPr>
        <w:t> </w:t>
      </w:r>
      <w:r>
        <w:rPr/>
        <w:t>comprises</w:t>
      </w:r>
      <w:r>
        <w:rPr>
          <w:spacing w:val="23"/>
        </w:rPr>
        <w:t> </w:t>
      </w:r>
      <w:r>
        <w:rPr>
          <w:rFonts w:ascii="Calibri" w:hAnsi="Calibri"/>
          <w:i/>
        </w:rPr>
        <w:t>n</w:t>
      </w:r>
      <w:r>
        <w:rPr>
          <w:rFonts w:ascii="Calibri" w:hAnsi="Calibri"/>
          <w:i/>
          <w:spacing w:val="39"/>
        </w:rPr>
        <w:t> </w:t>
      </w:r>
      <w:r>
        <w:rPr>
          <w:rFonts w:ascii="Calibri" w:hAnsi="Calibri"/>
        </w:rPr>
        <w:t>=</w:t>
      </w:r>
      <w:r>
        <w:rPr>
          <w:rFonts w:ascii="Calibri" w:hAnsi="Calibri"/>
          <w:spacing w:val="39"/>
        </w:rPr>
        <w:t> </w:t>
      </w:r>
      <w:r>
        <w:rPr>
          <w:rFonts w:ascii="Calibri" w:hAnsi="Calibri"/>
        </w:rPr>
        <w:t>5</w:t>
      </w:r>
      <w:r>
        <w:rPr>
          <w:rFonts w:ascii="Calibri" w:hAnsi="Calibri"/>
          <w:i/>
        </w:rPr>
        <w:t>,</w:t>
      </w:r>
      <w:r>
        <w:rPr>
          <w:rFonts w:ascii="Calibri" w:hAnsi="Calibri"/>
        </w:rPr>
        <w:t>521</w:t>
      </w:r>
      <w:r>
        <w:rPr>
          <w:rFonts w:ascii="Calibri" w:hAnsi="Calibri"/>
          <w:spacing w:val="29"/>
        </w:rPr>
        <w:t> </w:t>
      </w:r>
      <w:r>
        <w:rPr/>
        <w:t>wallets</w:t>
      </w:r>
      <w:r>
        <w:rPr>
          <w:spacing w:val="22"/>
        </w:rPr>
        <w:t> </w:t>
      </w:r>
      <w:r>
        <w:rPr/>
        <w:t>with</w:t>
      </w:r>
      <w:r>
        <w:rPr>
          <w:spacing w:val="23"/>
        </w:rPr>
        <w:t> </w:t>
      </w:r>
      <w:r>
        <w:rPr/>
        <w:t>at</w:t>
      </w:r>
      <w:r>
        <w:rPr>
          <w:spacing w:val="23"/>
        </w:rPr>
        <w:t> </w:t>
      </w:r>
      <w:r>
        <w:rPr/>
        <w:t>least</w:t>
      </w:r>
      <w:r>
        <w:rPr>
          <w:spacing w:val="23"/>
        </w:rPr>
        <w:t> </w:t>
      </w:r>
      <w:r>
        <w:rPr/>
        <w:t>three</w:t>
      </w:r>
      <w:r>
        <w:rPr>
          <w:spacing w:val="23"/>
        </w:rPr>
        <w:t> </w:t>
      </w:r>
      <w:r>
        <w:rPr/>
        <w:t>GMX</w:t>
      </w:r>
      <w:r>
        <w:rPr>
          <w:spacing w:val="23"/>
        </w:rPr>
        <w:t> </w:t>
      </w:r>
      <w:r>
        <w:rPr/>
        <w:t>V2</w:t>
      </w:r>
      <w:r>
        <w:rPr>
          <w:spacing w:val="23"/>
        </w:rPr>
        <w:t> </w:t>
      </w:r>
      <w:r>
        <w:rPr>
          <w:rFonts w:ascii="Calibri" w:hAnsi="Calibri"/>
        </w:rPr>
        <w:t>PositionDecreas e </w:t>
      </w:r>
      <w:r>
        <w:rPr/>
        <w:t>closes and non-zero reputation-subgraph connectivity, drawn from six months of Arbitrum One BigQuery logs spanning 2025-12-01 through 2026-05-31.</w:t>
      </w:r>
      <w:r>
        <w:rPr>
          <w:spacing w:val="40"/>
        </w:rPr>
        <w:t> </w:t>
      </w:r>
      <w:r>
        <w:rPr/>
        <w:t>EndorseRank scores are computed on the latest-allowance endorsement graph </w:t>
      </w:r>
      <w:r>
        <w:rPr>
          <w:rFonts w:ascii="Calibri" w:hAnsi="Calibri"/>
          <w:i/>
        </w:rPr>
        <w:t>G</w:t>
      </w:r>
      <w:r>
        <w:rPr>
          <w:vertAlign w:val="subscript"/>
        </w:rPr>
        <w:t>approve</w:t>
      </w:r>
      <w:r>
        <w:rPr>
          <w:vertAlign w:val="baseline"/>
        </w:rPr>
        <w:t>; AWP scores are computed on the time-decayed transfer</w:t>
      </w:r>
      <w:r>
        <w:rPr>
          <w:spacing w:val="-15"/>
          <w:vertAlign w:val="baseline"/>
        </w:rPr>
        <w:t> </w:t>
      </w:r>
      <w:r>
        <w:rPr>
          <w:vertAlign w:val="baseline"/>
        </w:rPr>
        <w:t>graph</w:t>
      </w:r>
      <w:r>
        <w:rPr>
          <w:spacing w:val="-15"/>
          <w:vertAlign w:val="baseline"/>
        </w:rPr>
        <w:t> </w:t>
      </w:r>
      <w:r>
        <w:rPr>
          <w:rFonts w:ascii="Calibri" w:hAnsi="Calibri"/>
          <w:i/>
          <w:vertAlign w:val="baseline"/>
        </w:rPr>
        <w:t>G</w:t>
      </w:r>
      <w:r>
        <w:rPr>
          <w:vertAlign w:val="subscript"/>
        </w:rPr>
        <w:t>transfer</w:t>
      </w:r>
      <w:r>
        <w:rPr>
          <w:vertAlign w:val="baseline"/>
        </w:rPr>
        <w:t>.</w:t>
      </w:r>
      <w:r>
        <w:rPr>
          <w:spacing w:val="-6"/>
          <w:vertAlign w:val="baseline"/>
        </w:rPr>
        <w:t> </w:t>
      </w:r>
      <w:r>
        <w:rPr>
          <w:vertAlign w:val="baseline"/>
        </w:rPr>
        <w:t>Five</w:t>
      </w:r>
      <w:r>
        <w:rPr>
          <w:spacing w:val="-15"/>
          <w:vertAlign w:val="baseline"/>
        </w:rPr>
        <w:t> </w:t>
      </w:r>
      <w:r>
        <w:rPr>
          <w:vertAlign w:val="baseline"/>
        </w:rPr>
        <w:t>proxy</w:t>
      </w:r>
      <w:r>
        <w:rPr>
          <w:spacing w:val="-15"/>
          <w:vertAlign w:val="baseline"/>
        </w:rPr>
        <w:t> </w:t>
      </w:r>
      <w:r>
        <w:rPr>
          <w:vertAlign w:val="baseline"/>
        </w:rPr>
        <w:t>families—transfer,</w:t>
      </w:r>
      <w:r>
        <w:rPr>
          <w:spacing w:val="-15"/>
          <w:vertAlign w:val="baseline"/>
        </w:rPr>
        <w:t> </w:t>
      </w:r>
      <w:r>
        <w:rPr>
          <w:vertAlign w:val="baseline"/>
        </w:rPr>
        <w:t>allowance,</w:t>
      </w:r>
      <w:r>
        <w:rPr>
          <w:spacing w:val="-15"/>
          <w:vertAlign w:val="baseline"/>
        </w:rPr>
        <w:t> </w:t>
      </w:r>
      <w:r>
        <w:rPr>
          <w:vertAlign w:val="baseline"/>
        </w:rPr>
        <w:t>inverse</w:t>
      </w:r>
      <w:r>
        <w:rPr>
          <w:spacing w:val="-15"/>
          <w:vertAlign w:val="baseline"/>
        </w:rPr>
        <w:t> </w:t>
      </w:r>
      <w:r>
        <w:rPr>
          <w:vertAlign w:val="baseline"/>
        </w:rPr>
        <w:t>risk,</w:t>
      </w:r>
      <w:r>
        <w:rPr>
          <w:spacing w:val="-15"/>
          <w:vertAlign w:val="baseline"/>
        </w:rPr>
        <w:t> </w:t>
      </w:r>
      <w:r>
        <w:rPr>
          <w:vertAlign w:val="baseline"/>
        </w:rPr>
        <w:t>Sybil-adjusted</w:t>
      </w:r>
      <w:r>
        <w:rPr>
          <w:spacing w:val="-15"/>
          <w:vertAlign w:val="baseline"/>
        </w:rPr>
        <w:t> </w:t>
      </w:r>
      <w:r>
        <w:rPr>
          <w:vertAlign w:val="baseline"/>
        </w:rPr>
        <w:t>stabil-ity, and trading success—are evaluated against both social methods.</w:t>
      </w:r>
      <w:r>
        <w:rPr>
          <w:spacing w:val="35"/>
          <w:vertAlign w:val="baseline"/>
        </w:rPr>
        <w:t> </w:t>
      </w:r>
      <w:r>
        <w:rPr>
          <w:vertAlign w:val="baseline"/>
        </w:rPr>
        <w:t>GF-PR scores are computed</w:t>
      </w:r>
    </w:p>
    <w:p>
      <w:pPr>
        <w:pStyle w:val="BodyText"/>
        <w:spacing w:line="379" w:lineRule="auto"/>
        <w:ind w:left="282" w:right="524" w:hanging="8"/>
        <w:jc w:val="both"/>
      </w:pPr>
      <w:r>
        <w:rPr>
          <w:i/>
        </w:rPr>
        <w:t>일치하는 코호트는 2025-12-01부터 2026-05-31까지 6개월 간의 Arbitrum One BigQuery 로그에서 가져온 3개 이상의 GMX V2 PositionDecreas e 마감 및 0이 아닌 평판 하위 그래프 연결을 갖춘 n = 5,521개의 지갑으로 구성됩니다. EndorseRank 점수는 최신 허용 보증 그래프 Gapprove에서 계산되고, AWP 점수는 시간 감쇠 전송 그래프 Gtransfer에서 계산됩니다. 양도, 허용, 역위험, Sybil 조정 안정성, 거래 성공 등 5가지 프록시 계열이 두 가지 소셜 방법에 대해 평가됩니다. GF-PR 점수가 계산됩니다.</w:t>
      </w:r>
    </w:p>
    <w:p>
      <w:pPr>
        <w:pStyle w:val="BodyText"/>
        <w:spacing w:after="0" w:line="379" w:lineRule="auto"/>
        <w:jc w:val="both"/>
        <w:sectPr>
          <w:pgSz w:w="11910" w:h="16840"/>
          <w:pgMar w:header="0" w:footer="2115" w:top="1920" w:bottom="2300" w:left="992" w:right="708"/>
        </w:sectPr>
      </w:pPr>
    </w:p>
    <w:p>
      <w:pPr>
        <w:pStyle w:val="BodyText"/>
        <w:spacing w:before="72"/>
        <w:ind w:left="282"/>
        <w:jc w:val="both"/>
      </w:pPr>
      <w:r>
        <w:rPr/>
        <w:t>from</w:t>
      </w:r>
      <w:r>
        <w:rPr>
          <w:spacing w:val="-8"/>
        </w:rPr>
        <w:t> </w:t>
      </w:r>
      <w:r>
        <w:rPr/>
        <w:t>the</w:t>
      </w:r>
      <w:r>
        <w:rPr>
          <w:spacing w:val="-8"/>
        </w:rPr>
        <w:t> </w:t>
      </w:r>
      <w:r>
        <w:rPr/>
        <w:t>same</w:t>
      </w:r>
      <w:r>
        <w:rPr>
          <w:spacing w:val="-8"/>
        </w:rPr>
        <w:t> </w:t>
      </w:r>
      <w:r>
        <w:rPr/>
        <w:t>cohort</w:t>
      </w:r>
      <w:r>
        <w:rPr>
          <w:spacing w:val="-8"/>
        </w:rPr>
        <w:t> </w:t>
      </w:r>
      <w:r>
        <w:rPr/>
        <w:t>for</w:t>
      </w:r>
      <w:r>
        <w:rPr>
          <w:spacing w:val="-8"/>
        </w:rPr>
        <w:t> </w:t>
      </w:r>
      <w:r>
        <w:rPr/>
        <w:t>supplementary</w:t>
      </w:r>
      <w:r>
        <w:rPr>
          <w:spacing w:val="-8"/>
        </w:rPr>
        <w:t> </w:t>
      </w:r>
      <w:r>
        <w:rPr/>
        <w:t>analysis</w:t>
      </w:r>
      <w:r>
        <w:rPr>
          <w:spacing w:val="-8"/>
        </w:rPr>
        <w:t> </w:t>
      </w:r>
      <w:r>
        <w:rPr/>
        <w:t>only</w:t>
      </w:r>
      <w:r>
        <w:rPr>
          <w:spacing w:val="-8"/>
        </w:rPr>
        <w:t> </w:t>
      </w:r>
      <w:r>
        <w:rPr/>
        <w:t>(Section</w:t>
      </w:r>
      <w:r>
        <w:rPr>
          <w:spacing w:val="-8"/>
        </w:rPr>
        <w:t> </w:t>
      </w:r>
      <w:hyperlink w:history="true" w:anchor="_bookmark112">
        <w:r>
          <w:rPr>
            <w:spacing w:val="-2"/>
          </w:rPr>
          <w:t>4.7</w:t>
        </w:r>
      </w:hyperlink>
      <w:r>
        <w:rPr>
          <w:spacing w:val="-2"/>
        </w:rPr>
        <w:t>).</w:t>
      </w:r>
    </w:p>
    <w:p>
      <w:pPr>
        <w:pStyle w:val="BodyText"/>
        <w:spacing w:before="72"/>
        <w:ind w:left="282"/>
        <w:jc w:val="both"/>
      </w:pPr>
      <w:r>
        <w:rPr>
          <w:i/>
        </w:rPr>
        <w:t>보충 분석만을 위해 동일한 코호트에서 추출합니다(섹션 4.7).</w:t>
      </w:r>
    </w:p>
    <w:p>
      <w:pPr>
        <w:pStyle w:val="BodyText"/>
        <w:spacing w:line="396" w:lineRule="auto" w:before="194"/>
        <w:ind w:left="282" w:right="523" w:hanging="8"/>
        <w:jc w:val="both"/>
      </w:pPr>
      <w:r>
        <w:rPr/>
        <w:t>Table</w:t>
      </w:r>
      <w:r>
        <w:rPr>
          <w:spacing w:val="-15"/>
        </w:rPr>
        <w:t> </w:t>
      </w:r>
      <w:hyperlink w:history="true" w:anchor="_bookmark86">
        <w:r>
          <w:rPr/>
          <w:t>4.1</w:t>
        </w:r>
      </w:hyperlink>
      <w:r>
        <w:rPr>
          <w:spacing w:val="-15"/>
        </w:rPr>
        <w:t> </w:t>
      </w:r>
      <w:r>
        <w:rPr/>
        <w:t>summarizes</w:t>
      </w:r>
      <w:r>
        <w:rPr>
          <w:spacing w:val="-15"/>
        </w:rPr>
        <w:t> </w:t>
      </w:r>
      <w:r>
        <w:rPr/>
        <w:t>cohort</w:t>
      </w:r>
      <w:r>
        <w:rPr>
          <w:spacing w:val="-15"/>
        </w:rPr>
        <w:t> </w:t>
      </w:r>
      <w:r>
        <w:rPr/>
        <w:t>size,</w:t>
      </w:r>
      <w:r>
        <w:rPr>
          <w:spacing w:val="-15"/>
        </w:rPr>
        <w:t> </w:t>
      </w:r>
      <w:r>
        <w:rPr/>
        <w:t>event</w:t>
      </w:r>
      <w:r>
        <w:rPr>
          <w:spacing w:val="-15"/>
        </w:rPr>
        <w:t> </w:t>
      </w:r>
      <w:r>
        <w:rPr/>
        <w:t>counts,</w:t>
      </w:r>
      <w:r>
        <w:rPr>
          <w:spacing w:val="-13"/>
        </w:rPr>
        <w:t> </w:t>
      </w:r>
      <w:r>
        <w:rPr/>
        <w:t>and</w:t>
      </w:r>
      <w:r>
        <w:rPr>
          <w:spacing w:val="-15"/>
        </w:rPr>
        <w:t> </w:t>
      </w:r>
      <w:r>
        <w:rPr/>
        <w:t>subgraph</w:t>
      </w:r>
      <w:r>
        <w:rPr>
          <w:spacing w:val="-15"/>
        </w:rPr>
        <w:t> </w:t>
      </w:r>
      <w:r>
        <w:rPr/>
        <w:t>edge</w:t>
      </w:r>
      <w:r>
        <w:rPr>
          <w:spacing w:val="-15"/>
        </w:rPr>
        <w:t> </w:t>
      </w:r>
      <w:r>
        <w:rPr/>
        <w:t>counts.</w:t>
      </w:r>
      <w:r>
        <w:rPr>
          <w:spacing w:val="10"/>
        </w:rPr>
        <w:t> </w:t>
      </w:r>
      <w:r>
        <w:rPr/>
        <w:t>The</w:t>
      </w:r>
      <w:r>
        <w:rPr>
          <w:spacing w:val="-15"/>
        </w:rPr>
        <w:t> </w:t>
      </w:r>
      <w:r>
        <w:rPr/>
        <w:t>endorsement</w:t>
      </w:r>
      <w:r>
        <w:rPr>
          <w:spacing w:val="-15"/>
        </w:rPr>
        <w:t> </w:t>
      </w:r>
      <w:r>
        <w:rPr/>
        <w:t>graph is substantially sparser than the transfer graph (14,727 vs. 137,087 edges), a structural difference that</w:t>
      </w:r>
      <w:r>
        <w:rPr>
          <w:spacing w:val="-6"/>
        </w:rPr>
        <w:t> </w:t>
      </w:r>
      <w:r>
        <w:rPr/>
        <w:t>underpins</w:t>
      </w:r>
      <w:r>
        <w:rPr>
          <w:spacing w:val="-6"/>
        </w:rPr>
        <w:t> </w:t>
      </w:r>
      <w:r>
        <w:rPr/>
        <w:t>both</w:t>
      </w:r>
      <w:r>
        <w:rPr>
          <w:spacing w:val="-6"/>
        </w:rPr>
        <w:t> </w:t>
      </w:r>
      <w:r>
        <w:rPr/>
        <w:t>the</w:t>
      </w:r>
      <w:r>
        <w:rPr>
          <w:spacing w:val="-6"/>
        </w:rPr>
        <w:t> </w:t>
      </w:r>
      <w:r>
        <w:rPr/>
        <w:t>runtime</w:t>
      </w:r>
      <w:r>
        <w:rPr>
          <w:spacing w:val="-6"/>
        </w:rPr>
        <w:t> </w:t>
      </w:r>
      <w:r>
        <w:rPr/>
        <w:t>advantage</w:t>
      </w:r>
      <w:r>
        <w:rPr>
          <w:spacing w:val="-6"/>
        </w:rPr>
        <w:t> </w:t>
      </w:r>
      <w:r>
        <w:rPr/>
        <w:t>reported</w:t>
      </w:r>
      <w:r>
        <w:rPr>
          <w:spacing w:val="-6"/>
        </w:rPr>
        <w:t> </w:t>
      </w:r>
      <w:r>
        <w:rPr/>
        <w:t>in</w:t>
      </w:r>
      <w:r>
        <w:rPr>
          <w:spacing w:val="-6"/>
        </w:rPr>
        <w:t> </w:t>
      </w:r>
      <w:r>
        <w:rPr/>
        <w:t>Section</w:t>
      </w:r>
      <w:r>
        <w:rPr>
          <w:spacing w:val="-6"/>
        </w:rPr>
        <w:t> </w:t>
      </w:r>
      <w:hyperlink w:history="true" w:anchor="_bookmark90">
        <w:r>
          <w:rPr/>
          <w:t>4.2</w:t>
        </w:r>
      </w:hyperlink>
      <w:r>
        <w:rPr>
          <w:spacing w:val="-6"/>
        </w:rPr>
        <w:t> </w:t>
      </w:r>
      <w:r>
        <w:rPr/>
        <w:t>and</w:t>
      </w:r>
      <w:r>
        <w:rPr>
          <w:spacing w:val="-6"/>
        </w:rPr>
        <w:t> </w:t>
      </w:r>
      <w:r>
        <w:rPr/>
        <w:t>the</w:t>
      </w:r>
      <w:r>
        <w:rPr>
          <w:spacing w:val="-6"/>
        </w:rPr>
        <w:t> </w:t>
      </w:r>
      <w:r>
        <w:rPr/>
        <w:t>construct-specific</w:t>
      </w:r>
      <w:r>
        <w:rPr>
          <w:spacing w:val="-6"/>
        </w:rPr>
        <w:t> </w:t>
      </w:r>
      <w:r>
        <w:rPr/>
        <w:t>align-ment patterns in Sections </w:t>
      </w:r>
      <w:hyperlink w:history="true" w:anchor="_bookmark100">
        <w:r>
          <w:rPr/>
          <w:t>4.4</w:t>
        </w:r>
      </w:hyperlink>
      <w:r>
        <w:rPr/>
        <w:t>–</w:t>
      </w:r>
      <w:hyperlink w:history="true" w:anchor="_bookmark103">
        <w:r>
          <w:rPr/>
          <w:t>4.5</w:t>
        </w:r>
      </w:hyperlink>
      <w:r>
        <w:rPr/>
        <w:t>.</w:t>
      </w:r>
    </w:p>
    <w:p>
      <w:pPr>
        <w:pStyle w:val="BodyText"/>
        <w:spacing w:line="396" w:lineRule="auto" w:before="194"/>
        <w:ind w:left="282" w:right="523" w:hanging="8"/>
        <w:jc w:val="both"/>
      </w:pPr>
      <w:r>
        <w:rPr>
          <w:i/>
        </w:rPr>
        <w:t>표 4.1에는 코호트 크기, 이벤트 수 및 하위 그래프 가장자리 수가 요약되어 있습니다. 보증 그래프는 전송 그래프(14,727 대 137,087 모서리)보다 상당히 희박합니다. 이는 섹션 4.2에 보고된 런타임 이점과 섹션 4.4~4.5의 구성별 정렬 패턴을 모두 뒷받침하는 구조적 차이입니다.</w:t>
      </w:r>
    </w:p>
    <w:p>
      <w:pPr>
        <w:pStyle w:val="BodyText"/>
        <w:spacing w:line="211" w:lineRule="auto" w:before="73"/>
        <w:ind w:left="282" w:right="564" w:hanging="8"/>
        <w:jc w:val="both"/>
      </w:pPr>
      <w:bookmarkStart w:name="_bookmark86" w:id="158"/>
      <w:bookmarkEnd w:id="158"/>
      <w:r>
        <w:rPr/>
      </w:r>
      <w:r>
        <w:rPr/>
        <w:t>Table</w:t>
      </w:r>
      <w:r>
        <w:rPr>
          <w:spacing w:val="-11"/>
        </w:rPr>
        <w:t> </w:t>
      </w:r>
      <w:r>
        <w:rPr/>
        <w:t>4.1:</w:t>
      </w:r>
      <w:r>
        <w:rPr>
          <w:spacing w:val="12"/>
        </w:rPr>
        <w:t> </w:t>
      </w:r>
      <w:r>
        <w:rPr/>
        <w:t>Dataset</w:t>
      </w:r>
      <w:r>
        <w:rPr>
          <w:spacing w:val="-10"/>
        </w:rPr>
        <w:t> </w:t>
      </w:r>
      <w:r>
        <w:rPr/>
        <w:t>characteristics</w:t>
      </w:r>
      <w:r>
        <w:rPr>
          <w:spacing w:val="-10"/>
        </w:rPr>
        <w:t> </w:t>
      </w:r>
      <w:r>
        <w:rPr/>
        <w:t>for</w:t>
      </w:r>
      <w:r>
        <w:rPr>
          <w:spacing w:val="-10"/>
        </w:rPr>
        <w:t> </w:t>
      </w:r>
      <w:r>
        <w:rPr/>
        <w:t>the</w:t>
      </w:r>
      <w:r>
        <w:rPr>
          <w:spacing w:val="-10"/>
        </w:rPr>
        <w:t> </w:t>
      </w:r>
      <w:r>
        <w:rPr/>
        <w:t>matched</w:t>
      </w:r>
      <w:r>
        <w:rPr>
          <w:spacing w:val="-10"/>
        </w:rPr>
        <w:t> </w:t>
      </w:r>
      <w:r>
        <w:rPr/>
        <w:t>cohort</w:t>
      </w:r>
      <w:r>
        <w:rPr>
          <w:spacing w:val="-10"/>
        </w:rPr>
        <w:t> </w:t>
      </w:r>
      <w:r>
        <w:rPr/>
        <w:t>(</w:t>
      </w:r>
      <w:r>
        <w:rPr>
          <w:rFonts w:ascii="Calibri" w:hAnsi="Calibri"/>
          <w:i/>
        </w:rPr>
        <w:t>n </w:t>
      </w:r>
      <w:r>
        <w:rPr>
          <w:rFonts w:ascii="Calibri" w:hAnsi="Calibri"/>
          <w:w w:val="125"/>
        </w:rPr>
        <w:t>=</w:t>
      </w:r>
      <w:r>
        <w:rPr>
          <w:rFonts w:ascii="Calibri" w:hAnsi="Calibri"/>
          <w:spacing w:val="-6"/>
          <w:w w:val="125"/>
        </w:rPr>
        <w:t> </w:t>
      </w:r>
      <w:r>
        <w:rPr>
          <w:rFonts w:ascii="Calibri" w:hAnsi="Calibri"/>
        </w:rPr>
        <w:t>5</w:t>
      </w:r>
      <w:r>
        <w:rPr>
          <w:rFonts w:ascii="Calibri" w:hAnsi="Calibri"/>
          <w:i/>
        </w:rPr>
        <w:t>,</w:t>
      </w:r>
      <w:r>
        <w:rPr>
          <w:rFonts w:ascii="Calibri" w:hAnsi="Calibri"/>
        </w:rPr>
        <w:t>521</w:t>
      </w:r>
      <w:r>
        <w:rPr>
          <w:rFonts w:ascii="Calibri" w:hAnsi="Calibri"/>
          <w:spacing w:val="-4"/>
        </w:rPr>
        <w:t> </w:t>
      </w:r>
      <w:r>
        <w:rPr/>
        <w:t>wallets</w:t>
      </w:r>
      <w:r>
        <w:rPr>
          <w:spacing w:val="-10"/>
        </w:rPr>
        <w:t> </w:t>
      </w:r>
      <w:r>
        <w:rPr/>
        <w:t>with</w:t>
      </w:r>
      <w:r>
        <w:rPr>
          <w:spacing w:val="-10"/>
        </w:rPr>
        <w:t> </w:t>
      </w:r>
      <w:r>
        <w:rPr>
          <w:rFonts w:ascii="Lucida Sans Unicode" w:hAnsi="Lucida Sans Unicode"/>
        </w:rPr>
        <w:t>≥</w:t>
      </w:r>
      <w:r>
        <w:rPr>
          <w:rFonts w:ascii="Lucida Sans Unicode" w:hAnsi="Lucida Sans Unicode"/>
          <w:spacing w:val="-14"/>
        </w:rPr>
        <w:t> </w:t>
      </w:r>
      <w:r>
        <w:rPr>
          <w:rFonts w:ascii="Calibri" w:hAnsi="Calibri"/>
        </w:rPr>
        <w:t>3</w:t>
      </w:r>
      <w:r>
        <w:rPr>
          <w:rFonts w:ascii="Calibri" w:hAnsi="Calibri"/>
          <w:spacing w:val="-5"/>
        </w:rPr>
        <w:t> </w:t>
      </w:r>
      <w:r>
        <w:rPr/>
        <w:t>GMX</w:t>
      </w:r>
      <w:r>
        <w:rPr>
          <w:spacing w:val="-10"/>
        </w:rPr>
        <w:t> </w:t>
      </w:r>
      <w:r>
        <w:rPr/>
        <w:t>closes and non-zero reputation-subgraph connectivity).</w:t>
      </w:r>
    </w:p>
    <w:p>
      <w:pPr>
        <w:pStyle w:val="BodyText"/>
        <w:spacing w:line="211" w:lineRule="auto" w:before="73"/>
        <w:ind w:left="282" w:right="564" w:hanging="8"/>
        <w:jc w:val="both"/>
      </w:pPr>
      <w:r>
        <w:rPr>
          <w:i/>
        </w:rPr>
        <w:t>표 4.1: 일치하는 코호트에 대한 데이터세트 특성(n = ≥ 3 GMX 마감 및 0이 아닌 평판-하위 그래프 연결을 갖춘 5,521개의 지갑).</w:t>
      </w:r>
    </w:p>
    <w:p>
      <w:pPr>
        <w:pStyle w:val="BodyText"/>
        <w:spacing w:before="19"/>
        <w:rPr>
          <w:sz w:val="20"/>
        </w:rPr>
      </w:pPr>
    </w:p>
    <w:tbl>
      <w:tblPr>
        <w:tblW w:w="0" w:type="auto"/>
        <w:jc w:val="left"/>
        <w:tblInd w:w="1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3"/>
        <w:gridCol w:w="2710"/>
      </w:tblGrid>
      <w:tr>
        <w:trPr>
          <w:trHeight w:val="399" w:hRule="atLeast"/>
        </w:trPr>
        <w:tc>
          <w:tcPr>
            <w:tcW w:w="4513" w:type="dxa"/>
            <w:tcBorders>
              <w:top w:val="single" w:sz="8" w:space="0" w:color="000000"/>
              <w:bottom w:val="single" w:sz="6" w:space="0" w:color="000000"/>
            </w:tcBorders>
          </w:tcPr>
          <w:p>
            <w:pPr>
              <w:pStyle w:val="TableParagraph"/>
              <w:spacing w:before="47"/>
              <w:ind w:left="119"/>
              <w:jc w:val="left"/>
              <w:rPr>
                <w:sz w:val="24"/>
              </w:rPr>
            </w:pPr>
            <w:r>
              <w:rPr>
                <w:spacing w:val="-2"/>
                <w:sz w:val="24"/>
              </w:rPr>
              <w:t>Statistic</w:t>
            </w:r>
          </w:p>
          <w:p>
            <w:pPr>
              <w:pStyle w:val="TableParagraph"/>
              <w:spacing w:before="47"/>
              <w:ind w:left="119"/>
              <w:jc w:val="left"/>
              <w:rPr>
                <w:sz w:val="24"/>
              </w:rPr>
            </w:pPr>
            <w:r>
              <w:rPr>
                <w:i/>
              </w:rPr>
              <w:t>통계량</w:t>
            </w:r>
          </w:p>
        </w:tc>
        <w:tc>
          <w:tcPr>
            <w:tcW w:w="2710" w:type="dxa"/>
            <w:tcBorders>
              <w:top w:val="single" w:sz="8" w:space="0" w:color="000000"/>
              <w:bottom w:val="single" w:sz="6" w:space="0" w:color="000000"/>
            </w:tcBorders>
          </w:tcPr>
          <w:p>
            <w:pPr>
              <w:pStyle w:val="TableParagraph"/>
              <w:spacing w:before="47"/>
              <w:ind w:right="117"/>
              <w:jc w:val="right"/>
              <w:rPr>
                <w:sz w:val="24"/>
              </w:rPr>
            </w:pPr>
            <w:r>
              <w:rPr>
                <w:spacing w:val="-2"/>
                <w:sz w:val="24"/>
              </w:rPr>
              <w:t>Value</w:t>
            </w:r>
          </w:p>
          <w:p>
            <w:pPr>
              <w:pStyle w:val="TableParagraph"/>
              <w:spacing w:before="47"/>
              <w:ind w:right="117"/>
              <w:jc w:val="right"/>
              <w:rPr>
                <w:sz w:val="24"/>
              </w:rPr>
            </w:pPr>
            <w:r>
              <w:rPr>
                <w:i/>
              </w:rPr>
              <w:t>값</w:t>
            </w:r>
          </w:p>
        </w:tc>
      </w:tr>
      <w:tr>
        <w:trPr>
          <w:trHeight w:val="318" w:hRule="atLeast"/>
        </w:trPr>
        <w:tc>
          <w:tcPr>
            <w:tcW w:w="4513" w:type="dxa"/>
            <w:tcBorders>
              <w:top w:val="single" w:sz="6" w:space="0" w:color="000000"/>
            </w:tcBorders>
          </w:tcPr>
          <w:p>
            <w:pPr>
              <w:pStyle w:val="TableParagraph"/>
              <w:spacing w:line="253" w:lineRule="exact" w:before="46"/>
              <w:ind w:left="119"/>
              <w:jc w:val="left"/>
              <w:rPr>
                <w:sz w:val="24"/>
              </w:rPr>
            </w:pPr>
            <w:r>
              <w:rPr>
                <w:sz w:val="24"/>
              </w:rPr>
              <w:t>Matched</w:t>
            </w:r>
            <w:r>
              <w:rPr>
                <w:spacing w:val="-10"/>
                <w:sz w:val="24"/>
              </w:rPr>
              <w:t> </w:t>
            </w:r>
            <w:r>
              <w:rPr>
                <w:spacing w:val="-2"/>
                <w:sz w:val="24"/>
              </w:rPr>
              <w:t>wallets</w:t>
            </w:r>
          </w:p>
          <w:p>
            <w:pPr>
              <w:pStyle w:val="TableParagraph"/>
              <w:spacing w:line="253" w:lineRule="exact" w:before="46"/>
              <w:ind w:left="119"/>
              <w:jc w:val="left"/>
              <w:rPr>
                <w:sz w:val="24"/>
              </w:rPr>
            </w:pPr>
            <w:r>
              <w:rPr>
                <w:i/>
              </w:rPr>
              <w:t>일치하는 지갑</w:t>
            </w:r>
          </w:p>
        </w:tc>
        <w:tc>
          <w:tcPr>
            <w:tcW w:w="2710" w:type="dxa"/>
            <w:tcBorders>
              <w:top w:val="single" w:sz="6" w:space="0" w:color="000000"/>
            </w:tcBorders>
          </w:tcPr>
          <w:p>
            <w:pPr>
              <w:pStyle w:val="TableParagraph"/>
              <w:spacing w:line="253" w:lineRule="exact" w:before="46"/>
              <w:ind w:right="117"/>
              <w:jc w:val="right"/>
              <w:rPr>
                <w:sz w:val="24"/>
              </w:rPr>
            </w:pPr>
            <w:r>
              <w:rPr>
                <w:spacing w:val="-2"/>
                <w:sz w:val="24"/>
              </w:rPr>
              <w:t>5,521</w:t>
            </w:r>
          </w:p>
        </w:tc>
      </w:tr>
      <w:tr>
        <w:trPr>
          <w:trHeight w:val="315" w:hRule="atLeast"/>
        </w:trPr>
        <w:tc>
          <w:tcPr>
            <w:tcW w:w="4513" w:type="dxa"/>
          </w:tcPr>
          <w:p>
            <w:pPr>
              <w:pStyle w:val="TableParagraph"/>
              <w:spacing w:line="284" w:lineRule="exact" w:before="12"/>
              <w:ind w:left="119"/>
              <w:jc w:val="left"/>
              <w:rPr>
                <w:sz w:val="24"/>
              </w:rPr>
            </w:pPr>
            <w:r>
              <w:rPr>
                <w:spacing w:val="-2"/>
                <w:w w:val="110"/>
                <w:sz w:val="24"/>
              </w:rPr>
              <w:t>GMX </w:t>
            </w:r>
            <w:r>
              <w:rPr>
                <w:rFonts w:ascii="Calibri"/>
                <w:spacing w:val="-2"/>
                <w:w w:val="110"/>
                <w:sz w:val="24"/>
              </w:rPr>
              <w:t>PositionDecrease</w:t>
            </w:r>
            <w:r>
              <w:rPr>
                <w:rFonts w:ascii="Calibri"/>
                <w:spacing w:val="4"/>
                <w:w w:val="110"/>
                <w:sz w:val="24"/>
              </w:rPr>
              <w:t> </w:t>
            </w:r>
            <w:r>
              <w:rPr>
                <w:spacing w:val="-2"/>
                <w:w w:val="110"/>
                <w:sz w:val="24"/>
              </w:rPr>
              <w:t>events (decoded)</w:t>
            </w:r>
          </w:p>
          <w:p>
            <w:pPr>
              <w:pStyle w:val="TableParagraph"/>
              <w:spacing w:line="284" w:lineRule="exact" w:before="12"/>
              <w:ind w:left="119"/>
              <w:jc w:val="left"/>
              <w:rPr>
                <w:sz w:val="24"/>
              </w:rPr>
            </w:pPr>
            <w:r>
              <w:rPr>
                <w:i/>
              </w:rPr>
              <w:t>GMX PositionDecrease 이벤트(디코딩됨)</w:t>
            </w:r>
          </w:p>
        </w:tc>
        <w:tc>
          <w:tcPr>
            <w:tcW w:w="2710" w:type="dxa"/>
          </w:tcPr>
          <w:p>
            <w:pPr>
              <w:pStyle w:val="TableParagraph"/>
              <w:spacing w:before="16"/>
              <w:ind w:right="117"/>
              <w:jc w:val="right"/>
              <w:rPr>
                <w:sz w:val="24"/>
              </w:rPr>
            </w:pPr>
            <w:r>
              <w:rPr>
                <w:spacing w:val="-2"/>
                <w:sz w:val="24"/>
              </w:rPr>
              <w:t>365,488</w:t>
            </w:r>
          </w:p>
        </w:tc>
      </w:tr>
      <w:tr>
        <w:trPr>
          <w:trHeight w:val="277" w:hRule="atLeast"/>
        </w:trPr>
        <w:tc>
          <w:tcPr>
            <w:tcW w:w="4513" w:type="dxa"/>
          </w:tcPr>
          <w:p>
            <w:pPr>
              <w:pStyle w:val="TableParagraph"/>
              <w:spacing w:line="258" w:lineRule="exact" w:before="0"/>
              <w:ind w:left="119"/>
              <w:jc w:val="left"/>
              <w:rPr>
                <w:sz w:val="24"/>
              </w:rPr>
            </w:pPr>
            <w:r>
              <w:rPr>
                <w:sz w:val="24"/>
              </w:rPr>
              <w:t>EndorseRank</w:t>
            </w:r>
            <w:r>
              <w:rPr>
                <w:spacing w:val="-13"/>
                <w:sz w:val="24"/>
              </w:rPr>
              <w:t> </w:t>
            </w:r>
            <w:r>
              <w:rPr>
                <w:sz w:val="24"/>
              </w:rPr>
              <w:t>edges</w:t>
            </w:r>
            <w:r>
              <w:rPr>
                <w:spacing w:val="-12"/>
                <w:sz w:val="24"/>
              </w:rPr>
              <w:t> </w:t>
            </w:r>
            <w:r>
              <w:rPr>
                <w:spacing w:val="-2"/>
                <w:sz w:val="24"/>
              </w:rPr>
              <w:t>(subgraph)</w:t>
            </w:r>
          </w:p>
          <w:p>
            <w:pPr>
              <w:pStyle w:val="TableParagraph"/>
              <w:spacing w:line="258" w:lineRule="exact" w:before="0"/>
              <w:ind w:left="119"/>
              <w:jc w:val="left"/>
              <w:rPr>
                <w:sz w:val="24"/>
              </w:rPr>
            </w:pPr>
            <w:r>
              <w:rPr>
                <w:i/>
              </w:rPr>
              <w:t>EndorseRank 가장자리(하위 그래프)</w:t>
            </w:r>
          </w:p>
        </w:tc>
        <w:tc>
          <w:tcPr>
            <w:tcW w:w="2710" w:type="dxa"/>
          </w:tcPr>
          <w:p>
            <w:pPr>
              <w:pStyle w:val="TableParagraph"/>
              <w:spacing w:line="258" w:lineRule="exact" w:before="0"/>
              <w:ind w:right="117"/>
              <w:jc w:val="right"/>
              <w:rPr>
                <w:sz w:val="24"/>
              </w:rPr>
            </w:pPr>
            <w:r>
              <w:rPr>
                <w:spacing w:val="-2"/>
                <w:sz w:val="24"/>
              </w:rPr>
              <w:t>14,727</w:t>
            </w:r>
          </w:p>
        </w:tc>
      </w:tr>
      <w:tr>
        <w:trPr>
          <w:trHeight w:val="288" w:hRule="atLeast"/>
        </w:trPr>
        <w:tc>
          <w:tcPr>
            <w:tcW w:w="4513" w:type="dxa"/>
          </w:tcPr>
          <w:p>
            <w:pPr>
              <w:pStyle w:val="TableParagraph"/>
              <w:spacing w:line="268" w:lineRule="exact" w:before="1"/>
              <w:ind w:left="119"/>
              <w:jc w:val="left"/>
              <w:rPr>
                <w:sz w:val="24"/>
              </w:rPr>
            </w:pPr>
            <w:r>
              <w:rPr>
                <w:spacing w:val="-2"/>
                <w:sz w:val="24"/>
              </w:rPr>
              <w:t>AWP</w:t>
            </w:r>
            <w:r>
              <w:rPr>
                <w:spacing w:val="-11"/>
                <w:sz w:val="24"/>
              </w:rPr>
              <w:t> </w:t>
            </w:r>
            <w:r>
              <w:rPr>
                <w:spacing w:val="-2"/>
                <w:sz w:val="24"/>
              </w:rPr>
              <w:t>edges</w:t>
            </w:r>
            <w:r>
              <w:rPr>
                <w:spacing w:val="-11"/>
                <w:sz w:val="24"/>
              </w:rPr>
              <w:t> </w:t>
            </w:r>
            <w:r>
              <w:rPr>
                <w:spacing w:val="-2"/>
                <w:sz w:val="24"/>
              </w:rPr>
              <w:t>(subgraph)</w:t>
            </w:r>
          </w:p>
          <w:p>
            <w:pPr>
              <w:pStyle w:val="TableParagraph"/>
              <w:spacing w:line="268" w:lineRule="exact" w:before="1"/>
              <w:ind w:left="119"/>
              <w:jc w:val="left"/>
              <w:rPr>
                <w:sz w:val="24"/>
              </w:rPr>
            </w:pPr>
            <w:r>
              <w:rPr>
                <w:i/>
              </w:rPr>
              <w:t>AWP 가장자리(하위 그래프)</w:t>
            </w:r>
          </w:p>
        </w:tc>
        <w:tc>
          <w:tcPr>
            <w:tcW w:w="2710" w:type="dxa"/>
          </w:tcPr>
          <w:p>
            <w:pPr>
              <w:pStyle w:val="TableParagraph"/>
              <w:spacing w:line="268" w:lineRule="exact" w:before="1"/>
              <w:ind w:right="117"/>
              <w:jc w:val="right"/>
              <w:rPr>
                <w:sz w:val="24"/>
              </w:rPr>
            </w:pPr>
            <w:r>
              <w:rPr>
                <w:spacing w:val="-2"/>
                <w:sz w:val="24"/>
              </w:rPr>
              <w:t>137,087</w:t>
            </w:r>
          </w:p>
        </w:tc>
      </w:tr>
      <w:tr>
        <w:trPr>
          <w:trHeight w:val="288" w:hRule="atLeast"/>
        </w:trPr>
        <w:tc>
          <w:tcPr>
            <w:tcW w:w="4513" w:type="dxa"/>
          </w:tcPr>
          <w:p>
            <w:pPr>
              <w:pStyle w:val="TableParagraph"/>
              <w:spacing w:line="268" w:lineRule="exact" w:before="1"/>
              <w:ind w:left="119"/>
              <w:jc w:val="left"/>
              <w:rPr>
                <w:sz w:val="24"/>
              </w:rPr>
            </w:pPr>
            <w:r>
              <w:rPr>
                <w:sz w:val="24"/>
              </w:rPr>
              <w:t>Observation</w:t>
            </w:r>
            <w:r>
              <w:rPr>
                <w:spacing w:val="-13"/>
                <w:sz w:val="24"/>
              </w:rPr>
              <w:t> </w:t>
            </w:r>
            <w:r>
              <w:rPr>
                <w:spacing w:val="-2"/>
                <w:sz w:val="24"/>
              </w:rPr>
              <w:t>window</w:t>
            </w:r>
          </w:p>
          <w:p>
            <w:pPr>
              <w:pStyle w:val="TableParagraph"/>
              <w:spacing w:line="268" w:lineRule="exact" w:before="1"/>
              <w:ind w:left="119"/>
              <w:jc w:val="left"/>
              <w:rPr>
                <w:sz w:val="24"/>
              </w:rPr>
            </w:pPr>
            <w:r>
              <w:rPr>
                <w:i/>
              </w:rPr>
              <w:t>관찰 창</w:t>
            </w:r>
          </w:p>
        </w:tc>
        <w:tc>
          <w:tcPr>
            <w:tcW w:w="2710" w:type="dxa"/>
          </w:tcPr>
          <w:p>
            <w:pPr>
              <w:pStyle w:val="TableParagraph"/>
              <w:spacing w:line="268" w:lineRule="exact" w:before="1"/>
              <w:ind w:right="117"/>
              <w:jc w:val="right"/>
              <w:rPr>
                <w:sz w:val="24"/>
              </w:rPr>
            </w:pPr>
            <w:r>
              <w:rPr>
                <w:sz w:val="24"/>
              </w:rPr>
              <w:t>2025-12-01</w:t>
            </w:r>
            <w:r>
              <w:rPr>
                <w:spacing w:val="-12"/>
                <w:sz w:val="24"/>
              </w:rPr>
              <w:t> </w:t>
            </w:r>
            <w:r>
              <w:rPr>
                <w:sz w:val="24"/>
              </w:rPr>
              <w:t>–</w:t>
            </w:r>
            <w:r>
              <w:rPr>
                <w:spacing w:val="-12"/>
                <w:sz w:val="24"/>
              </w:rPr>
              <w:t> </w:t>
            </w:r>
            <w:r>
              <w:rPr>
                <w:sz w:val="24"/>
              </w:rPr>
              <w:t>2026-05-</w:t>
            </w:r>
            <w:r>
              <w:rPr>
                <w:spacing w:val="-5"/>
                <w:sz w:val="24"/>
              </w:rPr>
              <w:t>31</w:t>
            </w:r>
          </w:p>
        </w:tc>
      </w:tr>
      <w:tr>
        <w:trPr>
          <w:trHeight w:val="354" w:hRule="atLeast"/>
        </w:trPr>
        <w:tc>
          <w:tcPr>
            <w:tcW w:w="4513" w:type="dxa"/>
            <w:tcBorders>
              <w:bottom w:val="single" w:sz="8" w:space="0" w:color="000000"/>
            </w:tcBorders>
          </w:tcPr>
          <w:p>
            <w:pPr>
              <w:pStyle w:val="TableParagraph"/>
              <w:spacing w:before="1"/>
              <w:ind w:left="119"/>
              <w:jc w:val="left"/>
              <w:rPr>
                <w:sz w:val="24"/>
              </w:rPr>
            </w:pPr>
            <w:r>
              <w:rPr>
                <w:sz w:val="24"/>
              </w:rPr>
              <w:t>Min.</w:t>
            </w:r>
            <w:r>
              <w:rPr>
                <w:spacing w:val="-8"/>
                <w:sz w:val="24"/>
              </w:rPr>
              <w:t> </w:t>
            </w:r>
            <w:r>
              <w:rPr>
                <w:sz w:val="24"/>
              </w:rPr>
              <w:t>GMX</w:t>
            </w:r>
            <w:r>
              <w:rPr>
                <w:spacing w:val="-8"/>
                <w:sz w:val="24"/>
              </w:rPr>
              <w:t> </w:t>
            </w:r>
            <w:r>
              <w:rPr>
                <w:sz w:val="24"/>
              </w:rPr>
              <w:t>closes</w:t>
            </w:r>
            <w:r>
              <w:rPr>
                <w:spacing w:val="-7"/>
                <w:sz w:val="24"/>
              </w:rPr>
              <w:t> </w:t>
            </w:r>
            <w:r>
              <w:rPr>
                <w:sz w:val="24"/>
              </w:rPr>
              <w:t>per</w:t>
            </w:r>
            <w:r>
              <w:rPr>
                <w:spacing w:val="-8"/>
                <w:sz w:val="24"/>
              </w:rPr>
              <w:t> </w:t>
            </w:r>
            <w:r>
              <w:rPr>
                <w:spacing w:val="-2"/>
                <w:sz w:val="24"/>
              </w:rPr>
              <w:t>wallet</w:t>
            </w:r>
          </w:p>
          <w:p>
            <w:pPr>
              <w:pStyle w:val="TableParagraph"/>
              <w:spacing w:before="1"/>
              <w:ind w:left="119"/>
              <w:jc w:val="left"/>
              <w:rPr>
                <w:sz w:val="24"/>
              </w:rPr>
            </w:pPr>
            <w:r>
              <w:rPr>
                <w:i/>
              </w:rPr>
              <w:t>최소 GMX 지갑별 마감</w:t>
            </w:r>
          </w:p>
        </w:tc>
        <w:tc>
          <w:tcPr>
            <w:tcW w:w="2710" w:type="dxa"/>
            <w:tcBorders>
              <w:bottom w:val="single" w:sz="8" w:space="0" w:color="000000"/>
            </w:tcBorders>
          </w:tcPr>
          <w:p>
            <w:pPr>
              <w:pStyle w:val="TableParagraph"/>
              <w:spacing w:before="1"/>
              <w:ind w:right="117"/>
              <w:jc w:val="right"/>
              <w:rPr>
                <w:sz w:val="24"/>
              </w:rPr>
            </w:pPr>
            <w:r>
              <w:rPr>
                <w:spacing w:val="-10"/>
                <w:sz w:val="24"/>
              </w:rPr>
              <w:t>3</w:t>
            </w:r>
          </w:p>
        </w:tc>
      </w:tr>
    </w:tbl>
    <w:p>
      <w:pPr>
        <w:pStyle w:val="BodyText"/>
        <w:spacing w:before="177"/>
      </w:pPr>
    </w:p>
    <w:p>
      <w:pPr>
        <w:pStyle w:val="BodyText"/>
        <w:spacing w:line="396" w:lineRule="auto" w:before="1"/>
        <w:ind w:left="282" w:right="562" w:hanging="8"/>
        <w:jc w:val="both"/>
      </w:pPr>
      <w:r>
        <w:rPr/>
        <w:t>The edge-count asymmetry is not an artifact of incomplete extraction:</w:t>
      </w:r>
      <w:r>
        <w:rPr>
          <w:spacing w:val="27"/>
        </w:rPr>
        <w:t> </w:t>
      </w:r>
      <w:r>
        <w:rPr/>
        <w:t>both graphs are built from the same wallet seed set and the same observation window.</w:t>
      </w:r>
      <w:r>
        <w:rPr>
          <w:spacing w:val="40"/>
        </w:rPr>
        <w:t> </w:t>
      </w:r>
      <w:r>
        <w:rPr/>
        <w:t>EndorseRank retains only the latest decimal-adjusted allowance per owner–spender pair, so repeated approvals collapse to a single directed edge.</w:t>
      </w:r>
      <w:r>
        <w:rPr>
          <w:spacing w:val="40"/>
        </w:rPr>
        <w:t> </w:t>
      </w:r>
      <w:r>
        <w:rPr/>
        <w:t>AWP aggregates transfer history with logistic time-decay, producing many more directed edges among the same wallets.</w:t>
      </w:r>
      <w:r>
        <w:rPr>
          <w:spacing w:val="40"/>
        </w:rPr>
        <w:t> </w:t>
      </w:r>
      <w:r>
        <w:rPr/>
        <w:t>Consequently, differences in scores and alignment are attributable to ranking logic and graph semantics, not to inconsistent sampling.</w:t>
      </w:r>
    </w:p>
    <w:p>
      <w:pPr>
        <w:pStyle w:val="BodyText"/>
        <w:spacing w:line="396" w:lineRule="auto" w:before="1"/>
        <w:ind w:left="282" w:right="562" w:hanging="8"/>
        <w:jc w:val="both"/>
      </w:pPr>
      <w:r>
        <w:rPr>
          <w:i/>
        </w:rPr>
        <w:t>엣지 카운트 비대칭은 불완전한 추출로 인한 인공물이 아닙니다. 두 그래프 모두 동일한 지갑 시드 세트와 동일한 관찰 창에서 구축되었습니다. EndorseRank는 소유자-소비자 쌍당 최신 소수점 조정 수당만 유지하므로 반복 승인은 단일 방향 가장자리로 축소됩니다. AWP 로지스틱 시간 감소로 전송 내역을 집계하여 동일한 지갑 간에 더 많은 방향성 에지를 생성합니다. 결과적으로 점수와 정렬의 차이는 일관성 없는 샘플링이 아니라 순위 논리와 그래프 의미에 기인합니다.</w:t>
      </w:r>
    </w:p>
    <w:p>
      <w:pPr>
        <w:pStyle w:val="BodyText"/>
        <w:spacing w:line="350" w:lineRule="exact"/>
        <w:ind w:left="274"/>
        <w:jc w:val="both"/>
      </w:pPr>
      <w:r>
        <w:rPr/>
        <w:t>The</w:t>
      </w:r>
      <w:r>
        <w:rPr>
          <w:spacing w:val="-15"/>
        </w:rPr>
        <w:t> </w:t>
      </w:r>
      <w:r>
        <w:rPr/>
        <w:t>matched-cohort</w:t>
      </w:r>
      <w:r>
        <w:rPr>
          <w:spacing w:val="-15"/>
        </w:rPr>
        <w:t> </w:t>
      </w:r>
      <w:r>
        <w:rPr/>
        <w:t>design</w:t>
      </w:r>
      <w:r>
        <w:rPr>
          <w:spacing w:val="-15"/>
        </w:rPr>
        <w:t> </w:t>
      </w:r>
      <w:r>
        <w:rPr/>
        <w:t>deliberately</w:t>
      </w:r>
      <w:r>
        <w:rPr>
          <w:spacing w:val="-15"/>
        </w:rPr>
        <w:t> </w:t>
      </w:r>
      <w:r>
        <w:rPr/>
        <w:t>intersects</w:t>
      </w:r>
      <w:r>
        <w:rPr>
          <w:spacing w:val="-15"/>
        </w:rPr>
        <w:t> </w:t>
      </w:r>
      <w:r>
        <w:rPr/>
        <w:t>two</w:t>
      </w:r>
      <w:r>
        <w:rPr>
          <w:spacing w:val="-15"/>
        </w:rPr>
        <w:t> </w:t>
      </w:r>
      <w:r>
        <w:rPr/>
        <w:t>filters.</w:t>
      </w:r>
      <w:r>
        <w:rPr>
          <w:spacing w:val="3"/>
        </w:rPr>
        <w:t> </w:t>
      </w:r>
      <w:r>
        <w:rPr/>
        <w:t>The</w:t>
      </w:r>
      <w:r>
        <w:rPr>
          <w:spacing w:val="-15"/>
        </w:rPr>
        <w:t> </w:t>
      </w:r>
      <w:r>
        <w:rPr/>
        <w:t>GMX</w:t>
      </w:r>
      <w:r>
        <w:rPr>
          <w:spacing w:val="-15"/>
        </w:rPr>
        <w:t> </w:t>
      </w:r>
      <w:r>
        <w:rPr/>
        <w:t>activity</w:t>
      </w:r>
      <w:r>
        <w:rPr>
          <w:spacing w:val="-15"/>
        </w:rPr>
        <w:t> </w:t>
      </w:r>
      <w:r>
        <w:rPr/>
        <w:t>filter</w:t>
      </w:r>
      <w:r>
        <w:rPr>
          <w:spacing w:val="-15"/>
        </w:rPr>
        <w:t> </w:t>
      </w:r>
      <w:r>
        <w:rPr/>
        <w:t>(</w:t>
      </w:r>
      <w:r>
        <w:rPr>
          <w:rFonts w:ascii="Lucida Sans Unicode" w:hAnsi="Lucida Sans Unicode"/>
        </w:rPr>
        <w:t>≥</w:t>
      </w:r>
      <w:r>
        <w:rPr>
          <w:rFonts w:ascii="Lucida Sans Unicode" w:hAnsi="Lucida Sans Unicode"/>
          <w:spacing w:val="-19"/>
        </w:rPr>
        <w:t> </w:t>
      </w:r>
      <w:r>
        <w:rPr>
          <w:rFonts w:ascii="Calibri" w:hAnsi="Calibri"/>
        </w:rPr>
        <w:t>3</w:t>
      </w:r>
      <w:r>
        <w:rPr>
          <w:rFonts w:ascii="Calibri" w:hAnsi="Calibri"/>
          <w:spacing w:val="-9"/>
        </w:rPr>
        <w:t> </w:t>
      </w:r>
      <w:r>
        <w:rPr>
          <w:spacing w:val="-2"/>
        </w:rPr>
        <w:t>closes)</w:t>
      </w:r>
    </w:p>
    <w:p>
      <w:pPr>
        <w:pStyle w:val="BodyText"/>
        <w:spacing w:line="350" w:lineRule="exact"/>
        <w:ind w:left="274"/>
        <w:jc w:val="both"/>
      </w:pPr>
      <w:r>
        <w:rPr>
          <w:i/>
        </w:rPr>
        <w:t>일치 코호트 디자인은 의도적으로 두 개의 필터를 교차합니다. GMX 활동 필터(≥ 3 닫기)</w:t>
      </w:r>
    </w:p>
    <w:p>
      <w:pPr>
        <w:pStyle w:val="BodyText"/>
        <w:spacing w:line="388" w:lineRule="auto" w:before="126"/>
        <w:ind w:left="282" w:right="525"/>
        <w:jc w:val="both"/>
      </w:pPr>
      <w:r>
        <w:rPr/>
        <w:t>ensures that trading-success and inverse-risk proxies are defined for every wallet, avoiding unde-fined rates and unstable count statistics for one-off traders.</w:t>
      </w:r>
      <w:r>
        <w:rPr>
          <w:spacing w:val="33"/>
        </w:rPr>
        <w:t> </w:t>
      </w:r>
      <w:r>
        <w:rPr/>
        <w:t>The reputation-subgraph connectivity filter ensures that both EndorseRank and AWP produce non-degenerate scores:</w:t>
      </w:r>
      <w:r>
        <w:rPr>
          <w:spacing w:val="40"/>
        </w:rPr>
        <w:t> </w:t>
      </w:r>
      <w:r>
        <w:rPr/>
        <w:t>wallets with no approval</w:t>
      </w:r>
      <w:r>
        <w:rPr>
          <w:spacing w:val="-4"/>
        </w:rPr>
        <w:t> </w:t>
      </w:r>
      <w:r>
        <w:rPr/>
        <w:t>edges</w:t>
      </w:r>
      <w:r>
        <w:rPr>
          <w:spacing w:val="-4"/>
        </w:rPr>
        <w:t> </w:t>
      </w:r>
      <w:r>
        <w:rPr/>
        <w:t>and</w:t>
      </w:r>
      <w:r>
        <w:rPr>
          <w:spacing w:val="-4"/>
        </w:rPr>
        <w:t> </w:t>
      </w:r>
      <w:r>
        <w:rPr/>
        <w:t>no</w:t>
      </w:r>
      <w:r>
        <w:rPr>
          <w:spacing w:val="-4"/>
        </w:rPr>
        <w:t> </w:t>
      </w:r>
      <w:r>
        <w:rPr/>
        <w:t>transfer</w:t>
      </w:r>
      <w:r>
        <w:rPr>
          <w:spacing w:val="-4"/>
        </w:rPr>
        <w:t> </w:t>
      </w:r>
      <w:r>
        <w:rPr/>
        <w:t>edges</w:t>
      </w:r>
      <w:r>
        <w:rPr>
          <w:spacing w:val="-4"/>
        </w:rPr>
        <w:t> </w:t>
      </w:r>
      <w:r>
        <w:rPr/>
        <w:t>cannot</w:t>
      </w:r>
      <w:r>
        <w:rPr>
          <w:spacing w:val="-4"/>
        </w:rPr>
        <w:t> </w:t>
      </w:r>
      <w:r>
        <w:rPr/>
        <w:t>be</w:t>
      </w:r>
      <w:r>
        <w:rPr>
          <w:spacing w:val="-4"/>
        </w:rPr>
        <w:t> </w:t>
      </w:r>
      <w:r>
        <w:rPr/>
        <w:t>ranked</w:t>
      </w:r>
      <w:r>
        <w:rPr>
          <w:spacing w:val="-4"/>
        </w:rPr>
        <w:t> </w:t>
      </w:r>
      <w:r>
        <w:rPr/>
        <w:t>meaningfully</w:t>
      </w:r>
      <w:r>
        <w:rPr>
          <w:spacing w:val="-4"/>
        </w:rPr>
        <w:t> </w:t>
      </w:r>
      <w:r>
        <w:rPr/>
        <w:t>by</w:t>
      </w:r>
      <w:r>
        <w:rPr>
          <w:spacing w:val="-4"/>
        </w:rPr>
        <w:t> </w:t>
      </w:r>
      <w:r>
        <w:rPr/>
        <w:t>either</w:t>
      </w:r>
      <w:r>
        <w:rPr>
          <w:spacing w:val="-4"/>
        </w:rPr>
        <w:t> </w:t>
      </w:r>
      <w:r>
        <w:rPr/>
        <w:t>social</w:t>
      </w:r>
      <w:r>
        <w:rPr>
          <w:spacing w:val="-4"/>
        </w:rPr>
        <w:t> </w:t>
      </w:r>
      <w:r>
        <w:rPr/>
        <w:t>method. The intersection</w:t>
      </w:r>
      <w:r>
        <w:rPr>
          <w:spacing w:val="-15"/>
        </w:rPr>
        <w:t> </w:t>
      </w:r>
      <w:r>
        <w:rPr>
          <w:w w:val="110"/>
        </w:rPr>
        <w:t>yields</w:t>
      </w:r>
      <w:r>
        <w:rPr>
          <w:spacing w:val="-17"/>
          <w:w w:val="110"/>
        </w:rPr>
        <w:t> </w:t>
      </w:r>
      <w:r>
        <w:rPr>
          <w:rFonts w:ascii="Calibri" w:hAnsi="Calibri"/>
          <w:i/>
          <w:w w:val="110"/>
        </w:rPr>
        <w:t>n</w:t>
      </w:r>
      <w:r>
        <w:rPr>
          <w:rFonts w:ascii="Calibri" w:hAnsi="Calibri"/>
          <w:i/>
          <w:spacing w:val="-15"/>
          <w:w w:val="110"/>
        </w:rPr>
        <w:t> </w:t>
      </w:r>
      <w:r>
        <w:rPr>
          <w:rFonts w:ascii="Calibri" w:hAnsi="Calibri"/>
          <w:w w:val="110"/>
        </w:rPr>
        <w:t>=</w:t>
      </w:r>
      <w:r>
        <w:rPr>
          <w:rFonts w:ascii="Calibri" w:hAnsi="Calibri"/>
          <w:spacing w:val="-15"/>
          <w:w w:val="110"/>
        </w:rPr>
        <w:t> </w:t>
      </w:r>
      <w:r>
        <w:rPr>
          <w:rFonts w:ascii="Calibri" w:hAnsi="Calibri"/>
          <w:w w:val="110"/>
        </w:rPr>
        <w:t>5</w:t>
      </w:r>
      <w:r>
        <w:rPr>
          <w:rFonts w:ascii="Calibri" w:hAnsi="Calibri"/>
          <w:i/>
          <w:w w:val="110"/>
        </w:rPr>
        <w:t>,</w:t>
      </w:r>
      <w:r>
        <w:rPr>
          <w:rFonts w:ascii="Calibri" w:hAnsi="Calibri"/>
          <w:w w:val="110"/>
        </w:rPr>
        <w:t>521</w:t>
      </w:r>
      <w:r>
        <w:rPr>
          <w:rFonts w:ascii="Calibri" w:hAnsi="Calibri"/>
          <w:spacing w:val="-15"/>
          <w:w w:val="110"/>
        </w:rPr>
        <w:t> </w:t>
      </w:r>
      <w:r>
        <w:rPr>
          <w:w w:val="110"/>
        </w:rPr>
        <w:t>wallets</w:t>
      </w:r>
      <w:r>
        <w:rPr>
          <w:spacing w:val="-16"/>
          <w:w w:val="110"/>
        </w:rPr>
        <w:t> </w:t>
      </w:r>
      <w:r>
        <w:rPr>
          <w:w w:val="110"/>
        </w:rPr>
        <w:t>and</w:t>
      </w:r>
      <w:r>
        <w:rPr>
          <w:spacing w:val="-17"/>
          <w:w w:val="110"/>
        </w:rPr>
        <w:t> </w:t>
      </w:r>
      <w:r>
        <w:rPr>
          <w:w w:val="110"/>
        </w:rPr>
        <w:t>365,488</w:t>
      </w:r>
      <w:r>
        <w:rPr>
          <w:spacing w:val="-16"/>
          <w:w w:val="110"/>
        </w:rPr>
        <w:t> </w:t>
      </w:r>
      <w:r>
        <w:rPr>
          <w:w w:val="110"/>
        </w:rPr>
        <w:t>decoded</w:t>
      </w:r>
      <w:r>
        <w:rPr>
          <w:spacing w:val="-17"/>
          <w:w w:val="110"/>
        </w:rPr>
        <w:t> </w:t>
      </w:r>
      <w:r>
        <w:rPr>
          <w:rFonts w:ascii="Calibri" w:hAnsi="Calibri"/>
          <w:w w:val="110"/>
        </w:rPr>
        <w:t>PositionDecrease</w:t>
      </w:r>
      <w:r>
        <w:rPr>
          <w:rFonts w:ascii="Calibri" w:hAnsi="Calibri"/>
          <w:spacing w:val="-15"/>
          <w:w w:val="110"/>
        </w:rPr>
        <w:t> </w:t>
      </w:r>
      <w:r>
        <w:rPr>
          <w:w w:val="110"/>
        </w:rPr>
        <w:t>events</w:t>
      </w:r>
      <w:r>
        <w:rPr>
          <w:spacing w:val="-16"/>
          <w:w w:val="110"/>
        </w:rPr>
        <w:t> </w:t>
      </w:r>
      <w:r>
        <w:rPr>
          <w:w w:val="110"/>
        </w:rPr>
        <w:t>over</w:t>
      </w:r>
      <w:r>
        <w:rPr>
          <w:spacing w:val="-17"/>
          <w:w w:val="110"/>
        </w:rPr>
        <w:t> </w:t>
      </w:r>
      <w:r>
        <w:rPr>
          <w:w w:val="110"/>
        </w:rPr>
        <w:t>the </w:t>
      </w:r>
      <w:r>
        <w:rPr/>
        <w:t>six-month</w:t>
      </w:r>
      <w:r>
        <w:rPr>
          <w:spacing w:val="-4"/>
        </w:rPr>
        <w:t> </w:t>
      </w:r>
      <w:r>
        <w:rPr/>
        <w:t>window. This</w:t>
      </w:r>
      <w:r>
        <w:rPr>
          <w:spacing w:val="-4"/>
        </w:rPr>
        <w:t> </w:t>
      </w:r>
      <w:r>
        <w:rPr/>
        <w:t>sample</w:t>
      </w:r>
      <w:r>
        <w:rPr>
          <w:spacing w:val="-3"/>
        </w:rPr>
        <w:t> </w:t>
      </w:r>
      <w:r>
        <w:rPr/>
        <w:t>is</w:t>
      </w:r>
      <w:r>
        <w:rPr>
          <w:spacing w:val="-4"/>
        </w:rPr>
        <w:t> </w:t>
      </w:r>
      <w:r>
        <w:rPr/>
        <w:t>large</w:t>
      </w:r>
      <w:r>
        <w:rPr>
          <w:spacing w:val="-4"/>
        </w:rPr>
        <w:t> </w:t>
      </w:r>
      <w:r>
        <w:rPr/>
        <w:t>enough</w:t>
      </w:r>
      <w:r>
        <w:rPr>
          <w:spacing w:val="-3"/>
        </w:rPr>
        <w:t> </w:t>
      </w:r>
      <w:r>
        <w:rPr/>
        <w:t>for</w:t>
      </w:r>
      <w:r>
        <w:rPr>
          <w:spacing w:val="-4"/>
        </w:rPr>
        <w:t> </w:t>
      </w:r>
      <w:r>
        <w:rPr/>
        <w:t>stable</w:t>
      </w:r>
      <w:r>
        <w:rPr>
          <w:spacing w:val="-3"/>
        </w:rPr>
        <w:t> </w:t>
      </w:r>
      <w:r>
        <w:rPr/>
        <w:t>Kendall</w:t>
      </w:r>
      <w:r>
        <w:rPr>
          <w:spacing w:val="-4"/>
        </w:rPr>
        <w:t> </w:t>
      </w:r>
      <w:r>
        <w:rPr>
          <w:rFonts w:ascii="Calibri" w:hAnsi="Calibri"/>
          <w:i/>
        </w:rPr>
        <w:t>τ</w:t>
      </w:r>
      <w:r>
        <w:rPr>
          <w:rFonts w:ascii="Calibri" w:hAnsi="Calibri"/>
          <w:i/>
          <w:spacing w:val="27"/>
        </w:rPr>
        <w:t> </w:t>
      </w:r>
      <w:r>
        <w:rPr/>
        <w:t>estimates</w:t>
      </w:r>
      <w:r>
        <w:rPr>
          <w:spacing w:val="-4"/>
        </w:rPr>
        <w:t> </w:t>
      </w:r>
      <w:r>
        <w:rPr/>
        <w:t>at</w:t>
      </w:r>
      <w:r>
        <w:rPr>
          <w:spacing w:val="-3"/>
        </w:rPr>
        <w:t> </w:t>
      </w:r>
      <w:r>
        <w:rPr/>
        <w:t>the</w:t>
      </w:r>
      <w:r>
        <w:rPr>
          <w:spacing w:val="-3"/>
        </w:rPr>
        <w:t> </w:t>
      </w:r>
      <w:r>
        <w:rPr/>
        <w:t>family</w:t>
      </w:r>
      <w:r>
        <w:rPr>
          <w:spacing w:val="-3"/>
        </w:rPr>
        <w:t> </w:t>
      </w:r>
      <w:r>
        <w:rPr/>
        <w:t>level, yet</w:t>
      </w:r>
      <w:r>
        <w:rPr>
          <w:spacing w:val="-17"/>
        </w:rPr>
        <w:t> </w:t>
      </w:r>
      <w:r>
        <w:rPr/>
        <w:t>small</w:t>
      </w:r>
      <w:r>
        <w:rPr>
          <w:spacing w:val="-17"/>
        </w:rPr>
        <w:t> </w:t>
      </w:r>
      <w:r>
        <w:rPr/>
        <w:t>enough</w:t>
      </w:r>
      <w:r>
        <w:rPr>
          <w:spacing w:val="-16"/>
        </w:rPr>
        <w:t> </w:t>
      </w:r>
      <w:r>
        <w:rPr/>
        <w:t>that</w:t>
      </w:r>
      <w:r>
        <w:rPr>
          <w:spacing w:val="-17"/>
        </w:rPr>
        <w:t> </w:t>
      </w:r>
      <w:r>
        <w:rPr/>
        <w:t>full</w:t>
      </w:r>
      <w:r>
        <w:rPr>
          <w:spacing w:val="-16"/>
        </w:rPr>
        <w:t> </w:t>
      </w:r>
      <w:r>
        <w:rPr/>
        <w:t>PageRank</w:t>
      </w:r>
      <w:r>
        <w:rPr>
          <w:spacing w:val="-17"/>
        </w:rPr>
        <w:t> </w:t>
      </w:r>
      <w:r>
        <w:rPr/>
        <w:t>solves</w:t>
      </w:r>
      <w:r>
        <w:rPr>
          <w:spacing w:val="-17"/>
        </w:rPr>
        <w:t> </w:t>
      </w:r>
      <w:r>
        <w:rPr/>
        <w:t>remain</w:t>
      </w:r>
      <w:r>
        <w:rPr>
          <w:spacing w:val="-16"/>
        </w:rPr>
        <w:t> </w:t>
      </w:r>
      <w:r>
        <w:rPr/>
        <w:t>interactive</w:t>
      </w:r>
      <w:r>
        <w:rPr>
          <w:spacing w:val="-17"/>
        </w:rPr>
        <w:t> </w:t>
      </w:r>
      <w:r>
        <w:rPr/>
        <w:t>on</w:t>
      </w:r>
      <w:r>
        <w:rPr>
          <w:spacing w:val="-16"/>
        </w:rPr>
        <w:t> </w:t>
      </w:r>
      <w:r>
        <w:rPr/>
        <w:t>commodity</w:t>
      </w:r>
      <w:r>
        <w:rPr>
          <w:spacing w:val="-17"/>
        </w:rPr>
        <w:t> </w:t>
      </w:r>
      <w:r>
        <w:rPr/>
        <w:t>hardware—a</w:t>
      </w:r>
      <w:r>
        <w:rPr>
          <w:spacing w:val="-17"/>
        </w:rPr>
        <w:t> </w:t>
      </w:r>
      <w:r>
        <w:rPr/>
        <w:t>practical</w:t>
      </w:r>
    </w:p>
    <w:p>
      <w:pPr>
        <w:pStyle w:val="BodyText"/>
        <w:spacing w:line="388" w:lineRule="auto" w:before="126"/>
        <w:ind w:left="282" w:right="525"/>
        <w:jc w:val="both"/>
      </w:pPr>
      <w:r>
        <w:rPr>
          <w:i/>
        </w:rPr>
        <w:t>모든 지갑에 대해 거래 성공 및 역위험 프록시가 정의되어 일회성 거래자에 대한 정의되지 않은 요율과 불안정한 계산 통계를 방지합니다. 평판 하위 그래프 연결 필터는 EndorseRank 및 AWP 모두 퇴화되지 않은 점수를 생성하도록 보장합니다. 즉, 승인 가장자리와 전송 가장자리가 없는 지갑은 사회적 방법으로 의미 있는 순위를 매길 수 없습니다. 교차점은 6개월 동안 n = 5,521개의 지갑과 365,488개의 디코딩된 PositionDecrease 이벤트를 생성합니다. 이 샘플은 제품군 수준에서 안정적인 Kendall τ 추정을 수행할 수 있을 만큼 크지만 전체 PageRank 해결이 상용 하드웨어에서 대화형으로 유지될 만큼 충분히 작습니다.</w:t>
      </w:r>
    </w:p>
    <w:p>
      <w:pPr>
        <w:pStyle w:val="BodyText"/>
        <w:spacing w:after="0" w:line="388" w:lineRule="auto"/>
        <w:jc w:val="both"/>
        <w:sectPr>
          <w:pgSz w:w="11910" w:h="16840"/>
          <w:pgMar w:header="0" w:footer="2115" w:top="1840" w:bottom="2300" w:left="992" w:right="708"/>
        </w:sectPr>
      </w:pPr>
    </w:p>
    <w:p>
      <w:pPr>
        <w:pStyle w:val="BodyText"/>
        <w:spacing w:before="72"/>
        <w:ind w:left="282"/>
        <w:jc w:val="both"/>
      </w:pPr>
      <w:r>
        <w:rPr/>
        <w:t>advantage</w:t>
      </w:r>
      <w:r>
        <w:rPr>
          <w:spacing w:val="-9"/>
        </w:rPr>
        <w:t> </w:t>
      </w:r>
      <w:r>
        <w:rPr/>
        <w:t>when</w:t>
      </w:r>
      <w:r>
        <w:rPr>
          <w:spacing w:val="-8"/>
        </w:rPr>
        <w:t> </w:t>
      </w:r>
      <w:r>
        <w:rPr/>
        <w:t>iterating</w:t>
      </w:r>
      <w:r>
        <w:rPr>
          <w:spacing w:val="-8"/>
        </w:rPr>
        <w:t> </w:t>
      </w:r>
      <w:r>
        <w:rPr/>
        <w:t>on</w:t>
      </w:r>
      <w:r>
        <w:rPr>
          <w:spacing w:val="-8"/>
        </w:rPr>
        <w:t> </w:t>
      </w:r>
      <w:r>
        <w:rPr/>
        <w:t>evaluation</w:t>
      </w:r>
      <w:r>
        <w:rPr>
          <w:spacing w:val="-8"/>
        </w:rPr>
        <w:t> </w:t>
      </w:r>
      <w:r>
        <w:rPr>
          <w:spacing w:val="-2"/>
        </w:rPr>
        <w:t>design.</w:t>
      </w:r>
    </w:p>
    <w:p>
      <w:pPr>
        <w:pStyle w:val="BodyText"/>
        <w:spacing w:before="72"/>
        <w:ind w:left="282"/>
        <w:jc w:val="both"/>
      </w:pPr>
      <w:r>
        <w:rPr>
          <w:i/>
        </w:rPr>
        <w:t>평가 설계를 반복할 때 이점이 있습니다.</w:t>
      </w:r>
    </w:p>
    <w:p>
      <w:pPr>
        <w:pStyle w:val="BodyText"/>
        <w:spacing w:line="396" w:lineRule="auto" w:before="194"/>
        <w:ind w:left="273" w:right="563" w:firstLine="1"/>
        <w:jc w:val="both"/>
      </w:pPr>
      <w:r>
        <w:rPr/>
        <w:t>The observation window (2025-12-01 – 2026-05-31) is long enough to capture multiple market regimes within a single perpetual-futures venue, but short enough that latest-allowance snapshots remain contemporaneous with transfer histories used by AWP. Longer windows would increase AWP’s historical edge accumulation and could further widen the runtime gap; shorter windows would</w:t>
      </w:r>
      <w:r>
        <w:rPr>
          <w:spacing w:val="-9"/>
        </w:rPr>
        <w:t> </w:t>
      </w:r>
      <w:r>
        <w:rPr/>
        <w:t>reduce</w:t>
      </w:r>
      <w:r>
        <w:rPr>
          <w:spacing w:val="-9"/>
        </w:rPr>
        <w:t> </w:t>
      </w:r>
      <w:r>
        <w:rPr/>
        <w:t>proxy</w:t>
      </w:r>
      <w:r>
        <w:rPr>
          <w:spacing w:val="-9"/>
        </w:rPr>
        <w:t> </w:t>
      </w:r>
      <w:r>
        <w:rPr/>
        <w:t>stability</w:t>
      </w:r>
      <w:r>
        <w:rPr>
          <w:spacing w:val="-9"/>
        </w:rPr>
        <w:t> </w:t>
      </w:r>
      <w:r>
        <w:rPr/>
        <w:t>for</w:t>
      </w:r>
      <w:r>
        <w:rPr>
          <w:spacing w:val="-9"/>
        </w:rPr>
        <w:t> </w:t>
      </w:r>
      <w:r>
        <w:rPr/>
        <w:t>tenure</w:t>
      </w:r>
      <w:r>
        <w:rPr>
          <w:spacing w:val="-9"/>
        </w:rPr>
        <w:t> </w:t>
      </w:r>
      <w:r>
        <w:rPr/>
        <w:t>and</w:t>
      </w:r>
      <w:r>
        <w:rPr>
          <w:spacing w:val="-9"/>
        </w:rPr>
        <w:t> </w:t>
      </w:r>
      <w:r>
        <w:rPr/>
        <w:t>active-month</w:t>
      </w:r>
      <w:r>
        <w:rPr>
          <w:spacing w:val="-9"/>
        </w:rPr>
        <w:t> </w:t>
      </w:r>
      <w:r>
        <w:rPr/>
        <w:t>measures.</w:t>
      </w:r>
      <w:r>
        <w:rPr>
          <w:spacing w:val="11"/>
        </w:rPr>
        <w:t> </w:t>
      </w:r>
      <w:r>
        <w:rPr/>
        <w:t>The</w:t>
      </w:r>
      <w:r>
        <w:rPr>
          <w:spacing w:val="-9"/>
        </w:rPr>
        <w:t> </w:t>
      </w:r>
      <w:r>
        <w:rPr/>
        <w:t>chosen</w:t>
      </w:r>
      <w:r>
        <w:rPr>
          <w:spacing w:val="-9"/>
        </w:rPr>
        <w:t> </w:t>
      </w:r>
      <w:r>
        <w:rPr/>
        <w:t>window</w:t>
      </w:r>
      <w:r>
        <w:rPr>
          <w:spacing w:val="-9"/>
        </w:rPr>
        <w:t> </w:t>
      </w:r>
      <w:r>
        <w:rPr/>
        <w:t>therefore balances recency, activity volume, and comparability between snapshot-based and history-based </w:t>
      </w:r>
      <w:bookmarkStart w:name="GMX trading activity in the matched coho" w:id="159"/>
      <w:bookmarkEnd w:id="159"/>
      <w:r>
        <w:rPr>
          <w:spacing w:val="-2"/>
        </w:rPr>
        <w:t>graphs.</w:t>
      </w:r>
    </w:p>
    <w:p>
      <w:pPr>
        <w:pStyle w:val="BodyText"/>
        <w:spacing w:line="396" w:lineRule="auto" w:before="194"/>
        <w:ind w:left="273" w:right="563" w:firstLine="1"/>
        <w:jc w:val="both"/>
      </w:pPr>
      <w:r>
        <w:rPr>
          <w:i/>
        </w:rPr>
        <w:t>관찰 창(2025-12-01 – 2026-05-31)은 단일 무기한 선물 장소 내에서 여러 시장 체제를 포착할 수 있을 만큼 충분히 길지만 최신 수당 스냅샷이 AWP에서 사용되는 이체 내역과 동시에 유지될 만큼 짧습니다. 기간이 길수록 AWP의 과거 엣지 축적이 증가하고 런타임 간격이 더욱 넓어질 수 있습니다. 기간이 짧을수록 보유 기간 및 활성 월 측정에 대한 프록시 안정성이 감소합니다. 따라서 선택한 기간은 스냅샷 기반 그래프와 기록 기반 그래프 간의 최신성, 활동량 및 비교 가능성의 균형을 유지합니다.</w:t>
      </w:r>
    </w:p>
    <w:p>
      <w:pPr>
        <w:pStyle w:val="BodyText"/>
        <w:spacing w:before="13"/>
      </w:pPr>
    </w:p>
    <w:p>
      <w:pPr>
        <w:pStyle w:val="Heading4"/>
        <w:numPr>
          <w:ilvl w:val="2"/>
          <w:numId w:val="8"/>
        </w:numPr>
        <w:tabs>
          <w:tab w:pos="879" w:val="left" w:leader="none"/>
        </w:tabs>
        <w:spacing w:line="240" w:lineRule="auto" w:before="0" w:after="0"/>
        <w:ind w:left="879" w:right="0" w:hanging="597"/>
        <w:jc w:val="left"/>
      </w:pPr>
      <w:r>
        <w:rPr/>
        <w:t>GMX</w:t>
      </w:r>
      <w:r>
        <w:rPr>
          <w:spacing w:val="-9"/>
        </w:rPr>
        <w:t> </w:t>
      </w:r>
      <w:r>
        <w:rPr/>
        <w:t>trading</w:t>
      </w:r>
      <w:r>
        <w:rPr>
          <w:spacing w:val="-8"/>
        </w:rPr>
        <w:t> </w:t>
      </w:r>
      <w:r>
        <w:rPr/>
        <w:t>activity</w:t>
      </w:r>
      <w:r>
        <w:rPr>
          <w:spacing w:val="-9"/>
        </w:rPr>
        <w:t> </w:t>
      </w:r>
      <w:r>
        <w:rPr/>
        <w:t>in</w:t>
      </w:r>
      <w:r>
        <w:rPr>
          <w:spacing w:val="-8"/>
        </w:rPr>
        <w:t> </w:t>
      </w:r>
      <w:r>
        <w:rPr/>
        <w:t>the</w:t>
      </w:r>
      <w:r>
        <w:rPr>
          <w:spacing w:val="-8"/>
        </w:rPr>
        <w:t> </w:t>
      </w:r>
      <w:r>
        <w:rPr/>
        <w:t>matched</w:t>
      </w:r>
      <w:r>
        <w:rPr>
          <w:spacing w:val="-9"/>
        </w:rPr>
        <w:t> </w:t>
      </w:r>
      <w:r>
        <w:rPr>
          <w:spacing w:val="-2"/>
        </w:rPr>
        <w:t>cohort</w:t>
      </w:r>
    </w:p>
    <w:p>
      <w:pPr>
        <w:pStyle w:val="Heading4"/>
        <w:numPr>
          <w:ilvl w:val="2"/>
          <w:numId w:val="8"/>
        </w:numPr>
        <w:tabs>
          <w:tab w:pos="879" w:val="left" w:leader="none"/>
        </w:tabs>
        <w:spacing w:line="240" w:lineRule="auto" w:before="0" w:after="0"/>
        <w:ind w:left="879" w:right="0" w:hanging="597"/>
        <w:jc w:val="left"/>
      </w:pPr>
      <w:r>
        <w:rPr>
          <w:i/>
        </w:rPr>
        <w:t>GMX 일치하는 코호트의 거래 활동</w:t>
      </w:r>
    </w:p>
    <w:p>
      <w:pPr>
        <w:pStyle w:val="BodyText"/>
        <w:spacing w:before="47"/>
        <w:rPr>
          <w:b/>
        </w:rPr>
      </w:pPr>
    </w:p>
    <w:p>
      <w:pPr>
        <w:pStyle w:val="BodyText"/>
        <w:spacing w:line="396" w:lineRule="auto"/>
        <w:ind w:left="282" w:right="523"/>
        <w:jc w:val="both"/>
      </w:pPr>
      <w:r>
        <w:rPr/>
        <w:t>Before</w:t>
      </w:r>
      <w:r>
        <w:rPr>
          <w:spacing w:val="-13"/>
        </w:rPr>
        <w:t> </w:t>
      </w:r>
      <w:r>
        <w:rPr/>
        <w:t>comparing</w:t>
      </w:r>
      <w:r>
        <w:rPr>
          <w:spacing w:val="-13"/>
        </w:rPr>
        <w:t> </w:t>
      </w:r>
      <w:r>
        <w:rPr/>
        <w:t>reputation</w:t>
      </w:r>
      <w:r>
        <w:rPr>
          <w:spacing w:val="-13"/>
        </w:rPr>
        <w:t> </w:t>
      </w:r>
      <w:r>
        <w:rPr/>
        <w:t>rankings,</w:t>
      </w:r>
      <w:r>
        <w:rPr>
          <w:spacing w:val="-11"/>
        </w:rPr>
        <w:t> </w:t>
      </w:r>
      <w:r>
        <w:rPr/>
        <w:t>it</w:t>
      </w:r>
      <w:r>
        <w:rPr>
          <w:spacing w:val="-13"/>
        </w:rPr>
        <w:t> </w:t>
      </w:r>
      <w:r>
        <w:rPr/>
        <w:t>is</w:t>
      </w:r>
      <w:r>
        <w:rPr>
          <w:spacing w:val="-13"/>
        </w:rPr>
        <w:t> </w:t>
      </w:r>
      <w:r>
        <w:rPr/>
        <w:t>useful</w:t>
      </w:r>
      <w:r>
        <w:rPr>
          <w:spacing w:val="-13"/>
        </w:rPr>
        <w:t> </w:t>
      </w:r>
      <w:r>
        <w:rPr/>
        <w:t>to</w:t>
      </w:r>
      <w:r>
        <w:rPr>
          <w:spacing w:val="-13"/>
        </w:rPr>
        <w:t> </w:t>
      </w:r>
      <w:r>
        <w:rPr/>
        <w:t>characterize</w:t>
      </w:r>
      <w:r>
        <w:rPr>
          <w:spacing w:val="-13"/>
        </w:rPr>
        <w:t> </w:t>
      </w:r>
      <w:r>
        <w:rPr/>
        <w:t>the</w:t>
      </w:r>
      <w:r>
        <w:rPr>
          <w:spacing w:val="-13"/>
        </w:rPr>
        <w:t> </w:t>
      </w:r>
      <w:r>
        <w:rPr/>
        <w:t>trading-outcome</w:t>
      </w:r>
      <w:r>
        <w:rPr>
          <w:spacing w:val="-13"/>
        </w:rPr>
        <w:t> </w:t>
      </w:r>
      <w:r>
        <w:rPr/>
        <w:t>distributions that define the inverse-risk and trading-success proxy families.</w:t>
      </w:r>
      <w:r>
        <w:rPr>
          <w:spacing w:val="40"/>
        </w:rPr>
        <w:t> </w:t>
      </w:r>
      <w:r>
        <w:rPr/>
        <w:t>Figure </w:t>
      </w:r>
      <w:hyperlink w:history="true" w:anchor="_bookmark87">
        <w:r>
          <w:rPr/>
          <w:t>4.1</w:t>
        </w:r>
      </w:hyperlink>
      <w:r>
        <w:rPr/>
        <w:t> shows the distribution of GMX close counts per wallet in the matched cohort.</w:t>
      </w:r>
      <w:r>
        <w:rPr>
          <w:spacing w:val="34"/>
        </w:rPr>
        <w:t> </w:t>
      </w:r>
      <w:r>
        <w:rPr/>
        <w:t>The minimum of three closes is enforced by</w:t>
      </w:r>
      <w:r>
        <w:rPr>
          <w:spacing w:val="-4"/>
        </w:rPr>
        <w:t> </w:t>
      </w:r>
      <w:r>
        <w:rPr/>
        <w:t>construction;</w:t>
      </w:r>
      <w:r>
        <w:rPr>
          <w:spacing w:val="-3"/>
        </w:rPr>
        <w:t> </w:t>
      </w:r>
      <w:r>
        <w:rPr/>
        <w:t>the</w:t>
      </w:r>
      <w:r>
        <w:rPr>
          <w:spacing w:val="-4"/>
        </w:rPr>
        <w:t> </w:t>
      </w:r>
      <w:r>
        <w:rPr/>
        <w:t>right</w:t>
      </w:r>
      <w:r>
        <w:rPr>
          <w:spacing w:val="-4"/>
        </w:rPr>
        <w:t> </w:t>
      </w:r>
      <w:r>
        <w:rPr/>
        <w:t>tail</w:t>
      </w:r>
      <w:r>
        <w:rPr>
          <w:spacing w:val="-4"/>
        </w:rPr>
        <w:t> </w:t>
      </w:r>
      <w:r>
        <w:rPr/>
        <w:t>indicates</w:t>
      </w:r>
      <w:r>
        <w:rPr>
          <w:spacing w:val="-4"/>
        </w:rPr>
        <w:t> </w:t>
      </w:r>
      <w:r>
        <w:rPr/>
        <w:t>a</w:t>
      </w:r>
      <w:r>
        <w:rPr>
          <w:spacing w:val="-4"/>
        </w:rPr>
        <w:t> </w:t>
      </w:r>
      <w:r>
        <w:rPr/>
        <w:t>minority</w:t>
      </w:r>
      <w:r>
        <w:rPr>
          <w:spacing w:val="-4"/>
        </w:rPr>
        <w:t> </w:t>
      </w:r>
      <w:r>
        <w:rPr/>
        <w:t>of</w:t>
      </w:r>
      <w:r>
        <w:rPr>
          <w:spacing w:val="-4"/>
        </w:rPr>
        <w:t> </w:t>
      </w:r>
      <w:r>
        <w:rPr/>
        <w:t>highly</w:t>
      </w:r>
      <w:r>
        <w:rPr>
          <w:spacing w:val="-4"/>
        </w:rPr>
        <w:t> </w:t>
      </w:r>
      <w:r>
        <w:rPr/>
        <w:t>active</w:t>
      </w:r>
      <w:r>
        <w:rPr>
          <w:spacing w:val="-4"/>
        </w:rPr>
        <w:t> </w:t>
      </w:r>
      <w:r>
        <w:rPr/>
        <w:t>traders</w:t>
      </w:r>
      <w:r>
        <w:rPr>
          <w:spacing w:val="-4"/>
        </w:rPr>
        <w:t> </w:t>
      </w:r>
      <w:r>
        <w:rPr/>
        <w:t>whose</w:t>
      </w:r>
      <w:r>
        <w:rPr>
          <w:spacing w:val="-4"/>
        </w:rPr>
        <w:t> </w:t>
      </w:r>
      <w:r>
        <w:rPr/>
        <w:t>close</w:t>
      </w:r>
      <w:r>
        <w:rPr>
          <w:spacing w:val="-4"/>
        </w:rPr>
        <w:t> </w:t>
      </w:r>
      <w:r>
        <w:rPr/>
        <w:t>counts</w:t>
      </w:r>
      <w:r>
        <w:rPr>
          <w:spacing w:val="-4"/>
        </w:rPr>
        <w:t> </w:t>
      </w:r>
      <w:r>
        <w:rPr/>
        <w:t>sub-stantially exceed the cohort median.</w:t>
      </w:r>
      <w:r>
        <w:rPr>
          <w:spacing w:val="40"/>
        </w:rPr>
        <w:t> </w:t>
      </w:r>
      <w:r>
        <w:rPr/>
        <w:t>This heterogeneity matters for interpretation: proxies based on close-success </w:t>
      </w:r>
      <w:r>
        <w:rPr>
          <w:i/>
        </w:rPr>
        <w:t>counts </w:t>
      </w:r>
      <w:r>
        <w:rPr/>
        <w:t>can favor high-activity wallets, whereas rate-based proxies normalize by activity and may yield weaker rank correlations when success rates concentrate near the center of the distribution.</w:t>
      </w:r>
    </w:p>
    <w:p>
      <w:pPr>
        <w:pStyle w:val="BodyText"/>
        <w:spacing w:line="396" w:lineRule="auto"/>
        <w:ind w:left="282" w:right="523"/>
        <w:jc w:val="both"/>
      </w:pPr>
      <w:r>
        <w:rPr>
          <w:i/>
        </w:rPr>
        <w:t>평판 순위를 비교하기 전에 역위험 및 거래 성공 프록시군을 정의하는 거래 결과 분포를 특성화하는 것이 유용합니다. 그림 4.1은 일치하는 코호트에서 지갑당 GMX 마감 횟수의 분포를 보여줍니다. 최소 세 번의 마감이 구성에 의해 시행됩니다. 오른쪽 꼬리는 마감 수가 코호트 중앙값을 상당히 초과하는 소수의 활발하게 활동하는 거래자를 나타냅니다. 이러한 이질성은 해석에 중요합니다. 근접한 성공 횟수를 기반으로 하는 프록시는 활동성이 높은 지갑을 선호할 수 있는 반면, 비율 기반 프록시는 활동별로 정규화되며 성공률이 분포 중앙 근처에 집중될 때 순위 상관관계가 더 약해질 수 있습니다.</w:t>
      </w:r>
    </w:p>
    <w:p>
      <w:pPr>
        <w:pStyle w:val="BodyText"/>
        <w:spacing w:line="398" w:lineRule="auto" w:before="23"/>
        <w:ind w:left="282" w:right="521"/>
      </w:pPr>
      <w:r>
        <w:rPr/>
        <w:t>Figure </w:t>
      </w:r>
      <w:hyperlink w:history="true" w:anchor="_bookmark88">
        <w:r>
          <w:rPr/>
          <w:t>4.2</w:t>
        </w:r>
      </w:hyperlink>
      <w:r>
        <w:rPr/>
        <w:t> displays the distribution of realized profit-and-loss (PnL) summaries used to construct inverse-risk</w:t>
      </w:r>
      <w:r>
        <w:rPr>
          <w:spacing w:val="-11"/>
        </w:rPr>
        <w:t> </w:t>
      </w:r>
      <w:r>
        <w:rPr/>
        <w:t>and</w:t>
      </w:r>
      <w:r>
        <w:rPr>
          <w:spacing w:val="-11"/>
        </w:rPr>
        <w:t> </w:t>
      </w:r>
      <w:r>
        <w:rPr/>
        <w:t>trading-success</w:t>
      </w:r>
      <w:r>
        <w:rPr>
          <w:spacing w:val="-11"/>
        </w:rPr>
        <w:t> </w:t>
      </w:r>
      <w:r>
        <w:rPr/>
        <w:t>proxies.</w:t>
      </w:r>
      <w:r>
        <w:rPr>
          <w:spacing w:val="14"/>
        </w:rPr>
        <w:t> </w:t>
      </w:r>
      <w:r>
        <w:rPr/>
        <w:t>The</w:t>
      </w:r>
      <w:r>
        <w:rPr>
          <w:spacing w:val="-11"/>
        </w:rPr>
        <w:t> </w:t>
      </w:r>
      <w:r>
        <w:rPr/>
        <w:t>mass</w:t>
      </w:r>
      <w:r>
        <w:rPr>
          <w:spacing w:val="-11"/>
        </w:rPr>
        <w:t> </w:t>
      </w:r>
      <w:r>
        <w:rPr/>
        <w:t>around</w:t>
      </w:r>
      <w:r>
        <w:rPr>
          <w:spacing w:val="-11"/>
        </w:rPr>
        <w:t> </w:t>
      </w:r>
      <w:r>
        <w:rPr/>
        <w:t>zero</w:t>
      </w:r>
      <w:r>
        <w:rPr>
          <w:spacing w:val="-11"/>
        </w:rPr>
        <w:t> </w:t>
      </w:r>
      <w:r>
        <w:rPr/>
        <w:t>and</w:t>
      </w:r>
      <w:r>
        <w:rPr>
          <w:spacing w:val="-11"/>
        </w:rPr>
        <w:t> </w:t>
      </w:r>
      <w:r>
        <w:rPr/>
        <w:t>the</w:t>
      </w:r>
      <w:r>
        <w:rPr>
          <w:spacing w:val="-11"/>
        </w:rPr>
        <w:t> </w:t>
      </w:r>
      <w:r>
        <w:rPr/>
        <w:t>presence</w:t>
      </w:r>
      <w:r>
        <w:rPr>
          <w:spacing w:val="-11"/>
        </w:rPr>
        <w:t> </w:t>
      </w:r>
      <w:r>
        <w:rPr/>
        <w:t>of</w:t>
      </w:r>
      <w:r>
        <w:rPr>
          <w:spacing w:val="-11"/>
        </w:rPr>
        <w:t> </w:t>
      </w:r>
      <w:r>
        <w:rPr/>
        <w:t>both</w:t>
      </w:r>
      <w:r>
        <w:rPr>
          <w:spacing w:val="-11"/>
        </w:rPr>
        <w:t> </w:t>
      </w:r>
      <w:r>
        <w:rPr/>
        <w:t>profitable and loss-making tails indicate that the cohort is not dominated by uniformly successful traders.</w:t>
      </w:r>
      <w:r>
        <w:rPr>
          <w:spacing w:val="80"/>
        </w:rPr>
        <w:t> </w:t>
      </w:r>
      <w:r>
        <w:rPr/>
        <w:t>Social reputation methods that align only weakly with PnL-derived proxies are therefore not nec-essarily</w:t>
      </w:r>
      <w:r>
        <w:rPr>
          <w:spacing w:val="27"/>
        </w:rPr>
        <w:t> </w:t>
      </w:r>
      <w:r>
        <w:rPr/>
        <w:t>failing</w:t>
      </w:r>
      <w:r>
        <w:rPr>
          <w:spacing w:val="27"/>
        </w:rPr>
        <w:t> </w:t>
      </w:r>
      <w:r>
        <w:rPr/>
        <w:t>a</w:t>
      </w:r>
      <w:r>
        <w:rPr>
          <w:spacing w:val="27"/>
        </w:rPr>
        <w:t> </w:t>
      </w:r>
      <w:r>
        <w:rPr/>
        <w:t>validation</w:t>
      </w:r>
      <w:r>
        <w:rPr>
          <w:spacing w:val="27"/>
        </w:rPr>
        <w:t> </w:t>
      </w:r>
      <w:r>
        <w:rPr/>
        <w:t>test;</w:t>
      </w:r>
      <w:r>
        <w:rPr>
          <w:spacing w:val="40"/>
        </w:rPr>
        <w:t> </w:t>
      </w:r>
      <w:r>
        <w:rPr/>
        <w:t>they</w:t>
      </w:r>
      <w:r>
        <w:rPr>
          <w:spacing w:val="27"/>
        </w:rPr>
        <w:t> </w:t>
      </w:r>
      <w:r>
        <w:rPr/>
        <w:t>may</w:t>
      </w:r>
      <w:r>
        <w:rPr>
          <w:spacing w:val="27"/>
        </w:rPr>
        <w:t> </w:t>
      </w:r>
      <w:r>
        <w:rPr/>
        <w:t>be</w:t>
      </w:r>
      <w:r>
        <w:rPr>
          <w:spacing w:val="27"/>
        </w:rPr>
        <w:t> </w:t>
      </w:r>
      <w:r>
        <w:rPr/>
        <w:t>measuring</w:t>
      </w:r>
      <w:r>
        <w:rPr>
          <w:spacing w:val="27"/>
        </w:rPr>
        <w:t> </w:t>
      </w:r>
      <w:r>
        <w:rPr/>
        <w:t>a</w:t>
      </w:r>
      <w:r>
        <w:rPr>
          <w:spacing w:val="27"/>
        </w:rPr>
        <w:t> </w:t>
      </w:r>
      <w:r>
        <w:rPr/>
        <w:t>construct—authorization</w:t>
      </w:r>
      <w:r>
        <w:rPr>
          <w:spacing w:val="27"/>
        </w:rPr>
        <w:t> </w:t>
      </w:r>
      <w:r>
        <w:rPr/>
        <w:t>or</w:t>
      </w:r>
      <w:r>
        <w:rPr>
          <w:spacing w:val="27"/>
        </w:rPr>
        <w:t> </w:t>
      </w:r>
      <w:r>
        <w:rPr/>
        <w:t>transfer centrality—that is only partially related to leveraged trading outcomes over a six-month window. Figure </w:t>
      </w:r>
      <w:hyperlink w:history="true" w:anchor="_bookmark89">
        <w:r>
          <w:rPr/>
          <w:t>4.3</w:t>
        </w:r>
      </w:hyperlink>
      <w:r>
        <w:rPr/>
        <w:t> shows close success rates.</w:t>
      </w:r>
      <w:r>
        <w:rPr>
          <w:spacing w:val="80"/>
        </w:rPr>
        <w:t> </w:t>
      </w:r>
      <w:r>
        <w:rPr/>
        <w:t>Relative to count-based proxies,</w:t>
      </w:r>
      <w:r>
        <w:rPr>
          <w:spacing w:val="33"/>
        </w:rPr>
        <w:t> </w:t>
      </w:r>
      <w:r>
        <w:rPr/>
        <w:t>success rates compress</w:t>
      </w:r>
      <w:r>
        <w:rPr>
          <w:spacing w:val="40"/>
        </w:rPr>
        <w:t> </w:t>
      </w:r>
      <w:r>
        <w:rPr/>
        <w:t>much of the activity-driven variation and concentrate mass in a narrower band.</w:t>
      </w:r>
      <w:r>
        <w:rPr>
          <w:spacing w:val="40"/>
        </w:rPr>
        <w:t> </w:t>
      </w:r>
      <w:r>
        <w:rPr/>
        <w:t>Weak alignment of social methods with success-rate proxies (Section </w:t>
      </w:r>
      <w:hyperlink w:history="true" w:anchor="_bookmark103">
        <w:r>
          <w:rPr/>
          <w:t>4.5</w:t>
        </w:r>
      </w:hyperlink>
      <w:r>
        <w:rPr/>
        <w:t>) should be read in this light:</w:t>
      </w:r>
      <w:r>
        <w:rPr>
          <w:spacing w:val="25"/>
        </w:rPr>
        <w:t> </w:t>
      </w:r>
      <w:r>
        <w:rPr/>
        <w:t>when many</w:t>
      </w:r>
    </w:p>
    <w:p>
      <w:pPr>
        <w:pStyle w:val="BodyText"/>
        <w:spacing w:line="398" w:lineRule="auto" w:before="23"/>
        <w:ind w:left="282" w:right="521"/>
      </w:pPr>
      <w:r>
        <w:rPr>
          <w:i/>
        </w:rPr>
        <w:t>그림 4.2는 역위험 및 거래 성공 프록시를 구성하는 데 사용된 실현 손익(PnL) 요약 분포를 보여줍니다. 0에 가까운 질량과 수익성이 있는 꼬리와 손실이 나는 꼬리의 존재는 코호트가 균일하게 성공적인 트레이더에 의해 지배되지 않음을 나타냅니다. 따라서 PnL 파생 프록시와 약하게 일치하는 사회적 평판 방법은 반드시 검증 테스트에 실패하는 것이 아니며, 6개월 동안의 레버리지 거래 결과와 부분적으로만 관련된 구성(승인 또는 전송 중심성)을 측정할 수 있습니다. 그림 4.3은 가까운 성공률을 보여줍니다. 개수 기반 프록시와 비교하여 성공률은 활동 기반 변형의 대부분을 압축하고 더 좁은 범위에 질량을 집중시킵니다. 성공률 프록시(섹션 4.5)와 사회적 방법의 약한 정렬은 다음과 같은 관점에서 읽어야 합니다.</w:t>
      </w:r>
    </w:p>
    <w:p>
      <w:pPr>
        <w:pStyle w:val="BodyText"/>
        <w:spacing w:after="0" w:line="398" w:lineRule="auto"/>
        <w:sectPr>
          <w:pgSz w:w="11910" w:h="16840"/>
          <w:pgMar w:header="0" w:footer="2115" w:top="1840" w:bottom="2300" w:left="992" w:right="708"/>
        </w:sect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87"/>
        <w:rPr>
          <w:sz w:val="23"/>
        </w:rPr>
      </w:pPr>
    </w:p>
    <w:p>
      <w:pPr>
        <w:spacing w:before="0"/>
        <w:ind w:left="1257"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68576">
                <wp:simplePos x="0" y="0"/>
                <wp:positionH relativeFrom="page">
                  <wp:posOffset>1847993</wp:posOffset>
                </wp:positionH>
                <wp:positionV relativeFrom="paragraph">
                  <wp:posOffset>-59919</wp:posOffset>
                </wp:positionV>
                <wp:extent cx="4507865" cy="295148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4507865" cy="2951480"/>
                          <a:chExt cx="4507865" cy="2951480"/>
                        </a:xfrm>
                      </wpg:grpSpPr>
                      <wps:wsp>
                        <wps:cNvPr id="238" name="Graphic 238"/>
                        <wps:cNvSpPr/>
                        <wps:spPr>
                          <a:xfrm>
                            <a:off x="253068" y="143641"/>
                            <a:ext cx="202565" cy="2757170"/>
                          </a:xfrm>
                          <a:custGeom>
                            <a:avLst/>
                            <a:gdLst/>
                            <a:ahLst/>
                            <a:cxnLst/>
                            <a:rect l="l" t="t" r="r" b="b"/>
                            <a:pathLst>
                              <a:path w="202565" h="2757170">
                                <a:moveTo>
                                  <a:pt x="202311" y="2222830"/>
                                </a:moveTo>
                                <a:lnTo>
                                  <a:pt x="101155" y="2222830"/>
                                </a:lnTo>
                                <a:lnTo>
                                  <a:pt x="101155" y="0"/>
                                </a:lnTo>
                                <a:lnTo>
                                  <a:pt x="0" y="0"/>
                                </a:lnTo>
                                <a:lnTo>
                                  <a:pt x="0" y="2756662"/>
                                </a:lnTo>
                                <a:lnTo>
                                  <a:pt x="101155" y="2756662"/>
                                </a:lnTo>
                                <a:lnTo>
                                  <a:pt x="202311" y="2756662"/>
                                </a:lnTo>
                                <a:lnTo>
                                  <a:pt x="202311" y="2222830"/>
                                </a:lnTo>
                                <a:close/>
                              </a:path>
                            </a:pathLst>
                          </a:custGeom>
                          <a:solidFill>
                            <a:srgbClr val="2B5E8A"/>
                          </a:solidFill>
                        </wps:spPr>
                        <wps:bodyPr wrap="square" lIns="0" tIns="0" rIns="0" bIns="0" rtlCol="0">
                          <a:prstTxWarp prst="textNoShape">
                            <a:avLst/>
                          </a:prstTxWarp>
                          <a:noAutofit/>
                        </wps:bodyPr>
                      </wps:wsp>
                      <wps:wsp>
                        <wps:cNvPr id="239" name="Graphic 239"/>
                        <wps:cNvSpPr/>
                        <wps:spPr>
                          <a:xfrm>
                            <a:off x="354226" y="2366470"/>
                            <a:ext cx="101600" cy="534035"/>
                          </a:xfrm>
                          <a:custGeom>
                            <a:avLst/>
                            <a:gdLst/>
                            <a:ahLst/>
                            <a:cxnLst/>
                            <a:rect l="l" t="t" r="r" b="b"/>
                            <a:pathLst>
                              <a:path w="101600" h="534035">
                                <a:moveTo>
                                  <a:pt x="0" y="533824"/>
                                </a:moveTo>
                                <a:lnTo>
                                  <a:pt x="101155" y="533824"/>
                                </a:lnTo>
                                <a:lnTo>
                                  <a:pt x="101155" y="0"/>
                                </a:lnTo>
                                <a:lnTo>
                                  <a:pt x="0" y="0"/>
                                </a:lnTo>
                                <a:lnTo>
                                  <a:pt x="0" y="533824"/>
                                </a:lnTo>
                                <a:close/>
                              </a:path>
                            </a:pathLst>
                          </a:custGeom>
                          <a:ln w="5801">
                            <a:solidFill>
                              <a:srgbClr val="FFFFFF"/>
                            </a:solidFill>
                            <a:prstDash val="solid"/>
                          </a:ln>
                        </wps:spPr>
                        <wps:bodyPr wrap="square" lIns="0" tIns="0" rIns="0" bIns="0" rtlCol="0">
                          <a:prstTxWarp prst="textNoShape">
                            <a:avLst/>
                          </a:prstTxWarp>
                          <a:noAutofit/>
                        </wps:bodyPr>
                      </wps:wsp>
                      <wps:wsp>
                        <wps:cNvPr id="240" name="Graphic 240"/>
                        <wps:cNvSpPr/>
                        <wps:spPr>
                          <a:xfrm>
                            <a:off x="455382" y="2649405"/>
                            <a:ext cx="101600" cy="251460"/>
                          </a:xfrm>
                          <a:custGeom>
                            <a:avLst/>
                            <a:gdLst/>
                            <a:ahLst/>
                            <a:cxnLst/>
                            <a:rect l="l" t="t" r="r" b="b"/>
                            <a:pathLst>
                              <a:path w="101600" h="251460">
                                <a:moveTo>
                                  <a:pt x="101155" y="0"/>
                                </a:moveTo>
                                <a:lnTo>
                                  <a:pt x="0" y="0"/>
                                </a:lnTo>
                                <a:lnTo>
                                  <a:pt x="0" y="250889"/>
                                </a:lnTo>
                                <a:lnTo>
                                  <a:pt x="101155" y="250889"/>
                                </a:lnTo>
                                <a:lnTo>
                                  <a:pt x="101155" y="0"/>
                                </a:lnTo>
                                <a:close/>
                              </a:path>
                            </a:pathLst>
                          </a:custGeom>
                          <a:solidFill>
                            <a:srgbClr val="2B5E8A"/>
                          </a:solidFill>
                        </wps:spPr>
                        <wps:bodyPr wrap="square" lIns="0" tIns="0" rIns="0" bIns="0" rtlCol="0">
                          <a:prstTxWarp prst="textNoShape">
                            <a:avLst/>
                          </a:prstTxWarp>
                          <a:noAutofit/>
                        </wps:bodyPr>
                      </wps:wsp>
                      <wps:wsp>
                        <wps:cNvPr id="241" name="Graphic 241"/>
                        <wps:cNvSpPr/>
                        <wps:spPr>
                          <a:xfrm>
                            <a:off x="455382" y="2649405"/>
                            <a:ext cx="101600" cy="251460"/>
                          </a:xfrm>
                          <a:custGeom>
                            <a:avLst/>
                            <a:gdLst/>
                            <a:ahLst/>
                            <a:cxnLst/>
                            <a:rect l="l" t="t" r="r" b="b"/>
                            <a:pathLst>
                              <a:path w="101600" h="251460">
                                <a:moveTo>
                                  <a:pt x="0" y="250889"/>
                                </a:moveTo>
                                <a:lnTo>
                                  <a:pt x="101155" y="250889"/>
                                </a:lnTo>
                                <a:lnTo>
                                  <a:pt x="101155" y="0"/>
                                </a:lnTo>
                                <a:lnTo>
                                  <a:pt x="0" y="0"/>
                                </a:lnTo>
                                <a:lnTo>
                                  <a:pt x="0" y="250889"/>
                                </a:lnTo>
                                <a:close/>
                              </a:path>
                            </a:pathLst>
                          </a:custGeom>
                          <a:ln w="5801">
                            <a:solidFill>
                              <a:srgbClr val="FFFFFF"/>
                            </a:solidFill>
                            <a:prstDash val="solid"/>
                          </a:ln>
                        </wps:spPr>
                        <wps:bodyPr wrap="square" lIns="0" tIns="0" rIns="0" bIns="0" rtlCol="0">
                          <a:prstTxWarp prst="textNoShape">
                            <a:avLst/>
                          </a:prstTxWarp>
                          <a:noAutofit/>
                        </wps:bodyPr>
                      </wps:wsp>
                      <wps:wsp>
                        <wps:cNvPr id="242" name="Graphic 242"/>
                        <wps:cNvSpPr/>
                        <wps:spPr>
                          <a:xfrm>
                            <a:off x="556538" y="2739288"/>
                            <a:ext cx="101600" cy="161290"/>
                          </a:xfrm>
                          <a:custGeom>
                            <a:avLst/>
                            <a:gdLst/>
                            <a:ahLst/>
                            <a:cxnLst/>
                            <a:rect l="l" t="t" r="r" b="b"/>
                            <a:pathLst>
                              <a:path w="101600" h="161290">
                                <a:moveTo>
                                  <a:pt x="101155" y="0"/>
                                </a:moveTo>
                                <a:lnTo>
                                  <a:pt x="0" y="0"/>
                                </a:lnTo>
                                <a:lnTo>
                                  <a:pt x="0" y="161007"/>
                                </a:lnTo>
                                <a:lnTo>
                                  <a:pt x="101155" y="161007"/>
                                </a:lnTo>
                                <a:lnTo>
                                  <a:pt x="101155" y="0"/>
                                </a:lnTo>
                                <a:close/>
                              </a:path>
                            </a:pathLst>
                          </a:custGeom>
                          <a:solidFill>
                            <a:srgbClr val="2B5E8A"/>
                          </a:solidFill>
                        </wps:spPr>
                        <wps:bodyPr wrap="square" lIns="0" tIns="0" rIns="0" bIns="0" rtlCol="0">
                          <a:prstTxWarp prst="textNoShape">
                            <a:avLst/>
                          </a:prstTxWarp>
                          <a:noAutofit/>
                        </wps:bodyPr>
                      </wps:wsp>
                      <wps:wsp>
                        <wps:cNvPr id="243" name="Graphic 243"/>
                        <wps:cNvSpPr/>
                        <wps:spPr>
                          <a:xfrm>
                            <a:off x="556538" y="2739288"/>
                            <a:ext cx="101600" cy="161290"/>
                          </a:xfrm>
                          <a:custGeom>
                            <a:avLst/>
                            <a:gdLst/>
                            <a:ahLst/>
                            <a:cxnLst/>
                            <a:rect l="l" t="t" r="r" b="b"/>
                            <a:pathLst>
                              <a:path w="101600" h="161290">
                                <a:moveTo>
                                  <a:pt x="0" y="161007"/>
                                </a:moveTo>
                                <a:lnTo>
                                  <a:pt x="101155" y="161007"/>
                                </a:lnTo>
                                <a:lnTo>
                                  <a:pt x="101155" y="0"/>
                                </a:lnTo>
                                <a:lnTo>
                                  <a:pt x="0" y="0"/>
                                </a:lnTo>
                                <a:lnTo>
                                  <a:pt x="0" y="161007"/>
                                </a:lnTo>
                                <a:close/>
                              </a:path>
                            </a:pathLst>
                          </a:custGeom>
                          <a:ln w="5801">
                            <a:solidFill>
                              <a:srgbClr val="FFFFFF"/>
                            </a:solidFill>
                            <a:prstDash val="solid"/>
                          </a:ln>
                        </wps:spPr>
                        <wps:bodyPr wrap="square" lIns="0" tIns="0" rIns="0" bIns="0" rtlCol="0">
                          <a:prstTxWarp prst="textNoShape">
                            <a:avLst/>
                          </a:prstTxWarp>
                          <a:noAutofit/>
                        </wps:bodyPr>
                      </wps:wsp>
                      <wps:wsp>
                        <wps:cNvPr id="244" name="Graphic 244"/>
                        <wps:cNvSpPr/>
                        <wps:spPr>
                          <a:xfrm>
                            <a:off x="657694" y="2777586"/>
                            <a:ext cx="101600" cy="123189"/>
                          </a:xfrm>
                          <a:custGeom>
                            <a:avLst/>
                            <a:gdLst/>
                            <a:ahLst/>
                            <a:cxnLst/>
                            <a:rect l="l" t="t" r="r" b="b"/>
                            <a:pathLst>
                              <a:path w="101600" h="123189">
                                <a:moveTo>
                                  <a:pt x="101155" y="0"/>
                                </a:moveTo>
                                <a:lnTo>
                                  <a:pt x="0" y="0"/>
                                </a:lnTo>
                                <a:lnTo>
                                  <a:pt x="0" y="122709"/>
                                </a:lnTo>
                                <a:lnTo>
                                  <a:pt x="101155" y="122709"/>
                                </a:lnTo>
                                <a:lnTo>
                                  <a:pt x="101155" y="0"/>
                                </a:lnTo>
                                <a:close/>
                              </a:path>
                            </a:pathLst>
                          </a:custGeom>
                          <a:solidFill>
                            <a:srgbClr val="2B5E8A"/>
                          </a:solidFill>
                        </wps:spPr>
                        <wps:bodyPr wrap="square" lIns="0" tIns="0" rIns="0" bIns="0" rtlCol="0">
                          <a:prstTxWarp prst="textNoShape">
                            <a:avLst/>
                          </a:prstTxWarp>
                          <a:noAutofit/>
                        </wps:bodyPr>
                      </wps:wsp>
                      <wps:wsp>
                        <wps:cNvPr id="245" name="Graphic 245"/>
                        <wps:cNvSpPr/>
                        <wps:spPr>
                          <a:xfrm>
                            <a:off x="657694" y="2777586"/>
                            <a:ext cx="101600" cy="123189"/>
                          </a:xfrm>
                          <a:custGeom>
                            <a:avLst/>
                            <a:gdLst/>
                            <a:ahLst/>
                            <a:cxnLst/>
                            <a:rect l="l" t="t" r="r" b="b"/>
                            <a:pathLst>
                              <a:path w="101600" h="123189">
                                <a:moveTo>
                                  <a:pt x="0" y="122709"/>
                                </a:moveTo>
                                <a:lnTo>
                                  <a:pt x="101155" y="122709"/>
                                </a:lnTo>
                                <a:lnTo>
                                  <a:pt x="101155" y="0"/>
                                </a:lnTo>
                                <a:lnTo>
                                  <a:pt x="0" y="0"/>
                                </a:lnTo>
                                <a:lnTo>
                                  <a:pt x="0" y="122709"/>
                                </a:lnTo>
                                <a:close/>
                              </a:path>
                            </a:pathLst>
                          </a:custGeom>
                          <a:ln w="5801">
                            <a:solidFill>
                              <a:srgbClr val="FFFFFF"/>
                            </a:solidFill>
                            <a:prstDash val="solid"/>
                          </a:ln>
                        </wps:spPr>
                        <wps:bodyPr wrap="square" lIns="0" tIns="0" rIns="0" bIns="0" rtlCol="0">
                          <a:prstTxWarp prst="textNoShape">
                            <a:avLst/>
                          </a:prstTxWarp>
                          <a:noAutofit/>
                        </wps:bodyPr>
                      </wps:wsp>
                      <wps:wsp>
                        <wps:cNvPr id="246" name="Graphic 246"/>
                        <wps:cNvSpPr/>
                        <wps:spPr>
                          <a:xfrm>
                            <a:off x="758850" y="2816665"/>
                            <a:ext cx="101600" cy="83820"/>
                          </a:xfrm>
                          <a:custGeom>
                            <a:avLst/>
                            <a:gdLst/>
                            <a:ahLst/>
                            <a:cxnLst/>
                            <a:rect l="l" t="t" r="r" b="b"/>
                            <a:pathLst>
                              <a:path w="101600" h="83820">
                                <a:moveTo>
                                  <a:pt x="101155" y="0"/>
                                </a:moveTo>
                                <a:lnTo>
                                  <a:pt x="0" y="0"/>
                                </a:lnTo>
                                <a:lnTo>
                                  <a:pt x="0" y="83629"/>
                                </a:lnTo>
                                <a:lnTo>
                                  <a:pt x="101155" y="83629"/>
                                </a:lnTo>
                                <a:lnTo>
                                  <a:pt x="101155" y="0"/>
                                </a:lnTo>
                                <a:close/>
                              </a:path>
                            </a:pathLst>
                          </a:custGeom>
                          <a:solidFill>
                            <a:srgbClr val="2B5E8A"/>
                          </a:solidFill>
                        </wps:spPr>
                        <wps:bodyPr wrap="square" lIns="0" tIns="0" rIns="0" bIns="0" rtlCol="0">
                          <a:prstTxWarp prst="textNoShape">
                            <a:avLst/>
                          </a:prstTxWarp>
                          <a:noAutofit/>
                        </wps:bodyPr>
                      </wps:wsp>
                      <wps:wsp>
                        <wps:cNvPr id="247" name="Graphic 247"/>
                        <wps:cNvSpPr/>
                        <wps:spPr>
                          <a:xfrm>
                            <a:off x="758850" y="2816665"/>
                            <a:ext cx="101600" cy="83820"/>
                          </a:xfrm>
                          <a:custGeom>
                            <a:avLst/>
                            <a:gdLst/>
                            <a:ahLst/>
                            <a:cxnLst/>
                            <a:rect l="l" t="t" r="r" b="b"/>
                            <a:pathLst>
                              <a:path w="101600" h="83820">
                                <a:moveTo>
                                  <a:pt x="0" y="83629"/>
                                </a:moveTo>
                                <a:lnTo>
                                  <a:pt x="101155" y="83629"/>
                                </a:lnTo>
                                <a:lnTo>
                                  <a:pt x="101155" y="0"/>
                                </a:lnTo>
                                <a:lnTo>
                                  <a:pt x="0" y="0"/>
                                </a:lnTo>
                                <a:lnTo>
                                  <a:pt x="0" y="83629"/>
                                </a:lnTo>
                                <a:close/>
                              </a:path>
                            </a:pathLst>
                          </a:custGeom>
                          <a:ln w="5801">
                            <a:solidFill>
                              <a:srgbClr val="FFFFFF"/>
                            </a:solidFill>
                            <a:prstDash val="solid"/>
                          </a:ln>
                        </wps:spPr>
                        <wps:bodyPr wrap="square" lIns="0" tIns="0" rIns="0" bIns="0" rtlCol="0">
                          <a:prstTxWarp prst="textNoShape">
                            <a:avLst/>
                          </a:prstTxWarp>
                          <a:noAutofit/>
                        </wps:bodyPr>
                      </wps:wsp>
                      <wps:wsp>
                        <wps:cNvPr id="248" name="Graphic 248"/>
                        <wps:cNvSpPr/>
                        <wps:spPr>
                          <a:xfrm>
                            <a:off x="860006" y="2843239"/>
                            <a:ext cx="101600" cy="57150"/>
                          </a:xfrm>
                          <a:custGeom>
                            <a:avLst/>
                            <a:gdLst/>
                            <a:ahLst/>
                            <a:cxnLst/>
                            <a:rect l="l" t="t" r="r" b="b"/>
                            <a:pathLst>
                              <a:path w="101600" h="57150">
                                <a:moveTo>
                                  <a:pt x="101155" y="0"/>
                                </a:moveTo>
                                <a:lnTo>
                                  <a:pt x="0" y="0"/>
                                </a:lnTo>
                                <a:lnTo>
                                  <a:pt x="0" y="57055"/>
                                </a:lnTo>
                                <a:lnTo>
                                  <a:pt x="101155" y="57055"/>
                                </a:lnTo>
                                <a:lnTo>
                                  <a:pt x="101155" y="0"/>
                                </a:lnTo>
                                <a:close/>
                              </a:path>
                            </a:pathLst>
                          </a:custGeom>
                          <a:solidFill>
                            <a:srgbClr val="2B5E8A"/>
                          </a:solidFill>
                        </wps:spPr>
                        <wps:bodyPr wrap="square" lIns="0" tIns="0" rIns="0" bIns="0" rtlCol="0">
                          <a:prstTxWarp prst="textNoShape">
                            <a:avLst/>
                          </a:prstTxWarp>
                          <a:noAutofit/>
                        </wps:bodyPr>
                      </wps:wsp>
                      <wps:wsp>
                        <wps:cNvPr id="249" name="Graphic 249"/>
                        <wps:cNvSpPr/>
                        <wps:spPr>
                          <a:xfrm>
                            <a:off x="860006" y="2843239"/>
                            <a:ext cx="101600" cy="57150"/>
                          </a:xfrm>
                          <a:custGeom>
                            <a:avLst/>
                            <a:gdLst/>
                            <a:ahLst/>
                            <a:cxnLst/>
                            <a:rect l="l" t="t" r="r" b="b"/>
                            <a:pathLst>
                              <a:path w="101600" h="57150">
                                <a:moveTo>
                                  <a:pt x="0" y="57055"/>
                                </a:moveTo>
                                <a:lnTo>
                                  <a:pt x="101155" y="57055"/>
                                </a:lnTo>
                                <a:lnTo>
                                  <a:pt x="101155" y="0"/>
                                </a:lnTo>
                                <a:lnTo>
                                  <a:pt x="0" y="0"/>
                                </a:lnTo>
                                <a:lnTo>
                                  <a:pt x="0" y="57055"/>
                                </a:lnTo>
                                <a:close/>
                              </a:path>
                            </a:pathLst>
                          </a:custGeom>
                          <a:ln w="5801">
                            <a:solidFill>
                              <a:srgbClr val="FFFFFF"/>
                            </a:solidFill>
                            <a:prstDash val="solid"/>
                          </a:ln>
                        </wps:spPr>
                        <wps:bodyPr wrap="square" lIns="0" tIns="0" rIns="0" bIns="0" rtlCol="0">
                          <a:prstTxWarp prst="textNoShape">
                            <a:avLst/>
                          </a:prstTxWarp>
                          <a:noAutofit/>
                        </wps:bodyPr>
                      </wps:wsp>
                      <wps:wsp>
                        <wps:cNvPr id="250" name="Graphic 250"/>
                        <wps:cNvSpPr/>
                        <wps:spPr>
                          <a:xfrm>
                            <a:off x="961162" y="2846365"/>
                            <a:ext cx="101600" cy="53975"/>
                          </a:xfrm>
                          <a:custGeom>
                            <a:avLst/>
                            <a:gdLst/>
                            <a:ahLst/>
                            <a:cxnLst/>
                            <a:rect l="l" t="t" r="r" b="b"/>
                            <a:pathLst>
                              <a:path w="101600" h="53975">
                                <a:moveTo>
                                  <a:pt x="101155" y="0"/>
                                </a:moveTo>
                                <a:lnTo>
                                  <a:pt x="0" y="0"/>
                                </a:lnTo>
                                <a:lnTo>
                                  <a:pt x="0" y="53929"/>
                                </a:lnTo>
                                <a:lnTo>
                                  <a:pt x="101155" y="53929"/>
                                </a:lnTo>
                                <a:lnTo>
                                  <a:pt x="101155" y="0"/>
                                </a:lnTo>
                                <a:close/>
                              </a:path>
                            </a:pathLst>
                          </a:custGeom>
                          <a:solidFill>
                            <a:srgbClr val="2B5E8A"/>
                          </a:solidFill>
                        </wps:spPr>
                        <wps:bodyPr wrap="square" lIns="0" tIns="0" rIns="0" bIns="0" rtlCol="0">
                          <a:prstTxWarp prst="textNoShape">
                            <a:avLst/>
                          </a:prstTxWarp>
                          <a:noAutofit/>
                        </wps:bodyPr>
                      </wps:wsp>
                      <wps:wsp>
                        <wps:cNvPr id="251" name="Graphic 251"/>
                        <wps:cNvSpPr/>
                        <wps:spPr>
                          <a:xfrm>
                            <a:off x="961162" y="2846365"/>
                            <a:ext cx="101600" cy="53975"/>
                          </a:xfrm>
                          <a:custGeom>
                            <a:avLst/>
                            <a:gdLst/>
                            <a:ahLst/>
                            <a:cxnLst/>
                            <a:rect l="l" t="t" r="r" b="b"/>
                            <a:pathLst>
                              <a:path w="101600" h="53975">
                                <a:moveTo>
                                  <a:pt x="0" y="53929"/>
                                </a:moveTo>
                                <a:lnTo>
                                  <a:pt x="101155" y="53929"/>
                                </a:lnTo>
                                <a:lnTo>
                                  <a:pt x="101155" y="0"/>
                                </a:lnTo>
                                <a:lnTo>
                                  <a:pt x="0" y="0"/>
                                </a:lnTo>
                                <a:lnTo>
                                  <a:pt x="0" y="53929"/>
                                </a:lnTo>
                                <a:close/>
                              </a:path>
                            </a:pathLst>
                          </a:custGeom>
                          <a:ln w="5801">
                            <a:solidFill>
                              <a:srgbClr val="FFFFFF"/>
                            </a:solidFill>
                            <a:prstDash val="solid"/>
                          </a:ln>
                        </wps:spPr>
                        <wps:bodyPr wrap="square" lIns="0" tIns="0" rIns="0" bIns="0" rtlCol="0">
                          <a:prstTxWarp prst="textNoShape">
                            <a:avLst/>
                          </a:prstTxWarp>
                          <a:noAutofit/>
                        </wps:bodyPr>
                      </wps:wsp>
                      <wps:wsp>
                        <wps:cNvPr id="252" name="Graphic 252"/>
                        <wps:cNvSpPr/>
                        <wps:spPr>
                          <a:xfrm>
                            <a:off x="1062318" y="2865905"/>
                            <a:ext cx="101600" cy="34925"/>
                          </a:xfrm>
                          <a:custGeom>
                            <a:avLst/>
                            <a:gdLst/>
                            <a:ahLst/>
                            <a:cxnLst/>
                            <a:rect l="l" t="t" r="r" b="b"/>
                            <a:pathLst>
                              <a:path w="101600" h="34925">
                                <a:moveTo>
                                  <a:pt x="101155" y="0"/>
                                </a:moveTo>
                                <a:lnTo>
                                  <a:pt x="0" y="0"/>
                                </a:lnTo>
                                <a:lnTo>
                                  <a:pt x="0" y="34389"/>
                                </a:lnTo>
                                <a:lnTo>
                                  <a:pt x="101155" y="34389"/>
                                </a:lnTo>
                                <a:lnTo>
                                  <a:pt x="101155" y="0"/>
                                </a:lnTo>
                                <a:close/>
                              </a:path>
                            </a:pathLst>
                          </a:custGeom>
                          <a:solidFill>
                            <a:srgbClr val="2B5E8A"/>
                          </a:solidFill>
                        </wps:spPr>
                        <wps:bodyPr wrap="square" lIns="0" tIns="0" rIns="0" bIns="0" rtlCol="0">
                          <a:prstTxWarp prst="textNoShape">
                            <a:avLst/>
                          </a:prstTxWarp>
                          <a:noAutofit/>
                        </wps:bodyPr>
                      </wps:wsp>
                      <wps:wsp>
                        <wps:cNvPr id="253" name="Graphic 253"/>
                        <wps:cNvSpPr/>
                        <wps:spPr>
                          <a:xfrm>
                            <a:off x="1062318" y="2865905"/>
                            <a:ext cx="101600" cy="34925"/>
                          </a:xfrm>
                          <a:custGeom>
                            <a:avLst/>
                            <a:gdLst/>
                            <a:ahLst/>
                            <a:cxnLst/>
                            <a:rect l="l" t="t" r="r" b="b"/>
                            <a:pathLst>
                              <a:path w="101600" h="34925">
                                <a:moveTo>
                                  <a:pt x="0" y="34389"/>
                                </a:moveTo>
                                <a:lnTo>
                                  <a:pt x="101155" y="34389"/>
                                </a:lnTo>
                                <a:lnTo>
                                  <a:pt x="101155" y="0"/>
                                </a:lnTo>
                                <a:lnTo>
                                  <a:pt x="0" y="0"/>
                                </a:lnTo>
                                <a:lnTo>
                                  <a:pt x="0" y="34389"/>
                                </a:lnTo>
                                <a:close/>
                              </a:path>
                            </a:pathLst>
                          </a:custGeom>
                          <a:ln w="5801">
                            <a:solidFill>
                              <a:srgbClr val="FFFFFF"/>
                            </a:solidFill>
                            <a:prstDash val="solid"/>
                          </a:ln>
                        </wps:spPr>
                        <wps:bodyPr wrap="square" lIns="0" tIns="0" rIns="0" bIns="0" rtlCol="0">
                          <a:prstTxWarp prst="textNoShape">
                            <a:avLst/>
                          </a:prstTxWarp>
                          <a:noAutofit/>
                        </wps:bodyPr>
                      </wps:wsp>
                      <wps:wsp>
                        <wps:cNvPr id="254" name="Graphic 254"/>
                        <wps:cNvSpPr/>
                        <wps:spPr>
                          <a:xfrm>
                            <a:off x="1163474" y="2874503"/>
                            <a:ext cx="101600" cy="26034"/>
                          </a:xfrm>
                          <a:custGeom>
                            <a:avLst/>
                            <a:gdLst/>
                            <a:ahLst/>
                            <a:cxnLst/>
                            <a:rect l="l" t="t" r="r" b="b"/>
                            <a:pathLst>
                              <a:path w="101600" h="26034">
                                <a:moveTo>
                                  <a:pt x="101155" y="0"/>
                                </a:moveTo>
                                <a:lnTo>
                                  <a:pt x="0" y="0"/>
                                </a:lnTo>
                                <a:lnTo>
                                  <a:pt x="0" y="25792"/>
                                </a:lnTo>
                                <a:lnTo>
                                  <a:pt x="101155" y="25792"/>
                                </a:lnTo>
                                <a:lnTo>
                                  <a:pt x="101155" y="0"/>
                                </a:lnTo>
                                <a:close/>
                              </a:path>
                            </a:pathLst>
                          </a:custGeom>
                          <a:solidFill>
                            <a:srgbClr val="2B5E8A"/>
                          </a:solidFill>
                        </wps:spPr>
                        <wps:bodyPr wrap="square" lIns="0" tIns="0" rIns="0" bIns="0" rtlCol="0">
                          <a:prstTxWarp prst="textNoShape">
                            <a:avLst/>
                          </a:prstTxWarp>
                          <a:noAutofit/>
                        </wps:bodyPr>
                      </wps:wsp>
                      <wps:wsp>
                        <wps:cNvPr id="255" name="Graphic 255"/>
                        <wps:cNvSpPr/>
                        <wps:spPr>
                          <a:xfrm>
                            <a:off x="1163474" y="2874503"/>
                            <a:ext cx="101600" cy="26034"/>
                          </a:xfrm>
                          <a:custGeom>
                            <a:avLst/>
                            <a:gdLst/>
                            <a:ahLst/>
                            <a:cxnLst/>
                            <a:rect l="l" t="t" r="r" b="b"/>
                            <a:pathLst>
                              <a:path w="101600" h="26034">
                                <a:moveTo>
                                  <a:pt x="0" y="25792"/>
                                </a:moveTo>
                                <a:lnTo>
                                  <a:pt x="101155" y="25792"/>
                                </a:lnTo>
                                <a:lnTo>
                                  <a:pt x="101155" y="0"/>
                                </a:lnTo>
                                <a:lnTo>
                                  <a:pt x="0" y="0"/>
                                </a:lnTo>
                                <a:lnTo>
                                  <a:pt x="0" y="25792"/>
                                </a:lnTo>
                                <a:close/>
                              </a:path>
                            </a:pathLst>
                          </a:custGeom>
                          <a:ln w="5801">
                            <a:solidFill>
                              <a:srgbClr val="FFFFFF"/>
                            </a:solidFill>
                            <a:prstDash val="solid"/>
                          </a:ln>
                        </wps:spPr>
                        <wps:bodyPr wrap="square" lIns="0" tIns="0" rIns="0" bIns="0" rtlCol="0">
                          <a:prstTxWarp prst="textNoShape">
                            <a:avLst/>
                          </a:prstTxWarp>
                          <a:noAutofit/>
                        </wps:bodyPr>
                      </wps:wsp>
                      <wps:wsp>
                        <wps:cNvPr id="256" name="Graphic 256"/>
                        <wps:cNvSpPr/>
                        <wps:spPr>
                          <a:xfrm>
                            <a:off x="1264630" y="2876847"/>
                            <a:ext cx="101600" cy="23495"/>
                          </a:xfrm>
                          <a:custGeom>
                            <a:avLst/>
                            <a:gdLst/>
                            <a:ahLst/>
                            <a:cxnLst/>
                            <a:rect l="l" t="t" r="r" b="b"/>
                            <a:pathLst>
                              <a:path w="101600" h="23495">
                                <a:moveTo>
                                  <a:pt x="101155" y="0"/>
                                </a:moveTo>
                                <a:lnTo>
                                  <a:pt x="0" y="0"/>
                                </a:lnTo>
                                <a:lnTo>
                                  <a:pt x="0" y="23447"/>
                                </a:lnTo>
                                <a:lnTo>
                                  <a:pt x="101155" y="23447"/>
                                </a:lnTo>
                                <a:lnTo>
                                  <a:pt x="101155" y="0"/>
                                </a:lnTo>
                                <a:close/>
                              </a:path>
                            </a:pathLst>
                          </a:custGeom>
                          <a:solidFill>
                            <a:srgbClr val="2B5E8A"/>
                          </a:solidFill>
                        </wps:spPr>
                        <wps:bodyPr wrap="square" lIns="0" tIns="0" rIns="0" bIns="0" rtlCol="0">
                          <a:prstTxWarp prst="textNoShape">
                            <a:avLst/>
                          </a:prstTxWarp>
                          <a:noAutofit/>
                        </wps:bodyPr>
                      </wps:wsp>
                      <wps:wsp>
                        <wps:cNvPr id="257" name="Graphic 257"/>
                        <wps:cNvSpPr/>
                        <wps:spPr>
                          <a:xfrm>
                            <a:off x="1264630" y="2876847"/>
                            <a:ext cx="101600" cy="23495"/>
                          </a:xfrm>
                          <a:custGeom>
                            <a:avLst/>
                            <a:gdLst/>
                            <a:ahLst/>
                            <a:cxnLst/>
                            <a:rect l="l" t="t" r="r" b="b"/>
                            <a:pathLst>
                              <a:path w="101600" h="23495">
                                <a:moveTo>
                                  <a:pt x="0" y="23447"/>
                                </a:moveTo>
                                <a:lnTo>
                                  <a:pt x="101155" y="23447"/>
                                </a:lnTo>
                                <a:lnTo>
                                  <a:pt x="101155" y="0"/>
                                </a:lnTo>
                                <a:lnTo>
                                  <a:pt x="0" y="0"/>
                                </a:lnTo>
                                <a:lnTo>
                                  <a:pt x="0" y="23447"/>
                                </a:lnTo>
                                <a:close/>
                              </a:path>
                            </a:pathLst>
                          </a:custGeom>
                          <a:ln w="5801">
                            <a:solidFill>
                              <a:srgbClr val="FFFFFF"/>
                            </a:solidFill>
                            <a:prstDash val="solid"/>
                          </a:ln>
                        </wps:spPr>
                        <wps:bodyPr wrap="square" lIns="0" tIns="0" rIns="0" bIns="0" rtlCol="0">
                          <a:prstTxWarp prst="textNoShape">
                            <a:avLst/>
                          </a:prstTxWarp>
                          <a:noAutofit/>
                        </wps:bodyPr>
                      </wps:wsp>
                      <wps:wsp>
                        <wps:cNvPr id="258" name="Graphic 258"/>
                        <wps:cNvSpPr/>
                        <wps:spPr>
                          <a:xfrm>
                            <a:off x="1365785" y="2879192"/>
                            <a:ext cx="101600" cy="21590"/>
                          </a:xfrm>
                          <a:custGeom>
                            <a:avLst/>
                            <a:gdLst/>
                            <a:ahLst/>
                            <a:cxnLst/>
                            <a:rect l="l" t="t" r="r" b="b"/>
                            <a:pathLst>
                              <a:path w="101600" h="21590">
                                <a:moveTo>
                                  <a:pt x="101155" y="0"/>
                                </a:moveTo>
                                <a:lnTo>
                                  <a:pt x="0" y="0"/>
                                </a:lnTo>
                                <a:lnTo>
                                  <a:pt x="0" y="21102"/>
                                </a:lnTo>
                                <a:lnTo>
                                  <a:pt x="101155" y="21102"/>
                                </a:lnTo>
                                <a:lnTo>
                                  <a:pt x="101155" y="0"/>
                                </a:lnTo>
                                <a:close/>
                              </a:path>
                            </a:pathLst>
                          </a:custGeom>
                          <a:solidFill>
                            <a:srgbClr val="2B5E8A"/>
                          </a:solidFill>
                        </wps:spPr>
                        <wps:bodyPr wrap="square" lIns="0" tIns="0" rIns="0" bIns="0" rtlCol="0">
                          <a:prstTxWarp prst="textNoShape">
                            <a:avLst/>
                          </a:prstTxWarp>
                          <a:noAutofit/>
                        </wps:bodyPr>
                      </wps:wsp>
                      <wps:wsp>
                        <wps:cNvPr id="259" name="Graphic 259"/>
                        <wps:cNvSpPr/>
                        <wps:spPr>
                          <a:xfrm>
                            <a:off x="1365785" y="2879192"/>
                            <a:ext cx="101600" cy="21590"/>
                          </a:xfrm>
                          <a:custGeom>
                            <a:avLst/>
                            <a:gdLst/>
                            <a:ahLst/>
                            <a:cxnLst/>
                            <a:rect l="l" t="t" r="r" b="b"/>
                            <a:pathLst>
                              <a:path w="101600" h="21590">
                                <a:moveTo>
                                  <a:pt x="0" y="21102"/>
                                </a:moveTo>
                                <a:lnTo>
                                  <a:pt x="101155" y="21102"/>
                                </a:lnTo>
                                <a:lnTo>
                                  <a:pt x="101155" y="0"/>
                                </a:lnTo>
                                <a:lnTo>
                                  <a:pt x="0" y="0"/>
                                </a:lnTo>
                                <a:lnTo>
                                  <a:pt x="0" y="21102"/>
                                </a:lnTo>
                                <a:close/>
                              </a:path>
                            </a:pathLst>
                          </a:custGeom>
                          <a:ln w="5801">
                            <a:solidFill>
                              <a:srgbClr val="FFFFFF"/>
                            </a:solidFill>
                            <a:prstDash val="solid"/>
                          </a:ln>
                        </wps:spPr>
                        <wps:bodyPr wrap="square" lIns="0" tIns="0" rIns="0" bIns="0" rtlCol="0">
                          <a:prstTxWarp prst="textNoShape">
                            <a:avLst/>
                          </a:prstTxWarp>
                          <a:noAutofit/>
                        </wps:bodyPr>
                      </wps:wsp>
                      <wps:wsp>
                        <wps:cNvPr id="260" name="Graphic 260"/>
                        <wps:cNvSpPr/>
                        <wps:spPr>
                          <a:xfrm>
                            <a:off x="1466941" y="2888571"/>
                            <a:ext cx="101600" cy="12065"/>
                          </a:xfrm>
                          <a:custGeom>
                            <a:avLst/>
                            <a:gdLst/>
                            <a:ahLst/>
                            <a:cxnLst/>
                            <a:rect l="l" t="t" r="r" b="b"/>
                            <a:pathLst>
                              <a:path w="101600" h="12065">
                                <a:moveTo>
                                  <a:pt x="101155" y="0"/>
                                </a:moveTo>
                                <a:lnTo>
                                  <a:pt x="0" y="0"/>
                                </a:lnTo>
                                <a:lnTo>
                                  <a:pt x="0" y="11723"/>
                                </a:lnTo>
                                <a:lnTo>
                                  <a:pt x="101155" y="11723"/>
                                </a:lnTo>
                                <a:lnTo>
                                  <a:pt x="101155" y="0"/>
                                </a:lnTo>
                                <a:close/>
                              </a:path>
                            </a:pathLst>
                          </a:custGeom>
                          <a:solidFill>
                            <a:srgbClr val="2B5E8A"/>
                          </a:solidFill>
                        </wps:spPr>
                        <wps:bodyPr wrap="square" lIns="0" tIns="0" rIns="0" bIns="0" rtlCol="0">
                          <a:prstTxWarp prst="textNoShape">
                            <a:avLst/>
                          </a:prstTxWarp>
                          <a:noAutofit/>
                        </wps:bodyPr>
                      </wps:wsp>
                      <wps:wsp>
                        <wps:cNvPr id="261" name="Graphic 261"/>
                        <wps:cNvSpPr/>
                        <wps:spPr>
                          <a:xfrm>
                            <a:off x="1466941" y="2888571"/>
                            <a:ext cx="101600" cy="12065"/>
                          </a:xfrm>
                          <a:custGeom>
                            <a:avLst/>
                            <a:gdLst/>
                            <a:ahLst/>
                            <a:cxnLst/>
                            <a:rect l="l" t="t" r="r" b="b"/>
                            <a:pathLst>
                              <a:path w="101600" h="12065">
                                <a:moveTo>
                                  <a:pt x="0" y="11723"/>
                                </a:moveTo>
                                <a:lnTo>
                                  <a:pt x="101155" y="11723"/>
                                </a:lnTo>
                                <a:lnTo>
                                  <a:pt x="101155" y="0"/>
                                </a:lnTo>
                                <a:lnTo>
                                  <a:pt x="0" y="0"/>
                                </a:lnTo>
                                <a:lnTo>
                                  <a:pt x="0" y="11723"/>
                                </a:lnTo>
                                <a:close/>
                              </a:path>
                            </a:pathLst>
                          </a:custGeom>
                          <a:ln w="5801">
                            <a:solidFill>
                              <a:srgbClr val="FFFFFF"/>
                            </a:solidFill>
                            <a:prstDash val="solid"/>
                          </a:ln>
                        </wps:spPr>
                        <wps:bodyPr wrap="square" lIns="0" tIns="0" rIns="0" bIns="0" rtlCol="0">
                          <a:prstTxWarp prst="textNoShape">
                            <a:avLst/>
                          </a:prstTxWarp>
                          <a:noAutofit/>
                        </wps:bodyPr>
                      </wps:wsp>
                      <wps:wsp>
                        <wps:cNvPr id="262" name="Graphic 262"/>
                        <wps:cNvSpPr/>
                        <wps:spPr>
                          <a:xfrm>
                            <a:off x="1568097" y="2880755"/>
                            <a:ext cx="101600" cy="19685"/>
                          </a:xfrm>
                          <a:custGeom>
                            <a:avLst/>
                            <a:gdLst/>
                            <a:ahLst/>
                            <a:cxnLst/>
                            <a:rect l="l" t="t" r="r" b="b"/>
                            <a:pathLst>
                              <a:path w="101600" h="19685">
                                <a:moveTo>
                                  <a:pt x="101155" y="0"/>
                                </a:moveTo>
                                <a:lnTo>
                                  <a:pt x="0" y="0"/>
                                </a:lnTo>
                                <a:lnTo>
                                  <a:pt x="0" y="19539"/>
                                </a:lnTo>
                                <a:lnTo>
                                  <a:pt x="101155" y="19539"/>
                                </a:lnTo>
                                <a:lnTo>
                                  <a:pt x="101155" y="0"/>
                                </a:lnTo>
                                <a:close/>
                              </a:path>
                            </a:pathLst>
                          </a:custGeom>
                          <a:solidFill>
                            <a:srgbClr val="2B5E8A"/>
                          </a:solidFill>
                        </wps:spPr>
                        <wps:bodyPr wrap="square" lIns="0" tIns="0" rIns="0" bIns="0" rtlCol="0">
                          <a:prstTxWarp prst="textNoShape">
                            <a:avLst/>
                          </a:prstTxWarp>
                          <a:noAutofit/>
                        </wps:bodyPr>
                      </wps:wsp>
                      <wps:wsp>
                        <wps:cNvPr id="263" name="Graphic 263"/>
                        <wps:cNvSpPr/>
                        <wps:spPr>
                          <a:xfrm>
                            <a:off x="1568097" y="2880755"/>
                            <a:ext cx="101600" cy="19685"/>
                          </a:xfrm>
                          <a:custGeom>
                            <a:avLst/>
                            <a:gdLst/>
                            <a:ahLst/>
                            <a:cxnLst/>
                            <a:rect l="l" t="t" r="r" b="b"/>
                            <a:pathLst>
                              <a:path w="101600" h="19685">
                                <a:moveTo>
                                  <a:pt x="0" y="19539"/>
                                </a:moveTo>
                                <a:lnTo>
                                  <a:pt x="101155" y="19539"/>
                                </a:lnTo>
                                <a:lnTo>
                                  <a:pt x="101155" y="0"/>
                                </a:lnTo>
                                <a:lnTo>
                                  <a:pt x="0" y="0"/>
                                </a:lnTo>
                                <a:lnTo>
                                  <a:pt x="0" y="19539"/>
                                </a:lnTo>
                                <a:close/>
                              </a:path>
                            </a:pathLst>
                          </a:custGeom>
                          <a:ln w="5801">
                            <a:solidFill>
                              <a:srgbClr val="FFFFFF"/>
                            </a:solidFill>
                            <a:prstDash val="solid"/>
                          </a:ln>
                        </wps:spPr>
                        <wps:bodyPr wrap="square" lIns="0" tIns="0" rIns="0" bIns="0" rtlCol="0">
                          <a:prstTxWarp prst="textNoShape">
                            <a:avLst/>
                          </a:prstTxWarp>
                          <a:noAutofit/>
                        </wps:bodyPr>
                      </wps:wsp>
                      <wps:wsp>
                        <wps:cNvPr id="264" name="Graphic 264"/>
                        <wps:cNvSpPr/>
                        <wps:spPr>
                          <a:xfrm>
                            <a:off x="1669253" y="2890134"/>
                            <a:ext cx="101600" cy="10160"/>
                          </a:xfrm>
                          <a:custGeom>
                            <a:avLst/>
                            <a:gdLst/>
                            <a:ahLst/>
                            <a:cxnLst/>
                            <a:rect l="l" t="t" r="r" b="b"/>
                            <a:pathLst>
                              <a:path w="101600" h="10160">
                                <a:moveTo>
                                  <a:pt x="101155" y="0"/>
                                </a:moveTo>
                                <a:lnTo>
                                  <a:pt x="0" y="0"/>
                                </a:lnTo>
                                <a:lnTo>
                                  <a:pt x="0" y="10160"/>
                                </a:lnTo>
                                <a:lnTo>
                                  <a:pt x="101155" y="10160"/>
                                </a:lnTo>
                                <a:lnTo>
                                  <a:pt x="101155" y="0"/>
                                </a:lnTo>
                                <a:close/>
                              </a:path>
                            </a:pathLst>
                          </a:custGeom>
                          <a:solidFill>
                            <a:srgbClr val="2B5E8A"/>
                          </a:solidFill>
                        </wps:spPr>
                        <wps:bodyPr wrap="square" lIns="0" tIns="0" rIns="0" bIns="0" rtlCol="0">
                          <a:prstTxWarp prst="textNoShape">
                            <a:avLst/>
                          </a:prstTxWarp>
                          <a:noAutofit/>
                        </wps:bodyPr>
                      </wps:wsp>
                      <wps:wsp>
                        <wps:cNvPr id="265" name="Graphic 265"/>
                        <wps:cNvSpPr/>
                        <wps:spPr>
                          <a:xfrm>
                            <a:off x="1669253" y="2890134"/>
                            <a:ext cx="101600" cy="10160"/>
                          </a:xfrm>
                          <a:custGeom>
                            <a:avLst/>
                            <a:gdLst/>
                            <a:ahLst/>
                            <a:cxnLst/>
                            <a:rect l="l" t="t" r="r" b="b"/>
                            <a:pathLst>
                              <a:path w="101600" h="10160">
                                <a:moveTo>
                                  <a:pt x="0" y="10160"/>
                                </a:moveTo>
                                <a:lnTo>
                                  <a:pt x="101155" y="10160"/>
                                </a:lnTo>
                                <a:lnTo>
                                  <a:pt x="101155" y="0"/>
                                </a:lnTo>
                                <a:lnTo>
                                  <a:pt x="0" y="0"/>
                                </a:lnTo>
                                <a:lnTo>
                                  <a:pt x="0" y="10160"/>
                                </a:lnTo>
                                <a:close/>
                              </a:path>
                            </a:pathLst>
                          </a:custGeom>
                          <a:ln w="5801">
                            <a:solidFill>
                              <a:srgbClr val="FFFFFF"/>
                            </a:solidFill>
                            <a:prstDash val="solid"/>
                          </a:ln>
                        </wps:spPr>
                        <wps:bodyPr wrap="square" lIns="0" tIns="0" rIns="0" bIns="0" rtlCol="0">
                          <a:prstTxWarp prst="textNoShape">
                            <a:avLst/>
                          </a:prstTxWarp>
                          <a:noAutofit/>
                        </wps:bodyPr>
                      </wps:wsp>
                      <wps:wsp>
                        <wps:cNvPr id="266" name="Graphic 266"/>
                        <wps:cNvSpPr/>
                        <wps:spPr>
                          <a:xfrm>
                            <a:off x="1770409" y="2890916"/>
                            <a:ext cx="101600" cy="9525"/>
                          </a:xfrm>
                          <a:custGeom>
                            <a:avLst/>
                            <a:gdLst/>
                            <a:ahLst/>
                            <a:cxnLst/>
                            <a:rect l="l" t="t" r="r" b="b"/>
                            <a:pathLst>
                              <a:path w="101600" h="9525">
                                <a:moveTo>
                                  <a:pt x="101155" y="0"/>
                                </a:moveTo>
                                <a:lnTo>
                                  <a:pt x="0" y="0"/>
                                </a:lnTo>
                                <a:lnTo>
                                  <a:pt x="0" y="9379"/>
                                </a:lnTo>
                                <a:lnTo>
                                  <a:pt x="101155" y="9379"/>
                                </a:lnTo>
                                <a:lnTo>
                                  <a:pt x="101155" y="0"/>
                                </a:lnTo>
                                <a:close/>
                              </a:path>
                            </a:pathLst>
                          </a:custGeom>
                          <a:solidFill>
                            <a:srgbClr val="2B5E8A"/>
                          </a:solidFill>
                        </wps:spPr>
                        <wps:bodyPr wrap="square" lIns="0" tIns="0" rIns="0" bIns="0" rtlCol="0">
                          <a:prstTxWarp prst="textNoShape">
                            <a:avLst/>
                          </a:prstTxWarp>
                          <a:noAutofit/>
                        </wps:bodyPr>
                      </wps:wsp>
                      <wps:wsp>
                        <wps:cNvPr id="267" name="Graphic 267"/>
                        <wps:cNvSpPr/>
                        <wps:spPr>
                          <a:xfrm>
                            <a:off x="1770409" y="2890916"/>
                            <a:ext cx="101600" cy="9525"/>
                          </a:xfrm>
                          <a:custGeom>
                            <a:avLst/>
                            <a:gdLst/>
                            <a:ahLst/>
                            <a:cxnLst/>
                            <a:rect l="l" t="t" r="r" b="b"/>
                            <a:pathLst>
                              <a:path w="101600" h="9525">
                                <a:moveTo>
                                  <a:pt x="0" y="9379"/>
                                </a:moveTo>
                                <a:lnTo>
                                  <a:pt x="101155" y="9379"/>
                                </a:lnTo>
                                <a:lnTo>
                                  <a:pt x="101155" y="0"/>
                                </a:lnTo>
                                <a:lnTo>
                                  <a:pt x="0" y="0"/>
                                </a:lnTo>
                                <a:lnTo>
                                  <a:pt x="0" y="9379"/>
                                </a:lnTo>
                                <a:close/>
                              </a:path>
                            </a:pathLst>
                          </a:custGeom>
                          <a:ln w="5801">
                            <a:solidFill>
                              <a:srgbClr val="FFFFFF"/>
                            </a:solidFill>
                            <a:prstDash val="solid"/>
                          </a:ln>
                        </wps:spPr>
                        <wps:bodyPr wrap="square" lIns="0" tIns="0" rIns="0" bIns="0" rtlCol="0">
                          <a:prstTxWarp prst="textNoShape">
                            <a:avLst/>
                          </a:prstTxWarp>
                          <a:noAutofit/>
                        </wps:bodyPr>
                      </wps:wsp>
                      <wps:wsp>
                        <wps:cNvPr id="268" name="Graphic 268"/>
                        <wps:cNvSpPr/>
                        <wps:spPr>
                          <a:xfrm>
                            <a:off x="1871565" y="2891698"/>
                            <a:ext cx="101600" cy="8890"/>
                          </a:xfrm>
                          <a:custGeom>
                            <a:avLst/>
                            <a:gdLst/>
                            <a:ahLst/>
                            <a:cxnLst/>
                            <a:rect l="l" t="t" r="r" b="b"/>
                            <a:pathLst>
                              <a:path w="101600" h="8890">
                                <a:moveTo>
                                  <a:pt x="101155" y="0"/>
                                </a:moveTo>
                                <a:lnTo>
                                  <a:pt x="0" y="0"/>
                                </a:lnTo>
                                <a:lnTo>
                                  <a:pt x="0" y="8597"/>
                                </a:lnTo>
                                <a:lnTo>
                                  <a:pt x="101155" y="8597"/>
                                </a:lnTo>
                                <a:lnTo>
                                  <a:pt x="101155" y="0"/>
                                </a:lnTo>
                                <a:close/>
                              </a:path>
                            </a:pathLst>
                          </a:custGeom>
                          <a:solidFill>
                            <a:srgbClr val="2B5E8A"/>
                          </a:solidFill>
                        </wps:spPr>
                        <wps:bodyPr wrap="square" lIns="0" tIns="0" rIns="0" bIns="0" rtlCol="0">
                          <a:prstTxWarp prst="textNoShape">
                            <a:avLst/>
                          </a:prstTxWarp>
                          <a:noAutofit/>
                        </wps:bodyPr>
                      </wps:wsp>
                      <wps:wsp>
                        <wps:cNvPr id="269" name="Graphic 269"/>
                        <wps:cNvSpPr/>
                        <wps:spPr>
                          <a:xfrm>
                            <a:off x="1871565" y="2891698"/>
                            <a:ext cx="101600" cy="8890"/>
                          </a:xfrm>
                          <a:custGeom>
                            <a:avLst/>
                            <a:gdLst/>
                            <a:ahLst/>
                            <a:cxnLst/>
                            <a:rect l="l" t="t" r="r" b="b"/>
                            <a:pathLst>
                              <a:path w="101600" h="8890">
                                <a:moveTo>
                                  <a:pt x="0" y="8597"/>
                                </a:moveTo>
                                <a:lnTo>
                                  <a:pt x="101155" y="8597"/>
                                </a:lnTo>
                                <a:lnTo>
                                  <a:pt x="101155" y="0"/>
                                </a:lnTo>
                                <a:lnTo>
                                  <a:pt x="0" y="0"/>
                                </a:lnTo>
                                <a:lnTo>
                                  <a:pt x="0" y="8597"/>
                                </a:lnTo>
                                <a:close/>
                              </a:path>
                            </a:pathLst>
                          </a:custGeom>
                          <a:ln w="5801">
                            <a:solidFill>
                              <a:srgbClr val="FFFFFF"/>
                            </a:solidFill>
                            <a:prstDash val="solid"/>
                          </a:ln>
                        </wps:spPr>
                        <wps:bodyPr wrap="square" lIns="0" tIns="0" rIns="0" bIns="0" rtlCol="0">
                          <a:prstTxWarp prst="textNoShape">
                            <a:avLst/>
                          </a:prstTxWarp>
                          <a:noAutofit/>
                        </wps:bodyPr>
                      </wps:wsp>
                      <wps:wsp>
                        <wps:cNvPr id="270" name="Graphic 270"/>
                        <wps:cNvSpPr/>
                        <wps:spPr>
                          <a:xfrm>
                            <a:off x="1972721" y="2889353"/>
                            <a:ext cx="101600" cy="11430"/>
                          </a:xfrm>
                          <a:custGeom>
                            <a:avLst/>
                            <a:gdLst/>
                            <a:ahLst/>
                            <a:cxnLst/>
                            <a:rect l="l" t="t" r="r" b="b"/>
                            <a:pathLst>
                              <a:path w="101600" h="11430">
                                <a:moveTo>
                                  <a:pt x="101155" y="0"/>
                                </a:moveTo>
                                <a:lnTo>
                                  <a:pt x="0" y="0"/>
                                </a:lnTo>
                                <a:lnTo>
                                  <a:pt x="0" y="10942"/>
                                </a:lnTo>
                                <a:lnTo>
                                  <a:pt x="101155" y="10942"/>
                                </a:lnTo>
                                <a:lnTo>
                                  <a:pt x="101155" y="0"/>
                                </a:lnTo>
                                <a:close/>
                              </a:path>
                            </a:pathLst>
                          </a:custGeom>
                          <a:solidFill>
                            <a:srgbClr val="2B5E8A"/>
                          </a:solidFill>
                        </wps:spPr>
                        <wps:bodyPr wrap="square" lIns="0" tIns="0" rIns="0" bIns="0" rtlCol="0">
                          <a:prstTxWarp prst="textNoShape">
                            <a:avLst/>
                          </a:prstTxWarp>
                          <a:noAutofit/>
                        </wps:bodyPr>
                      </wps:wsp>
                      <wps:wsp>
                        <wps:cNvPr id="271" name="Graphic 271"/>
                        <wps:cNvSpPr/>
                        <wps:spPr>
                          <a:xfrm>
                            <a:off x="1972721" y="2889353"/>
                            <a:ext cx="101600" cy="11430"/>
                          </a:xfrm>
                          <a:custGeom>
                            <a:avLst/>
                            <a:gdLst/>
                            <a:ahLst/>
                            <a:cxnLst/>
                            <a:rect l="l" t="t" r="r" b="b"/>
                            <a:pathLst>
                              <a:path w="101600" h="11430">
                                <a:moveTo>
                                  <a:pt x="0" y="10942"/>
                                </a:moveTo>
                                <a:lnTo>
                                  <a:pt x="101155" y="10942"/>
                                </a:lnTo>
                                <a:lnTo>
                                  <a:pt x="101155" y="0"/>
                                </a:lnTo>
                                <a:lnTo>
                                  <a:pt x="0" y="0"/>
                                </a:lnTo>
                                <a:lnTo>
                                  <a:pt x="0" y="10942"/>
                                </a:lnTo>
                                <a:close/>
                              </a:path>
                            </a:pathLst>
                          </a:custGeom>
                          <a:ln w="5801">
                            <a:solidFill>
                              <a:srgbClr val="FFFFFF"/>
                            </a:solidFill>
                            <a:prstDash val="solid"/>
                          </a:ln>
                        </wps:spPr>
                        <wps:bodyPr wrap="square" lIns="0" tIns="0" rIns="0" bIns="0" rtlCol="0">
                          <a:prstTxWarp prst="textNoShape">
                            <a:avLst/>
                          </a:prstTxWarp>
                          <a:noAutofit/>
                        </wps:bodyPr>
                      </wps:wsp>
                      <wps:wsp>
                        <wps:cNvPr id="272" name="Graphic 272"/>
                        <wps:cNvSpPr/>
                        <wps:spPr>
                          <a:xfrm>
                            <a:off x="2073877" y="2892479"/>
                            <a:ext cx="101600" cy="8255"/>
                          </a:xfrm>
                          <a:custGeom>
                            <a:avLst/>
                            <a:gdLst/>
                            <a:ahLst/>
                            <a:cxnLst/>
                            <a:rect l="l" t="t" r="r" b="b"/>
                            <a:pathLst>
                              <a:path w="101600" h="8255">
                                <a:moveTo>
                                  <a:pt x="101155" y="0"/>
                                </a:moveTo>
                                <a:lnTo>
                                  <a:pt x="0" y="0"/>
                                </a:lnTo>
                                <a:lnTo>
                                  <a:pt x="0" y="7815"/>
                                </a:lnTo>
                                <a:lnTo>
                                  <a:pt x="101155" y="7815"/>
                                </a:lnTo>
                                <a:lnTo>
                                  <a:pt x="101155" y="0"/>
                                </a:lnTo>
                                <a:close/>
                              </a:path>
                            </a:pathLst>
                          </a:custGeom>
                          <a:solidFill>
                            <a:srgbClr val="2B5E8A"/>
                          </a:solidFill>
                        </wps:spPr>
                        <wps:bodyPr wrap="square" lIns="0" tIns="0" rIns="0" bIns="0" rtlCol="0">
                          <a:prstTxWarp prst="textNoShape">
                            <a:avLst/>
                          </a:prstTxWarp>
                          <a:noAutofit/>
                        </wps:bodyPr>
                      </wps:wsp>
                      <wps:wsp>
                        <wps:cNvPr id="273" name="Graphic 273"/>
                        <wps:cNvSpPr/>
                        <wps:spPr>
                          <a:xfrm>
                            <a:off x="2073877" y="2892479"/>
                            <a:ext cx="101600" cy="8255"/>
                          </a:xfrm>
                          <a:custGeom>
                            <a:avLst/>
                            <a:gdLst/>
                            <a:ahLst/>
                            <a:cxnLst/>
                            <a:rect l="l" t="t" r="r" b="b"/>
                            <a:pathLst>
                              <a:path w="101600" h="8255">
                                <a:moveTo>
                                  <a:pt x="0" y="7815"/>
                                </a:moveTo>
                                <a:lnTo>
                                  <a:pt x="101155" y="7815"/>
                                </a:lnTo>
                                <a:lnTo>
                                  <a:pt x="101155" y="0"/>
                                </a:lnTo>
                                <a:lnTo>
                                  <a:pt x="0" y="0"/>
                                </a:lnTo>
                                <a:lnTo>
                                  <a:pt x="0" y="7815"/>
                                </a:lnTo>
                                <a:close/>
                              </a:path>
                            </a:pathLst>
                          </a:custGeom>
                          <a:ln w="5801">
                            <a:solidFill>
                              <a:srgbClr val="FFFFFF"/>
                            </a:solidFill>
                            <a:prstDash val="solid"/>
                          </a:ln>
                        </wps:spPr>
                        <wps:bodyPr wrap="square" lIns="0" tIns="0" rIns="0" bIns="0" rtlCol="0">
                          <a:prstTxWarp prst="textNoShape">
                            <a:avLst/>
                          </a:prstTxWarp>
                          <a:noAutofit/>
                        </wps:bodyPr>
                      </wps:wsp>
                      <wps:wsp>
                        <wps:cNvPr id="274" name="Graphic 274"/>
                        <wps:cNvSpPr/>
                        <wps:spPr>
                          <a:xfrm>
                            <a:off x="2175033"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5" name="Graphic 275"/>
                        <wps:cNvSpPr/>
                        <wps:spPr>
                          <a:xfrm>
                            <a:off x="2175033"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6" name="Graphic 276"/>
                        <wps:cNvSpPr/>
                        <wps:spPr>
                          <a:xfrm>
                            <a:off x="2276188" y="2894042"/>
                            <a:ext cx="101600" cy="6350"/>
                          </a:xfrm>
                          <a:custGeom>
                            <a:avLst/>
                            <a:gdLst/>
                            <a:ahLst/>
                            <a:cxnLst/>
                            <a:rect l="l" t="t" r="r" b="b"/>
                            <a:pathLst>
                              <a:path w="101600" h="6350">
                                <a:moveTo>
                                  <a:pt x="101155" y="0"/>
                                </a:moveTo>
                                <a:lnTo>
                                  <a:pt x="0" y="0"/>
                                </a:lnTo>
                                <a:lnTo>
                                  <a:pt x="0" y="6252"/>
                                </a:lnTo>
                                <a:lnTo>
                                  <a:pt x="101155" y="6252"/>
                                </a:lnTo>
                                <a:lnTo>
                                  <a:pt x="101155" y="0"/>
                                </a:lnTo>
                                <a:close/>
                              </a:path>
                            </a:pathLst>
                          </a:custGeom>
                          <a:solidFill>
                            <a:srgbClr val="2B5E8A"/>
                          </a:solidFill>
                        </wps:spPr>
                        <wps:bodyPr wrap="square" lIns="0" tIns="0" rIns="0" bIns="0" rtlCol="0">
                          <a:prstTxWarp prst="textNoShape">
                            <a:avLst/>
                          </a:prstTxWarp>
                          <a:noAutofit/>
                        </wps:bodyPr>
                      </wps:wsp>
                      <wps:wsp>
                        <wps:cNvPr id="277" name="Graphic 277"/>
                        <wps:cNvSpPr/>
                        <wps:spPr>
                          <a:xfrm>
                            <a:off x="2276188" y="2894042"/>
                            <a:ext cx="101600" cy="6350"/>
                          </a:xfrm>
                          <a:custGeom>
                            <a:avLst/>
                            <a:gdLst/>
                            <a:ahLst/>
                            <a:cxnLst/>
                            <a:rect l="l" t="t" r="r" b="b"/>
                            <a:pathLst>
                              <a:path w="101600" h="6350">
                                <a:moveTo>
                                  <a:pt x="0" y="6252"/>
                                </a:moveTo>
                                <a:lnTo>
                                  <a:pt x="101155" y="6252"/>
                                </a:lnTo>
                                <a:lnTo>
                                  <a:pt x="101155" y="0"/>
                                </a:lnTo>
                                <a:lnTo>
                                  <a:pt x="0" y="0"/>
                                </a:lnTo>
                                <a:lnTo>
                                  <a:pt x="0" y="6252"/>
                                </a:lnTo>
                                <a:close/>
                              </a:path>
                            </a:pathLst>
                          </a:custGeom>
                          <a:ln w="5801">
                            <a:solidFill>
                              <a:srgbClr val="FFFFFF"/>
                            </a:solidFill>
                            <a:prstDash val="solid"/>
                          </a:ln>
                        </wps:spPr>
                        <wps:bodyPr wrap="square" lIns="0" tIns="0" rIns="0" bIns="0" rtlCol="0">
                          <a:prstTxWarp prst="textNoShape">
                            <a:avLst/>
                          </a:prstTxWarp>
                          <a:noAutofit/>
                        </wps:bodyPr>
                      </wps:wsp>
                      <wps:wsp>
                        <wps:cNvPr id="278" name="Graphic 278"/>
                        <wps:cNvSpPr/>
                        <wps:spPr>
                          <a:xfrm>
                            <a:off x="2377345"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79" name="Graphic 279"/>
                        <wps:cNvSpPr/>
                        <wps:spPr>
                          <a:xfrm>
                            <a:off x="2377345"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80" name="Graphic 280"/>
                        <wps:cNvSpPr/>
                        <wps:spPr>
                          <a:xfrm>
                            <a:off x="2478500" y="2893261"/>
                            <a:ext cx="101600" cy="7620"/>
                          </a:xfrm>
                          <a:custGeom>
                            <a:avLst/>
                            <a:gdLst/>
                            <a:ahLst/>
                            <a:cxnLst/>
                            <a:rect l="l" t="t" r="r" b="b"/>
                            <a:pathLst>
                              <a:path w="101600" h="7620">
                                <a:moveTo>
                                  <a:pt x="101155" y="0"/>
                                </a:moveTo>
                                <a:lnTo>
                                  <a:pt x="0" y="0"/>
                                </a:lnTo>
                                <a:lnTo>
                                  <a:pt x="0" y="7034"/>
                                </a:lnTo>
                                <a:lnTo>
                                  <a:pt x="101155" y="7034"/>
                                </a:lnTo>
                                <a:lnTo>
                                  <a:pt x="101155" y="0"/>
                                </a:lnTo>
                                <a:close/>
                              </a:path>
                            </a:pathLst>
                          </a:custGeom>
                          <a:solidFill>
                            <a:srgbClr val="2B5E8A"/>
                          </a:solidFill>
                        </wps:spPr>
                        <wps:bodyPr wrap="square" lIns="0" tIns="0" rIns="0" bIns="0" rtlCol="0">
                          <a:prstTxWarp prst="textNoShape">
                            <a:avLst/>
                          </a:prstTxWarp>
                          <a:noAutofit/>
                        </wps:bodyPr>
                      </wps:wsp>
                      <wps:wsp>
                        <wps:cNvPr id="281" name="Graphic 281"/>
                        <wps:cNvSpPr/>
                        <wps:spPr>
                          <a:xfrm>
                            <a:off x="2478500" y="2893261"/>
                            <a:ext cx="101600" cy="7620"/>
                          </a:xfrm>
                          <a:custGeom>
                            <a:avLst/>
                            <a:gdLst/>
                            <a:ahLst/>
                            <a:cxnLst/>
                            <a:rect l="l" t="t" r="r" b="b"/>
                            <a:pathLst>
                              <a:path w="101600" h="7620">
                                <a:moveTo>
                                  <a:pt x="0" y="7034"/>
                                </a:moveTo>
                                <a:lnTo>
                                  <a:pt x="101155" y="7034"/>
                                </a:lnTo>
                                <a:lnTo>
                                  <a:pt x="101155" y="0"/>
                                </a:lnTo>
                                <a:lnTo>
                                  <a:pt x="0" y="0"/>
                                </a:lnTo>
                                <a:lnTo>
                                  <a:pt x="0" y="7034"/>
                                </a:lnTo>
                                <a:close/>
                              </a:path>
                            </a:pathLst>
                          </a:custGeom>
                          <a:ln w="5801">
                            <a:solidFill>
                              <a:srgbClr val="FFFFFF"/>
                            </a:solidFill>
                            <a:prstDash val="solid"/>
                          </a:ln>
                        </wps:spPr>
                        <wps:bodyPr wrap="square" lIns="0" tIns="0" rIns="0" bIns="0" rtlCol="0">
                          <a:prstTxWarp prst="textNoShape">
                            <a:avLst/>
                          </a:prstTxWarp>
                          <a:noAutofit/>
                        </wps:bodyPr>
                      </wps:wsp>
                      <wps:wsp>
                        <wps:cNvPr id="282" name="Graphic 282"/>
                        <wps:cNvSpPr/>
                        <wps:spPr>
                          <a:xfrm>
                            <a:off x="2579656"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3" name="Graphic 283"/>
                        <wps:cNvSpPr/>
                        <wps:spPr>
                          <a:xfrm>
                            <a:off x="2579656"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84" name="Graphic 284"/>
                        <wps:cNvSpPr/>
                        <wps:spPr>
                          <a:xfrm>
                            <a:off x="2680812"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285" name="Graphic 285"/>
                        <wps:cNvSpPr/>
                        <wps:spPr>
                          <a:xfrm>
                            <a:off x="2680812"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286" name="Graphic 286"/>
                        <wps:cNvSpPr/>
                        <wps:spPr>
                          <a:xfrm>
                            <a:off x="278196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87" name="Graphic 287"/>
                        <wps:cNvSpPr/>
                        <wps:spPr>
                          <a:xfrm>
                            <a:off x="278196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88" name="Graphic 288"/>
                        <wps:cNvSpPr/>
                        <wps:spPr>
                          <a:xfrm>
                            <a:off x="2883124"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289" name="Graphic 289"/>
                        <wps:cNvSpPr/>
                        <wps:spPr>
                          <a:xfrm>
                            <a:off x="2883124"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290" name="Graphic 290"/>
                        <wps:cNvSpPr/>
                        <wps:spPr>
                          <a:xfrm>
                            <a:off x="2984280"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1" name="Graphic 291"/>
                        <wps:cNvSpPr/>
                        <wps:spPr>
                          <a:xfrm>
                            <a:off x="2984280"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2" name="Graphic 292"/>
                        <wps:cNvSpPr/>
                        <wps:spPr>
                          <a:xfrm>
                            <a:off x="3085436" y="2894824"/>
                            <a:ext cx="101600" cy="5715"/>
                          </a:xfrm>
                          <a:custGeom>
                            <a:avLst/>
                            <a:gdLst/>
                            <a:ahLst/>
                            <a:cxnLst/>
                            <a:rect l="l" t="t" r="r" b="b"/>
                            <a:pathLst>
                              <a:path w="101600" h="5715">
                                <a:moveTo>
                                  <a:pt x="101155" y="0"/>
                                </a:moveTo>
                                <a:lnTo>
                                  <a:pt x="0" y="0"/>
                                </a:lnTo>
                                <a:lnTo>
                                  <a:pt x="0" y="5471"/>
                                </a:lnTo>
                                <a:lnTo>
                                  <a:pt x="101155" y="5471"/>
                                </a:lnTo>
                                <a:lnTo>
                                  <a:pt x="101155" y="0"/>
                                </a:lnTo>
                                <a:close/>
                              </a:path>
                            </a:pathLst>
                          </a:custGeom>
                          <a:solidFill>
                            <a:srgbClr val="2B5E8A"/>
                          </a:solidFill>
                        </wps:spPr>
                        <wps:bodyPr wrap="square" lIns="0" tIns="0" rIns="0" bIns="0" rtlCol="0">
                          <a:prstTxWarp prst="textNoShape">
                            <a:avLst/>
                          </a:prstTxWarp>
                          <a:noAutofit/>
                        </wps:bodyPr>
                      </wps:wsp>
                      <wps:wsp>
                        <wps:cNvPr id="293" name="Graphic 293"/>
                        <wps:cNvSpPr/>
                        <wps:spPr>
                          <a:xfrm>
                            <a:off x="3085436" y="2894824"/>
                            <a:ext cx="101600" cy="5715"/>
                          </a:xfrm>
                          <a:custGeom>
                            <a:avLst/>
                            <a:gdLst/>
                            <a:ahLst/>
                            <a:cxnLst/>
                            <a:rect l="l" t="t" r="r" b="b"/>
                            <a:pathLst>
                              <a:path w="101600" h="5715">
                                <a:moveTo>
                                  <a:pt x="0" y="5471"/>
                                </a:moveTo>
                                <a:lnTo>
                                  <a:pt x="101155" y="5471"/>
                                </a:lnTo>
                                <a:lnTo>
                                  <a:pt x="101155" y="0"/>
                                </a:lnTo>
                                <a:lnTo>
                                  <a:pt x="0" y="0"/>
                                </a:lnTo>
                                <a:lnTo>
                                  <a:pt x="0" y="5471"/>
                                </a:lnTo>
                                <a:close/>
                              </a:path>
                            </a:pathLst>
                          </a:custGeom>
                          <a:ln w="5801">
                            <a:solidFill>
                              <a:srgbClr val="FFFFFF"/>
                            </a:solidFill>
                            <a:prstDash val="solid"/>
                          </a:ln>
                        </wps:spPr>
                        <wps:bodyPr wrap="square" lIns="0" tIns="0" rIns="0" bIns="0" rtlCol="0">
                          <a:prstTxWarp prst="textNoShape">
                            <a:avLst/>
                          </a:prstTxWarp>
                          <a:noAutofit/>
                        </wps:bodyPr>
                      </wps:wsp>
                      <wps:wsp>
                        <wps:cNvPr id="294" name="Graphic 294"/>
                        <wps:cNvSpPr/>
                        <wps:spPr>
                          <a:xfrm>
                            <a:off x="3186592"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295" name="Graphic 295"/>
                        <wps:cNvSpPr/>
                        <wps:spPr>
                          <a:xfrm>
                            <a:off x="3186592"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296" name="Graphic 296"/>
                        <wps:cNvSpPr/>
                        <wps:spPr>
                          <a:xfrm>
                            <a:off x="3287748"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7" name="Graphic 297"/>
                        <wps:cNvSpPr/>
                        <wps:spPr>
                          <a:xfrm>
                            <a:off x="3287748"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298" name="Graphic 298"/>
                        <wps:cNvSpPr/>
                        <wps:spPr>
                          <a:xfrm>
                            <a:off x="3388903" y="2897950"/>
                            <a:ext cx="101600" cy="2540"/>
                          </a:xfrm>
                          <a:custGeom>
                            <a:avLst/>
                            <a:gdLst/>
                            <a:ahLst/>
                            <a:cxnLst/>
                            <a:rect l="l" t="t" r="r" b="b"/>
                            <a:pathLst>
                              <a:path w="101600" h="2540">
                                <a:moveTo>
                                  <a:pt x="101155" y="0"/>
                                </a:moveTo>
                                <a:lnTo>
                                  <a:pt x="0" y="0"/>
                                </a:lnTo>
                                <a:lnTo>
                                  <a:pt x="0" y="2344"/>
                                </a:lnTo>
                                <a:lnTo>
                                  <a:pt x="101155" y="2344"/>
                                </a:lnTo>
                                <a:lnTo>
                                  <a:pt x="101155" y="0"/>
                                </a:lnTo>
                                <a:close/>
                              </a:path>
                            </a:pathLst>
                          </a:custGeom>
                          <a:solidFill>
                            <a:srgbClr val="2B5E8A"/>
                          </a:solidFill>
                        </wps:spPr>
                        <wps:bodyPr wrap="square" lIns="0" tIns="0" rIns="0" bIns="0" rtlCol="0">
                          <a:prstTxWarp prst="textNoShape">
                            <a:avLst/>
                          </a:prstTxWarp>
                          <a:noAutofit/>
                        </wps:bodyPr>
                      </wps:wsp>
                      <wps:wsp>
                        <wps:cNvPr id="299" name="Graphic 299"/>
                        <wps:cNvSpPr/>
                        <wps:spPr>
                          <a:xfrm>
                            <a:off x="3388903" y="2897950"/>
                            <a:ext cx="101600" cy="2540"/>
                          </a:xfrm>
                          <a:custGeom>
                            <a:avLst/>
                            <a:gdLst/>
                            <a:ahLst/>
                            <a:cxnLst/>
                            <a:rect l="l" t="t" r="r" b="b"/>
                            <a:pathLst>
                              <a:path w="101600" h="2540">
                                <a:moveTo>
                                  <a:pt x="0" y="2344"/>
                                </a:moveTo>
                                <a:lnTo>
                                  <a:pt x="101155" y="2344"/>
                                </a:lnTo>
                                <a:lnTo>
                                  <a:pt x="101155" y="0"/>
                                </a:lnTo>
                                <a:lnTo>
                                  <a:pt x="0" y="0"/>
                                </a:lnTo>
                                <a:lnTo>
                                  <a:pt x="0" y="2344"/>
                                </a:lnTo>
                                <a:close/>
                              </a:path>
                            </a:pathLst>
                          </a:custGeom>
                          <a:ln w="5801">
                            <a:solidFill>
                              <a:srgbClr val="FFFFFF"/>
                            </a:solidFill>
                            <a:prstDash val="solid"/>
                          </a:ln>
                        </wps:spPr>
                        <wps:bodyPr wrap="square" lIns="0" tIns="0" rIns="0" bIns="0" rtlCol="0">
                          <a:prstTxWarp prst="textNoShape">
                            <a:avLst/>
                          </a:prstTxWarp>
                          <a:noAutofit/>
                        </wps:bodyPr>
                      </wps:wsp>
                      <wps:wsp>
                        <wps:cNvPr id="300" name="Graphic 300"/>
                        <wps:cNvSpPr/>
                        <wps:spPr>
                          <a:xfrm>
                            <a:off x="349005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1" name="Graphic 301"/>
                        <wps:cNvSpPr/>
                        <wps:spPr>
                          <a:xfrm>
                            <a:off x="349005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02" name="Graphic 302"/>
                        <wps:cNvSpPr/>
                        <wps:spPr>
                          <a:xfrm>
                            <a:off x="3591215" y="2895606"/>
                            <a:ext cx="101600" cy="5080"/>
                          </a:xfrm>
                          <a:custGeom>
                            <a:avLst/>
                            <a:gdLst/>
                            <a:ahLst/>
                            <a:cxnLst/>
                            <a:rect l="l" t="t" r="r" b="b"/>
                            <a:pathLst>
                              <a:path w="101600" h="5080">
                                <a:moveTo>
                                  <a:pt x="101155" y="0"/>
                                </a:moveTo>
                                <a:lnTo>
                                  <a:pt x="0" y="0"/>
                                </a:lnTo>
                                <a:lnTo>
                                  <a:pt x="0" y="4689"/>
                                </a:lnTo>
                                <a:lnTo>
                                  <a:pt x="101155" y="4689"/>
                                </a:lnTo>
                                <a:lnTo>
                                  <a:pt x="101155" y="0"/>
                                </a:lnTo>
                                <a:close/>
                              </a:path>
                            </a:pathLst>
                          </a:custGeom>
                          <a:solidFill>
                            <a:srgbClr val="2B5E8A"/>
                          </a:solidFill>
                        </wps:spPr>
                        <wps:bodyPr wrap="square" lIns="0" tIns="0" rIns="0" bIns="0" rtlCol="0">
                          <a:prstTxWarp prst="textNoShape">
                            <a:avLst/>
                          </a:prstTxWarp>
                          <a:noAutofit/>
                        </wps:bodyPr>
                      </wps:wsp>
                      <wps:wsp>
                        <wps:cNvPr id="303" name="Graphic 303"/>
                        <wps:cNvSpPr/>
                        <wps:spPr>
                          <a:xfrm>
                            <a:off x="3591215" y="2895606"/>
                            <a:ext cx="101600" cy="5080"/>
                          </a:xfrm>
                          <a:custGeom>
                            <a:avLst/>
                            <a:gdLst/>
                            <a:ahLst/>
                            <a:cxnLst/>
                            <a:rect l="l" t="t" r="r" b="b"/>
                            <a:pathLst>
                              <a:path w="101600" h="5080">
                                <a:moveTo>
                                  <a:pt x="0" y="4689"/>
                                </a:moveTo>
                                <a:lnTo>
                                  <a:pt x="101155" y="4689"/>
                                </a:lnTo>
                                <a:lnTo>
                                  <a:pt x="101155" y="0"/>
                                </a:lnTo>
                                <a:lnTo>
                                  <a:pt x="0" y="0"/>
                                </a:lnTo>
                                <a:lnTo>
                                  <a:pt x="0" y="4689"/>
                                </a:lnTo>
                                <a:close/>
                              </a:path>
                            </a:pathLst>
                          </a:custGeom>
                          <a:ln w="5801">
                            <a:solidFill>
                              <a:srgbClr val="FFFFFF"/>
                            </a:solidFill>
                            <a:prstDash val="solid"/>
                          </a:ln>
                        </wps:spPr>
                        <wps:bodyPr wrap="square" lIns="0" tIns="0" rIns="0" bIns="0" rtlCol="0">
                          <a:prstTxWarp prst="textNoShape">
                            <a:avLst/>
                          </a:prstTxWarp>
                          <a:noAutofit/>
                        </wps:bodyPr>
                      </wps:wsp>
                      <wps:wsp>
                        <wps:cNvPr id="304" name="Graphic 304"/>
                        <wps:cNvSpPr/>
                        <wps:spPr>
                          <a:xfrm>
                            <a:off x="3692371" y="2899513"/>
                            <a:ext cx="101600" cy="1270"/>
                          </a:xfrm>
                          <a:custGeom>
                            <a:avLst/>
                            <a:gdLst/>
                            <a:ahLst/>
                            <a:cxnLst/>
                            <a:rect l="l" t="t" r="r" b="b"/>
                            <a:pathLst>
                              <a:path w="101600" h="1270">
                                <a:moveTo>
                                  <a:pt x="101155" y="0"/>
                                </a:moveTo>
                                <a:lnTo>
                                  <a:pt x="0" y="0"/>
                                </a:lnTo>
                                <a:lnTo>
                                  <a:pt x="0" y="781"/>
                                </a:lnTo>
                                <a:lnTo>
                                  <a:pt x="101155" y="781"/>
                                </a:lnTo>
                                <a:lnTo>
                                  <a:pt x="101155" y="0"/>
                                </a:lnTo>
                                <a:close/>
                              </a:path>
                            </a:pathLst>
                          </a:custGeom>
                          <a:solidFill>
                            <a:srgbClr val="2B5E8A"/>
                          </a:solidFill>
                        </wps:spPr>
                        <wps:bodyPr wrap="square" lIns="0" tIns="0" rIns="0" bIns="0" rtlCol="0">
                          <a:prstTxWarp prst="textNoShape">
                            <a:avLst/>
                          </a:prstTxWarp>
                          <a:noAutofit/>
                        </wps:bodyPr>
                      </wps:wsp>
                      <wps:wsp>
                        <wps:cNvPr id="305" name="Graphic 305"/>
                        <wps:cNvSpPr/>
                        <wps:spPr>
                          <a:xfrm>
                            <a:off x="3692371" y="2899513"/>
                            <a:ext cx="101600" cy="1270"/>
                          </a:xfrm>
                          <a:custGeom>
                            <a:avLst/>
                            <a:gdLst/>
                            <a:ahLst/>
                            <a:cxnLst/>
                            <a:rect l="l" t="t" r="r" b="b"/>
                            <a:pathLst>
                              <a:path w="101600" h="1270">
                                <a:moveTo>
                                  <a:pt x="0" y="781"/>
                                </a:moveTo>
                                <a:lnTo>
                                  <a:pt x="101155" y="781"/>
                                </a:lnTo>
                                <a:lnTo>
                                  <a:pt x="101155" y="0"/>
                                </a:lnTo>
                                <a:lnTo>
                                  <a:pt x="0" y="0"/>
                                </a:lnTo>
                                <a:lnTo>
                                  <a:pt x="0" y="781"/>
                                </a:lnTo>
                                <a:close/>
                              </a:path>
                            </a:pathLst>
                          </a:custGeom>
                          <a:ln w="5801">
                            <a:solidFill>
                              <a:srgbClr val="FFFFFF"/>
                            </a:solidFill>
                            <a:prstDash val="solid"/>
                          </a:ln>
                        </wps:spPr>
                        <wps:bodyPr wrap="square" lIns="0" tIns="0" rIns="0" bIns="0" rtlCol="0">
                          <a:prstTxWarp prst="textNoShape">
                            <a:avLst/>
                          </a:prstTxWarp>
                          <a:noAutofit/>
                        </wps:bodyPr>
                      </wps:wsp>
                      <wps:wsp>
                        <wps:cNvPr id="306" name="Graphic 306"/>
                        <wps:cNvSpPr/>
                        <wps:spPr>
                          <a:xfrm>
                            <a:off x="3793527" y="2897169"/>
                            <a:ext cx="101600" cy="3175"/>
                          </a:xfrm>
                          <a:custGeom>
                            <a:avLst/>
                            <a:gdLst/>
                            <a:ahLst/>
                            <a:cxnLst/>
                            <a:rect l="l" t="t" r="r" b="b"/>
                            <a:pathLst>
                              <a:path w="101600" h="3175">
                                <a:moveTo>
                                  <a:pt x="101155" y="0"/>
                                </a:moveTo>
                                <a:lnTo>
                                  <a:pt x="0" y="0"/>
                                </a:lnTo>
                                <a:lnTo>
                                  <a:pt x="0" y="3126"/>
                                </a:lnTo>
                                <a:lnTo>
                                  <a:pt x="101155" y="3126"/>
                                </a:lnTo>
                                <a:lnTo>
                                  <a:pt x="101155" y="0"/>
                                </a:lnTo>
                                <a:close/>
                              </a:path>
                            </a:pathLst>
                          </a:custGeom>
                          <a:solidFill>
                            <a:srgbClr val="2B5E8A"/>
                          </a:solidFill>
                        </wps:spPr>
                        <wps:bodyPr wrap="square" lIns="0" tIns="0" rIns="0" bIns="0" rtlCol="0">
                          <a:prstTxWarp prst="textNoShape">
                            <a:avLst/>
                          </a:prstTxWarp>
                          <a:noAutofit/>
                        </wps:bodyPr>
                      </wps:wsp>
                      <wps:wsp>
                        <wps:cNvPr id="307" name="Graphic 307"/>
                        <wps:cNvSpPr/>
                        <wps:spPr>
                          <a:xfrm>
                            <a:off x="3793527" y="2897169"/>
                            <a:ext cx="101600" cy="3175"/>
                          </a:xfrm>
                          <a:custGeom>
                            <a:avLst/>
                            <a:gdLst/>
                            <a:ahLst/>
                            <a:cxnLst/>
                            <a:rect l="l" t="t" r="r" b="b"/>
                            <a:pathLst>
                              <a:path w="101600" h="3175">
                                <a:moveTo>
                                  <a:pt x="0" y="3126"/>
                                </a:moveTo>
                                <a:lnTo>
                                  <a:pt x="101155" y="3126"/>
                                </a:lnTo>
                                <a:lnTo>
                                  <a:pt x="101155" y="0"/>
                                </a:lnTo>
                                <a:lnTo>
                                  <a:pt x="0" y="0"/>
                                </a:lnTo>
                                <a:lnTo>
                                  <a:pt x="0" y="3126"/>
                                </a:lnTo>
                                <a:close/>
                              </a:path>
                            </a:pathLst>
                          </a:custGeom>
                          <a:ln w="5801">
                            <a:solidFill>
                              <a:srgbClr val="FFFFFF"/>
                            </a:solidFill>
                            <a:prstDash val="solid"/>
                          </a:ln>
                        </wps:spPr>
                        <wps:bodyPr wrap="square" lIns="0" tIns="0" rIns="0" bIns="0" rtlCol="0">
                          <a:prstTxWarp prst="textNoShape">
                            <a:avLst/>
                          </a:prstTxWarp>
                          <a:noAutofit/>
                        </wps:bodyPr>
                      </wps:wsp>
                      <wps:wsp>
                        <wps:cNvPr id="308" name="Graphic 308"/>
                        <wps:cNvSpPr/>
                        <wps:spPr>
                          <a:xfrm>
                            <a:off x="3894683"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09" name="Graphic 309"/>
                        <wps:cNvSpPr/>
                        <wps:spPr>
                          <a:xfrm>
                            <a:off x="3894683"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10" name="Graphic 310"/>
                        <wps:cNvSpPr/>
                        <wps:spPr>
                          <a:xfrm>
                            <a:off x="3995839" y="2898732"/>
                            <a:ext cx="101600" cy="1905"/>
                          </a:xfrm>
                          <a:custGeom>
                            <a:avLst/>
                            <a:gdLst/>
                            <a:ahLst/>
                            <a:cxnLst/>
                            <a:rect l="l" t="t" r="r" b="b"/>
                            <a:pathLst>
                              <a:path w="101600" h="1905">
                                <a:moveTo>
                                  <a:pt x="101155" y="0"/>
                                </a:moveTo>
                                <a:lnTo>
                                  <a:pt x="0" y="0"/>
                                </a:lnTo>
                                <a:lnTo>
                                  <a:pt x="0" y="1563"/>
                                </a:lnTo>
                                <a:lnTo>
                                  <a:pt x="101155" y="1563"/>
                                </a:lnTo>
                                <a:lnTo>
                                  <a:pt x="101155" y="0"/>
                                </a:lnTo>
                                <a:close/>
                              </a:path>
                            </a:pathLst>
                          </a:custGeom>
                          <a:solidFill>
                            <a:srgbClr val="2B5E8A"/>
                          </a:solidFill>
                        </wps:spPr>
                        <wps:bodyPr wrap="square" lIns="0" tIns="0" rIns="0" bIns="0" rtlCol="0">
                          <a:prstTxWarp prst="textNoShape">
                            <a:avLst/>
                          </a:prstTxWarp>
                          <a:noAutofit/>
                        </wps:bodyPr>
                      </wps:wsp>
                      <wps:wsp>
                        <wps:cNvPr id="311" name="Graphic 311"/>
                        <wps:cNvSpPr/>
                        <wps:spPr>
                          <a:xfrm>
                            <a:off x="3995839" y="2898732"/>
                            <a:ext cx="101600" cy="1905"/>
                          </a:xfrm>
                          <a:custGeom>
                            <a:avLst/>
                            <a:gdLst/>
                            <a:ahLst/>
                            <a:cxnLst/>
                            <a:rect l="l" t="t" r="r" b="b"/>
                            <a:pathLst>
                              <a:path w="101600" h="1905">
                                <a:moveTo>
                                  <a:pt x="0" y="1563"/>
                                </a:moveTo>
                                <a:lnTo>
                                  <a:pt x="101155" y="1563"/>
                                </a:lnTo>
                                <a:lnTo>
                                  <a:pt x="101155" y="0"/>
                                </a:lnTo>
                                <a:lnTo>
                                  <a:pt x="0" y="0"/>
                                </a:lnTo>
                                <a:lnTo>
                                  <a:pt x="0" y="1563"/>
                                </a:lnTo>
                                <a:close/>
                              </a:path>
                            </a:pathLst>
                          </a:custGeom>
                          <a:ln w="5801">
                            <a:solidFill>
                              <a:srgbClr val="FFFFFF"/>
                            </a:solidFill>
                            <a:prstDash val="solid"/>
                          </a:ln>
                        </wps:spPr>
                        <wps:bodyPr wrap="square" lIns="0" tIns="0" rIns="0" bIns="0" rtlCol="0">
                          <a:prstTxWarp prst="textNoShape">
                            <a:avLst/>
                          </a:prstTxWarp>
                          <a:noAutofit/>
                        </wps:bodyPr>
                      </wps:wsp>
                      <wps:wsp>
                        <wps:cNvPr id="312" name="Graphic 312"/>
                        <wps:cNvSpPr/>
                        <wps:spPr>
                          <a:xfrm>
                            <a:off x="4096995" y="2900295"/>
                            <a:ext cx="101600" cy="1270"/>
                          </a:xfrm>
                          <a:custGeom>
                            <a:avLst/>
                            <a:gdLst/>
                            <a:ahLst/>
                            <a:cxnLst/>
                            <a:rect l="l" t="t" r="r" b="b"/>
                            <a:pathLst>
                              <a:path w="101600" h="0">
                                <a:moveTo>
                                  <a:pt x="101155" y="0"/>
                                </a:moveTo>
                                <a:lnTo>
                                  <a:pt x="0" y="0"/>
                                </a:lnTo>
                                <a:lnTo>
                                  <a:pt x="101155" y="0"/>
                                </a:lnTo>
                                <a:close/>
                              </a:path>
                            </a:pathLst>
                          </a:custGeom>
                          <a:solidFill>
                            <a:srgbClr val="2B5E8A"/>
                          </a:solidFill>
                        </wps:spPr>
                        <wps:bodyPr wrap="square" lIns="0" tIns="0" rIns="0" bIns="0" rtlCol="0">
                          <a:prstTxWarp prst="textNoShape">
                            <a:avLst/>
                          </a:prstTxWarp>
                          <a:noAutofit/>
                        </wps:bodyPr>
                      </wps:wsp>
                      <wps:wsp>
                        <wps:cNvPr id="313" name="Graphic 313"/>
                        <wps:cNvSpPr/>
                        <wps:spPr>
                          <a:xfrm>
                            <a:off x="4096995" y="2900295"/>
                            <a:ext cx="101600" cy="1270"/>
                          </a:xfrm>
                          <a:custGeom>
                            <a:avLst/>
                            <a:gdLst/>
                            <a:ahLst/>
                            <a:cxnLst/>
                            <a:rect l="l" t="t" r="r" b="b"/>
                            <a:pathLst>
                              <a:path w="101600" h="0">
                                <a:moveTo>
                                  <a:pt x="0" y="0"/>
                                </a:moveTo>
                                <a:lnTo>
                                  <a:pt x="101155" y="0"/>
                                </a:lnTo>
                                <a:lnTo>
                                  <a:pt x="0" y="0"/>
                                </a:lnTo>
                                <a:close/>
                              </a:path>
                            </a:pathLst>
                          </a:custGeom>
                          <a:ln w="5801">
                            <a:solidFill>
                              <a:srgbClr val="FFFFFF"/>
                            </a:solidFill>
                            <a:prstDash val="solid"/>
                          </a:ln>
                        </wps:spPr>
                        <wps:bodyPr wrap="square" lIns="0" tIns="0" rIns="0" bIns="0" rtlCol="0">
                          <a:prstTxWarp prst="textNoShape">
                            <a:avLst/>
                          </a:prstTxWarp>
                          <a:noAutofit/>
                        </wps:bodyPr>
                      </wps:wsp>
                      <wps:wsp>
                        <wps:cNvPr id="314" name="Graphic 314"/>
                        <wps:cNvSpPr/>
                        <wps:spPr>
                          <a:xfrm>
                            <a:off x="4198151" y="2855745"/>
                            <a:ext cx="101600" cy="45085"/>
                          </a:xfrm>
                          <a:custGeom>
                            <a:avLst/>
                            <a:gdLst/>
                            <a:ahLst/>
                            <a:cxnLst/>
                            <a:rect l="l" t="t" r="r" b="b"/>
                            <a:pathLst>
                              <a:path w="101600" h="45085">
                                <a:moveTo>
                                  <a:pt x="101155" y="0"/>
                                </a:moveTo>
                                <a:lnTo>
                                  <a:pt x="0" y="0"/>
                                </a:lnTo>
                                <a:lnTo>
                                  <a:pt x="0" y="44550"/>
                                </a:lnTo>
                                <a:lnTo>
                                  <a:pt x="101155" y="44550"/>
                                </a:lnTo>
                                <a:lnTo>
                                  <a:pt x="101155" y="0"/>
                                </a:lnTo>
                                <a:close/>
                              </a:path>
                            </a:pathLst>
                          </a:custGeom>
                          <a:solidFill>
                            <a:srgbClr val="2B5E8A"/>
                          </a:solidFill>
                        </wps:spPr>
                        <wps:bodyPr wrap="square" lIns="0" tIns="0" rIns="0" bIns="0" rtlCol="0">
                          <a:prstTxWarp prst="textNoShape">
                            <a:avLst/>
                          </a:prstTxWarp>
                          <a:noAutofit/>
                        </wps:bodyPr>
                      </wps:wsp>
                      <wps:wsp>
                        <wps:cNvPr id="315" name="Graphic 315"/>
                        <wps:cNvSpPr/>
                        <wps:spPr>
                          <a:xfrm>
                            <a:off x="4198151" y="2855745"/>
                            <a:ext cx="101600" cy="45085"/>
                          </a:xfrm>
                          <a:custGeom>
                            <a:avLst/>
                            <a:gdLst/>
                            <a:ahLst/>
                            <a:cxnLst/>
                            <a:rect l="l" t="t" r="r" b="b"/>
                            <a:pathLst>
                              <a:path w="101600" h="45085">
                                <a:moveTo>
                                  <a:pt x="0" y="44550"/>
                                </a:moveTo>
                                <a:lnTo>
                                  <a:pt x="101155" y="44550"/>
                                </a:lnTo>
                                <a:lnTo>
                                  <a:pt x="101155" y="0"/>
                                </a:lnTo>
                                <a:lnTo>
                                  <a:pt x="0" y="0"/>
                                </a:lnTo>
                                <a:lnTo>
                                  <a:pt x="0" y="44550"/>
                                </a:lnTo>
                                <a:close/>
                              </a:path>
                            </a:pathLst>
                          </a:custGeom>
                          <a:ln w="5801">
                            <a:solidFill>
                              <a:srgbClr val="FFFFFF"/>
                            </a:solidFill>
                            <a:prstDash val="solid"/>
                          </a:ln>
                        </wps:spPr>
                        <wps:bodyPr wrap="square" lIns="0" tIns="0" rIns="0" bIns="0" rtlCol="0">
                          <a:prstTxWarp prst="textNoShape">
                            <a:avLst/>
                          </a:prstTxWarp>
                          <a:noAutofit/>
                        </wps:bodyPr>
                      </wps:wsp>
                      <wps:wsp>
                        <wps:cNvPr id="316" name="Graphic 316"/>
                        <wps:cNvSpPr/>
                        <wps:spPr>
                          <a:xfrm>
                            <a:off x="237748"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17" name="Graphic 317"/>
                        <wps:cNvSpPr/>
                        <wps:spPr>
                          <a:xfrm>
                            <a:off x="237748"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18" name="Graphic 318"/>
                        <wps:cNvSpPr/>
                        <wps:spPr>
                          <a:xfrm>
                            <a:off x="237748"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19" name="Graphic 319"/>
                        <wps:cNvSpPr/>
                        <wps:spPr>
                          <a:xfrm>
                            <a:off x="748507"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0" name="Graphic 320"/>
                        <wps:cNvSpPr/>
                        <wps:spPr>
                          <a:xfrm>
                            <a:off x="748507"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1" name="Graphic 321"/>
                        <wps:cNvSpPr/>
                        <wps:spPr>
                          <a:xfrm>
                            <a:off x="748507"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2" name="Graphic 322"/>
                        <wps:cNvSpPr/>
                        <wps:spPr>
                          <a:xfrm>
                            <a:off x="1259267"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3" name="Graphic 323"/>
                        <wps:cNvSpPr/>
                        <wps:spPr>
                          <a:xfrm>
                            <a:off x="1259267"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4" name="Graphic 324"/>
                        <wps:cNvSpPr/>
                        <wps:spPr>
                          <a:xfrm>
                            <a:off x="1259267"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5" name="Graphic 325"/>
                        <wps:cNvSpPr/>
                        <wps:spPr>
                          <a:xfrm>
                            <a:off x="1770026"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6" name="Graphic 326"/>
                        <wps:cNvSpPr/>
                        <wps:spPr>
                          <a:xfrm>
                            <a:off x="1770026"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27" name="Graphic 327"/>
                        <wps:cNvSpPr/>
                        <wps:spPr>
                          <a:xfrm>
                            <a:off x="1770026"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28" name="Graphic 328"/>
                        <wps:cNvSpPr/>
                        <wps:spPr>
                          <a:xfrm>
                            <a:off x="2280785"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29" name="Graphic 329"/>
                        <wps:cNvSpPr/>
                        <wps:spPr>
                          <a:xfrm>
                            <a:off x="2280785"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0" name="Graphic 330"/>
                        <wps:cNvSpPr/>
                        <wps:spPr>
                          <a:xfrm>
                            <a:off x="2280785"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1" name="Graphic 331"/>
                        <wps:cNvSpPr/>
                        <wps:spPr>
                          <a:xfrm>
                            <a:off x="2791545"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2" name="Graphic 332"/>
                        <wps:cNvSpPr/>
                        <wps:spPr>
                          <a:xfrm>
                            <a:off x="2791545"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3" name="Graphic 333"/>
                        <wps:cNvSpPr/>
                        <wps:spPr>
                          <a:xfrm>
                            <a:off x="2791545"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4" name="Graphic 334"/>
                        <wps:cNvSpPr/>
                        <wps:spPr>
                          <a:xfrm>
                            <a:off x="3302304"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5" name="Graphic 335"/>
                        <wps:cNvSpPr/>
                        <wps:spPr>
                          <a:xfrm>
                            <a:off x="3302304"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6" name="Graphic 336"/>
                        <wps:cNvSpPr/>
                        <wps:spPr>
                          <a:xfrm>
                            <a:off x="3302304"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37" name="Graphic 337"/>
                        <wps:cNvSpPr/>
                        <wps:spPr>
                          <a:xfrm>
                            <a:off x="3813064"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38" name="Graphic 338"/>
                        <wps:cNvSpPr/>
                        <wps:spPr>
                          <a:xfrm>
                            <a:off x="3813064"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39" name="Graphic 339"/>
                        <wps:cNvSpPr/>
                        <wps:spPr>
                          <a:xfrm>
                            <a:off x="3813064"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40" name="Graphic 340"/>
                        <wps:cNvSpPr/>
                        <wps:spPr>
                          <a:xfrm>
                            <a:off x="4323823" y="5801"/>
                            <a:ext cx="1270" cy="2894965"/>
                          </a:xfrm>
                          <a:custGeom>
                            <a:avLst/>
                            <a:gdLst/>
                            <a:ahLst/>
                            <a:cxnLst/>
                            <a:rect l="l" t="t" r="r" b="b"/>
                            <a:pathLst>
                              <a:path w="0" h="2894965">
                                <a:moveTo>
                                  <a:pt x="0" y="2894494"/>
                                </a:moveTo>
                                <a:lnTo>
                                  <a:pt x="0" y="0"/>
                                </a:lnTo>
                              </a:path>
                            </a:pathLst>
                          </a:custGeom>
                          <a:ln w="11602">
                            <a:solidFill>
                              <a:srgbClr val="AFAFAF"/>
                            </a:solidFill>
                            <a:prstDash val="solid"/>
                          </a:ln>
                        </wps:spPr>
                        <wps:bodyPr wrap="square" lIns="0" tIns="0" rIns="0" bIns="0" rtlCol="0">
                          <a:prstTxWarp prst="textNoShape">
                            <a:avLst/>
                          </a:prstTxWarp>
                          <a:noAutofit/>
                        </wps:bodyPr>
                      </wps:wsp>
                      <wps:wsp>
                        <wps:cNvPr id="341" name="Graphic 341"/>
                        <wps:cNvSpPr/>
                        <wps:spPr>
                          <a:xfrm>
                            <a:off x="4323823" y="2900295"/>
                            <a:ext cx="1270" cy="50800"/>
                          </a:xfrm>
                          <a:custGeom>
                            <a:avLst/>
                            <a:gdLst/>
                            <a:ahLst/>
                            <a:cxnLst/>
                            <a:rect l="l" t="t" r="r" b="b"/>
                            <a:pathLst>
                              <a:path w="0" h="50800">
                                <a:moveTo>
                                  <a:pt x="0" y="0"/>
                                </a:moveTo>
                                <a:lnTo>
                                  <a:pt x="0" y="50759"/>
                                </a:lnTo>
                              </a:path>
                            </a:pathLst>
                          </a:custGeom>
                          <a:solidFill>
                            <a:srgbClr val="000000"/>
                          </a:solidFill>
                        </wps:spPr>
                        <wps:bodyPr wrap="square" lIns="0" tIns="0" rIns="0" bIns="0" rtlCol="0">
                          <a:prstTxWarp prst="textNoShape">
                            <a:avLst/>
                          </a:prstTxWarp>
                          <a:noAutofit/>
                        </wps:bodyPr>
                      </wps:wsp>
                      <wps:wsp>
                        <wps:cNvPr id="342" name="Graphic 342"/>
                        <wps:cNvSpPr/>
                        <wps:spPr>
                          <a:xfrm>
                            <a:off x="4323823" y="2900295"/>
                            <a:ext cx="1270" cy="50800"/>
                          </a:xfrm>
                          <a:custGeom>
                            <a:avLst/>
                            <a:gdLst/>
                            <a:ahLst/>
                            <a:cxnLst/>
                            <a:rect l="l" t="t" r="r" b="b"/>
                            <a:pathLst>
                              <a:path w="0" h="50800">
                                <a:moveTo>
                                  <a:pt x="0" y="0"/>
                                </a:moveTo>
                                <a:lnTo>
                                  <a:pt x="0" y="50759"/>
                                </a:lnTo>
                              </a:path>
                            </a:pathLst>
                          </a:custGeom>
                          <a:ln w="11602">
                            <a:solidFill>
                              <a:srgbClr val="000000"/>
                            </a:solidFill>
                            <a:prstDash val="solid"/>
                          </a:ln>
                        </wps:spPr>
                        <wps:bodyPr wrap="square" lIns="0" tIns="0" rIns="0" bIns="0" rtlCol="0">
                          <a:prstTxWarp prst="textNoShape">
                            <a:avLst/>
                          </a:prstTxWarp>
                          <a:noAutofit/>
                        </wps:bodyPr>
                      </wps:wsp>
                      <wps:wsp>
                        <wps:cNvPr id="343" name="Graphic 343"/>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AFAFAF"/>
                          </a:solidFill>
                        </wps:spPr>
                        <wps:bodyPr wrap="square" lIns="0" tIns="0" rIns="0" bIns="0" rtlCol="0">
                          <a:prstTxWarp prst="textNoShape">
                            <a:avLst/>
                          </a:prstTxWarp>
                          <a:noAutofit/>
                        </wps:bodyPr>
                      </wps:wsp>
                      <wps:wsp>
                        <wps:cNvPr id="344" name="Graphic 344"/>
                        <wps:cNvSpPr/>
                        <wps:spPr>
                          <a:xfrm>
                            <a:off x="0" y="2900295"/>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45" name="Graphic 345"/>
                        <wps:cNvSpPr/>
                        <wps:spPr>
                          <a:xfrm>
                            <a:off x="0" y="2900295"/>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6" name="Graphic 346"/>
                        <wps:cNvSpPr/>
                        <wps:spPr>
                          <a:xfrm>
                            <a:off x="50759" y="2509501"/>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47" name="Graphic 347"/>
                        <wps:cNvSpPr/>
                        <wps:spPr>
                          <a:xfrm>
                            <a:off x="0" y="2509501"/>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48" name="Graphic 348"/>
                        <wps:cNvSpPr/>
                        <wps:spPr>
                          <a:xfrm>
                            <a:off x="0" y="2509501"/>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49" name="Graphic 349"/>
                        <wps:cNvSpPr/>
                        <wps:spPr>
                          <a:xfrm>
                            <a:off x="50759" y="2118707"/>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0" name="Graphic 350"/>
                        <wps:cNvSpPr/>
                        <wps:spPr>
                          <a:xfrm>
                            <a:off x="0" y="2118707"/>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1" name="Graphic 351"/>
                        <wps:cNvSpPr/>
                        <wps:spPr>
                          <a:xfrm>
                            <a:off x="0" y="2118707"/>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2" name="Graphic 352"/>
                        <wps:cNvSpPr/>
                        <wps:spPr>
                          <a:xfrm>
                            <a:off x="50759" y="1727913"/>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3" name="Graphic 353"/>
                        <wps:cNvSpPr/>
                        <wps:spPr>
                          <a:xfrm>
                            <a:off x="0" y="1727913"/>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4" name="Graphic 354"/>
                        <wps:cNvSpPr/>
                        <wps:spPr>
                          <a:xfrm>
                            <a:off x="0" y="1727913"/>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5" name="Graphic 355"/>
                        <wps:cNvSpPr/>
                        <wps:spPr>
                          <a:xfrm>
                            <a:off x="50759" y="1337119"/>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6" name="Graphic 356"/>
                        <wps:cNvSpPr/>
                        <wps:spPr>
                          <a:xfrm>
                            <a:off x="0" y="1337119"/>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57" name="Graphic 357"/>
                        <wps:cNvSpPr/>
                        <wps:spPr>
                          <a:xfrm>
                            <a:off x="0" y="1337119"/>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58" name="Graphic 358"/>
                        <wps:cNvSpPr/>
                        <wps:spPr>
                          <a:xfrm>
                            <a:off x="50759" y="946325"/>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59" name="Graphic 359"/>
                        <wps:cNvSpPr/>
                        <wps:spPr>
                          <a:xfrm>
                            <a:off x="0" y="946325"/>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0" name="Graphic 360"/>
                        <wps:cNvSpPr/>
                        <wps:spPr>
                          <a:xfrm>
                            <a:off x="0" y="946325"/>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1" name="Graphic 361"/>
                        <wps:cNvSpPr/>
                        <wps:spPr>
                          <a:xfrm>
                            <a:off x="50759" y="555531"/>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2" name="Graphic 362"/>
                        <wps:cNvSpPr/>
                        <wps:spPr>
                          <a:xfrm>
                            <a:off x="0" y="555531"/>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3" name="Graphic 363"/>
                        <wps:cNvSpPr/>
                        <wps:spPr>
                          <a:xfrm>
                            <a:off x="0" y="555531"/>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4" name="Graphic 364"/>
                        <wps:cNvSpPr/>
                        <wps:spPr>
                          <a:xfrm>
                            <a:off x="50759" y="164737"/>
                            <a:ext cx="4451350" cy="1270"/>
                          </a:xfrm>
                          <a:custGeom>
                            <a:avLst/>
                            <a:gdLst/>
                            <a:ahLst/>
                            <a:cxnLst/>
                            <a:rect l="l" t="t" r="r" b="b"/>
                            <a:pathLst>
                              <a:path w="4451350" h="0">
                                <a:moveTo>
                                  <a:pt x="0" y="0"/>
                                </a:moveTo>
                                <a:lnTo>
                                  <a:pt x="4450859" y="0"/>
                                </a:lnTo>
                              </a:path>
                            </a:pathLst>
                          </a:custGeom>
                          <a:ln w="11602">
                            <a:solidFill>
                              <a:srgbClr val="AFAFAF"/>
                            </a:solidFill>
                            <a:prstDash val="solid"/>
                          </a:ln>
                        </wps:spPr>
                        <wps:bodyPr wrap="square" lIns="0" tIns="0" rIns="0" bIns="0" rtlCol="0">
                          <a:prstTxWarp prst="textNoShape">
                            <a:avLst/>
                          </a:prstTxWarp>
                          <a:noAutofit/>
                        </wps:bodyPr>
                      </wps:wsp>
                      <wps:wsp>
                        <wps:cNvPr id="365" name="Graphic 365"/>
                        <wps:cNvSpPr/>
                        <wps:spPr>
                          <a:xfrm>
                            <a:off x="0" y="164737"/>
                            <a:ext cx="50800" cy="1270"/>
                          </a:xfrm>
                          <a:custGeom>
                            <a:avLst/>
                            <a:gdLst/>
                            <a:ahLst/>
                            <a:cxnLst/>
                            <a:rect l="l" t="t" r="r" b="b"/>
                            <a:pathLst>
                              <a:path w="50800" h="0">
                                <a:moveTo>
                                  <a:pt x="50759" y="0"/>
                                </a:moveTo>
                                <a:lnTo>
                                  <a:pt x="0" y="0"/>
                                </a:lnTo>
                              </a:path>
                            </a:pathLst>
                          </a:custGeom>
                          <a:solidFill>
                            <a:srgbClr val="000000"/>
                          </a:solidFill>
                        </wps:spPr>
                        <wps:bodyPr wrap="square" lIns="0" tIns="0" rIns="0" bIns="0" rtlCol="0">
                          <a:prstTxWarp prst="textNoShape">
                            <a:avLst/>
                          </a:prstTxWarp>
                          <a:noAutofit/>
                        </wps:bodyPr>
                      </wps:wsp>
                      <wps:wsp>
                        <wps:cNvPr id="366" name="Graphic 366"/>
                        <wps:cNvSpPr/>
                        <wps:spPr>
                          <a:xfrm>
                            <a:off x="0" y="164737"/>
                            <a:ext cx="50800" cy="1270"/>
                          </a:xfrm>
                          <a:custGeom>
                            <a:avLst/>
                            <a:gdLst/>
                            <a:ahLst/>
                            <a:cxnLst/>
                            <a:rect l="l" t="t" r="r" b="b"/>
                            <a:pathLst>
                              <a:path w="50800" h="0">
                                <a:moveTo>
                                  <a:pt x="50759" y="0"/>
                                </a:moveTo>
                                <a:lnTo>
                                  <a:pt x="0" y="0"/>
                                </a:lnTo>
                              </a:path>
                            </a:pathLst>
                          </a:custGeom>
                          <a:ln w="11602">
                            <a:solidFill>
                              <a:srgbClr val="000000"/>
                            </a:solidFill>
                            <a:prstDash val="solid"/>
                          </a:ln>
                        </wps:spPr>
                        <wps:bodyPr wrap="square" lIns="0" tIns="0" rIns="0" bIns="0" rtlCol="0">
                          <a:prstTxWarp prst="textNoShape">
                            <a:avLst/>
                          </a:prstTxWarp>
                          <a:noAutofit/>
                        </wps:bodyPr>
                      </wps:wsp>
                      <wps:wsp>
                        <wps:cNvPr id="367" name="Graphic 367"/>
                        <wps:cNvSpPr/>
                        <wps:spPr>
                          <a:xfrm>
                            <a:off x="50759" y="5801"/>
                            <a:ext cx="4451350" cy="2894965"/>
                          </a:xfrm>
                          <a:custGeom>
                            <a:avLst/>
                            <a:gdLst/>
                            <a:ahLst/>
                            <a:cxnLst/>
                            <a:rect l="l" t="t" r="r" b="b"/>
                            <a:pathLst>
                              <a:path w="4451350" h="2894965">
                                <a:moveTo>
                                  <a:pt x="0" y="2894494"/>
                                </a:moveTo>
                                <a:lnTo>
                                  <a:pt x="0" y="0"/>
                                </a:lnTo>
                              </a:path>
                              <a:path w="4451350" h="2894965">
                                <a:moveTo>
                                  <a:pt x="4450859" y="2894494"/>
                                </a:moveTo>
                                <a:lnTo>
                                  <a:pt x="4450859" y="0"/>
                                </a:lnTo>
                              </a:path>
                            </a:pathLst>
                          </a:custGeom>
                          <a:ln w="11602">
                            <a:solidFill>
                              <a:srgbClr val="000000"/>
                            </a:solidFill>
                            <a:prstDash val="solid"/>
                          </a:ln>
                        </wps:spPr>
                        <wps:bodyPr wrap="square" lIns="0" tIns="0" rIns="0" bIns="0" rtlCol="0">
                          <a:prstTxWarp prst="textNoShape">
                            <a:avLst/>
                          </a:prstTxWarp>
                          <a:noAutofit/>
                        </wps:bodyPr>
                      </wps:wsp>
                      <wps:wsp>
                        <wps:cNvPr id="368" name="Graphic 368"/>
                        <wps:cNvSpPr/>
                        <wps:spPr>
                          <a:xfrm>
                            <a:off x="50759" y="2894494"/>
                            <a:ext cx="4451350" cy="12065"/>
                          </a:xfrm>
                          <a:custGeom>
                            <a:avLst/>
                            <a:gdLst/>
                            <a:ahLst/>
                            <a:cxnLst/>
                            <a:rect l="l" t="t" r="r" b="b"/>
                            <a:pathLst>
                              <a:path w="4451350" h="12065">
                                <a:moveTo>
                                  <a:pt x="0" y="11602"/>
                                </a:moveTo>
                                <a:lnTo>
                                  <a:pt x="4450859" y="11602"/>
                                </a:lnTo>
                                <a:lnTo>
                                  <a:pt x="4450859" y="0"/>
                                </a:lnTo>
                                <a:lnTo>
                                  <a:pt x="0" y="0"/>
                                </a:lnTo>
                                <a:lnTo>
                                  <a:pt x="0" y="11602"/>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50759" y="5801"/>
                            <a:ext cx="4451350" cy="1270"/>
                          </a:xfrm>
                          <a:custGeom>
                            <a:avLst/>
                            <a:gdLst/>
                            <a:ahLst/>
                            <a:cxnLst/>
                            <a:rect l="l" t="t" r="r" b="b"/>
                            <a:pathLst>
                              <a:path w="4451350" h="0">
                                <a:moveTo>
                                  <a:pt x="0" y="0"/>
                                </a:moveTo>
                                <a:lnTo>
                                  <a:pt x="4450859" y="0"/>
                                </a:lnTo>
                              </a:path>
                            </a:pathLst>
                          </a:custGeom>
                          <a:ln w="1160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511322pt;margin-top:-4.718059pt;width:354.95pt;height:232.4pt;mso-position-horizontal-relative:page;mso-position-vertical-relative:paragraph;z-index:15768576" id="docshapegroup166" coordorigin="2910,-94" coordsize="7099,4648">
                <v:shape style="position:absolute;left:3308;top:131;width:319;height:4342" id="docshape167" coordorigin="3309,132" coordsize="319,4342" path="m3627,3632l3468,3632,3468,132,3309,132,3309,4473,3468,4473,3627,4473,3627,3632xe" filled="true" fillcolor="#2b5e8a" stroked="false">
                  <v:path arrowok="t"/>
                  <v:fill type="solid"/>
                </v:shape>
                <v:rect style="position:absolute;left:3468;top:3632;width:160;height:841" id="docshape168" filled="false" stroked="true" strokeweight=".456776pt" strokecolor="#ffffff">
                  <v:stroke dashstyle="solid"/>
                </v:rect>
                <v:rect style="position:absolute;left:3627;top:4077;width:160;height:396" id="docshape169" filled="true" fillcolor="#2b5e8a" stroked="false">
                  <v:fill type="solid"/>
                </v:rect>
                <v:rect style="position:absolute;left:3627;top:4077;width:160;height:396" id="docshape170" filled="false" stroked="true" strokeweight=".456776pt" strokecolor="#ffffff">
                  <v:stroke dashstyle="solid"/>
                </v:rect>
                <v:rect style="position:absolute;left:3786;top:4219;width:160;height:254" id="docshape171" filled="true" fillcolor="#2b5e8a" stroked="false">
                  <v:fill type="solid"/>
                </v:rect>
                <v:rect style="position:absolute;left:3786;top:4219;width:160;height:254" id="docshape172" filled="false" stroked="true" strokeweight=".456776pt" strokecolor="#ffffff">
                  <v:stroke dashstyle="solid"/>
                </v:rect>
                <v:rect style="position:absolute;left:3945;top:4279;width:160;height:194" id="docshape173" filled="true" fillcolor="#2b5e8a" stroked="false">
                  <v:fill type="solid"/>
                </v:rect>
                <v:rect style="position:absolute;left:3945;top:4279;width:160;height:194" id="docshape174" filled="false" stroked="true" strokeweight=".456776pt" strokecolor="#ffffff">
                  <v:stroke dashstyle="solid"/>
                </v:rect>
                <v:rect style="position:absolute;left:4105;top:4341;width:160;height:132" id="docshape175" filled="true" fillcolor="#2b5e8a" stroked="false">
                  <v:fill type="solid"/>
                </v:rect>
                <v:rect style="position:absolute;left:4105;top:4341;width:160;height:132" id="docshape176" filled="false" stroked="true" strokeweight=".456776pt" strokecolor="#ffffff">
                  <v:stroke dashstyle="solid"/>
                </v:rect>
                <v:rect style="position:absolute;left:4264;top:4383;width:160;height:90" id="docshape177" filled="true" fillcolor="#2b5e8a" stroked="false">
                  <v:fill type="solid"/>
                </v:rect>
                <v:rect style="position:absolute;left:4264;top:4383;width:160;height:90" id="docshape178" filled="false" stroked="true" strokeweight=".456776pt" strokecolor="#ffffff">
                  <v:stroke dashstyle="solid"/>
                </v:rect>
                <v:rect style="position:absolute;left:4423;top:4388;width:160;height:85" id="docshape179" filled="true" fillcolor="#2b5e8a" stroked="false">
                  <v:fill type="solid"/>
                </v:rect>
                <v:rect style="position:absolute;left:4423;top:4388;width:160;height:85" id="docshape180" filled="false" stroked="true" strokeweight=".456776pt" strokecolor="#ffffff">
                  <v:stroke dashstyle="solid"/>
                </v:rect>
                <v:rect style="position:absolute;left:4583;top:4418;width:160;height:55" id="docshape181" filled="true" fillcolor="#2b5e8a" stroked="false">
                  <v:fill type="solid"/>
                </v:rect>
                <v:rect style="position:absolute;left:4583;top:4418;width:160;height:55" id="docshape182" filled="false" stroked="true" strokeweight=".456776pt" strokecolor="#ffffff">
                  <v:stroke dashstyle="solid"/>
                </v:rect>
                <v:rect style="position:absolute;left:4742;top:4432;width:160;height:41" id="docshape183" filled="true" fillcolor="#2b5e8a" stroked="false">
                  <v:fill type="solid"/>
                </v:rect>
                <v:rect style="position:absolute;left:4742;top:4432;width:160;height:41" id="docshape184" filled="false" stroked="true" strokeweight=".456776pt" strokecolor="#ffffff">
                  <v:stroke dashstyle="solid"/>
                </v:rect>
                <v:rect style="position:absolute;left:4901;top:4436;width:160;height:37" id="docshape185" filled="true" fillcolor="#2b5e8a" stroked="false">
                  <v:fill type="solid"/>
                </v:rect>
                <v:rect style="position:absolute;left:4901;top:4436;width:160;height:37" id="docshape186" filled="false" stroked="true" strokeweight=".456776pt" strokecolor="#ffffff">
                  <v:stroke dashstyle="solid"/>
                </v:rect>
                <v:rect style="position:absolute;left:5061;top:4439;width:160;height:34" id="docshape187" filled="true" fillcolor="#2b5e8a" stroked="false">
                  <v:fill type="solid"/>
                </v:rect>
                <v:rect style="position:absolute;left:5061;top:4439;width:160;height:34" id="docshape188" filled="false" stroked="true" strokeweight=".456776pt" strokecolor="#ffffff">
                  <v:stroke dashstyle="solid"/>
                </v:rect>
                <v:rect style="position:absolute;left:5220;top:4454;width:160;height:19" id="docshape189" filled="true" fillcolor="#2b5e8a" stroked="false">
                  <v:fill type="solid"/>
                </v:rect>
                <v:rect style="position:absolute;left:5220;top:4454;width:160;height:19" id="docshape190" filled="false" stroked="true" strokeweight=".456776pt" strokecolor="#ffffff">
                  <v:stroke dashstyle="solid"/>
                </v:rect>
                <v:rect style="position:absolute;left:5379;top:4442;width:160;height:31" id="docshape191" filled="true" fillcolor="#2b5e8a" stroked="false">
                  <v:fill type="solid"/>
                </v:rect>
                <v:rect style="position:absolute;left:5379;top:4442;width:160;height:31" id="docshape192" filled="false" stroked="true" strokeweight=".456776pt" strokecolor="#ffffff">
                  <v:stroke dashstyle="solid"/>
                </v:rect>
                <v:rect style="position:absolute;left:5538;top:4457;width:160;height:16" id="docshape193" filled="true" fillcolor="#2b5e8a" stroked="false">
                  <v:fill type="solid"/>
                </v:rect>
                <v:rect style="position:absolute;left:5538;top:4457;width:160;height:16" id="docshape194" filled="false" stroked="true" strokeweight=".456776pt" strokecolor="#ffffff">
                  <v:stroke dashstyle="solid"/>
                </v:rect>
                <v:rect style="position:absolute;left:5698;top:4458;width:160;height:15" id="docshape195" filled="true" fillcolor="#2b5e8a" stroked="false">
                  <v:fill type="solid"/>
                </v:rect>
                <v:rect style="position:absolute;left:5698;top:4458;width:160;height:15" id="docshape196" filled="false" stroked="true" strokeweight=".456776pt" strokecolor="#ffffff">
                  <v:stroke dashstyle="solid"/>
                </v:rect>
                <v:rect style="position:absolute;left:5857;top:4459;width:160;height:14" id="docshape197" filled="true" fillcolor="#2b5e8a" stroked="false">
                  <v:fill type="solid"/>
                </v:rect>
                <v:rect style="position:absolute;left:5857;top:4459;width:160;height:14" id="docshape198" filled="false" stroked="true" strokeweight=".456776pt" strokecolor="#ffffff">
                  <v:stroke dashstyle="solid"/>
                </v:rect>
                <v:rect style="position:absolute;left:6016;top:4455;width:160;height:18" id="docshape199" filled="true" fillcolor="#2b5e8a" stroked="false">
                  <v:fill type="solid"/>
                </v:rect>
                <v:rect style="position:absolute;left:6016;top:4455;width:160;height:18" id="docshape200" filled="false" stroked="true" strokeweight=".456776pt" strokecolor="#ffffff">
                  <v:stroke dashstyle="solid"/>
                </v:rect>
                <v:rect style="position:absolute;left:6176;top:4460;width:160;height:13" id="docshape201" filled="true" fillcolor="#2b5e8a" stroked="false">
                  <v:fill type="solid"/>
                </v:rect>
                <v:rect style="position:absolute;left:6176;top:4460;width:160;height:13" id="docshape202" filled="false" stroked="true" strokeweight=".456776pt" strokecolor="#ffffff">
                  <v:stroke dashstyle="solid"/>
                </v:rect>
                <v:rect style="position:absolute;left:6335;top:4463;width:160;height:10" id="docshape203" filled="true" fillcolor="#2b5e8a" stroked="false">
                  <v:fill type="solid"/>
                </v:rect>
                <v:rect style="position:absolute;left:6335;top:4463;width:160;height:10" id="docshape204" filled="false" stroked="true" strokeweight=".456776pt" strokecolor="#ffffff">
                  <v:stroke dashstyle="solid"/>
                </v:rect>
                <v:rect style="position:absolute;left:6494;top:4463;width:160;height:10" id="docshape205" filled="true" fillcolor="#2b5e8a" stroked="false">
                  <v:fill type="solid"/>
                </v:rect>
                <v:rect style="position:absolute;left:6494;top:4463;width:160;height:10" id="docshape206" filled="false" stroked="true" strokeweight=".456776pt" strokecolor="#ffffff">
                  <v:stroke dashstyle="solid"/>
                </v:rect>
                <v:rect style="position:absolute;left:6654;top:4461;width:160;height:12" id="docshape207" filled="true" fillcolor="#2b5e8a" stroked="false">
                  <v:fill type="solid"/>
                </v:rect>
                <v:rect style="position:absolute;left:6654;top:4461;width:160;height:12" id="docshape208" filled="false" stroked="true" strokeweight=".456776pt" strokecolor="#ffffff">
                  <v:stroke dashstyle="solid"/>
                </v:rect>
                <v:rect style="position:absolute;left:6813;top:4461;width:160;height:12" id="docshape209" filled="true" fillcolor="#2b5e8a" stroked="false">
                  <v:fill type="solid"/>
                </v:rect>
                <v:rect style="position:absolute;left:6813;top:4461;width:160;height:12" id="docshape210" filled="false" stroked="true" strokeweight=".456776pt" strokecolor="#ffffff">
                  <v:stroke dashstyle="solid"/>
                </v:rect>
                <v:rect style="position:absolute;left:6972;top:4465;width:160;height:8" id="docshape211" filled="true" fillcolor="#2b5e8a" stroked="false">
                  <v:fill type="solid"/>
                </v:rect>
                <v:rect style="position:absolute;left:6972;top:4465;width:160;height:8" id="docshape212" filled="false" stroked="true" strokeweight=".456776pt" strokecolor="#ffffff">
                  <v:stroke dashstyle="solid"/>
                </v:rect>
                <v:rect style="position:absolute;left:7131;top:4468;width:160;height:5" id="docshape213" filled="true" fillcolor="#2b5e8a" stroked="false">
                  <v:fill type="solid"/>
                </v:rect>
                <v:rect style="position:absolute;left:7131;top:4468;width:160;height:5" id="docshape214" filled="false" stroked="true" strokeweight=".456776pt" strokecolor="#ffffff">
                  <v:stroke dashstyle="solid"/>
                </v:rect>
                <v:rect style="position:absolute;left:7291;top:4469;width:160;height:4" id="docshape215" filled="true" fillcolor="#2b5e8a" stroked="false">
                  <v:fill type="solid"/>
                </v:rect>
                <v:rect style="position:absolute;left:7291;top:4469;width:160;height:4" id="docshape216" filled="false" stroked="true" strokeweight=".456776pt" strokecolor="#ffffff">
                  <v:stroke dashstyle="solid"/>
                </v:rect>
                <v:rect style="position:absolute;left:7450;top:4465;width:160;height:8" id="docshape217" filled="true" fillcolor="#2b5e8a" stroked="false">
                  <v:fill type="solid"/>
                </v:rect>
                <v:rect style="position:absolute;left:7450;top:4465;width:160;height:8" id="docshape218" filled="false" stroked="true" strokeweight=".456776pt" strokecolor="#ffffff">
                  <v:stroke dashstyle="solid"/>
                </v:rect>
                <v:rect style="position:absolute;left:7609;top:4469;width:160;height:4" id="docshape219" filled="true" fillcolor="#2b5e8a" stroked="false">
                  <v:fill type="solid"/>
                </v:rect>
                <v:rect style="position:absolute;left:7609;top:4469;width:160;height:4" id="docshape220" filled="false" stroked="true" strokeweight=".456776pt" strokecolor="#ffffff">
                  <v:stroke dashstyle="solid"/>
                </v:rect>
                <v:rect style="position:absolute;left:7769;top:4464;width:160;height:9" id="docshape221" filled="true" fillcolor="#2b5e8a" stroked="false">
                  <v:fill type="solid"/>
                </v:rect>
                <v:rect style="position:absolute;left:7769;top:4464;width:160;height:9" id="docshape222" filled="false" stroked="true" strokeweight=".456776pt" strokecolor="#ffffff">
                  <v:stroke dashstyle="solid"/>
                </v:rect>
                <v:rect style="position:absolute;left:7928;top:4471;width:160;height:2" id="docshape223" filled="true" fillcolor="#2b5e8a" stroked="false">
                  <v:fill type="solid"/>
                </v:rect>
                <v:rect style="position:absolute;left:7928;top:4471;width:160;height:2" id="docshape224" filled="false" stroked="true" strokeweight=".456776pt" strokecolor="#ffffff">
                  <v:stroke dashstyle="solid"/>
                </v:rect>
                <v:rect style="position:absolute;left:8087;top:4469;width:160;height:4" id="docshape225" filled="true" fillcolor="#2b5e8a" stroked="false">
                  <v:fill type="solid"/>
                </v:rect>
                <v:rect style="position:absolute;left:8087;top:4469;width:160;height:4" id="docshape226" filled="false" stroked="true" strokeweight=".456776pt" strokecolor="#ffffff">
                  <v:stroke dashstyle="solid"/>
                </v:rect>
                <v:rect style="position:absolute;left:8247;top:4469;width:160;height:4" id="docshape227" filled="true" fillcolor="#2b5e8a" stroked="false">
                  <v:fill type="solid"/>
                </v:rect>
                <v:rect style="position:absolute;left:8247;top:4469;width:160;height:4" id="docshape228" filled="false" stroked="true" strokeweight=".456776pt" strokecolor="#ffffff">
                  <v:stroke dashstyle="solid"/>
                </v:rect>
                <v:rect style="position:absolute;left:8406;top:4470;width:160;height:3" id="docshape229" filled="true" fillcolor="#2b5e8a" stroked="false">
                  <v:fill type="solid"/>
                </v:rect>
                <v:rect style="position:absolute;left:8406;top:4470;width:160;height:3" id="docshape230" filled="false" stroked="true" strokeweight=".456776pt" strokecolor="#ffffff">
                  <v:stroke dashstyle="solid"/>
                </v:rect>
                <v:rect style="position:absolute;left:8565;top:4465;width:160;height:8" id="docshape231" filled="true" fillcolor="#2b5e8a" stroked="false">
                  <v:fill type="solid"/>
                </v:rect>
                <v:rect style="position:absolute;left:8565;top:4465;width:160;height:8" id="docshape232" filled="false" stroked="true" strokeweight=".456776pt" strokecolor="#ffffff">
                  <v:stroke dashstyle="solid"/>
                </v:rect>
                <v:rect style="position:absolute;left:8724;top:4471;width:160;height:2" id="docshape233" filled="true" fillcolor="#2b5e8a" stroked="false">
                  <v:fill type="solid"/>
                </v:rect>
                <v:rect style="position:absolute;left:8724;top:4471;width:160;height:2" id="docshape234" filled="false" stroked="true" strokeweight=".456776pt" strokecolor="#ffffff">
                  <v:stroke dashstyle="solid"/>
                </v:rect>
                <v:rect style="position:absolute;left:8884;top:4468;width:160;height:5" id="docshape235" filled="true" fillcolor="#2b5e8a" stroked="false">
                  <v:fill type="solid"/>
                </v:rect>
                <v:rect style="position:absolute;left:8884;top:4468;width:160;height:5" id="docshape236" filled="false" stroked="true" strokeweight=".456776pt" strokecolor="#ffffff">
                  <v:stroke dashstyle="solid"/>
                </v:rect>
                <v:rect style="position:absolute;left:9043;top:4470;width:160;height:3" id="docshape237" filled="true" fillcolor="#2b5e8a" stroked="false">
                  <v:fill type="solid"/>
                </v:rect>
                <v:rect style="position:absolute;left:9043;top:4470;width:160;height:3" id="docshape238" filled="false" stroked="true" strokeweight=".456776pt" strokecolor="#ffffff">
                  <v:stroke dashstyle="solid"/>
                </v:rect>
                <v:rect style="position:absolute;left:9202;top:4470;width:160;height:3" id="docshape239" filled="true" fillcolor="#2b5e8a" stroked="false">
                  <v:fill type="solid"/>
                </v:rect>
                <v:rect style="position:absolute;left:9202;top:4470;width:160;height:3" id="docshape240" filled="false" stroked="true" strokeweight=".456776pt" strokecolor="#ffffff">
                  <v:stroke dashstyle="solid"/>
                </v:rect>
                <v:shape style="position:absolute;left:9362;top:4473;width:160;height:2" id="docshape241" coordorigin="9362,4473" coordsize="160,0" path="m9521,4473l9362,4473,9521,4473xe" filled="true" fillcolor="#2b5e8a" stroked="false">
                  <v:path arrowok="t"/>
                  <v:fill type="solid"/>
                </v:shape>
                <v:shape style="position:absolute;left:9362;top:4473;width:160;height:2" id="docshape242" coordorigin="9362,4473" coordsize="160,0" path="m9362,4473l9521,4473,9362,4473xe" filled="false" stroked="true" strokeweight=".456776pt" strokecolor="#ffffff">
                  <v:path arrowok="t"/>
                  <v:stroke dashstyle="solid"/>
                </v:shape>
                <v:rect style="position:absolute;left:9521;top:4402;width:160;height:71" id="docshape243" filled="true" fillcolor="#2b5e8a" stroked="false">
                  <v:fill type="solid"/>
                </v:rect>
                <v:rect style="position:absolute;left:9521;top:4402;width:160;height:71" id="docshape244" filled="false" stroked="true" strokeweight=".456776pt" strokecolor="#ffffff">
                  <v:stroke dashstyle="solid"/>
                </v:rect>
                <v:line style="position:absolute" from="3285,4473" to="3285,-85" stroked="true" strokeweight=".913552pt" strokecolor="#afafaf">
                  <v:stroke dashstyle="solid"/>
                </v:line>
                <v:shape style="position:absolute;left:3284;top:4473;width:2;height:80" id="docshape245" coordorigin="3285,4473" coordsize="0,80" path="m3285,4473l3285,4553e" filled="true" fillcolor="#000000" stroked="false">
                  <v:path arrowok="t"/>
                  <v:fill type="solid"/>
                </v:shape>
                <v:line style="position:absolute" from="3285,4473" to="3285,4553" stroked="true" strokeweight=".913552pt" strokecolor="#000000">
                  <v:stroke dashstyle="solid"/>
                </v:line>
                <v:line style="position:absolute" from="4089,4473" to="4089,-85" stroked="true" strokeweight=".913552pt" strokecolor="#afafaf">
                  <v:stroke dashstyle="solid"/>
                </v:line>
                <v:shape style="position:absolute;left:4088;top:4473;width:2;height:80" id="docshape246" coordorigin="4089,4473" coordsize="0,80" path="m4089,4473l4089,4553e" filled="true" fillcolor="#000000" stroked="false">
                  <v:path arrowok="t"/>
                  <v:fill type="solid"/>
                </v:shape>
                <v:line style="position:absolute" from="4089,4473" to="4089,4553" stroked="true" strokeweight=".913552pt" strokecolor="#000000">
                  <v:stroke dashstyle="solid"/>
                </v:line>
                <v:line style="position:absolute" from="4893,4473" to="4893,-85" stroked="true" strokeweight=".913552pt" strokecolor="#afafaf">
                  <v:stroke dashstyle="solid"/>
                </v:line>
                <v:shape style="position:absolute;left:4893;top:4473;width:2;height:80" id="docshape247" coordorigin="4893,4473" coordsize="0,80" path="m4893,4473l4893,4553e" filled="true" fillcolor="#000000" stroked="false">
                  <v:path arrowok="t"/>
                  <v:fill type="solid"/>
                </v:shape>
                <v:line style="position:absolute" from="4893,4473" to="4893,4553" stroked="true" strokeweight=".913552pt" strokecolor="#000000">
                  <v:stroke dashstyle="solid"/>
                </v:line>
                <v:line style="position:absolute" from="5698,4473" to="5698,-85" stroked="true" strokeweight=".913552pt" strokecolor="#afafaf">
                  <v:stroke dashstyle="solid"/>
                </v:line>
                <v:shape style="position:absolute;left:5697;top:4473;width:2;height:80" id="docshape248" coordorigin="5698,4473" coordsize="0,80" path="m5698,4473l5698,4553e" filled="true" fillcolor="#000000" stroked="false">
                  <v:path arrowok="t"/>
                  <v:fill type="solid"/>
                </v:shape>
                <v:line style="position:absolute" from="5698,4473" to="5698,4553" stroked="true" strokeweight=".913552pt" strokecolor="#000000">
                  <v:stroke dashstyle="solid"/>
                </v:line>
                <v:line style="position:absolute" from="6502,4473" to="6502,-85" stroked="true" strokeweight=".913552pt" strokecolor="#afafaf">
                  <v:stroke dashstyle="solid"/>
                </v:line>
                <v:shape style="position:absolute;left:6502;top:4473;width:2;height:80" id="docshape249" coordorigin="6502,4473" coordsize="0,80" path="m6502,4473l6502,4553e" filled="true" fillcolor="#000000" stroked="false">
                  <v:path arrowok="t"/>
                  <v:fill type="solid"/>
                </v:shape>
                <v:line style="position:absolute" from="6502,4473" to="6502,4553" stroked="true" strokeweight=".913552pt" strokecolor="#000000">
                  <v:stroke dashstyle="solid"/>
                </v:line>
                <v:line style="position:absolute" from="7306,4473" to="7306,-85" stroked="true" strokeweight=".913552pt" strokecolor="#afafaf">
                  <v:stroke dashstyle="solid"/>
                </v:line>
                <v:shape style="position:absolute;left:7306;top:4473;width:2;height:80" id="docshape250" coordorigin="7306,4473" coordsize="0,80" path="m7306,4473l7306,4553e" filled="true" fillcolor="#000000" stroked="false">
                  <v:path arrowok="t"/>
                  <v:fill type="solid"/>
                </v:shape>
                <v:line style="position:absolute" from="7306,4473" to="7306,4553" stroked="true" strokeweight=".913552pt" strokecolor="#000000">
                  <v:stroke dashstyle="solid"/>
                </v:line>
                <v:line style="position:absolute" from="8111,4473" to="8111,-85" stroked="true" strokeweight=".913552pt" strokecolor="#afafaf">
                  <v:stroke dashstyle="solid"/>
                </v:line>
                <v:shape style="position:absolute;left:8110;top:4473;width:2;height:80" id="docshape251" coordorigin="8111,4473" coordsize="0,80" path="m8111,4473l8111,4553e" filled="true" fillcolor="#000000" stroked="false">
                  <v:path arrowok="t"/>
                  <v:fill type="solid"/>
                </v:shape>
                <v:line style="position:absolute" from="8111,4473" to="8111,4553" stroked="true" strokeweight=".913552pt" strokecolor="#000000">
                  <v:stroke dashstyle="solid"/>
                </v:line>
                <v:line style="position:absolute" from="8915,4473" to="8915,-85" stroked="true" strokeweight=".913552pt" strokecolor="#afafaf">
                  <v:stroke dashstyle="solid"/>
                </v:line>
                <v:shape style="position:absolute;left:8915;top:4473;width:2;height:80" id="docshape252" coordorigin="8915,4473" coordsize="0,80" path="m8915,4473l8915,4553e" filled="true" fillcolor="#000000" stroked="false">
                  <v:path arrowok="t"/>
                  <v:fill type="solid"/>
                </v:shape>
                <v:line style="position:absolute" from="8915,4473" to="8915,4553" stroked="true" strokeweight=".913552pt" strokecolor="#000000">
                  <v:stroke dashstyle="solid"/>
                </v:line>
                <v:line style="position:absolute" from="9719,4473" to="9719,-85" stroked="true" strokeweight=".913552pt" strokecolor="#afafaf">
                  <v:stroke dashstyle="solid"/>
                </v:line>
                <v:shape style="position:absolute;left:9719;top:4473;width:2;height:80" id="docshape253" coordorigin="9719,4473" coordsize="0,80" path="m9719,4473l9719,4553e" filled="true" fillcolor="#000000" stroked="false">
                  <v:path arrowok="t"/>
                  <v:fill type="solid"/>
                </v:shape>
                <v:line style="position:absolute" from="9719,4473" to="9719,4553" stroked="true" strokeweight=".913552pt" strokecolor="#000000">
                  <v:stroke dashstyle="solid"/>
                </v:line>
                <v:rect style="position:absolute;left:2990;top:4463;width:7010;height:19" id="docshape254" filled="true" fillcolor="#afafaf" stroked="false">
                  <v:fill type="solid"/>
                </v:rect>
                <v:shape style="position:absolute;left:2910;top:4473;width:80;height:2" id="docshape255" coordorigin="2910,4473" coordsize="80,0" path="m2990,4473l2910,4473e" filled="true" fillcolor="#000000" stroked="false">
                  <v:path arrowok="t"/>
                  <v:fill type="solid"/>
                </v:shape>
                <v:line style="position:absolute" from="2990,4473" to="2910,4473" stroked="true" strokeweight=".913552pt" strokecolor="#000000">
                  <v:stroke dashstyle="solid"/>
                </v:line>
                <v:line style="position:absolute" from="2990,3858" to="9999,3858" stroked="true" strokeweight=".913552pt" strokecolor="#afafaf">
                  <v:stroke dashstyle="solid"/>
                </v:line>
                <v:shape style="position:absolute;left:2910;top:3857;width:80;height:2" id="docshape256" coordorigin="2910,3858" coordsize="80,0" path="m2990,3858l2910,3858e" filled="true" fillcolor="#000000" stroked="false">
                  <v:path arrowok="t"/>
                  <v:fill type="solid"/>
                </v:shape>
                <v:line style="position:absolute" from="2990,3858" to="2910,3858" stroked="true" strokeweight=".913552pt" strokecolor="#000000">
                  <v:stroke dashstyle="solid"/>
                </v:line>
                <v:line style="position:absolute" from="2990,3242" to="9999,3242" stroked="true" strokeweight=".913552pt" strokecolor="#afafaf">
                  <v:stroke dashstyle="solid"/>
                </v:line>
                <v:shape style="position:absolute;left:2910;top:3242;width:80;height:2" id="docshape257" coordorigin="2910,3242" coordsize="80,0" path="m2990,3242l2910,3242e" filled="true" fillcolor="#000000" stroked="false">
                  <v:path arrowok="t"/>
                  <v:fill type="solid"/>
                </v:shape>
                <v:line style="position:absolute" from="2990,3242" to="2910,3242" stroked="true" strokeweight=".913552pt" strokecolor="#000000">
                  <v:stroke dashstyle="solid"/>
                </v:line>
                <v:line style="position:absolute" from="2990,2627" to="9999,2627" stroked="true" strokeweight=".913552pt" strokecolor="#afafaf">
                  <v:stroke dashstyle="solid"/>
                </v:line>
                <v:shape style="position:absolute;left:2910;top:2626;width:80;height:2" id="docshape258" coordorigin="2910,2627" coordsize="80,0" path="m2990,2627l2910,2627e" filled="true" fillcolor="#000000" stroked="false">
                  <v:path arrowok="t"/>
                  <v:fill type="solid"/>
                </v:shape>
                <v:line style="position:absolute" from="2990,2627" to="2910,2627" stroked="true" strokeweight=".913552pt" strokecolor="#000000">
                  <v:stroke dashstyle="solid"/>
                </v:line>
                <v:line style="position:absolute" from="2990,2011" to="9999,2011" stroked="true" strokeweight=".913552pt" strokecolor="#afafaf">
                  <v:stroke dashstyle="solid"/>
                </v:line>
                <v:shape style="position:absolute;left:2910;top:2011;width:80;height:2" id="docshape259" coordorigin="2910,2011" coordsize="80,0" path="m2990,2011l2910,2011e" filled="true" fillcolor="#000000" stroked="false">
                  <v:path arrowok="t"/>
                  <v:fill type="solid"/>
                </v:shape>
                <v:line style="position:absolute" from="2990,2011" to="2910,2011" stroked="true" strokeweight=".913552pt" strokecolor="#000000">
                  <v:stroke dashstyle="solid"/>
                </v:line>
                <v:line style="position:absolute" from="2990,1396" to="9999,1396" stroked="true" strokeweight=".913552pt" strokecolor="#afafaf">
                  <v:stroke dashstyle="solid"/>
                </v:line>
                <v:shape style="position:absolute;left:2910;top:1395;width:80;height:2" id="docshape260" coordorigin="2910,1396" coordsize="80,0" path="m2990,1396l2910,1396e" filled="true" fillcolor="#000000" stroked="false">
                  <v:path arrowok="t"/>
                  <v:fill type="solid"/>
                </v:shape>
                <v:line style="position:absolute" from="2990,1396" to="2910,1396" stroked="true" strokeweight=".913552pt" strokecolor="#000000">
                  <v:stroke dashstyle="solid"/>
                </v:line>
                <v:line style="position:absolute" from="2990,780" to="9999,780" stroked="true" strokeweight=".913552pt" strokecolor="#afafaf">
                  <v:stroke dashstyle="solid"/>
                </v:line>
                <v:shape style="position:absolute;left:2910;top:780;width:80;height:2" id="docshape261" coordorigin="2910,780" coordsize="80,0" path="m2990,780l2910,780e" filled="true" fillcolor="#000000" stroked="false">
                  <v:path arrowok="t"/>
                  <v:fill type="solid"/>
                </v:shape>
                <v:line style="position:absolute" from="2990,780" to="2910,780" stroked="true" strokeweight=".913552pt" strokecolor="#000000">
                  <v:stroke dashstyle="solid"/>
                </v:line>
                <v:line style="position:absolute" from="2990,165" to="9999,165" stroked="true" strokeweight=".913552pt" strokecolor="#afafaf">
                  <v:stroke dashstyle="solid"/>
                </v:line>
                <v:shape style="position:absolute;left:2910;top:165;width:80;height:2" id="docshape262" coordorigin="2910,165" coordsize="80,0" path="m2990,165l2910,165e" filled="true" fillcolor="#000000" stroked="false">
                  <v:path arrowok="t"/>
                  <v:fill type="solid"/>
                </v:shape>
                <v:line style="position:absolute" from="2990,165" to="2910,165" stroked="true" strokeweight=".913552pt" strokecolor="#000000">
                  <v:stroke dashstyle="solid"/>
                </v:line>
                <v:shape style="position:absolute;left:2990;top:-86;width:7010;height:4559" id="docshape263" coordorigin="2990,-85" coordsize="7010,4559" path="m2990,4473l2990,-85m9999,4473l9999,-85e" filled="false" stroked="true" strokeweight=".913552pt" strokecolor="#000000">
                  <v:path arrowok="t"/>
                  <v:stroke dashstyle="solid"/>
                </v:shape>
                <v:rect style="position:absolute;left:2990;top:4463;width:7010;height:19" id="docshape264" filled="true" fillcolor="#000000" stroked="false">
                  <v:fill type="solid"/>
                </v:rect>
                <v:line style="position:absolute" from="2990,-85" to="9999,-85" stroked="true" strokeweight=".913552pt" strokecolor="#000000">
                  <v:stroke dashstyle="solid"/>
                </v:line>
                <w10:wrap type="none"/>
              </v:group>
            </w:pict>
          </mc:Fallback>
        </mc:AlternateContent>
      </w:r>
      <w:bookmarkStart w:name="_bookmark87" w:id="160"/>
      <w:bookmarkEnd w:id="160"/>
      <w:r>
        <w:rPr/>
      </w:r>
      <w:r>
        <w:rPr>
          <w:rFonts w:ascii="Verdana"/>
          <w:spacing w:val="-4"/>
          <w:sz w:val="25"/>
        </w:rPr>
        <w:t>3500</w:t>
      </w:r>
    </w:p>
    <w:p>
      <w:pPr>
        <w:pStyle w:val="BodyText"/>
        <w:spacing w:before="32"/>
        <w:rPr>
          <w:rFonts w:ascii="Verdana"/>
          <w:sz w:val="23"/>
        </w:rPr>
      </w:pPr>
    </w:p>
    <w:p>
      <w:pPr>
        <w:spacing w:before="0"/>
        <w:ind w:left="1257" w:right="0" w:firstLine="0"/>
        <w:jc w:val="left"/>
        <w:rPr>
          <w:rFonts w:ascii="Verdana"/>
          <w:sz w:val="25"/>
        </w:rPr>
      </w:pPr>
      <w:r>
        <w:rPr>
          <w:rFonts w:ascii="Verdana"/>
          <w:spacing w:val="-4"/>
          <w:sz w:val="25"/>
        </w:rPr>
        <w:t>3000</w:t>
      </w:r>
    </w:p>
    <w:p>
      <w:pPr>
        <w:pStyle w:val="BodyText"/>
        <w:spacing w:before="32"/>
        <w:rPr>
          <w:rFonts w:ascii="Verdana"/>
          <w:sz w:val="23"/>
        </w:rPr>
      </w:pPr>
    </w:p>
    <w:p>
      <w:pPr>
        <w:spacing w:before="0"/>
        <w:ind w:left="1257"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69088">
                <wp:simplePos x="0" y="0"/>
                <wp:positionH relativeFrom="page">
                  <wp:posOffset>1185922</wp:posOffset>
                </wp:positionH>
                <wp:positionV relativeFrom="paragraph">
                  <wp:posOffset>-148327</wp:posOffset>
                </wp:positionV>
                <wp:extent cx="182880" cy="152146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82880" cy="1521460"/>
                        </a:xfrm>
                        <a:prstGeom prst="rect">
                          <a:avLst/>
                        </a:prstGeom>
                      </wps:spPr>
                      <wps:txbx>
                        <w:txbxContent>
                          <w:p>
                            <w:pPr>
                              <w:spacing w:line="287" w:lineRule="exact" w:before="0"/>
                              <w:ind w:left="20" w:right="0" w:firstLine="0"/>
                              <w:jc w:val="left"/>
                              <w:rPr>
                                <w:rFonts w:ascii="Verdana"/>
                                <w:sz w:val="27"/>
                              </w:rPr>
                            </w:pPr>
                            <w:r>
                              <w:rPr>
                                <w:rFonts w:ascii="Verdana"/>
                                <w:spacing w:val="-4"/>
                                <w:sz w:val="27"/>
                              </w:rPr>
                              <w:t>Number</w:t>
                            </w:r>
                            <w:r>
                              <w:rPr>
                                <w:rFonts w:ascii="Verdana"/>
                                <w:spacing w:val="-18"/>
                                <w:sz w:val="27"/>
                              </w:rPr>
                              <w:t> </w:t>
                            </w:r>
                            <w:r>
                              <w:rPr>
                                <w:rFonts w:ascii="Verdana"/>
                                <w:spacing w:val="-4"/>
                                <w:sz w:val="27"/>
                              </w:rPr>
                              <w:t>of</w:t>
                            </w:r>
                            <w:r>
                              <w:rPr>
                                <w:rFonts w:ascii="Verdana"/>
                                <w:spacing w:val="-34"/>
                                <w:sz w:val="27"/>
                              </w:rPr>
                              <w:t> </w:t>
                            </w:r>
                            <w:r>
                              <w:rPr>
                                <w:rFonts w:ascii="Verdana"/>
                                <w:spacing w:val="-4"/>
                                <w:sz w:val="27"/>
                              </w:rPr>
                              <w:t>wallets</w:t>
                            </w:r>
                          </w:p>
                        </w:txbxContent>
                      </wps:txbx>
                      <wps:bodyPr wrap="square" lIns="0" tIns="0" rIns="0" bIns="0" rtlCol="0" vert="vert270">
                        <a:noAutofit/>
                      </wps:bodyPr>
                    </wps:wsp>
                  </a:graphicData>
                </a:graphic>
              </wp:anchor>
            </w:drawing>
          </mc:Choice>
          <mc:Fallback>
            <w:pict>
              <v:shape style="position:absolute;margin-left:93.37973pt;margin-top:-11.679317pt;width:14.4pt;height:119.8pt;mso-position-horizontal-relative:page;mso-position-vertical-relative:paragraph;z-index:15769088" type="#_x0000_t202" id="docshape265" filled="false" stroked="false">
                <v:textbox inset="0,0,0,0" style="layout-flow:vertical;mso-layout-flow-alt:bottom-to-top">
                  <w:txbxContent>
                    <w:p>
                      <w:pPr>
                        <w:spacing w:line="287" w:lineRule="exact" w:before="0"/>
                        <w:ind w:left="20" w:right="0" w:firstLine="0"/>
                        <w:jc w:val="left"/>
                        <w:rPr>
                          <w:rFonts w:ascii="Verdana"/>
                          <w:sz w:val="27"/>
                        </w:rPr>
                      </w:pPr>
                      <w:r>
                        <w:rPr>
                          <w:rFonts w:ascii="Verdana"/>
                          <w:spacing w:val="-4"/>
                          <w:sz w:val="27"/>
                        </w:rPr>
                        <w:t>Number</w:t>
                      </w:r>
                      <w:r>
                        <w:rPr>
                          <w:rFonts w:ascii="Verdana"/>
                          <w:spacing w:val="-18"/>
                          <w:sz w:val="27"/>
                        </w:rPr>
                        <w:t> </w:t>
                      </w:r>
                      <w:r>
                        <w:rPr>
                          <w:rFonts w:ascii="Verdana"/>
                          <w:spacing w:val="-4"/>
                          <w:sz w:val="27"/>
                        </w:rPr>
                        <w:t>of</w:t>
                      </w:r>
                      <w:r>
                        <w:rPr>
                          <w:rFonts w:ascii="Verdana"/>
                          <w:spacing w:val="-34"/>
                          <w:sz w:val="27"/>
                        </w:rPr>
                        <w:t> </w:t>
                      </w:r>
                      <w:r>
                        <w:rPr>
                          <w:rFonts w:ascii="Verdana"/>
                          <w:spacing w:val="-4"/>
                          <w:sz w:val="27"/>
                        </w:rPr>
                        <w:t>wallets</w:t>
                      </w:r>
                    </w:p>
                  </w:txbxContent>
                </v:textbox>
                <w10:wrap type="none"/>
              </v:shape>
            </w:pict>
          </mc:Fallback>
        </mc:AlternateContent>
      </w:r>
      <w:r>
        <w:rPr>
          <w:rFonts w:ascii="Verdana"/>
          <w:spacing w:val="-4"/>
          <w:w w:val="95"/>
          <w:sz w:val="25"/>
        </w:rPr>
        <w:t>2500</w:t>
      </w:r>
    </w:p>
    <w:p>
      <w:pPr>
        <w:pStyle w:val="BodyText"/>
        <w:spacing w:before="32"/>
        <w:rPr>
          <w:rFonts w:ascii="Verdana"/>
          <w:sz w:val="23"/>
        </w:rPr>
      </w:pPr>
    </w:p>
    <w:p>
      <w:pPr>
        <w:spacing w:before="0"/>
        <w:ind w:left="1257" w:right="0" w:firstLine="0"/>
        <w:jc w:val="left"/>
        <w:rPr>
          <w:rFonts w:ascii="Verdana"/>
          <w:sz w:val="25"/>
        </w:rPr>
      </w:pPr>
      <w:r>
        <w:rPr>
          <w:rFonts w:ascii="Verdana"/>
          <w:spacing w:val="-4"/>
          <w:sz w:val="25"/>
        </w:rPr>
        <w:t>2000</w:t>
      </w:r>
    </w:p>
    <w:p>
      <w:pPr>
        <w:pStyle w:val="BodyText"/>
        <w:spacing w:before="32"/>
        <w:rPr>
          <w:rFonts w:ascii="Verdana"/>
          <w:sz w:val="23"/>
        </w:rPr>
      </w:pPr>
    </w:p>
    <w:p>
      <w:pPr>
        <w:spacing w:before="0"/>
        <w:ind w:left="1257" w:right="0" w:firstLine="0"/>
        <w:jc w:val="left"/>
        <w:rPr>
          <w:rFonts w:ascii="Verdana"/>
          <w:sz w:val="25"/>
        </w:rPr>
      </w:pPr>
      <w:r>
        <w:rPr>
          <w:rFonts w:ascii="Verdana"/>
          <w:spacing w:val="-4"/>
          <w:w w:val="95"/>
          <w:sz w:val="25"/>
        </w:rPr>
        <w:t>1500</w:t>
      </w:r>
    </w:p>
    <w:p>
      <w:pPr>
        <w:pStyle w:val="BodyText"/>
        <w:spacing w:before="32"/>
        <w:rPr>
          <w:rFonts w:ascii="Verdana"/>
          <w:sz w:val="23"/>
        </w:rPr>
      </w:pPr>
    </w:p>
    <w:p>
      <w:pPr>
        <w:spacing w:before="1"/>
        <w:ind w:left="1257" w:right="0" w:firstLine="0"/>
        <w:jc w:val="left"/>
        <w:rPr>
          <w:rFonts w:ascii="Verdana"/>
          <w:sz w:val="25"/>
        </w:rPr>
      </w:pPr>
      <w:r>
        <w:rPr>
          <w:rFonts w:ascii="Verdana"/>
          <w:spacing w:val="-4"/>
          <w:w w:val="95"/>
          <w:sz w:val="25"/>
        </w:rPr>
        <w:t>1000</w:t>
      </w:r>
    </w:p>
    <w:p>
      <w:pPr>
        <w:pStyle w:val="BodyText"/>
        <w:spacing w:before="31"/>
        <w:rPr>
          <w:rFonts w:ascii="Verdana"/>
          <w:sz w:val="23"/>
        </w:rPr>
      </w:pPr>
    </w:p>
    <w:p>
      <w:pPr>
        <w:spacing w:before="1"/>
        <w:ind w:left="1402" w:right="0" w:firstLine="0"/>
        <w:jc w:val="left"/>
        <w:rPr>
          <w:rFonts w:ascii="Verdana"/>
          <w:sz w:val="25"/>
        </w:rPr>
      </w:pPr>
      <w:r>
        <w:rPr>
          <w:rFonts w:ascii="Verdana"/>
          <w:spacing w:val="-5"/>
          <w:sz w:val="25"/>
        </w:rPr>
        <w:t>500</w:t>
      </w:r>
    </w:p>
    <w:p>
      <w:pPr>
        <w:pStyle w:val="BodyText"/>
        <w:spacing w:before="31"/>
        <w:rPr>
          <w:rFonts w:ascii="Verdana"/>
          <w:sz w:val="23"/>
        </w:rPr>
      </w:pPr>
    </w:p>
    <w:p>
      <w:pPr>
        <w:spacing w:line="275" w:lineRule="exact" w:before="1"/>
        <w:ind w:left="1693" w:right="0" w:firstLine="0"/>
        <w:jc w:val="left"/>
        <w:rPr>
          <w:rFonts w:ascii="Verdana"/>
          <w:sz w:val="25"/>
        </w:rPr>
      </w:pPr>
      <w:r>
        <w:rPr>
          <w:rFonts w:ascii="Verdana"/>
          <w:spacing w:val="-10"/>
          <w:sz w:val="25"/>
        </w:rPr>
        <w:t>0</w:t>
      </w:r>
    </w:p>
    <w:p>
      <w:pPr>
        <w:tabs>
          <w:tab w:pos="659" w:val="left" w:leader="none"/>
          <w:tab w:pos="1463" w:val="left" w:leader="none"/>
          <w:tab w:pos="2267" w:val="left" w:leader="none"/>
          <w:tab w:pos="3072" w:val="left" w:leader="none"/>
          <w:tab w:pos="3876" w:val="left" w:leader="none"/>
          <w:tab w:pos="4680" w:val="left" w:leader="none"/>
          <w:tab w:pos="5485" w:val="left" w:leader="none"/>
          <w:tab w:pos="6289" w:val="left" w:leader="none"/>
        </w:tabs>
        <w:spacing w:line="275" w:lineRule="exact" w:before="0"/>
        <w:ind w:left="0" w:right="1263" w:firstLine="0"/>
        <w:jc w:val="right"/>
        <w:rPr>
          <w:rFonts w:ascii="Verdana"/>
          <w:sz w:val="25"/>
        </w:rPr>
      </w:pPr>
      <w:r>
        <w:rPr>
          <w:rFonts w:ascii="Verdana"/>
          <w:spacing w:val="-10"/>
          <w:sz w:val="25"/>
        </w:rPr>
        <w:t>0</w:t>
      </w:r>
      <w:r>
        <w:rPr>
          <w:rFonts w:ascii="Verdana"/>
          <w:sz w:val="25"/>
        </w:rPr>
        <w:tab/>
      </w:r>
      <w:r>
        <w:rPr>
          <w:rFonts w:ascii="Verdana"/>
          <w:spacing w:val="-5"/>
          <w:sz w:val="25"/>
        </w:rPr>
        <w:t>100</w:t>
      </w:r>
      <w:r>
        <w:rPr>
          <w:rFonts w:ascii="Verdana"/>
          <w:sz w:val="25"/>
        </w:rPr>
        <w:tab/>
      </w:r>
      <w:r>
        <w:rPr>
          <w:rFonts w:ascii="Verdana"/>
          <w:spacing w:val="-5"/>
          <w:sz w:val="25"/>
        </w:rPr>
        <w:t>200</w:t>
      </w:r>
      <w:r>
        <w:rPr>
          <w:rFonts w:ascii="Verdana"/>
          <w:sz w:val="25"/>
        </w:rPr>
        <w:tab/>
      </w:r>
      <w:r>
        <w:rPr>
          <w:rFonts w:ascii="Verdana"/>
          <w:spacing w:val="-5"/>
          <w:sz w:val="25"/>
        </w:rPr>
        <w:t>300</w:t>
      </w:r>
      <w:r>
        <w:rPr>
          <w:rFonts w:ascii="Verdana"/>
          <w:sz w:val="25"/>
        </w:rPr>
        <w:tab/>
      </w:r>
      <w:r>
        <w:rPr>
          <w:rFonts w:ascii="Verdana"/>
          <w:spacing w:val="-5"/>
          <w:sz w:val="25"/>
        </w:rPr>
        <w:t>400</w:t>
      </w:r>
      <w:r>
        <w:rPr>
          <w:rFonts w:ascii="Verdana"/>
          <w:sz w:val="25"/>
        </w:rPr>
        <w:tab/>
      </w:r>
      <w:r>
        <w:rPr>
          <w:rFonts w:ascii="Verdana"/>
          <w:spacing w:val="-5"/>
          <w:sz w:val="25"/>
        </w:rPr>
        <w:t>500</w:t>
      </w:r>
      <w:r>
        <w:rPr>
          <w:rFonts w:ascii="Verdana"/>
          <w:sz w:val="25"/>
        </w:rPr>
        <w:tab/>
      </w:r>
      <w:r>
        <w:rPr>
          <w:rFonts w:ascii="Verdana"/>
          <w:spacing w:val="-5"/>
          <w:sz w:val="25"/>
        </w:rPr>
        <w:t>600</w:t>
      </w:r>
      <w:r>
        <w:rPr>
          <w:rFonts w:ascii="Verdana"/>
          <w:sz w:val="25"/>
        </w:rPr>
        <w:tab/>
      </w:r>
      <w:r>
        <w:rPr>
          <w:rFonts w:ascii="Verdana"/>
          <w:spacing w:val="-5"/>
          <w:sz w:val="25"/>
        </w:rPr>
        <w:t>700</w:t>
      </w:r>
      <w:r>
        <w:rPr>
          <w:rFonts w:ascii="Verdana"/>
          <w:sz w:val="25"/>
        </w:rPr>
        <w:tab/>
      </w:r>
      <w:r>
        <w:rPr>
          <w:rFonts w:ascii="Verdana"/>
          <w:spacing w:val="-5"/>
          <w:sz w:val="25"/>
        </w:rPr>
        <w:t>800</w:t>
      </w:r>
    </w:p>
    <w:p>
      <w:pPr>
        <w:spacing w:before="13"/>
        <w:ind w:left="0" w:right="1273" w:firstLine="0"/>
        <w:jc w:val="right"/>
        <w:rPr>
          <w:rFonts w:ascii="Verdana"/>
          <w:sz w:val="27"/>
        </w:rPr>
      </w:pPr>
      <w:r>
        <w:rPr>
          <w:rFonts w:ascii="Verdana"/>
          <w:spacing w:val="-6"/>
          <w:sz w:val="27"/>
        </w:rPr>
        <w:t>GMX</w:t>
      </w:r>
      <w:r>
        <w:rPr>
          <w:rFonts w:ascii="Verdana"/>
          <w:spacing w:val="-28"/>
          <w:sz w:val="27"/>
        </w:rPr>
        <w:t> </w:t>
      </w:r>
      <w:r>
        <w:rPr>
          <w:rFonts w:ascii="Verdana"/>
          <w:spacing w:val="-6"/>
          <w:sz w:val="27"/>
        </w:rPr>
        <w:t>closes</w:t>
      </w:r>
      <w:r>
        <w:rPr>
          <w:rFonts w:ascii="Verdana"/>
          <w:spacing w:val="-8"/>
          <w:sz w:val="27"/>
        </w:rPr>
        <w:t> </w:t>
      </w:r>
      <w:r>
        <w:rPr>
          <w:rFonts w:ascii="Verdana"/>
          <w:spacing w:val="-6"/>
          <w:sz w:val="27"/>
        </w:rPr>
        <w:t>per</w:t>
      </w:r>
      <w:r>
        <w:rPr>
          <w:rFonts w:ascii="Verdana"/>
          <w:spacing w:val="-21"/>
          <w:sz w:val="27"/>
        </w:rPr>
        <w:t> </w:t>
      </w:r>
      <w:r>
        <w:rPr>
          <w:rFonts w:ascii="Verdana"/>
          <w:spacing w:val="-6"/>
          <w:sz w:val="27"/>
        </w:rPr>
        <w:t>wallet</w:t>
      </w:r>
      <w:r>
        <w:rPr>
          <w:rFonts w:ascii="Verdana"/>
          <w:spacing w:val="-18"/>
          <w:sz w:val="27"/>
        </w:rPr>
        <w:t> </w:t>
      </w:r>
      <w:r>
        <w:rPr>
          <w:rFonts w:ascii="Verdana"/>
          <w:spacing w:val="-6"/>
          <w:sz w:val="27"/>
        </w:rPr>
        <w:t>(winsorized</w:t>
      </w:r>
      <w:r>
        <w:rPr>
          <w:rFonts w:ascii="Verdana"/>
          <w:spacing w:val="-17"/>
          <w:sz w:val="27"/>
        </w:rPr>
        <w:t> </w:t>
      </w:r>
      <w:r>
        <w:rPr>
          <w:rFonts w:ascii="Verdana"/>
          <w:spacing w:val="-6"/>
          <w:sz w:val="27"/>
        </w:rPr>
        <w:t>at</w:t>
      </w:r>
      <w:r>
        <w:rPr>
          <w:rFonts w:ascii="Verdana"/>
          <w:spacing w:val="-18"/>
          <w:sz w:val="27"/>
        </w:rPr>
        <w:t> </w:t>
      </w:r>
      <w:r>
        <w:rPr>
          <w:rFonts w:ascii="Verdana"/>
          <w:spacing w:val="-6"/>
          <w:sz w:val="27"/>
        </w:rPr>
        <w:t>99th</w:t>
      </w:r>
      <w:r>
        <w:rPr>
          <w:rFonts w:ascii="Verdana"/>
          <w:spacing w:val="-19"/>
          <w:sz w:val="27"/>
        </w:rPr>
        <w:t> </w:t>
      </w:r>
      <w:r>
        <w:rPr>
          <w:rFonts w:ascii="Verdana"/>
          <w:spacing w:val="-6"/>
          <w:sz w:val="27"/>
        </w:rPr>
        <w:t>percentile)</w:t>
      </w:r>
    </w:p>
    <w:p>
      <w:pPr>
        <w:spacing w:before="13"/>
        <w:ind w:left="0" w:right="1273" w:firstLine="0"/>
        <w:jc w:val="right"/>
        <w:rPr>
          <w:rFonts w:ascii="Verdana"/>
          <w:sz w:val="27"/>
        </w:rPr>
      </w:pPr>
      <w:r>
        <w:rPr>
          <w:i/>
        </w:rPr>
        <w:t>GMX 지갑당 마감(99번째 백분위수로 윈저화)</w:t>
      </w:r>
    </w:p>
    <w:p>
      <w:pPr>
        <w:pStyle w:val="BodyText"/>
        <w:spacing w:before="51"/>
        <w:rPr>
          <w:rFonts w:ascii="Verdana"/>
        </w:rPr>
      </w:pPr>
    </w:p>
    <w:p>
      <w:pPr>
        <w:pStyle w:val="BodyText"/>
        <w:spacing w:line="237" w:lineRule="auto" w:before="1"/>
        <w:ind w:left="282" w:right="563"/>
        <w:jc w:val="both"/>
      </w:pPr>
      <w:r>
        <w:rPr/>
        <w:t>Figure 4.1:</w:t>
      </w:r>
      <w:r>
        <w:rPr>
          <w:spacing w:val="40"/>
        </w:rPr>
        <w:t> </w:t>
      </w:r>
      <w:r>
        <w:rPr/>
        <w:t>Distribution of GMX V2 </w:t>
      </w:r>
      <w:r>
        <w:rPr>
          <w:rFonts w:ascii="Calibri" w:hAnsi="Calibri"/>
        </w:rPr>
        <w:t>PositionDecrease </w:t>
      </w:r>
      <w:r>
        <w:rPr/>
        <w:t>close counts per wallet in the matched cohort (</w:t>
      </w:r>
      <w:r>
        <w:rPr>
          <w:rFonts w:ascii="Calibri" w:hAnsi="Calibri"/>
          <w:i/>
        </w:rPr>
        <w:t>n</w:t>
      </w:r>
      <w:r>
        <w:rPr>
          <w:rFonts w:ascii="Calibri" w:hAnsi="Calibri"/>
          <w:i/>
          <w:spacing w:val="40"/>
        </w:rPr>
        <w:t> </w:t>
      </w:r>
      <w:r>
        <w:rPr>
          <w:rFonts w:ascii="Calibri" w:hAnsi="Calibri"/>
        </w:rPr>
        <w:t>=</w:t>
      </w:r>
      <w:r>
        <w:rPr>
          <w:rFonts w:ascii="Calibri" w:hAnsi="Calibri"/>
          <w:spacing w:val="40"/>
        </w:rPr>
        <w:t> </w:t>
      </w:r>
      <w:r>
        <w:rPr>
          <w:rFonts w:ascii="Calibri" w:hAnsi="Calibri"/>
        </w:rPr>
        <w:t>5</w:t>
      </w:r>
      <w:r>
        <w:rPr>
          <w:rFonts w:ascii="Calibri" w:hAnsi="Calibri"/>
          <w:i/>
        </w:rPr>
        <w:t>,</w:t>
      </w:r>
      <w:r>
        <w:rPr>
          <w:rFonts w:ascii="Calibri" w:hAnsi="Calibri"/>
        </w:rPr>
        <w:t>521</w:t>
      </w:r>
      <w:r>
        <w:rPr/>
        <w:t>).</w:t>
      </w:r>
      <w:r>
        <w:rPr>
          <w:spacing w:val="40"/>
        </w:rPr>
        <w:t> </w:t>
      </w:r>
      <w:r>
        <w:rPr/>
        <w:t>The cohort filter requires at least three closes; the long right tail reflects a minority of highly active traders.</w:t>
      </w:r>
    </w:p>
    <w:p>
      <w:pPr>
        <w:pStyle w:val="BodyText"/>
        <w:spacing w:line="237" w:lineRule="auto" w:before="1"/>
        <w:ind w:left="282" w:right="563"/>
        <w:jc w:val="both"/>
      </w:pPr>
      <w:r>
        <w:rPr>
          <w:i/>
        </w:rPr>
        <w:t>그림 4.1: 일치하는 코호트(n = 5,521)에서 지갑당 GMX V2 PositionDecrease 마감 횟수 분포. 코호트 필터에는 최소 3번의 마감이 필요하며 긴 오른쪽 꼬리는 소수의 활발하게 활동하는 거래자를 반영합니다.</w:t>
      </w:r>
    </w:p>
    <w:p>
      <w:pPr>
        <w:pStyle w:val="BodyText"/>
        <w:spacing w:after="0" w:line="237" w:lineRule="auto"/>
        <w:jc w:val="both"/>
        <w:sectPr>
          <w:pgSz w:w="11910" w:h="16840"/>
          <w:pgMar w:header="0" w:footer="2115" w:top="1920" w:bottom="2300" w:left="992" w:right="708"/>
        </w:sect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6"/>
        <w:rPr>
          <w:sz w:val="22"/>
        </w:rPr>
      </w:pPr>
    </w:p>
    <w:p>
      <w:pPr>
        <w:pStyle w:val="BodyText"/>
        <w:ind w:left="1240"/>
        <w:rPr>
          <w:rFonts w:ascii="Verdana"/>
        </w:rPr>
      </w:pPr>
      <w:r>
        <w:rPr>
          <w:rFonts w:ascii="Verdana"/>
        </w:rPr>
        <mc:AlternateContent>
          <mc:Choice Requires="wps">
            <w:drawing>
              <wp:anchor distT="0" distB="0" distL="0" distR="0" allowOverlap="1" layoutInCell="1" locked="0" behindDoc="0" simplePos="0" relativeHeight="15769600">
                <wp:simplePos x="0" y="0"/>
                <wp:positionH relativeFrom="page">
                  <wp:posOffset>2001532</wp:posOffset>
                </wp:positionH>
                <wp:positionV relativeFrom="paragraph">
                  <wp:posOffset>-404622</wp:posOffset>
                </wp:positionV>
                <wp:extent cx="4357370" cy="285305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4357370" cy="2853055"/>
                          <a:chExt cx="4357370" cy="2853055"/>
                        </a:xfrm>
                      </wpg:grpSpPr>
                      <wps:wsp>
                        <wps:cNvPr id="372" name="Graphic 372"/>
                        <wps:cNvSpPr/>
                        <wps:spPr>
                          <a:xfrm>
                            <a:off x="244614" y="138850"/>
                            <a:ext cx="3911600" cy="2665095"/>
                          </a:xfrm>
                          <a:custGeom>
                            <a:avLst/>
                            <a:gdLst/>
                            <a:ahLst/>
                            <a:cxnLst/>
                            <a:rect l="l" t="t" r="r" b="b"/>
                            <a:pathLst>
                              <a:path w="3911600" h="2665095">
                                <a:moveTo>
                                  <a:pt x="3911168" y="2662237"/>
                                </a:moveTo>
                                <a:lnTo>
                                  <a:pt x="3832949" y="2662237"/>
                                </a:lnTo>
                                <a:lnTo>
                                  <a:pt x="3754717" y="2662224"/>
                                </a:lnTo>
                                <a:lnTo>
                                  <a:pt x="3754717" y="2662656"/>
                                </a:lnTo>
                                <a:lnTo>
                                  <a:pt x="3676497" y="2662656"/>
                                </a:lnTo>
                                <a:lnTo>
                                  <a:pt x="3676497" y="2662339"/>
                                </a:lnTo>
                                <a:lnTo>
                                  <a:pt x="3598278" y="2662339"/>
                                </a:lnTo>
                                <a:lnTo>
                                  <a:pt x="3598278" y="2661513"/>
                                </a:lnTo>
                                <a:lnTo>
                                  <a:pt x="3520046" y="2661513"/>
                                </a:lnTo>
                                <a:lnTo>
                                  <a:pt x="3520046" y="2661970"/>
                                </a:lnTo>
                                <a:lnTo>
                                  <a:pt x="3441827" y="2661970"/>
                                </a:lnTo>
                                <a:lnTo>
                                  <a:pt x="3363607" y="2661907"/>
                                </a:lnTo>
                                <a:lnTo>
                                  <a:pt x="3363607" y="2661526"/>
                                </a:lnTo>
                                <a:lnTo>
                                  <a:pt x="3285375" y="2661526"/>
                                </a:lnTo>
                                <a:lnTo>
                                  <a:pt x="3285375" y="2660916"/>
                                </a:lnTo>
                                <a:lnTo>
                                  <a:pt x="3207156" y="2660916"/>
                                </a:lnTo>
                                <a:lnTo>
                                  <a:pt x="3128937" y="2661031"/>
                                </a:lnTo>
                                <a:lnTo>
                                  <a:pt x="3128937" y="2660827"/>
                                </a:lnTo>
                                <a:lnTo>
                                  <a:pt x="3050705" y="2660827"/>
                                </a:lnTo>
                                <a:lnTo>
                                  <a:pt x="3050705" y="2659621"/>
                                </a:lnTo>
                                <a:lnTo>
                                  <a:pt x="2972485" y="2659621"/>
                                </a:lnTo>
                                <a:lnTo>
                                  <a:pt x="2972485" y="2659443"/>
                                </a:lnTo>
                                <a:lnTo>
                                  <a:pt x="2894266" y="2659443"/>
                                </a:lnTo>
                                <a:lnTo>
                                  <a:pt x="2894266" y="2658338"/>
                                </a:lnTo>
                                <a:lnTo>
                                  <a:pt x="2816034" y="2658338"/>
                                </a:lnTo>
                                <a:lnTo>
                                  <a:pt x="2816034" y="2654427"/>
                                </a:lnTo>
                                <a:lnTo>
                                  <a:pt x="2737815" y="2654427"/>
                                </a:lnTo>
                                <a:lnTo>
                                  <a:pt x="2737815" y="2653080"/>
                                </a:lnTo>
                                <a:lnTo>
                                  <a:pt x="2659596" y="2653080"/>
                                </a:lnTo>
                                <a:lnTo>
                                  <a:pt x="2659596" y="2652572"/>
                                </a:lnTo>
                                <a:lnTo>
                                  <a:pt x="2581376" y="2652572"/>
                                </a:lnTo>
                                <a:lnTo>
                                  <a:pt x="2581376" y="2646616"/>
                                </a:lnTo>
                                <a:lnTo>
                                  <a:pt x="2503144" y="2646616"/>
                                </a:lnTo>
                                <a:lnTo>
                                  <a:pt x="2503144" y="2645765"/>
                                </a:lnTo>
                                <a:lnTo>
                                  <a:pt x="2424925" y="2645765"/>
                                </a:lnTo>
                                <a:lnTo>
                                  <a:pt x="2424925" y="2647759"/>
                                </a:lnTo>
                                <a:lnTo>
                                  <a:pt x="2346706" y="2647759"/>
                                </a:lnTo>
                                <a:lnTo>
                                  <a:pt x="2346706" y="2641955"/>
                                </a:lnTo>
                                <a:lnTo>
                                  <a:pt x="2268474" y="2641955"/>
                                </a:lnTo>
                                <a:lnTo>
                                  <a:pt x="2268474" y="2632976"/>
                                </a:lnTo>
                                <a:lnTo>
                                  <a:pt x="2190254" y="2632976"/>
                                </a:lnTo>
                                <a:lnTo>
                                  <a:pt x="2190254" y="2620911"/>
                                </a:lnTo>
                                <a:lnTo>
                                  <a:pt x="2112035" y="2620911"/>
                                </a:lnTo>
                                <a:lnTo>
                                  <a:pt x="2112035" y="2595130"/>
                                </a:lnTo>
                                <a:lnTo>
                                  <a:pt x="2033803" y="2595130"/>
                                </a:lnTo>
                                <a:lnTo>
                                  <a:pt x="2033803" y="2523083"/>
                                </a:lnTo>
                                <a:lnTo>
                                  <a:pt x="1955584" y="2523083"/>
                                </a:lnTo>
                                <a:lnTo>
                                  <a:pt x="1955584" y="2061908"/>
                                </a:lnTo>
                                <a:lnTo>
                                  <a:pt x="1877364" y="2061908"/>
                                </a:lnTo>
                                <a:lnTo>
                                  <a:pt x="1877364" y="0"/>
                                </a:lnTo>
                                <a:lnTo>
                                  <a:pt x="1799132" y="0"/>
                                </a:lnTo>
                                <a:lnTo>
                                  <a:pt x="1799132" y="2511590"/>
                                </a:lnTo>
                                <a:lnTo>
                                  <a:pt x="1720913" y="2511590"/>
                                </a:lnTo>
                                <a:lnTo>
                                  <a:pt x="1720913" y="2596756"/>
                                </a:lnTo>
                                <a:lnTo>
                                  <a:pt x="1642694" y="2596756"/>
                                </a:lnTo>
                                <a:lnTo>
                                  <a:pt x="1642694" y="2623578"/>
                                </a:lnTo>
                                <a:lnTo>
                                  <a:pt x="1564462" y="2623578"/>
                                </a:lnTo>
                                <a:lnTo>
                                  <a:pt x="1564462" y="2637256"/>
                                </a:lnTo>
                                <a:lnTo>
                                  <a:pt x="1486242" y="2637256"/>
                                </a:lnTo>
                                <a:lnTo>
                                  <a:pt x="1486242" y="2645816"/>
                                </a:lnTo>
                                <a:lnTo>
                                  <a:pt x="1408023" y="2645816"/>
                                </a:lnTo>
                                <a:lnTo>
                                  <a:pt x="1408023" y="2649270"/>
                                </a:lnTo>
                                <a:lnTo>
                                  <a:pt x="1329804" y="2649270"/>
                                </a:lnTo>
                                <a:lnTo>
                                  <a:pt x="1329804" y="2654414"/>
                                </a:lnTo>
                                <a:lnTo>
                                  <a:pt x="1251572" y="2654414"/>
                                </a:lnTo>
                                <a:lnTo>
                                  <a:pt x="1173353" y="2654490"/>
                                </a:lnTo>
                                <a:lnTo>
                                  <a:pt x="1173353" y="2657170"/>
                                </a:lnTo>
                                <a:lnTo>
                                  <a:pt x="1095133" y="2657170"/>
                                </a:lnTo>
                                <a:lnTo>
                                  <a:pt x="1095133" y="2656967"/>
                                </a:lnTo>
                                <a:lnTo>
                                  <a:pt x="1016901" y="2656967"/>
                                </a:lnTo>
                                <a:lnTo>
                                  <a:pt x="1016901" y="2658859"/>
                                </a:lnTo>
                                <a:lnTo>
                                  <a:pt x="938682" y="2658859"/>
                                </a:lnTo>
                                <a:lnTo>
                                  <a:pt x="938682" y="2660015"/>
                                </a:lnTo>
                                <a:lnTo>
                                  <a:pt x="860463" y="2660015"/>
                                </a:lnTo>
                                <a:lnTo>
                                  <a:pt x="860463" y="2660319"/>
                                </a:lnTo>
                                <a:lnTo>
                                  <a:pt x="782231" y="2660319"/>
                                </a:lnTo>
                                <a:lnTo>
                                  <a:pt x="782231" y="2660535"/>
                                </a:lnTo>
                                <a:lnTo>
                                  <a:pt x="704011" y="2660535"/>
                                </a:lnTo>
                                <a:lnTo>
                                  <a:pt x="704011" y="2659507"/>
                                </a:lnTo>
                                <a:lnTo>
                                  <a:pt x="625792" y="2659507"/>
                                </a:lnTo>
                                <a:lnTo>
                                  <a:pt x="625792" y="2661272"/>
                                </a:lnTo>
                                <a:lnTo>
                                  <a:pt x="547560" y="2661272"/>
                                </a:lnTo>
                                <a:lnTo>
                                  <a:pt x="547560" y="2661450"/>
                                </a:lnTo>
                                <a:lnTo>
                                  <a:pt x="469341" y="2661450"/>
                                </a:lnTo>
                                <a:lnTo>
                                  <a:pt x="469341" y="2661615"/>
                                </a:lnTo>
                                <a:lnTo>
                                  <a:pt x="391121" y="2661615"/>
                                </a:lnTo>
                                <a:lnTo>
                                  <a:pt x="312889" y="2661589"/>
                                </a:lnTo>
                                <a:lnTo>
                                  <a:pt x="312889" y="2662301"/>
                                </a:lnTo>
                                <a:lnTo>
                                  <a:pt x="234670" y="2662301"/>
                                </a:lnTo>
                                <a:lnTo>
                                  <a:pt x="234670" y="2662491"/>
                                </a:lnTo>
                                <a:lnTo>
                                  <a:pt x="156451" y="2662491"/>
                                </a:lnTo>
                                <a:lnTo>
                                  <a:pt x="78219" y="2662542"/>
                                </a:lnTo>
                                <a:lnTo>
                                  <a:pt x="78219" y="2663012"/>
                                </a:lnTo>
                                <a:lnTo>
                                  <a:pt x="0" y="2663012"/>
                                </a:lnTo>
                                <a:lnTo>
                                  <a:pt x="0" y="2664637"/>
                                </a:lnTo>
                                <a:lnTo>
                                  <a:pt x="78219" y="2664637"/>
                                </a:lnTo>
                                <a:lnTo>
                                  <a:pt x="156451" y="2664637"/>
                                </a:lnTo>
                                <a:lnTo>
                                  <a:pt x="3911168" y="2664637"/>
                                </a:lnTo>
                                <a:lnTo>
                                  <a:pt x="3911168" y="2662237"/>
                                </a:lnTo>
                                <a:close/>
                              </a:path>
                            </a:pathLst>
                          </a:custGeom>
                          <a:solidFill>
                            <a:srgbClr val="3D795A"/>
                          </a:solidFill>
                        </wps:spPr>
                        <wps:bodyPr wrap="square" lIns="0" tIns="0" rIns="0" bIns="0" rtlCol="0">
                          <a:prstTxWarp prst="textNoShape">
                            <a:avLst/>
                          </a:prstTxWarp>
                          <a:noAutofit/>
                        </wps:bodyPr>
                      </wps:wsp>
                      <wps:wsp>
                        <wps:cNvPr id="373" name="Graphic 373"/>
                        <wps:cNvSpPr/>
                        <wps:spPr>
                          <a:xfrm>
                            <a:off x="425979"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4" name="Graphic 374"/>
                        <wps:cNvSpPr/>
                        <wps:spPr>
                          <a:xfrm>
                            <a:off x="425979"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5" name="Graphic 375"/>
                        <wps:cNvSpPr/>
                        <wps:spPr>
                          <a:xfrm>
                            <a:off x="425979"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6" name="Graphic 376"/>
                        <wps:cNvSpPr/>
                        <wps:spPr>
                          <a:xfrm>
                            <a:off x="987376"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77" name="Graphic 377"/>
                        <wps:cNvSpPr/>
                        <wps:spPr>
                          <a:xfrm>
                            <a:off x="987376"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78" name="Graphic 378"/>
                        <wps:cNvSpPr/>
                        <wps:spPr>
                          <a:xfrm>
                            <a:off x="987376"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79" name="Graphic 379"/>
                        <wps:cNvSpPr/>
                        <wps:spPr>
                          <a:xfrm>
                            <a:off x="1548773"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0" name="Graphic 380"/>
                        <wps:cNvSpPr/>
                        <wps:spPr>
                          <a:xfrm>
                            <a:off x="1548773"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1" name="Graphic 381"/>
                        <wps:cNvSpPr/>
                        <wps:spPr>
                          <a:xfrm>
                            <a:off x="1548773"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2" name="Graphic 382"/>
                        <wps:cNvSpPr/>
                        <wps:spPr>
                          <a:xfrm>
                            <a:off x="2110170"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3" name="Graphic 383"/>
                        <wps:cNvSpPr/>
                        <wps:spPr>
                          <a:xfrm>
                            <a:off x="2110170"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4" name="Graphic 384"/>
                        <wps:cNvSpPr/>
                        <wps:spPr>
                          <a:xfrm>
                            <a:off x="2110170"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5" name="Graphic 385"/>
                        <wps:cNvSpPr/>
                        <wps:spPr>
                          <a:xfrm>
                            <a:off x="2671567"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6" name="Graphic 386"/>
                        <wps:cNvSpPr/>
                        <wps:spPr>
                          <a:xfrm>
                            <a:off x="2671567"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87" name="Graphic 387"/>
                        <wps:cNvSpPr/>
                        <wps:spPr>
                          <a:xfrm>
                            <a:off x="2671567"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88" name="Graphic 388"/>
                        <wps:cNvSpPr/>
                        <wps:spPr>
                          <a:xfrm>
                            <a:off x="3232964"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89" name="Graphic 389"/>
                        <wps:cNvSpPr/>
                        <wps:spPr>
                          <a:xfrm>
                            <a:off x="3232964"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90" name="Graphic 390"/>
                        <wps:cNvSpPr/>
                        <wps:spPr>
                          <a:xfrm>
                            <a:off x="3232964"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1" name="Graphic 391"/>
                        <wps:cNvSpPr/>
                        <wps:spPr>
                          <a:xfrm>
                            <a:off x="3794361" y="5607"/>
                            <a:ext cx="1270" cy="2798445"/>
                          </a:xfrm>
                          <a:custGeom>
                            <a:avLst/>
                            <a:gdLst/>
                            <a:ahLst/>
                            <a:cxnLst/>
                            <a:rect l="l" t="t" r="r" b="b"/>
                            <a:pathLst>
                              <a:path w="0" h="2798445">
                                <a:moveTo>
                                  <a:pt x="0" y="2797871"/>
                                </a:moveTo>
                                <a:lnTo>
                                  <a:pt x="0" y="0"/>
                                </a:lnTo>
                              </a:path>
                            </a:pathLst>
                          </a:custGeom>
                          <a:ln w="11214">
                            <a:solidFill>
                              <a:srgbClr val="AFAFAF"/>
                            </a:solidFill>
                            <a:prstDash val="solid"/>
                          </a:ln>
                        </wps:spPr>
                        <wps:bodyPr wrap="square" lIns="0" tIns="0" rIns="0" bIns="0" rtlCol="0">
                          <a:prstTxWarp prst="textNoShape">
                            <a:avLst/>
                          </a:prstTxWarp>
                          <a:noAutofit/>
                        </wps:bodyPr>
                      </wps:wsp>
                      <wps:wsp>
                        <wps:cNvPr id="392" name="Graphic 392"/>
                        <wps:cNvSpPr/>
                        <wps:spPr>
                          <a:xfrm>
                            <a:off x="3794361" y="2803478"/>
                            <a:ext cx="1270" cy="49530"/>
                          </a:xfrm>
                          <a:custGeom>
                            <a:avLst/>
                            <a:gdLst/>
                            <a:ahLst/>
                            <a:cxnLst/>
                            <a:rect l="l" t="t" r="r" b="b"/>
                            <a:pathLst>
                              <a:path w="0" h="49530">
                                <a:moveTo>
                                  <a:pt x="0" y="0"/>
                                </a:moveTo>
                                <a:lnTo>
                                  <a:pt x="0" y="49064"/>
                                </a:lnTo>
                              </a:path>
                            </a:pathLst>
                          </a:custGeom>
                          <a:solidFill>
                            <a:srgbClr val="000000"/>
                          </a:solidFill>
                        </wps:spPr>
                        <wps:bodyPr wrap="square" lIns="0" tIns="0" rIns="0" bIns="0" rtlCol="0">
                          <a:prstTxWarp prst="textNoShape">
                            <a:avLst/>
                          </a:prstTxWarp>
                          <a:noAutofit/>
                        </wps:bodyPr>
                      </wps:wsp>
                      <wps:wsp>
                        <wps:cNvPr id="393" name="Graphic 393"/>
                        <wps:cNvSpPr/>
                        <wps:spPr>
                          <a:xfrm>
                            <a:off x="3794361" y="2803478"/>
                            <a:ext cx="1270" cy="49530"/>
                          </a:xfrm>
                          <a:custGeom>
                            <a:avLst/>
                            <a:gdLst/>
                            <a:ahLst/>
                            <a:cxnLst/>
                            <a:rect l="l" t="t" r="r" b="b"/>
                            <a:pathLst>
                              <a:path w="0" h="49530">
                                <a:moveTo>
                                  <a:pt x="0" y="0"/>
                                </a:moveTo>
                                <a:lnTo>
                                  <a:pt x="0" y="49064"/>
                                </a:lnTo>
                              </a:path>
                            </a:pathLst>
                          </a:custGeom>
                          <a:ln w="11214">
                            <a:solidFill>
                              <a:srgbClr val="000000"/>
                            </a:solidFill>
                            <a:prstDash val="solid"/>
                          </a:ln>
                        </wps:spPr>
                        <wps:bodyPr wrap="square" lIns="0" tIns="0" rIns="0" bIns="0" rtlCol="0">
                          <a:prstTxWarp prst="textNoShape">
                            <a:avLst/>
                          </a:prstTxWarp>
                          <a:noAutofit/>
                        </wps:bodyPr>
                      </wps:wsp>
                      <wps:wsp>
                        <wps:cNvPr id="394" name="Graphic 394"/>
                        <wps:cNvSpPr/>
                        <wps:spPr>
                          <a:xfrm>
                            <a:off x="49064" y="2803478"/>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5" name="Graphic 395"/>
                        <wps:cNvSpPr/>
                        <wps:spPr>
                          <a:xfrm>
                            <a:off x="0" y="2803478"/>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396" name="Graphic 396"/>
                        <wps:cNvSpPr/>
                        <wps:spPr>
                          <a:xfrm>
                            <a:off x="0" y="2803478"/>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397" name="Graphic 397"/>
                        <wps:cNvSpPr/>
                        <wps:spPr>
                          <a:xfrm>
                            <a:off x="49064" y="2228880"/>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398" name="Graphic 398"/>
                        <wps:cNvSpPr/>
                        <wps:spPr>
                          <a:xfrm>
                            <a:off x="0" y="2228880"/>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399" name="Graphic 399"/>
                        <wps:cNvSpPr/>
                        <wps:spPr>
                          <a:xfrm>
                            <a:off x="0" y="2228880"/>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0" name="Graphic 400"/>
                        <wps:cNvSpPr/>
                        <wps:spPr>
                          <a:xfrm>
                            <a:off x="49064" y="1654283"/>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1" name="Graphic 401"/>
                        <wps:cNvSpPr/>
                        <wps:spPr>
                          <a:xfrm>
                            <a:off x="0" y="1654283"/>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2" name="Graphic 402"/>
                        <wps:cNvSpPr/>
                        <wps:spPr>
                          <a:xfrm>
                            <a:off x="0" y="1654283"/>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3" name="Graphic 403"/>
                        <wps:cNvSpPr/>
                        <wps:spPr>
                          <a:xfrm>
                            <a:off x="49064" y="1079685"/>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4" name="Graphic 404"/>
                        <wps:cNvSpPr/>
                        <wps:spPr>
                          <a:xfrm>
                            <a:off x="0" y="1079685"/>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5" name="Graphic 405"/>
                        <wps:cNvSpPr/>
                        <wps:spPr>
                          <a:xfrm>
                            <a:off x="0" y="1079685"/>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6" name="Graphic 406"/>
                        <wps:cNvSpPr/>
                        <wps:spPr>
                          <a:xfrm>
                            <a:off x="49064" y="505087"/>
                            <a:ext cx="4302760" cy="1270"/>
                          </a:xfrm>
                          <a:custGeom>
                            <a:avLst/>
                            <a:gdLst/>
                            <a:ahLst/>
                            <a:cxnLst/>
                            <a:rect l="l" t="t" r="r" b="b"/>
                            <a:pathLst>
                              <a:path w="4302760" h="0">
                                <a:moveTo>
                                  <a:pt x="0" y="0"/>
                                </a:moveTo>
                                <a:lnTo>
                                  <a:pt x="4302281" y="0"/>
                                </a:lnTo>
                              </a:path>
                            </a:pathLst>
                          </a:custGeom>
                          <a:ln w="11214">
                            <a:solidFill>
                              <a:srgbClr val="AFAFAF"/>
                            </a:solidFill>
                            <a:prstDash val="solid"/>
                          </a:ln>
                        </wps:spPr>
                        <wps:bodyPr wrap="square" lIns="0" tIns="0" rIns="0" bIns="0" rtlCol="0">
                          <a:prstTxWarp prst="textNoShape">
                            <a:avLst/>
                          </a:prstTxWarp>
                          <a:noAutofit/>
                        </wps:bodyPr>
                      </wps:wsp>
                      <wps:wsp>
                        <wps:cNvPr id="407" name="Graphic 407"/>
                        <wps:cNvSpPr/>
                        <wps:spPr>
                          <a:xfrm>
                            <a:off x="0" y="505087"/>
                            <a:ext cx="49530" cy="1270"/>
                          </a:xfrm>
                          <a:custGeom>
                            <a:avLst/>
                            <a:gdLst/>
                            <a:ahLst/>
                            <a:cxnLst/>
                            <a:rect l="l" t="t" r="r" b="b"/>
                            <a:pathLst>
                              <a:path w="49530" h="0">
                                <a:moveTo>
                                  <a:pt x="49064" y="0"/>
                                </a:moveTo>
                                <a:lnTo>
                                  <a:pt x="0" y="0"/>
                                </a:lnTo>
                              </a:path>
                            </a:pathLst>
                          </a:custGeom>
                          <a:solidFill>
                            <a:srgbClr val="000000"/>
                          </a:solidFill>
                        </wps:spPr>
                        <wps:bodyPr wrap="square" lIns="0" tIns="0" rIns="0" bIns="0" rtlCol="0">
                          <a:prstTxWarp prst="textNoShape">
                            <a:avLst/>
                          </a:prstTxWarp>
                          <a:noAutofit/>
                        </wps:bodyPr>
                      </wps:wsp>
                      <wps:wsp>
                        <wps:cNvPr id="408" name="Graphic 408"/>
                        <wps:cNvSpPr/>
                        <wps:spPr>
                          <a:xfrm>
                            <a:off x="0" y="505087"/>
                            <a:ext cx="49530" cy="1270"/>
                          </a:xfrm>
                          <a:custGeom>
                            <a:avLst/>
                            <a:gdLst/>
                            <a:ahLst/>
                            <a:cxnLst/>
                            <a:rect l="l" t="t" r="r" b="b"/>
                            <a:pathLst>
                              <a:path w="49530" h="0">
                                <a:moveTo>
                                  <a:pt x="49064" y="0"/>
                                </a:moveTo>
                                <a:lnTo>
                                  <a:pt x="0" y="0"/>
                                </a:lnTo>
                              </a:path>
                            </a:pathLst>
                          </a:custGeom>
                          <a:ln w="11214">
                            <a:solidFill>
                              <a:srgbClr val="000000"/>
                            </a:solidFill>
                            <a:prstDash val="solid"/>
                          </a:ln>
                        </wps:spPr>
                        <wps:bodyPr wrap="square" lIns="0" tIns="0" rIns="0" bIns="0" rtlCol="0">
                          <a:prstTxWarp prst="textNoShape">
                            <a:avLst/>
                          </a:prstTxWarp>
                          <a:noAutofit/>
                        </wps:bodyPr>
                      </wps:wsp>
                      <wps:wsp>
                        <wps:cNvPr id="409" name="Graphic 409"/>
                        <wps:cNvSpPr/>
                        <wps:spPr>
                          <a:xfrm>
                            <a:off x="2110170" y="5607"/>
                            <a:ext cx="1270" cy="2798445"/>
                          </a:xfrm>
                          <a:custGeom>
                            <a:avLst/>
                            <a:gdLst/>
                            <a:ahLst/>
                            <a:cxnLst/>
                            <a:rect l="l" t="t" r="r" b="b"/>
                            <a:pathLst>
                              <a:path w="0" h="2798445">
                                <a:moveTo>
                                  <a:pt x="0" y="2797871"/>
                                </a:moveTo>
                                <a:lnTo>
                                  <a:pt x="0" y="0"/>
                                </a:lnTo>
                              </a:path>
                            </a:pathLst>
                          </a:custGeom>
                          <a:ln w="11214">
                            <a:solidFill>
                              <a:srgbClr val="000000"/>
                            </a:solidFill>
                            <a:prstDash val="sysDash"/>
                          </a:ln>
                        </wps:spPr>
                        <wps:bodyPr wrap="square" lIns="0" tIns="0" rIns="0" bIns="0" rtlCol="0">
                          <a:prstTxWarp prst="textNoShape">
                            <a:avLst/>
                          </a:prstTxWarp>
                          <a:noAutofit/>
                        </wps:bodyPr>
                      </wps:wsp>
                      <wps:wsp>
                        <wps:cNvPr id="410" name="Graphic 410"/>
                        <wps:cNvSpPr/>
                        <wps:spPr>
                          <a:xfrm>
                            <a:off x="49064" y="5607"/>
                            <a:ext cx="4302760" cy="2798445"/>
                          </a:xfrm>
                          <a:custGeom>
                            <a:avLst/>
                            <a:gdLst/>
                            <a:ahLst/>
                            <a:cxnLst/>
                            <a:rect l="l" t="t" r="r" b="b"/>
                            <a:pathLst>
                              <a:path w="4302760" h="2798445">
                                <a:moveTo>
                                  <a:pt x="0" y="2797871"/>
                                </a:moveTo>
                                <a:lnTo>
                                  <a:pt x="0" y="0"/>
                                </a:lnTo>
                              </a:path>
                              <a:path w="4302760" h="2798445">
                                <a:moveTo>
                                  <a:pt x="4302281" y="2797871"/>
                                </a:moveTo>
                                <a:lnTo>
                                  <a:pt x="4302281" y="0"/>
                                </a:lnTo>
                              </a:path>
                              <a:path w="4302760" h="2798445">
                                <a:moveTo>
                                  <a:pt x="0" y="2797871"/>
                                </a:moveTo>
                                <a:lnTo>
                                  <a:pt x="4302281" y="2797871"/>
                                </a:lnTo>
                              </a:path>
                              <a:path w="4302760" h="2798445">
                                <a:moveTo>
                                  <a:pt x="0" y="0"/>
                                </a:moveTo>
                                <a:lnTo>
                                  <a:pt x="4302281" y="0"/>
                                </a:lnTo>
                              </a:path>
                            </a:pathLst>
                          </a:custGeom>
                          <a:ln w="1121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600998pt;margin-top:-31.860077pt;width:343.1pt;height:224.65pt;mso-position-horizontal-relative:page;mso-position-vertical-relative:paragraph;z-index:15769600" id="docshapegroup266" coordorigin="3152,-637" coordsize="6862,4493">
                <v:shape style="position:absolute;left:3537;top:-419;width:6160;height:4197" id="docshape267" coordorigin="3537,-419" coordsize="6160,4197" path="m9697,3774l9573,3774,9450,3774,9450,3775,9327,3775,9327,3774,9204,3774,9204,3773,9081,3773,9081,3774,8957,3774,8834,3773,8834,3773,8711,3773,8711,3772,8588,3772,8465,3772,8465,3772,8342,3772,8342,3770,8218,3770,8218,3770,8095,3770,8095,3768,7972,3768,7972,3762,7849,3762,7849,3760,7726,3760,7726,3759,7602,3759,7602,3749,7479,3749,7479,3748,7356,3748,7356,3751,7233,3751,7233,3742,7110,3742,7110,3728,6986,3728,6986,3709,6863,3709,6863,3668,6740,3668,6740,3555,6617,3555,6617,2829,6494,2829,6494,-419,6371,-419,6371,3537,6247,3537,6247,3671,6124,3671,6124,3713,6001,3713,6001,3735,5878,3735,5878,3748,5755,3748,5755,3754,5631,3754,5631,3762,5508,3762,5385,3762,5385,3766,5262,3766,5262,3766,5139,3766,5139,3769,5015,3769,5015,3770,4892,3770,4892,3771,4769,3771,4769,3771,4646,3771,4646,3770,4523,3770,4523,3772,4400,3772,4400,3773,4276,3773,4276,3773,4153,3773,4030,3773,4030,3774,3907,3774,3907,3774,3784,3774,3660,3774,3660,3775,3537,3775,3537,3778,3660,3778,3784,3778,9697,3778,9697,3774xe" filled="true" fillcolor="#3d795a" stroked="false">
                  <v:path arrowok="t"/>
                  <v:fill type="solid"/>
                </v:shape>
                <v:line style="position:absolute" from="3823,3778" to="3823,-628" stroked="true" strokeweight=".883056pt" strokecolor="#afafaf">
                  <v:stroke dashstyle="solid"/>
                </v:line>
                <v:shape style="position:absolute;left:3822;top:3777;width:2;height:78" id="docshape268" coordorigin="3823,3778" coordsize="0,78" path="m3823,3778l3823,3855e" filled="true" fillcolor="#000000" stroked="false">
                  <v:path arrowok="t"/>
                  <v:fill type="solid"/>
                </v:shape>
                <v:line style="position:absolute" from="3823,3778" to="3823,3855" stroked="true" strokeweight=".883056pt" strokecolor="#000000">
                  <v:stroke dashstyle="solid"/>
                </v:line>
                <v:line style="position:absolute" from="4707,3778" to="4707,-628" stroked="true" strokeweight=".883056pt" strokecolor="#afafaf">
                  <v:stroke dashstyle="solid"/>
                </v:line>
                <v:shape style="position:absolute;left:4706;top:3777;width:2;height:78" id="docshape269" coordorigin="4707,3778" coordsize="0,78" path="m4707,3778l4707,3855e" filled="true" fillcolor="#000000" stroked="false">
                  <v:path arrowok="t"/>
                  <v:fill type="solid"/>
                </v:shape>
                <v:line style="position:absolute" from="4707,3778" to="4707,3855" stroked="true" strokeweight=".883056pt" strokecolor="#000000">
                  <v:stroke dashstyle="solid"/>
                </v:line>
                <v:line style="position:absolute" from="5591,3778" to="5591,-628" stroked="true" strokeweight=".883056pt" strokecolor="#afafaf">
                  <v:stroke dashstyle="solid"/>
                </v:line>
                <v:shape style="position:absolute;left:5591;top:3777;width:2;height:78" id="docshape270" coordorigin="5591,3778" coordsize="0,78" path="m5591,3778l5591,3855e" filled="true" fillcolor="#000000" stroked="false">
                  <v:path arrowok="t"/>
                  <v:fill type="solid"/>
                </v:shape>
                <v:line style="position:absolute" from="5591,3778" to="5591,3855" stroked="true" strokeweight=".883056pt" strokecolor="#000000">
                  <v:stroke dashstyle="solid"/>
                </v:line>
                <v:line style="position:absolute" from="6475,3778" to="6475,-628" stroked="true" strokeweight=".883056pt" strokecolor="#afafaf">
                  <v:stroke dashstyle="solid"/>
                </v:line>
                <v:shape style="position:absolute;left:6475;top:3777;width:2;height:78" id="docshape271" coordorigin="6475,3778" coordsize="0,78" path="m6475,3778l6475,3855e" filled="true" fillcolor="#000000" stroked="false">
                  <v:path arrowok="t"/>
                  <v:fill type="solid"/>
                </v:shape>
                <v:line style="position:absolute" from="6475,3778" to="6475,3855" stroked="true" strokeweight=".883056pt" strokecolor="#000000">
                  <v:stroke dashstyle="solid"/>
                </v:line>
                <v:line style="position:absolute" from="7359,3778" to="7359,-628" stroked="true" strokeweight=".883056pt" strokecolor="#afafaf">
                  <v:stroke dashstyle="solid"/>
                </v:line>
                <v:shape style="position:absolute;left:7359;top:3777;width:2;height:78" id="docshape272" coordorigin="7359,3778" coordsize="0,78" path="m7359,3778l7359,3855e" filled="true" fillcolor="#000000" stroked="false">
                  <v:path arrowok="t"/>
                  <v:fill type="solid"/>
                </v:shape>
                <v:line style="position:absolute" from="7359,3778" to="7359,3855" stroked="true" strokeweight=".883056pt" strokecolor="#000000">
                  <v:stroke dashstyle="solid"/>
                </v:line>
                <v:line style="position:absolute" from="8243,3778" to="8243,-628" stroked="true" strokeweight=".883056pt" strokecolor="#afafaf">
                  <v:stroke dashstyle="solid"/>
                </v:line>
                <v:shape style="position:absolute;left:8243;top:3777;width:2;height:78" id="docshape273" coordorigin="8243,3778" coordsize="0,78" path="m8243,3778l8243,3855e" filled="true" fillcolor="#000000" stroked="false">
                  <v:path arrowok="t"/>
                  <v:fill type="solid"/>
                </v:shape>
                <v:line style="position:absolute" from="8243,3778" to="8243,3855" stroked="true" strokeweight=".883056pt" strokecolor="#000000">
                  <v:stroke dashstyle="solid"/>
                </v:line>
                <v:line style="position:absolute" from="9127,3778" to="9127,-628" stroked="true" strokeweight=".883056pt" strokecolor="#afafaf">
                  <v:stroke dashstyle="solid"/>
                </v:line>
                <v:shape style="position:absolute;left:9127;top:3777;width:2;height:78" id="docshape274" coordorigin="9127,3778" coordsize="0,78" path="m9127,3778l9127,3855e" filled="true" fillcolor="#000000" stroked="false">
                  <v:path arrowok="t"/>
                  <v:fill type="solid"/>
                </v:shape>
                <v:line style="position:absolute" from="9127,3778" to="9127,3855" stroked="true" strokeweight=".883056pt" strokecolor="#000000">
                  <v:stroke dashstyle="solid"/>
                </v:line>
                <v:line style="position:absolute" from="3229,3778" to="10005,3778" stroked="true" strokeweight=".883056pt" strokecolor="#afafaf">
                  <v:stroke dashstyle="solid"/>
                </v:line>
                <v:shape style="position:absolute;left:3152;top:3777;width:78;height:2" id="docshape275" coordorigin="3152,3778" coordsize="78,0" path="m3229,3778l3152,3778e" filled="true" fillcolor="#000000" stroked="false">
                  <v:path arrowok="t"/>
                  <v:fill type="solid"/>
                </v:shape>
                <v:line style="position:absolute" from="3229,3778" to="3152,3778" stroked="true" strokeweight=".883056pt" strokecolor="#000000">
                  <v:stroke dashstyle="solid"/>
                </v:line>
                <v:line style="position:absolute" from="3229,2873" to="10005,2873" stroked="true" strokeweight=".883056pt" strokecolor="#afafaf">
                  <v:stroke dashstyle="solid"/>
                </v:line>
                <v:shape style="position:absolute;left:3152;top:2872;width:78;height:2" id="docshape276" coordorigin="3152,2873" coordsize="78,0" path="m3229,2873l3152,2873e" filled="true" fillcolor="#000000" stroked="false">
                  <v:path arrowok="t"/>
                  <v:fill type="solid"/>
                </v:shape>
                <v:line style="position:absolute" from="3229,2873" to="3152,2873" stroked="true" strokeweight=".883056pt" strokecolor="#000000">
                  <v:stroke dashstyle="solid"/>
                </v:line>
                <v:line style="position:absolute" from="3229,1968" to="10005,1968" stroked="true" strokeweight=".883056pt" strokecolor="#afafaf">
                  <v:stroke dashstyle="solid"/>
                </v:line>
                <v:shape style="position:absolute;left:3152;top:1967;width:78;height:2" id="docshape277" coordorigin="3152,1968" coordsize="78,0" path="m3229,1968l3152,1968e" filled="true" fillcolor="#000000" stroked="false">
                  <v:path arrowok="t"/>
                  <v:fill type="solid"/>
                </v:shape>
                <v:line style="position:absolute" from="3229,1968" to="3152,1968" stroked="true" strokeweight=".883056pt" strokecolor="#000000">
                  <v:stroke dashstyle="solid"/>
                </v:line>
                <v:line style="position:absolute" from="3229,1063" to="10005,1063" stroked="true" strokeweight=".883056pt" strokecolor="#afafaf">
                  <v:stroke dashstyle="solid"/>
                </v:line>
                <v:shape style="position:absolute;left:3152;top:1063;width:78;height:2" id="docshape278" coordorigin="3152,1063" coordsize="78,0" path="m3229,1063l3152,1063e" filled="true" fillcolor="#000000" stroked="false">
                  <v:path arrowok="t"/>
                  <v:fill type="solid"/>
                </v:shape>
                <v:line style="position:absolute" from="3229,1063" to="3152,1063" stroked="true" strokeweight=".883056pt" strokecolor="#000000">
                  <v:stroke dashstyle="solid"/>
                </v:line>
                <v:line style="position:absolute" from="3229,158" to="10005,158" stroked="true" strokeweight=".883056pt" strokecolor="#afafaf">
                  <v:stroke dashstyle="solid"/>
                </v:line>
                <v:shape style="position:absolute;left:3152;top:158;width:78;height:2" id="docshape279" coordorigin="3152,158" coordsize="78,0" path="m3229,158l3152,158e" filled="true" fillcolor="#000000" stroked="false">
                  <v:path arrowok="t"/>
                  <v:fill type="solid"/>
                </v:shape>
                <v:line style="position:absolute" from="3229,158" to="3152,158" stroked="true" strokeweight=".883056pt" strokecolor="#000000">
                  <v:stroke dashstyle="solid"/>
                </v:line>
                <v:line style="position:absolute" from="6475,3778" to="6475,-628" stroked="true" strokeweight=".883056pt" strokecolor="#000000">
                  <v:stroke dashstyle="shortdash"/>
                </v:line>
                <v:shape style="position:absolute;left:3229;top:-629;width:6776;height:4407" id="docshape280" coordorigin="3229,-628" coordsize="6776,4407" path="m3229,3778l3229,-628m10005,3778l10005,-628m3229,3778l10005,3778m3229,-628l10005,-628e" filled="false" stroked="true" strokeweight=".883056pt" strokecolor="#000000">
                  <v:path arrowok="t"/>
                  <v:stroke dashstyle="solid"/>
                </v:shape>
                <w10:wrap type="none"/>
              </v:group>
            </w:pict>
          </mc:Fallback>
        </mc:AlternateContent>
      </w:r>
      <w:r>
        <w:rPr>
          <w:rFonts w:ascii="Verdana"/>
        </w:rPr>
        <mc:AlternateContent>
          <mc:Choice Requires="wps">
            <w:drawing>
              <wp:anchor distT="0" distB="0" distL="0" distR="0" allowOverlap="1" layoutInCell="1" locked="0" behindDoc="0" simplePos="0" relativeHeight="15770112">
                <wp:simplePos x="0" y="0"/>
                <wp:positionH relativeFrom="page">
                  <wp:posOffset>1182840</wp:posOffset>
                </wp:positionH>
                <wp:positionV relativeFrom="paragraph">
                  <wp:posOffset>-412706</wp:posOffset>
                </wp:positionV>
                <wp:extent cx="177800" cy="282702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177800" cy="2827020"/>
                        </a:xfrm>
                        <a:prstGeom prst="rect">
                          <a:avLst/>
                        </a:prstGeom>
                      </wps:spPr>
                      <wps:txbx>
                        <w:txbxContent>
                          <w:p>
                            <w:pPr>
                              <w:spacing w:line="278" w:lineRule="exact" w:before="0"/>
                              <w:ind w:left="20" w:right="0" w:firstLine="0"/>
                              <w:jc w:val="left"/>
                              <w:rPr>
                                <w:rFonts w:ascii="Verdana"/>
                                <w:sz w:val="26"/>
                              </w:rPr>
                            </w:pPr>
                            <w:r>
                              <w:rPr>
                                <w:rFonts w:ascii="Verdana"/>
                                <w:spacing w:val="-6"/>
                                <w:sz w:val="26"/>
                              </w:rPr>
                              <w:t>Number</w:t>
                            </w:r>
                            <w:r>
                              <w:rPr>
                                <w:rFonts w:ascii="Verdana"/>
                                <w:spacing w:val="-19"/>
                                <w:sz w:val="26"/>
                              </w:rPr>
                              <w:t> </w:t>
                            </w:r>
                            <w:r>
                              <w:rPr>
                                <w:rFonts w:ascii="Verdana"/>
                                <w:spacing w:val="-6"/>
                                <w:sz w:val="26"/>
                              </w:rPr>
                              <w:t>of</w:t>
                            </w:r>
                            <w:r>
                              <w:rPr>
                                <w:rFonts w:ascii="Verdana"/>
                                <w:spacing w:val="-33"/>
                                <w:sz w:val="26"/>
                              </w:rPr>
                              <w:t> </w:t>
                            </w:r>
                            <w:r>
                              <w:rPr>
                                <w:rFonts w:ascii="Verdana"/>
                                <w:spacing w:val="-6"/>
                                <w:sz w:val="26"/>
                              </w:rPr>
                              <w:t>PositionDecrease</w:t>
                            </w:r>
                            <w:r>
                              <w:rPr>
                                <w:rFonts w:ascii="Verdana"/>
                                <w:spacing w:val="-7"/>
                                <w:sz w:val="26"/>
                              </w:rPr>
                              <w:t> </w:t>
                            </w:r>
                            <w:r>
                              <w:rPr>
                                <w:rFonts w:ascii="Verdana"/>
                                <w:spacing w:val="-6"/>
                                <w:sz w:val="26"/>
                              </w:rPr>
                              <w:t>events</w:t>
                            </w:r>
                          </w:p>
                        </w:txbxContent>
                      </wps:txbx>
                      <wps:bodyPr wrap="square" lIns="0" tIns="0" rIns="0" bIns="0" rtlCol="0" vert="vert270">
                        <a:noAutofit/>
                      </wps:bodyPr>
                    </wps:wsp>
                  </a:graphicData>
                </a:graphic>
              </wp:anchor>
            </w:drawing>
          </mc:Choice>
          <mc:Fallback>
            <w:pict>
              <v:shape style="position:absolute;margin-left:93.137054pt;margin-top:-32.496548pt;width:14pt;height:222.6pt;mso-position-horizontal-relative:page;mso-position-vertical-relative:paragraph;z-index:15770112" type="#_x0000_t202" id="docshape281" filled="false" stroked="false">
                <v:textbox inset="0,0,0,0" style="layout-flow:vertical;mso-layout-flow-alt:bottom-to-top">
                  <w:txbxContent>
                    <w:p>
                      <w:pPr>
                        <w:spacing w:line="278" w:lineRule="exact" w:before="0"/>
                        <w:ind w:left="20" w:right="0" w:firstLine="0"/>
                        <w:jc w:val="left"/>
                        <w:rPr>
                          <w:rFonts w:ascii="Verdana"/>
                          <w:sz w:val="26"/>
                        </w:rPr>
                      </w:pPr>
                      <w:r>
                        <w:rPr>
                          <w:rFonts w:ascii="Verdana"/>
                          <w:spacing w:val="-6"/>
                          <w:sz w:val="26"/>
                        </w:rPr>
                        <w:t>Number</w:t>
                      </w:r>
                      <w:r>
                        <w:rPr>
                          <w:rFonts w:ascii="Verdana"/>
                          <w:spacing w:val="-19"/>
                          <w:sz w:val="26"/>
                        </w:rPr>
                        <w:t> </w:t>
                      </w:r>
                      <w:r>
                        <w:rPr>
                          <w:rFonts w:ascii="Verdana"/>
                          <w:spacing w:val="-6"/>
                          <w:sz w:val="26"/>
                        </w:rPr>
                        <w:t>of</w:t>
                      </w:r>
                      <w:r>
                        <w:rPr>
                          <w:rFonts w:ascii="Verdana"/>
                          <w:spacing w:val="-33"/>
                          <w:sz w:val="26"/>
                        </w:rPr>
                        <w:t> </w:t>
                      </w:r>
                      <w:r>
                        <w:rPr>
                          <w:rFonts w:ascii="Verdana"/>
                          <w:spacing w:val="-6"/>
                          <w:sz w:val="26"/>
                        </w:rPr>
                        <w:t>PositionDecrease</w:t>
                      </w:r>
                      <w:r>
                        <w:rPr>
                          <w:rFonts w:ascii="Verdana"/>
                          <w:spacing w:val="-7"/>
                          <w:sz w:val="26"/>
                        </w:rPr>
                        <w:t> </w:t>
                      </w:r>
                      <w:r>
                        <w:rPr>
                          <w:rFonts w:ascii="Verdana"/>
                          <w:spacing w:val="-6"/>
                          <w:sz w:val="26"/>
                        </w:rPr>
                        <w:t>events</w:t>
                      </w:r>
                    </w:p>
                  </w:txbxContent>
                </v:textbox>
                <w10:wrap type="none"/>
              </v:shape>
            </w:pict>
          </mc:Fallback>
        </mc:AlternateContent>
      </w:r>
      <w:bookmarkStart w:name="_bookmark88" w:id="161"/>
      <w:bookmarkEnd w:id="161"/>
      <w:r>
        <w:rPr/>
      </w:r>
      <w:r>
        <w:rPr>
          <w:rFonts w:ascii="Verdana"/>
          <w:spacing w:val="-2"/>
        </w:rPr>
        <w:t>200000</w:t>
      </w:r>
    </w:p>
    <w:p>
      <w:pPr>
        <w:pStyle w:val="BodyText"/>
        <w:rPr>
          <w:rFonts w:ascii="Verdana"/>
          <w:sz w:val="22"/>
        </w:rPr>
      </w:pPr>
    </w:p>
    <w:p>
      <w:pPr>
        <w:pStyle w:val="BodyText"/>
        <w:spacing w:before="79"/>
        <w:rPr>
          <w:rFonts w:ascii="Verdana"/>
          <w:sz w:val="22"/>
        </w:rPr>
      </w:pPr>
    </w:p>
    <w:p>
      <w:pPr>
        <w:pStyle w:val="BodyText"/>
        <w:ind w:left="1240"/>
        <w:rPr>
          <w:rFonts w:ascii="Verdana"/>
        </w:rPr>
      </w:pPr>
      <w:r>
        <w:rPr>
          <w:rFonts w:ascii="Verdana"/>
          <w:spacing w:val="-2"/>
          <w:w w:val="95"/>
        </w:rPr>
        <w:t>150000</w:t>
      </w:r>
    </w:p>
    <w:p>
      <w:pPr>
        <w:pStyle w:val="BodyText"/>
        <w:rPr>
          <w:rFonts w:ascii="Verdana"/>
          <w:sz w:val="22"/>
        </w:rPr>
      </w:pPr>
    </w:p>
    <w:p>
      <w:pPr>
        <w:pStyle w:val="BodyText"/>
        <w:spacing w:before="78"/>
        <w:rPr>
          <w:rFonts w:ascii="Verdana"/>
          <w:sz w:val="22"/>
        </w:rPr>
      </w:pPr>
    </w:p>
    <w:p>
      <w:pPr>
        <w:pStyle w:val="BodyText"/>
        <w:ind w:left="1240"/>
        <w:rPr>
          <w:rFonts w:ascii="Verdana"/>
        </w:rPr>
      </w:pPr>
      <w:r>
        <w:rPr>
          <w:rFonts w:ascii="Verdana"/>
          <w:spacing w:val="-2"/>
          <w:w w:val="95"/>
        </w:rPr>
        <w:t>100000</w:t>
      </w:r>
    </w:p>
    <w:p>
      <w:pPr>
        <w:pStyle w:val="BodyText"/>
        <w:rPr>
          <w:rFonts w:ascii="Verdana"/>
          <w:sz w:val="22"/>
        </w:rPr>
      </w:pPr>
    </w:p>
    <w:p>
      <w:pPr>
        <w:pStyle w:val="BodyText"/>
        <w:spacing w:before="79"/>
        <w:rPr>
          <w:rFonts w:ascii="Verdana"/>
          <w:sz w:val="22"/>
        </w:rPr>
      </w:pPr>
    </w:p>
    <w:p>
      <w:pPr>
        <w:pStyle w:val="BodyText"/>
        <w:ind w:left="1380"/>
        <w:rPr>
          <w:rFonts w:ascii="Verdana"/>
        </w:rPr>
      </w:pPr>
      <w:r>
        <w:rPr>
          <w:rFonts w:ascii="Verdana"/>
          <w:spacing w:val="-2"/>
        </w:rPr>
        <w:t>50000</w:t>
      </w:r>
    </w:p>
    <w:p>
      <w:pPr>
        <w:pStyle w:val="BodyText"/>
        <w:rPr>
          <w:rFonts w:ascii="Verdana"/>
          <w:sz w:val="22"/>
        </w:rPr>
      </w:pPr>
    </w:p>
    <w:p>
      <w:pPr>
        <w:pStyle w:val="BodyText"/>
        <w:spacing w:before="78"/>
        <w:rPr>
          <w:rFonts w:ascii="Verdana"/>
          <w:sz w:val="22"/>
        </w:rPr>
      </w:pPr>
    </w:p>
    <w:p>
      <w:pPr>
        <w:pStyle w:val="BodyText"/>
        <w:spacing w:line="265" w:lineRule="exact"/>
        <w:ind w:left="1942"/>
        <w:rPr>
          <w:rFonts w:ascii="Verdana"/>
        </w:rPr>
      </w:pPr>
      <w:r>
        <w:rPr>
          <w:rFonts w:ascii="Verdana"/>
          <w:spacing w:val="-10"/>
        </w:rPr>
        <w:t>0</w:t>
      </w:r>
    </w:p>
    <w:p>
      <w:pPr>
        <w:tabs>
          <w:tab w:pos="3552" w:val="left" w:leader="none"/>
          <w:tab w:pos="4436" w:val="left" w:leader="none"/>
          <w:tab w:pos="5412" w:val="left" w:leader="none"/>
          <w:tab w:pos="6296" w:val="left" w:leader="none"/>
          <w:tab w:pos="7181" w:val="left" w:leader="none"/>
          <w:tab w:pos="8065" w:val="left" w:leader="none"/>
        </w:tabs>
        <w:spacing w:line="262" w:lineRule="exact" w:before="0"/>
        <w:ind w:left="2668" w:right="0" w:firstLine="0"/>
        <w:jc w:val="left"/>
        <w:rPr>
          <w:rFonts w:ascii="Verdana" w:hAnsi="Verdana"/>
          <w:sz w:val="24"/>
        </w:rPr>
      </w:pPr>
      <w:r>
        <w:rPr>
          <w:rFonts w:ascii="Verdana" w:hAnsi="Verdana"/>
          <w:w w:val="580"/>
          <w:sz w:val="2"/>
        </w:rPr>
        <w:t>−</w:t>
      </w:r>
      <w:r>
        <w:rPr>
          <w:rFonts w:ascii="Verdana" w:hAnsi="Verdana"/>
          <w:spacing w:val="-11"/>
          <w:w w:val="580"/>
          <w:sz w:val="2"/>
        </w:rPr>
        <w:t> </w:t>
      </w:r>
      <w:r>
        <w:rPr>
          <w:rFonts w:ascii="Verdana" w:hAnsi="Verdana"/>
          <w:spacing w:val="-10"/>
          <w:sz w:val="24"/>
        </w:rPr>
        <w:t>3</w:t>
      </w:r>
      <w:r>
        <w:rPr>
          <w:rFonts w:ascii="Verdana" w:hAnsi="Verdana"/>
          <w:sz w:val="24"/>
        </w:rPr>
        <w:tab/>
      </w:r>
      <w:r>
        <w:rPr>
          <w:rFonts w:ascii="Verdana" w:hAnsi="Verdana"/>
          <w:w w:val="580"/>
          <w:sz w:val="2"/>
        </w:rPr>
        <w:t>−</w:t>
      </w:r>
      <w:r>
        <w:rPr>
          <w:rFonts w:ascii="Verdana" w:hAnsi="Verdana"/>
          <w:spacing w:val="-11"/>
          <w:w w:val="580"/>
          <w:sz w:val="2"/>
        </w:rPr>
        <w:t> </w:t>
      </w:r>
      <w:r>
        <w:rPr>
          <w:rFonts w:ascii="Verdana" w:hAnsi="Verdana"/>
          <w:spacing w:val="-10"/>
          <w:sz w:val="24"/>
        </w:rPr>
        <w:t>2</w:t>
      </w:r>
      <w:r>
        <w:rPr>
          <w:rFonts w:ascii="Verdana" w:hAnsi="Verdana"/>
          <w:sz w:val="24"/>
        </w:rPr>
        <w:tab/>
      </w:r>
      <w:r>
        <w:rPr>
          <w:rFonts w:ascii="Verdana" w:hAnsi="Verdana"/>
          <w:w w:val="580"/>
          <w:sz w:val="2"/>
        </w:rPr>
        <w:t>−</w:t>
      </w:r>
      <w:r>
        <w:rPr>
          <w:rFonts w:ascii="Verdana" w:hAnsi="Verdana"/>
          <w:spacing w:val="-11"/>
          <w:w w:val="580"/>
          <w:sz w:val="2"/>
        </w:rPr>
        <w:t> </w:t>
      </w:r>
      <w:r>
        <w:rPr>
          <w:rFonts w:ascii="Verdana" w:hAnsi="Verdana"/>
          <w:spacing w:val="-10"/>
          <w:sz w:val="24"/>
        </w:rPr>
        <w:t>1</w:t>
      </w:r>
      <w:r>
        <w:rPr>
          <w:rFonts w:ascii="Verdana" w:hAnsi="Verdana"/>
          <w:sz w:val="24"/>
        </w:rPr>
        <w:tab/>
      </w:r>
      <w:r>
        <w:rPr>
          <w:rFonts w:ascii="Verdana" w:hAnsi="Verdana"/>
          <w:spacing w:val="-10"/>
          <w:sz w:val="24"/>
        </w:rPr>
        <w:t>0</w:t>
      </w:r>
      <w:r>
        <w:rPr>
          <w:rFonts w:ascii="Verdana" w:hAnsi="Verdana"/>
          <w:sz w:val="24"/>
        </w:rPr>
        <w:tab/>
      </w:r>
      <w:r>
        <w:rPr>
          <w:rFonts w:ascii="Verdana" w:hAnsi="Verdana"/>
          <w:spacing w:val="-10"/>
          <w:sz w:val="24"/>
        </w:rPr>
        <w:t>1</w:t>
      </w:r>
      <w:r>
        <w:rPr>
          <w:rFonts w:ascii="Verdana" w:hAnsi="Verdana"/>
          <w:sz w:val="24"/>
        </w:rPr>
        <w:tab/>
      </w:r>
      <w:r>
        <w:rPr>
          <w:rFonts w:ascii="Verdana" w:hAnsi="Verdana"/>
          <w:spacing w:val="-10"/>
          <w:sz w:val="24"/>
        </w:rPr>
        <w:t>2</w:t>
      </w:r>
      <w:r>
        <w:rPr>
          <w:rFonts w:ascii="Verdana" w:hAnsi="Verdana"/>
          <w:sz w:val="24"/>
        </w:rPr>
        <w:tab/>
      </w:r>
      <w:r>
        <w:rPr>
          <w:rFonts w:ascii="Verdana" w:hAnsi="Verdana"/>
          <w:spacing w:val="-10"/>
          <w:sz w:val="24"/>
        </w:rPr>
        <w:t>3</w:t>
      </w:r>
    </w:p>
    <w:p>
      <w:pPr>
        <w:pStyle w:val="Heading3"/>
        <w:spacing w:line="333" w:lineRule="exact"/>
        <w:ind w:left="2791"/>
        <w:rPr>
          <w:position w:val="4"/>
          <w:sz w:val="24"/>
        </w:rPr>
      </w:pPr>
      <w:r>
        <w:rPr>
          <w:w w:val="90"/>
        </w:rPr>
        <w:t>Realized</w:t>
      </w:r>
      <w:r>
        <w:rPr>
          <w:spacing w:val="7"/>
        </w:rPr>
        <w:t> </w:t>
      </w:r>
      <w:r>
        <w:rPr>
          <w:w w:val="90"/>
        </w:rPr>
        <w:t>base</w:t>
      </w:r>
      <w:r>
        <w:rPr>
          <w:spacing w:val="18"/>
        </w:rPr>
        <w:t> </w:t>
      </w:r>
      <w:r>
        <w:rPr>
          <w:w w:val="90"/>
        </w:rPr>
        <w:t>PnL</w:t>
      </w:r>
      <w:r>
        <w:rPr>
          <w:spacing w:val="4"/>
        </w:rPr>
        <w:t> </w:t>
      </w:r>
      <w:r>
        <w:rPr>
          <w:w w:val="90"/>
        </w:rPr>
        <w:t>(USD,</w:t>
      </w:r>
      <w:r>
        <w:rPr>
          <w:spacing w:val="45"/>
        </w:rPr>
        <w:t> </w:t>
      </w:r>
      <w:r>
        <w:rPr>
          <w:w w:val="90"/>
        </w:rPr>
        <w:t>1</w:t>
      </w:r>
      <w:r>
        <w:rPr>
          <w:spacing w:val="-47"/>
          <w:w w:val="90"/>
        </w:rPr>
        <w:t> </w:t>
      </w:r>
      <w:r>
        <w:rPr>
          <w:w w:val="90"/>
        </w:rPr>
        <w:t>st--99th</w:t>
      </w:r>
      <w:r>
        <w:rPr>
          <w:spacing w:val="6"/>
        </w:rPr>
        <w:t> </w:t>
      </w:r>
      <w:r>
        <w:rPr>
          <w:w w:val="90"/>
        </w:rPr>
        <w:t>percentile)</w:t>
      </w:r>
      <w:r>
        <w:rPr>
          <w:w w:val="90"/>
          <w:position w:val="4"/>
          <w:sz w:val="24"/>
        </w:rPr>
        <w:t>1</w:t>
      </w:r>
      <w:r>
        <w:rPr>
          <w:spacing w:val="-44"/>
          <w:w w:val="90"/>
          <w:position w:val="4"/>
          <w:sz w:val="24"/>
        </w:rPr>
        <w:t> </w:t>
      </w:r>
      <w:r>
        <w:rPr>
          <w:spacing w:val="-5"/>
          <w:w w:val="90"/>
          <w:position w:val="4"/>
          <w:sz w:val="24"/>
        </w:rPr>
        <w:t>e33</w:t>
      </w:r>
    </w:p>
    <w:p>
      <w:pPr>
        <w:pStyle w:val="Heading3"/>
        <w:spacing w:line="333" w:lineRule="exact"/>
        <w:ind w:left="2791"/>
        <w:rPr>
          <w:position w:val="4"/>
          <w:sz w:val="24"/>
        </w:rPr>
      </w:pPr>
      <w:r>
        <w:rPr>
          <w:i/>
        </w:rPr>
        <w:t>실현 기본 손익(USD, 1~99번째 백분위수)1 e33</w:t>
      </w:r>
    </w:p>
    <w:p>
      <w:pPr>
        <w:pStyle w:val="BodyText"/>
        <w:spacing w:before="49"/>
        <w:rPr>
          <w:rFonts w:ascii="Verdana"/>
        </w:rPr>
      </w:pPr>
    </w:p>
    <w:p>
      <w:pPr>
        <w:pStyle w:val="BodyText"/>
        <w:spacing w:line="252" w:lineRule="auto"/>
        <w:ind w:left="282" w:right="564"/>
        <w:jc w:val="both"/>
      </w:pPr>
      <w:r>
        <w:rPr/>
        <w:t>Figure 4.2: Distribution of GMX realized PnL summaries in the matched cohort.</w:t>
      </w:r>
      <w:r>
        <w:rPr>
          <w:spacing w:val="34"/>
        </w:rPr>
        <w:t> </w:t>
      </w:r>
      <w:r>
        <w:rPr/>
        <w:t>Heterogeneous profit and loss outcomes motivate treating trading-success proxies as one validation axis among several, rather than as a sole ground truth for social reputation.</w:t>
      </w:r>
    </w:p>
    <w:p>
      <w:pPr>
        <w:pStyle w:val="BodyText"/>
        <w:spacing w:line="252" w:lineRule="auto"/>
        <w:ind w:left="282" w:right="564"/>
        <w:jc w:val="both"/>
      </w:pPr>
      <w:r>
        <w:rPr>
          <w:i/>
        </w:rPr>
        <w:t>그림 4.2: 일치하는 코호트에서 GMX 실현 손익 요약 분포. 이질적인 손익 결과는 거래 성공 프록시를 사회적 평판에 대한 유일한 근거가 아닌 여러 검증 축 중 하나로 취급하도록 동기를 부여합니다.</w:t>
      </w:r>
    </w:p>
    <w:p>
      <w:pPr>
        <w:pStyle w:val="BodyText"/>
        <w:spacing w:after="0" w:line="252" w:lineRule="auto"/>
        <w:jc w:val="both"/>
        <w:sectPr>
          <w:pgSz w:w="11910" w:h="16840"/>
          <w:pgMar w:header="0" w:footer="2115" w:top="1920" w:bottom="2300" w:left="992" w:right="708"/>
        </w:sectPr>
      </w:pPr>
    </w:p>
    <w:p>
      <w:pPr>
        <w:pStyle w:val="BodyText"/>
        <w:spacing w:line="396" w:lineRule="auto" w:before="72"/>
        <w:ind w:left="282" w:hanging="9"/>
      </w:pPr>
      <w:r>
        <w:rPr/>
        <w:t>wallets share similar rates, rank correlation has limited room to rise even if reputation scores are informative on other axes.</w:t>
      </w:r>
    </w:p>
    <w:p>
      <w:pPr>
        <w:pStyle w:val="BodyText"/>
        <w:spacing w:line="396" w:lineRule="auto" w:before="72"/>
        <w:ind w:left="282" w:hanging="9"/>
      </w:pPr>
      <w:r>
        <w:rPr>
          <w:i/>
        </w:rPr>
        <w:t>지갑은 비슷한 비율을 공유하므로 평판 점수가 다른 축에 유익한 경우에도 순위 상관 관계는 상승할 여지가 제한적입니다.</w:t>
      </w:r>
    </w:p>
    <w:p>
      <w:pPr>
        <w:pStyle w:val="BodyText"/>
        <w:rPr>
          <w:sz w:val="23"/>
        </w:rPr>
      </w:pPr>
    </w:p>
    <w:p>
      <w:pPr>
        <w:pStyle w:val="BodyText"/>
        <w:spacing w:before="135"/>
        <w:rPr>
          <w:sz w:val="23"/>
        </w:rPr>
      </w:pPr>
    </w:p>
    <w:p>
      <w:pPr>
        <w:spacing w:before="0"/>
        <w:ind w:left="1266"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0624">
                <wp:simplePos x="0" y="0"/>
                <wp:positionH relativeFrom="page">
                  <wp:posOffset>1767146</wp:posOffset>
                </wp:positionH>
                <wp:positionV relativeFrom="paragraph">
                  <wp:posOffset>-287957</wp:posOffset>
                </wp:positionV>
                <wp:extent cx="4586605" cy="300291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4586605" cy="3002915"/>
                          <a:chExt cx="4586605" cy="3002915"/>
                        </a:xfrm>
                      </wpg:grpSpPr>
                      <wps:wsp>
                        <wps:cNvPr id="413" name="Graphic 413"/>
                        <wps:cNvSpPr/>
                        <wps:spPr>
                          <a:xfrm>
                            <a:off x="257500" y="867878"/>
                            <a:ext cx="274955" cy="2083435"/>
                          </a:xfrm>
                          <a:custGeom>
                            <a:avLst/>
                            <a:gdLst/>
                            <a:ahLst/>
                            <a:cxnLst/>
                            <a:rect l="l" t="t" r="r" b="b"/>
                            <a:pathLst>
                              <a:path w="274955" h="2083435">
                                <a:moveTo>
                                  <a:pt x="274485" y="1996249"/>
                                </a:moveTo>
                                <a:lnTo>
                                  <a:pt x="137236" y="1996249"/>
                                </a:lnTo>
                                <a:lnTo>
                                  <a:pt x="137236" y="0"/>
                                </a:lnTo>
                                <a:lnTo>
                                  <a:pt x="0" y="0"/>
                                </a:lnTo>
                                <a:lnTo>
                                  <a:pt x="0" y="2083269"/>
                                </a:lnTo>
                                <a:lnTo>
                                  <a:pt x="137236" y="2083269"/>
                                </a:lnTo>
                                <a:lnTo>
                                  <a:pt x="274485" y="2083269"/>
                                </a:lnTo>
                                <a:lnTo>
                                  <a:pt x="274485" y="1996249"/>
                                </a:lnTo>
                                <a:close/>
                              </a:path>
                            </a:pathLst>
                          </a:custGeom>
                          <a:solidFill>
                            <a:srgbClr val="795A2B"/>
                          </a:solidFill>
                        </wps:spPr>
                        <wps:bodyPr wrap="square" lIns="0" tIns="0" rIns="0" bIns="0" rtlCol="0">
                          <a:prstTxWarp prst="textNoShape">
                            <a:avLst/>
                          </a:prstTxWarp>
                          <a:noAutofit/>
                        </wps:bodyPr>
                      </wps:wsp>
                      <wps:wsp>
                        <wps:cNvPr id="414" name="Graphic 414"/>
                        <wps:cNvSpPr/>
                        <wps:spPr>
                          <a:xfrm>
                            <a:off x="394746" y="2864126"/>
                            <a:ext cx="137795" cy="87630"/>
                          </a:xfrm>
                          <a:custGeom>
                            <a:avLst/>
                            <a:gdLst/>
                            <a:ahLst/>
                            <a:cxnLst/>
                            <a:rect l="l" t="t" r="r" b="b"/>
                            <a:pathLst>
                              <a:path w="137795" h="87630">
                                <a:moveTo>
                                  <a:pt x="0" y="87016"/>
                                </a:moveTo>
                                <a:lnTo>
                                  <a:pt x="137239" y="87016"/>
                                </a:lnTo>
                                <a:lnTo>
                                  <a:pt x="137239" y="0"/>
                                </a:lnTo>
                                <a:lnTo>
                                  <a:pt x="0" y="0"/>
                                </a:lnTo>
                                <a:lnTo>
                                  <a:pt x="0" y="87016"/>
                                </a:lnTo>
                                <a:close/>
                              </a:path>
                            </a:pathLst>
                          </a:custGeom>
                          <a:ln w="14756">
                            <a:solidFill>
                              <a:srgbClr val="FFFFFF"/>
                            </a:solidFill>
                            <a:prstDash val="solid"/>
                          </a:ln>
                        </wps:spPr>
                        <wps:bodyPr wrap="square" lIns="0" tIns="0" rIns="0" bIns="0" rtlCol="0">
                          <a:prstTxWarp prst="textNoShape">
                            <a:avLst/>
                          </a:prstTxWarp>
                          <a:noAutofit/>
                        </wps:bodyPr>
                      </wps:wsp>
                      <wps:wsp>
                        <wps:cNvPr id="415" name="Graphic 415"/>
                        <wps:cNvSpPr/>
                        <wps:spPr>
                          <a:xfrm>
                            <a:off x="531985" y="2705449"/>
                            <a:ext cx="137795" cy="245745"/>
                          </a:xfrm>
                          <a:custGeom>
                            <a:avLst/>
                            <a:gdLst/>
                            <a:ahLst/>
                            <a:cxnLst/>
                            <a:rect l="l" t="t" r="r" b="b"/>
                            <a:pathLst>
                              <a:path w="137795" h="245745">
                                <a:moveTo>
                                  <a:pt x="137239" y="0"/>
                                </a:moveTo>
                                <a:lnTo>
                                  <a:pt x="0" y="0"/>
                                </a:lnTo>
                                <a:lnTo>
                                  <a:pt x="0" y="245692"/>
                                </a:lnTo>
                                <a:lnTo>
                                  <a:pt x="137239" y="245692"/>
                                </a:lnTo>
                                <a:lnTo>
                                  <a:pt x="137239" y="0"/>
                                </a:lnTo>
                                <a:close/>
                              </a:path>
                            </a:pathLst>
                          </a:custGeom>
                          <a:solidFill>
                            <a:srgbClr val="795A2B"/>
                          </a:solidFill>
                        </wps:spPr>
                        <wps:bodyPr wrap="square" lIns="0" tIns="0" rIns="0" bIns="0" rtlCol="0">
                          <a:prstTxWarp prst="textNoShape">
                            <a:avLst/>
                          </a:prstTxWarp>
                          <a:noAutofit/>
                        </wps:bodyPr>
                      </wps:wsp>
                      <wps:wsp>
                        <wps:cNvPr id="416" name="Graphic 416"/>
                        <wps:cNvSpPr/>
                        <wps:spPr>
                          <a:xfrm>
                            <a:off x="531985" y="2705449"/>
                            <a:ext cx="137795" cy="245745"/>
                          </a:xfrm>
                          <a:custGeom>
                            <a:avLst/>
                            <a:gdLst/>
                            <a:ahLst/>
                            <a:cxnLst/>
                            <a:rect l="l" t="t" r="r" b="b"/>
                            <a:pathLst>
                              <a:path w="137795" h="245745">
                                <a:moveTo>
                                  <a:pt x="0" y="245692"/>
                                </a:moveTo>
                                <a:lnTo>
                                  <a:pt x="137239" y="245692"/>
                                </a:lnTo>
                                <a:lnTo>
                                  <a:pt x="137239" y="0"/>
                                </a:lnTo>
                                <a:lnTo>
                                  <a:pt x="0" y="0"/>
                                </a:lnTo>
                                <a:lnTo>
                                  <a:pt x="0" y="245692"/>
                                </a:lnTo>
                                <a:close/>
                              </a:path>
                            </a:pathLst>
                          </a:custGeom>
                          <a:ln w="14756">
                            <a:solidFill>
                              <a:srgbClr val="FFFFFF"/>
                            </a:solidFill>
                            <a:prstDash val="solid"/>
                          </a:ln>
                        </wps:spPr>
                        <wps:bodyPr wrap="square" lIns="0" tIns="0" rIns="0" bIns="0" rtlCol="0">
                          <a:prstTxWarp prst="textNoShape">
                            <a:avLst/>
                          </a:prstTxWarp>
                          <a:noAutofit/>
                        </wps:bodyPr>
                      </wps:wsp>
                      <wps:wsp>
                        <wps:cNvPr id="417" name="Graphic 417"/>
                        <wps:cNvSpPr/>
                        <wps:spPr>
                          <a:xfrm>
                            <a:off x="669225" y="2562129"/>
                            <a:ext cx="137795" cy="389255"/>
                          </a:xfrm>
                          <a:custGeom>
                            <a:avLst/>
                            <a:gdLst/>
                            <a:ahLst/>
                            <a:cxnLst/>
                            <a:rect l="l" t="t" r="r" b="b"/>
                            <a:pathLst>
                              <a:path w="137795" h="389255">
                                <a:moveTo>
                                  <a:pt x="137239" y="0"/>
                                </a:moveTo>
                                <a:lnTo>
                                  <a:pt x="0" y="0"/>
                                </a:lnTo>
                                <a:lnTo>
                                  <a:pt x="0" y="389013"/>
                                </a:lnTo>
                                <a:lnTo>
                                  <a:pt x="137239" y="389013"/>
                                </a:lnTo>
                                <a:lnTo>
                                  <a:pt x="137239" y="0"/>
                                </a:lnTo>
                                <a:close/>
                              </a:path>
                            </a:pathLst>
                          </a:custGeom>
                          <a:solidFill>
                            <a:srgbClr val="795A2B"/>
                          </a:solidFill>
                        </wps:spPr>
                        <wps:bodyPr wrap="square" lIns="0" tIns="0" rIns="0" bIns="0" rtlCol="0">
                          <a:prstTxWarp prst="textNoShape">
                            <a:avLst/>
                          </a:prstTxWarp>
                          <a:noAutofit/>
                        </wps:bodyPr>
                      </wps:wsp>
                      <wps:wsp>
                        <wps:cNvPr id="418" name="Graphic 418"/>
                        <wps:cNvSpPr/>
                        <wps:spPr>
                          <a:xfrm>
                            <a:off x="669225" y="2562129"/>
                            <a:ext cx="137795" cy="389255"/>
                          </a:xfrm>
                          <a:custGeom>
                            <a:avLst/>
                            <a:gdLst/>
                            <a:ahLst/>
                            <a:cxnLst/>
                            <a:rect l="l" t="t" r="r" b="b"/>
                            <a:pathLst>
                              <a:path w="137795" h="389255">
                                <a:moveTo>
                                  <a:pt x="0" y="389013"/>
                                </a:moveTo>
                                <a:lnTo>
                                  <a:pt x="137239" y="389013"/>
                                </a:lnTo>
                                <a:lnTo>
                                  <a:pt x="137239" y="0"/>
                                </a:lnTo>
                                <a:lnTo>
                                  <a:pt x="0" y="0"/>
                                </a:lnTo>
                                <a:lnTo>
                                  <a:pt x="0" y="389013"/>
                                </a:lnTo>
                                <a:close/>
                              </a:path>
                            </a:pathLst>
                          </a:custGeom>
                          <a:ln w="14756">
                            <a:solidFill>
                              <a:srgbClr val="FFFFFF"/>
                            </a:solidFill>
                            <a:prstDash val="solid"/>
                          </a:ln>
                        </wps:spPr>
                        <wps:bodyPr wrap="square" lIns="0" tIns="0" rIns="0" bIns="0" rtlCol="0">
                          <a:prstTxWarp prst="textNoShape">
                            <a:avLst/>
                          </a:prstTxWarp>
                          <a:noAutofit/>
                        </wps:bodyPr>
                      </wps:wsp>
                      <wps:wsp>
                        <wps:cNvPr id="419" name="Graphic 419"/>
                        <wps:cNvSpPr/>
                        <wps:spPr>
                          <a:xfrm>
                            <a:off x="806464" y="2516061"/>
                            <a:ext cx="137795" cy="435609"/>
                          </a:xfrm>
                          <a:custGeom>
                            <a:avLst/>
                            <a:gdLst/>
                            <a:ahLst/>
                            <a:cxnLst/>
                            <a:rect l="l" t="t" r="r" b="b"/>
                            <a:pathLst>
                              <a:path w="137795" h="435609">
                                <a:moveTo>
                                  <a:pt x="137239" y="0"/>
                                </a:moveTo>
                                <a:lnTo>
                                  <a:pt x="0" y="0"/>
                                </a:lnTo>
                                <a:lnTo>
                                  <a:pt x="0" y="435080"/>
                                </a:lnTo>
                                <a:lnTo>
                                  <a:pt x="137239" y="435080"/>
                                </a:lnTo>
                                <a:lnTo>
                                  <a:pt x="137239" y="0"/>
                                </a:lnTo>
                                <a:close/>
                              </a:path>
                            </a:pathLst>
                          </a:custGeom>
                          <a:solidFill>
                            <a:srgbClr val="795A2B"/>
                          </a:solidFill>
                        </wps:spPr>
                        <wps:bodyPr wrap="square" lIns="0" tIns="0" rIns="0" bIns="0" rtlCol="0">
                          <a:prstTxWarp prst="textNoShape">
                            <a:avLst/>
                          </a:prstTxWarp>
                          <a:noAutofit/>
                        </wps:bodyPr>
                      </wps:wsp>
                      <wps:wsp>
                        <wps:cNvPr id="420" name="Graphic 420"/>
                        <wps:cNvSpPr/>
                        <wps:spPr>
                          <a:xfrm>
                            <a:off x="806464" y="2516061"/>
                            <a:ext cx="137795" cy="435609"/>
                          </a:xfrm>
                          <a:custGeom>
                            <a:avLst/>
                            <a:gdLst/>
                            <a:ahLst/>
                            <a:cxnLst/>
                            <a:rect l="l" t="t" r="r" b="b"/>
                            <a:pathLst>
                              <a:path w="137795" h="435609">
                                <a:moveTo>
                                  <a:pt x="0" y="435080"/>
                                </a:moveTo>
                                <a:lnTo>
                                  <a:pt x="137239" y="435080"/>
                                </a:lnTo>
                                <a:lnTo>
                                  <a:pt x="137239" y="0"/>
                                </a:lnTo>
                                <a:lnTo>
                                  <a:pt x="0" y="0"/>
                                </a:lnTo>
                                <a:lnTo>
                                  <a:pt x="0" y="435080"/>
                                </a:lnTo>
                                <a:close/>
                              </a:path>
                            </a:pathLst>
                          </a:custGeom>
                          <a:ln w="14756">
                            <a:solidFill>
                              <a:srgbClr val="FFFFFF"/>
                            </a:solidFill>
                            <a:prstDash val="solid"/>
                          </a:ln>
                        </wps:spPr>
                        <wps:bodyPr wrap="square" lIns="0" tIns="0" rIns="0" bIns="0" rtlCol="0">
                          <a:prstTxWarp prst="textNoShape">
                            <a:avLst/>
                          </a:prstTxWarp>
                          <a:noAutofit/>
                        </wps:bodyPr>
                      </wps:wsp>
                      <wps:wsp>
                        <wps:cNvPr id="421" name="Graphic 421"/>
                        <wps:cNvSpPr/>
                        <wps:spPr>
                          <a:xfrm>
                            <a:off x="943703" y="2408571"/>
                            <a:ext cx="137795" cy="542925"/>
                          </a:xfrm>
                          <a:custGeom>
                            <a:avLst/>
                            <a:gdLst/>
                            <a:ahLst/>
                            <a:cxnLst/>
                            <a:rect l="l" t="t" r="r" b="b"/>
                            <a:pathLst>
                              <a:path w="137795" h="542925">
                                <a:moveTo>
                                  <a:pt x="137239" y="0"/>
                                </a:moveTo>
                                <a:lnTo>
                                  <a:pt x="0" y="0"/>
                                </a:lnTo>
                                <a:lnTo>
                                  <a:pt x="0" y="542571"/>
                                </a:lnTo>
                                <a:lnTo>
                                  <a:pt x="137239" y="542571"/>
                                </a:lnTo>
                                <a:lnTo>
                                  <a:pt x="137239" y="0"/>
                                </a:lnTo>
                                <a:close/>
                              </a:path>
                            </a:pathLst>
                          </a:custGeom>
                          <a:solidFill>
                            <a:srgbClr val="795A2B"/>
                          </a:solidFill>
                        </wps:spPr>
                        <wps:bodyPr wrap="square" lIns="0" tIns="0" rIns="0" bIns="0" rtlCol="0">
                          <a:prstTxWarp prst="textNoShape">
                            <a:avLst/>
                          </a:prstTxWarp>
                          <a:noAutofit/>
                        </wps:bodyPr>
                      </wps:wsp>
                      <wps:wsp>
                        <wps:cNvPr id="422" name="Graphic 422"/>
                        <wps:cNvSpPr/>
                        <wps:spPr>
                          <a:xfrm>
                            <a:off x="943703" y="2408571"/>
                            <a:ext cx="137795" cy="542925"/>
                          </a:xfrm>
                          <a:custGeom>
                            <a:avLst/>
                            <a:gdLst/>
                            <a:ahLst/>
                            <a:cxnLst/>
                            <a:rect l="l" t="t" r="r" b="b"/>
                            <a:pathLst>
                              <a:path w="137795" h="542925">
                                <a:moveTo>
                                  <a:pt x="0" y="542571"/>
                                </a:moveTo>
                                <a:lnTo>
                                  <a:pt x="137239" y="542571"/>
                                </a:lnTo>
                                <a:lnTo>
                                  <a:pt x="137239" y="0"/>
                                </a:lnTo>
                                <a:lnTo>
                                  <a:pt x="0" y="0"/>
                                </a:lnTo>
                                <a:lnTo>
                                  <a:pt x="0" y="542571"/>
                                </a:lnTo>
                                <a:close/>
                              </a:path>
                            </a:pathLst>
                          </a:custGeom>
                          <a:ln w="14756">
                            <a:solidFill>
                              <a:srgbClr val="FFFFFF"/>
                            </a:solidFill>
                            <a:prstDash val="solid"/>
                          </a:ln>
                        </wps:spPr>
                        <wps:bodyPr wrap="square" lIns="0" tIns="0" rIns="0" bIns="0" rtlCol="0">
                          <a:prstTxWarp prst="textNoShape">
                            <a:avLst/>
                          </a:prstTxWarp>
                          <a:noAutofit/>
                        </wps:bodyPr>
                      </wps:wsp>
                      <wps:wsp>
                        <wps:cNvPr id="423" name="Graphic 423"/>
                        <wps:cNvSpPr/>
                        <wps:spPr>
                          <a:xfrm>
                            <a:off x="1080942" y="1958134"/>
                            <a:ext cx="137795" cy="993140"/>
                          </a:xfrm>
                          <a:custGeom>
                            <a:avLst/>
                            <a:gdLst/>
                            <a:ahLst/>
                            <a:cxnLst/>
                            <a:rect l="l" t="t" r="r" b="b"/>
                            <a:pathLst>
                              <a:path w="137795" h="993140">
                                <a:moveTo>
                                  <a:pt x="137239" y="0"/>
                                </a:moveTo>
                                <a:lnTo>
                                  <a:pt x="0" y="0"/>
                                </a:lnTo>
                                <a:lnTo>
                                  <a:pt x="0" y="993007"/>
                                </a:lnTo>
                                <a:lnTo>
                                  <a:pt x="137239" y="993007"/>
                                </a:lnTo>
                                <a:lnTo>
                                  <a:pt x="137239" y="0"/>
                                </a:lnTo>
                                <a:close/>
                              </a:path>
                            </a:pathLst>
                          </a:custGeom>
                          <a:solidFill>
                            <a:srgbClr val="795A2B"/>
                          </a:solidFill>
                        </wps:spPr>
                        <wps:bodyPr wrap="square" lIns="0" tIns="0" rIns="0" bIns="0" rtlCol="0">
                          <a:prstTxWarp prst="textNoShape">
                            <a:avLst/>
                          </a:prstTxWarp>
                          <a:noAutofit/>
                        </wps:bodyPr>
                      </wps:wsp>
                      <wps:wsp>
                        <wps:cNvPr id="424" name="Graphic 424"/>
                        <wps:cNvSpPr/>
                        <wps:spPr>
                          <a:xfrm>
                            <a:off x="1080942" y="1958134"/>
                            <a:ext cx="137795" cy="993140"/>
                          </a:xfrm>
                          <a:custGeom>
                            <a:avLst/>
                            <a:gdLst/>
                            <a:ahLst/>
                            <a:cxnLst/>
                            <a:rect l="l" t="t" r="r" b="b"/>
                            <a:pathLst>
                              <a:path w="137795" h="993140">
                                <a:moveTo>
                                  <a:pt x="0" y="993007"/>
                                </a:moveTo>
                                <a:lnTo>
                                  <a:pt x="137239" y="993007"/>
                                </a:lnTo>
                                <a:lnTo>
                                  <a:pt x="137239" y="0"/>
                                </a:lnTo>
                                <a:lnTo>
                                  <a:pt x="0" y="0"/>
                                </a:lnTo>
                                <a:lnTo>
                                  <a:pt x="0" y="993007"/>
                                </a:lnTo>
                                <a:close/>
                              </a:path>
                            </a:pathLst>
                          </a:custGeom>
                          <a:ln w="14756">
                            <a:solidFill>
                              <a:srgbClr val="FFFFFF"/>
                            </a:solidFill>
                            <a:prstDash val="solid"/>
                          </a:ln>
                        </wps:spPr>
                        <wps:bodyPr wrap="square" lIns="0" tIns="0" rIns="0" bIns="0" rtlCol="0">
                          <a:prstTxWarp prst="textNoShape">
                            <a:avLst/>
                          </a:prstTxWarp>
                          <a:noAutofit/>
                        </wps:bodyPr>
                      </wps:wsp>
                      <wps:wsp>
                        <wps:cNvPr id="425" name="Graphic 425"/>
                        <wps:cNvSpPr/>
                        <wps:spPr>
                          <a:xfrm>
                            <a:off x="1218181" y="1564003"/>
                            <a:ext cx="137795" cy="1387475"/>
                          </a:xfrm>
                          <a:custGeom>
                            <a:avLst/>
                            <a:gdLst/>
                            <a:ahLst/>
                            <a:cxnLst/>
                            <a:rect l="l" t="t" r="r" b="b"/>
                            <a:pathLst>
                              <a:path w="137795" h="1387475">
                                <a:moveTo>
                                  <a:pt x="137239" y="0"/>
                                </a:moveTo>
                                <a:lnTo>
                                  <a:pt x="0" y="0"/>
                                </a:lnTo>
                                <a:lnTo>
                                  <a:pt x="0" y="1387139"/>
                                </a:lnTo>
                                <a:lnTo>
                                  <a:pt x="137239" y="1387139"/>
                                </a:lnTo>
                                <a:lnTo>
                                  <a:pt x="137239" y="0"/>
                                </a:lnTo>
                                <a:close/>
                              </a:path>
                            </a:pathLst>
                          </a:custGeom>
                          <a:solidFill>
                            <a:srgbClr val="795A2B"/>
                          </a:solidFill>
                        </wps:spPr>
                        <wps:bodyPr wrap="square" lIns="0" tIns="0" rIns="0" bIns="0" rtlCol="0">
                          <a:prstTxWarp prst="textNoShape">
                            <a:avLst/>
                          </a:prstTxWarp>
                          <a:noAutofit/>
                        </wps:bodyPr>
                      </wps:wsp>
                      <wps:wsp>
                        <wps:cNvPr id="426" name="Graphic 426"/>
                        <wps:cNvSpPr/>
                        <wps:spPr>
                          <a:xfrm>
                            <a:off x="1218181" y="1564003"/>
                            <a:ext cx="137795" cy="1387475"/>
                          </a:xfrm>
                          <a:custGeom>
                            <a:avLst/>
                            <a:gdLst/>
                            <a:ahLst/>
                            <a:cxnLst/>
                            <a:rect l="l" t="t" r="r" b="b"/>
                            <a:pathLst>
                              <a:path w="137795" h="1387475">
                                <a:moveTo>
                                  <a:pt x="0" y="1387139"/>
                                </a:moveTo>
                                <a:lnTo>
                                  <a:pt x="137239" y="1387139"/>
                                </a:lnTo>
                                <a:lnTo>
                                  <a:pt x="137239" y="0"/>
                                </a:lnTo>
                                <a:lnTo>
                                  <a:pt x="0" y="0"/>
                                </a:lnTo>
                                <a:lnTo>
                                  <a:pt x="0" y="1387139"/>
                                </a:lnTo>
                                <a:close/>
                              </a:path>
                            </a:pathLst>
                          </a:custGeom>
                          <a:ln w="14756">
                            <a:solidFill>
                              <a:srgbClr val="FFFFFF"/>
                            </a:solidFill>
                            <a:prstDash val="solid"/>
                          </a:ln>
                        </wps:spPr>
                        <wps:bodyPr wrap="square" lIns="0" tIns="0" rIns="0" bIns="0" rtlCol="0">
                          <a:prstTxWarp prst="textNoShape">
                            <a:avLst/>
                          </a:prstTxWarp>
                          <a:noAutofit/>
                        </wps:bodyPr>
                      </wps:wsp>
                      <wps:wsp>
                        <wps:cNvPr id="427" name="Graphic 427"/>
                        <wps:cNvSpPr/>
                        <wps:spPr>
                          <a:xfrm>
                            <a:off x="1355420" y="1988846"/>
                            <a:ext cx="137795" cy="962660"/>
                          </a:xfrm>
                          <a:custGeom>
                            <a:avLst/>
                            <a:gdLst/>
                            <a:ahLst/>
                            <a:cxnLst/>
                            <a:rect l="l" t="t" r="r" b="b"/>
                            <a:pathLst>
                              <a:path w="137795" h="962660">
                                <a:moveTo>
                                  <a:pt x="137239" y="0"/>
                                </a:moveTo>
                                <a:lnTo>
                                  <a:pt x="0" y="0"/>
                                </a:lnTo>
                                <a:lnTo>
                                  <a:pt x="0" y="962295"/>
                                </a:lnTo>
                                <a:lnTo>
                                  <a:pt x="137239" y="962295"/>
                                </a:lnTo>
                                <a:lnTo>
                                  <a:pt x="137239" y="0"/>
                                </a:lnTo>
                                <a:close/>
                              </a:path>
                            </a:pathLst>
                          </a:custGeom>
                          <a:solidFill>
                            <a:srgbClr val="795A2B"/>
                          </a:solidFill>
                        </wps:spPr>
                        <wps:bodyPr wrap="square" lIns="0" tIns="0" rIns="0" bIns="0" rtlCol="0">
                          <a:prstTxWarp prst="textNoShape">
                            <a:avLst/>
                          </a:prstTxWarp>
                          <a:noAutofit/>
                        </wps:bodyPr>
                      </wps:wsp>
                      <wps:wsp>
                        <wps:cNvPr id="428" name="Graphic 428"/>
                        <wps:cNvSpPr/>
                        <wps:spPr>
                          <a:xfrm>
                            <a:off x="1355420" y="1988846"/>
                            <a:ext cx="137795" cy="962660"/>
                          </a:xfrm>
                          <a:custGeom>
                            <a:avLst/>
                            <a:gdLst/>
                            <a:ahLst/>
                            <a:cxnLst/>
                            <a:rect l="l" t="t" r="r" b="b"/>
                            <a:pathLst>
                              <a:path w="137795" h="962660">
                                <a:moveTo>
                                  <a:pt x="0" y="962295"/>
                                </a:moveTo>
                                <a:lnTo>
                                  <a:pt x="137239" y="962295"/>
                                </a:lnTo>
                                <a:lnTo>
                                  <a:pt x="137239" y="0"/>
                                </a:lnTo>
                                <a:lnTo>
                                  <a:pt x="0" y="0"/>
                                </a:lnTo>
                                <a:lnTo>
                                  <a:pt x="0" y="962295"/>
                                </a:lnTo>
                                <a:close/>
                              </a:path>
                            </a:pathLst>
                          </a:custGeom>
                          <a:ln w="14756">
                            <a:solidFill>
                              <a:srgbClr val="FFFFFF"/>
                            </a:solidFill>
                            <a:prstDash val="solid"/>
                          </a:ln>
                        </wps:spPr>
                        <wps:bodyPr wrap="square" lIns="0" tIns="0" rIns="0" bIns="0" rtlCol="0">
                          <a:prstTxWarp prst="textNoShape">
                            <a:avLst/>
                          </a:prstTxWarp>
                          <a:noAutofit/>
                        </wps:bodyPr>
                      </wps:wsp>
                      <wps:wsp>
                        <wps:cNvPr id="429" name="Graphic 429"/>
                        <wps:cNvSpPr/>
                        <wps:spPr>
                          <a:xfrm>
                            <a:off x="1492659" y="2265250"/>
                            <a:ext cx="137795" cy="686435"/>
                          </a:xfrm>
                          <a:custGeom>
                            <a:avLst/>
                            <a:gdLst/>
                            <a:ahLst/>
                            <a:cxnLst/>
                            <a:rect l="l" t="t" r="r" b="b"/>
                            <a:pathLst>
                              <a:path w="137795" h="686435">
                                <a:moveTo>
                                  <a:pt x="137239" y="0"/>
                                </a:moveTo>
                                <a:lnTo>
                                  <a:pt x="0" y="0"/>
                                </a:lnTo>
                                <a:lnTo>
                                  <a:pt x="0" y="685891"/>
                                </a:lnTo>
                                <a:lnTo>
                                  <a:pt x="137239" y="685891"/>
                                </a:lnTo>
                                <a:lnTo>
                                  <a:pt x="137239" y="0"/>
                                </a:lnTo>
                                <a:close/>
                              </a:path>
                            </a:pathLst>
                          </a:custGeom>
                          <a:solidFill>
                            <a:srgbClr val="795A2B"/>
                          </a:solidFill>
                        </wps:spPr>
                        <wps:bodyPr wrap="square" lIns="0" tIns="0" rIns="0" bIns="0" rtlCol="0">
                          <a:prstTxWarp prst="textNoShape">
                            <a:avLst/>
                          </a:prstTxWarp>
                          <a:noAutofit/>
                        </wps:bodyPr>
                      </wps:wsp>
                      <wps:wsp>
                        <wps:cNvPr id="430" name="Graphic 430"/>
                        <wps:cNvSpPr/>
                        <wps:spPr>
                          <a:xfrm>
                            <a:off x="1492659" y="2265250"/>
                            <a:ext cx="137795" cy="686435"/>
                          </a:xfrm>
                          <a:custGeom>
                            <a:avLst/>
                            <a:gdLst/>
                            <a:ahLst/>
                            <a:cxnLst/>
                            <a:rect l="l" t="t" r="r" b="b"/>
                            <a:pathLst>
                              <a:path w="137795" h="686435">
                                <a:moveTo>
                                  <a:pt x="0" y="685891"/>
                                </a:moveTo>
                                <a:lnTo>
                                  <a:pt x="137239" y="685891"/>
                                </a:lnTo>
                                <a:lnTo>
                                  <a:pt x="137239" y="0"/>
                                </a:lnTo>
                                <a:lnTo>
                                  <a:pt x="0" y="0"/>
                                </a:lnTo>
                                <a:lnTo>
                                  <a:pt x="0" y="685891"/>
                                </a:lnTo>
                                <a:close/>
                              </a:path>
                            </a:pathLst>
                          </a:custGeom>
                          <a:ln w="14756">
                            <a:solidFill>
                              <a:srgbClr val="FFFFFF"/>
                            </a:solidFill>
                            <a:prstDash val="solid"/>
                          </a:ln>
                        </wps:spPr>
                        <wps:bodyPr wrap="square" lIns="0" tIns="0" rIns="0" bIns="0" rtlCol="0">
                          <a:prstTxWarp prst="textNoShape">
                            <a:avLst/>
                          </a:prstTxWarp>
                          <a:noAutofit/>
                        </wps:bodyPr>
                      </wps:wsp>
                      <wps:wsp>
                        <wps:cNvPr id="431" name="Graphic 431"/>
                        <wps:cNvSpPr/>
                        <wps:spPr>
                          <a:xfrm>
                            <a:off x="1629898" y="146152"/>
                            <a:ext cx="137795" cy="2805430"/>
                          </a:xfrm>
                          <a:custGeom>
                            <a:avLst/>
                            <a:gdLst/>
                            <a:ahLst/>
                            <a:cxnLst/>
                            <a:rect l="l" t="t" r="r" b="b"/>
                            <a:pathLst>
                              <a:path w="137795" h="2805430">
                                <a:moveTo>
                                  <a:pt x="137239" y="0"/>
                                </a:moveTo>
                                <a:lnTo>
                                  <a:pt x="0" y="0"/>
                                </a:lnTo>
                                <a:lnTo>
                                  <a:pt x="0" y="2804990"/>
                                </a:lnTo>
                                <a:lnTo>
                                  <a:pt x="137239" y="2804990"/>
                                </a:lnTo>
                                <a:lnTo>
                                  <a:pt x="137239" y="0"/>
                                </a:lnTo>
                                <a:close/>
                              </a:path>
                            </a:pathLst>
                          </a:custGeom>
                          <a:solidFill>
                            <a:srgbClr val="795A2B"/>
                          </a:solidFill>
                        </wps:spPr>
                        <wps:bodyPr wrap="square" lIns="0" tIns="0" rIns="0" bIns="0" rtlCol="0">
                          <a:prstTxWarp prst="textNoShape">
                            <a:avLst/>
                          </a:prstTxWarp>
                          <a:noAutofit/>
                        </wps:bodyPr>
                      </wps:wsp>
                      <wps:wsp>
                        <wps:cNvPr id="432" name="Graphic 432"/>
                        <wps:cNvSpPr/>
                        <wps:spPr>
                          <a:xfrm>
                            <a:off x="1629898" y="146152"/>
                            <a:ext cx="137795" cy="2805430"/>
                          </a:xfrm>
                          <a:custGeom>
                            <a:avLst/>
                            <a:gdLst/>
                            <a:ahLst/>
                            <a:cxnLst/>
                            <a:rect l="l" t="t" r="r" b="b"/>
                            <a:pathLst>
                              <a:path w="137795" h="2805430">
                                <a:moveTo>
                                  <a:pt x="0" y="2804990"/>
                                </a:moveTo>
                                <a:lnTo>
                                  <a:pt x="137239" y="2804990"/>
                                </a:lnTo>
                                <a:lnTo>
                                  <a:pt x="137239" y="0"/>
                                </a:lnTo>
                                <a:lnTo>
                                  <a:pt x="0" y="0"/>
                                </a:lnTo>
                                <a:lnTo>
                                  <a:pt x="0" y="2804990"/>
                                </a:lnTo>
                                <a:close/>
                              </a:path>
                            </a:pathLst>
                          </a:custGeom>
                          <a:ln w="14756">
                            <a:solidFill>
                              <a:srgbClr val="FFFFFF"/>
                            </a:solidFill>
                            <a:prstDash val="solid"/>
                          </a:ln>
                        </wps:spPr>
                        <wps:bodyPr wrap="square" lIns="0" tIns="0" rIns="0" bIns="0" rtlCol="0">
                          <a:prstTxWarp prst="textNoShape">
                            <a:avLst/>
                          </a:prstTxWarp>
                          <a:noAutofit/>
                        </wps:bodyPr>
                      </wps:wsp>
                      <wps:wsp>
                        <wps:cNvPr id="433" name="Graphic 433"/>
                        <wps:cNvSpPr/>
                        <wps:spPr>
                          <a:xfrm>
                            <a:off x="1767137" y="1896711"/>
                            <a:ext cx="137795" cy="1054735"/>
                          </a:xfrm>
                          <a:custGeom>
                            <a:avLst/>
                            <a:gdLst/>
                            <a:ahLst/>
                            <a:cxnLst/>
                            <a:rect l="l" t="t" r="r" b="b"/>
                            <a:pathLst>
                              <a:path w="137795" h="1054735">
                                <a:moveTo>
                                  <a:pt x="137239" y="0"/>
                                </a:moveTo>
                                <a:lnTo>
                                  <a:pt x="0" y="0"/>
                                </a:lnTo>
                                <a:lnTo>
                                  <a:pt x="0" y="1054430"/>
                                </a:lnTo>
                                <a:lnTo>
                                  <a:pt x="137239" y="1054430"/>
                                </a:lnTo>
                                <a:lnTo>
                                  <a:pt x="137239" y="0"/>
                                </a:lnTo>
                                <a:close/>
                              </a:path>
                            </a:pathLst>
                          </a:custGeom>
                          <a:solidFill>
                            <a:srgbClr val="795A2B"/>
                          </a:solidFill>
                        </wps:spPr>
                        <wps:bodyPr wrap="square" lIns="0" tIns="0" rIns="0" bIns="0" rtlCol="0">
                          <a:prstTxWarp prst="textNoShape">
                            <a:avLst/>
                          </a:prstTxWarp>
                          <a:noAutofit/>
                        </wps:bodyPr>
                      </wps:wsp>
                      <wps:wsp>
                        <wps:cNvPr id="434" name="Graphic 434"/>
                        <wps:cNvSpPr/>
                        <wps:spPr>
                          <a:xfrm>
                            <a:off x="1767137" y="1896711"/>
                            <a:ext cx="137795" cy="1054735"/>
                          </a:xfrm>
                          <a:custGeom>
                            <a:avLst/>
                            <a:gdLst/>
                            <a:ahLst/>
                            <a:cxnLst/>
                            <a:rect l="l" t="t" r="r" b="b"/>
                            <a:pathLst>
                              <a:path w="137795" h="1054735">
                                <a:moveTo>
                                  <a:pt x="0" y="1054430"/>
                                </a:moveTo>
                                <a:lnTo>
                                  <a:pt x="137239" y="1054430"/>
                                </a:lnTo>
                                <a:lnTo>
                                  <a:pt x="137239" y="0"/>
                                </a:lnTo>
                                <a:lnTo>
                                  <a:pt x="0" y="0"/>
                                </a:lnTo>
                                <a:lnTo>
                                  <a:pt x="0" y="1054430"/>
                                </a:lnTo>
                                <a:close/>
                              </a:path>
                            </a:pathLst>
                          </a:custGeom>
                          <a:ln w="14756">
                            <a:solidFill>
                              <a:srgbClr val="FFFFFF"/>
                            </a:solidFill>
                            <a:prstDash val="solid"/>
                          </a:ln>
                        </wps:spPr>
                        <wps:bodyPr wrap="square" lIns="0" tIns="0" rIns="0" bIns="0" rtlCol="0">
                          <a:prstTxWarp prst="textNoShape">
                            <a:avLst/>
                          </a:prstTxWarp>
                          <a:noAutofit/>
                        </wps:bodyPr>
                      </wps:wsp>
                      <wps:wsp>
                        <wps:cNvPr id="435" name="Graphic 435"/>
                        <wps:cNvSpPr/>
                        <wps:spPr>
                          <a:xfrm>
                            <a:off x="1904376" y="1246650"/>
                            <a:ext cx="137795" cy="1704975"/>
                          </a:xfrm>
                          <a:custGeom>
                            <a:avLst/>
                            <a:gdLst/>
                            <a:ahLst/>
                            <a:cxnLst/>
                            <a:rect l="l" t="t" r="r" b="b"/>
                            <a:pathLst>
                              <a:path w="137795" h="1704975">
                                <a:moveTo>
                                  <a:pt x="137239" y="0"/>
                                </a:moveTo>
                                <a:lnTo>
                                  <a:pt x="0" y="0"/>
                                </a:lnTo>
                                <a:lnTo>
                                  <a:pt x="0" y="1704492"/>
                                </a:lnTo>
                                <a:lnTo>
                                  <a:pt x="137239" y="1704492"/>
                                </a:lnTo>
                                <a:lnTo>
                                  <a:pt x="137239" y="0"/>
                                </a:lnTo>
                                <a:close/>
                              </a:path>
                            </a:pathLst>
                          </a:custGeom>
                          <a:solidFill>
                            <a:srgbClr val="795A2B"/>
                          </a:solidFill>
                        </wps:spPr>
                        <wps:bodyPr wrap="square" lIns="0" tIns="0" rIns="0" bIns="0" rtlCol="0">
                          <a:prstTxWarp prst="textNoShape">
                            <a:avLst/>
                          </a:prstTxWarp>
                          <a:noAutofit/>
                        </wps:bodyPr>
                      </wps:wsp>
                      <wps:wsp>
                        <wps:cNvPr id="436" name="Graphic 436"/>
                        <wps:cNvSpPr/>
                        <wps:spPr>
                          <a:xfrm>
                            <a:off x="1904376" y="1246650"/>
                            <a:ext cx="137795" cy="1704975"/>
                          </a:xfrm>
                          <a:custGeom>
                            <a:avLst/>
                            <a:gdLst/>
                            <a:ahLst/>
                            <a:cxnLst/>
                            <a:rect l="l" t="t" r="r" b="b"/>
                            <a:pathLst>
                              <a:path w="137795" h="1704975">
                                <a:moveTo>
                                  <a:pt x="0" y="1704492"/>
                                </a:moveTo>
                                <a:lnTo>
                                  <a:pt x="137239" y="1704492"/>
                                </a:lnTo>
                                <a:lnTo>
                                  <a:pt x="137239" y="0"/>
                                </a:lnTo>
                                <a:lnTo>
                                  <a:pt x="0" y="0"/>
                                </a:lnTo>
                                <a:lnTo>
                                  <a:pt x="0" y="1704492"/>
                                </a:lnTo>
                                <a:close/>
                              </a:path>
                            </a:pathLst>
                          </a:custGeom>
                          <a:ln w="14756">
                            <a:solidFill>
                              <a:srgbClr val="FFFFFF"/>
                            </a:solidFill>
                            <a:prstDash val="solid"/>
                          </a:ln>
                        </wps:spPr>
                        <wps:bodyPr wrap="square" lIns="0" tIns="0" rIns="0" bIns="0" rtlCol="0">
                          <a:prstTxWarp prst="textNoShape">
                            <a:avLst/>
                          </a:prstTxWarp>
                          <a:noAutofit/>
                        </wps:bodyPr>
                      </wps:wsp>
                      <wps:wsp>
                        <wps:cNvPr id="437" name="Graphic 437"/>
                        <wps:cNvSpPr/>
                        <wps:spPr>
                          <a:xfrm>
                            <a:off x="2041616" y="1656137"/>
                            <a:ext cx="137795" cy="1295400"/>
                          </a:xfrm>
                          <a:custGeom>
                            <a:avLst/>
                            <a:gdLst/>
                            <a:ahLst/>
                            <a:cxnLst/>
                            <a:rect l="l" t="t" r="r" b="b"/>
                            <a:pathLst>
                              <a:path w="137795" h="1295400">
                                <a:moveTo>
                                  <a:pt x="137239" y="0"/>
                                </a:moveTo>
                                <a:lnTo>
                                  <a:pt x="0" y="0"/>
                                </a:lnTo>
                                <a:lnTo>
                                  <a:pt x="0" y="1295004"/>
                                </a:lnTo>
                                <a:lnTo>
                                  <a:pt x="137239" y="1295004"/>
                                </a:lnTo>
                                <a:lnTo>
                                  <a:pt x="137239" y="0"/>
                                </a:lnTo>
                                <a:close/>
                              </a:path>
                            </a:pathLst>
                          </a:custGeom>
                          <a:solidFill>
                            <a:srgbClr val="795A2B"/>
                          </a:solidFill>
                        </wps:spPr>
                        <wps:bodyPr wrap="square" lIns="0" tIns="0" rIns="0" bIns="0" rtlCol="0">
                          <a:prstTxWarp prst="textNoShape">
                            <a:avLst/>
                          </a:prstTxWarp>
                          <a:noAutofit/>
                        </wps:bodyPr>
                      </wps:wsp>
                      <wps:wsp>
                        <wps:cNvPr id="438" name="Graphic 438"/>
                        <wps:cNvSpPr/>
                        <wps:spPr>
                          <a:xfrm>
                            <a:off x="2041616" y="1656137"/>
                            <a:ext cx="137795" cy="1295400"/>
                          </a:xfrm>
                          <a:custGeom>
                            <a:avLst/>
                            <a:gdLst/>
                            <a:ahLst/>
                            <a:cxnLst/>
                            <a:rect l="l" t="t" r="r" b="b"/>
                            <a:pathLst>
                              <a:path w="137795" h="1295400">
                                <a:moveTo>
                                  <a:pt x="0" y="1295004"/>
                                </a:moveTo>
                                <a:lnTo>
                                  <a:pt x="137239" y="1295004"/>
                                </a:lnTo>
                                <a:lnTo>
                                  <a:pt x="137239" y="0"/>
                                </a:lnTo>
                                <a:lnTo>
                                  <a:pt x="0" y="0"/>
                                </a:lnTo>
                                <a:lnTo>
                                  <a:pt x="0" y="1295004"/>
                                </a:lnTo>
                                <a:close/>
                              </a:path>
                            </a:pathLst>
                          </a:custGeom>
                          <a:ln w="14756">
                            <a:solidFill>
                              <a:srgbClr val="FFFFFF"/>
                            </a:solidFill>
                            <a:prstDash val="solid"/>
                          </a:ln>
                        </wps:spPr>
                        <wps:bodyPr wrap="square" lIns="0" tIns="0" rIns="0" bIns="0" rtlCol="0">
                          <a:prstTxWarp prst="textNoShape">
                            <a:avLst/>
                          </a:prstTxWarp>
                          <a:noAutofit/>
                        </wps:bodyPr>
                      </wps:wsp>
                      <wps:wsp>
                        <wps:cNvPr id="439" name="Graphic 439"/>
                        <wps:cNvSpPr/>
                        <wps:spPr>
                          <a:xfrm>
                            <a:off x="2178855" y="2142404"/>
                            <a:ext cx="137795" cy="808990"/>
                          </a:xfrm>
                          <a:custGeom>
                            <a:avLst/>
                            <a:gdLst/>
                            <a:ahLst/>
                            <a:cxnLst/>
                            <a:rect l="l" t="t" r="r" b="b"/>
                            <a:pathLst>
                              <a:path w="137795" h="808990">
                                <a:moveTo>
                                  <a:pt x="137239" y="0"/>
                                </a:moveTo>
                                <a:lnTo>
                                  <a:pt x="0" y="0"/>
                                </a:lnTo>
                                <a:lnTo>
                                  <a:pt x="0" y="808738"/>
                                </a:lnTo>
                                <a:lnTo>
                                  <a:pt x="137239" y="808738"/>
                                </a:lnTo>
                                <a:lnTo>
                                  <a:pt x="137239" y="0"/>
                                </a:lnTo>
                                <a:close/>
                              </a:path>
                            </a:pathLst>
                          </a:custGeom>
                          <a:solidFill>
                            <a:srgbClr val="795A2B"/>
                          </a:solidFill>
                        </wps:spPr>
                        <wps:bodyPr wrap="square" lIns="0" tIns="0" rIns="0" bIns="0" rtlCol="0">
                          <a:prstTxWarp prst="textNoShape">
                            <a:avLst/>
                          </a:prstTxWarp>
                          <a:noAutofit/>
                        </wps:bodyPr>
                      </wps:wsp>
                      <wps:wsp>
                        <wps:cNvPr id="440" name="Graphic 440"/>
                        <wps:cNvSpPr/>
                        <wps:spPr>
                          <a:xfrm>
                            <a:off x="2178855" y="2142404"/>
                            <a:ext cx="137795" cy="808990"/>
                          </a:xfrm>
                          <a:custGeom>
                            <a:avLst/>
                            <a:gdLst/>
                            <a:ahLst/>
                            <a:cxnLst/>
                            <a:rect l="l" t="t" r="r" b="b"/>
                            <a:pathLst>
                              <a:path w="137795" h="808990">
                                <a:moveTo>
                                  <a:pt x="0" y="808738"/>
                                </a:moveTo>
                                <a:lnTo>
                                  <a:pt x="137239" y="808738"/>
                                </a:lnTo>
                                <a:lnTo>
                                  <a:pt x="137239" y="0"/>
                                </a:lnTo>
                                <a:lnTo>
                                  <a:pt x="0" y="0"/>
                                </a:lnTo>
                                <a:lnTo>
                                  <a:pt x="0" y="808738"/>
                                </a:lnTo>
                                <a:close/>
                              </a:path>
                            </a:pathLst>
                          </a:custGeom>
                          <a:ln w="14756">
                            <a:solidFill>
                              <a:srgbClr val="FFFFFF"/>
                            </a:solidFill>
                            <a:prstDash val="solid"/>
                          </a:ln>
                        </wps:spPr>
                        <wps:bodyPr wrap="square" lIns="0" tIns="0" rIns="0" bIns="0" rtlCol="0">
                          <a:prstTxWarp prst="textNoShape">
                            <a:avLst/>
                          </a:prstTxWarp>
                          <a:noAutofit/>
                        </wps:bodyPr>
                      </wps:wsp>
                      <wps:wsp>
                        <wps:cNvPr id="441" name="Graphic 441"/>
                        <wps:cNvSpPr/>
                        <wps:spPr>
                          <a:xfrm>
                            <a:off x="2316094" y="371370"/>
                            <a:ext cx="137795" cy="2580005"/>
                          </a:xfrm>
                          <a:custGeom>
                            <a:avLst/>
                            <a:gdLst/>
                            <a:ahLst/>
                            <a:cxnLst/>
                            <a:rect l="l" t="t" r="r" b="b"/>
                            <a:pathLst>
                              <a:path w="137795" h="2580005">
                                <a:moveTo>
                                  <a:pt x="137239" y="0"/>
                                </a:moveTo>
                                <a:lnTo>
                                  <a:pt x="0" y="0"/>
                                </a:lnTo>
                                <a:lnTo>
                                  <a:pt x="0" y="2579771"/>
                                </a:lnTo>
                                <a:lnTo>
                                  <a:pt x="137239" y="2579771"/>
                                </a:lnTo>
                                <a:lnTo>
                                  <a:pt x="137239" y="0"/>
                                </a:lnTo>
                                <a:close/>
                              </a:path>
                            </a:pathLst>
                          </a:custGeom>
                          <a:solidFill>
                            <a:srgbClr val="795A2B"/>
                          </a:solidFill>
                        </wps:spPr>
                        <wps:bodyPr wrap="square" lIns="0" tIns="0" rIns="0" bIns="0" rtlCol="0">
                          <a:prstTxWarp prst="textNoShape">
                            <a:avLst/>
                          </a:prstTxWarp>
                          <a:noAutofit/>
                        </wps:bodyPr>
                      </wps:wsp>
                      <wps:wsp>
                        <wps:cNvPr id="442" name="Graphic 442"/>
                        <wps:cNvSpPr/>
                        <wps:spPr>
                          <a:xfrm>
                            <a:off x="2316094" y="371370"/>
                            <a:ext cx="137795" cy="2580005"/>
                          </a:xfrm>
                          <a:custGeom>
                            <a:avLst/>
                            <a:gdLst/>
                            <a:ahLst/>
                            <a:cxnLst/>
                            <a:rect l="l" t="t" r="r" b="b"/>
                            <a:pathLst>
                              <a:path w="137795" h="2580005">
                                <a:moveTo>
                                  <a:pt x="0" y="2579771"/>
                                </a:moveTo>
                                <a:lnTo>
                                  <a:pt x="137239" y="2579771"/>
                                </a:lnTo>
                                <a:lnTo>
                                  <a:pt x="137239" y="0"/>
                                </a:lnTo>
                                <a:lnTo>
                                  <a:pt x="0" y="0"/>
                                </a:lnTo>
                                <a:lnTo>
                                  <a:pt x="0" y="2579771"/>
                                </a:lnTo>
                                <a:close/>
                              </a:path>
                            </a:pathLst>
                          </a:custGeom>
                          <a:ln w="14756">
                            <a:solidFill>
                              <a:srgbClr val="FFFFFF"/>
                            </a:solidFill>
                            <a:prstDash val="solid"/>
                          </a:ln>
                        </wps:spPr>
                        <wps:bodyPr wrap="square" lIns="0" tIns="0" rIns="0" bIns="0" rtlCol="0">
                          <a:prstTxWarp prst="textNoShape">
                            <a:avLst/>
                          </a:prstTxWarp>
                          <a:noAutofit/>
                        </wps:bodyPr>
                      </wps:wsp>
                      <wps:wsp>
                        <wps:cNvPr id="443" name="Graphic 443"/>
                        <wps:cNvSpPr/>
                        <wps:spPr>
                          <a:xfrm>
                            <a:off x="2453333" y="1799458"/>
                            <a:ext cx="137795" cy="1151890"/>
                          </a:xfrm>
                          <a:custGeom>
                            <a:avLst/>
                            <a:gdLst/>
                            <a:ahLst/>
                            <a:cxnLst/>
                            <a:rect l="l" t="t" r="r" b="b"/>
                            <a:pathLst>
                              <a:path w="137795" h="1151890">
                                <a:moveTo>
                                  <a:pt x="137239" y="0"/>
                                </a:moveTo>
                                <a:lnTo>
                                  <a:pt x="0" y="0"/>
                                </a:lnTo>
                                <a:lnTo>
                                  <a:pt x="0" y="1151683"/>
                                </a:lnTo>
                                <a:lnTo>
                                  <a:pt x="137239" y="1151683"/>
                                </a:lnTo>
                                <a:lnTo>
                                  <a:pt x="137239" y="0"/>
                                </a:lnTo>
                                <a:close/>
                              </a:path>
                            </a:pathLst>
                          </a:custGeom>
                          <a:solidFill>
                            <a:srgbClr val="795A2B"/>
                          </a:solidFill>
                        </wps:spPr>
                        <wps:bodyPr wrap="square" lIns="0" tIns="0" rIns="0" bIns="0" rtlCol="0">
                          <a:prstTxWarp prst="textNoShape">
                            <a:avLst/>
                          </a:prstTxWarp>
                          <a:noAutofit/>
                        </wps:bodyPr>
                      </wps:wsp>
                      <wps:wsp>
                        <wps:cNvPr id="444" name="Graphic 444"/>
                        <wps:cNvSpPr/>
                        <wps:spPr>
                          <a:xfrm>
                            <a:off x="2453333" y="1799458"/>
                            <a:ext cx="137795" cy="1151890"/>
                          </a:xfrm>
                          <a:custGeom>
                            <a:avLst/>
                            <a:gdLst/>
                            <a:ahLst/>
                            <a:cxnLst/>
                            <a:rect l="l" t="t" r="r" b="b"/>
                            <a:pathLst>
                              <a:path w="137795" h="1151890">
                                <a:moveTo>
                                  <a:pt x="0" y="1151683"/>
                                </a:moveTo>
                                <a:lnTo>
                                  <a:pt x="137239" y="1151683"/>
                                </a:lnTo>
                                <a:lnTo>
                                  <a:pt x="137239" y="0"/>
                                </a:lnTo>
                                <a:lnTo>
                                  <a:pt x="0" y="0"/>
                                </a:lnTo>
                                <a:lnTo>
                                  <a:pt x="0" y="1151683"/>
                                </a:lnTo>
                                <a:close/>
                              </a:path>
                            </a:pathLst>
                          </a:custGeom>
                          <a:ln w="14756">
                            <a:solidFill>
                              <a:srgbClr val="FFFFFF"/>
                            </a:solidFill>
                            <a:prstDash val="solid"/>
                          </a:ln>
                        </wps:spPr>
                        <wps:bodyPr wrap="square" lIns="0" tIns="0" rIns="0" bIns="0" rtlCol="0">
                          <a:prstTxWarp prst="textNoShape">
                            <a:avLst/>
                          </a:prstTxWarp>
                          <a:noAutofit/>
                        </wps:bodyPr>
                      </wps:wsp>
                      <wps:wsp>
                        <wps:cNvPr id="445" name="Graphic 445"/>
                        <wps:cNvSpPr/>
                        <wps:spPr>
                          <a:xfrm>
                            <a:off x="2590572" y="1891593"/>
                            <a:ext cx="137795" cy="1059815"/>
                          </a:xfrm>
                          <a:custGeom>
                            <a:avLst/>
                            <a:gdLst/>
                            <a:ahLst/>
                            <a:cxnLst/>
                            <a:rect l="l" t="t" r="r" b="b"/>
                            <a:pathLst>
                              <a:path w="137795" h="1059815">
                                <a:moveTo>
                                  <a:pt x="137239" y="0"/>
                                </a:moveTo>
                                <a:lnTo>
                                  <a:pt x="0" y="0"/>
                                </a:lnTo>
                                <a:lnTo>
                                  <a:pt x="0" y="1059549"/>
                                </a:lnTo>
                                <a:lnTo>
                                  <a:pt x="137239" y="1059549"/>
                                </a:lnTo>
                                <a:lnTo>
                                  <a:pt x="137239" y="0"/>
                                </a:lnTo>
                                <a:close/>
                              </a:path>
                            </a:pathLst>
                          </a:custGeom>
                          <a:solidFill>
                            <a:srgbClr val="795A2B"/>
                          </a:solidFill>
                        </wps:spPr>
                        <wps:bodyPr wrap="square" lIns="0" tIns="0" rIns="0" bIns="0" rtlCol="0">
                          <a:prstTxWarp prst="textNoShape">
                            <a:avLst/>
                          </a:prstTxWarp>
                          <a:noAutofit/>
                        </wps:bodyPr>
                      </wps:wsp>
                      <wps:wsp>
                        <wps:cNvPr id="446" name="Graphic 446"/>
                        <wps:cNvSpPr/>
                        <wps:spPr>
                          <a:xfrm>
                            <a:off x="2590572" y="1891593"/>
                            <a:ext cx="137795" cy="1059815"/>
                          </a:xfrm>
                          <a:custGeom>
                            <a:avLst/>
                            <a:gdLst/>
                            <a:ahLst/>
                            <a:cxnLst/>
                            <a:rect l="l" t="t" r="r" b="b"/>
                            <a:pathLst>
                              <a:path w="137795" h="1059815">
                                <a:moveTo>
                                  <a:pt x="0" y="1059549"/>
                                </a:moveTo>
                                <a:lnTo>
                                  <a:pt x="137239" y="1059549"/>
                                </a:lnTo>
                                <a:lnTo>
                                  <a:pt x="137239" y="0"/>
                                </a:lnTo>
                                <a:lnTo>
                                  <a:pt x="0" y="0"/>
                                </a:lnTo>
                                <a:lnTo>
                                  <a:pt x="0" y="1059549"/>
                                </a:lnTo>
                                <a:close/>
                              </a:path>
                            </a:pathLst>
                          </a:custGeom>
                          <a:ln w="14756">
                            <a:solidFill>
                              <a:srgbClr val="FFFFFF"/>
                            </a:solidFill>
                            <a:prstDash val="solid"/>
                          </a:ln>
                        </wps:spPr>
                        <wps:bodyPr wrap="square" lIns="0" tIns="0" rIns="0" bIns="0" rtlCol="0">
                          <a:prstTxWarp prst="textNoShape">
                            <a:avLst/>
                          </a:prstTxWarp>
                          <a:noAutofit/>
                        </wps:bodyPr>
                      </wps:wsp>
                      <wps:wsp>
                        <wps:cNvPr id="447" name="Graphic 447"/>
                        <wps:cNvSpPr/>
                        <wps:spPr>
                          <a:xfrm>
                            <a:off x="2727811" y="1671493"/>
                            <a:ext cx="137795" cy="1280160"/>
                          </a:xfrm>
                          <a:custGeom>
                            <a:avLst/>
                            <a:gdLst/>
                            <a:ahLst/>
                            <a:cxnLst/>
                            <a:rect l="l" t="t" r="r" b="b"/>
                            <a:pathLst>
                              <a:path w="137795" h="1280160">
                                <a:moveTo>
                                  <a:pt x="137239" y="0"/>
                                </a:moveTo>
                                <a:lnTo>
                                  <a:pt x="0" y="0"/>
                                </a:lnTo>
                                <a:lnTo>
                                  <a:pt x="0" y="1279648"/>
                                </a:lnTo>
                                <a:lnTo>
                                  <a:pt x="137239" y="1279648"/>
                                </a:lnTo>
                                <a:lnTo>
                                  <a:pt x="137239" y="0"/>
                                </a:lnTo>
                                <a:close/>
                              </a:path>
                            </a:pathLst>
                          </a:custGeom>
                          <a:solidFill>
                            <a:srgbClr val="795A2B"/>
                          </a:solidFill>
                        </wps:spPr>
                        <wps:bodyPr wrap="square" lIns="0" tIns="0" rIns="0" bIns="0" rtlCol="0">
                          <a:prstTxWarp prst="textNoShape">
                            <a:avLst/>
                          </a:prstTxWarp>
                          <a:noAutofit/>
                        </wps:bodyPr>
                      </wps:wsp>
                      <wps:wsp>
                        <wps:cNvPr id="448" name="Graphic 448"/>
                        <wps:cNvSpPr/>
                        <wps:spPr>
                          <a:xfrm>
                            <a:off x="2727811" y="1671493"/>
                            <a:ext cx="137795" cy="1280160"/>
                          </a:xfrm>
                          <a:custGeom>
                            <a:avLst/>
                            <a:gdLst/>
                            <a:ahLst/>
                            <a:cxnLst/>
                            <a:rect l="l" t="t" r="r" b="b"/>
                            <a:pathLst>
                              <a:path w="137795" h="1280160">
                                <a:moveTo>
                                  <a:pt x="0" y="1279648"/>
                                </a:moveTo>
                                <a:lnTo>
                                  <a:pt x="137239" y="1279648"/>
                                </a:lnTo>
                                <a:lnTo>
                                  <a:pt x="137239" y="0"/>
                                </a:lnTo>
                                <a:lnTo>
                                  <a:pt x="0" y="0"/>
                                </a:lnTo>
                                <a:lnTo>
                                  <a:pt x="0" y="1279648"/>
                                </a:lnTo>
                                <a:close/>
                              </a:path>
                            </a:pathLst>
                          </a:custGeom>
                          <a:ln w="14756">
                            <a:solidFill>
                              <a:srgbClr val="FFFFFF"/>
                            </a:solidFill>
                            <a:prstDash val="solid"/>
                          </a:ln>
                        </wps:spPr>
                        <wps:bodyPr wrap="square" lIns="0" tIns="0" rIns="0" bIns="0" rtlCol="0">
                          <a:prstTxWarp prst="textNoShape">
                            <a:avLst/>
                          </a:prstTxWarp>
                          <a:noAutofit/>
                        </wps:bodyPr>
                      </wps:wsp>
                      <wps:wsp>
                        <wps:cNvPr id="449" name="Graphic 449"/>
                        <wps:cNvSpPr/>
                        <wps:spPr>
                          <a:xfrm>
                            <a:off x="2865050" y="2372741"/>
                            <a:ext cx="137795" cy="578485"/>
                          </a:xfrm>
                          <a:custGeom>
                            <a:avLst/>
                            <a:gdLst/>
                            <a:ahLst/>
                            <a:cxnLst/>
                            <a:rect l="l" t="t" r="r" b="b"/>
                            <a:pathLst>
                              <a:path w="137795" h="578485">
                                <a:moveTo>
                                  <a:pt x="137239" y="0"/>
                                </a:moveTo>
                                <a:lnTo>
                                  <a:pt x="0" y="0"/>
                                </a:lnTo>
                                <a:lnTo>
                                  <a:pt x="0" y="578401"/>
                                </a:lnTo>
                                <a:lnTo>
                                  <a:pt x="137239" y="578401"/>
                                </a:lnTo>
                                <a:lnTo>
                                  <a:pt x="137239" y="0"/>
                                </a:lnTo>
                                <a:close/>
                              </a:path>
                            </a:pathLst>
                          </a:custGeom>
                          <a:solidFill>
                            <a:srgbClr val="795A2B"/>
                          </a:solidFill>
                        </wps:spPr>
                        <wps:bodyPr wrap="square" lIns="0" tIns="0" rIns="0" bIns="0" rtlCol="0">
                          <a:prstTxWarp prst="textNoShape">
                            <a:avLst/>
                          </a:prstTxWarp>
                          <a:noAutofit/>
                        </wps:bodyPr>
                      </wps:wsp>
                      <wps:wsp>
                        <wps:cNvPr id="450" name="Graphic 450"/>
                        <wps:cNvSpPr/>
                        <wps:spPr>
                          <a:xfrm>
                            <a:off x="2865050" y="2372741"/>
                            <a:ext cx="137795" cy="578485"/>
                          </a:xfrm>
                          <a:custGeom>
                            <a:avLst/>
                            <a:gdLst/>
                            <a:ahLst/>
                            <a:cxnLst/>
                            <a:rect l="l" t="t" r="r" b="b"/>
                            <a:pathLst>
                              <a:path w="137795" h="578485">
                                <a:moveTo>
                                  <a:pt x="0" y="578401"/>
                                </a:moveTo>
                                <a:lnTo>
                                  <a:pt x="137239" y="578401"/>
                                </a:lnTo>
                                <a:lnTo>
                                  <a:pt x="137239" y="0"/>
                                </a:lnTo>
                                <a:lnTo>
                                  <a:pt x="0" y="0"/>
                                </a:lnTo>
                                <a:lnTo>
                                  <a:pt x="0" y="578401"/>
                                </a:lnTo>
                                <a:close/>
                              </a:path>
                            </a:pathLst>
                          </a:custGeom>
                          <a:ln w="14756">
                            <a:solidFill>
                              <a:srgbClr val="FFFFFF"/>
                            </a:solidFill>
                            <a:prstDash val="solid"/>
                          </a:ln>
                        </wps:spPr>
                        <wps:bodyPr wrap="square" lIns="0" tIns="0" rIns="0" bIns="0" rtlCol="0">
                          <a:prstTxWarp prst="textNoShape">
                            <a:avLst/>
                          </a:prstTxWarp>
                          <a:noAutofit/>
                        </wps:bodyPr>
                      </wps:wsp>
                      <wps:wsp>
                        <wps:cNvPr id="451" name="Graphic 451"/>
                        <wps:cNvSpPr/>
                        <wps:spPr>
                          <a:xfrm>
                            <a:off x="3002289" y="1174989"/>
                            <a:ext cx="137795" cy="1776730"/>
                          </a:xfrm>
                          <a:custGeom>
                            <a:avLst/>
                            <a:gdLst/>
                            <a:ahLst/>
                            <a:cxnLst/>
                            <a:rect l="l" t="t" r="r" b="b"/>
                            <a:pathLst>
                              <a:path w="137795" h="1776730">
                                <a:moveTo>
                                  <a:pt x="137239" y="0"/>
                                </a:moveTo>
                                <a:lnTo>
                                  <a:pt x="0" y="0"/>
                                </a:lnTo>
                                <a:lnTo>
                                  <a:pt x="0" y="1776152"/>
                                </a:lnTo>
                                <a:lnTo>
                                  <a:pt x="137239" y="1776152"/>
                                </a:lnTo>
                                <a:lnTo>
                                  <a:pt x="137239" y="0"/>
                                </a:lnTo>
                                <a:close/>
                              </a:path>
                            </a:pathLst>
                          </a:custGeom>
                          <a:solidFill>
                            <a:srgbClr val="795A2B"/>
                          </a:solidFill>
                        </wps:spPr>
                        <wps:bodyPr wrap="square" lIns="0" tIns="0" rIns="0" bIns="0" rtlCol="0">
                          <a:prstTxWarp prst="textNoShape">
                            <a:avLst/>
                          </a:prstTxWarp>
                          <a:noAutofit/>
                        </wps:bodyPr>
                      </wps:wsp>
                      <wps:wsp>
                        <wps:cNvPr id="452" name="Graphic 452"/>
                        <wps:cNvSpPr/>
                        <wps:spPr>
                          <a:xfrm>
                            <a:off x="3002289" y="1174989"/>
                            <a:ext cx="137795" cy="1776730"/>
                          </a:xfrm>
                          <a:custGeom>
                            <a:avLst/>
                            <a:gdLst/>
                            <a:ahLst/>
                            <a:cxnLst/>
                            <a:rect l="l" t="t" r="r" b="b"/>
                            <a:pathLst>
                              <a:path w="137795" h="1776730">
                                <a:moveTo>
                                  <a:pt x="0" y="1776152"/>
                                </a:moveTo>
                                <a:lnTo>
                                  <a:pt x="137239" y="1776152"/>
                                </a:lnTo>
                                <a:lnTo>
                                  <a:pt x="137239" y="0"/>
                                </a:lnTo>
                                <a:lnTo>
                                  <a:pt x="0" y="0"/>
                                </a:lnTo>
                                <a:lnTo>
                                  <a:pt x="0" y="1776152"/>
                                </a:lnTo>
                                <a:close/>
                              </a:path>
                            </a:pathLst>
                          </a:custGeom>
                          <a:ln w="14756">
                            <a:solidFill>
                              <a:srgbClr val="FFFFFF"/>
                            </a:solidFill>
                            <a:prstDash val="solid"/>
                          </a:ln>
                        </wps:spPr>
                        <wps:bodyPr wrap="square" lIns="0" tIns="0" rIns="0" bIns="0" rtlCol="0">
                          <a:prstTxWarp prst="textNoShape">
                            <a:avLst/>
                          </a:prstTxWarp>
                          <a:noAutofit/>
                        </wps:bodyPr>
                      </wps:wsp>
                      <wps:wsp>
                        <wps:cNvPr id="453" name="Graphic 453"/>
                        <wps:cNvSpPr/>
                        <wps:spPr>
                          <a:xfrm>
                            <a:off x="3139528" y="2352266"/>
                            <a:ext cx="137795" cy="599440"/>
                          </a:xfrm>
                          <a:custGeom>
                            <a:avLst/>
                            <a:gdLst/>
                            <a:ahLst/>
                            <a:cxnLst/>
                            <a:rect l="l" t="t" r="r" b="b"/>
                            <a:pathLst>
                              <a:path w="137795" h="599440">
                                <a:moveTo>
                                  <a:pt x="137239" y="0"/>
                                </a:moveTo>
                                <a:lnTo>
                                  <a:pt x="0" y="0"/>
                                </a:lnTo>
                                <a:lnTo>
                                  <a:pt x="0" y="598875"/>
                                </a:lnTo>
                                <a:lnTo>
                                  <a:pt x="137239" y="598875"/>
                                </a:lnTo>
                                <a:lnTo>
                                  <a:pt x="137239" y="0"/>
                                </a:lnTo>
                                <a:close/>
                              </a:path>
                            </a:pathLst>
                          </a:custGeom>
                          <a:solidFill>
                            <a:srgbClr val="795A2B"/>
                          </a:solidFill>
                        </wps:spPr>
                        <wps:bodyPr wrap="square" lIns="0" tIns="0" rIns="0" bIns="0" rtlCol="0">
                          <a:prstTxWarp prst="textNoShape">
                            <a:avLst/>
                          </a:prstTxWarp>
                          <a:noAutofit/>
                        </wps:bodyPr>
                      </wps:wsp>
                      <wps:wsp>
                        <wps:cNvPr id="454" name="Graphic 454"/>
                        <wps:cNvSpPr/>
                        <wps:spPr>
                          <a:xfrm>
                            <a:off x="3139528" y="2352266"/>
                            <a:ext cx="137795" cy="599440"/>
                          </a:xfrm>
                          <a:custGeom>
                            <a:avLst/>
                            <a:gdLst/>
                            <a:ahLst/>
                            <a:cxnLst/>
                            <a:rect l="l" t="t" r="r" b="b"/>
                            <a:pathLst>
                              <a:path w="137795" h="599440">
                                <a:moveTo>
                                  <a:pt x="0" y="598875"/>
                                </a:moveTo>
                                <a:lnTo>
                                  <a:pt x="137239" y="598875"/>
                                </a:lnTo>
                                <a:lnTo>
                                  <a:pt x="137239" y="0"/>
                                </a:lnTo>
                                <a:lnTo>
                                  <a:pt x="0" y="0"/>
                                </a:lnTo>
                                <a:lnTo>
                                  <a:pt x="0" y="598875"/>
                                </a:lnTo>
                                <a:close/>
                              </a:path>
                            </a:pathLst>
                          </a:custGeom>
                          <a:ln w="14756">
                            <a:solidFill>
                              <a:srgbClr val="FFFFFF"/>
                            </a:solidFill>
                            <a:prstDash val="solid"/>
                          </a:ln>
                        </wps:spPr>
                        <wps:bodyPr wrap="square" lIns="0" tIns="0" rIns="0" bIns="0" rtlCol="0">
                          <a:prstTxWarp prst="textNoShape">
                            <a:avLst/>
                          </a:prstTxWarp>
                          <a:noAutofit/>
                        </wps:bodyPr>
                      </wps:wsp>
                      <wps:wsp>
                        <wps:cNvPr id="455" name="Graphic 455"/>
                        <wps:cNvSpPr/>
                        <wps:spPr>
                          <a:xfrm>
                            <a:off x="3276767" y="1932541"/>
                            <a:ext cx="137795" cy="1019175"/>
                          </a:xfrm>
                          <a:custGeom>
                            <a:avLst/>
                            <a:gdLst/>
                            <a:ahLst/>
                            <a:cxnLst/>
                            <a:rect l="l" t="t" r="r" b="b"/>
                            <a:pathLst>
                              <a:path w="137795" h="1019175">
                                <a:moveTo>
                                  <a:pt x="137239" y="0"/>
                                </a:moveTo>
                                <a:lnTo>
                                  <a:pt x="0" y="0"/>
                                </a:lnTo>
                                <a:lnTo>
                                  <a:pt x="0" y="1018600"/>
                                </a:lnTo>
                                <a:lnTo>
                                  <a:pt x="137239" y="1018600"/>
                                </a:lnTo>
                                <a:lnTo>
                                  <a:pt x="137239" y="0"/>
                                </a:lnTo>
                                <a:close/>
                              </a:path>
                            </a:pathLst>
                          </a:custGeom>
                          <a:solidFill>
                            <a:srgbClr val="795A2B"/>
                          </a:solidFill>
                        </wps:spPr>
                        <wps:bodyPr wrap="square" lIns="0" tIns="0" rIns="0" bIns="0" rtlCol="0">
                          <a:prstTxWarp prst="textNoShape">
                            <a:avLst/>
                          </a:prstTxWarp>
                          <a:noAutofit/>
                        </wps:bodyPr>
                      </wps:wsp>
                      <wps:wsp>
                        <wps:cNvPr id="456" name="Graphic 456"/>
                        <wps:cNvSpPr/>
                        <wps:spPr>
                          <a:xfrm>
                            <a:off x="3276767" y="1932541"/>
                            <a:ext cx="137795" cy="1019175"/>
                          </a:xfrm>
                          <a:custGeom>
                            <a:avLst/>
                            <a:gdLst/>
                            <a:ahLst/>
                            <a:cxnLst/>
                            <a:rect l="l" t="t" r="r" b="b"/>
                            <a:pathLst>
                              <a:path w="137795" h="1019175">
                                <a:moveTo>
                                  <a:pt x="0" y="1018600"/>
                                </a:moveTo>
                                <a:lnTo>
                                  <a:pt x="137239" y="1018600"/>
                                </a:lnTo>
                                <a:lnTo>
                                  <a:pt x="137239" y="0"/>
                                </a:lnTo>
                                <a:lnTo>
                                  <a:pt x="0" y="0"/>
                                </a:lnTo>
                                <a:lnTo>
                                  <a:pt x="0" y="1018600"/>
                                </a:lnTo>
                                <a:close/>
                              </a:path>
                            </a:pathLst>
                          </a:custGeom>
                          <a:ln w="14756">
                            <a:solidFill>
                              <a:srgbClr val="FFFFFF"/>
                            </a:solidFill>
                            <a:prstDash val="solid"/>
                          </a:ln>
                        </wps:spPr>
                        <wps:bodyPr wrap="square" lIns="0" tIns="0" rIns="0" bIns="0" rtlCol="0">
                          <a:prstTxWarp prst="textNoShape">
                            <a:avLst/>
                          </a:prstTxWarp>
                          <a:noAutofit/>
                        </wps:bodyPr>
                      </wps:wsp>
                      <wps:wsp>
                        <wps:cNvPr id="457" name="Graphic 457"/>
                        <wps:cNvSpPr/>
                        <wps:spPr>
                          <a:xfrm>
                            <a:off x="3414007" y="2577484"/>
                            <a:ext cx="137795" cy="374015"/>
                          </a:xfrm>
                          <a:custGeom>
                            <a:avLst/>
                            <a:gdLst/>
                            <a:ahLst/>
                            <a:cxnLst/>
                            <a:rect l="l" t="t" r="r" b="b"/>
                            <a:pathLst>
                              <a:path w="137795" h="374015">
                                <a:moveTo>
                                  <a:pt x="137239" y="0"/>
                                </a:moveTo>
                                <a:lnTo>
                                  <a:pt x="0" y="0"/>
                                </a:lnTo>
                                <a:lnTo>
                                  <a:pt x="0" y="373657"/>
                                </a:lnTo>
                                <a:lnTo>
                                  <a:pt x="137239" y="373657"/>
                                </a:lnTo>
                                <a:lnTo>
                                  <a:pt x="137239" y="0"/>
                                </a:lnTo>
                                <a:close/>
                              </a:path>
                            </a:pathLst>
                          </a:custGeom>
                          <a:solidFill>
                            <a:srgbClr val="795A2B"/>
                          </a:solidFill>
                        </wps:spPr>
                        <wps:bodyPr wrap="square" lIns="0" tIns="0" rIns="0" bIns="0" rtlCol="0">
                          <a:prstTxWarp prst="textNoShape">
                            <a:avLst/>
                          </a:prstTxWarp>
                          <a:noAutofit/>
                        </wps:bodyPr>
                      </wps:wsp>
                      <wps:wsp>
                        <wps:cNvPr id="458" name="Graphic 458"/>
                        <wps:cNvSpPr/>
                        <wps:spPr>
                          <a:xfrm>
                            <a:off x="3414007" y="2577484"/>
                            <a:ext cx="137795" cy="374015"/>
                          </a:xfrm>
                          <a:custGeom>
                            <a:avLst/>
                            <a:gdLst/>
                            <a:ahLst/>
                            <a:cxnLst/>
                            <a:rect l="l" t="t" r="r" b="b"/>
                            <a:pathLst>
                              <a:path w="137795" h="374015">
                                <a:moveTo>
                                  <a:pt x="0" y="373657"/>
                                </a:moveTo>
                                <a:lnTo>
                                  <a:pt x="137239" y="373657"/>
                                </a:lnTo>
                                <a:lnTo>
                                  <a:pt x="137239" y="0"/>
                                </a:lnTo>
                                <a:lnTo>
                                  <a:pt x="0" y="0"/>
                                </a:lnTo>
                                <a:lnTo>
                                  <a:pt x="0" y="373657"/>
                                </a:lnTo>
                                <a:close/>
                              </a:path>
                            </a:pathLst>
                          </a:custGeom>
                          <a:ln w="14756">
                            <a:solidFill>
                              <a:srgbClr val="FFFFFF"/>
                            </a:solidFill>
                            <a:prstDash val="solid"/>
                          </a:ln>
                        </wps:spPr>
                        <wps:bodyPr wrap="square" lIns="0" tIns="0" rIns="0" bIns="0" rtlCol="0">
                          <a:prstTxWarp prst="textNoShape">
                            <a:avLst/>
                          </a:prstTxWarp>
                          <a:noAutofit/>
                        </wps:bodyPr>
                      </wps:wsp>
                      <wps:wsp>
                        <wps:cNvPr id="459" name="Graphic 459"/>
                        <wps:cNvSpPr/>
                        <wps:spPr>
                          <a:xfrm>
                            <a:off x="3551246" y="2495587"/>
                            <a:ext cx="137795" cy="455930"/>
                          </a:xfrm>
                          <a:custGeom>
                            <a:avLst/>
                            <a:gdLst/>
                            <a:ahLst/>
                            <a:cxnLst/>
                            <a:rect l="l" t="t" r="r" b="b"/>
                            <a:pathLst>
                              <a:path w="137795" h="455930">
                                <a:moveTo>
                                  <a:pt x="137239" y="0"/>
                                </a:moveTo>
                                <a:lnTo>
                                  <a:pt x="0" y="0"/>
                                </a:lnTo>
                                <a:lnTo>
                                  <a:pt x="0" y="455554"/>
                                </a:lnTo>
                                <a:lnTo>
                                  <a:pt x="137239" y="455554"/>
                                </a:lnTo>
                                <a:lnTo>
                                  <a:pt x="137239" y="0"/>
                                </a:lnTo>
                                <a:close/>
                              </a:path>
                            </a:pathLst>
                          </a:custGeom>
                          <a:solidFill>
                            <a:srgbClr val="795A2B"/>
                          </a:solidFill>
                        </wps:spPr>
                        <wps:bodyPr wrap="square" lIns="0" tIns="0" rIns="0" bIns="0" rtlCol="0">
                          <a:prstTxWarp prst="textNoShape">
                            <a:avLst/>
                          </a:prstTxWarp>
                          <a:noAutofit/>
                        </wps:bodyPr>
                      </wps:wsp>
                      <wps:wsp>
                        <wps:cNvPr id="460" name="Graphic 460"/>
                        <wps:cNvSpPr/>
                        <wps:spPr>
                          <a:xfrm>
                            <a:off x="3551246" y="2495587"/>
                            <a:ext cx="137795" cy="455930"/>
                          </a:xfrm>
                          <a:custGeom>
                            <a:avLst/>
                            <a:gdLst/>
                            <a:ahLst/>
                            <a:cxnLst/>
                            <a:rect l="l" t="t" r="r" b="b"/>
                            <a:pathLst>
                              <a:path w="137795" h="455930">
                                <a:moveTo>
                                  <a:pt x="0" y="455554"/>
                                </a:moveTo>
                                <a:lnTo>
                                  <a:pt x="137239" y="455554"/>
                                </a:lnTo>
                                <a:lnTo>
                                  <a:pt x="137239" y="0"/>
                                </a:lnTo>
                                <a:lnTo>
                                  <a:pt x="0" y="0"/>
                                </a:lnTo>
                                <a:lnTo>
                                  <a:pt x="0" y="455554"/>
                                </a:lnTo>
                                <a:close/>
                              </a:path>
                            </a:pathLst>
                          </a:custGeom>
                          <a:ln w="14756">
                            <a:solidFill>
                              <a:srgbClr val="FFFFFF"/>
                            </a:solidFill>
                            <a:prstDash val="solid"/>
                          </a:ln>
                        </wps:spPr>
                        <wps:bodyPr wrap="square" lIns="0" tIns="0" rIns="0" bIns="0" rtlCol="0">
                          <a:prstTxWarp prst="textNoShape">
                            <a:avLst/>
                          </a:prstTxWarp>
                          <a:noAutofit/>
                        </wps:bodyPr>
                      </wps:wsp>
                      <wps:wsp>
                        <wps:cNvPr id="461" name="Graphic 461"/>
                        <wps:cNvSpPr/>
                        <wps:spPr>
                          <a:xfrm>
                            <a:off x="3688485" y="2485350"/>
                            <a:ext cx="137795" cy="466090"/>
                          </a:xfrm>
                          <a:custGeom>
                            <a:avLst/>
                            <a:gdLst/>
                            <a:ahLst/>
                            <a:cxnLst/>
                            <a:rect l="l" t="t" r="r" b="b"/>
                            <a:pathLst>
                              <a:path w="137795" h="466090">
                                <a:moveTo>
                                  <a:pt x="137239" y="0"/>
                                </a:moveTo>
                                <a:lnTo>
                                  <a:pt x="0" y="0"/>
                                </a:lnTo>
                                <a:lnTo>
                                  <a:pt x="0" y="465792"/>
                                </a:lnTo>
                                <a:lnTo>
                                  <a:pt x="137239" y="465792"/>
                                </a:lnTo>
                                <a:lnTo>
                                  <a:pt x="137239" y="0"/>
                                </a:lnTo>
                                <a:close/>
                              </a:path>
                            </a:pathLst>
                          </a:custGeom>
                          <a:solidFill>
                            <a:srgbClr val="795A2B"/>
                          </a:solidFill>
                        </wps:spPr>
                        <wps:bodyPr wrap="square" lIns="0" tIns="0" rIns="0" bIns="0" rtlCol="0">
                          <a:prstTxWarp prst="textNoShape">
                            <a:avLst/>
                          </a:prstTxWarp>
                          <a:noAutofit/>
                        </wps:bodyPr>
                      </wps:wsp>
                      <wps:wsp>
                        <wps:cNvPr id="462" name="Graphic 462"/>
                        <wps:cNvSpPr/>
                        <wps:spPr>
                          <a:xfrm>
                            <a:off x="3688485" y="2485350"/>
                            <a:ext cx="137795" cy="466090"/>
                          </a:xfrm>
                          <a:custGeom>
                            <a:avLst/>
                            <a:gdLst/>
                            <a:ahLst/>
                            <a:cxnLst/>
                            <a:rect l="l" t="t" r="r" b="b"/>
                            <a:pathLst>
                              <a:path w="137795" h="466090">
                                <a:moveTo>
                                  <a:pt x="0" y="465792"/>
                                </a:moveTo>
                                <a:lnTo>
                                  <a:pt x="137239" y="465792"/>
                                </a:lnTo>
                                <a:lnTo>
                                  <a:pt x="137239" y="0"/>
                                </a:lnTo>
                                <a:lnTo>
                                  <a:pt x="0" y="0"/>
                                </a:lnTo>
                                <a:lnTo>
                                  <a:pt x="0" y="465792"/>
                                </a:lnTo>
                                <a:close/>
                              </a:path>
                            </a:pathLst>
                          </a:custGeom>
                          <a:ln w="14756">
                            <a:solidFill>
                              <a:srgbClr val="FFFFFF"/>
                            </a:solidFill>
                            <a:prstDash val="solid"/>
                          </a:ln>
                        </wps:spPr>
                        <wps:bodyPr wrap="square" lIns="0" tIns="0" rIns="0" bIns="0" rtlCol="0">
                          <a:prstTxWarp prst="textNoShape">
                            <a:avLst/>
                          </a:prstTxWarp>
                          <a:noAutofit/>
                        </wps:bodyPr>
                      </wps:wsp>
                      <wps:wsp>
                        <wps:cNvPr id="463" name="Graphic 463"/>
                        <wps:cNvSpPr/>
                        <wps:spPr>
                          <a:xfrm>
                            <a:off x="3825724" y="2695212"/>
                            <a:ext cx="137795" cy="256540"/>
                          </a:xfrm>
                          <a:custGeom>
                            <a:avLst/>
                            <a:gdLst/>
                            <a:ahLst/>
                            <a:cxnLst/>
                            <a:rect l="l" t="t" r="r" b="b"/>
                            <a:pathLst>
                              <a:path w="137795" h="256540">
                                <a:moveTo>
                                  <a:pt x="137239" y="0"/>
                                </a:moveTo>
                                <a:lnTo>
                                  <a:pt x="0" y="0"/>
                                </a:lnTo>
                                <a:lnTo>
                                  <a:pt x="0" y="255929"/>
                                </a:lnTo>
                                <a:lnTo>
                                  <a:pt x="137239" y="255929"/>
                                </a:lnTo>
                                <a:lnTo>
                                  <a:pt x="137239" y="0"/>
                                </a:lnTo>
                                <a:close/>
                              </a:path>
                            </a:pathLst>
                          </a:custGeom>
                          <a:solidFill>
                            <a:srgbClr val="795A2B"/>
                          </a:solidFill>
                        </wps:spPr>
                        <wps:bodyPr wrap="square" lIns="0" tIns="0" rIns="0" bIns="0" rtlCol="0">
                          <a:prstTxWarp prst="textNoShape">
                            <a:avLst/>
                          </a:prstTxWarp>
                          <a:noAutofit/>
                        </wps:bodyPr>
                      </wps:wsp>
                      <wps:wsp>
                        <wps:cNvPr id="464" name="Graphic 464"/>
                        <wps:cNvSpPr/>
                        <wps:spPr>
                          <a:xfrm>
                            <a:off x="3825724" y="2695212"/>
                            <a:ext cx="137795" cy="256540"/>
                          </a:xfrm>
                          <a:custGeom>
                            <a:avLst/>
                            <a:gdLst/>
                            <a:ahLst/>
                            <a:cxnLst/>
                            <a:rect l="l" t="t" r="r" b="b"/>
                            <a:pathLst>
                              <a:path w="137795" h="256540">
                                <a:moveTo>
                                  <a:pt x="0" y="255929"/>
                                </a:moveTo>
                                <a:lnTo>
                                  <a:pt x="137239" y="255929"/>
                                </a:lnTo>
                                <a:lnTo>
                                  <a:pt x="137239" y="0"/>
                                </a:lnTo>
                                <a:lnTo>
                                  <a:pt x="0" y="0"/>
                                </a:lnTo>
                                <a:lnTo>
                                  <a:pt x="0" y="255929"/>
                                </a:lnTo>
                                <a:close/>
                              </a:path>
                            </a:pathLst>
                          </a:custGeom>
                          <a:ln w="14756">
                            <a:solidFill>
                              <a:srgbClr val="FFFFFF"/>
                            </a:solidFill>
                            <a:prstDash val="solid"/>
                          </a:ln>
                        </wps:spPr>
                        <wps:bodyPr wrap="square" lIns="0" tIns="0" rIns="0" bIns="0" rtlCol="0">
                          <a:prstTxWarp prst="textNoShape">
                            <a:avLst/>
                          </a:prstTxWarp>
                          <a:noAutofit/>
                        </wps:bodyPr>
                      </wps:wsp>
                      <wps:wsp>
                        <wps:cNvPr id="465" name="Graphic 465"/>
                        <wps:cNvSpPr/>
                        <wps:spPr>
                          <a:xfrm>
                            <a:off x="3962963" y="2802702"/>
                            <a:ext cx="137795" cy="148590"/>
                          </a:xfrm>
                          <a:custGeom>
                            <a:avLst/>
                            <a:gdLst/>
                            <a:ahLst/>
                            <a:cxnLst/>
                            <a:rect l="l" t="t" r="r" b="b"/>
                            <a:pathLst>
                              <a:path w="137795" h="148590">
                                <a:moveTo>
                                  <a:pt x="137239" y="0"/>
                                </a:moveTo>
                                <a:lnTo>
                                  <a:pt x="0" y="0"/>
                                </a:lnTo>
                                <a:lnTo>
                                  <a:pt x="0" y="148439"/>
                                </a:lnTo>
                                <a:lnTo>
                                  <a:pt x="137239" y="148439"/>
                                </a:lnTo>
                                <a:lnTo>
                                  <a:pt x="137239" y="0"/>
                                </a:lnTo>
                                <a:close/>
                              </a:path>
                            </a:pathLst>
                          </a:custGeom>
                          <a:solidFill>
                            <a:srgbClr val="795A2B"/>
                          </a:solidFill>
                        </wps:spPr>
                        <wps:bodyPr wrap="square" lIns="0" tIns="0" rIns="0" bIns="0" rtlCol="0">
                          <a:prstTxWarp prst="textNoShape">
                            <a:avLst/>
                          </a:prstTxWarp>
                          <a:noAutofit/>
                        </wps:bodyPr>
                      </wps:wsp>
                      <wps:wsp>
                        <wps:cNvPr id="466" name="Graphic 466"/>
                        <wps:cNvSpPr/>
                        <wps:spPr>
                          <a:xfrm>
                            <a:off x="3962963" y="2802702"/>
                            <a:ext cx="137795" cy="148590"/>
                          </a:xfrm>
                          <a:custGeom>
                            <a:avLst/>
                            <a:gdLst/>
                            <a:ahLst/>
                            <a:cxnLst/>
                            <a:rect l="l" t="t" r="r" b="b"/>
                            <a:pathLst>
                              <a:path w="137795" h="148590">
                                <a:moveTo>
                                  <a:pt x="0" y="148439"/>
                                </a:moveTo>
                                <a:lnTo>
                                  <a:pt x="137239" y="148439"/>
                                </a:lnTo>
                                <a:lnTo>
                                  <a:pt x="137239" y="0"/>
                                </a:lnTo>
                                <a:lnTo>
                                  <a:pt x="0" y="0"/>
                                </a:lnTo>
                                <a:lnTo>
                                  <a:pt x="0" y="148439"/>
                                </a:lnTo>
                                <a:close/>
                              </a:path>
                            </a:pathLst>
                          </a:custGeom>
                          <a:ln w="14756">
                            <a:solidFill>
                              <a:srgbClr val="FFFFFF"/>
                            </a:solidFill>
                            <a:prstDash val="solid"/>
                          </a:ln>
                        </wps:spPr>
                        <wps:bodyPr wrap="square" lIns="0" tIns="0" rIns="0" bIns="0" rtlCol="0">
                          <a:prstTxWarp prst="textNoShape">
                            <a:avLst/>
                          </a:prstTxWarp>
                          <a:noAutofit/>
                        </wps:bodyPr>
                      </wps:wsp>
                      <wps:wsp>
                        <wps:cNvPr id="467" name="Graphic 467"/>
                        <wps:cNvSpPr/>
                        <wps:spPr>
                          <a:xfrm>
                            <a:off x="4100202" y="2869244"/>
                            <a:ext cx="137795" cy="81915"/>
                          </a:xfrm>
                          <a:custGeom>
                            <a:avLst/>
                            <a:gdLst/>
                            <a:ahLst/>
                            <a:cxnLst/>
                            <a:rect l="l" t="t" r="r" b="b"/>
                            <a:pathLst>
                              <a:path w="137795" h="81915">
                                <a:moveTo>
                                  <a:pt x="137239" y="0"/>
                                </a:moveTo>
                                <a:lnTo>
                                  <a:pt x="0" y="0"/>
                                </a:lnTo>
                                <a:lnTo>
                                  <a:pt x="0" y="81897"/>
                                </a:lnTo>
                                <a:lnTo>
                                  <a:pt x="137239" y="81897"/>
                                </a:lnTo>
                                <a:lnTo>
                                  <a:pt x="137239" y="0"/>
                                </a:lnTo>
                                <a:close/>
                              </a:path>
                            </a:pathLst>
                          </a:custGeom>
                          <a:solidFill>
                            <a:srgbClr val="795A2B"/>
                          </a:solidFill>
                        </wps:spPr>
                        <wps:bodyPr wrap="square" lIns="0" tIns="0" rIns="0" bIns="0" rtlCol="0">
                          <a:prstTxWarp prst="textNoShape">
                            <a:avLst/>
                          </a:prstTxWarp>
                          <a:noAutofit/>
                        </wps:bodyPr>
                      </wps:wsp>
                      <wps:wsp>
                        <wps:cNvPr id="468" name="Graphic 468"/>
                        <wps:cNvSpPr/>
                        <wps:spPr>
                          <a:xfrm>
                            <a:off x="4100202" y="2869244"/>
                            <a:ext cx="137795" cy="81915"/>
                          </a:xfrm>
                          <a:custGeom>
                            <a:avLst/>
                            <a:gdLst/>
                            <a:ahLst/>
                            <a:cxnLst/>
                            <a:rect l="l" t="t" r="r" b="b"/>
                            <a:pathLst>
                              <a:path w="137795" h="81915">
                                <a:moveTo>
                                  <a:pt x="0" y="81897"/>
                                </a:moveTo>
                                <a:lnTo>
                                  <a:pt x="137239" y="81897"/>
                                </a:lnTo>
                                <a:lnTo>
                                  <a:pt x="137239" y="0"/>
                                </a:lnTo>
                                <a:lnTo>
                                  <a:pt x="0" y="0"/>
                                </a:lnTo>
                                <a:lnTo>
                                  <a:pt x="0" y="81897"/>
                                </a:lnTo>
                                <a:close/>
                              </a:path>
                            </a:pathLst>
                          </a:custGeom>
                          <a:ln w="14756">
                            <a:solidFill>
                              <a:srgbClr val="FFFFFF"/>
                            </a:solidFill>
                            <a:prstDash val="solid"/>
                          </a:ln>
                        </wps:spPr>
                        <wps:bodyPr wrap="square" lIns="0" tIns="0" rIns="0" bIns="0" rtlCol="0">
                          <a:prstTxWarp prst="textNoShape">
                            <a:avLst/>
                          </a:prstTxWarp>
                          <a:noAutofit/>
                        </wps:bodyPr>
                      </wps:wsp>
                      <wps:wsp>
                        <wps:cNvPr id="469" name="Graphic 469"/>
                        <wps:cNvSpPr/>
                        <wps:spPr>
                          <a:xfrm>
                            <a:off x="4237441" y="1993965"/>
                            <a:ext cx="137795" cy="957580"/>
                          </a:xfrm>
                          <a:custGeom>
                            <a:avLst/>
                            <a:gdLst/>
                            <a:ahLst/>
                            <a:cxnLst/>
                            <a:rect l="l" t="t" r="r" b="b"/>
                            <a:pathLst>
                              <a:path w="137795" h="957580">
                                <a:moveTo>
                                  <a:pt x="137239" y="0"/>
                                </a:moveTo>
                                <a:lnTo>
                                  <a:pt x="0" y="0"/>
                                </a:lnTo>
                                <a:lnTo>
                                  <a:pt x="0" y="957177"/>
                                </a:lnTo>
                                <a:lnTo>
                                  <a:pt x="137239" y="957177"/>
                                </a:lnTo>
                                <a:lnTo>
                                  <a:pt x="137239" y="0"/>
                                </a:lnTo>
                                <a:close/>
                              </a:path>
                            </a:pathLst>
                          </a:custGeom>
                          <a:solidFill>
                            <a:srgbClr val="795A2B"/>
                          </a:solidFill>
                        </wps:spPr>
                        <wps:bodyPr wrap="square" lIns="0" tIns="0" rIns="0" bIns="0" rtlCol="0">
                          <a:prstTxWarp prst="textNoShape">
                            <a:avLst/>
                          </a:prstTxWarp>
                          <a:noAutofit/>
                        </wps:bodyPr>
                      </wps:wsp>
                      <wps:wsp>
                        <wps:cNvPr id="470" name="Graphic 470"/>
                        <wps:cNvSpPr/>
                        <wps:spPr>
                          <a:xfrm>
                            <a:off x="4237441" y="1993965"/>
                            <a:ext cx="137795" cy="957580"/>
                          </a:xfrm>
                          <a:custGeom>
                            <a:avLst/>
                            <a:gdLst/>
                            <a:ahLst/>
                            <a:cxnLst/>
                            <a:rect l="l" t="t" r="r" b="b"/>
                            <a:pathLst>
                              <a:path w="137795" h="957580">
                                <a:moveTo>
                                  <a:pt x="0" y="957177"/>
                                </a:moveTo>
                                <a:lnTo>
                                  <a:pt x="137239" y="957177"/>
                                </a:lnTo>
                                <a:lnTo>
                                  <a:pt x="137239" y="0"/>
                                </a:lnTo>
                                <a:lnTo>
                                  <a:pt x="0" y="0"/>
                                </a:lnTo>
                                <a:lnTo>
                                  <a:pt x="0" y="957177"/>
                                </a:lnTo>
                                <a:close/>
                              </a:path>
                            </a:pathLst>
                          </a:custGeom>
                          <a:ln w="14756">
                            <a:solidFill>
                              <a:srgbClr val="FFFFFF"/>
                            </a:solidFill>
                            <a:prstDash val="solid"/>
                          </a:ln>
                        </wps:spPr>
                        <wps:bodyPr wrap="square" lIns="0" tIns="0" rIns="0" bIns="0" rtlCol="0">
                          <a:prstTxWarp prst="textNoShape">
                            <a:avLst/>
                          </a:prstTxWarp>
                          <a:noAutofit/>
                        </wps:bodyPr>
                      </wps:wsp>
                      <wps:wsp>
                        <wps:cNvPr id="471" name="Graphic 471"/>
                        <wps:cNvSpPr/>
                        <wps:spPr>
                          <a:xfrm>
                            <a:off x="257507"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2" name="Graphic 472"/>
                        <wps:cNvSpPr/>
                        <wps:spPr>
                          <a:xfrm>
                            <a:off x="257507"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3" name="Graphic 473"/>
                        <wps:cNvSpPr/>
                        <wps:spPr>
                          <a:xfrm>
                            <a:off x="257507"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4" name="Graphic 474"/>
                        <wps:cNvSpPr/>
                        <wps:spPr>
                          <a:xfrm>
                            <a:off x="1080942"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5" name="Graphic 475"/>
                        <wps:cNvSpPr/>
                        <wps:spPr>
                          <a:xfrm>
                            <a:off x="1080942"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6" name="Graphic 476"/>
                        <wps:cNvSpPr/>
                        <wps:spPr>
                          <a:xfrm>
                            <a:off x="1080942"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77" name="Graphic 477"/>
                        <wps:cNvSpPr/>
                        <wps:spPr>
                          <a:xfrm>
                            <a:off x="1904376"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78" name="Graphic 478"/>
                        <wps:cNvSpPr/>
                        <wps:spPr>
                          <a:xfrm>
                            <a:off x="1904376"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79" name="Graphic 479"/>
                        <wps:cNvSpPr/>
                        <wps:spPr>
                          <a:xfrm>
                            <a:off x="1904376"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0" name="Graphic 480"/>
                        <wps:cNvSpPr/>
                        <wps:spPr>
                          <a:xfrm>
                            <a:off x="2727811"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1" name="Graphic 481"/>
                        <wps:cNvSpPr/>
                        <wps:spPr>
                          <a:xfrm>
                            <a:off x="2727811"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2" name="Graphic 482"/>
                        <wps:cNvSpPr/>
                        <wps:spPr>
                          <a:xfrm>
                            <a:off x="2727811"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3" name="Graphic 483"/>
                        <wps:cNvSpPr/>
                        <wps:spPr>
                          <a:xfrm>
                            <a:off x="3551246"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4" name="Graphic 484"/>
                        <wps:cNvSpPr/>
                        <wps:spPr>
                          <a:xfrm>
                            <a:off x="3551246"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5" name="Graphic 485"/>
                        <wps:cNvSpPr/>
                        <wps:spPr>
                          <a:xfrm>
                            <a:off x="3551246"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6" name="Graphic 486"/>
                        <wps:cNvSpPr/>
                        <wps:spPr>
                          <a:xfrm>
                            <a:off x="4374680" y="5902"/>
                            <a:ext cx="1270" cy="2945765"/>
                          </a:xfrm>
                          <a:custGeom>
                            <a:avLst/>
                            <a:gdLst/>
                            <a:ahLst/>
                            <a:cxnLst/>
                            <a:rect l="l" t="t" r="r" b="b"/>
                            <a:pathLst>
                              <a:path w="0" h="2945765">
                                <a:moveTo>
                                  <a:pt x="0" y="2945239"/>
                                </a:moveTo>
                                <a:lnTo>
                                  <a:pt x="0" y="0"/>
                                </a:lnTo>
                              </a:path>
                            </a:pathLst>
                          </a:custGeom>
                          <a:ln w="11805">
                            <a:solidFill>
                              <a:srgbClr val="AFAFAF"/>
                            </a:solidFill>
                            <a:prstDash val="solid"/>
                          </a:ln>
                        </wps:spPr>
                        <wps:bodyPr wrap="square" lIns="0" tIns="0" rIns="0" bIns="0" rtlCol="0">
                          <a:prstTxWarp prst="textNoShape">
                            <a:avLst/>
                          </a:prstTxWarp>
                          <a:noAutofit/>
                        </wps:bodyPr>
                      </wps:wsp>
                      <wps:wsp>
                        <wps:cNvPr id="487" name="Graphic 487"/>
                        <wps:cNvSpPr/>
                        <wps:spPr>
                          <a:xfrm>
                            <a:off x="4374680" y="2951142"/>
                            <a:ext cx="1270" cy="52069"/>
                          </a:xfrm>
                          <a:custGeom>
                            <a:avLst/>
                            <a:gdLst/>
                            <a:ahLst/>
                            <a:cxnLst/>
                            <a:rect l="l" t="t" r="r" b="b"/>
                            <a:pathLst>
                              <a:path w="0" h="52069">
                                <a:moveTo>
                                  <a:pt x="0" y="0"/>
                                </a:moveTo>
                                <a:lnTo>
                                  <a:pt x="0" y="51649"/>
                                </a:lnTo>
                              </a:path>
                            </a:pathLst>
                          </a:custGeom>
                          <a:solidFill>
                            <a:srgbClr val="000000"/>
                          </a:solidFill>
                        </wps:spPr>
                        <wps:bodyPr wrap="square" lIns="0" tIns="0" rIns="0" bIns="0" rtlCol="0">
                          <a:prstTxWarp prst="textNoShape">
                            <a:avLst/>
                          </a:prstTxWarp>
                          <a:noAutofit/>
                        </wps:bodyPr>
                      </wps:wsp>
                      <wps:wsp>
                        <wps:cNvPr id="488" name="Graphic 488"/>
                        <wps:cNvSpPr/>
                        <wps:spPr>
                          <a:xfrm>
                            <a:off x="4374680" y="2951142"/>
                            <a:ext cx="1270" cy="52069"/>
                          </a:xfrm>
                          <a:custGeom>
                            <a:avLst/>
                            <a:gdLst/>
                            <a:ahLst/>
                            <a:cxnLst/>
                            <a:rect l="l" t="t" r="r" b="b"/>
                            <a:pathLst>
                              <a:path w="0" h="52069">
                                <a:moveTo>
                                  <a:pt x="0" y="0"/>
                                </a:moveTo>
                                <a:lnTo>
                                  <a:pt x="0" y="51649"/>
                                </a:lnTo>
                              </a:path>
                            </a:pathLst>
                          </a:custGeom>
                          <a:ln w="11805">
                            <a:solidFill>
                              <a:srgbClr val="000000"/>
                            </a:solidFill>
                            <a:prstDash val="solid"/>
                          </a:ln>
                        </wps:spPr>
                        <wps:bodyPr wrap="square" lIns="0" tIns="0" rIns="0" bIns="0" rtlCol="0">
                          <a:prstTxWarp prst="textNoShape">
                            <a:avLst/>
                          </a:prstTxWarp>
                          <a:noAutofit/>
                        </wps:bodyPr>
                      </wps:wsp>
                      <wps:wsp>
                        <wps:cNvPr id="489" name="Graphic 489"/>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AFAFAF"/>
                          </a:solidFill>
                        </wps:spPr>
                        <wps:bodyPr wrap="square" lIns="0" tIns="0" rIns="0" bIns="0" rtlCol="0">
                          <a:prstTxWarp prst="textNoShape">
                            <a:avLst/>
                          </a:prstTxWarp>
                          <a:noAutofit/>
                        </wps:bodyPr>
                      </wps:wsp>
                      <wps:wsp>
                        <wps:cNvPr id="490" name="Graphic 490"/>
                        <wps:cNvSpPr/>
                        <wps:spPr>
                          <a:xfrm>
                            <a:off x="0" y="2951142"/>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1" name="Graphic 491"/>
                        <wps:cNvSpPr/>
                        <wps:spPr>
                          <a:xfrm>
                            <a:off x="0" y="2951142"/>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2" name="Graphic 492"/>
                        <wps:cNvSpPr/>
                        <wps:spPr>
                          <a:xfrm>
                            <a:off x="51649" y="2439282"/>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3" name="Graphic 493"/>
                        <wps:cNvSpPr/>
                        <wps:spPr>
                          <a:xfrm>
                            <a:off x="0" y="2439282"/>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4" name="Graphic 494"/>
                        <wps:cNvSpPr/>
                        <wps:spPr>
                          <a:xfrm>
                            <a:off x="0" y="2439282"/>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5" name="Graphic 495"/>
                        <wps:cNvSpPr/>
                        <wps:spPr>
                          <a:xfrm>
                            <a:off x="51649" y="1927423"/>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6" name="Graphic 496"/>
                        <wps:cNvSpPr/>
                        <wps:spPr>
                          <a:xfrm>
                            <a:off x="0" y="1927423"/>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497" name="Graphic 497"/>
                        <wps:cNvSpPr/>
                        <wps:spPr>
                          <a:xfrm>
                            <a:off x="0" y="1927423"/>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498" name="Graphic 498"/>
                        <wps:cNvSpPr/>
                        <wps:spPr>
                          <a:xfrm>
                            <a:off x="51649" y="1415563"/>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499" name="Graphic 499"/>
                        <wps:cNvSpPr/>
                        <wps:spPr>
                          <a:xfrm>
                            <a:off x="0" y="1415563"/>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0" name="Graphic 500"/>
                        <wps:cNvSpPr/>
                        <wps:spPr>
                          <a:xfrm>
                            <a:off x="0" y="1415563"/>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1" name="Graphic 501"/>
                        <wps:cNvSpPr/>
                        <wps:spPr>
                          <a:xfrm>
                            <a:off x="51649" y="903704"/>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2" name="Graphic 502"/>
                        <wps:cNvSpPr/>
                        <wps:spPr>
                          <a:xfrm>
                            <a:off x="0" y="903704"/>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3" name="Graphic 503"/>
                        <wps:cNvSpPr/>
                        <wps:spPr>
                          <a:xfrm>
                            <a:off x="0" y="903704"/>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4" name="Graphic 504"/>
                        <wps:cNvSpPr/>
                        <wps:spPr>
                          <a:xfrm>
                            <a:off x="51649" y="391844"/>
                            <a:ext cx="4529455" cy="1270"/>
                          </a:xfrm>
                          <a:custGeom>
                            <a:avLst/>
                            <a:gdLst/>
                            <a:ahLst/>
                            <a:cxnLst/>
                            <a:rect l="l" t="t" r="r" b="b"/>
                            <a:pathLst>
                              <a:path w="4529455" h="0">
                                <a:moveTo>
                                  <a:pt x="0" y="0"/>
                                </a:moveTo>
                                <a:lnTo>
                                  <a:pt x="4528890" y="0"/>
                                </a:lnTo>
                              </a:path>
                            </a:pathLst>
                          </a:custGeom>
                          <a:ln w="11805">
                            <a:solidFill>
                              <a:srgbClr val="AFAFAF"/>
                            </a:solidFill>
                            <a:prstDash val="solid"/>
                          </a:ln>
                        </wps:spPr>
                        <wps:bodyPr wrap="square" lIns="0" tIns="0" rIns="0" bIns="0" rtlCol="0">
                          <a:prstTxWarp prst="textNoShape">
                            <a:avLst/>
                          </a:prstTxWarp>
                          <a:noAutofit/>
                        </wps:bodyPr>
                      </wps:wsp>
                      <wps:wsp>
                        <wps:cNvPr id="505" name="Graphic 505"/>
                        <wps:cNvSpPr/>
                        <wps:spPr>
                          <a:xfrm>
                            <a:off x="0" y="391844"/>
                            <a:ext cx="52069" cy="1270"/>
                          </a:xfrm>
                          <a:custGeom>
                            <a:avLst/>
                            <a:gdLst/>
                            <a:ahLst/>
                            <a:cxnLst/>
                            <a:rect l="l" t="t" r="r" b="b"/>
                            <a:pathLst>
                              <a:path w="52069" h="0">
                                <a:moveTo>
                                  <a:pt x="51649" y="0"/>
                                </a:moveTo>
                                <a:lnTo>
                                  <a:pt x="0" y="0"/>
                                </a:lnTo>
                              </a:path>
                            </a:pathLst>
                          </a:custGeom>
                          <a:solidFill>
                            <a:srgbClr val="000000"/>
                          </a:solidFill>
                        </wps:spPr>
                        <wps:bodyPr wrap="square" lIns="0" tIns="0" rIns="0" bIns="0" rtlCol="0">
                          <a:prstTxWarp prst="textNoShape">
                            <a:avLst/>
                          </a:prstTxWarp>
                          <a:noAutofit/>
                        </wps:bodyPr>
                      </wps:wsp>
                      <wps:wsp>
                        <wps:cNvPr id="506" name="Graphic 506"/>
                        <wps:cNvSpPr/>
                        <wps:spPr>
                          <a:xfrm>
                            <a:off x="0" y="391844"/>
                            <a:ext cx="52069" cy="1270"/>
                          </a:xfrm>
                          <a:custGeom>
                            <a:avLst/>
                            <a:gdLst/>
                            <a:ahLst/>
                            <a:cxnLst/>
                            <a:rect l="l" t="t" r="r" b="b"/>
                            <a:pathLst>
                              <a:path w="52069" h="0">
                                <a:moveTo>
                                  <a:pt x="51649" y="0"/>
                                </a:moveTo>
                                <a:lnTo>
                                  <a:pt x="0" y="0"/>
                                </a:lnTo>
                              </a:path>
                            </a:pathLst>
                          </a:custGeom>
                          <a:ln w="11805">
                            <a:solidFill>
                              <a:srgbClr val="000000"/>
                            </a:solidFill>
                            <a:prstDash val="solid"/>
                          </a:ln>
                        </wps:spPr>
                        <wps:bodyPr wrap="square" lIns="0" tIns="0" rIns="0" bIns="0" rtlCol="0">
                          <a:prstTxWarp prst="textNoShape">
                            <a:avLst/>
                          </a:prstTxWarp>
                          <a:noAutofit/>
                        </wps:bodyPr>
                      </wps:wsp>
                      <wps:wsp>
                        <wps:cNvPr id="507" name="Graphic 507"/>
                        <wps:cNvSpPr/>
                        <wps:spPr>
                          <a:xfrm>
                            <a:off x="51649" y="5902"/>
                            <a:ext cx="4529455" cy="2945765"/>
                          </a:xfrm>
                          <a:custGeom>
                            <a:avLst/>
                            <a:gdLst/>
                            <a:ahLst/>
                            <a:cxnLst/>
                            <a:rect l="l" t="t" r="r" b="b"/>
                            <a:pathLst>
                              <a:path w="4529455" h="2945765">
                                <a:moveTo>
                                  <a:pt x="0" y="2945239"/>
                                </a:moveTo>
                                <a:lnTo>
                                  <a:pt x="0" y="0"/>
                                </a:lnTo>
                              </a:path>
                              <a:path w="4529455" h="2945765">
                                <a:moveTo>
                                  <a:pt x="4528890" y="2945239"/>
                                </a:moveTo>
                                <a:lnTo>
                                  <a:pt x="4528890" y="0"/>
                                </a:lnTo>
                              </a:path>
                            </a:pathLst>
                          </a:custGeom>
                          <a:ln w="11805">
                            <a:solidFill>
                              <a:srgbClr val="000000"/>
                            </a:solidFill>
                            <a:prstDash val="solid"/>
                          </a:ln>
                        </wps:spPr>
                        <wps:bodyPr wrap="square" lIns="0" tIns="0" rIns="0" bIns="0" rtlCol="0">
                          <a:prstTxWarp prst="textNoShape">
                            <a:avLst/>
                          </a:prstTxWarp>
                          <a:noAutofit/>
                        </wps:bodyPr>
                      </wps:wsp>
                      <wps:wsp>
                        <wps:cNvPr id="508" name="Graphic 508"/>
                        <wps:cNvSpPr/>
                        <wps:spPr>
                          <a:xfrm>
                            <a:off x="51649" y="2945239"/>
                            <a:ext cx="4529455" cy="12065"/>
                          </a:xfrm>
                          <a:custGeom>
                            <a:avLst/>
                            <a:gdLst/>
                            <a:ahLst/>
                            <a:cxnLst/>
                            <a:rect l="l" t="t" r="r" b="b"/>
                            <a:pathLst>
                              <a:path w="4529455" h="12065">
                                <a:moveTo>
                                  <a:pt x="0" y="11805"/>
                                </a:moveTo>
                                <a:lnTo>
                                  <a:pt x="4528890" y="11805"/>
                                </a:lnTo>
                                <a:lnTo>
                                  <a:pt x="4528890" y="0"/>
                                </a:lnTo>
                                <a:lnTo>
                                  <a:pt x="0" y="0"/>
                                </a:lnTo>
                                <a:lnTo>
                                  <a:pt x="0" y="11805"/>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51649" y="5902"/>
                            <a:ext cx="4529455" cy="1270"/>
                          </a:xfrm>
                          <a:custGeom>
                            <a:avLst/>
                            <a:gdLst/>
                            <a:ahLst/>
                            <a:cxnLst/>
                            <a:rect l="l" t="t" r="r" b="b"/>
                            <a:pathLst>
                              <a:path w="4529455" h="0">
                                <a:moveTo>
                                  <a:pt x="0" y="0"/>
                                </a:moveTo>
                                <a:lnTo>
                                  <a:pt x="4528890" y="0"/>
                                </a:lnTo>
                              </a:path>
                            </a:pathLst>
                          </a:custGeom>
                          <a:ln w="118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145355pt;margin-top:-22.673786pt;width:361.15pt;height:236.45pt;mso-position-horizontal-relative:page;mso-position-vertical-relative:paragraph;z-index:15770624" id="docshapegroup282" coordorigin="2783,-453" coordsize="7223,4729">
                <v:shape style="position:absolute;left:3188;top:913;width:433;height:3281" id="docshape283" coordorigin="3188,913" coordsize="433,3281" path="m3621,4057l3405,4057,3405,913,3188,913,3188,4194,3405,4194,3621,4194,3621,4057xe" filled="true" fillcolor="#795a2b" stroked="false">
                  <v:path arrowok="t"/>
                  <v:fill type="solid"/>
                </v:shape>
                <v:rect style="position:absolute;left:3404;top:4056;width:217;height:138" id="docshape284" filled="false" stroked="true" strokeweight="1.161960pt" strokecolor="#ffffff">
                  <v:stroke dashstyle="solid"/>
                </v:rect>
                <v:rect style="position:absolute;left:3620;top:3807;width:217;height:387" id="docshape285" filled="true" fillcolor="#795a2b" stroked="false">
                  <v:fill type="solid"/>
                </v:rect>
                <v:rect style="position:absolute;left:3620;top:3807;width:217;height:387" id="docshape286" filled="false" stroked="true" strokeweight="1.161960pt" strokecolor="#ffffff">
                  <v:stroke dashstyle="solid"/>
                </v:rect>
                <v:rect style="position:absolute;left:3836;top:3581;width:217;height:613" id="docshape287" filled="true" fillcolor="#795a2b" stroked="false">
                  <v:fill type="solid"/>
                </v:rect>
                <v:rect style="position:absolute;left:3836;top:3581;width:217;height:613" id="docshape288" filled="false" stroked="true" strokeweight="1.161960pt" strokecolor="#ffffff">
                  <v:stroke dashstyle="solid"/>
                </v:rect>
                <v:rect style="position:absolute;left:4052;top:3508;width:217;height:686" id="docshape289" filled="true" fillcolor="#795a2b" stroked="false">
                  <v:fill type="solid"/>
                </v:rect>
                <v:rect style="position:absolute;left:4052;top:3508;width:217;height:686" id="docshape290" filled="false" stroked="true" strokeweight="1.161960pt" strokecolor="#ffffff">
                  <v:stroke dashstyle="solid"/>
                </v:rect>
                <v:rect style="position:absolute;left:4269;top:3339;width:217;height:855" id="docshape291" filled="true" fillcolor="#795a2b" stroked="false">
                  <v:fill type="solid"/>
                </v:rect>
                <v:rect style="position:absolute;left:4269;top:3339;width:217;height:855" id="docshape292" filled="false" stroked="true" strokeweight="1.161960pt" strokecolor="#ffffff">
                  <v:stroke dashstyle="solid"/>
                </v:rect>
                <v:rect style="position:absolute;left:4485;top:2630;width:217;height:1564" id="docshape293" filled="true" fillcolor="#795a2b" stroked="false">
                  <v:fill type="solid"/>
                </v:rect>
                <v:rect style="position:absolute;left:4485;top:2630;width:217;height:1564" id="docshape294" filled="false" stroked="true" strokeweight="1.161960pt" strokecolor="#ffffff">
                  <v:stroke dashstyle="solid"/>
                </v:rect>
                <v:rect style="position:absolute;left:4701;top:2009;width:217;height:2185" id="docshape295" filled="true" fillcolor="#795a2b" stroked="false">
                  <v:fill type="solid"/>
                </v:rect>
                <v:rect style="position:absolute;left:4701;top:2009;width:217;height:2185" id="docshape296" filled="false" stroked="true" strokeweight="1.161960pt" strokecolor="#ffffff">
                  <v:stroke dashstyle="solid"/>
                </v:rect>
                <v:rect style="position:absolute;left:4917;top:2678;width:217;height:1516" id="docshape297" filled="true" fillcolor="#795a2b" stroked="false">
                  <v:fill type="solid"/>
                </v:rect>
                <v:rect style="position:absolute;left:4917;top:2678;width:217;height:1516" id="docshape298" filled="false" stroked="true" strokeweight="1.161960pt" strokecolor="#ffffff">
                  <v:stroke dashstyle="solid"/>
                </v:rect>
                <v:rect style="position:absolute;left:5133;top:3113;width:217;height:1081" id="docshape299" filled="true" fillcolor="#795a2b" stroked="false">
                  <v:fill type="solid"/>
                </v:rect>
                <v:rect style="position:absolute;left:5133;top:3113;width:217;height:1081" id="docshape300" filled="false" stroked="true" strokeweight="1.161960pt" strokecolor="#ffffff">
                  <v:stroke dashstyle="solid"/>
                </v:rect>
                <v:rect style="position:absolute;left:5349;top:-224;width:217;height:4418" id="docshape301" filled="true" fillcolor="#795a2b" stroked="false">
                  <v:fill type="solid"/>
                </v:rect>
                <v:rect style="position:absolute;left:5349;top:-224;width:217;height:4418" id="docshape302" filled="false" stroked="true" strokeweight="1.161960pt" strokecolor="#ffffff">
                  <v:stroke dashstyle="solid"/>
                </v:rect>
                <v:rect style="position:absolute;left:5565;top:2533;width:217;height:1661" id="docshape303" filled="true" fillcolor="#795a2b" stroked="false">
                  <v:fill type="solid"/>
                </v:rect>
                <v:rect style="position:absolute;left:5565;top:2533;width:217;height:1661" id="docshape304" filled="false" stroked="true" strokeweight="1.161960pt" strokecolor="#ffffff">
                  <v:stroke dashstyle="solid"/>
                </v:rect>
                <v:rect style="position:absolute;left:5781;top:1509;width:217;height:2685" id="docshape305" filled="true" fillcolor="#795a2b" stroked="false">
                  <v:fill type="solid"/>
                </v:rect>
                <v:rect style="position:absolute;left:5781;top:1509;width:217;height:2685" id="docshape306" filled="false" stroked="true" strokeweight="1.161960pt" strokecolor="#ffffff">
                  <v:stroke dashstyle="solid"/>
                </v:rect>
                <v:rect style="position:absolute;left:5998;top:2154;width:217;height:2040" id="docshape307" filled="true" fillcolor="#795a2b" stroked="false">
                  <v:fill type="solid"/>
                </v:rect>
                <v:rect style="position:absolute;left:5998;top:2154;width:217;height:2040" id="docshape308" filled="false" stroked="true" strokeweight="1.161960pt" strokecolor="#ffffff">
                  <v:stroke dashstyle="solid"/>
                </v:rect>
                <v:rect style="position:absolute;left:6214;top:2920;width:217;height:1274" id="docshape309" filled="true" fillcolor="#795a2b" stroked="false">
                  <v:fill type="solid"/>
                </v:rect>
                <v:rect style="position:absolute;left:6214;top:2920;width:217;height:1274" id="docshape310" filled="false" stroked="true" strokeweight="1.161960pt" strokecolor="#ffffff">
                  <v:stroke dashstyle="solid"/>
                </v:rect>
                <v:rect style="position:absolute;left:6430;top:131;width:217;height:4063" id="docshape311" filled="true" fillcolor="#795a2b" stroked="false">
                  <v:fill type="solid"/>
                </v:rect>
                <v:rect style="position:absolute;left:6430;top:131;width:217;height:4063" id="docshape312" filled="false" stroked="true" strokeweight="1.161960pt" strokecolor="#ffffff">
                  <v:stroke dashstyle="solid"/>
                </v:rect>
                <v:rect style="position:absolute;left:6646;top:2380;width:217;height:1814" id="docshape313" filled="true" fillcolor="#795a2b" stroked="false">
                  <v:fill type="solid"/>
                </v:rect>
                <v:rect style="position:absolute;left:6646;top:2380;width:217;height:1814" id="docshape314" filled="false" stroked="true" strokeweight="1.161960pt" strokecolor="#ffffff">
                  <v:stroke dashstyle="solid"/>
                </v:rect>
                <v:rect style="position:absolute;left:6862;top:2525;width:217;height:1669" id="docshape315" filled="true" fillcolor="#795a2b" stroked="false">
                  <v:fill type="solid"/>
                </v:rect>
                <v:rect style="position:absolute;left:6862;top:2525;width:217;height:1669" id="docshape316" filled="false" stroked="true" strokeweight="1.161960pt" strokecolor="#ffffff">
                  <v:stroke dashstyle="solid"/>
                </v:rect>
                <v:rect style="position:absolute;left:7078;top:2178;width:217;height:2016" id="docshape317" filled="true" fillcolor="#795a2b" stroked="false">
                  <v:fill type="solid"/>
                </v:rect>
                <v:rect style="position:absolute;left:7078;top:2178;width:217;height:2016" id="docshape318" filled="false" stroked="true" strokeweight="1.161960pt" strokecolor="#ffffff">
                  <v:stroke dashstyle="solid"/>
                </v:rect>
                <v:rect style="position:absolute;left:7294;top:3283;width:217;height:911" id="docshape319" filled="true" fillcolor="#795a2b" stroked="false">
                  <v:fill type="solid"/>
                </v:rect>
                <v:rect style="position:absolute;left:7294;top:3283;width:217;height:911" id="docshape320" filled="false" stroked="true" strokeweight="1.161960pt" strokecolor="#ffffff">
                  <v:stroke dashstyle="solid"/>
                </v:rect>
                <v:rect style="position:absolute;left:7510;top:1396;width:217;height:2798" id="docshape321" filled="true" fillcolor="#795a2b" stroked="false">
                  <v:fill type="solid"/>
                </v:rect>
                <v:rect style="position:absolute;left:7510;top:1396;width:217;height:2798" id="docshape322" filled="false" stroked="true" strokeweight="1.161960pt" strokecolor="#ffffff">
                  <v:stroke dashstyle="solid"/>
                </v:rect>
                <v:rect style="position:absolute;left:7727;top:3250;width:217;height:944" id="docshape323" filled="true" fillcolor="#795a2b" stroked="false">
                  <v:fill type="solid"/>
                </v:rect>
                <v:rect style="position:absolute;left:7727;top:3250;width:217;height:944" id="docshape324" filled="false" stroked="true" strokeweight="1.161960pt" strokecolor="#ffffff">
                  <v:stroke dashstyle="solid"/>
                </v:rect>
                <v:rect style="position:absolute;left:7943;top:2589;width:217;height:1605" id="docshape325" filled="true" fillcolor="#795a2b" stroked="false">
                  <v:fill type="solid"/>
                </v:rect>
                <v:rect style="position:absolute;left:7943;top:2589;width:217;height:1605" id="docshape326" filled="false" stroked="true" strokeweight="1.161960pt" strokecolor="#ffffff">
                  <v:stroke dashstyle="solid"/>
                </v:rect>
                <v:rect style="position:absolute;left:8159;top:3605;width:217;height:589" id="docshape327" filled="true" fillcolor="#795a2b" stroked="false">
                  <v:fill type="solid"/>
                </v:rect>
                <v:rect style="position:absolute;left:8159;top:3605;width:217;height:589" id="docshape328" filled="false" stroked="true" strokeweight="1.161960pt" strokecolor="#ffffff">
                  <v:stroke dashstyle="solid"/>
                </v:rect>
                <v:rect style="position:absolute;left:8375;top:3476;width:217;height:718" id="docshape329" filled="true" fillcolor="#795a2b" stroked="false">
                  <v:fill type="solid"/>
                </v:rect>
                <v:rect style="position:absolute;left:8375;top:3476;width:217;height:718" id="docshape330" filled="false" stroked="true" strokeweight="1.161960pt" strokecolor="#ffffff">
                  <v:stroke dashstyle="solid"/>
                </v:rect>
                <v:rect style="position:absolute;left:8591;top:3460;width:217;height:734" id="docshape331" filled="true" fillcolor="#795a2b" stroked="false">
                  <v:fill type="solid"/>
                </v:rect>
                <v:rect style="position:absolute;left:8591;top:3460;width:217;height:734" id="docshape332" filled="false" stroked="true" strokeweight="1.161960pt" strokecolor="#ffffff">
                  <v:stroke dashstyle="solid"/>
                </v:rect>
                <v:rect style="position:absolute;left:8807;top:3790;width:217;height:404" id="docshape333" filled="true" fillcolor="#795a2b" stroked="false">
                  <v:fill type="solid"/>
                </v:rect>
                <v:rect style="position:absolute;left:8807;top:3790;width:217;height:404" id="docshape334" filled="false" stroked="true" strokeweight="1.161960pt" strokecolor="#ffffff">
                  <v:stroke dashstyle="solid"/>
                </v:rect>
                <v:rect style="position:absolute;left:9023;top:3960;width:217;height:234" id="docshape335" filled="true" fillcolor="#795a2b" stroked="false">
                  <v:fill type="solid"/>
                </v:rect>
                <v:rect style="position:absolute;left:9023;top:3960;width:217;height:234" id="docshape336" filled="false" stroked="true" strokeweight="1.161960pt" strokecolor="#ffffff">
                  <v:stroke dashstyle="solid"/>
                </v:rect>
                <v:rect style="position:absolute;left:9239;top:4065;width:217;height:129" id="docshape337" filled="true" fillcolor="#795a2b" stroked="false">
                  <v:fill type="solid"/>
                </v:rect>
                <v:rect style="position:absolute;left:9239;top:4065;width:217;height:129" id="docshape338" filled="false" stroked="true" strokeweight="1.161960pt" strokecolor="#ffffff">
                  <v:stroke dashstyle="solid"/>
                </v:rect>
                <v:rect style="position:absolute;left:9456;top:2686;width:217;height:1508" id="docshape339" filled="true" fillcolor="#795a2b" stroked="false">
                  <v:fill type="solid"/>
                </v:rect>
                <v:rect style="position:absolute;left:9456;top:2686;width:217;height:1508" id="docshape340" filled="false" stroked="true" strokeweight="1.161960pt" strokecolor="#ffffff">
                  <v:stroke dashstyle="solid"/>
                </v:rect>
                <v:line style="position:absolute" from="3188,4194" to="3188,-444" stroked="true" strokeweight=".929568pt" strokecolor="#afafaf">
                  <v:stroke dashstyle="solid"/>
                </v:line>
                <v:shape style="position:absolute;left:3188;top:4194;width:2;height:82" id="docshape341" coordorigin="3188,4194" coordsize="0,82" path="m3188,4194l3188,4275e" filled="true" fillcolor="#000000" stroked="false">
                  <v:path arrowok="t"/>
                  <v:fill type="solid"/>
                </v:shape>
                <v:line style="position:absolute" from="3188,4194" to="3188,4275" stroked="true" strokeweight=".929568pt" strokecolor="#000000">
                  <v:stroke dashstyle="solid"/>
                </v:line>
                <v:line style="position:absolute" from="4485,4194" to="4485,-444" stroked="true" strokeweight=".929568pt" strokecolor="#afafaf">
                  <v:stroke dashstyle="solid"/>
                </v:line>
                <v:shape style="position:absolute;left:4485;top:4194;width:2;height:82" id="docshape342" coordorigin="4485,4194" coordsize="0,82" path="m4485,4194l4485,4275e" filled="true" fillcolor="#000000" stroked="false">
                  <v:path arrowok="t"/>
                  <v:fill type="solid"/>
                </v:shape>
                <v:line style="position:absolute" from="4485,4194" to="4485,4275" stroked="true" strokeweight=".929568pt" strokecolor="#000000">
                  <v:stroke dashstyle="solid"/>
                </v:line>
                <v:line style="position:absolute" from="5782,4194" to="5782,-444" stroked="true" strokeweight=".929568pt" strokecolor="#afafaf">
                  <v:stroke dashstyle="solid"/>
                </v:line>
                <v:shape style="position:absolute;left:5781;top:4194;width:2;height:82" id="docshape343" coordorigin="5782,4194" coordsize="0,82" path="m5782,4194l5782,4275e" filled="true" fillcolor="#000000" stroked="false">
                  <v:path arrowok="t"/>
                  <v:fill type="solid"/>
                </v:shape>
                <v:line style="position:absolute" from="5782,4194" to="5782,4275" stroked="true" strokeweight=".929568pt" strokecolor="#000000">
                  <v:stroke dashstyle="solid"/>
                </v:line>
                <v:line style="position:absolute" from="7079,4194" to="7079,-444" stroked="true" strokeweight=".929568pt" strokecolor="#afafaf">
                  <v:stroke dashstyle="solid"/>
                </v:line>
                <v:shape style="position:absolute;left:7078;top:4194;width:2;height:82" id="docshape344" coordorigin="7079,4194" coordsize="0,82" path="m7079,4194l7079,4275e" filled="true" fillcolor="#000000" stroked="false">
                  <v:path arrowok="t"/>
                  <v:fill type="solid"/>
                </v:shape>
                <v:line style="position:absolute" from="7079,4194" to="7079,4275" stroked="true" strokeweight=".929568pt" strokecolor="#000000">
                  <v:stroke dashstyle="solid"/>
                </v:line>
                <v:line style="position:absolute" from="8375,4194" to="8375,-444" stroked="true" strokeweight=".929568pt" strokecolor="#afafaf">
                  <v:stroke dashstyle="solid"/>
                </v:line>
                <v:shape style="position:absolute;left:8375;top:4194;width:2;height:82" id="docshape345" coordorigin="8375,4194" coordsize="0,82" path="m8375,4194l8375,4275e" filled="true" fillcolor="#000000" stroked="false">
                  <v:path arrowok="t"/>
                  <v:fill type="solid"/>
                </v:shape>
                <v:line style="position:absolute" from="8375,4194" to="8375,4275" stroked="true" strokeweight=".929568pt" strokecolor="#000000">
                  <v:stroke dashstyle="solid"/>
                </v:line>
                <v:line style="position:absolute" from="9672,4194" to="9672,-444" stroked="true" strokeweight=".929568pt" strokecolor="#afafaf">
                  <v:stroke dashstyle="solid"/>
                </v:line>
                <v:shape style="position:absolute;left:9672;top:4194;width:2;height:82" id="docshape346" coordorigin="9672,4194" coordsize="0,82" path="m9672,4194l9672,4275e" filled="true" fillcolor="#000000" stroked="false">
                  <v:path arrowok="t"/>
                  <v:fill type="solid"/>
                </v:shape>
                <v:line style="position:absolute" from="9672,4194" to="9672,4275" stroked="true" strokeweight=".929568pt" strokecolor="#000000">
                  <v:stroke dashstyle="solid"/>
                </v:line>
                <v:rect style="position:absolute;left:2864;top:4184;width:7133;height:19" id="docshape347" filled="true" fillcolor="#afafaf" stroked="false">
                  <v:fill type="solid"/>
                </v:rect>
                <v:shape style="position:absolute;left:2782;top:4194;width:82;height:2" id="docshape348" coordorigin="2783,4194" coordsize="82,0" path="m2864,4194l2783,4194e" filled="true" fillcolor="#000000" stroked="false">
                  <v:path arrowok="t"/>
                  <v:fill type="solid"/>
                </v:shape>
                <v:line style="position:absolute" from="2864,4194" to="2783,4194" stroked="true" strokeweight=".929568pt" strokecolor="#000000">
                  <v:stroke dashstyle="solid"/>
                </v:line>
                <v:line style="position:absolute" from="2864,3388" to="9996,3388" stroked="true" strokeweight=".929568pt" strokecolor="#afafaf">
                  <v:stroke dashstyle="solid"/>
                </v:line>
                <v:shape style="position:absolute;left:2782;top:3387;width:82;height:2" id="docshape349" coordorigin="2783,3388" coordsize="82,0" path="m2864,3388l2783,3388e" filled="true" fillcolor="#000000" stroked="false">
                  <v:path arrowok="t"/>
                  <v:fill type="solid"/>
                </v:shape>
                <v:line style="position:absolute" from="2864,3388" to="2783,3388" stroked="true" strokeweight=".929568pt" strokecolor="#000000">
                  <v:stroke dashstyle="solid"/>
                </v:line>
                <v:line style="position:absolute" from="2864,2582" to="9996,2582" stroked="true" strokeweight=".929568pt" strokecolor="#afafaf">
                  <v:stroke dashstyle="solid"/>
                </v:line>
                <v:shape style="position:absolute;left:2782;top:2581;width:82;height:2" id="docshape350" coordorigin="2783,2582" coordsize="82,0" path="m2864,2582l2783,2582e" filled="true" fillcolor="#000000" stroked="false">
                  <v:path arrowok="t"/>
                  <v:fill type="solid"/>
                </v:shape>
                <v:line style="position:absolute" from="2864,2582" to="2783,2582" stroked="true" strokeweight=".929568pt" strokecolor="#000000">
                  <v:stroke dashstyle="solid"/>
                </v:line>
                <v:line style="position:absolute" from="2864,1776" to="9996,1776" stroked="true" strokeweight=".929568pt" strokecolor="#afafaf">
                  <v:stroke dashstyle="solid"/>
                </v:line>
                <v:shape style="position:absolute;left:2782;top:1775;width:82;height:2" id="docshape351" coordorigin="2783,1776" coordsize="82,0" path="m2864,1776l2783,1776e" filled="true" fillcolor="#000000" stroked="false">
                  <v:path arrowok="t"/>
                  <v:fill type="solid"/>
                </v:shape>
                <v:line style="position:absolute" from="2864,1776" to="2783,1776" stroked="true" strokeweight=".929568pt" strokecolor="#000000">
                  <v:stroke dashstyle="solid"/>
                </v:line>
                <v:line style="position:absolute" from="2864,970" to="9996,970" stroked="true" strokeweight=".929568pt" strokecolor="#afafaf">
                  <v:stroke dashstyle="solid"/>
                </v:line>
                <v:shape style="position:absolute;left:2782;top:969;width:82;height:2" id="docshape352" coordorigin="2783,970" coordsize="82,0" path="m2864,970l2783,970e" filled="true" fillcolor="#000000" stroked="false">
                  <v:path arrowok="t"/>
                  <v:fill type="solid"/>
                </v:shape>
                <v:line style="position:absolute" from="2864,970" to="2783,970" stroked="true" strokeweight=".929568pt" strokecolor="#000000">
                  <v:stroke dashstyle="solid"/>
                </v:line>
                <v:line style="position:absolute" from="2864,164" to="9996,164" stroked="true" strokeweight=".929568pt" strokecolor="#afafaf">
                  <v:stroke dashstyle="solid"/>
                </v:line>
                <v:shape style="position:absolute;left:2782;top:163;width:82;height:2" id="docshape353" coordorigin="2783,164" coordsize="82,0" path="m2864,164l2783,164e" filled="true" fillcolor="#000000" stroked="false">
                  <v:path arrowok="t"/>
                  <v:fill type="solid"/>
                </v:shape>
                <v:line style="position:absolute" from="2864,164" to="2783,164" stroked="true" strokeweight=".929568pt" strokecolor="#000000">
                  <v:stroke dashstyle="solid"/>
                </v:line>
                <v:shape style="position:absolute;left:2864;top:-445;width:7133;height:4639" id="docshape354" coordorigin="2864,-444" coordsize="7133,4639" path="m2864,4194l2864,-444m9996,4194l9996,-444e" filled="false" stroked="true" strokeweight=".929568pt" strokecolor="#000000">
                  <v:path arrowok="t"/>
                  <v:stroke dashstyle="solid"/>
                </v:shape>
                <v:rect style="position:absolute;left:2864;top:4184;width:7133;height:19" id="docshape355" filled="true" fillcolor="#000000" stroked="false">
                  <v:fill type="solid"/>
                </v:rect>
                <v:line style="position:absolute" from="2864,-444" to="9996,-444" stroked="true" strokeweight=".929568pt" strokecolor="#000000">
                  <v:stroke dashstyle="solid"/>
                </v:line>
                <w10:wrap type="none"/>
              </v:group>
            </w:pict>
          </mc:Fallback>
        </mc:AlternateContent>
      </w:r>
      <w:bookmarkStart w:name="_bookmark89" w:id="162"/>
      <w:bookmarkEnd w:id="162"/>
      <w:r>
        <w:rPr/>
      </w:r>
      <w:r>
        <w:rPr>
          <w:rFonts w:ascii="Verdana"/>
          <w:spacing w:val="-5"/>
          <w:sz w:val="25"/>
        </w:rPr>
        <w:t>500</w:t>
      </w:r>
    </w:p>
    <w:p>
      <w:pPr>
        <w:pStyle w:val="BodyText"/>
        <w:spacing w:before="223"/>
        <w:rPr>
          <w:rFonts w:ascii="Verdana"/>
          <w:sz w:val="23"/>
        </w:rPr>
      </w:pPr>
    </w:p>
    <w:p>
      <w:pPr>
        <w:spacing w:before="0"/>
        <w:ind w:left="1266"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1136">
                <wp:simplePos x="0" y="0"/>
                <wp:positionH relativeFrom="page">
                  <wp:posOffset>1187534</wp:posOffset>
                </wp:positionH>
                <wp:positionV relativeFrom="paragraph">
                  <wp:posOffset>-94523</wp:posOffset>
                </wp:positionV>
                <wp:extent cx="186055" cy="154813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86055" cy="1548130"/>
                        </a:xfrm>
                        <a:prstGeom prst="rect">
                          <a:avLst/>
                        </a:prstGeom>
                      </wps:spPr>
                      <wps:txbx>
                        <w:txbxContent>
                          <w:p>
                            <w:pPr>
                              <w:spacing w:line="290" w:lineRule="exact" w:before="0"/>
                              <w:ind w:left="20" w:right="0" w:firstLine="0"/>
                              <w:jc w:val="left"/>
                              <w:rPr>
                                <w:rFonts w:ascii="Verdana"/>
                                <w:sz w:val="27"/>
                              </w:rPr>
                            </w:pPr>
                            <w:r>
                              <w:rPr>
                                <w:rFonts w:ascii="Verdana"/>
                                <w:sz w:val="27"/>
                              </w:rPr>
                              <w:t>Number</w:t>
                            </w:r>
                            <w:r>
                              <w:rPr>
                                <w:rFonts w:ascii="Verdana"/>
                                <w:spacing w:val="-22"/>
                                <w:sz w:val="27"/>
                              </w:rPr>
                              <w:t> </w:t>
                            </w:r>
                            <w:r>
                              <w:rPr>
                                <w:rFonts w:ascii="Verdana"/>
                                <w:sz w:val="27"/>
                              </w:rPr>
                              <w:t>of</w:t>
                            </w:r>
                            <w:r>
                              <w:rPr>
                                <w:rFonts w:ascii="Verdana"/>
                                <w:spacing w:val="-36"/>
                                <w:sz w:val="27"/>
                              </w:rPr>
                              <w:t> </w:t>
                            </w:r>
                            <w:r>
                              <w:rPr>
                                <w:rFonts w:ascii="Verdana"/>
                                <w:spacing w:val="-2"/>
                                <w:sz w:val="27"/>
                              </w:rPr>
                              <w:t>wallets</w:t>
                            </w:r>
                          </w:p>
                        </w:txbxContent>
                      </wps:txbx>
                      <wps:bodyPr wrap="square" lIns="0" tIns="0" rIns="0" bIns="0" rtlCol="0" vert="vert270">
                        <a:noAutofit/>
                      </wps:bodyPr>
                    </wps:wsp>
                  </a:graphicData>
                </a:graphic>
              </wp:anchor>
            </w:drawing>
          </mc:Choice>
          <mc:Fallback>
            <w:pict>
              <v:shape style="position:absolute;margin-left:93.506691pt;margin-top:-7.442791pt;width:14.65pt;height:121.9pt;mso-position-horizontal-relative:page;mso-position-vertical-relative:paragraph;z-index:15771136" type="#_x0000_t202" id="docshape356" filled="false" stroked="false">
                <v:textbox inset="0,0,0,0" style="layout-flow:vertical;mso-layout-flow-alt:bottom-to-top">
                  <w:txbxContent>
                    <w:p>
                      <w:pPr>
                        <w:spacing w:line="290" w:lineRule="exact" w:before="0"/>
                        <w:ind w:left="20" w:right="0" w:firstLine="0"/>
                        <w:jc w:val="left"/>
                        <w:rPr>
                          <w:rFonts w:ascii="Verdana"/>
                          <w:sz w:val="27"/>
                        </w:rPr>
                      </w:pPr>
                      <w:r>
                        <w:rPr>
                          <w:rFonts w:ascii="Verdana"/>
                          <w:sz w:val="27"/>
                        </w:rPr>
                        <w:t>Number</w:t>
                      </w:r>
                      <w:r>
                        <w:rPr>
                          <w:rFonts w:ascii="Verdana"/>
                          <w:spacing w:val="-22"/>
                          <w:sz w:val="27"/>
                        </w:rPr>
                        <w:t> </w:t>
                      </w:r>
                      <w:r>
                        <w:rPr>
                          <w:rFonts w:ascii="Verdana"/>
                          <w:sz w:val="27"/>
                        </w:rPr>
                        <w:t>of</w:t>
                      </w:r>
                      <w:r>
                        <w:rPr>
                          <w:rFonts w:ascii="Verdana"/>
                          <w:spacing w:val="-36"/>
                          <w:sz w:val="27"/>
                        </w:rPr>
                        <w:t> </w:t>
                      </w:r>
                      <w:r>
                        <w:rPr>
                          <w:rFonts w:ascii="Verdana"/>
                          <w:spacing w:val="-2"/>
                          <w:sz w:val="27"/>
                        </w:rPr>
                        <w:t>wallets</w:t>
                      </w:r>
                    </w:p>
                  </w:txbxContent>
                </v:textbox>
                <w10:wrap type="none"/>
              </v:shape>
            </w:pict>
          </mc:Fallback>
        </mc:AlternateContent>
      </w:r>
      <w:r>
        <w:rPr>
          <w:rFonts w:ascii="Verdana"/>
          <w:spacing w:val="-5"/>
          <w:sz w:val="25"/>
        </w:rPr>
        <w:t>400</w:t>
      </w:r>
    </w:p>
    <w:p>
      <w:pPr>
        <w:pStyle w:val="BodyText"/>
        <w:spacing w:before="222"/>
        <w:rPr>
          <w:rFonts w:ascii="Verdana"/>
          <w:sz w:val="23"/>
        </w:rPr>
      </w:pPr>
    </w:p>
    <w:p>
      <w:pPr>
        <w:spacing w:before="1"/>
        <w:ind w:left="1266" w:right="0" w:firstLine="0"/>
        <w:jc w:val="left"/>
        <w:rPr>
          <w:rFonts w:ascii="Verdana"/>
          <w:sz w:val="25"/>
        </w:rPr>
      </w:pPr>
      <w:r>
        <w:rPr>
          <w:rFonts w:ascii="Verdana"/>
          <w:spacing w:val="-5"/>
          <w:sz w:val="25"/>
        </w:rPr>
        <w:t>300</w:t>
      </w:r>
    </w:p>
    <w:p>
      <w:pPr>
        <w:pStyle w:val="BodyText"/>
        <w:spacing w:before="222"/>
        <w:rPr>
          <w:rFonts w:ascii="Verdana"/>
          <w:sz w:val="23"/>
        </w:rPr>
      </w:pPr>
    </w:p>
    <w:p>
      <w:pPr>
        <w:spacing w:before="0"/>
        <w:ind w:left="1266" w:right="0" w:firstLine="0"/>
        <w:jc w:val="left"/>
        <w:rPr>
          <w:rFonts w:ascii="Verdana"/>
          <w:sz w:val="25"/>
        </w:rPr>
      </w:pPr>
      <w:r>
        <w:rPr>
          <w:rFonts w:ascii="Verdana"/>
          <w:spacing w:val="-5"/>
          <w:sz w:val="25"/>
        </w:rPr>
        <w:t>200</w:t>
      </w:r>
    </w:p>
    <w:p>
      <w:pPr>
        <w:pStyle w:val="BodyText"/>
        <w:spacing w:before="223"/>
        <w:rPr>
          <w:rFonts w:ascii="Verdana"/>
          <w:sz w:val="23"/>
        </w:rPr>
      </w:pPr>
    </w:p>
    <w:p>
      <w:pPr>
        <w:spacing w:before="0"/>
        <w:ind w:left="1266" w:right="0" w:firstLine="0"/>
        <w:jc w:val="left"/>
        <w:rPr>
          <w:rFonts w:ascii="Verdana"/>
          <w:sz w:val="25"/>
        </w:rPr>
      </w:pPr>
      <w:r>
        <w:rPr>
          <w:rFonts w:ascii="Verdana"/>
          <w:spacing w:val="-5"/>
          <w:w w:val="95"/>
          <w:sz w:val="25"/>
        </w:rPr>
        <w:t>100</w:t>
      </w:r>
    </w:p>
    <w:p>
      <w:pPr>
        <w:pStyle w:val="BodyText"/>
        <w:spacing w:before="223"/>
        <w:rPr>
          <w:rFonts w:ascii="Verdana"/>
          <w:sz w:val="23"/>
        </w:rPr>
      </w:pPr>
    </w:p>
    <w:p>
      <w:pPr>
        <w:spacing w:line="277" w:lineRule="exact" w:before="0"/>
        <w:ind w:left="1561" w:right="0" w:firstLine="0"/>
        <w:jc w:val="left"/>
        <w:rPr>
          <w:rFonts w:ascii="Verdana"/>
          <w:sz w:val="25"/>
        </w:rPr>
      </w:pPr>
      <w:r>
        <w:rPr>
          <w:rFonts w:ascii="Verdana"/>
          <w:spacing w:val="-10"/>
          <w:sz w:val="25"/>
        </w:rPr>
        <w:t>0</w:t>
      </w:r>
    </w:p>
    <w:p>
      <w:pPr>
        <w:tabs>
          <w:tab w:pos="3308" w:val="left" w:leader="none"/>
          <w:tab w:pos="4605" w:val="left" w:leader="none"/>
          <w:tab w:pos="5901" w:val="left" w:leader="none"/>
          <w:tab w:pos="7198" w:val="left" w:leader="none"/>
          <w:tab w:pos="8495" w:val="left" w:leader="none"/>
        </w:tabs>
        <w:spacing w:line="277" w:lineRule="exact" w:before="0"/>
        <w:ind w:left="2011" w:right="0" w:firstLine="0"/>
        <w:jc w:val="left"/>
        <w:rPr>
          <w:rFonts w:ascii="Verdana"/>
          <w:sz w:val="25"/>
        </w:rPr>
      </w:pPr>
      <w:r>
        <w:rPr>
          <w:rFonts w:ascii="Verdana"/>
          <w:spacing w:val="-5"/>
          <w:w w:val="90"/>
          <w:sz w:val="25"/>
        </w:rPr>
        <w:t>0.0</w:t>
      </w:r>
      <w:r>
        <w:rPr>
          <w:rFonts w:ascii="Verdana"/>
          <w:sz w:val="25"/>
        </w:rPr>
        <w:tab/>
      </w:r>
      <w:r>
        <w:rPr>
          <w:rFonts w:ascii="Verdana"/>
          <w:spacing w:val="-5"/>
          <w:w w:val="85"/>
          <w:sz w:val="25"/>
        </w:rPr>
        <w:t>0.2</w:t>
      </w:r>
      <w:r>
        <w:rPr>
          <w:rFonts w:ascii="Verdana"/>
          <w:sz w:val="25"/>
        </w:rPr>
        <w:tab/>
      </w:r>
      <w:r>
        <w:rPr>
          <w:rFonts w:ascii="Verdana"/>
          <w:spacing w:val="-5"/>
          <w:w w:val="90"/>
          <w:sz w:val="25"/>
        </w:rPr>
        <w:t>0.4</w:t>
      </w:r>
      <w:r>
        <w:rPr>
          <w:rFonts w:ascii="Verdana"/>
          <w:sz w:val="25"/>
        </w:rPr>
        <w:tab/>
      </w:r>
      <w:r>
        <w:rPr>
          <w:rFonts w:ascii="Verdana"/>
          <w:spacing w:val="-5"/>
          <w:w w:val="90"/>
          <w:sz w:val="25"/>
        </w:rPr>
        <w:t>0.6</w:t>
      </w:r>
      <w:r>
        <w:rPr>
          <w:rFonts w:ascii="Verdana"/>
          <w:sz w:val="25"/>
        </w:rPr>
        <w:tab/>
      </w:r>
      <w:r>
        <w:rPr>
          <w:rFonts w:ascii="Verdana"/>
          <w:spacing w:val="-5"/>
          <w:w w:val="90"/>
          <w:sz w:val="25"/>
        </w:rPr>
        <w:t>0.8</w:t>
      </w:r>
      <w:r>
        <w:rPr>
          <w:rFonts w:ascii="Verdana"/>
          <w:sz w:val="25"/>
        </w:rPr>
        <w:tab/>
      </w:r>
      <w:r>
        <w:rPr>
          <w:rFonts w:ascii="Verdana"/>
          <w:w w:val="75"/>
          <w:sz w:val="25"/>
        </w:rPr>
        <w:t>1</w:t>
      </w:r>
      <w:r>
        <w:rPr>
          <w:rFonts w:ascii="Verdana"/>
          <w:spacing w:val="-39"/>
          <w:w w:val="75"/>
          <w:sz w:val="25"/>
        </w:rPr>
        <w:t> </w:t>
      </w:r>
      <w:r>
        <w:rPr>
          <w:rFonts w:ascii="Verdana"/>
          <w:spacing w:val="-5"/>
          <w:w w:val="90"/>
          <w:sz w:val="25"/>
        </w:rPr>
        <w:t>.0</w:t>
      </w:r>
    </w:p>
    <w:p>
      <w:pPr>
        <w:spacing w:before="19"/>
        <w:ind w:left="4237" w:right="0" w:firstLine="0"/>
        <w:jc w:val="left"/>
        <w:rPr>
          <w:rFonts w:ascii="Verdana"/>
          <w:sz w:val="27"/>
        </w:rPr>
      </w:pPr>
      <w:r>
        <w:rPr>
          <w:rFonts w:ascii="Verdana"/>
          <w:spacing w:val="-6"/>
          <w:sz w:val="27"/>
        </w:rPr>
        <w:t>Close</w:t>
      </w:r>
      <w:r>
        <w:rPr>
          <w:rFonts w:ascii="Verdana"/>
          <w:spacing w:val="-15"/>
          <w:sz w:val="27"/>
        </w:rPr>
        <w:t> </w:t>
      </w:r>
      <w:r>
        <w:rPr>
          <w:rFonts w:ascii="Verdana"/>
          <w:spacing w:val="-6"/>
          <w:sz w:val="27"/>
        </w:rPr>
        <w:t>success</w:t>
      </w:r>
      <w:r>
        <w:rPr>
          <w:rFonts w:ascii="Verdana"/>
          <w:spacing w:val="-12"/>
          <w:sz w:val="27"/>
        </w:rPr>
        <w:t> </w:t>
      </w:r>
      <w:r>
        <w:rPr>
          <w:rFonts w:ascii="Verdana"/>
          <w:spacing w:val="-6"/>
          <w:sz w:val="27"/>
        </w:rPr>
        <w:t>rate</w:t>
      </w:r>
    </w:p>
    <w:p>
      <w:pPr>
        <w:spacing w:before="19"/>
        <w:ind w:left="4237" w:right="0" w:firstLine="0"/>
        <w:jc w:val="left"/>
        <w:rPr>
          <w:rFonts w:ascii="Verdana"/>
          <w:sz w:val="27"/>
        </w:rPr>
      </w:pPr>
      <w:r>
        <w:rPr>
          <w:i/>
        </w:rPr>
        <w:t>마감 성공률</w:t>
      </w:r>
    </w:p>
    <w:p>
      <w:pPr>
        <w:pStyle w:val="BodyText"/>
        <w:spacing w:before="58"/>
        <w:rPr>
          <w:rFonts w:ascii="Verdana"/>
        </w:rPr>
      </w:pPr>
    </w:p>
    <w:p>
      <w:pPr>
        <w:pStyle w:val="BodyText"/>
        <w:spacing w:line="252" w:lineRule="auto"/>
        <w:ind w:left="282" w:right="524"/>
        <w:jc w:val="both"/>
      </w:pPr>
      <w:r>
        <w:rPr/>
        <w:t>Figure</w:t>
      </w:r>
      <w:r>
        <w:rPr>
          <w:spacing w:val="-6"/>
        </w:rPr>
        <w:t> </w:t>
      </w:r>
      <w:r>
        <w:rPr/>
        <w:t>4.3: Distribution</w:t>
      </w:r>
      <w:r>
        <w:rPr>
          <w:spacing w:val="-6"/>
        </w:rPr>
        <w:t> </w:t>
      </w:r>
      <w:r>
        <w:rPr/>
        <w:t>of</w:t>
      </w:r>
      <w:r>
        <w:rPr>
          <w:spacing w:val="-6"/>
        </w:rPr>
        <w:t> </w:t>
      </w:r>
      <w:r>
        <w:rPr/>
        <w:t>GMX</w:t>
      </w:r>
      <w:r>
        <w:rPr>
          <w:spacing w:val="-6"/>
        </w:rPr>
        <w:t> </w:t>
      </w:r>
      <w:r>
        <w:rPr/>
        <w:t>close</w:t>
      </w:r>
      <w:r>
        <w:rPr>
          <w:spacing w:val="-6"/>
        </w:rPr>
        <w:t> </w:t>
      </w:r>
      <w:r>
        <w:rPr/>
        <w:t>success</w:t>
      </w:r>
      <w:r>
        <w:rPr>
          <w:spacing w:val="-6"/>
        </w:rPr>
        <w:t> </w:t>
      </w:r>
      <w:r>
        <w:rPr/>
        <w:t>rates</w:t>
      </w:r>
      <w:r>
        <w:rPr>
          <w:spacing w:val="-6"/>
        </w:rPr>
        <w:t> </w:t>
      </w:r>
      <w:r>
        <w:rPr/>
        <w:t>in</w:t>
      </w:r>
      <w:r>
        <w:rPr>
          <w:spacing w:val="-6"/>
        </w:rPr>
        <w:t> </w:t>
      </w:r>
      <w:r>
        <w:rPr/>
        <w:t>the</w:t>
      </w:r>
      <w:r>
        <w:rPr>
          <w:spacing w:val="-6"/>
        </w:rPr>
        <w:t> </w:t>
      </w:r>
      <w:r>
        <w:rPr/>
        <w:t>matched</w:t>
      </w:r>
      <w:r>
        <w:rPr>
          <w:spacing w:val="-6"/>
        </w:rPr>
        <w:t> </w:t>
      </w:r>
      <w:r>
        <w:rPr/>
        <w:t>cohort. Concentration</w:t>
      </w:r>
      <w:r>
        <w:rPr>
          <w:spacing w:val="-6"/>
        </w:rPr>
        <w:t> </w:t>
      </w:r>
      <w:r>
        <w:rPr/>
        <w:t>of</w:t>
      </w:r>
      <w:r>
        <w:rPr>
          <w:spacing w:val="-6"/>
        </w:rPr>
        <w:t> </w:t>
      </w:r>
      <w:r>
        <w:rPr/>
        <w:t>rates reduces</w:t>
      </w:r>
      <w:r>
        <w:rPr>
          <w:spacing w:val="-4"/>
        </w:rPr>
        <w:t> </w:t>
      </w:r>
      <w:r>
        <w:rPr/>
        <w:t>the</w:t>
      </w:r>
      <w:r>
        <w:rPr>
          <w:spacing w:val="-4"/>
        </w:rPr>
        <w:t> </w:t>
      </w:r>
      <w:r>
        <w:rPr/>
        <w:t>discriminative</w:t>
      </w:r>
      <w:r>
        <w:rPr>
          <w:spacing w:val="-4"/>
        </w:rPr>
        <w:t> </w:t>
      </w:r>
      <w:r>
        <w:rPr/>
        <w:t>power</w:t>
      </w:r>
      <w:r>
        <w:rPr>
          <w:spacing w:val="-4"/>
        </w:rPr>
        <w:t> </w:t>
      </w:r>
      <w:r>
        <w:rPr/>
        <w:t>of</w:t>
      </w:r>
      <w:r>
        <w:rPr>
          <w:spacing w:val="-4"/>
        </w:rPr>
        <w:t> </w:t>
      </w:r>
      <w:r>
        <w:rPr/>
        <w:t>rate-based</w:t>
      </w:r>
      <w:r>
        <w:rPr>
          <w:spacing w:val="-4"/>
        </w:rPr>
        <w:t> </w:t>
      </w:r>
      <w:r>
        <w:rPr/>
        <w:t>trading-success</w:t>
      </w:r>
      <w:r>
        <w:rPr>
          <w:spacing w:val="-4"/>
        </w:rPr>
        <w:t> </w:t>
      </w:r>
      <w:r>
        <w:rPr/>
        <w:t>proxies</w:t>
      </w:r>
      <w:r>
        <w:rPr>
          <w:spacing w:val="-4"/>
        </w:rPr>
        <w:t> </w:t>
      </w:r>
      <w:r>
        <w:rPr/>
        <w:t>relative</w:t>
      </w:r>
      <w:r>
        <w:rPr>
          <w:spacing w:val="-4"/>
        </w:rPr>
        <w:t> </w:t>
      </w:r>
      <w:r>
        <w:rPr/>
        <w:t>to</w:t>
      </w:r>
      <w:r>
        <w:rPr>
          <w:spacing w:val="-4"/>
        </w:rPr>
        <w:t> </w:t>
      </w:r>
      <w:r>
        <w:rPr/>
        <w:t>count-</w:t>
      </w:r>
      <w:r>
        <w:rPr>
          <w:spacing w:val="-4"/>
        </w:rPr>
        <w:t> </w:t>
      </w:r>
      <w:r>
        <w:rPr/>
        <w:t>or</w:t>
      </w:r>
      <w:r>
        <w:rPr>
          <w:spacing w:val="-4"/>
        </w:rPr>
        <w:t> </w:t>
      </w:r>
      <w:r>
        <w:rPr/>
        <w:t>value-based proxies.</w:t>
      </w:r>
    </w:p>
    <w:p>
      <w:pPr>
        <w:pStyle w:val="BodyText"/>
        <w:spacing w:line="252" w:lineRule="auto"/>
        <w:ind w:left="282" w:right="524"/>
        <w:jc w:val="both"/>
      </w:pPr>
      <w:r>
        <w:rPr>
          <w:i/>
        </w:rPr>
        <w:t>그림 4.3: 일치하는 집단의 GMX 근접 성공률 분포. 요율의 집중은 개수 기반 또는 가치 기반 프록시에 비해 요율 기반 거래 성공 프록시의 차별적 힘을 감소시킵니다.</w:t>
      </w:r>
    </w:p>
    <w:p>
      <w:pPr>
        <w:pStyle w:val="BodyText"/>
        <w:spacing w:before="251"/>
      </w:pPr>
    </w:p>
    <w:p>
      <w:pPr>
        <w:pStyle w:val="BodyText"/>
        <w:spacing w:line="393" w:lineRule="auto"/>
        <w:ind w:left="276" w:right="522" w:hanging="2"/>
        <w:jc w:val="both"/>
      </w:pPr>
      <w:r>
        <w:rPr/>
        <w:t>Taken together, the descriptive figures establish three interpretive constraints for later sections. First, the matched cohort is active enough for stable rank statistics (</w:t>
      </w:r>
      <w:r>
        <w:rPr>
          <w:rFonts w:ascii="Calibri" w:hAnsi="Calibri"/>
          <w:i/>
        </w:rPr>
        <w:t>n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365,488 decoded closes) but heterogeneous in trading intensity and outcomes.</w:t>
      </w:r>
      <w:r>
        <w:rPr>
          <w:spacing w:val="40"/>
        </w:rPr>
        <w:t> </w:t>
      </w:r>
      <w:r>
        <w:rPr/>
        <w:t>Second, endorsement and transfer graphs differ by nearly an order of magnitude in edge count, so efficiency and alignment claims must be evaluated jointly rather than in isolation.</w:t>
      </w:r>
      <w:r>
        <w:rPr>
          <w:spacing w:val="31"/>
        </w:rPr>
        <w:t> </w:t>
      </w:r>
      <w:r>
        <w:rPr/>
        <w:t>Third, trading-outcome proxies are informative validation axes, not interchangeable substitutes for social-graph constructs; Section </w:t>
      </w:r>
      <w:hyperlink w:history="true" w:anchor="_bookmark112">
        <w:r>
          <w:rPr/>
          <w:t>4.7</w:t>
        </w:r>
      </w:hyperlink>
      <w:r>
        <w:rPr/>
        <w:t> returns to this point when GF-PR inflates trading-family alignment through construct overlap.</w:t>
      </w:r>
    </w:p>
    <w:p>
      <w:pPr>
        <w:pStyle w:val="BodyText"/>
        <w:spacing w:line="393" w:lineRule="auto"/>
        <w:ind w:left="276" w:right="522" w:hanging="2"/>
        <w:jc w:val="both"/>
      </w:pPr>
      <w:r>
        <w:rPr>
          <w:i/>
        </w:rPr>
        <w:t>종합적으로 설명하는 그림은 이후 섹션에 대한 세 가지 해석적 제약을 설정합니다. 첫째, 일치하는 코호트는 안정적인 순위 통계(n = 5,521, 365,488 디코딩된 마감)에 대해 충분히 활동적이지만 거래 강도 및 결과는 이질적입니다. 둘째, 보증 및 이전 그래프는 가장자리 수에서 거의 10배 정도 다르기 때문에 효율성과 정렬 주장은 개별적으로 평가하기보다는 공동으로 평가해야 합니다. 셋째, 거래 결과 프록시는 유익한 검증 축이지 소셜 그래프 구성에 대한 상호 교환 가능한 대체물이 아닙니다. GF-PR이 구성 중복을 통해 거래 계열 정렬을 부풀릴 때 섹션 4.7이 이 지점으로 돌아갑니다.</w:t>
      </w:r>
    </w:p>
    <w:p>
      <w:pPr>
        <w:pStyle w:val="BodyText"/>
        <w:spacing w:line="396" w:lineRule="auto" w:before="13"/>
        <w:ind w:left="282" w:right="524" w:hanging="9"/>
        <w:jc w:val="both"/>
      </w:pPr>
      <w:r>
        <w:rPr/>
        <w:t>A fourth constraint follows from the joint reading of Figures </w:t>
      </w:r>
      <w:hyperlink w:history="true" w:anchor="_bookmark87">
        <w:r>
          <w:rPr/>
          <w:t>4.1</w:t>
        </w:r>
      </w:hyperlink>
      <w:r>
        <w:rPr/>
        <w:t>–</w:t>
      </w:r>
      <w:hyperlink w:history="true" w:anchor="_bookmark89">
        <w:r>
          <w:rPr/>
          <w:t>4.3</w:t>
        </w:r>
      </w:hyperlink>
      <w:r>
        <w:rPr/>
        <w:t>.</w:t>
      </w:r>
      <w:r>
        <w:rPr>
          <w:spacing w:val="40"/>
        </w:rPr>
        <w:t> </w:t>
      </w:r>
      <w:r>
        <w:rPr/>
        <w:t>Count-based and value-based</w:t>
      </w:r>
      <w:r>
        <w:rPr>
          <w:spacing w:val="-9"/>
        </w:rPr>
        <w:t> </w:t>
      </w:r>
      <w:r>
        <w:rPr/>
        <w:t>proxies</w:t>
      </w:r>
      <w:r>
        <w:rPr>
          <w:spacing w:val="-9"/>
        </w:rPr>
        <w:t> </w:t>
      </w:r>
      <w:r>
        <w:rPr/>
        <w:t>inherit</w:t>
      </w:r>
      <w:r>
        <w:rPr>
          <w:spacing w:val="-9"/>
        </w:rPr>
        <w:t> </w:t>
      </w:r>
      <w:r>
        <w:rPr/>
        <w:t>the</w:t>
      </w:r>
      <w:r>
        <w:rPr>
          <w:spacing w:val="-9"/>
        </w:rPr>
        <w:t> </w:t>
      </w:r>
      <w:r>
        <w:rPr/>
        <w:t>heavy-tailed</w:t>
      </w:r>
      <w:r>
        <w:rPr>
          <w:spacing w:val="-9"/>
        </w:rPr>
        <w:t> </w:t>
      </w:r>
      <w:r>
        <w:rPr/>
        <w:t>activity</w:t>
      </w:r>
      <w:r>
        <w:rPr>
          <w:spacing w:val="-9"/>
        </w:rPr>
        <w:t> </w:t>
      </w:r>
      <w:r>
        <w:rPr/>
        <w:t>structure</w:t>
      </w:r>
      <w:r>
        <w:rPr>
          <w:spacing w:val="-9"/>
        </w:rPr>
        <w:t> </w:t>
      </w:r>
      <w:r>
        <w:rPr/>
        <w:t>of</w:t>
      </w:r>
      <w:r>
        <w:rPr>
          <w:spacing w:val="-9"/>
        </w:rPr>
        <w:t> </w:t>
      </w:r>
      <w:r>
        <w:rPr/>
        <w:t>perpetual</w:t>
      </w:r>
      <w:r>
        <w:rPr>
          <w:spacing w:val="-9"/>
        </w:rPr>
        <w:t> </w:t>
      </w:r>
      <w:r>
        <w:rPr/>
        <w:t>trading,</w:t>
      </w:r>
      <w:r>
        <w:rPr>
          <w:spacing w:val="-8"/>
        </w:rPr>
        <w:t> </w:t>
      </w:r>
      <w:r>
        <w:rPr/>
        <w:t>so</w:t>
      </w:r>
      <w:r>
        <w:rPr>
          <w:spacing w:val="-9"/>
        </w:rPr>
        <w:t> </w:t>
      </w:r>
      <w:r>
        <w:rPr/>
        <w:t>social</w:t>
      </w:r>
      <w:r>
        <w:rPr>
          <w:spacing w:val="-9"/>
        </w:rPr>
        <w:t> </w:t>
      </w:r>
      <w:r>
        <w:rPr/>
        <w:t>methods</w:t>
      </w:r>
      <w:r>
        <w:rPr>
          <w:spacing w:val="-9"/>
        </w:rPr>
        <w:t> </w:t>
      </w:r>
      <w:r>
        <w:rPr/>
        <w:t>that</w:t>
      </w:r>
    </w:p>
    <w:p>
      <w:pPr>
        <w:pStyle w:val="BodyText"/>
        <w:spacing w:line="396" w:lineRule="auto" w:before="13"/>
        <w:ind w:left="282" w:right="524" w:hanging="9"/>
        <w:jc w:val="both"/>
      </w:pPr>
      <w:r>
        <w:rPr>
          <w:i/>
        </w:rPr>
        <w:t>네 번째 제약은 그림 4.1~4.3을 함께 읽어보면 나옵니다. 카운트 기반 및 가치 기반 프록시는 무기한 거래의 무거운 꼬리 활동 구조를 상속하므로 소셜 방법은</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57"/>
        <w:jc w:val="both"/>
      </w:pPr>
      <w:r>
        <w:rPr/>
        <w:t>correlate with activity—especially transfer activity—can appear to predict trading success partly because</w:t>
      </w:r>
      <w:r>
        <w:rPr>
          <w:spacing w:val="-4"/>
        </w:rPr>
        <w:t> </w:t>
      </w:r>
      <w:r>
        <w:rPr/>
        <w:t>active</w:t>
      </w:r>
      <w:r>
        <w:rPr>
          <w:spacing w:val="-4"/>
        </w:rPr>
        <w:t> </w:t>
      </w:r>
      <w:r>
        <w:rPr/>
        <w:t>wallets</w:t>
      </w:r>
      <w:r>
        <w:rPr>
          <w:spacing w:val="-4"/>
        </w:rPr>
        <w:t> </w:t>
      </w:r>
      <w:r>
        <w:rPr/>
        <w:t>trade</w:t>
      </w:r>
      <w:r>
        <w:rPr>
          <w:spacing w:val="-4"/>
        </w:rPr>
        <w:t> </w:t>
      </w:r>
      <w:r>
        <w:rPr/>
        <w:t>more</w:t>
      </w:r>
      <w:r>
        <w:rPr>
          <w:spacing w:val="-4"/>
        </w:rPr>
        <w:t> </w:t>
      </w:r>
      <w:r>
        <w:rPr/>
        <w:t>often</w:t>
      </w:r>
      <w:r>
        <w:rPr>
          <w:spacing w:val="-4"/>
        </w:rPr>
        <w:t> </w:t>
      </w:r>
      <w:r>
        <w:rPr/>
        <w:t>and</w:t>
      </w:r>
      <w:r>
        <w:rPr>
          <w:spacing w:val="-4"/>
        </w:rPr>
        <w:t> </w:t>
      </w:r>
      <w:r>
        <w:rPr/>
        <w:t>accumulate</w:t>
      </w:r>
      <w:r>
        <w:rPr>
          <w:spacing w:val="-4"/>
        </w:rPr>
        <w:t> </w:t>
      </w:r>
      <w:r>
        <w:rPr/>
        <w:t>more</w:t>
      </w:r>
      <w:r>
        <w:rPr>
          <w:spacing w:val="-4"/>
        </w:rPr>
        <w:t> </w:t>
      </w:r>
      <w:r>
        <w:rPr/>
        <w:t>closes.</w:t>
      </w:r>
      <w:r>
        <w:rPr>
          <w:spacing w:val="18"/>
        </w:rPr>
        <w:t> </w:t>
      </w:r>
      <w:r>
        <w:rPr/>
        <w:t>Rate-based</w:t>
      </w:r>
      <w:r>
        <w:rPr>
          <w:spacing w:val="-4"/>
        </w:rPr>
        <w:t> </w:t>
      </w:r>
      <w:r>
        <w:rPr/>
        <w:t>proxies</w:t>
      </w:r>
      <w:r>
        <w:rPr>
          <w:spacing w:val="-4"/>
        </w:rPr>
        <w:t> </w:t>
      </w:r>
      <w:r>
        <w:rPr/>
        <w:t>partially correct for this, but they also compress signal.</w:t>
      </w:r>
      <w:r>
        <w:rPr>
          <w:spacing w:val="40"/>
        </w:rPr>
        <w:t> </w:t>
      </w:r>
      <w:r>
        <w:rPr/>
        <w:t>Throughout Section </w:t>
      </w:r>
      <w:hyperlink w:history="true" w:anchor="_bookmark103">
        <w:r>
          <w:rPr/>
          <w:t>4.5</w:t>
        </w:r>
      </w:hyperlink>
      <w:r>
        <w:rPr/>
        <w:t>, family means average across</w:t>
      </w:r>
      <w:r>
        <w:rPr>
          <w:spacing w:val="-13"/>
        </w:rPr>
        <w:t> </w:t>
      </w:r>
      <w:r>
        <w:rPr/>
        <w:t>count-,</w:t>
      </w:r>
      <w:r>
        <w:rPr>
          <w:spacing w:val="-11"/>
        </w:rPr>
        <w:t> </w:t>
      </w:r>
      <w:r>
        <w:rPr/>
        <w:t>value-,</w:t>
      </w:r>
      <w:r>
        <w:rPr>
          <w:spacing w:val="-11"/>
        </w:rPr>
        <w:t> </w:t>
      </w:r>
      <w:r>
        <w:rPr/>
        <w:t>and</w:t>
      </w:r>
      <w:r>
        <w:rPr>
          <w:spacing w:val="-13"/>
        </w:rPr>
        <w:t> </w:t>
      </w:r>
      <w:r>
        <w:rPr/>
        <w:t>rate-style</w:t>
      </w:r>
      <w:r>
        <w:rPr>
          <w:spacing w:val="-13"/>
        </w:rPr>
        <w:t> </w:t>
      </w:r>
      <w:r>
        <w:rPr/>
        <w:t>proxies;</w:t>
      </w:r>
      <w:r>
        <w:rPr>
          <w:spacing w:val="-10"/>
        </w:rPr>
        <w:t> </w:t>
      </w:r>
      <w:r>
        <w:rPr/>
        <w:t>readers</w:t>
      </w:r>
      <w:r>
        <w:rPr>
          <w:spacing w:val="-13"/>
        </w:rPr>
        <w:t> </w:t>
      </w:r>
      <w:r>
        <w:rPr/>
        <w:t>should</w:t>
      </w:r>
      <w:r>
        <w:rPr>
          <w:spacing w:val="-13"/>
        </w:rPr>
        <w:t> </w:t>
      </w:r>
      <w:r>
        <w:rPr/>
        <w:t>therefore</w:t>
      </w:r>
      <w:r>
        <w:rPr>
          <w:spacing w:val="-13"/>
        </w:rPr>
        <w:t> </w:t>
      </w:r>
      <w:r>
        <w:rPr/>
        <w:t>inspect</w:t>
      </w:r>
      <w:r>
        <w:rPr>
          <w:spacing w:val="-13"/>
        </w:rPr>
        <w:t> </w:t>
      </w:r>
      <w:r>
        <w:rPr/>
        <w:t>per-proxy</w:t>
      </w:r>
      <w:r>
        <w:rPr>
          <w:spacing w:val="-13"/>
        </w:rPr>
        <w:t> </w:t>
      </w:r>
      <w:r>
        <w:rPr/>
        <w:t>rows</w:t>
      </w:r>
      <w:r>
        <w:rPr>
          <w:spacing w:val="-13"/>
        </w:rPr>
        <w:t> </w:t>
      </w:r>
      <w:r>
        <w:rPr/>
        <w:t>when </w:t>
      </w:r>
      <w:bookmarkStart w:name="EndorseRank vs. AWP benchmark (Claim C1)" w:id="163"/>
      <w:bookmarkEnd w:id="163"/>
      <w:r>
        <w:rPr>
          <w:w w:val="99"/>
        </w:rPr>
      </w:r>
      <w:bookmarkStart w:name="_bookmark90" w:id="164"/>
      <w:bookmarkEnd w:id="164"/>
      <w:r>
        <w:rPr/>
        <w:t>adjudicating</w:t>
      </w:r>
      <w:r>
        <w:rPr/>
        <w:t> whether a method aligns with skill-like outcomes or with activity volume.</w:t>
      </w:r>
    </w:p>
    <w:p>
      <w:pPr>
        <w:pStyle w:val="BodyText"/>
        <w:spacing w:line="396" w:lineRule="auto" w:before="72"/>
        <w:ind w:left="282" w:right="557"/>
        <w:jc w:val="both"/>
      </w:pPr>
      <w:r>
        <w:rPr>
          <w:i/>
        </w:rPr>
        <w:t>활동, 특히 이체 활동과의 상관 관계는 활성 지갑이 더 자주 거래되고 더 많은 마감을 축적하기 때문에 부분적으로 거래 성공을 예측하는 것처럼 보일 수 있습니다. 속도 기반 프록시는 이를 부분적으로 수정하지만 신호를 압축하기도 합니다. 섹션 4.5 전체에서 계열은 개수, 값, 비율 스타일 프록시의 평균을 의미합니다. 따라서 독자는 방법이 기술과 유사한 결과 또는 활동량과 일치하는지 여부를 판단할 때 프록시별 행을 검사해야 합니다.</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EndorseRank</w:t>
      </w:r>
      <w:r>
        <w:rPr>
          <w:spacing w:val="10"/>
        </w:rPr>
        <w:t> </w:t>
      </w:r>
      <w:r>
        <w:rPr/>
        <w:t>vs.</w:t>
      </w:r>
      <w:r>
        <w:rPr>
          <w:spacing w:val="10"/>
        </w:rPr>
        <w:t> </w:t>
      </w:r>
      <w:r>
        <w:rPr/>
        <w:t>AWP</w:t>
      </w:r>
      <w:r>
        <w:rPr>
          <w:spacing w:val="10"/>
        </w:rPr>
        <w:t> </w:t>
      </w:r>
      <w:r>
        <w:rPr/>
        <w:t>benchmark</w:t>
      </w:r>
      <w:r>
        <w:rPr>
          <w:spacing w:val="11"/>
        </w:rPr>
        <w:t> </w:t>
      </w:r>
      <w:r>
        <w:rPr/>
        <w:t>(Claim</w:t>
      </w:r>
      <w:r>
        <w:rPr>
          <w:spacing w:val="10"/>
        </w:rPr>
        <w:t> </w:t>
      </w:r>
      <w:r>
        <w:rPr>
          <w:spacing w:val="-5"/>
        </w:rPr>
        <w:t>C1)</w:t>
      </w:r>
    </w:p>
    <w:p>
      <w:pPr>
        <w:pStyle w:val="Heading2"/>
        <w:numPr>
          <w:ilvl w:val="1"/>
          <w:numId w:val="8"/>
        </w:numPr>
        <w:tabs>
          <w:tab w:pos="783" w:val="left" w:leader="none"/>
        </w:tabs>
        <w:spacing w:line="240" w:lineRule="auto" w:before="0" w:after="0"/>
        <w:ind w:left="783" w:right="0" w:hanging="501"/>
        <w:jc w:val="left"/>
      </w:pPr>
      <w:r>
        <w:rPr>
          <w:i/>
        </w:rPr>
        <w:t>EndorseRank 대 AWP 벤치마크(클레임 C1)</w:t>
      </w:r>
    </w:p>
    <w:p>
      <w:pPr>
        <w:pStyle w:val="BodyText"/>
        <w:spacing w:before="24"/>
        <w:rPr>
          <w:b/>
          <w:sz w:val="28"/>
        </w:rPr>
      </w:pPr>
    </w:p>
    <w:p>
      <w:pPr>
        <w:pStyle w:val="BodyText"/>
        <w:spacing w:line="388" w:lineRule="auto"/>
        <w:ind w:left="282" w:right="524"/>
        <w:jc w:val="both"/>
      </w:pPr>
      <w:r>
        <w:rPr/>
        <w:t>Claim</w:t>
      </w:r>
      <w:r>
        <w:rPr>
          <w:spacing w:val="-6"/>
        </w:rPr>
        <w:t> </w:t>
      </w:r>
      <w:r>
        <w:rPr/>
        <w:t>C1</w:t>
      </w:r>
      <w:r>
        <w:rPr>
          <w:spacing w:val="-5"/>
        </w:rPr>
        <w:t> </w:t>
      </w:r>
      <w:r>
        <w:rPr/>
        <w:t>asserts</w:t>
      </w:r>
      <w:r>
        <w:rPr>
          <w:spacing w:val="-5"/>
        </w:rPr>
        <w:t> </w:t>
      </w:r>
      <w:r>
        <w:rPr/>
        <w:t>that</w:t>
      </w:r>
      <w:r>
        <w:rPr>
          <w:spacing w:val="-5"/>
        </w:rPr>
        <w:t> </w:t>
      </w:r>
      <w:r>
        <w:rPr/>
        <w:t>EndorseRank</w:t>
      </w:r>
      <w:r>
        <w:rPr>
          <w:spacing w:val="-5"/>
        </w:rPr>
        <w:t> </w:t>
      </w:r>
      <w:r>
        <w:rPr/>
        <w:t>is</w:t>
      </w:r>
      <w:r>
        <w:rPr>
          <w:spacing w:val="-5"/>
        </w:rPr>
        <w:t> </w:t>
      </w:r>
      <w:r>
        <w:rPr/>
        <w:t>computationally</w:t>
      </w:r>
      <w:r>
        <w:rPr>
          <w:spacing w:val="-5"/>
        </w:rPr>
        <w:t> </w:t>
      </w:r>
      <w:r>
        <w:rPr/>
        <w:t>cheaper</w:t>
      </w:r>
      <w:r>
        <w:rPr>
          <w:spacing w:val="-5"/>
        </w:rPr>
        <w:t> </w:t>
      </w:r>
      <w:r>
        <w:rPr/>
        <w:t>than</w:t>
      </w:r>
      <w:r>
        <w:rPr>
          <w:spacing w:val="-5"/>
        </w:rPr>
        <w:t> </w:t>
      </w:r>
      <w:r>
        <w:rPr/>
        <w:t>AWP</w:t>
      </w:r>
      <w:r>
        <w:rPr>
          <w:spacing w:val="-6"/>
        </w:rPr>
        <w:t> </w:t>
      </w:r>
      <w:r>
        <w:rPr/>
        <w:t>on</w:t>
      </w:r>
      <w:r>
        <w:rPr>
          <w:spacing w:val="-5"/>
        </w:rPr>
        <w:t> </w:t>
      </w:r>
      <w:r>
        <w:rPr/>
        <w:t>identical</w:t>
      </w:r>
      <w:r>
        <w:rPr>
          <w:spacing w:val="-5"/>
        </w:rPr>
        <w:t> </w:t>
      </w:r>
      <w:r>
        <w:rPr/>
        <w:t>inputs.</w:t>
      </w:r>
      <w:r>
        <w:rPr>
          <w:spacing w:val="18"/>
        </w:rPr>
        <w:t> </w:t>
      </w:r>
      <w:r>
        <w:rPr/>
        <w:t>Ta-ble </w:t>
      </w:r>
      <w:hyperlink w:history="true" w:anchor="_bookmark91">
        <w:r>
          <w:rPr/>
          <w:t>4.2</w:t>
        </w:r>
      </w:hyperlink>
      <w:r>
        <w:rPr/>
        <w:t> reports PageRank solve time, peak memory, iteration count, and edge count on the full matched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Timing excludes one-time graph construction and averages three runs at convergence tolerance </w:t>
      </w:r>
      <w:r>
        <w:rPr>
          <w:rFonts w:ascii="Calibri" w:hAnsi="Calibri"/>
        </w:rPr>
        <w:t>10</w:t>
      </w:r>
      <w:r>
        <w:rPr>
          <w:rFonts w:ascii="Cambria" w:hAnsi="Cambria"/>
          <w:vertAlign w:val="superscript"/>
        </w:rPr>
        <w:t>−</w:t>
      </w:r>
      <w:r>
        <w:rPr>
          <w:rFonts w:ascii="Calibri" w:hAnsi="Calibri"/>
          <w:vertAlign w:val="superscript"/>
        </w:rPr>
        <w:t>8</w:t>
      </w:r>
      <w:r>
        <w:rPr>
          <w:vertAlign w:val="baseline"/>
        </w:rPr>
        <w:t>.</w:t>
      </w:r>
      <w:hyperlink w:history="true" w:anchor="_bookmark92">
        <w:r>
          <w:rPr>
            <w:vertAlign w:val="superscript"/>
          </w:rPr>
          <w:t>1</w:t>
        </w:r>
      </w:hyperlink>
    </w:p>
    <w:p>
      <w:pPr>
        <w:pStyle w:val="BodyText"/>
        <w:spacing w:line="388" w:lineRule="auto"/>
        <w:ind w:left="282" w:right="524"/>
        <w:jc w:val="both"/>
      </w:pPr>
      <w:r>
        <w:rPr>
          <w:i/>
        </w:rPr>
        <w:t>C1 주장은 동일한 입력에서 EndorseRank가 AWP보다 계산적으로 더 저렴하다고 주장합니다. 표 4.2는 전체 일치 집단(n = 5,521)에 대한 PageRank 해결 시간, 최대 메모리, 반복 횟수 및 에지 수를 보고합니다. 타이밍에서는 일회성 그래프 구성을 제외하고 수렴 허용 오차 10−8.1에서 3번의 실행을 평균화합니다.</w:t>
      </w:r>
    </w:p>
    <w:p>
      <w:pPr>
        <w:pStyle w:val="BodyText"/>
        <w:spacing w:before="54"/>
        <w:ind w:left="1326"/>
        <w:jc w:val="both"/>
      </w:pPr>
      <w:bookmarkStart w:name="_bookmark91" w:id="165"/>
      <w:bookmarkEnd w:id="165"/>
      <w:r>
        <w:rPr/>
      </w:r>
      <w:r>
        <w:rPr/>
        <w:t>Table</w:t>
      </w:r>
      <w:r>
        <w:rPr>
          <w:spacing w:val="-1"/>
        </w:rPr>
        <w:t> </w:t>
      </w:r>
      <w:r>
        <w:rPr/>
        <w:t>4.2:</w:t>
      </w:r>
      <w:r>
        <w:rPr>
          <w:spacing w:val="19"/>
        </w:rPr>
        <w:t> </w:t>
      </w:r>
      <w:r>
        <w:rPr/>
        <w:t>Computational</w:t>
      </w:r>
      <w:r>
        <w:rPr>
          <w:spacing w:val="-1"/>
        </w:rPr>
        <w:t> </w:t>
      </w:r>
      <w:r>
        <w:rPr/>
        <w:t>benchmark</w:t>
      </w:r>
      <w:r>
        <w:rPr>
          <w:spacing w:val="-1"/>
        </w:rPr>
        <w:t> </w:t>
      </w:r>
      <w:r>
        <w:rPr/>
        <w:t>on</w:t>
      </w:r>
      <w:r>
        <w:rPr>
          <w:spacing w:val="-1"/>
        </w:rPr>
        <w:t> </w:t>
      </w:r>
      <w:r>
        <w:rPr/>
        <w:t>matched wallet</w:t>
      </w:r>
      <w:r>
        <w:rPr>
          <w:spacing w:val="-1"/>
        </w:rPr>
        <w:t> </w:t>
      </w:r>
      <w:r>
        <w:rPr/>
        <w:t>cohort</w:t>
      </w:r>
      <w:r>
        <w:rPr>
          <w:spacing w:val="-1"/>
        </w:rPr>
        <w:t> </w:t>
      </w:r>
      <w:r>
        <w:rPr/>
        <w:t>(</w:t>
      </w:r>
      <w:r>
        <w:rPr>
          <w:rFonts w:ascii="Calibri"/>
          <w:i/>
        </w:rPr>
        <w:t>n</w:t>
      </w:r>
      <w:r>
        <w:rPr>
          <w:rFonts w:ascii="Calibri"/>
          <w:i/>
          <w:spacing w:val="12"/>
        </w:rPr>
        <w:t> </w:t>
      </w:r>
      <w:r>
        <w:rPr>
          <w:rFonts w:ascii="Calibri"/>
        </w:rPr>
        <w:t>=</w:t>
      </w:r>
      <w:r>
        <w:rPr>
          <w:rFonts w:ascii="Calibri"/>
          <w:spacing w:val="11"/>
        </w:rPr>
        <w:t> </w:t>
      </w:r>
      <w:r>
        <w:rPr>
          <w:rFonts w:ascii="Calibri"/>
          <w:spacing w:val="-2"/>
        </w:rPr>
        <w:t>5521</w:t>
      </w:r>
      <w:r>
        <w:rPr>
          <w:spacing w:val="-2"/>
        </w:rPr>
        <w:t>).</w:t>
      </w:r>
    </w:p>
    <w:p>
      <w:pPr>
        <w:pStyle w:val="BodyText"/>
        <w:spacing w:before="54"/>
        <w:ind w:left="1326"/>
        <w:jc w:val="both"/>
      </w:pPr>
      <w:r>
        <w:rPr>
          <w:i/>
        </w:rPr>
        <w:t>표 4.2: 일치하는 지갑 집단(n = 5521)에 대한 계산 벤치마크.</w:t>
      </w:r>
    </w:p>
    <w:p>
      <w:pPr>
        <w:pStyle w:val="BodyText"/>
        <w:spacing w:before="1"/>
        <w:rPr>
          <w:sz w:val="20"/>
        </w:rPr>
      </w:pPr>
    </w:p>
    <w:tbl>
      <w:tblPr>
        <w:tblW w:w="0" w:type="auto"/>
        <w:jc w:val="left"/>
        <w:tblInd w:w="2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1176"/>
        <w:gridCol w:w="1648"/>
        <w:gridCol w:w="630"/>
        <w:gridCol w:w="794"/>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p>
            <w:pPr>
              <w:pStyle w:val="TableParagraph"/>
              <w:spacing w:before="53"/>
              <w:ind w:left="69"/>
              <w:jc w:val="left"/>
              <w:rPr>
                <w:sz w:val="22"/>
              </w:rPr>
            </w:pPr>
            <w:r>
              <w:rPr>
                <w:i/>
              </w:rPr>
              <w:t>방법</w:t>
            </w:r>
          </w:p>
        </w:tc>
        <w:tc>
          <w:tcPr>
            <w:tcW w:w="1176" w:type="dxa"/>
            <w:tcBorders>
              <w:top w:val="single" w:sz="8" w:space="0" w:color="000000"/>
              <w:bottom w:val="single" w:sz="6" w:space="0" w:color="000000"/>
            </w:tcBorders>
          </w:tcPr>
          <w:p>
            <w:pPr>
              <w:pStyle w:val="TableParagraph"/>
              <w:spacing w:before="53"/>
              <w:ind w:right="67"/>
              <w:jc w:val="right"/>
              <w:rPr>
                <w:sz w:val="22"/>
              </w:rPr>
            </w:pPr>
            <w:r>
              <w:rPr>
                <w:sz w:val="22"/>
              </w:rPr>
              <w:t>Runtime</w:t>
            </w:r>
            <w:r>
              <w:rPr>
                <w:spacing w:val="-9"/>
                <w:sz w:val="22"/>
              </w:rPr>
              <w:t> </w:t>
            </w:r>
            <w:r>
              <w:rPr>
                <w:spacing w:val="-5"/>
                <w:sz w:val="22"/>
              </w:rPr>
              <w:t>(s)</w:t>
            </w:r>
          </w:p>
          <w:p>
            <w:pPr>
              <w:pStyle w:val="TableParagraph"/>
              <w:spacing w:before="53"/>
              <w:ind w:right="67"/>
              <w:jc w:val="right"/>
              <w:rPr>
                <w:sz w:val="22"/>
              </w:rPr>
            </w:pPr>
            <w:r>
              <w:rPr>
                <w:i/>
              </w:rPr>
              <w:t>런타임(들)</w:t>
            </w:r>
          </w:p>
        </w:tc>
        <w:tc>
          <w:tcPr>
            <w:tcW w:w="1648" w:type="dxa"/>
            <w:tcBorders>
              <w:top w:val="single" w:sz="8" w:space="0" w:color="000000"/>
              <w:bottom w:val="single" w:sz="6" w:space="0" w:color="000000"/>
            </w:tcBorders>
          </w:tcPr>
          <w:p>
            <w:pPr>
              <w:pStyle w:val="TableParagraph"/>
              <w:spacing w:before="53"/>
              <w:ind w:right="67"/>
              <w:jc w:val="right"/>
              <w:rPr>
                <w:sz w:val="22"/>
              </w:rPr>
            </w:pPr>
            <w:r>
              <w:rPr>
                <w:sz w:val="22"/>
              </w:rPr>
              <w:t>Peak</w:t>
            </w:r>
            <w:r>
              <w:rPr>
                <w:spacing w:val="-6"/>
                <w:sz w:val="22"/>
              </w:rPr>
              <w:t> </w:t>
            </w:r>
            <w:r>
              <w:rPr>
                <w:sz w:val="22"/>
              </w:rPr>
              <w:t>mem.</w:t>
            </w:r>
            <w:r>
              <w:rPr>
                <w:spacing w:val="-6"/>
                <w:sz w:val="22"/>
              </w:rPr>
              <w:t> </w:t>
            </w:r>
            <w:r>
              <w:rPr>
                <w:spacing w:val="-4"/>
                <w:sz w:val="22"/>
              </w:rPr>
              <w:t>(MB)</w:t>
            </w:r>
          </w:p>
          <w:p>
            <w:pPr>
              <w:pStyle w:val="TableParagraph"/>
              <w:spacing w:before="53"/>
              <w:ind w:right="67"/>
              <w:jc w:val="right"/>
              <w:rPr>
                <w:sz w:val="22"/>
              </w:rPr>
            </w:pPr>
            <w:r>
              <w:rPr>
                <w:i/>
              </w:rPr>
              <w:t>피크멤. (MB)</w:t>
            </w:r>
          </w:p>
        </w:tc>
        <w:tc>
          <w:tcPr>
            <w:tcW w:w="630" w:type="dxa"/>
            <w:tcBorders>
              <w:top w:val="single" w:sz="8" w:space="0" w:color="000000"/>
              <w:bottom w:val="single" w:sz="6" w:space="0" w:color="000000"/>
            </w:tcBorders>
          </w:tcPr>
          <w:p>
            <w:pPr>
              <w:pStyle w:val="TableParagraph"/>
              <w:spacing w:before="53"/>
              <w:ind w:left="103"/>
              <w:rPr>
                <w:sz w:val="22"/>
              </w:rPr>
            </w:pPr>
            <w:r>
              <w:rPr>
                <w:spacing w:val="-2"/>
                <w:sz w:val="22"/>
              </w:rPr>
              <w:t>Iters</w:t>
            </w:r>
          </w:p>
          <w:p>
            <w:pPr>
              <w:pStyle w:val="TableParagraph"/>
              <w:spacing w:before="53"/>
              <w:ind w:left="103"/>
              <w:rPr>
                <w:sz w:val="22"/>
              </w:rPr>
            </w:pPr>
            <w:r>
              <w:rPr>
                <w:i/>
              </w:rPr>
              <w:t>반복</w:t>
            </w:r>
          </w:p>
        </w:tc>
        <w:tc>
          <w:tcPr>
            <w:tcW w:w="794" w:type="dxa"/>
            <w:tcBorders>
              <w:top w:val="single" w:sz="8" w:space="0" w:color="000000"/>
              <w:bottom w:val="single" w:sz="6" w:space="0" w:color="000000"/>
            </w:tcBorders>
          </w:tcPr>
          <w:p>
            <w:pPr>
              <w:pStyle w:val="TableParagraph"/>
              <w:spacing w:before="53"/>
              <w:ind w:left="122"/>
              <w:rPr>
                <w:sz w:val="22"/>
              </w:rPr>
            </w:pPr>
            <w:r>
              <w:rPr>
                <w:spacing w:val="-2"/>
                <w:sz w:val="22"/>
              </w:rPr>
              <w:t>Edges</w:t>
            </w:r>
          </w:p>
          <w:p>
            <w:pPr>
              <w:pStyle w:val="TableParagraph"/>
              <w:spacing w:before="53"/>
              <w:ind w:left="122"/>
              <w:rPr>
                <w:sz w:val="22"/>
              </w:rPr>
            </w:pPr>
            <w:r>
              <w:rPr>
                <w:i/>
              </w:rPr>
              <w:t>가장자리</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2"/>
                <w:sz w:val="22"/>
              </w:rPr>
              <w:t>EndorseRank</w:t>
            </w:r>
          </w:p>
        </w:tc>
        <w:tc>
          <w:tcPr>
            <w:tcW w:w="1176" w:type="dxa"/>
            <w:tcBorders>
              <w:top w:val="single" w:sz="6" w:space="0" w:color="000000"/>
            </w:tcBorders>
          </w:tcPr>
          <w:p>
            <w:pPr>
              <w:pStyle w:val="TableParagraph"/>
              <w:spacing w:line="247" w:lineRule="exact" w:before="52"/>
              <w:ind w:right="68"/>
              <w:jc w:val="right"/>
              <w:rPr>
                <w:sz w:val="22"/>
              </w:rPr>
            </w:pPr>
            <w:r>
              <w:rPr>
                <w:spacing w:val="-2"/>
                <w:sz w:val="22"/>
              </w:rPr>
              <w:t>2.105</w:t>
            </w:r>
          </w:p>
        </w:tc>
        <w:tc>
          <w:tcPr>
            <w:tcW w:w="1648" w:type="dxa"/>
            <w:tcBorders>
              <w:top w:val="single" w:sz="6" w:space="0" w:color="000000"/>
            </w:tcBorders>
          </w:tcPr>
          <w:p>
            <w:pPr>
              <w:pStyle w:val="TableParagraph"/>
              <w:spacing w:line="247" w:lineRule="exact" w:before="52"/>
              <w:ind w:right="67"/>
              <w:jc w:val="right"/>
              <w:rPr>
                <w:sz w:val="22"/>
              </w:rPr>
            </w:pPr>
            <w:r>
              <w:rPr>
                <w:spacing w:val="-5"/>
                <w:sz w:val="22"/>
              </w:rPr>
              <w:t>4.6</w:t>
            </w:r>
          </w:p>
        </w:tc>
        <w:tc>
          <w:tcPr>
            <w:tcW w:w="630" w:type="dxa"/>
            <w:tcBorders>
              <w:top w:val="single" w:sz="6" w:space="0" w:color="000000"/>
            </w:tcBorders>
          </w:tcPr>
          <w:p>
            <w:pPr>
              <w:pStyle w:val="TableParagraph"/>
              <w:spacing w:line="247" w:lineRule="exact" w:before="52"/>
              <w:ind w:left="109"/>
              <w:rPr>
                <w:sz w:val="22"/>
              </w:rPr>
            </w:pPr>
            <w:r>
              <w:rPr>
                <w:spacing w:val="-4"/>
                <w:sz w:val="22"/>
              </w:rPr>
              <w:t>37.0</w:t>
            </w:r>
          </w:p>
        </w:tc>
        <w:tc>
          <w:tcPr>
            <w:tcW w:w="794" w:type="dxa"/>
            <w:tcBorders>
              <w:top w:val="single" w:sz="6" w:space="0" w:color="000000"/>
            </w:tcBorders>
          </w:tcPr>
          <w:p>
            <w:pPr>
              <w:pStyle w:val="TableParagraph"/>
              <w:spacing w:line="247" w:lineRule="exact" w:before="52"/>
              <w:ind w:left="122" w:right="13"/>
              <w:rPr>
                <w:sz w:val="22"/>
              </w:rPr>
            </w:pPr>
            <w:r>
              <w:rPr>
                <w:spacing w:val="-2"/>
                <w:sz w:val="22"/>
              </w:rPr>
              <w:t>14727</w:t>
            </w:r>
          </w:p>
        </w:tc>
      </w:tr>
      <w:tr>
        <w:trPr>
          <w:trHeight w:val="270" w:hRule="atLeast"/>
        </w:trPr>
        <w:tc>
          <w:tcPr>
            <w:tcW w:w="1315" w:type="dxa"/>
          </w:tcPr>
          <w:p>
            <w:pPr>
              <w:pStyle w:val="TableParagraph"/>
              <w:spacing w:line="247" w:lineRule="exact"/>
              <w:ind w:left="69"/>
              <w:jc w:val="left"/>
              <w:rPr>
                <w:sz w:val="22"/>
              </w:rPr>
            </w:pPr>
            <w:r>
              <w:rPr>
                <w:spacing w:val="-5"/>
                <w:sz w:val="22"/>
              </w:rPr>
              <w:t>AWP</w:t>
            </w:r>
          </w:p>
        </w:tc>
        <w:tc>
          <w:tcPr>
            <w:tcW w:w="1176" w:type="dxa"/>
          </w:tcPr>
          <w:p>
            <w:pPr>
              <w:pStyle w:val="TableParagraph"/>
              <w:spacing w:line="247" w:lineRule="exact"/>
              <w:ind w:right="68"/>
              <w:jc w:val="right"/>
              <w:rPr>
                <w:sz w:val="22"/>
              </w:rPr>
            </w:pPr>
            <w:r>
              <w:rPr>
                <w:spacing w:val="-2"/>
                <w:sz w:val="22"/>
              </w:rPr>
              <w:t>18.711</w:t>
            </w:r>
          </w:p>
        </w:tc>
        <w:tc>
          <w:tcPr>
            <w:tcW w:w="1648" w:type="dxa"/>
          </w:tcPr>
          <w:p>
            <w:pPr>
              <w:pStyle w:val="TableParagraph"/>
              <w:spacing w:line="247" w:lineRule="exact"/>
              <w:ind w:right="67"/>
              <w:jc w:val="right"/>
              <w:rPr>
                <w:sz w:val="22"/>
              </w:rPr>
            </w:pPr>
            <w:r>
              <w:rPr>
                <w:spacing w:val="-4"/>
                <w:sz w:val="22"/>
              </w:rPr>
              <w:t>38.2</w:t>
            </w:r>
          </w:p>
        </w:tc>
        <w:tc>
          <w:tcPr>
            <w:tcW w:w="630" w:type="dxa"/>
          </w:tcPr>
          <w:p>
            <w:pPr>
              <w:pStyle w:val="TableParagraph"/>
              <w:spacing w:line="247" w:lineRule="exact"/>
              <w:rPr>
                <w:sz w:val="22"/>
              </w:rPr>
            </w:pPr>
            <w:r>
              <w:rPr>
                <w:spacing w:val="-2"/>
                <w:sz w:val="22"/>
              </w:rPr>
              <w:t>100.0</w:t>
            </w:r>
          </w:p>
        </w:tc>
        <w:tc>
          <w:tcPr>
            <w:tcW w:w="794" w:type="dxa"/>
          </w:tcPr>
          <w:p>
            <w:pPr>
              <w:pStyle w:val="TableParagraph"/>
              <w:spacing w:line="247" w:lineRule="exact"/>
              <w:rPr>
                <w:sz w:val="22"/>
              </w:rPr>
            </w:pPr>
            <w:r>
              <w:rPr>
                <w:spacing w:val="-2"/>
                <w:sz w:val="22"/>
              </w:rPr>
              <w:t>137087</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GF-</w:t>
            </w:r>
            <w:r>
              <w:rPr>
                <w:spacing w:val="-5"/>
                <w:sz w:val="22"/>
              </w:rPr>
              <w:t>PR</w:t>
            </w:r>
          </w:p>
        </w:tc>
        <w:tc>
          <w:tcPr>
            <w:tcW w:w="1176" w:type="dxa"/>
            <w:tcBorders>
              <w:bottom w:val="single" w:sz="8" w:space="0" w:color="000000"/>
            </w:tcBorders>
          </w:tcPr>
          <w:p>
            <w:pPr>
              <w:pStyle w:val="TableParagraph"/>
              <w:ind w:right="68"/>
              <w:jc w:val="right"/>
              <w:rPr>
                <w:sz w:val="22"/>
              </w:rPr>
            </w:pPr>
            <w:r>
              <w:rPr>
                <w:spacing w:val="-2"/>
                <w:sz w:val="22"/>
              </w:rPr>
              <w:t>1.461</w:t>
            </w:r>
          </w:p>
        </w:tc>
        <w:tc>
          <w:tcPr>
            <w:tcW w:w="1648" w:type="dxa"/>
            <w:tcBorders>
              <w:bottom w:val="single" w:sz="8" w:space="0" w:color="000000"/>
            </w:tcBorders>
          </w:tcPr>
          <w:p>
            <w:pPr>
              <w:pStyle w:val="TableParagraph"/>
              <w:ind w:right="67"/>
              <w:jc w:val="right"/>
              <w:rPr>
                <w:sz w:val="22"/>
              </w:rPr>
            </w:pPr>
            <w:r>
              <w:rPr>
                <w:spacing w:val="-5"/>
                <w:sz w:val="22"/>
              </w:rPr>
              <w:t>3.2</w:t>
            </w:r>
          </w:p>
        </w:tc>
        <w:tc>
          <w:tcPr>
            <w:tcW w:w="630" w:type="dxa"/>
            <w:tcBorders>
              <w:bottom w:val="single" w:sz="8" w:space="0" w:color="000000"/>
            </w:tcBorders>
          </w:tcPr>
          <w:p>
            <w:pPr>
              <w:pStyle w:val="TableParagraph"/>
              <w:ind w:left="109"/>
              <w:rPr>
                <w:sz w:val="22"/>
              </w:rPr>
            </w:pPr>
            <w:r>
              <w:rPr>
                <w:spacing w:val="-4"/>
                <w:sz w:val="22"/>
              </w:rPr>
              <w:t>89.0</w:t>
            </w:r>
          </w:p>
        </w:tc>
        <w:tc>
          <w:tcPr>
            <w:tcW w:w="794" w:type="dxa"/>
            <w:tcBorders>
              <w:bottom w:val="single" w:sz="8" w:space="0" w:color="000000"/>
            </w:tcBorders>
          </w:tcPr>
          <w:p>
            <w:pPr>
              <w:pStyle w:val="TableParagraph"/>
              <w:ind w:left="122" w:right="13"/>
              <w:rPr>
                <w:sz w:val="22"/>
              </w:rPr>
            </w:pPr>
            <w:r>
              <w:rPr>
                <w:spacing w:val="-2"/>
                <w:sz w:val="22"/>
              </w:rPr>
              <w:t>10338</w:t>
            </w:r>
          </w:p>
        </w:tc>
      </w:tr>
    </w:tbl>
    <w:p>
      <w:pPr>
        <w:pStyle w:val="BodyText"/>
        <w:spacing w:before="175"/>
      </w:pPr>
    </w:p>
    <w:p>
      <w:pPr>
        <w:pStyle w:val="BodyText"/>
        <w:spacing w:before="1"/>
        <w:ind w:left="282"/>
        <w:jc w:val="both"/>
      </w:pPr>
      <w:r>
        <w:rPr>
          <w:spacing w:val="-4"/>
        </w:rPr>
        <w:t>EndorseRank</w:t>
      </w:r>
      <w:r>
        <w:rPr>
          <w:spacing w:val="-6"/>
        </w:rPr>
        <w:t> </w:t>
      </w:r>
      <w:r>
        <w:rPr>
          <w:spacing w:val="-4"/>
        </w:rPr>
        <w:t>completes</w:t>
      </w:r>
      <w:r>
        <w:rPr>
          <w:spacing w:val="-5"/>
        </w:rPr>
        <w:t> </w:t>
      </w:r>
      <w:r>
        <w:rPr>
          <w:spacing w:val="-4"/>
        </w:rPr>
        <w:t>in</w:t>
      </w:r>
      <w:r>
        <w:rPr>
          <w:spacing w:val="-5"/>
        </w:rPr>
        <w:t> </w:t>
      </w:r>
      <w:r>
        <w:rPr>
          <w:spacing w:val="-4"/>
        </w:rPr>
        <w:t>2.105</w:t>
      </w:r>
      <w:r>
        <w:rPr>
          <w:spacing w:val="-13"/>
        </w:rPr>
        <w:t> </w:t>
      </w:r>
      <w:r>
        <w:rPr>
          <w:spacing w:val="-4"/>
        </w:rPr>
        <w:t>s</w:t>
      </w:r>
      <w:r>
        <w:rPr>
          <w:spacing w:val="-6"/>
        </w:rPr>
        <w:t> </w:t>
      </w:r>
      <w:r>
        <w:rPr>
          <w:spacing w:val="-4"/>
        </w:rPr>
        <w:t>versus</w:t>
      </w:r>
      <w:r>
        <w:rPr>
          <w:spacing w:val="-5"/>
        </w:rPr>
        <w:t> </w:t>
      </w:r>
      <w:r>
        <w:rPr>
          <w:spacing w:val="-4"/>
        </w:rPr>
        <w:t>18.711</w:t>
      </w:r>
      <w:r>
        <w:rPr>
          <w:spacing w:val="-12"/>
        </w:rPr>
        <w:t> </w:t>
      </w:r>
      <w:r>
        <w:rPr>
          <w:spacing w:val="-4"/>
        </w:rPr>
        <w:t>s</w:t>
      </w:r>
      <w:r>
        <w:rPr>
          <w:spacing w:val="-6"/>
        </w:rPr>
        <w:t> </w:t>
      </w:r>
      <w:r>
        <w:rPr>
          <w:spacing w:val="-4"/>
        </w:rPr>
        <w:t>for</w:t>
      </w:r>
      <w:r>
        <w:rPr>
          <w:spacing w:val="-5"/>
        </w:rPr>
        <w:t> </w:t>
      </w:r>
      <w:r>
        <w:rPr>
          <w:spacing w:val="-4"/>
        </w:rPr>
        <w:t>AWP,</w:t>
      </w:r>
      <w:r>
        <w:rPr>
          <w:spacing w:val="-5"/>
        </w:rPr>
        <w:t> </w:t>
      </w:r>
      <w:r>
        <w:rPr>
          <w:spacing w:val="-4"/>
        </w:rPr>
        <w:t>a</w:t>
      </w:r>
      <w:r>
        <w:rPr>
          <w:spacing w:val="-6"/>
        </w:rPr>
        <w:t> </w:t>
      </w:r>
      <w:r>
        <w:rPr>
          <w:spacing w:val="-4"/>
        </w:rPr>
        <w:t>wall-clock</w:t>
      </w:r>
      <w:r>
        <w:rPr>
          <w:spacing w:val="-5"/>
        </w:rPr>
        <w:t> </w:t>
      </w:r>
      <w:r>
        <w:rPr>
          <w:spacing w:val="-4"/>
        </w:rPr>
        <w:t>speedup</w:t>
      </w:r>
      <w:r>
        <w:rPr>
          <w:spacing w:val="-5"/>
        </w:rPr>
        <w:t> </w:t>
      </w:r>
      <w:r>
        <w:rPr>
          <w:spacing w:val="-4"/>
        </w:rPr>
        <w:t>of</w:t>
      </w:r>
      <w:r>
        <w:rPr>
          <w:spacing w:val="-5"/>
        </w:rPr>
        <w:t> </w:t>
      </w:r>
      <w:r>
        <w:rPr>
          <w:spacing w:val="-4"/>
        </w:rPr>
        <w:t>approximately</w:t>
      </w:r>
    </w:p>
    <w:p>
      <w:pPr>
        <w:pStyle w:val="BodyText"/>
        <w:spacing w:before="1"/>
        <w:ind w:left="282"/>
        <w:jc w:val="both"/>
      </w:pPr>
      <w:r>
        <w:rPr>
          <w:i/>
        </w:rPr>
        <w:t>EndorseRank는 2.105초 만에 완료되지만 AWP의 경우 18.711초가 소요됩니다. 이는 벽시계 속도가 대략적으로 향상됩니다.</w:t>
      </w:r>
    </w:p>
    <w:p>
      <w:pPr>
        <w:pStyle w:val="BodyText"/>
        <w:spacing w:line="456" w:lineRule="exact" w:before="39"/>
        <w:ind w:left="276" w:right="522" w:firstLine="5"/>
        <w:jc w:val="both"/>
      </w:pP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2"/>
        </w:rPr>
        <w:t> </w:t>
      </w:r>
      <w:r>
        <w:rPr/>
        <w:t>Peak</w:t>
      </w:r>
      <w:r>
        <w:rPr>
          <w:spacing w:val="-6"/>
        </w:rPr>
        <w:t> </w:t>
      </w:r>
      <w:r>
        <w:rPr/>
        <w:t>memory</w:t>
      </w:r>
      <w:r>
        <w:rPr>
          <w:spacing w:val="-7"/>
        </w:rPr>
        <w:t> </w:t>
      </w:r>
      <w:r>
        <w:rPr/>
        <w:t>follows</w:t>
      </w:r>
      <w:r>
        <w:rPr>
          <w:spacing w:val="-7"/>
        </w:rPr>
        <w:t> </w:t>
      </w:r>
      <w:r>
        <w:rPr/>
        <w:t>the</w:t>
      </w:r>
      <w:r>
        <w:rPr>
          <w:spacing w:val="-7"/>
        </w:rPr>
        <w:t> </w:t>
      </w:r>
      <w:r>
        <w:rPr/>
        <w:t>same</w:t>
      </w:r>
      <w:r>
        <w:rPr>
          <w:spacing w:val="-7"/>
        </w:rPr>
        <w:t> </w:t>
      </w:r>
      <w:r>
        <w:rPr/>
        <w:t>pattern</w:t>
      </w:r>
      <w:r>
        <w:rPr>
          <w:spacing w:val="-7"/>
        </w:rPr>
        <w:t> </w:t>
      </w:r>
      <w:r>
        <w:rPr/>
        <w:t>(4.6</w:t>
      </w:r>
      <w:r>
        <w:rPr>
          <w:spacing w:val="-15"/>
        </w:rPr>
        <w:t> </w:t>
      </w:r>
      <w:r>
        <w:rPr/>
        <w:t>MB</w:t>
      </w:r>
      <w:r>
        <w:rPr>
          <w:spacing w:val="-7"/>
        </w:rPr>
        <w:t> </w:t>
      </w:r>
      <w:r>
        <w:rPr/>
        <w:t>vs.</w:t>
      </w:r>
      <w:r>
        <w:rPr>
          <w:spacing w:val="-7"/>
        </w:rPr>
        <w:t> </w:t>
      </w:r>
      <w:r>
        <w:rPr/>
        <w:t>38.2</w:t>
      </w:r>
      <w:r>
        <w:rPr>
          <w:spacing w:val="-15"/>
        </w:rPr>
        <w:t> </w:t>
      </w:r>
      <w:r>
        <w:rPr/>
        <w:t>MB).</w:t>
      </w:r>
      <w:r>
        <w:rPr>
          <w:spacing w:val="-7"/>
        </w:rPr>
        <w:t> </w:t>
      </w:r>
      <w:r>
        <w:rPr/>
        <w:t>The</w:t>
      </w:r>
      <w:r>
        <w:rPr>
          <w:spacing w:val="-7"/>
        </w:rPr>
        <w:t> </w:t>
      </w:r>
      <w:r>
        <w:rPr/>
        <w:t>dominant</w:t>
      </w:r>
      <w:r>
        <w:rPr>
          <w:spacing w:val="-7"/>
        </w:rPr>
        <w:t> </w:t>
      </w:r>
      <w:r>
        <w:rPr/>
        <w:t>driver</w:t>
      </w:r>
      <w:r>
        <w:rPr>
          <w:spacing w:val="-7"/>
        </w:rPr>
        <w:t> </w:t>
      </w:r>
      <w:r>
        <w:rPr/>
        <w:t>is</w:t>
      </w:r>
      <w:r>
        <w:rPr>
          <w:spacing w:val="-7"/>
        </w:rPr>
        <w:t> </w:t>
      </w:r>
      <w:r>
        <w:rPr/>
        <w:t>graph sparsity:</w:t>
      </w:r>
      <w:r>
        <w:rPr>
          <w:spacing w:val="40"/>
        </w:rPr>
        <w:t> </w:t>
      </w:r>
      <w:r>
        <w:rPr/>
        <w:t>EndorseRank operates on 14,727 edges, whereas AWP operates on 137,087 edges—roughly </w:t>
      </w:r>
      <w:r>
        <w:rPr>
          <w:rFonts w:ascii="Calibri" w:hAnsi="Calibri"/>
        </w:rPr>
        <w:t>9</w:t>
      </w:r>
      <w:r>
        <w:rPr>
          <w:rFonts w:ascii="Calibri" w:hAnsi="Calibri"/>
          <w:i/>
        </w:rPr>
        <w:t>.</w:t>
      </w:r>
      <w:r>
        <w:rPr>
          <w:rFonts w:ascii="Calibri" w:hAnsi="Calibri"/>
        </w:rPr>
        <w:t>3</w:t>
      </w:r>
      <w:r>
        <w:rPr>
          <w:rFonts w:ascii="Lucida Sans Unicode" w:hAnsi="Lucida Sans Unicode"/>
        </w:rPr>
        <w:t>× </w:t>
      </w:r>
      <w:r>
        <w:rPr/>
        <w:t>more edges.</w:t>
      </w:r>
      <w:r>
        <w:rPr>
          <w:spacing w:val="40"/>
        </w:rPr>
        <w:t> </w:t>
      </w:r>
      <w:r>
        <w:rPr/>
        <w:t>Because PageRank’s per-iteration cost scales with </w:t>
      </w:r>
      <w:r>
        <w:rPr>
          <w:rFonts w:ascii="Lucida Sans Unicode" w:hAnsi="Lucida Sans Unicode"/>
        </w:rPr>
        <w:t>|</w:t>
      </w:r>
      <w:r>
        <w:rPr>
          <w:rFonts w:ascii="Calibri" w:hAnsi="Calibri"/>
          <w:i/>
        </w:rPr>
        <w:t>E</w:t>
      </w:r>
      <w:r>
        <w:rPr>
          <w:rFonts w:ascii="Lucida Sans Unicode" w:hAnsi="Lucida Sans Unicode"/>
        </w:rPr>
        <w:t>|</w:t>
      </w:r>
      <w:r>
        <w:rPr/>
        <w:t>, the sparser endorsement graph reduces both work per iteration and the number of iterations required for con-vergence</w:t>
      </w:r>
      <w:r>
        <w:rPr>
          <w:spacing w:val="-15"/>
        </w:rPr>
        <w:t> </w:t>
      </w:r>
      <w:r>
        <w:rPr/>
        <w:t>(EndorseRank</w:t>
      </w:r>
      <w:r>
        <w:rPr>
          <w:spacing w:val="-15"/>
        </w:rPr>
        <w:t> </w:t>
      </w:r>
      <w:r>
        <w:rPr>
          <w:rFonts w:ascii="Lucida Sans Unicode" w:hAnsi="Lucida Sans Unicode"/>
        </w:rPr>
        <w:t>≈</w:t>
      </w:r>
      <w:r>
        <w:rPr>
          <w:rFonts w:ascii="Lucida Sans Unicode" w:hAnsi="Lucida Sans Unicode"/>
          <w:spacing w:val="-19"/>
        </w:rPr>
        <w:t> </w:t>
      </w:r>
      <w:r>
        <w:rPr>
          <w:rFonts w:ascii="Calibri" w:hAnsi="Calibri"/>
        </w:rPr>
        <w:t>37</w:t>
      </w:r>
      <w:r>
        <w:rPr>
          <w:rFonts w:ascii="Calibri" w:hAnsi="Calibri"/>
          <w:spacing w:val="-14"/>
        </w:rPr>
        <w:t> </w:t>
      </w:r>
      <w:r>
        <w:rPr/>
        <w:t>iterations;</w:t>
      </w:r>
      <w:r>
        <w:rPr>
          <w:spacing w:val="-15"/>
        </w:rPr>
        <w:t> </w:t>
      </w:r>
      <w:r>
        <w:rPr/>
        <w:t>AWP</w:t>
      </w:r>
      <w:r>
        <w:rPr>
          <w:spacing w:val="-15"/>
        </w:rPr>
        <w:t> </w:t>
      </w:r>
      <w:r>
        <w:rPr>
          <w:rFonts w:ascii="Lucida Sans Unicode" w:hAnsi="Lucida Sans Unicode"/>
        </w:rPr>
        <w:t>≈</w:t>
      </w:r>
      <w:r>
        <w:rPr>
          <w:rFonts w:ascii="Lucida Sans Unicode" w:hAnsi="Lucida Sans Unicode"/>
          <w:spacing w:val="-19"/>
        </w:rPr>
        <w:t> </w:t>
      </w:r>
      <w:r>
        <w:rPr>
          <w:rFonts w:ascii="Calibri" w:hAnsi="Calibri"/>
        </w:rPr>
        <w:t>100</w:t>
      </w:r>
      <w:r>
        <w:rPr/>
        <w:t>).</w:t>
      </w:r>
      <w:r>
        <w:rPr>
          <w:spacing w:val="2"/>
        </w:rPr>
        <w:t> </w:t>
      </w:r>
      <w:r>
        <w:rPr/>
        <w:t>The</w:t>
      </w:r>
      <w:r>
        <w:rPr>
          <w:spacing w:val="-15"/>
        </w:rPr>
        <w:t> </w:t>
      </w:r>
      <w:r>
        <w:rPr/>
        <w:t>iteration</w:t>
      </w:r>
      <w:r>
        <w:rPr>
          <w:spacing w:val="-15"/>
        </w:rPr>
        <w:t> </w:t>
      </w:r>
      <w:r>
        <w:rPr/>
        <w:t>gap</w:t>
      </w:r>
      <w:r>
        <w:rPr>
          <w:spacing w:val="-15"/>
        </w:rPr>
        <w:t> </w:t>
      </w:r>
      <w:r>
        <w:rPr/>
        <w:t>is</w:t>
      </w:r>
      <w:r>
        <w:rPr>
          <w:spacing w:val="-15"/>
        </w:rPr>
        <w:t> </w:t>
      </w:r>
      <w:r>
        <w:rPr/>
        <w:t>consistent</w:t>
      </w:r>
      <w:r>
        <w:rPr>
          <w:spacing w:val="-15"/>
        </w:rPr>
        <w:t> </w:t>
      </w:r>
      <w:r>
        <w:rPr/>
        <w:t>with</w:t>
      </w:r>
      <w:r>
        <w:rPr>
          <w:spacing w:val="-15"/>
        </w:rPr>
        <w:t> </w:t>
      </w:r>
      <w:r>
        <w:rPr/>
        <w:t>a</w:t>
      </w:r>
      <w:r>
        <w:rPr>
          <w:spacing w:val="-15"/>
        </w:rPr>
        <w:t> </w:t>
      </w:r>
      <w:r>
        <w:rPr/>
        <w:t>better-conditioned,</w:t>
      </w:r>
      <w:r>
        <w:rPr>
          <w:spacing w:val="-5"/>
        </w:rPr>
        <w:t> </w:t>
      </w:r>
      <w:r>
        <w:rPr/>
        <w:t>lower-density</w:t>
      </w:r>
      <w:r>
        <w:rPr>
          <w:spacing w:val="-5"/>
        </w:rPr>
        <w:t> </w:t>
      </w:r>
      <w:r>
        <w:rPr/>
        <w:t>adjacency</w:t>
      </w:r>
      <w:r>
        <w:rPr>
          <w:spacing w:val="-5"/>
        </w:rPr>
        <w:t> </w:t>
      </w:r>
      <w:r>
        <w:rPr/>
        <w:t>structure</w:t>
      </w:r>
      <w:r>
        <w:rPr>
          <w:spacing w:val="-5"/>
        </w:rPr>
        <w:t> </w:t>
      </w:r>
      <w:r>
        <w:rPr/>
        <w:t>under</w:t>
      </w:r>
      <w:r>
        <w:rPr>
          <w:spacing w:val="-5"/>
        </w:rPr>
        <w:t> </w:t>
      </w:r>
      <w:r>
        <w:rPr/>
        <w:t>latest-allowance</w:t>
      </w:r>
      <w:r>
        <w:rPr>
          <w:spacing w:val="-5"/>
        </w:rPr>
        <w:t> </w:t>
      </w:r>
      <w:r>
        <w:rPr/>
        <w:t>semantics: allowance</w:t>
      </w:r>
      <w:r>
        <w:rPr>
          <w:spacing w:val="-5"/>
        </w:rPr>
        <w:t> </w:t>
      </w:r>
      <w:r>
        <w:rPr/>
        <w:t>over-rides</w:t>
      </w:r>
      <w:r>
        <w:rPr>
          <w:spacing w:val="-7"/>
        </w:rPr>
        <w:t> </w:t>
      </w:r>
      <w:r>
        <w:rPr/>
        <w:t>replace</w:t>
      </w:r>
      <w:r>
        <w:rPr>
          <w:spacing w:val="-7"/>
        </w:rPr>
        <w:t> </w:t>
      </w:r>
      <w:r>
        <w:rPr/>
        <w:t>historical</w:t>
      </w:r>
      <w:r>
        <w:rPr>
          <w:spacing w:val="-7"/>
        </w:rPr>
        <w:t> </w:t>
      </w:r>
      <w:r>
        <w:rPr/>
        <w:t>accumulation,</w:t>
      </w:r>
      <w:r>
        <w:rPr>
          <w:spacing w:val="-6"/>
        </w:rPr>
        <w:t> </w:t>
      </w:r>
      <w:r>
        <w:rPr/>
        <w:t>so</w:t>
      </w:r>
      <w:r>
        <w:rPr>
          <w:spacing w:val="-7"/>
        </w:rPr>
        <w:t> </w:t>
      </w:r>
      <w:r>
        <w:rPr/>
        <w:t>the</w:t>
      </w:r>
      <w:r>
        <w:rPr>
          <w:spacing w:val="-7"/>
        </w:rPr>
        <w:t> </w:t>
      </w:r>
      <w:r>
        <w:rPr/>
        <w:t>operator</w:t>
      </w:r>
      <w:r>
        <w:rPr>
          <w:spacing w:val="-7"/>
        </w:rPr>
        <w:t> </w:t>
      </w:r>
      <w:r>
        <w:rPr/>
        <w:t>does</w:t>
      </w:r>
      <w:r>
        <w:rPr>
          <w:spacing w:val="-7"/>
        </w:rPr>
        <w:t> </w:t>
      </w:r>
      <w:r>
        <w:rPr/>
        <w:t>not</w:t>
      </w:r>
      <w:r>
        <w:rPr>
          <w:spacing w:val="-7"/>
        </w:rPr>
        <w:t> </w:t>
      </w:r>
      <w:r>
        <w:rPr/>
        <w:t>encode</w:t>
      </w:r>
      <w:r>
        <w:rPr>
          <w:spacing w:val="-7"/>
        </w:rPr>
        <w:t> </w:t>
      </w:r>
      <w:r>
        <w:rPr/>
        <w:t>long-tailed</w:t>
      </w:r>
      <w:r>
        <w:rPr>
          <w:spacing w:val="-7"/>
        </w:rPr>
        <w:t> </w:t>
      </w:r>
      <w:r>
        <w:rPr/>
        <w:t>transfer</w:t>
      </w:r>
      <w:r>
        <w:rPr>
          <w:spacing w:val="-7"/>
        </w:rPr>
        <w:t> </w:t>
      </w:r>
      <w:r>
        <w:rPr/>
        <w:t>histories that slow mixing.</w:t>
      </w:r>
    </w:p>
    <w:p>
      <w:pPr>
        <w:pStyle w:val="BodyText"/>
        <w:spacing w:line="456" w:lineRule="exact" w:before="39"/>
        <w:ind w:left="276" w:right="522" w:firstLine="5"/>
        <w:jc w:val="both"/>
      </w:pPr>
      <w:r>
        <w:rPr>
          <w:i/>
        </w:rPr>
        <w:t>8.9×. 최대 메모리는 동일한 패턴을 따릅니다(4.6MB 대 38.2MB). 지배적인 동인은 그래프 희소성입니다. EndorseRank는 14,727개의 가장자리에서 작동하는 반면, AWP는 137,087개의 가장자리에서 작동합니다(약 9.3배 더 많은 가장자리). PageRank의 반복당 비용은 |E|에 따라 확장되므로 희소 보증 그래프는 반복당 작업과 수렴에 필요한 반복 횟수를 모두 줄입니다(EndorseRank ⟧ 37 반복; AWP ⟧ 100). 반복 간격은 최신 허용 의미론 하에서 더 나은 조건의 저밀도 인접 구조와 일치합니다. 허용량 재정의는 기록 누적을 대체하므로 연산자는 혼합을 느리게 하는 긴 꼬리 전송 기록을 인코딩하지 않습니다.</w:t>
      </w:r>
    </w:p>
    <w:p>
      <w:pPr>
        <w:pStyle w:val="BodyText"/>
        <w:spacing w:before="4"/>
        <w:rPr>
          <w:sz w:val="12"/>
        </w:rPr>
      </w:pPr>
      <w:r>
        <w:rPr>
          <w:sz w:val="12"/>
        </w:rPr>
        <mc:AlternateContent>
          <mc:Choice Requires="wps">
            <w:drawing>
              <wp:anchor distT="0" distB="0" distL="0" distR="0" allowOverlap="1" layoutInCell="1" locked="0" behindDoc="1" simplePos="0" relativeHeight="487630848">
                <wp:simplePos x="0" y="0"/>
                <wp:positionH relativeFrom="page">
                  <wp:posOffset>809244</wp:posOffset>
                </wp:positionH>
                <wp:positionV relativeFrom="paragraph">
                  <wp:posOffset>105960</wp:posOffset>
                </wp:positionV>
                <wp:extent cx="2376805" cy="1270"/>
                <wp:effectExtent l="0" t="0" r="0" b="0"/>
                <wp:wrapTopAndBottom/>
                <wp:docPr id="511" name="Graphic 511"/>
                <wp:cNvGraphicFramePr>
                  <a:graphicFrameLocks/>
                </wp:cNvGraphicFramePr>
                <a:graphic>
                  <a:graphicData uri="http://schemas.microsoft.com/office/word/2010/wordprocessingShape">
                    <wps:wsp>
                      <wps:cNvPr id="511" name="Graphic 511"/>
                      <wps:cNvSpPr/>
                      <wps:spPr>
                        <a:xfrm>
                          <a:off x="0" y="0"/>
                          <a:ext cx="2376805" cy="1270"/>
                        </a:xfrm>
                        <a:custGeom>
                          <a:avLst/>
                          <a:gdLst/>
                          <a:ahLst/>
                          <a:cxnLst/>
                          <a:rect l="l" t="t" r="r" b="b"/>
                          <a:pathLst>
                            <a:path w="2376805" h="0">
                              <a:moveTo>
                                <a:pt x="0" y="0"/>
                              </a:moveTo>
                              <a:lnTo>
                                <a:pt x="2376563"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720001pt;margin-top:8.343344pt;width:187.15pt;height:.1pt;mso-position-horizontal-relative:page;mso-position-vertical-relative:paragraph;z-index:-15685632;mso-wrap-distance-left:0;mso-wrap-distance-right:0" id="docshape357" coordorigin="1274,167" coordsize="3743,0" path="m1274,167l5017,167e" filled="false" stroked="true" strokeweight=".3985pt" strokecolor="#000000">
                <v:path arrowok="t"/>
                <v:stroke dashstyle="solid"/>
                <w10:wrap type="topAndBottom"/>
              </v:shape>
            </w:pict>
          </mc:Fallback>
        </mc:AlternateContent>
      </w:r>
    </w:p>
    <w:p>
      <w:pPr>
        <w:spacing w:line="249" w:lineRule="auto" w:before="32"/>
        <w:ind w:left="362" w:right="530" w:hanging="80"/>
        <w:jc w:val="both"/>
        <w:rPr>
          <w:sz w:val="20"/>
        </w:rPr>
      </w:pPr>
      <w:r>
        <w:rPr>
          <w:sz w:val="20"/>
          <w:vertAlign w:val="superscript"/>
        </w:rPr>
        <w:t>1</w:t>
      </w:r>
      <w:bookmarkStart w:name="_bookmark92" w:id="166"/>
      <w:bookmarkEnd w:id="166"/>
      <w:r>
        <w:rPr>
          <w:sz w:val="20"/>
          <w:vertAlign w:val="baseline"/>
        </w:rPr>
        <w:t>Excluding</w:t>
      </w:r>
      <w:r>
        <w:rPr>
          <w:sz w:val="20"/>
          <w:vertAlign w:val="baseline"/>
        </w:rPr>
        <w:t> graph construction isolates the recurring PageRank solve cost that would dominate incremental score re-fresh in a deployed scorer.</w:t>
      </w:r>
    </w:p>
    <w:p>
      <w:pPr>
        <w:spacing w:line="249" w:lineRule="auto" w:before="32"/>
        <w:ind w:left="362" w:right="530" w:hanging="80"/>
        <w:jc w:val="both"/>
        <w:rPr>
          <w:sz w:val="20"/>
        </w:rPr>
      </w:pPr>
      <w:r>
        <w:rPr>
          <w:i/>
        </w:rPr>
        <w:t>1그래프 구성을 제외하면 배포된 득점자에서 증분 점수 새로 고침을 지배하는 반복적인 PageRank 해결 비용이 분리됩니다.</w:t>
      </w:r>
    </w:p>
    <w:p>
      <w:pPr>
        <w:spacing w:after="0" w:line="249" w:lineRule="auto"/>
        <w:jc w:val="both"/>
        <w:rPr>
          <w:sz w:val="20"/>
        </w:rPr>
        <w:sectPr>
          <w:pgSz w:w="11910" w:h="16840"/>
          <w:pgMar w:header="0" w:footer="2115" w:top="1840" w:bottom="2300" w:left="992" w:right="708"/>
        </w:sectPr>
      </w:pPr>
    </w:p>
    <w:p>
      <w:pPr>
        <w:pStyle w:val="BodyText"/>
        <w:spacing w:line="396" w:lineRule="auto" w:before="72"/>
        <w:ind w:left="276" w:right="563" w:firstLine="5"/>
        <w:jc w:val="both"/>
      </w:pPr>
      <w:r>
        <w:rPr/>
        <w:t>GF-PR runtime (1.461</w:t>
      </w:r>
      <w:r>
        <w:rPr>
          <w:spacing w:val="-15"/>
        </w:rPr>
        <w:t> </w:t>
      </w:r>
      <w:r>
        <w:rPr/>
        <w:t>s) is reported in the same table for context only.</w:t>
      </w:r>
      <w:r>
        <w:rPr>
          <w:spacing w:val="40"/>
        </w:rPr>
        <w:t> </w:t>
      </w:r>
      <w:r>
        <w:rPr/>
        <w:t>GF-PR’s star graph has 10,338</w:t>
      </w:r>
      <w:r>
        <w:rPr>
          <w:spacing w:val="-15"/>
        </w:rPr>
        <w:t> </w:t>
      </w:r>
      <w:r>
        <w:rPr/>
        <w:t>edges</w:t>
      </w:r>
      <w:r>
        <w:rPr>
          <w:spacing w:val="-15"/>
        </w:rPr>
        <w:t> </w:t>
      </w:r>
      <w:r>
        <w:rPr/>
        <w:t>and</w:t>
      </w:r>
      <w:r>
        <w:rPr>
          <w:spacing w:val="-15"/>
        </w:rPr>
        <w:t> </w:t>
      </w:r>
      <w:r>
        <w:rPr/>
        <w:t>converges</w:t>
      </w:r>
      <w:r>
        <w:rPr>
          <w:spacing w:val="-15"/>
        </w:rPr>
        <w:t> </w:t>
      </w:r>
      <w:r>
        <w:rPr/>
        <w:t>in</w:t>
      </w:r>
      <w:r>
        <w:rPr>
          <w:spacing w:val="-15"/>
        </w:rPr>
        <w:t> </w:t>
      </w:r>
      <w:r>
        <w:rPr/>
        <w:t>89</w:t>
      </w:r>
      <w:r>
        <w:rPr>
          <w:spacing w:val="-15"/>
        </w:rPr>
        <w:t> </w:t>
      </w:r>
      <w:r>
        <w:rPr/>
        <w:t>iterations;</w:t>
      </w:r>
      <w:r>
        <w:rPr>
          <w:spacing w:val="-12"/>
        </w:rPr>
        <w:t> </w:t>
      </w:r>
      <w:r>
        <w:rPr/>
        <w:t>it</w:t>
      </w:r>
      <w:r>
        <w:rPr>
          <w:spacing w:val="-15"/>
        </w:rPr>
        <w:t> </w:t>
      </w:r>
      <w:r>
        <w:rPr/>
        <w:t>is</w:t>
      </w:r>
      <w:r>
        <w:rPr>
          <w:spacing w:val="-15"/>
        </w:rPr>
        <w:t> </w:t>
      </w:r>
      <w:r>
        <w:rPr/>
        <w:t>not</w:t>
      </w:r>
      <w:r>
        <w:rPr>
          <w:spacing w:val="-15"/>
        </w:rPr>
        <w:t> </w:t>
      </w:r>
      <w:r>
        <w:rPr/>
        <w:t>a</w:t>
      </w:r>
      <w:r>
        <w:rPr>
          <w:spacing w:val="-15"/>
        </w:rPr>
        <w:t> </w:t>
      </w:r>
      <w:r>
        <w:rPr/>
        <w:t>peer</w:t>
      </w:r>
      <w:r>
        <w:rPr>
          <w:spacing w:val="-15"/>
        </w:rPr>
        <w:t> </w:t>
      </w:r>
      <w:r>
        <w:rPr/>
        <w:t>social</w:t>
      </w:r>
      <w:r>
        <w:rPr>
          <w:spacing w:val="-15"/>
        </w:rPr>
        <w:t> </w:t>
      </w:r>
      <w:r>
        <w:rPr/>
        <w:t>method</w:t>
      </w:r>
      <w:r>
        <w:rPr>
          <w:spacing w:val="-15"/>
        </w:rPr>
        <w:t> </w:t>
      </w:r>
      <w:r>
        <w:rPr/>
        <w:t>and</w:t>
      </w:r>
      <w:r>
        <w:rPr>
          <w:spacing w:val="-15"/>
        </w:rPr>
        <w:t> </w:t>
      </w:r>
      <w:r>
        <w:rPr/>
        <w:t>is</w:t>
      </w:r>
      <w:r>
        <w:rPr>
          <w:spacing w:val="-15"/>
        </w:rPr>
        <w:t> </w:t>
      </w:r>
      <w:r>
        <w:rPr/>
        <w:t>not</w:t>
      </w:r>
      <w:r>
        <w:rPr>
          <w:spacing w:val="-15"/>
        </w:rPr>
        <w:t> </w:t>
      </w:r>
      <w:r>
        <w:rPr/>
        <w:t>used</w:t>
      </w:r>
      <w:r>
        <w:rPr>
          <w:spacing w:val="-15"/>
        </w:rPr>
        <w:t> </w:t>
      </w:r>
      <w:r>
        <w:rPr/>
        <w:t>to</w:t>
      </w:r>
      <w:r>
        <w:rPr>
          <w:spacing w:val="-15"/>
        </w:rPr>
        <w:t> </w:t>
      </w:r>
      <w:r>
        <w:rPr/>
        <w:t>support Claim C1.</w:t>
      </w:r>
      <w:r>
        <w:rPr>
          <w:spacing w:val="40"/>
        </w:rPr>
        <w:t> </w:t>
      </w:r>
      <w:r>
        <w:rPr/>
        <w:t>The primary efficiency comparison is EndorseRank versus AWP on wallet-to-wallet social graphs.</w:t>
      </w:r>
    </w:p>
    <w:p>
      <w:pPr>
        <w:pStyle w:val="BodyText"/>
        <w:spacing w:line="396" w:lineRule="auto" w:before="72"/>
        <w:ind w:left="276" w:right="563" w:firstLine="5"/>
        <w:jc w:val="both"/>
      </w:pPr>
      <w:r>
        <w:rPr>
          <w:i/>
        </w:rPr>
        <w:t>GF-PR 런타임(1.461초)은 컨텍스트에 대해서만 동일한 테이블에 보고됩니다. GF-PR의 별형 그래프는 10,338개의 모서리를 가지며 89번의 반복으로 수렴합니다. 이는 동료 소셜 방법이 아니며 Claim C1을 지원하는 데 사용되지 않습니다. 주요 효율성 비교는 지갑 간 소셜 그래프에서 EndorseRank 대 AWP입니다.</w:t>
      </w:r>
    </w:p>
    <w:p>
      <w:pPr>
        <w:pStyle w:val="BodyText"/>
        <w:spacing w:line="396" w:lineRule="auto" w:before="18"/>
        <w:ind w:left="282" w:right="563"/>
        <w:jc w:val="both"/>
      </w:pPr>
      <w:r>
        <w:rPr/>
        <w:t>Memory</w:t>
      </w:r>
      <w:r>
        <w:rPr>
          <w:spacing w:val="-8"/>
        </w:rPr>
        <w:t> </w:t>
      </w:r>
      <w:r>
        <w:rPr/>
        <w:t>footprints reinforce the same structural story.</w:t>
      </w:r>
      <w:r>
        <w:rPr>
          <w:spacing w:val="38"/>
        </w:rPr>
        <w:t> </w:t>
      </w:r>
      <w:r>
        <w:rPr/>
        <w:t>EndorseRank’s peak memory (4.6</w:t>
      </w:r>
      <w:r>
        <w:rPr>
          <w:spacing w:val="-15"/>
        </w:rPr>
        <w:t> </w:t>
      </w:r>
      <w:r>
        <w:rPr/>
        <w:t>MB) is </w:t>
      </w:r>
      <w:r>
        <w:rPr>
          <w:spacing w:val="-2"/>
        </w:rPr>
        <w:t>nearly</w:t>
      </w:r>
      <w:r>
        <w:rPr>
          <w:spacing w:val="-10"/>
        </w:rPr>
        <w:t> </w:t>
      </w:r>
      <w:r>
        <w:rPr>
          <w:spacing w:val="-2"/>
        </w:rPr>
        <w:t>an</w:t>
      </w:r>
      <w:r>
        <w:rPr>
          <w:spacing w:val="-7"/>
        </w:rPr>
        <w:t> </w:t>
      </w:r>
      <w:r>
        <w:rPr>
          <w:spacing w:val="-2"/>
        </w:rPr>
        <w:t>order</w:t>
      </w:r>
      <w:r>
        <w:rPr>
          <w:spacing w:val="-7"/>
        </w:rPr>
        <w:t> </w:t>
      </w:r>
      <w:r>
        <w:rPr>
          <w:spacing w:val="-2"/>
        </w:rPr>
        <w:t>of</w:t>
      </w:r>
      <w:r>
        <w:rPr>
          <w:spacing w:val="-7"/>
        </w:rPr>
        <w:t> </w:t>
      </w:r>
      <w:r>
        <w:rPr>
          <w:spacing w:val="-2"/>
        </w:rPr>
        <w:t>magnitude</w:t>
      </w:r>
      <w:r>
        <w:rPr>
          <w:spacing w:val="-7"/>
        </w:rPr>
        <w:t> </w:t>
      </w:r>
      <w:r>
        <w:rPr>
          <w:spacing w:val="-2"/>
        </w:rPr>
        <w:t>below</w:t>
      </w:r>
      <w:r>
        <w:rPr>
          <w:spacing w:val="-7"/>
        </w:rPr>
        <w:t> </w:t>
      </w:r>
      <w:r>
        <w:rPr>
          <w:spacing w:val="-2"/>
        </w:rPr>
        <w:t>AWP’s</w:t>
      </w:r>
      <w:r>
        <w:rPr>
          <w:spacing w:val="-7"/>
        </w:rPr>
        <w:t> </w:t>
      </w:r>
      <w:r>
        <w:rPr>
          <w:spacing w:val="-2"/>
        </w:rPr>
        <w:t>(38.2</w:t>
      </w:r>
      <w:r>
        <w:rPr>
          <w:spacing w:val="-13"/>
        </w:rPr>
        <w:t> </w:t>
      </w:r>
      <w:r>
        <w:rPr>
          <w:spacing w:val="-2"/>
        </w:rPr>
        <w:t>MB)</w:t>
      </w:r>
      <w:r>
        <w:rPr>
          <w:spacing w:val="-7"/>
        </w:rPr>
        <w:t> </w:t>
      </w:r>
      <w:r>
        <w:rPr>
          <w:spacing w:val="-2"/>
        </w:rPr>
        <w:t>under</w:t>
      </w:r>
      <w:r>
        <w:rPr>
          <w:spacing w:val="-7"/>
        </w:rPr>
        <w:t> </w:t>
      </w:r>
      <w:r>
        <w:rPr>
          <w:spacing w:val="-2"/>
        </w:rPr>
        <w:t>identical</w:t>
      </w:r>
      <w:r>
        <w:rPr>
          <w:spacing w:val="-7"/>
        </w:rPr>
        <w:t> </w:t>
      </w:r>
      <w:r>
        <w:rPr>
          <w:spacing w:val="-2"/>
        </w:rPr>
        <w:t>profiling.</w:t>
      </w:r>
      <w:r>
        <w:rPr>
          <w:spacing w:val="23"/>
        </w:rPr>
        <w:t> </w:t>
      </w:r>
      <w:r>
        <w:rPr>
          <w:spacing w:val="-2"/>
        </w:rPr>
        <w:t>Although</w:t>
      </w:r>
      <w:r>
        <w:rPr>
          <w:spacing w:val="-7"/>
        </w:rPr>
        <w:t> </w:t>
      </w:r>
      <w:r>
        <w:rPr>
          <w:spacing w:val="-2"/>
        </w:rPr>
        <w:t>absolute </w:t>
      </w:r>
      <w:r>
        <w:rPr/>
        <w:t>megabytes</w:t>
      </w:r>
      <w:r>
        <w:rPr>
          <w:spacing w:val="7"/>
        </w:rPr>
        <w:t> </w:t>
      </w:r>
      <w:r>
        <w:rPr/>
        <w:t>are</w:t>
      </w:r>
      <w:r>
        <w:rPr>
          <w:spacing w:val="8"/>
        </w:rPr>
        <w:t> </w:t>
      </w:r>
      <w:r>
        <w:rPr/>
        <w:t>modest</w:t>
      </w:r>
      <w:r>
        <w:rPr>
          <w:spacing w:val="9"/>
        </w:rPr>
        <w:t> </w:t>
      </w:r>
      <w:r>
        <w:rPr/>
        <w:t>at</w:t>
      </w:r>
      <w:r>
        <w:rPr>
          <w:spacing w:val="8"/>
        </w:rPr>
        <w:t> </w:t>
      </w:r>
      <w:r>
        <w:rPr>
          <w:rFonts w:ascii="Calibri" w:hAnsi="Calibri"/>
          <w:i/>
        </w:rPr>
        <w:t>n</w:t>
      </w:r>
      <w:r>
        <w:rPr>
          <w:rFonts w:ascii="Calibri" w:hAnsi="Calibri"/>
          <w:i/>
          <w:spacing w:val="20"/>
          <w:w w:val="125"/>
        </w:rPr>
        <w:t> </w:t>
      </w:r>
      <w:r>
        <w:rPr>
          <w:rFonts w:ascii="Calibri" w:hAnsi="Calibri"/>
          <w:w w:val="125"/>
        </w:rPr>
        <w:t>=</w:t>
      </w:r>
      <w:r>
        <w:rPr>
          <w:rFonts w:ascii="Calibri" w:hAnsi="Calibri"/>
          <w:spacing w:val="19"/>
          <w:w w:val="125"/>
        </w:rPr>
        <w:t> </w:t>
      </w:r>
      <w:r>
        <w:rPr>
          <w:rFonts w:ascii="Calibri" w:hAnsi="Calibri"/>
        </w:rPr>
        <w:t>5</w:t>
      </w:r>
      <w:r>
        <w:rPr>
          <w:rFonts w:ascii="Calibri" w:hAnsi="Calibri"/>
          <w:i/>
        </w:rPr>
        <w:t>,</w:t>
      </w:r>
      <w:r>
        <w:rPr>
          <w:rFonts w:ascii="Calibri" w:hAnsi="Calibri"/>
        </w:rPr>
        <w:t>521</w:t>
      </w:r>
      <w:r>
        <w:rPr/>
        <w:t>,</w:t>
      </w:r>
      <w:r>
        <w:rPr>
          <w:spacing w:val="11"/>
        </w:rPr>
        <w:t> </w:t>
      </w:r>
      <w:r>
        <w:rPr/>
        <w:t>the</w:t>
      </w:r>
      <w:r>
        <w:rPr>
          <w:spacing w:val="8"/>
        </w:rPr>
        <w:t> </w:t>
      </w:r>
      <w:r>
        <w:rPr/>
        <w:t>ratio</w:t>
      </w:r>
      <w:r>
        <w:rPr>
          <w:spacing w:val="9"/>
        </w:rPr>
        <w:t> </w:t>
      </w:r>
      <w:r>
        <w:rPr/>
        <w:t>matters</w:t>
      </w:r>
      <w:r>
        <w:rPr>
          <w:spacing w:val="7"/>
        </w:rPr>
        <w:t> </w:t>
      </w:r>
      <w:r>
        <w:rPr/>
        <w:t>for</w:t>
      </w:r>
      <w:r>
        <w:rPr>
          <w:spacing w:val="8"/>
        </w:rPr>
        <w:t> </w:t>
      </w:r>
      <w:r>
        <w:rPr/>
        <w:t>deployment</w:t>
      </w:r>
      <w:r>
        <w:rPr>
          <w:spacing w:val="9"/>
        </w:rPr>
        <w:t> </w:t>
      </w:r>
      <w:r>
        <w:rPr/>
        <w:t>at</w:t>
      </w:r>
      <w:r>
        <w:rPr>
          <w:spacing w:val="8"/>
        </w:rPr>
        <w:t> </w:t>
      </w:r>
      <w:r>
        <w:rPr/>
        <w:t>larger</w:t>
      </w:r>
      <w:r>
        <w:rPr>
          <w:spacing w:val="8"/>
        </w:rPr>
        <w:t> </w:t>
      </w:r>
      <w:r>
        <w:rPr>
          <w:rFonts w:ascii="Calibri" w:hAnsi="Calibri"/>
          <w:i/>
        </w:rPr>
        <w:t>n</w:t>
      </w:r>
      <w:r>
        <w:rPr/>
        <w:t>:</w:t>
      </w:r>
      <w:r>
        <w:rPr>
          <w:spacing w:val="38"/>
        </w:rPr>
        <w:t> </w:t>
      </w:r>
      <w:r>
        <w:rPr/>
        <w:t>transfer-</w:t>
      </w:r>
      <w:r>
        <w:rPr>
          <w:spacing w:val="-2"/>
        </w:rPr>
        <w:t>graph</w:t>
      </w:r>
    </w:p>
    <w:p>
      <w:pPr>
        <w:pStyle w:val="BodyText"/>
        <w:spacing w:line="396" w:lineRule="auto" w:before="18"/>
        <w:ind w:left="282" w:right="563"/>
        <w:jc w:val="both"/>
      </w:pPr>
      <w:r>
        <w:rPr>
          <w:i/>
        </w:rPr>
        <w:t>메모리 공간은 동일한 구조적 스토리를 강화합니다. 동일한 프로파일링에서 EndorseRank의 최대 메모리(4.6MB)는 AWP(38.2MB)보다 거의 한 자릿수 낮습니다. 절대 메가바이트는 n = 5,521에서 적당하지만 더 큰 n에서 배포할 때는 비율이 중요합니다. 전송 그래프</w:t>
      </w:r>
    </w:p>
    <w:p>
      <w:pPr>
        <w:pStyle w:val="BodyText"/>
        <w:spacing w:line="305" w:lineRule="exact"/>
        <w:ind w:left="282"/>
        <w:jc w:val="both"/>
      </w:pPr>
      <w:r>
        <w:rPr/>
        <w:t>adjacency,</w:t>
      </w:r>
      <w:r>
        <w:rPr>
          <w:spacing w:val="-13"/>
        </w:rPr>
        <w:t> </w:t>
      </w:r>
      <w:r>
        <w:rPr/>
        <w:t>weight</w:t>
      </w:r>
      <w:r>
        <w:rPr>
          <w:spacing w:val="-13"/>
        </w:rPr>
        <w:t> </w:t>
      </w:r>
      <w:r>
        <w:rPr/>
        <w:t>vectors,</w:t>
      </w:r>
      <w:r>
        <w:rPr>
          <w:spacing w:val="-12"/>
        </w:rPr>
        <w:t> </w:t>
      </w:r>
      <w:r>
        <w:rPr/>
        <w:t>and</w:t>
      </w:r>
      <w:r>
        <w:rPr>
          <w:spacing w:val="-13"/>
        </w:rPr>
        <w:t> </w:t>
      </w:r>
      <w:r>
        <w:rPr/>
        <w:t>residual</w:t>
      </w:r>
      <w:r>
        <w:rPr>
          <w:spacing w:val="-14"/>
        </w:rPr>
        <w:t> </w:t>
      </w:r>
      <w:r>
        <w:rPr/>
        <w:t>buffers</w:t>
      </w:r>
      <w:r>
        <w:rPr>
          <w:spacing w:val="-13"/>
        </w:rPr>
        <w:t> </w:t>
      </w:r>
      <w:r>
        <w:rPr/>
        <w:t>all</w:t>
      </w:r>
      <w:r>
        <w:rPr>
          <w:spacing w:val="-14"/>
        </w:rPr>
        <w:t> </w:t>
      </w:r>
      <w:r>
        <w:rPr/>
        <w:t>scale</w:t>
      </w:r>
      <w:r>
        <w:rPr>
          <w:spacing w:val="-13"/>
        </w:rPr>
        <w:t> </w:t>
      </w:r>
      <w:r>
        <w:rPr/>
        <w:t>with</w:t>
      </w:r>
      <w:r>
        <w:rPr>
          <w:spacing w:val="-14"/>
        </w:rPr>
        <w:t> </w:t>
      </w:r>
      <w:r>
        <w:rPr>
          <w:rFonts w:ascii="Lucida Sans Unicode"/>
        </w:rPr>
        <w:t>|</w:t>
      </w:r>
      <w:r>
        <w:rPr>
          <w:rFonts w:ascii="Calibri"/>
          <w:i/>
        </w:rPr>
        <w:t>E</w:t>
      </w:r>
      <w:r>
        <w:rPr>
          <w:rFonts w:ascii="Lucida Sans Unicode"/>
        </w:rPr>
        <w:t>|</w:t>
      </w:r>
      <w:r>
        <w:rPr/>
        <w:t>.</w:t>
      </w:r>
      <w:r>
        <w:rPr>
          <w:spacing w:val="9"/>
        </w:rPr>
        <w:t> </w:t>
      </w:r>
      <w:r>
        <w:rPr/>
        <w:t>A</w:t>
      </w:r>
      <w:r>
        <w:rPr>
          <w:spacing w:val="-14"/>
        </w:rPr>
        <w:t> </w:t>
      </w:r>
      <w:r>
        <w:rPr/>
        <w:t>method</w:t>
      </w:r>
      <w:r>
        <w:rPr>
          <w:spacing w:val="-13"/>
        </w:rPr>
        <w:t> </w:t>
      </w:r>
      <w:r>
        <w:rPr/>
        <w:t>that</w:t>
      </w:r>
      <w:r>
        <w:rPr>
          <w:spacing w:val="-14"/>
        </w:rPr>
        <w:t> </w:t>
      </w:r>
      <w:r>
        <w:rPr/>
        <w:t>stores</w:t>
      </w:r>
      <w:r>
        <w:rPr>
          <w:spacing w:val="-13"/>
        </w:rPr>
        <w:t> </w:t>
      </w:r>
      <w:r>
        <w:rPr/>
        <w:t>and</w:t>
      </w:r>
      <w:r>
        <w:rPr>
          <w:spacing w:val="-14"/>
        </w:rPr>
        <w:t> </w:t>
      </w:r>
      <w:r>
        <w:rPr>
          <w:spacing w:val="-2"/>
        </w:rPr>
        <w:t>iterates</w:t>
      </w:r>
    </w:p>
    <w:p>
      <w:pPr>
        <w:pStyle w:val="BodyText"/>
        <w:spacing w:line="305" w:lineRule="exact"/>
        <w:ind w:left="282"/>
        <w:jc w:val="both"/>
      </w:pPr>
      <w:r>
        <w:rPr>
          <w:i/>
        </w:rPr>
        <w:t>인접성, 가중치 벡터 및 잔여 버퍼는 모두 |E|로 확장됩니다. 저장하고 반복하는 메소드</w:t>
      </w:r>
    </w:p>
    <w:p>
      <w:pPr>
        <w:pStyle w:val="BodyText"/>
        <w:spacing w:before="88"/>
        <w:ind w:left="282"/>
        <w:jc w:val="both"/>
      </w:pPr>
      <w:r>
        <w:rPr/>
        <w:t>over</w:t>
      </w:r>
      <w:r>
        <w:rPr>
          <w:spacing w:val="-2"/>
        </w:rPr>
        <w:t> </w:t>
      </w:r>
      <w:r>
        <w:rPr/>
        <w:t>roughly</w:t>
      </w:r>
      <w:r>
        <w:rPr>
          <w:spacing w:val="-2"/>
        </w:rPr>
        <w:t> </w:t>
      </w:r>
      <w:r>
        <w:rPr>
          <w:rFonts w:ascii="Calibri" w:hAnsi="Calibri"/>
        </w:rPr>
        <w:t>9</w:t>
      </w:r>
      <w:r>
        <w:rPr>
          <w:rFonts w:ascii="Lucida Sans Unicode" w:hAnsi="Lucida Sans Unicode"/>
        </w:rPr>
        <w:t>×</w:t>
      </w:r>
      <w:r>
        <w:rPr>
          <w:rFonts w:ascii="Lucida Sans Unicode" w:hAnsi="Lucida Sans Unicode"/>
          <w:spacing w:val="-18"/>
        </w:rPr>
        <w:t> </w:t>
      </w:r>
      <w:r>
        <w:rPr/>
        <w:t>fewer</w:t>
      </w:r>
      <w:r>
        <w:rPr>
          <w:spacing w:val="-2"/>
        </w:rPr>
        <w:t> </w:t>
      </w:r>
      <w:r>
        <w:rPr/>
        <w:t>edges</w:t>
      </w:r>
      <w:r>
        <w:rPr>
          <w:spacing w:val="-2"/>
        </w:rPr>
        <w:t> </w:t>
      </w:r>
      <w:r>
        <w:rPr/>
        <w:t>inherits</w:t>
      </w:r>
      <w:r>
        <w:rPr>
          <w:spacing w:val="-2"/>
        </w:rPr>
        <w:t> </w:t>
      </w:r>
      <w:r>
        <w:rPr/>
        <w:t>proportional</w:t>
      </w:r>
      <w:r>
        <w:rPr>
          <w:spacing w:val="-2"/>
        </w:rPr>
        <w:t> </w:t>
      </w:r>
      <w:r>
        <w:rPr/>
        <w:t>savings</w:t>
      </w:r>
      <w:r>
        <w:rPr>
          <w:spacing w:val="-2"/>
        </w:rPr>
        <w:t> </w:t>
      </w:r>
      <w:r>
        <w:rPr/>
        <w:t>in</w:t>
      </w:r>
      <w:r>
        <w:rPr>
          <w:spacing w:val="-2"/>
        </w:rPr>
        <w:t> </w:t>
      </w:r>
      <w:r>
        <w:rPr/>
        <w:t>cache</w:t>
      </w:r>
      <w:r>
        <w:rPr>
          <w:spacing w:val="-2"/>
        </w:rPr>
        <w:t> </w:t>
      </w:r>
      <w:r>
        <w:rPr/>
        <w:t>pressure</w:t>
      </w:r>
      <w:r>
        <w:rPr>
          <w:spacing w:val="-2"/>
        </w:rPr>
        <w:t> </w:t>
      </w:r>
      <w:r>
        <w:rPr/>
        <w:t>and</w:t>
      </w:r>
      <w:r>
        <w:rPr>
          <w:spacing w:val="-2"/>
        </w:rPr>
        <w:t> </w:t>
      </w:r>
      <w:r>
        <w:rPr/>
        <w:t>allocator</w:t>
      </w:r>
      <w:r>
        <w:rPr>
          <w:spacing w:val="-2"/>
        </w:rPr>
        <w:t> traffic,</w:t>
      </w:r>
    </w:p>
    <w:p>
      <w:pPr>
        <w:pStyle w:val="BodyText"/>
        <w:spacing w:before="88"/>
        <w:ind w:left="282"/>
        <w:jc w:val="both"/>
      </w:pPr>
      <w:r>
        <w:rPr>
          <w:i/>
        </w:rPr>
        <w:t>대략 9배 이상 더 적은 에지가 캐시 압력 및 할당자 트래픽의 비례적인 절약을 상속합니다.</w:t>
      </w:r>
    </w:p>
    <w:p>
      <w:pPr>
        <w:pStyle w:val="BodyText"/>
        <w:spacing w:line="396" w:lineRule="auto" w:before="127"/>
        <w:ind w:left="282" w:right="558"/>
        <w:jc w:val="both"/>
      </w:pPr>
      <w:r>
        <w:rPr/>
        <w:t>not</w:t>
      </w:r>
      <w:r>
        <w:rPr>
          <w:spacing w:val="-15"/>
        </w:rPr>
        <w:t> </w:t>
      </w:r>
      <w:r>
        <w:rPr/>
        <w:t>only</w:t>
      </w:r>
      <w:r>
        <w:rPr>
          <w:spacing w:val="-15"/>
        </w:rPr>
        <w:t> </w:t>
      </w:r>
      <w:r>
        <w:rPr/>
        <w:t>in</w:t>
      </w:r>
      <w:r>
        <w:rPr>
          <w:spacing w:val="-15"/>
        </w:rPr>
        <w:t> </w:t>
      </w:r>
      <w:r>
        <w:rPr/>
        <w:t>arithmetic</w:t>
      </w:r>
      <w:r>
        <w:rPr>
          <w:spacing w:val="-15"/>
        </w:rPr>
        <w:t> </w:t>
      </w:r>
      <w:r>
        <w:rPr/>
        <w:t>operations.</w:t>
      </w:r>
      <w:r>
        <w:rPr>
          <w:spacing w:val="9"/>
        </w:rPr>
        <w:t> </w:t>
      </w:r>
      <w:r>
        <w:rPr/>
        <w:t>Iteration</w:t>
      </w:r>
      <w:r>
        <w:rPr>
          <w:spacing w:val="-15"/>
        </w:rPr>
        <w:t> </w:t>
      </w:r>
      <w:r>
        <w:rPr/>
        <w:t>counts</w:t>
      </w:r>
      <w:r>
        <w:rPr>
          <w:spacing w:val="-15"/>
        </w:rPr>
        <w:t> </w:t>
      </w:r>
      <w:r>
        <w:rPr/>
        <w:t>(37</w:t>
      </w:r>
      <w:r>
        <w:rPr>
          <w:spacing w:val="-15"/>
        </w:rPr>
        <w:t> </w:t>
      </w:r>
      <w:r>
        <w:rPr/>
        <w:t>vs.</w:t>
      </w:r>
      <w:r>
        <w:rPr>
          <w:spacing w:val="-15"/>
        </w:rPr>
        <w:t> </w:t>
      </w:r>
      <w:r>
        <w:rPr/>
        <w:t>100)</w:t>
      </w:r>
      <w:r>
        <w:rPr>
          <w:spacing w:val="-15"/>
        </w:rPr>
        <w:t> </w:t>
      </w:r>
      <w:r>
        <w:rPr/>
        <w:t>compound</w:t>
      </w:r>
      <w:r>
        <w:rPr>
          <w:spacing w:val="-15"/>
        </w:rPr>
        <w:t> </w:t>
      </w:r>
      <w:r>
        <w:rPr/>
        <w:t>this</w:t>
      </w:r>
      <w:r>
        <w:rPr>
          <w:spacing w:val="-15"/>
        </w:rPr>
        <w:t> </w:t>
      </w:r>
      <w:r>
        <w:rPr/>
        <w:t>effect:</w:t>
      </w:r>
      <w:r>
        <w:rPr>
          <w:spacing w:val="7"/>
        </w:rPr>
        <w:t> </w:t>
      </w:r>
      <w:r>
        <w:rPr/>
        <w:t>EndorseRank performs fewer passes over a smaller edge list.</w:t>
      </w:r>
    </w:p>
    <w:p>
      <w:pPr>
        <w:pStyle w:val="BodyText"/>
        <w:spacing w:line="396" w:lineRule="auto" w:before="127"/>
        <w:ind w:left="282" w:right="558"/>
        <w:jc w:val="both"/>
      </w:pPr>
      <w:r>
        <w:rPr>
          <w:i/>
        </w:rPr>
        <w:t>산술 연산뿐만 아니라. 반복 횟수(37 대 100)는 이 효과를 더욱 복잡하게 만듭니다. EndorseRank는 더 작은 가장자리 목록에 대해 더 적은 수의 패스를 수행합니다.</w:t>
      </w:r>
    </w:p>
    <w:p>
      <w:pPr>
        <w:pStyle w:val="BodyText"/>
        <w:spacing w:line="396" w:lineRule="auto" w:before="16"/>
        <w:ind w:left="282" w:right="524"/>
        <w:jc w:val="both"/>
      </w:pPr>
      <w:r>
        <w:rPr/>
        <w:t>From</w:t>
      </w:r>
      <w:r>
        <w:rPr>
          <w:spacing w:val="-13"/>
        </w:rPr>
        <w:t> </w:t>
      </w:r>
      <w:r>
        <w:rPr/>
        <w:t>a</w:t>
      </w:r>
      <w:r>
        <w:rPr>
          <w:spacing w:val="-13"/>
        </w:rPr>
        <w:t> </w:t>
      </w:r>
      <w:r>
        <w:rPr/>
        <w:t>systems</w:t>
      </w:r>
      <w:r>
        <w:rPr>
          <w:spacing w:val="-13"/>
        </w:rPr>
        <w:t> </w:t>
      </w:r>
      <w:r>
        <w:rPr/>
        <w:t>perspective,</w:t>
      </w:r>
      <w:r>
        <w:rPr>
          <w:spacing w:val="-13"/>
        </w:rPr>
        <w:t> </w:t>
      </w:r>
      <w:r>
        <w:rPr/>
        <w:t>Claim</w:t>
      </w:r>
      <w:r>
        <w:rPr>
          <w:spacing w:val="-13"/>
        </w:rPr>
        <w:t> </w:t>
      </w:r>
      <w:r>
        <w:rPr/>
        <w:t>C1</w:t>
      </w:r>
      <w:r>
        <w:rPr>
          <w:spacing w:val="-13"/>
        </w:rPr>
        <w:t> </w:t>
      </w:r>
      <w:r>
        <w:rPr/>
        <w:t>is</w:t>
      </w:r>
      <w:r>
        <w:rPr>
          <w:spacing w:val="-13"/>
        </w:rPr>
        <w:t> </w:t>
      </w:r>
      <w:r>
        <w:rPr/>
        <w:t>therefore</w:t>
      </w:r>
      <w:r>
        <w:rPr>
          <w:spacing w:val="-13"/>
        </w:rPr>
        <w:t> </w:t>
      </w:r>
      <w:r>
        <w:rPr/>
        <w:t>multi-dimensional.</w:t>
      </w:r>
      <w:r>
        <w:rPr>
          <w:spacing w:val="8"/>
        </w:rPr>
        <w:t> </w:t>
      </w:r>
      <w:r>
        <w:rPr/>
        <w:t>Wall-clock</w:t>
      </w:r>
      <w:r>
        <w:rPr>
          <w:spacing w:val="-14"/>
        </w:rPr>
        <w:t> </w:t>
      </w:r>
      <w:r>
        <w:rPr/>
        <w:t>time</w:t>
      </w:r>
      <w:r>
        <w:rPr>
          <w:spacing w:val="-13"/>
        </w:rPr>
        <w:t> </w:t>
      </w:r>
      <w:r>
        <w:rPr/>
        <w:t>is</w:t>
      </w:r>
      <w:r>
        <w:rPr>
          <w:spacing w:val="-13"/>
        </w:rPr>
        <w:t> </w:t>
      </w:r>
      <w:r>
        <w:rPr/>
        <w:t>the</w:t>
      </w:r>
      <w:r>
        <w:rPr>
          <w:spacing w:val="-13"/>
        </w:rPr>
        <w:t> </w:t>
      </w:r>
      <w:r>
        <w:rPr/>
        <w:t>head-</w:t>
      </w:r>
      <w:r>
        <w:rPr>
          <w:spacing w:val="-2"/>
        </w:rPr>
        <w:t>line</w:t>
      </w:r>
      <w:r>
        <w:rPr>
          <w:spacing w:val="-9"/>
        </w:rPr>
        <w:t> </w:t>
      </w:r>
      <w:r>
        <w:rPr>
          <w:spacing w:val="-2"/>
        </w:rPr>
        <w:t>metric</w:t>
      </w:r>
      <w:r>
        <w:rPr>
          <w:spacing w:val="-8"/>
        </w:rPr>
        <w:t> </w:t>
      </w:r>
      <w:r>
        <w:rPr>
          <w:spacing w:val="-2"/>
        </w:rPr>
        <w:t>for</w:t>
      </w:r>
      <w:r>
        <w:rPr>
          <w:spacing w:val="-9"/>
        </w:rPr>
        <w:t> </w:t>
      </w:r>
      <w:r>
        <w:rPr>
          <w:spacing w:val="-2"/>
        </w:rPr>
        <w:t>interactive</w:t>
      </w:r>
      <w:r>
        <w:rPr>
          <w:spacing w:val="-8"/>
        </w:rPr>
        <w:t> </w:t>
      </w:r>
      <w:r>
        <w:rPr>
          <w:spacing w:val="-2"/>
        </w:rPr>
        <w:t>refresh; memory</w:t>
      </w:r>
      <w:r>
        <w:rPr>
          <w:spacing w:val="-9"/>
        </w:rPr>
        <w:t> </w:t>
      </w:r>
      <w:r>
        <w:rPr>
          <w:spacing w:val="-2"/>
        </w:rPr>
        <w:t>and</w:t>
      </w:r>
      <w:r>
        <w:rPr>
          <w:spacing w:val="-8"/>
        </w:rPr>
        <w:t> </w:t>
      </w:r>
      <w:r>
        <w:rPr>
          <w:spacing w:val="-2"/>
        </w:rPr>
        <w:t>iterations</w:t>
      </w:r>
      <w:r>
        <w:rPr>
          <w:spacing w:val="-9"/>
        </w:rPr>
        <w:t> </w:t>
      </w:r>
      <w:r>
        <w:rPr>
          <w:spacing w:val="-2"/>
        </w:rPr>
        <w:t>are</w:t>
      </w:r>
      <w:r>
        <w:rPr>
          <w:spacing w:val="-8"/>
        </w:rPr>
        <w:t> </w:t>
      </w:r>
      <w:r>
        <w:rPr>
          <w:spacing w:val="-2"/>
        </w:rPr>
        <w:t>the</w:t>
      </w:r>
      <w:r>
        <w:rPr>
          <w:spacing w:val="-8"/>
        </w:rPr>
        <w:t> </w:t>
      </w:r>
      <w:r>
        <w:rPr>
          <w:spacing w:val="-2"/>
        </w:rPr>
        <w:t>mechanisms</w:t>
      </w:r>
      <w:r>
        <w:rPr>
          <w:spacing w:val="-9"/>
        </w:rPr>
        <w:t> </w:t>
      </w:r>
      <w:r>
        <w:rPr>
          <w:spacing w:val="-2"/>
        </w:rPr>
        <w:t>that</w:t>
      </w:r>
      <w:r>
        <w:rPr>
          <w:spacing w:val="-8"/>
        </w:rPr>
        <w:t> </w:t>
      </w:r>
      <w:r>
        <w:rPr>
          <w:spacing w:val="-2"/>
        </w:rPr>
        <w:t>make</w:t>
      </w:r>
      <w:r>
        <w:rPr>
          <w:spacing w:val="-9"/>
        </w:rPr>
        <w:t> </w:t>
      </w:r>
      <w:r>
        <w:rPr>
          <w:spacing w:val="-2"/>
        </w:rPr>
        <w:t>the</w:t>
      </w:r>
      <w:r>
        <w:rPr>
          <w:spacing w:val="-8"/>
        </w:rPr>
        <w:t> </w:t>
      </w:r>
      <w:r>
        <w:rPr>
          <w:spacing w:val="-2"/>
        </w:rPr>
        <w:t>headline </w:t>
      </w:r>
      <w:r>
        <w:rPr/>
        <w:t>durable</w:t>
      </w:r>
      <w:r>
        <w:rPr>
          <w:spacing w:val="-1"/>
        </w:rPr>
        <w:t> </w:t>
      </w:r>
      <w:r>
        <w:rPr/>
        <w:t>as</w:t>
      </w:r>
      <w:r>
        <w:rPr>
          <w:spacing w:val="-1"/>
        </w:rPr>
        <w:t> </w:t>
      </w:r>
      <w:r>
        <w:rPr/>
        <w:t>cohorts</w:t>
      </w:r>
      <w:r>
        <w:rPr>
          <w:spacing w:val="-1"/>
        </w:rPr>
        <w:t> </w:t>
      </w:r>
      <w:r>
        <w:rPr/>
        <w:t>grow.</w:t>
      </w:r>
      <w:r>
        <w:rPr>
          <w:spacing w:val="27"/>
        </w:rPr>
        <w:t> </w:t>
      </w:r>
      <w:r>
        <w:rPr/>
        <w:t>A</w:t>
      </w:r>
      <w:r>
        <w:rPr>
          <w:spacing w:val="-1"/>
        </w:rPr>
        <w:t> </w:t>
      </w:r>
      <w:r>
        <w:rPr/>
        <w:t>method</w:t>
      </w:r>
      <w:r>
        <w:rPr>
          <w:spacing w:val="-1"/>
        </w:rPr>
        <w:t> </w:t>
      </w:r>
      <w:r>
        <w:rPr/>
        <w:t>that</w:t>
      </w:r>
      <w:r>
        <w:rPr>
          <w:spacing w:val="-1"/>
        </w:rPr>
        <w:t> </w:t>
      </w:r>
      <w:r>
        <w:rPr/>
        <w:t>was</w:t>
      </w:r>
      <w:r>
        <w:rPr>
          <w:spacing w:val="-1"/>
        </w:rPr>
        <w:t> </w:t>
      </w:r>
      <w:r>
        <w:rPr/>
        <w:t>faster</w:t>
      </w:r>
      <w:r>
        <w:rPr>
          <w:spacing w:val="-1"/>
        </w:rPr>
        <w:t> </w:t>
      </w:r>
      <w:r>
        <w:rPr/>
        <w:t>only</w:t>
      </w:r>
      <w:r>
        <w:rPr>
          <w:spacing w:val="-1"/>
        </w:rPr>
        <w:t> </w:t>
      </w:r>
      <w:r>
        <w:rPr/>
        <w:t>because</w:t>
      </w:r>
      <w:r>
        <w:rPr>
          <w:spacing w:val="-1"/>
        </w:rPr>
        <w:t> </w:t>
      </w:r>
      <w:r>
        <w:rPr/>
        <w:t>of</w:t>
      </w:r>
      <w:r>
        <w:rPr>
          <w:spacing w:val="-1"/>
        </w:rPr>
        <w:t> </w:t>
      </w:r>
      <w:r>
        <w:rPr/>
        <w:t>an</w:t>
      </w:r>
      <w:r>
        <w:rPr>
          <w:spacing w:val="-1"/>
        </w:rPr>
        <w:t> </w:t>
      </w:r>
      <w:r>
        <w:rPr/>
        <w:t>implementation</w:t>
      </w:r>
      <w:r>
        <w:rPr>
          <w:spacing w:val="-1"/>
        </w:rPr>
        <w:t> </w:t>
      </w:r>
      <w:r>
        <w:rPr/>
        <w:t>accident—for</w:t>
      </w:r>
      <w:r>
        <w:rPr>
          <w:spacing w:val="-6"/>
        </w:rPr>
        <w:t> </w:t>
      </w:r>
      <w:r>
        <w:rPr/>
        <w:t>example,</w:t>
      </w:r>
      <w:r>
        <w:rPr>
          <w:spacing w:val="-5"/>
        </w:rPr>
        <w:t> </w:t>
      </w:r>
      <w:r>
        <w:rPr/>
        <w:t>an</w:t>
      </w:r>
      <w:r>
        <w:rPr>
          <w:spacing w:val="-6"/>
        </w:rPr>
        <w:t> </w:t>
      </w:r>
      <w:r>
        <w:rPr/>
        <w:t>unfairly</w:t>
      </w:r>
      <w:r>
        <w:rPr>
          <w:spacing w:val="-6"/>
        </w:rPr>
        <w:t> </w:t>
      </w:r>
      <w:r>
        <w:rPr/>
        <w:t>optimized</w:t>
      </w:r>
      <w:r>
        <w:rPr>
          <w:spacing w:val="-6"/>
        </w:rPr>
        <w:t> </w:t>
      </w:r>
      <w:r>
        <w:rPr/>
        <w:t>sparse</w:t>
      </w:r>
      <w:r>
        <w:rPr>
          <w:spacing w:val="-6"/>
        </w:rPr>
        <w:t> </w:t>
      </w:r>
      <w:r>
        <w:rPr/>
        <w:t>kernel</w:t>
      </w:r>
      <w:r>
        <w:rPr>
          <w:spacing w:val="-6"/>
        </w:rPr>
        <w:t> </w:t>
      </w:r>
      <w:r>
        <w:rPr/>
        <w:t>applied</w:t>
      </w:r>
      <w:r>
        <w:rPr>
          <w:spacing w:val="-6"/>
        </w:rPr>
        <w:t> </w:t>
      </w:r>
      <w:r>
        <w:rPr/>
        <w:t>to</w:t>
      </w:r>
      <w:r>
        <w:rPr>
          <w:spacing w:val="-6"/>
        </w:rPr>
        <w:t> </w:t>
      </w:r>
      <w:r>
        <w:rPr/>
        <w:t>one</w:t>
      </w:r>
      <w:r>
        <w:rPr>
          <w:spacing w:val="-6"/>
        </w:rPr>
        <w:t> </w:t>
      </w:r>
      <w:r>
        <w:rPr/>
        <w:t>graph</w:t>
      </w:r>
      <w:r>
        <w:rPr>
          <w:spacing w:val="-6"/>
        </w:rPr>
        <w:t> </w:t>
      </w:r>
      <w:r>
        <w:rPr/>
        <w:t>but</w:t>
      </w:r>
      <w:r>
        <w:rPr>
          <w:spacing w:val="-5"/>
        </w:rPr>
        <w:t> </w:t>
      </w:r>
      <w:r>
        <w:rPr/>
        <w:t>not</w:t>
      </w:r>
      <w:r>
        <w:rPr>
          <w:spacing w:val="-6"/>
        </w:rPr>
        <w:t> </w:t>
      </w:r>
      <w:r>
        <w:rPr/>
        <w:t>the</w:t>
      </w:r>
      <w:r>
        <w:rPr>
          <w:spacing w:val="-6"/>
        </w:rPr>
        <w:t> </w:t>
      </w:r>
      <w:r>
        <w:rPr/>
        <w:t>other—would</w:t>
      </w:r>
      <w:r>
        <w:rPr>
          <w:spacing w:val="-6"/>
        </w:rPr>
        <w:t> </w:t>
      </w:r>
      <w:r>
        <w:rPr/>
        <w:t>be less</w:t>
      </w:r>
      <w:r>
        <w:rPr>
          <w:spacing w:val="-13"/>
        </w:rPr>
        <w:t> </w:t>
      </w:r>
      <w:r>
        <w:rPr/>
        <w:t>persuasive.</w:t>
      </w:r>
      <w:r>
        <w:rPr>
          <w:spacing w:val="10"/>
        </w:rPr>
        <w:t> </w:t>
      </w:r>
      <w:r>
        <w:rPr/>
        <w:t>Here</w:t>
      </w:r>
      <w:r>
        <w:rPr>
          <w:spacing w:val="-13"/>
        </w:rPr>
        <w:t> </w:t>
      </w:r>
      <w:r>
        <w:rPr/>
        <w:t>both</w:t>
      </w:r>
      <w:r>
        <w:rPr>
          <w:spacing w:val="-13"/>
        </w:rPr>
        <w:t> </w:t>
      </w:r>
      <w:r>
        <w:rPr/>
        <w:t>methods</w:t>
      </w:r>
      <w:r>
        <w:rPr>
          <w:spacing w:val="-13"/>
        </w:rPr>
        <w:t> </w:t>
      </w:r>
      <w:r>
        <w:rPr/>
        <w:t>use</w:t>
      </w:r>
      <w:r>
        <w:rPr>
          <w:spacing w:val="-13"/>
        </w:rPr>
        <w:t> </w:t>
      </w:r>
      <w:r>
        <w:rPr/>
        <w:t>the</w:t>
      </w:r>
      <w:r>
        <w:rPr>
          <w:spacing w:val="-13"/>
        </w:rPr>
        <w:t> </w:t>
      </w:r>
      <w:r>
        <w:rPr/>
        <w:t>same</w:t>
      </w:r>
      <w:r>
        <w:rPr>
          <w:spacing w:val="-13"/>
        </w:rPr>
        <w:t> </w:t>
      </w:r>
      <w:r>
        <w:rPr/>
        <w:t>PageRank</w:t>
      </w:r>
      <w:r>
        <w:rPr>
          <w:spacing w:val="-13"/>
        </w:rPr>
        <w:t> </w:t>
      </w:r>
      <w:r>
        <w:rPr/>
        <w:t>solver,</w:t>
      </w:r>
      <w:r>
        <w:rPr>
          <w:spacing w:val="-12"/>
        </w:rPr>
        <w:t> </w:t>
      </w:r>
      <w:r>
        <w:rPr/>
        <w:t>tolerance,</w:t>
      </w:r>
      <w:r>
        <w:rPr>
          <w:spacing w:val="-12"/>
        </w:rPr>
        <w:t> </w:t>
      </w:r>
      <w:r>
        <w:rPr/>
        <w:t>and</w:t>
      </w:r>
      <w:r>
        <w:rPr>
          <w:spacing w:val="-13"/>
        </w:rPr>
        <w:t> </w:t>
      </w:r>
      <w:r>
        <w:rPr/>
        <w:t>damping</w:t>
      </w:r>
      <w:r>
        <w:rPr>
          <w:spacing w:val="-13"/>
        </w:rPr>
        <w:t> </w:t>
      </w:r>
      <w:r>
        <w:rPr/>
        <w:t>default; </w:t>
      </w:r>
      <w:bookmarkStart w:name="Runtime scaling on the expanded wallet p" w:id="167"/>
      <w:bookmarkEnd w:id="167"/>
      <w:r>
        <w:rPr/>
        <w:t>only</w:t>
      </w:r>
      <w:r>
        <w:rPr/>
        <w:t> the edge lists differ. The efficiency gap is a property of the endorsement representation.</w:t>
      </w:r>
    </w:p>
    <w:p>
      <w:pPr>
        <w:pStyle w:val="BodyText"/>
        <w:spacing w:line="396" w:lineRule="auto" w:before="16"/>
        <w:ind w:left="282" w:right="524"/>
        <w:jc w:val="both"/>
      </w:pPr>
      <w:r>
        <w:rPr>
          <w:i/>
        </w:rPr>
        <w:t>따라서 시스템 관점에서 보면 청구 C1은 다차원적입니다. 벽시계 시간은 대화형 새로 고침을 위한 헤드라인 지표이며, 메모리와 반복은 코호트가 성장함에 따라 헤드라인을 지속성 있게 만드는 메커니즘입니다. 구현 사고로 인해 더 빠른 방법(예: 불공평하게 최적화된 희소 커널이 한 그래프에만 적용되고 다른 그래프에는 적용되지 않음)은 설득력이 떨어집니다. 여기서 두 방법 모두 동일한 PageRank 솔버, 공차 및 감쇠 기본값을 사용하며 가장자리 목록만 다릅니다. 효율성 격차는 보증 표현의 속성입니다.</w:t>
      </w:r>
    </w:p>
    <w:p>
      <w:pPr>
        <w:pStyle w:val="BodyText"/>
        <w:spacing w:before="11"/>
      </w:pPr>
    </w:p>
    <w:p>
      <w:pPr>
        <w:pStyle w:val="Heading4"/>
        <w:numPr>
          <w:ilvl w:val="2"/>
          <w:numId w:val="8"/>
        </w:numPr>
        <w:tabs>
          <w:tab w:pos="879" w:val="left" w:leader="none"/>
        </w:tabs>
        <w:spacing w:line="240" w:lineRule="auto" w:before="1" w:after="0"/>
        <w:ind w:left="879" w:right="0" w:hanging="597"/>
        <w:jc w:val="both"/>
      </w:pPr>
      <w:r>
        <w:rPr/>
        <w:t>Runtime</w:t>
      </w:r>
      <w:r>
        <w:rPr>
          <w:spacing w:val="-9"/>
        </w:rPr>
        <w:t> </w:t>
      </w:r>
      <w:r>
        <w:rPr/>
        <w:t>scaling</w:t>
      </w:r>
      <w:r>
        <w:rPr>
          <w:spacing w:val="-9"/>
        </w:rPr>
        <w:t> </w:t>
      </w:r>
      <w:r>
        <w:rPr/>
        <w:t>on</w:t>
      </w:r>
      <w:r>
        <w:rPr>
          <w:spacing w:val="-8"/>
        </w:rPr>
        <w:t> </w:t>
      </w:r>
      <w:r>
        <w:rPr/>
        <w:t>the</w:t>
      </w:r>
      <w:r>
        <w:rPr>
          <w:spacing w:val="-9"/>
        </w:rPr>
        <w:t> </w:t>
      </w:r>
      <w:r>
        <w:rPr/>
        <w:t>expanded</w:t>
      </w:r>
      <w:r>
        <w:rPr>
          <w:spacing w:val="-9"/>
        </w:rPr>
        <w:t> </w:t>
      </w:r>
      <w:r>
        <w:rPr/>
        <w:t>wallet</w:t>
      </w:r>
      <w:r>
        <w:rPr>
          <w:spacing w:val="-8"/>
        </w:rPr>
        <w:t> </w:t>
      </w:r>
      <w:r>
        <w:rPr>
          <w:spacing w:val="-4"/>
        </w:rPr>
        <w:t>pool</w:t>
      </w:r>
    </w:p>
    <w:p>
      <w:pPr>
        <w:pStyle w:val="Heading4"/>
        <w:numPr>
          <w:ilvl w:val="2"/>
          <w:numId w:val="8"/>
        </w:numPr>
        <w:tabs>
          <w:tab w:pos="879" w:val="left" w:leader="none"/>
        </w:tabs>
        <w:spacing w:line="240" w:lineRule="auto" w:before="1" w:after="0"/>
        <w:ind w:left="879" w:right="0" w:hanging="597"/>
        <w:jc w:val="both"/>
      </w:pPr>
      <w:r>
        <w:rPr>
          <w:i/>
        </w:rPr>
        <w:t>확장된 지갑 풀의 런타임 확장</w:t>
      </w:r>
    </w:p>
    <w:p>
      <w:pPr>
        <w:pStyle w:val="BodyText"/>
        <w:spacing w:line="456" w:lineRule="exact" w:before="181"/>
        <w:ind w:left="273" w:right="523" w:firstLine="1"/>
        <w:jc w:val="both"/>
      </w:pPr>
      <w:r>
        <w:rPr>
          <w:spacing w:val="-2"/>
        </w:rPr>
        <w:t>The</w:t>
      </w:r>
      <w:r>
        <w:rPr>
          <w:spacing w:val="-11"/>
        </w:rPr>
        <w:t> </w:t>
      </w:r>
      <w:r>
        <w:rPr>
          <w:spacing w:val="-2"/>
        </w:rPr>
        <w:t>runtime</w:t>
      </w:r>
      <w:r>
        <w:rPr>
          <w:spacing w:val="-11"/>
        </w:rPr>
        <w:t> </w:t>
      </w:r>
      <w:r>
        <w:rPr>
          <w:spacing w:val="-2"/>
        </w:rPr>
        <w:t>advantage</w:t>
      </w:r>
      <w:r>
        <w:rPr>
          <w:spacing w:val="-11"/>
        </w:rPr>
        <w:t> </w:t>
      </w:r>
      <w:r>
        <w:rPr>
          <w:spacing w:val="-2"/>
        </w:rPr>
        <w:t>is</w:t>
      </w:r>
      <w:r>
        <w:rPr>
          <w:spacing w:val="-11"/>
        </w:rPr>
        <w:t> </w:t>
      </w:r>
      <w:r>
        <w:rPr>
          <w:spacing w:val="-2"/>
        </w:rPr>
        <w:t>not</w:t>
      </w:r>
      <w:r>
        <w:rPr>
          <w:spacing w:val="-11"/>
        </w:rPr>
        <w:t> </w:t>
      </w:r>
      <w:r>
        <w:rPr>
          <w:spacing w:val="-2"/>
        </w:rPr>
        <w:t>merely</w:t>
      </w:r>
      <w:r>
        <w:rPr>
          <w:spacing w:val="-11"/>
        </w:rPr>
        <w:t> </w:t>
      </w:r>
      <w:r>
        <w:rPr>
          <w:spacing w:val="-2"/>
        </w:rPr>
        <w:t>a</w:t>
      </w:r>
      <w:r>
        <w:rPr>
          <w:spacing w:val="-11"/>
        </w:rPr>
        <w:t> </w:t>
      </w:r>
      <w:r>
        <w:rPr>
          <w:spacing w:val="-2"/>
        </w:rPr>
        <w:t>constant-factor</w:t>
      </w:r>
      <w:r>
        <w:rPr>
          <w:spacing w:val="-11"/>
        </w:rPr>
        <w:t> </w:t>
      </w:r>
      <w:r>
        <w:rPr>
          <w:spacing w:val="-2"/>
        </w:rPr>
        <w:t>curiosity</w:t>
      </w:r>
      <w:r>
        <w:rPr>
          <w:spacing w:val="-11"/>
        </w:rPr>
        <w:t> </w:t>
      </w:r>
      <w:r>
        <w:rPr>
          <w:spacing w:val="-2"/>
        </w:rPr>
        <w:t>on</w:t>
      </w:r>
      <w:r>
        <w:rPr>
          <w:spacing w:val="-11"/>
        </w:rPr>
        <w:t> </w:t>
      </w:r>
      <w:r>
        <w:rPr>
          <w:spacing w:val="-2"/>
        </w:rPr>
        <w:t>a</w:t>
      </w:r>
      <w:r>
        <w:rPr>
          <w:spacing w:val="-11"/>
        </w:rPr>
        <w:t> </w:t>
      </w:r>
      <w:r>
        <w:rPr>
          <w:spacing w:val="-2"/>
        </w:rPr>
        <w:t>single</w:t>
      </w:r>
      <w:r>
        <w:rPr>
          <w:spacing w:val="-11"/>
        </w:rPr>
        <w:t> </w:t>
      </w:r>
      <w:r>
        <w:rPr>
          <w:spacing w:val="-2"/>
        </w:rPr>
        <w:t>cohort</w:t>
      </w:r>
      <w:r>
        <w:rPr>
          <w:spacing w:val="-11"/>
        </w:rPr>
        <w:t> </w:t>
      </w:r>
      <w:r>
        <w:rPr>
          <w:spacing w:val="-2"/>
        </w:rPr>
        <w:t>size.</w:t>
      </w:r>
      <w:r>
        <w:rPr>
          <w:spacing w:val="26"/>
        </w:rPr>
        <w:t> </w:t>
      </w:r>
      <w:r>
        <w:rPr>
          <w:spacing w:val="-2"/>
        </w:rPr>
        <w:t>If</w:t>
      </w:r>
      <w:r>
        <w:rPr>
          <w:spacing w:val="-11"/>
        </w:rPr>
        <w:t> </w:t>
      </w:r>
      <w:r>
        <w:rPr>
          <w:spacing w:val="-2"/>
        </w:rPr>
        <w:t>EndorseR-</w:t>
      </w:r>
      <w:r>
        <w:rPr/>
        <w:t>ank’s edge set remains substantially smaller than AWP’s as the wallet pool grows, the speedup should persist under staged scaling.</w:t>
      </w:r>
      <w:r>
        <w:rPr>
          <w:spacing w:val="25"/>
        </w:rPr>
        <w:t> </w:t>
      </w:r>
      <w:r>
        <w:rPr/>
        <w:t>Table</w:t>
      </w:r>
      <w:r>
        <w:rPr>
          <w:spacing w:val="-1"/>
        </w:rPr>
        <w:t> </w:t>
      </w:r>
      <w:hyperlink w:history="true" w:anchor="_bookmark93">
        <w:r>
          <w:rPr/>
          <w:t>4.3</w:t>
        </w:r>
      </w:hyperlink>
      <w:r>
        <w:rPr/>
        <w:t> reports runtime scaling on an expanded wallet pool of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 </w:t>
      </w:r>
      <w:r>
        <w:rPr/>
        <w:t>addresses: the GMX-qualified matched cohort unioned with supplemental active wallets drawn from the reputation subgraph.</w:t>
      </w:r>
      <w:r>
        <w:rPr>
          <w:spacing w:val="40"/>
        </w:rPr>
        <w:t> </w:t>
      </w:r>
      <w:r>
        <w:rPr/>
        <w:t>Deterministic SHA256 subsampling yields staged cohorts at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and at full pool size.</w:t>
      </w:r>
      <w:r>
        <w:rPr>
          <w:spacing w:val="40"/>
        </w:rPr>
        <w:t> </w:t>
      </w:r>
      <w:r>
        <w:rPr/>
        <w:t>In-cohort scaling for </w:t>
      </w:r>
      <w:r>
        <w:rPr>
          <w:rFonts w:ascii="Calibri" w:hAnsi="Calibri"/>
          <w:i/>
        </w:rPr>
        <w:t>n</w:t>
      </w:r>
      <w:r>
        <w:rPr>
          <w:rFonts w:ascii="Calibri" w:hAnsi="Calibri"/>
          <w:i/>
          <w:spacing w:val="40"/>
        </w:rPr>
        <w:t> </w:t>
      </w:r>
      <w:r>
        <w:rPr>
          <w:rFonts w:ascii="Lucida Sans Unicode" w:hAnsi="Lucida Sans Unicode"/>
        </w:rPr>
        <w:t>≤ </w:t>
      </w:r>
      <w:r>
        <w:rPr>
          <w:rFonts w:ascii="Calibri" w:hAnsi="Calibri"/>
        </w:rPr>
        <w:t>5</w:t>
      </w:r>
      <w:r>
        <w:rPr>
          <w:rFonts w:ascii="Calibri" w:hAnsi="Calibri"/>
          <w:i/>
        </w:rPr>
        <w:t>,</w:t>
      </w:r>
      <w:r>
        <w:rPr>
          <w:rFonts w:ascii="Calibri" w:hAnsi="Calibri"/>
        </w:rPr>
        <w:t>521 </w:t>
      </w:r>
      <w:r>
        <w:rPr/>
        <w:t>is reported in Ap-pendix </w:t>
      </w:r>
      <w:hyperlink w:history="true" w:anchor="_bookmark198">
        <w:r>
          <w:rPr/>
          <w:t>8.1</w:t>
        </w:r>
      </w:hyperlink>
      <w:r>
        <w:rPr/>
        <w:t> (Table </w:t>
      </w:r>
      <w:hyperlink w:history="true" w:anchor="_bookmark202">
        <w:r>
          <w:rPr/>
          <w:t>8.1</w:t>
        </w:r>
      </w:hyperlink>
      <w:r>
        <w:rPr/>
        <w:t>).</w:t>
      </w:r>
    </w:p>
    <w:p>
      <w:pPr>
        <w:pStyle w:val="BodyText"/>
        <w:spacing w:line="456" w:lineRule="exact" w:before="181"/>
        <w:ind w:left="273" w:right="523" w:firstLine="1"/>
        <w:jc w:val="both"/>
      </w:pPr>
      <w:r>
        <w:rPr>
          <w:i/>
        </w:rPr>
        <w:t>런타임 이점은 단순히 단일 코호트 규모에 대한 지속적인 호기심이 아닙니다. 지갑 풀이 커짐에 따라 EndorseR-ank의 엣지 세트가 AWP의 엣지 세트보다 상당히 작게 유지된다면 단계적 확장에서도 속도 향상이 지속되어야 합니다. 표 4.3은 N = 31,612개 주소의 확장된 지갑 풀에 대한 런타임 확장을 보고합니다. 즉, 평판 하위 그래프에서 가져온 보충 활성 지갑과 결합된 GMX 자격을 갖춘 일치 코호트입니다. 결정적 SHA256 서브샘플링은 n = 10,000 및 전체 풀 크기에서 단계적 코호트를 생성합니다. n ≤ 5,521에 대한 코호트 내 스케일링은 부록 8.1(표 8.1)에 보고되어 있습니다.</w:t>
      </w:r>
    </w:p>
    <w:p>
      <w:pPr>
        <w:pStyle w:val="BodyText"/>
        <w:spacing w:before="119"/>
        <w:ind w:left="273"/>
        <w:jc w:val="both"/>
      </w:pPr>
      <w:r>
        <w:rPr/>
        <w:t>At</w:t>
      </w:r>
      <w:r>
        <w:rPr>
          <w:spacing w:val="4"/>
        </w:rPr>
        <w:t> </w:t>
      </w:r>
      <w:r>
        <w:rPr>
          <w:rFonts w:ascii="Calibri" w:hAnsi="Calibri"/>
          <w:i/>
        </w:rPr>
        <w:t>n</w:t>
      </w:r>
      <w:r>
        <w:rPr>
          <w:rFonts w:ascii="Calibri" w:hAnsi="Calibri"/>
          <w:i/>
          <w:spacing w:val="30"/>
        </w:rPr>
        <w:t> </w:t>
      </w:r>
      <w:r>
        <w:rPr>
          <w:rFonts w:ascii="Calibri" w:hAnsi="Calibri"/>
        </w:rPr>
        <w:t>=</w:t>
      </w:r>
      <w:r>
        <w:rPr>
          <w:rFonts w:ascii="Calibri" w:hAnsi="Calibri"/>
          <w:spacing w:val="31"/>
        </w:rPr>
        <w:t> </w:t>
      </w:r>
      <w:r>
        <w:rPr>
          <w:rFonts w:ascii="Calibri" w:hAnsi="Calibri"/>
        </w:rPr>
        <w:t>10</w:t>
      </w:r>
      <w:r>
        <w:rPr>
          <w:rFonts w:ascii="Calibri" w:hAnsi="Calibri"/>
          <w:i/>
        </w:rPr>
        <w:t>,</w:t>
      </w:r>
      <w:r>
        <w:rPr>
          <w:rFonts w:ascii="Calibri" w:hAnsi="Calibri"/>
        </w:rPr>
        <w:t>000</w:t>
      </w:r>
      <w:r>
        <w:rPr/>
        <w:t>,</w:t>
      </w:r>
      <w:r>
        <w:rPr>
          <w:spacing w:val="9"/>
        </w:rPr>
        <w:t> </w:t>
      </w:r>
      <w:r>
        <w:rPr/>
        <w:t>EndorseRank</w:t>
      </w:r>
      <w:r>
        <w:rPr>
          <w:spacing w:val="7"/>
        </w:rPr>
        <w:t> </w:t>
      </w:r>
      <w:r>
        <w:rPr/>
        <w:t>runs</w:t>
      </w:r>
      <w:r>
        <w:rPr>
          <w:spacing w:val="7"/>
        </w:rPr>
        <w:t> </w:t>
      </w:r>
      <w:r>
        <w:rPr/>
        <w:t>in</w:t>
      </w:r>
      <w:r>
        <w:rPr>
          <w:spacing w:val="7"/>
        </w:rPr>
        <w:t> </w:t>
      </w:r>
      <w:r>
        <w:rPr/>
        <w:t>1.18</w:t>
      </w:r>
      <w:r>
        <w:rPr>
          <w:spacing w:val="-21"/>
        </w:rPr>
        <w:t> </w:t>
      </w:r>
      <w:r>
        <w:rPr/>
        <w:t>s</w:t>
      </w:r>
      <w:r>
        <w:rPr>
          <w:spacing w:val="7"/>
        </w:rPr>
        <w:t> </w:t>
      </w:r>
      <w:r>
        <w:rPr/>
        <w:t>versus</w:t>
      </w:r>
      <w:r>
        <w:rPr>
          <w:spacing w:val="8"/>
        </w:rPr>
        <w:t> </w:t>
      </w:r>
      <w:r>
        <w:rPr/>
        <w:t>12.28</w:t>
      </w:r>
      <w:r>
        <w:rPr>
          <w:spacing w:val="-21"/>
        </w:rPr>
        <w:t> </w:t>
      </w:r>
      <w:r>
        <w:rPr/>
        <w:t>s</w:t>
      </w:r>
      <w:r>
        <w:rPr>
          <w:spacing w:val="7"/>
        </w:rPr>
        <w:t> </w:t>
      </w:r>
      <w:r>
        <w:rPr/>
        <w:t>for</w:t>
      </w:r>
      <w:r>
        <w:rPr>
          <w:spacing w:val="7"/>
        </w:rPr>
        <w:t> </w:t>
      </w:r>
      <w:r>
        <w:rPr/>
        <w:t>AWP</w:t>
      </w:r>
      <w:r>
        <w:rPr>
          <w:spacing w:val="6"/>
        </w:rPr>
        <w:t> </w:t>
      </w:r>
      <w:r>
        <w:rPr/>
        <w:t>(speedup</w:t>
      </w:r>
      <w:r>
        <w:rPr>
          <w:spacing w:val="7"/>
        </w:rPr>
        <w:t> </w:t>
      </w:r>
      <w:r>
        <w:rPr>
          <w:rFonts w:ascii="Lucida Sans Unicode" w:hAnsi="Lucida Sans Unicode"/>
        </w:rPr>
        <w:t>≈</w:t>
      </w:r>
      <w:r>
        <w:rPr>
          <w:rFonts w:ascii="Lucida Sans Unicode" w:hAnsi="Lucida Sans Unicode"/>
          <w:spacing w:val="10"/>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w:t>
      </w:r>
      <w:r>
        <w:rPr>
          <w:spacing w:val="45"/>
        </w:rPr>
        <w:t> </w:t>
      </w:r>
      <w:r>
        <w:rPr/>
        <w:t>At</w:t>
      </w:r>
      <w:r>
        <w:rPr>
          <w:spacing w:val="8"/>
        </w:rPr>
        <w:t> </w:t>
      </w:r>
      <w:r>
        <w:rPr>
          <w:spacing w:val="-4"/>
        </w:rPr>
        <w:t>full</w:t>
      </w:r>
    </w:p>
    <w:p>
      <w:pPr>
        <w:pStyle w:val="BodyText"/>
        <w:spacing w:before="119"/>
        <w:ind w:left="273"/>
        <w:jc w:val="both"/>
      </w:pPr>
      <w:r>
        <w:rPr>
          <w:i/>
        </w:rPr>
        <w:t>n = 10,000에서 EndorseRank는 1.18초 만에 실행되고 AWP의 경우 12.28초가 걸립니다(속도 향상 10.4×). 가득 차서</w:t>
      </w:r>
    </w:p>
    <w:p>
      <w:pPr>
        <w:pStyle w:val="BodyText"/>
        <w:spacing w:after="0"/>
        <w:jc w:val="both"/>
        <w:sectPr>
          <w:pgSz w:w="11910" w:h="16840"/>
          <w:pgMar w:header="0" w:footer="2115" w:top="1840" w:bottom="2300" w:left="992" w:right="708"/>
        </w:sectPr>
      </w:pPr>
    </w:p>
    <w:p>
      <w:pPr>
        <w:pStyle w:val="BodyText"/>
        <w:spacing w:line="237" w:lineRule="auto" w:before="93"/>
        <w:ind w:left="282" w:right="564" w:hanging="8"/>
      </w:pPr>
      <w:bookmarkStart w:name="_bookmark93" w:id="168"/>
      <w:bookmarkEnd w:id="168"/>
      <w:r>
        <w:rPr/>
      </w:r>
      <w:r>
        <w:rPr>
          <w:spacing w:val="-2"/>
          <w:w w:val="105"/>
        </w:rPr>
        <w:t>Table</w:t>
      </w:r>
      <w:r>
        <w:rPr>
          <w:spacing w:val="-12"/>
          <w:w w:val="105"/>
        </w:rPr>
        <w:t> </w:t>
      </w:r>
      <w:r>
        <w:rPr>
          <w:spacing w:val="-2"/>
          <w:w w:val="105"/>
        </w:rPr>
        <w:t>4.3:</w:t>
      </w:r>
      <w:r>
        <w:rPr>
          <w:spacing w:val="7"/>
          <w:w w:val="105"/>
        </w:rPr>
        <w:t> </w:t>
      </w:r>
      <w:r>
        <w:rPr>
          <w:spacing w:val="-2"/>
          <w:w w:val="105"/>
        </w:rPr>
        <w:t>Runtime</w:t>
      </w:r>
      <w:r>
        <w:rPr>
          <w:spacing w:val="-11"/>
          <w:w w:val="105"/>
        </w:rPr>
        <w:t> </w:t>
      </w:r>
      <w:r>
        <w:rPr>
          <w:spacing w:val="-2"/>
          <w:w w:val="105"/>
        </w:rPr>
        <w:t>scaling</w:t>
      </w:r>
      <w:r>
        <w:rPr>
          <w:spacing w:val="-11"/>
          <w:w w:val="105"/>
        </w:rPr>
        <w:t> </w:t>
      </w:r>
      <w:r>
        <w:rPr>
          <w:spacing w:val="-2"/>
          <w:w w:val="105"/>
        </w:rPr>
        <w:t>on</w:t>
      </w:r>
      <w:r>
        <w:rPr>
          <w:spacing w:val="-11"/>
          <w:w w:val="105"/>
        </w:rPr>
        <w:t> </w:t>
      </w:r>
      <w:r>
        <w:rPr>
          <w:spacing w:val="-2"/>
          <w:w w:val="105"/>
        </w:rPr>
        <w:t>expanded</w:t>
      </w:r>
      <w:r>
        <w:rPr>
          <w:spacing w:val="-11"/>
          <w:w w:val="105"/>
        </w:rPr>
        <w:t> </w:t>
      </w:r>
      <w:r>
        <w:rPr>
          <w:spacing w:val="-2"/>
          <w:w w:val="105"/>
        </w:rPr>
        <w:t>wallet</w:t>
      </w:r>
      <w:r>
        <w:rPr>
          <w:spacing w:val="-11"/>
          <w:w w:val="105"/>
        </w:rPr>
        <w:t> </w:t>
      </w:r>
      <w:r>
        <w:rPr>
          <w:spacing w:val="-2"/>
          <w:w w:val="105"/>
        </w:rPr>
        <w:t>pool</w:t>
      </w:r>
      <w:r>
        <w:rPr>
          <w:spacing w:val="-11"/>
          <w:w w:val="105"/>
        </w:rPr>
        <w:t> </w:t>
      </w:r>
      <w:r>
        <w:rPr>
          <w:spacing w:val="-2"/>
          <w:w w:val="105"/>
        </w:rPr>
        <w:t>(</w:t>
      </w:r>
      <w:r>
        <w:rPr>
          <w:rFonts w:ascii="Calibri" w:hAnsi="Calibri"/>
          <w:i/>
          <w:spacing w:val="-2"/>
          <w:w w:val="105"/>
        </w:rPr>
        <w:t>N</w:t>
      </w:r>
      <w:r>
        <w:rPr>
          <w:rFonts w:ascii="Calibri" w:hAnsi="Calibri"/>
          <w:i/>
          <w:spacing w:val="20"/>
          <w:w w:val="110"/>
        </w:rPr>
        <w:t> </w:t>
      </w:r>
      <w:r>
        <w:rPr>
          <w:rFonts w:ascii="Calibri" w:hAnsi="Calibri"/>
          <w:spacing w:val="-2"/>
          <w:w w:val="110"/>
        </w:rPr>
        <w:t>= </w:t>
      </w:r>
      <w:r>
        <w:rPr>
          <w:rFonts w:ascii="Calibri" w:hAnsi="Calibri"/>
          <w:spacing w:val="-2"/>
          <w:w w:val="105"/>
        </w:rPr>
        <w:t>31612</w:t>
      </w:r>
      <w:r>
        <w:rPr>
          <w:spacing w:val="-2"/>
          <w:w w:val="105"/>
        </w:rPr>
        <w:t>;</w:t>
      </w:r>
      <w:r>
        <w:rPr>
          <w:spacing w:val="-11"/>
          <w:w w:val="105"/>
        </w:rPr>
        <w:t> </w:t>
      </w:r>
      <w:r>
        <w:rPr>
          <w:spacing w:val="-2"/>
          <w:w w:val="105"/>
        </w:rPr>
        <w:t>SHA256</w:t>
      </w:r>
      <w:r>
        <w:rPr>
          <w:spacing w:val="-11"/>
          <w:w w:val="105"/>
        </w:rPr>
        <w:t> </w:t>
      </w:r>
      <w:r>
        <w:rPr>
          <w:spacing w:val="-2"/>
          <w:w w:val="105"/>
        </w:rPr>
        <w:t>seed</w:t>
      </w:r>
      <w:r>
        <w:rPr>
          <w:spacing w:val="-11"/>
          <w:w w:val="105"/>
        </w:rPr>
        <w:t> </w:t>
      </w:r>
      <w:r>
        <w:rPr>
          <w:rFonts w:ascii="Calibri" w:hAnsi="Calibri"/>
          <w:spacing w:val="-2"/>
          <w:w w:val="105"/>
        </w:rPr>
        <w:t>benchmark-</w:t>
      </w:r>
      <w:r>
        <w:rPr>
          <w:rFonts w:ascii="Calibri" w:hAnsi="Calibri"/>
          <w:spacing w:val="-2"/>
          <w:w w:val="110"/>
        </w:rPr>
        <w:t>tie </w:t>
      </w:r>
      <w:r>
        <w:rPr>
          <w:rFonts w:ascii="Calibri" w:hAnsi="Calibri"/>
          <w:w w:val="105"/>
        </w:rPr>
        <w:t>r2-v1</w:t>
      </w:r>
      <w:r>
        <w:rPr>
          <w:w w:val="105"/>
        </w:rPr>
        <w:t>).</w:t>
      </w:r>
      <w:r>
        <w:rPr>
          <w:spacing w:val="-12"/>
          <w:w w:val="105"/>
        </w:rPr>
        <w:t> </w:t>
      </w:r>
      <w:r>
        <w:rPr>
          <w:w w:val="105"/>
        </w:rPr>
        <w:t>Stages</w:t>
      </w:r>
      <w:r>
        <w:rPr>
          <w:spacing w:val="-16"/>
          <w:w w:val="105"/>
        </w:rPr>
        <w:t> </w:t>
      </w:r>
      <w:r>
        <w:rPr>
          <w:w w:val="105"/>
        </w:rPr>
        <w:t>subsample</w:t>
      </w:r>
      <w:r>
        <w:rPr>
          <w:spacing w:val="-16"/>
          <w:w w:val="105"/>
        </w:rPr>
        <w:t> </w:t>
      </w:r>
      <w:r>
        <w:rPr>
          <w:w w:val="105"/>
        </w:rPr>
        <w:t>the</w:t>
      </w:r>
      <w:r>
        <w:rPr>
          <w:spacing w:val="-15"/>
          <w:w w:val="105"/>
        </w:rPr>
        <w:t> </w:t>
      </w:r>
      <w:r>
        <w:rPr>
          <w:w w:val="105"/>
        </w:rPr>
        <w:t>extraction</w:t>
      </w:r>
      <w:r>
        <w:rPr>
          <w:spacing w:val="-16"/>
          <w:w w:val="105"/>
        </w:rPr>
        <w:t> </w:t>
      </w:r>
      <w:r>
        <w:rPr>
          <w:w w:val="105"/>
        </w:rPr>
        <w:t>wallet</w:t>
      </w:r>
      <w:r>
        <w:rPr>
          <w:spacing w:val="-16"/>
          <w:w w:val="105"/>
        </w:rPr>
        <w:t> </w:t>
      </w:r>
      <w:r>
        <w:rPr>
          <w:w w:val="105"/>
        </w:rPr>
        <w:t>set;</w:t>
      </w:r>
      <w:r>
        <w:rPr>
          <w:spacing w:val="-16"/>
          <w:w w:val="105"/>
        </w:rPr>
        <w:t> </w:t>
      </w:r>
      <w:r>
        <w:rPr>
          <w:w w:val="105"/>
        </w:rPr>
        <w:t>ER</w:t>
      </w:r>
      <w:r>
        <w:rPr>
          <w:spacing w:val="-15"/>
          <w:w w:val="105"/>
        </w:rPr>
        <w:t> </w:t>
      </w:r>
      <w:r>
        <w:rPr>
          <w:w w:val="105"/>
        </w:rPr>
        <w:t>speedup</w:t>
      </w:r>
      <w:r>
        <w:rPr>
          <w:spacing w:val="-16"/>
          <w:w w:val="105"/>
        </w:rPr>
        <w:t> </w:t>
      </w:r>
      <w:r>
        <w:rPr>
          <w:w w:val="105"/>
        </w:rPr>
        <w:t>=</w:t>
      </w:r>
      <w:r>
        <w:rPr>
          <w:spacing w:val="-16"/>
          <w:w w:val="105"/>
        </w:rPr>
        <w:t> </w:t>
      </w:r>
      <w:r>
        <w:rPr>
          <w:w w:val="105"/>
        </w:rPr>
        <w:t>AWP/ER</w:t>
      </w:r>
      <w:r>
        <w:rPr>
          <w:spacing w:val="-16"/>
          <w:w w:val="105"/>
        </w:rPr>
        <w:t> </w:t>
      </w:r>
      <w:r>
        <w:rPr>
          <w:w w:val="105"/>
        </w:rPr>
        <w:t>runtime</w:t>
      </w:r>
      <w:r>
        <w:rPr>
          <w:spacing w:val="-15"/>
          <w:w w:val="105"/>
        </w:rPr>
        <w:t> </w:t>
      </w:r>
      <w:r>
        <w:rPr>
          <w:w w:val="105"/>
        </w:rPr>
        <w:t>ratio.</w:t>
      </w:r>
    </w:p>
    <w:p>
      <w:pPr>
        <w:pStyle w:val="BodyText"/>
        <w:spacing w:line="237" w:lineRule="auto" w:before="93"/>
        <w:ind w:left="282" w:right="564" w:hanging="8"/>
      </w:pPr>
      <w:r>
        <w:rPr>
          <w:i/>
        </w:rPr>
        <w:t>표 4.3: 확장된 지갑 풀의 런타임 확장(N = 31612, SHA256 시드 벤치마크 타이 r2-v1). 단계에서는 추출 지갑 세트를 서브샘플링합니다. ER 속도 향상 = AWP/ER 런타임 비율.</w:t>
      </w:r>
    </w:p>
    <w:p>
      <w:pPr>
        <w:pStyle w:val="BodyText"/>
        <w:spacing w:before="11"/>
        <w:rPr>
          <w:sz w:val="17"/>
        </w:rPr>
      </w:pPr>
      <w:r>
        <w:rPr>
          <w:sz w:val="17"/>
        </w:rPr>
        <mc:AlternateContent>
          <mc:Choice Requires="wps">
            <w:drawing>
              <wp:anchor distT="0" distB="0" distL="0" distR="0" allowOverlap="1" layoutInCell="1" locked="0" behindDoc="1" simplePos="0" relativeHeight="487631360">
                <wp:simplePos x="0" y="0"/>
                <wp:positionH relativeFrom="page">
                  <wp:posOffset>2226043</wp:posOffset>
                </wp:positionH>
                <wp:positionV relativeFrom="paragraph">
                  <wp:posOffset>146673</wp:posOffset>
                </wp:positionV>
                <wp:extent cx="3108325"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3108325" cy="1270"/>
                        </a:xfrm>
                        <a:custGeom>
                          <a:avLst/>
                          <a:gdLst/>
                          <a:ahLst/>
                          <a:cxnLst/>
                          <a:rect l="l" t="t" r="r" b="b"/>
                          <a:pathLst>
                            <a:path w="3108325" h="0">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5.279007pt;margin-top:11.549094pt;width:244.75pt;height:.1pt;mso-position-horizontal-relative:page;mso-position-vertical-relative:paragraph;z-index:-15685120;mso-wrap-distance-left:0;mso-wrap-distance-right:0" id="docshape358" coordorigin="3506,231" coordsize="4895,0" path="m3506,231l8400,231e" filled="false" stroked="true" strokeweight=".9564pt" strokecolor="#000000">
                <v:path arrowok="t"/>
                <v:stroke dashstyle="solid"/>
                <w10:wrap type="topAndBottom"/>
              </v:shape>
            </w:pict>
          </mc:Fallback>
        </mc:AlternateContent>
      </w:r>
    </w:p>
    <w:p>
      <w:pPr>
        <w:tabs>
          <w:tab w:pos="3340" w:val="left" w:leader="none"/>
          <w:tab w:pos="4123" w:val="left" w:leader="none"/>
          <w:tab w:pos="5062" w:val="left" w:leader="none"/>
          <w:tab w:pos="5945" w:val="left" w:leader="none"/>
          <w:tab w:pos="6792" w:val="left" w:leader="none"/>
        </w:tabs>
        <w:spacing w:line="390" w:lineRule="atLeast" w:before="0"/>
        <w:ind w:left="2583" w:right="2865" w:firstLine="414"/>
        <w:jc w:val="left"/>
        <w:rPr>
          <w:sz w:val="22"/>
        </w:rPr>
      </w:pPr>
      <w:r>
        <w:rPr>
          <w:rFonts w:ascii="Calibri" w:hAnsi="Calibri"/>
          <w:i/>
          <w:sz w:val="22"/>
        </w:rPr>
        <w:t>n</w:t>
      </w:r>
      <w:r>
        <w:rPr>
          <w:rFonts w:ascii="Calibri" w:hAnsi="Calibri"/>
          <w:i/>
          <w:spacing w:val="80"/>
          <w:sz w:val="22"/>
        </w:rPr>
        <w:t> </w:t>
      </w:r>
      <w:r>
        <w:rPr>
          <w:sz w:val="22"/>
        </w:rPr>
        <w:t>ER</w:t>
      </w:r>
      <w:r>
        <w:rPr>
          <w:spacing w:val="-3"/>
          <w:sz w:val="22"/>
        </w:rPr>
        <w:t> </w:t>
      </w:r>
      <w:r>
        <w:rPr>
          <w:sz w:val="22"/>
        </w:rPr>
        <w:t>(s)</w:t>
      </w:r>
      <w:r>
        <w:rPr>
          <w:spacing w:val="40"/>
          <w:sz w:val="22"/>
        </w:rPr>
        <w:t> </w:t>
      </w:r>
      <w:r>
        <w:rPr>
          <w:sz w:val="22"/>
        </w:rPr>
        <w:t>AWP</w:t>
      </w:r>
      <w:r>
        <w:rPr>
          <w:spacing w:val="-3"/>
          <w:sz w:val="22"/>
        </w:rPr>
        <w:t> </w:t>
      </w:r>
      <w:r>
        <w:rPr>
          <w:sz w:val="22"/>
        </w:rPr>
        <w:t>(s)</w:t>
      </w:r>
      <w:r>
        <w:rPr>
          <w:spacing w:val="40"/>
          <w:sz w:val="22"/>
        </w:rPr>
        <w:t> </w:t>
      </w:r>
      <w:r>
        <w:rPr>
          <w:sz w:val="22"/>
        </w:rPr>
        <w:t>Speedup</w:t>
      </w:r>
      <w:r>
        <w:rPr>
          <w:spacing w:val="40"/>
          <w:sz w:val="22"/>
        </w:rPr>
        <w:t> </w:t>
      </w:r>
      <w:r>
        <w:rPr>
          <w:sz w:val="22"/>
        </w:rPr>
        <w:t>ER</w:t>
      </w:r>
      <w:r>
        <w:rPr>
          <w:spacing w:val="-3"/>
          <w:sz w:val="22"/>
        </w:rPr>
        <w:t> </w:t>
      </w:r>
      <w:r>
        <w:rPr>
          <w:rFonts w:ascii="Lucida Sans Unicode" w:hAnsi="Lucida Sans Unicode"/>
          <w:sz w:val="22"/>
        </w:rPr>
        <w:t>|</w:t>
      </w:r>
      <w:r>
        <w:rPr>
          <w:rFonts w:ascii="Calibri" w:hAnsi="Calibri"/>
          <w:i/>
          <w:sz w:val="22"/>
        </w:rPr>
        <w:t>E</w:t>
      </w:r>
      <w:r>
        <w:rPr>
          <w:rFonts w:ascii="Lucida Sans Unicode" w:hAnsi="Lucida Sans Unicode"/>
          <w:sz w:val="22"/>
        </w:rPr>
        <w:t>|</w:t>
      </w:r>
      <w:r>
        <w:rPr>
          <w:rFonts w:ascii="Lucida Sans Unicode" w:hAnsi="Lucida Sans Unicode"/>
          <w:spacing w:val="40"/>
          <w:sz w:val="22"/>
        </w:rPr>
        <w:t> </w:t>
      </w:r>
      <w:r>
        <w:rPr>
          <w:sz w:val="22"/>
        </w:rPr>
        <w:t>AWP</w:t>
      </w:r>
      <w:r>
        <w:rPr>
          <w:spacing w:val="-3"/>
          <w:sz w:val="22"/>
        </w:rPr>
        <w:t> </w:t>
      </w:r>
      <w:r>
        <w:rPr>
          <w:rFonts w:ascii="Lucida Sans Unicode" w:hAnsi="Lucida Sans Unicode"/>
          <w:sz w:val="22"/>
        </w:rPr>
        <w:t>|</w:t>
      </w:r>
      <w:r>
        <w:rPr>
          <w:rFonts w:ascii="Calibri" w:hAnsi="Calibri"/>
          <w:i/>
          <w:sz w:val="22"/>
        </w:rPr>
        <w:t>E</w:t>
      </w:r>
      <w:r>
        <w:rPr>
          <w:rFonts w:ascii="Lucida Sans Unicode" w:hAnsi="Lucida Sans Unicode"/>
          <w:sz w:val="22"/>
        </w:rPr>
        <w:t>| </w:t>
      </w:r>
      <w:r>
        <w:rPr>
          <w:spacing w:val="-2"/>
          <w:sz w:val="22"/>
        </w:rPr>
        <w:t>10000</w:t>
      </w:r>
      <w:r>
        <w:rPr>
          <w:sz w:val="22"/>
        </w:rPr>
        <w:tab/>
      </w:r>
      <w:r>
        <w:rPr>
          <w:spacing w:val="-2"/>
          <w:sz w:val="22"/>
        </w:rPr>
        <w:t>1.178</w:t>
      </w:r>
      <w:r>
        <w:rPr>
          <w:sz w:val="22"/>
        </w:rPr>
        <w:tab/>
      </w:r>
      <w:r>
        <w:rPr>
          <w:spacing w:val="-2"/>
          <w:sz w:val="22"/>
        </w:rPr>
        <w:t>12.277</w:t>
      </w:r>
      <w:r>
        <w:rPr>
          <w:sz w:val="22"/>
        </w:rPr>
        <w:tab/>
      </w:r>
      <w:r>
        <w:rPr>
          <w:spacing w:val="-2"/>
          <w:sz w:val="22"/>
        </w:rPr>
        <w:t>10.4</w:t>
      </w:r>
      <w:r>
        <w:rPr>
          <w:rFonts w:ascii="Lucida Sans Unicode" w:hAnsi="Lucida Sans Unicode"/>
          <w:spacing w:val="-2"/>
          <w:sz w:val="22"/>
        </w:rPr>
        <w:t>×</w:t>
      </w:r>
      <w:r>
        <w:rPr>
          <w:rFonts w:ascii="Lucida Sans Unicode" w:hAnsi="Lucida Sans Unicode"/>
          <w:sz w:val="22"/>
        </w:rPr>
        <w:tab/>
      </w:r>
      <w:r>
        <w:rPr>
          <w:spacing w:val="-4"/>
          <w:sz w:val="22"/>
        </w:rPr>
        <w:t>7067</w:t>
      </w:r>
      <w:r>
        <w:rPr>
          <w:sz w:val="22"/>
        </w:rPr>
        <w:tab/>
      </w:r>
      <w:r>
        <w:rPr>
          <w:spacing w:val="-2"/>
          <w:sz w:val="22"/>
        </w:rPr>
        <w:t>7215</w:t>
      </w:r>
      <w:r>
        <w:rPr>
          <w:spacing w:val="-2"/>
          <w:sz w:val="22"/>
        </w:rPr>
        <w:t>8</w:t>
      </w:r>
    </w:p>
    <w:p>
      <w:pPr>
        <w:tabs>
          <w:tab w:pos="3340" w:val="left" w:leader="none"/>
          <w:tab w:pos="4123" w:val="left" w:leader="none"/>
          <w:tab w:pos="5062" w:val="left" w:leader="none"/>
          <w:tab w:pos="5945" w:val="left" w:leader="none"/>
          <w:tab w:pos="6792" w:val="left" w:leader="none"/>
        </w:tabs>
        <w:spacing w:line="390" w:lineRule="atLeast" w:before="0"/>
        <w:ind w:left="2583" w:right="2865" w:firstLine="414"/>
        <w:jc w:val="left"/>
        <w:rPr>
          <w:sz w:val="22"/>
        </w:rPr>
      </w:pPr>
      <w:r>
        <w:rPr>
          <w:i/>
        </w:rPr>
        <w:t>n ER (s) AWP (s) 속도 향상 ER |E| AWP |E| 10000</w:t>
        <w:tab/>
        <w:t>1.178</w:t>
        <w:tab/>
        <w:t>12.277</w:t>
        <w:tab/>
        <w:t>10.4×</w:t>
        <w:tab/>
        <w:t>7067</w:t>
        <w:tab/>
        <w:t>72158</w:t>
      </w:r>
    </w:p>
    <w:p>
      <w:pPr>
        <w:tabs>
          <w:tab w:pos="3340" w:val="left" w:leader="none"/>
          <w:tab w:pos="4123" w:val="left" w:leader="none"/>
          <w:tab w:pos="5171" w:val="left" w:leader="none"/>
          <w:tab w:pos="5836" w:val="left" w:leader="none"/>
          <w:tab w:pos="6683" w:val="left" w:leader="none"/>
        </w:tabs>
        <w:spacing w:line="276" w:lineRule="exact" w:before="0" w:after="3"/>
        <w:ind w:left="2583" w:right="0" w:firstLine="0"/>
        <w:jc w:val="left"/>
        <w:rPr>
          <w:sz w:val="22"/>
        </w:rPr>
      </w:pPr>
      <w:r>
        <w:rPr>
          <w:sz w:val="22"/>
        </w:rPr>
        <mc:AlternateContent>
          <mc:Choice Requires="wps">
            <w:drawing>
              <wp:anchor distT="0" distB="0" distL="0" distR="0" allowOverlap="1" layoutInCell="1" locked="0" behindDoc="0" simplePos="0" relativeHeight="15773184">
                <wp:simplePos x="0" y="0"/>
                <wp:positionH relativeFrom="page">
                  <wp:posOffset>2226043</wp:posOffset>
                </wp:positionH>
                <wp:positionV relativeFrom="paragraph">
                  <wp:posOffset>-248135</wp:posOffset>
                </wp:positionV>
                <wp:extent cx="310832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3108325" cy="1270"/>
                        </a:xfrm>
                        <a:custGeom>
                          <a:avLst/>
                          <a:gdLst/>
                          <a:ahLst/>
                          <a:cxnLst/>
                          <a:rect l="l" t="t" r="r" b="b"/>
                          <a:pathLst>
                            <a:path w="3108325" h="0">
                              <a:moveTo>
                                <a:pt x="0" y="0"/>
                              </a:moveTo>
                              <a:lnTo>
                                <a:pt x="3107918"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175.279007pt,-19.5382pt" to="419.997007pt,-19.5382pt" stroked="true" strokeweight=".5978pt" strokecolor="#000000">
                <v:stroke dashstyle="solid"/>
                <w10:wrap type="none"/>
              </v:line>
            </w:pict>
          </mc:Fallback>
        </mc:AlternateContent>
      </w:r>
      <w:r>
        <w:rPr>
          <w:spacing w:val="-2"/>
          <w:sz w:val="22"/>
        </w:rPr>
        <w:t>31612</w:t>
      </w:r>
      <w:r>
        <w:rPr>
          <w:sz w:val="22"/>
        </w:rPr>
        <w:tab/>
      </w:r>
      <w:r>
        <w:rPr>
          <w:spacing w:val="-2"/>
          <w:sz w:val="22"/>
        </w:rPr>
        <w:t>2.286</w:t>
      </w:r>
      <w:r>
        <w:rPr>
          <w:sz w:val="22"/>
        </w:rPr>
        <w:tab/>
      </w:r>
      <w:r>
        <w:rPr>
          <w:spacing w:val="-2"/>
          <w:sz w:val="22"/>
        </w:rPr>
        <w:t>21.402</w:t>
      </w:r>
      <w:r>
        <w:rPr>
          <w:sz w:val="22"/>
        </w:rPr>
        <w:tab/>
      </w:r>
      <w:r>
        <w:rPr>
          <w:spacing w:val="-4"/>
          <w:sz w:val="22"/>
        </w:rPr>
        <w:t>9.4</w:t>
      </w:r>
      <w:r>
        <w:rPr>
          <w:rFonts w:ascii="Lucida Sans Unicode" w:hAnsi="Lucida Sans Unicode"/>
          <w:spacing w:val="-4"/>
          <w:sz w:val="22"/>
        </w:rPr>
        <w:t>×</w:t>
      </w:r>
      <w:r>
        <w:rPr>
          <w:rFonts w:ascii="Lucida Sans Unicode" w:hAnsi="Lucida Sans Unicode"/>
          <w:sz w:val="22"/>
        </w:rPr>
        <w:tab/>
      </w:r>
      <w:r>
        <w:rPr>
          <w:spacing w:val="-2"/>
          <w:sz w:val="22"/>
        </w:rPr>
        <w:t>14727</w:t>
      </w:r>
      <w:r>
        <w:rPr>
          <w:sz w:val="22"/>
        </w:rPr>
        <w:tab/>
      </w:r>
      <w:r>
        <w:rPr>
          <w:spacing w:val="-2"/>
          <w:sz w:val="22"/>
        </w:rPr>
        <w:t>137087</w:t>
      </w:r>
    </w:p>
    <w:p>
      <w:pPr>
        <w:spacing w:line="20" w:lineRule="exact"/>
        <w:ind w:left="2513" w:right="0" w:firstLine="0"/>
        <w:rPr>
          <w:sz w:val="2"/>
        </w:rPr>
      </w:pPr>
      <w:r>
        <w:rPr>
          <w:sz w:val="2"/>
        </w:rPr>
        <mc:AlternateContent>
          <mc:Choice Requires="wps">
            <w:drawing>
              <wp:inline distT="0" distB="0" distL="0" distR="0">
                <wp:extent cx="3108325" cy="12700"/>
                <wp:effectExtent l="9525" t="0" r="0" b="6350"/>
                <wp:docPr id="514" name="Group 514"/>
                <wp:cNvGraphicFramePr>
                  <a:graphicFrameLocks/>
                </wp:cNvGraphicFramePr>
                <a:graphic>
                  <a:graphicData uri="http://schemas.microsoft.com/office/word/2010/wordprocessingGroup">
                    <wpg:wgp>
                      <wpg:cNvPr id="514" name="Group 514"/>
                      <wpg:cNvGrpSpPr/>
                      <wpg:grpSpPr>
                        <a:xfrm>
                          <a:off x="0" y="0"/>
                          <a:ext cx="3108325" cy="12700"/>
                          <a:chExt cx="3108325" cy="12700"/>
                        </a:xfrm>
                      </wpg:grpSpPr>
                      <wps:wsp>
                        <wps:cNvPr id="515" name="Graphic 515"/>
                        <wps:cNvSpPr/>
                        <wps:spPr>
                          <a:xfrm>
                            <a:off x="0" y="6073"/>
                            <a:ext cx="3108325" cy="1270"/>
                          </a:xfrm>
                          <a:custGeom>
                            <a:avLst/>
                            <a:gdLst/>
                            <a:ahLst/>
                            <a:cxnLst/>
                            <a:rect l="l" t="t" r="r" b="b"/>
                            <a:pathLst>
                              <a:path w="3108325" h="0">
                                <a:moveTo>
                                  <a:pt x="0" y="0"/>
                                </a:moveTo>
                                <a:lnTo>
                                  <a:pt x="3107918" y="0"/>
                                </a:lnTo>
                              </a:path>
                            </a:pathLst>
                          </a:custGeom>
                          <a:ln w="1214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4.75pt;height:1pt;mso-position-horizontal-relative:char;mso-position-vertical-relative:line" id="docshapegroup359" coordorigin="0,0" coordsize="4895,20">
                <v:line style="position:absolute" from="0,10" to="4894,10" stroked="true" strokeweight=".9564pt" strokecolor="#000000">
                  <v:stroke dashstyle="solid"/>
                </v:line>
              </v:group>
            </w:pict>
          </mc:Fallback>
        </mc:AlternateContent>
      </w:r>
      <w:r>
        <w:rPr>
          <w:sz w:val="2"/>
        </w:rPr>
      </w:r>
    </w:p>
    <w:p>
      <w:pPr>
        <w:pStyle w:val="BodyText"/>
        <w:spacing w:line="456" w:lineRule="exact" w:before="262"/>
        <w:ind w:left="282" w:right="522"/>
        <w:jc w:val="both"/>
      </w:pPr>
      <w:r>
        <w:rPr/>
        <w:t>pool</w:t>
      </w:r>
      <w:r>
        <w:rPr>
          <w:spacing w:val="-5"/>
        </w:rPr>
        <w:t> </w:t>
      </w:r>
      <w:r>
        <w:rPr/>
        <w:t>size (</w:t>
      </w:r>
      <w:r>
        <w:rPr>
          <w:rFonts w:ascii="Calibri" w:hAnsi="Calibri"/>
          <w:i/>
        </w:rPr>
        <w:t>N</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w:t>
      </w:r>
      <w:r>
        <w:rPr/>
        <w:t>), EndorseRank runs in 2.29</w:t>
      </w:r>
      <w:r>
        <w:rPr>
          <w:spacing w:val="-15"/>
        </w:rPr>
        <w:t> </w:t>
      </w:r>
      <w:r>
        <w:rPr/>
        <w:t>s versus 21.40</w:t>
      </w:r>
      <w:r>
        <w:rPr>
          <w:spacing w:val="-15"/>
        </w:rPr>
        <w:t> </w:t>
      </w:r>
      <w:r>
        <w:rPr/>
        <w:t>s for AWP (speedup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 Edge counts at the full pool remain 14,727 for EndorseRank and 137,087 for AWP—identical to the matched-cohort edge totals in Table </w:t>
      </w:r>
      <w:hyperlink w:history="true" w:anchor="_bookmark86">
        <w:r>
          <w:rPr/>
          <w:t>4.1</w:t>
        </w:r>
      </w:hyperlink>
      <w:r>
        <w:rPr/>
        <w:t>—because the reputation subgraph edges among the evaluation wallets are fixed by the extraction; expanding the node set without adding new edges among scored wallets does not inflate </w:t>
      </w:r>
      <w:r>
        <w:rPr>
          <w:rFonts w:ascii="Lucida Sans Unicode" w:hAnsi="Lucida Sans Unicode"/>
        </w:rPr>
        <w:t>|</w:t>
      </w:r>
      <w:r>
        <w:rPr>
          <w:rFonts w:ascii="Calibri" w:hAnsi="Calibri"/>
          <w:i/>
        </w:rPr>
        <w:t>E</w:t>
      </w:r>
      <w:r>
        <w:rPr>
          <w:rFonts w:ascii="Lucida Sans Unicode" w:hAnsi="Lucida Sans Unicode"/>
        </w:rPr>
        <w:t>| </w:t>
      </w:r>
      <w:r>
        <w:rPr/>
        <w:t>for either method in this configuration.</w:t>
      </w:r>
      <w:r>
        <w:rPr>
          <w:spacing w:val="40"/>
        </w:rPr>
        <w:t> </w:t>
      </w:r>
      <w:r>
        <w:rPr/>
        <w:t>The speedup therefore remains in the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4"/>
        </w:rPr>
        <w:t> </w:t>
      </w:r>
      <w:r>
        <w:rPr/>
        <w:t>band across both staged sizes.</w:t>
      </w:r>
    </w:p>
    <w:p>
      <w:pPr>
        <w:pStyle w:val="BodyText"/>
        <w:spacing w:line="456" w:lineRule="exact" w:before="262"/>
        <w:ind w:left="282" w:right="522"/>
        <w:jc w:val="both"/>
      </w:pPr>
      <w:r>
        <w:rPr>
          <w:i/>
        </w:rPr>
        <w:t>풀 크기(N = 31,612), EndorseRank는 2.29초, AWP의 경우 21.40초에 실행됩니다(속도 향상 ≒ 9.4×). 전체 풀의 에지 수는 EndorseRank의 경우 14,727개, AWP의 경우 137,087개로 유지됩니다(표 4.1의 일치된 코호트 에지 합계와 동일). 왜냐하면 평가 지갑 간의 평판 하위 그래프 에지는 추출에 의해 고정되기 때문입니다. 점수가 매겨진 지갑 사이에 새 에지를 추가하지 않고 노드 세트를 확장하면 |E|가 팽창되지 않습니다. 이 구성의 두 방법 중 하나에 대해. 따라서 속도 향상은 두 단계 크기 모두에서 9~10× 대역으로 유지됩니다.</w:t>
      </w:r>
    </w:p>
    <w:p>
      <w:pPr>
        <w:pStyle w:val="BodyText"/>
        <w:spacing w:line="391" w:lineRule="auto" w:before="157"/>
        <w:ind w:left="282" w:right="560"/>
        <w:jc w:val="both"/>
      </w:pPr>
      <w:r>
        <w:rPr>
          <w:spacing w:val="-2"/>
        </w:rPr>
        <w:t>Figure</w:t>
      </w:r>
      <w:r>
        <w:rPr>
          <w:spacing w:val="-13"/>
        </w:rPr>
        <w:t> </w:t>
      </w:r>
      <w:hyperlink w:history="true" w:anchor="_bookmark94">
        <w:r>
          <w:rPr>
            <w:spacing w:val="-2"/>
          </w:rPr>
          <w:t>4.4</w:t>
        </w:r>
      </w:hyperlink>
      <w:r>
        <w:rPr>
          <w:spacing w:val="-13"/>
        </w:rPr>
        <w:t> </w:t>
      </w:r>
      <w:r>
        <w:rPr>
          <w:spacing w:val="-2"/>
        </w:rPr>
        <w:t>visualizes</w:t>
      </w:r>
      <w:r>
        <w:rPr>
          <w:spacing w:val="-13"/>
        </w:rPr>
        <w:t> </w:t>
      </w:r>
      <w:r>
        <w:rPr>
          <w:spacing w:val="-2"/>
        </w:rPr>
        <w:t>the</w:t>
      </w:r>
      <w:r>
        <w:rPr>
          <w:spacing w:val="-13"/>
        </w:rPr>
        <w:t> </w:t>
      </w:r>
      <w:r>
        <w:rPr>
          <w:spacing w:val="-2"/>
        </w:rPr>
        <w:t>scaling</w:t>
      </w:r>
      <w:r>
        <w:rPr>
          <w:spacing w:val="-13"/>
        </w:rPr>
        <w:t> </w:t>
      </w:r>
      <w:r>
        <w:rPr>
          <w:spacing w:val="-2"/>
        </w:rPr>
        <w:t>relationship.</w:t>
      </w:r>
      <w:r>
        <w:rPr>
          <w:spacing w:val="23"/>
        </w:rPr>
        <w:t> </w:t>
      </w:r>
      <w:r>
        <w:rPr>
          <w:spacing w:val="-2"/>
        </w:rPr>
        <w:t>The</w:t>
      </w:r>
      <w:r>
        <w:rPr>
          <w:spacing w:val="-13"/>
        </w:rPr>
        <w:t> </w:t>
      </w:r>
      <w:r>
        <w:rPr>
          <w:spacing w:val="-2"/>
        </w:rPr>
        <w:t>curves</w:t>
      </w:r>
      <w:r>
        <w:rPr>
          <w:spacing w:val="-13"/>
        </w:rPr>
        <w:t> </w:t>
      </w:r>
      <w:r>
        <w:rPr>
          <w:spacing w:val="-2"/>
        </w:rPr>
        <w:t>confirm</w:t>
      </w:r>
      <w:r>
        <w:rPr>
          <w:spacing w:val="-13"/>
        </w:rPr>
        <w:t> </w:t>
      </w:r>
      <w:r>
        <w:rPr>
          <w:spacing w:val="-2"/>
        </w:rPr>
        <w:t>that</w:t>
      </w:r>
      <w:r>
        <w:rPr>
          <w:spacing w:val="-13"/>
        </w:rPr>
        <w:t> </w:t>
      </w:r>
      <w:r>
        <w:rPr>
          <w:spacing w:val="-2"/>
        </w:rPr>
        <w:t>AWP’s</w:t>
      </w:r>
      <w:r>
        <w:rPr>
          <w:spacing w:val="-13"/>
        </w:rPr>
        <w:t> </w:t>
      </w:r>
      <w:r>
        <w:rPr>
          <w:spacing w:val="-2"/>
        </w:rPr>
        <w:t>wall-clock</w:t>
      </w:r>
      <w:r>
        <w:rPr>
          <w:spacing w:val="-13"/>
        </w:rPr>
        <w:t> </w:t>
      </w:r>
      <w:r>
        <w:rPr>
          <w:spacing w:val="-2"/>
        </w:rPr>
        <w:t>cost</w:t>
      </w:r>
      <w:r>
        <w:rPr>
          <w:spacing w:val="-13"/>
        </w:rPr>
        <w:t> </w:t>
      </w:r>
      <w:r>
        <w:rPr>
          <w:spacing w:val="-2"/>
        </w:rPr>
        <w:t>grows </w:t>
      </w:r>
      <w:r>
        <w:rPr/>
        <w:t>more</w:t>
      </w:r>
      <w:r>
        <w:rPr>
          <w:spacing w:val="-9"/>
        </w:rPr>
        <w:t> </w:t>
      </w:r>
      <w:r>
        <w:rPr/>
        <w:t>steeply</w:t>
      </w:r>
      <w:r>
        <w:rPr>
          <w:spacing w:val="-10"/>
        </w:rPr>
        <w:t> </w:t>
      </w:r>
      <w:r>
        <w:rPr/>
        <w:t>with</w:t>
      </w:r>
      <w:r>
        <w:rPr>
          <w:spacing w:val="-9"/>
        </w:rPr>
        <w:t> </w:t>
      </w:r>
      <w:r>
        <w:rPr>
          <w:rFonts w:ascii="Calibri" w:hAnsi="Calibri"/>
          <w:i/>
        </w:rPr>
        <w:t>n</w:t>
      </w:r>
      <w:r>
        <w:rPr/>
        <w:t>,</w:t>
      </w:r>
      <w:r>
        <w:rPr>
          <w:spacing w:val="-7"/>
        </w:rPr>
        <w:t> </w:t>
      </w:r>
      <w:r>
        <w:rPr/>
        <w:t>while</w:t>
      </w:r>
      <w:r>
        <w:rPr>
          <w:spacing w:val="-9"/>
        </w:rPr>
        <w:t> </w:t>
      </w:r>
      <w:r>
        <w:rPr/>
        <w:t>EndorseRank</w:t>
      </w:r>
      <w:r>
        <w:rPr>
          <w:spacing w:val="-10"/>
        </w:rPr>
        <w:t> </w:t>
      </w:r>
      <w:r>
        <w:rPr/>
        <w:t>remains</w:t>
      </w:r>
      <w:r>
        <w:rPr>
          <w:spacing w:val="-9"/>
        </w:rPr>
        <w:t> </w:t>
      </w:r>
      <w:r>
        <w:rPr/>
        <w:t>in</w:t>
      </w:r>
      <w:r>
        <w:rPr>
          <w:spacing w:val="-10"/>
        </w:rPr>
        <w:t> </w:t>
      </w:r>
      <w:r>
        <w:rPr/>
        <w:t>a</w:t>
      </w:r>
      <w:r>
        <w:rPr>
          <w:spacing w:val="-9"/>
        </w:rPr>
        <w:t> </w:t>
      </w:r>
      <w:r>
        <w:rPr/>
        <w:t>low-second</w:t>
      </w:r>
      <w:r>
        <w:rPr>
          <w:spacing w:val="-10"/>
        </w:rPr>
        <w:t> </w:t>
      </w:r>
      <w:r>
        <w:rPr/>
        <w:t>regime</w:t>
      </w:r>
      <w:r>
        <w:rPr>
          <w:spacing w:val="-9"/>
        </w:rPr>
        <w:t> </w:t>
      </w:r>
      <w:r>
        <w:rPr/>
        <w:t>even</w:t>
      </w:r>
      <w:r>
        <w:rPr>
          <w:spacing w:val="-10"/>
        </w:rPr>
        <w:t> </w:t>
      </w:r>
      <w:r>
        <w:rPr/>
        <w:t>at</w:t>
      </w:r>
      <w:r>
        <w:rPr>
          <w:spacing w:val="-9"/>
        </w:rPr>
        <w:t> </w:t>
      </w:r>
      <w:r>
        <w:rPr>
          <w:rFonts w:ascii="Calibri" w:hAnsi="Calibri"/>
          <w:i/>
        </w:rPr>
        <w:t>N</w:t>
      </w:r>
      <w:r>
        <w:rPr>
          <w:rFonts w:ascii="Calibri" w:hAnsi="Calibri"/>
          <w:i/>
          <w:spacing w:val="24"/>
          <w:w w:val="125"/>
        </w:rPr>
        <w:t> </w:t>
      </w:r>
      <w:r>
        <w:rPr>
          <w:rFonts w:ascii="Calibri" w:hAnsi="Calibri"/>
          <w:w w:val="125"/>
        </w:rPr>
        <w:t>=</w:t>
      </w:r>
      <w:r>
        <w:rPr>
          <w:rFonts w:ascii="Calibri" w:hAnsi="Calibri"/>
          <w:spacing w:val="-2"/>
          <w:w w:val="125"/>
        </w:rPr>
        <w:t> </w:t>
      </w:r>
      <w:r>
        <w:rPr>
          <w:rFonts w:ascii="Calibri" w:hAnsi="Calibri"/>
        </w:rPr>
        <w:t>31</w:t>
      </w:r>
      <w:r>
        <w:rPr>
          <w:rFonts w:ascii="Calibri" w:hAnsi="Calibri"/>
          <w:i/>
        </w:rPr>
        <w:t>,</w:t>
      </w:r>
      <w:r>
        <w:rPr>
          <w:rFonts w:ascii="Calibri" w:hAnsi="Calibri"/>
        </w:rPr>
        <w:t>612</w:t>
      </w:r>
      <w:r>
        <w:rPr/>
        <w:t>.</w:t>
      </w:r>
      <w:r>
        <w:rPr>
          <w:spacing w:val="17"/>
        </w:rPr>
        <w:t> </w:t>
      </w:r>
      <w:r>
        <w:rPr/>
        <w:t>For protocols</w:t>
      </w:r>
      <w:r>
        <w:rPr>
          <w:spacing w:val="-15"/>
        </w:rPr>
        <w:t> </w:t>
      </w:r>
      <w:r>
        <w:rPr/>
        <w:t>that</w:t>
      </w:r>
      <w:r>
        <w:rPr>
          <w:spacing w:val="-15"/>
        </w:rPr>
        <w:t> </w:t>
      </w:r>
      <w:r>
        <w:rPr/>
        <w:t>refresh</w:t>
      </w:r>
      <w:r>
        <w:rPr>
          <w:spacing w:val="-15"/>
        </w:rPr>
        <w:t> </w:t>
      </w:r>
      <w:r>
        <w:rPr/>
        <w:t>reputation</w:t>
      </w:r>
      <w:r>
        <w:rPr>
          <w:spacing w:val="-15"/>
        </w:rPr>
        <w:t> </w:t>
      </w:r>
      <w:r>
        <w:rPr/>
        <w:t>scores</w:t>
      </w:r>
      <w:r>
        <w:rPr>
          <w:spacing w:val="-15"/>
        </w:rPr>
        <w:t> </w:t>
      </w:r>
      <w:r>
        <w:rPr/>
        <w:t>frequently—for</w:t>
      </w:r>
      <w:r>
        <w:rPr>
          <w:spacing w:val="-15"/>
        </w:rPr>
        <w:t> </w:t>
      </w:r>
      <w:r>
        <w:rPr/>
        <w:t>example,</w:t>
      </w:r>
      <w:r>
        <w:rPr>
          <w:spacing w:val="-15"/>
        </w:rPr>
        <w:t> </w:t>
      </w:r>
      <w:r>
        <w:rPr/>
        <w:t>after</w:t>
      </w:r>
      <w:r>
        <w:rPr>
          <w:spacing w:val="-15"/>
        </w:rPr>
        <w:t> </w:t>
      </w:r>
      <w:r>
        <w:rPr/>
        <w:t>each</w:t>
      </w:r>
      <w:r>
        <w:rPr>
          <w:spacing w:val="-15"/>
        </w:rPr>
        <w:t> </w:t>
      </w:r>
      <w:r>
        <w:rPr/>
        <w:t>batch</w:t>
      </w:r>
      <w:r>
        <w:rPr>
          <w:spacing w:val="-15"/>
        </w:rPr>
        <w:t> </w:t>
      </w:r>
      <w:r>
        <w:rPr/>
        <w:t>of</w:t>
      </w:r>
      <w:r>
        <w:rPr>
          <w:spacing w:val="-15"/>
        </w:rPr>
        <w:t> </w:t>
      </w:r>
      <w:r>
        <w:rPr/>
        <w:t>new</w:t>
      </w:r>
      <w:r>
        <w:rPr>
          <w:spacing w:val="-15"/>
        </w:rPr>
        <w:t> </w:t>
      </w:r>
      <w:r>
        <w:rPr/>
        <w:t>approvals or</w:t>
      </w:r>
      <w:r>
        <w:rPr>
          <w:spacing w:val="-13"/>
        </w:rPr>
        <w:t> </w:t>
      </w:r>
      <w:r>
        <w:rPr/>
        <w:t>transfers—an</w:t>
      </w:r>
      <w:r>
        <w:rPr>
          <w:spacing w:val="-13"/>
        </w:rPr>
        <w:t> </w:t>
      </w:r>
      <w:r>
        <w:rPr/>
        <w:t>order-of-magnitude</w:t>
      </w:r>
      <w:r>
        <w:rPr>
          <w:spacing w:val="-13"/>
        </w:rPr>
        <w:t> </w:t>
      </w:r>
      <w:r>
        <w:rPr/>
        <w:t>reduction</w:t>
      </w:r>
      <w:r>
        <w:rPr>
          <w:spacing w:val="-13"/>
        </w:rPr>
        <w:t> </w:t>
      </w:r>
      <w:r>
        <w:rPr/>
        <w:t>in</w:t>
      </w:r>
      <w:r>
        <w:rPr>
          <w:spacing w:val="-13"/>
        </w:rPr>
        <w:t> </w:t>
      </w:r>
      <w:r>
        <w:rPr/>
        <w:t>PageRank</w:t>
      </w:r>
      <w:r>
        <w:rPr>
          <w:spacing w:val="-13"/>
        </w:rPr>
        <w:t> </w:t>
      </w:r>
      <w:r>
        <w:rPr/>
        <w:t>solve</w:t>
      </w:r>
      <w:r>
        <w:rPr>
          <w:spacing w:val="-13"/>
        </w:rPr>
        <w:t> </w:t>
      </w:r>
      <w:r>
        <w:rPr/>
        <w:t>time</w:t>
      </w:r>
      <w:r>
        <w:rPr>
          <w:spacing w:val="-13"/>
        </w:rPr>
        <w:t> </w:t>
      </w:r>
      <w:r>
        <w:rPr/>
        <w:t>is</w:t>
      </w:r>
      <w:r>
        <w:rPr>
          <w:spacing w:val="-13"/>
        </w:rPr>
        <w:t> </w:t>
      </w:r>
      <w:r>
        <w:rPr/>
        <w:t>operationally</w:t>
      </w:r>
      <w:r>
        <w:rPr>
          <w:spacing w:val="-13"/>
        </w:rPr>
        <w:t> </w:t>
      </w:r>
      <w:r>
        <w:rPr/>
        <w:t>material:</w:t>
      </w:r>
      <w:r>
        <w:rPr>
          <w:spacing w:val="8"/>
        </w:rPr>
        <w:t> </w:t>
      </w:r>
      <w:r>
        <w:rPr/>
        <w:t>it lowers the cost of continuous monitoring and makes more frequent re-ranking feasible under the same compute budget.</w:t>
      </w:r>
    </w:p>
    <w:p>
      <w:pPr>
        <w:pStyle w:val="BodyText"/>
        <w:spacing w:line="391" w:lineRule="auto" w:before="157"/>
        <w:ind w:left="282" w:right="560"/>
        <w:jc w:val="both"/>
      </w:pPr>
      <w:r>
        <w:rPr>
          <w:i/>
        </w:rPr>
        <w:t>그림 4.4는 확장 관계를 시각화합니다. 곡선은 AWP의 벽시계 비용이 n에 따라 더 가파르게 증가하는 반면, EndorseRank는 N = 31,612에서도 낮은 초 영역에 남아 있음을 확인합니다. 예를 들어 새로운 승인 또는 전송이 일괄 처리된 후 평판 점수를 자주 새로 고치는 프로토콜의 경우 PageRank 해결 시간을 대폭 줄이는 것이 운영상 중요합니다. 이를 통해 지속적인 모니터링 비용을 낮추고 동일한 컴퓨팅 예산 내에서 더 자주 순위를 다시 매길 수 있습니다.</w:t>
      </w:r>
    </w:p>
    <w:p>
      <w:pPr>
        <w:pStyle w:val="BodyText"/>
        <w:spacing w:line="396" w:lineRule="auto" w:before="26"/>
        <w:ind w:left="282" w:right="523" w:hanging="8"/>
        <w:jc w:val="both"/>
      </w:pPr>
      <w:r>
        <w:rPr/>
        <w:t>Two</w:t>
      </w:r>
      <w:r>
        <w:rPr>
          <w:spacing w:val="-3"/>
        </w:rPr>
        <w:t> </w:t>
      </w:r>
      <w:r>
        <w:rPr/>
        <w:t>caveats</w:t>
      </w:r>
      <w:r>
        <w:rPr>
          <w:spacing w:val="-2"/>
        </w:rPr>
        <w:t> </w:t>
      </w:r>
      <w:r>
        <w:rPr/>
        <w:t>qualify</w:t>
      </w:r>
      <w:r>
        <w:rPr>
          <w:spacing w:val="-2"/>
        </w:rPr>
        <w:t> </w:t>
      </w:r>
      <w:r>
        <w:rPr/>
        <w:t>the</w:t>
      </w:r>
      <w:r>
        <w:rPr>
          <w:spacing w:val="-2"/>
        </w:rPr>
        <w:t> </w:t>
      </w:r>
      <w:r>
        <w:rPr/>
        <w:t>efficiency</w:t>
      </w:r>
      <w:r>
        <w:rPr>
          <w:spacing w:val="-3"/>
        </w:rPr>
        <w:t> </w:t>
      </w:r>
      <w:r>
        <w:rPr/>
        <w:t>claim.</w:t>
      </w:r>
      <w:r>
        <w:rPr>
          <w:spacing w:val="20"/>
        </w:rPr>
        <w:t> </w:t>
      </w:r>
      <w:r>
        <w:rPr/>
        <w:t>First,</w:t>
      </w:r>
      <w:r>
        <w:rPr>
          <w:spacing w:val="-2"/>
        </w:rPr>
        <w:t> </w:t>
      </w:r>
      <w:r>
        <w:rPr/>
        <w:t>the</w:t>
      </w:r>
      <w:r>
        <w:rPr>
          <w:spacing w:val="-2"/>
        </w:rPr>
        <w:t> </w:t>
      </w:r>
      <w:r>
        <w:rPr/>
        <w:t>benchmark</w:t>
      </w:r>
      <w:r>
        <w:rPr>
          <w:spacing w:val="-2"/>
        </w:rPr>
        <w:t> </w:t>
      </w:r>
      <w:r>
        <w:rPr/>
        <w:t>times</w:t>
      </w:r>
      <w:r>
        <w:rPr>
          <w:spacing w:val="-2"/>
        </w:rPr>
        <w:t> </w:t>
      </w:r>
      <w:r>
        <w:rPr/>
        <w:t>PageRank</w:t>
      </w:r>
      <w:r>
        <w:rPr>
          <w:spacing w:val="-2"/>
        </w:rPr>
        <w:t> </w:t>
      </w:r>
      <w:r>
        <w:rPr/>
        <w:t>solve</w:t>
      </w:r>
      <w:r>
        <w:rPr>
          <w:spacing w:val="-2"/>
        </w:rPr>
        <w:t> </w:t>
      </w:r>
      <w:r>
        <w:rPr/>
        <w:t>on</w:t>
      </w:r>
      <w:r>
        <w:rPr>
          <w:spacing w:val="-2"/>
        </w:rPr>
        <w:t> </w:t>
      </w:r>
      <w:r>
        <w:rPr/>
        <w:t>pre-built edge lists; end-to-end pipelines that include BigQuery extraction and edge construction incur ad-ditional</w:t>
      </w:r>
      <w:r>
        <w:rPr>
          <w:spacing w:val="-3"/>
        </w:rPr>
        <w:t> </w:t>
      </w:r>
      <w:r>
        <w:rPr/>
        <w:t>costs</w:t>
      </w:r>
      <w:r>
        <w:rPr>
          <w:spacing w:val="-3"/>
        </w:rPr>
        <w:t> </w:t>
      </w:r>
      <w:r>
        <w:rPr/>
        <w:t>shared</w:t>
      </w:r>
      <w:r>
        <w:rPr>
          <w:spacing w:val="-3"/>
        </w:rPr>
        <w:t> </w:t>
      </w:r>
      <w:r>
        <w:rPr/>
        <w:t>or</w:t>
      </w:r>
      <w:r>
        <w:rPr>
          <w:spacing w:val="-2"/>
        </w:rPr>
        <w:t> </w:t>
      </w:r>
      <w:r>
        <w:rPr/>
        <w:t>partially</w:t>
      </w:r>
      <w:r>
        <w:rPr>
          <w:spacing w:val="-3"/>
        </w:rPr>
        <w:t> </w:t>
      </w:r>
      <w:r>
        <w:rPr/>
        <w:t>shared</w:t>
      </w:r>
      <w:r>
        <w:rPr>
          <w:spacing w:val="-3"/>
        </w:rPr>
        <w:t> </w:t>
      </w:r>
      <w:r>
        <w:rPr/>
        <w:t>across</w:t>
      </w:r>
      <w:r>
        <w:rPr>
          <w:spacing w:val="-3"/>
        </w:rPr>
        <w:t> </w:t>
      </w:r>
      <w:r>
        <w:rPr/>
        <w:t>methods. Second,</w:t>
      </w:r>
      <w:r>
        <w:rPr>
          <w:spacing w:val="-3"/>
        </w:rPr>
        <w:t> </w:t>
      </w:r>
      <w:r>
        <w:rPr/>
        <w:t>memory</w:t>
      </w:r>
      <w:r>
        <w:rPr>
          <w:spacing w:val="-2"/>
        </w:rPr>
        <w:t> </w:t>
      </w:r>
      <w:r>
        <w:rPr/>
        <w:t>footprints</w:t>
      </w:r>
      <w:r>
        <w:rPr>
          <w:spacing w:val="-3"/>
        </w:rPr>
        <w:t> </w:t>
      </w:r>
      <w:r>
        <w:rPr/>
        <w:t>reported</w:t>
      </w:r>
      <w:r>
        <w:rPr>
          <w:spacing w:val="-3"/>
        </w:rPr>
        <w:t> </w:t>
      </w:r>
      <w:r>
        <w:rPr/>
        <w:t>here are modest because the cohort is wallet-filtered; full-chain transfer graphs would increase AWP’s absolute</w:t>
      </w:r>
      <w:r>
        <w:rPr>
          <w:spacing w:val="-8"/>
        </w:rPr>
        <w:t> </w:t>
      </w:r>
      <w:r>
        <w:rPr/>
        <w:t>cost</w:t>
      </w:r>
      <w:r>
        <w:rPr>
          <w:spacing w:val="-8"/>
        </w:rPr>
        <w:t> </w:t>
      </w:r>
      <w:r>
        <w:rPr/>
        <w:t>further</w:t>
      </w:r>
      <w:r>
        <w:rPr>
          <w:spacing w:val="-8"/>
        </w:rPr>
        <w:t> </w:t>
      </w:r>
      <w:r>
        <w:rPr/>
        <w:t>and</w:t>
      </w:r>
      <w:r>
        <w:rPr>
          <w:spacing w:val="-8"/>
        </w:rPr>
        <w:t> </w:t>
      </w:r>
      <w:r>
        <w:rPr/>
        <w:t>would</w:t>
      </w:r>
      <w:r>
        <w:rPr>
          <w:spacing w:val="-8"/>
        </w:rPr>
        <w:t> </w:t>
      </w:r>
      <w:r>
        <w:rPr/>
        <w:t>likely</w:t>
      </w:r>
      <w:r>
        <w:rPr>
          <w:spacing w:val="-8"/>
        </w:rPr>
        <w:t> </w:t>
      </w:r>
      <w:r>
        <w:rPr/>
        <w:t>widen,</w:t>
      </w:r>
      <w:r>
        <w:rPr>
          <w:spacing w:val="-7"/>
        </w:rPr>
        <w:t> </w:t>
      </w:r>
      <w:r>
        <w:rPr/>
        <w:t>not</w:t>
      </w:r>
      <w:r>
        <w:rPr>
          <w:spacing w:val="-8"/>
        </w:rPr>
        <w:t> </w:t>
      </w:r>
      <w:r>
        <w:rPr/>
        <w:t>narrow,</w:t>
      </w:r>
      <w:r>
        <w:rPr>
          <w:spacing w:val="-7"/>
        </w:rPr>
        <w:t> </w:t>
      </w:r>
      <w:r>
        <w:rPr/>
        <w:t>the</w:t>
      </w:r>
      <w:r>
        <w:rPr>
          <w:spacing w:val="-8"/>
        </w:rPr>
        <w:t> </w:t>
      </w:r>
      <w:r>
        <w:rPr/>
        <w:t>relative</w:t>
      </w:r>
      <w:r>
        <w:rPr>
          <w:spacing w:val="-8"/>
        </w:rPr>
        <w:t> </w:t>
      </w:r>
      <w:r>
        <w:rPr/>
        <w:t>gap.</w:t>
      </w:r>
      <w:r>
        <w:rPr>
          <w:spacing w:val="14"/>
        </w:rPr>
        <w:t> </w:t>
      </w:r>
      <w:r>
        <w:rPr/>
        <w:t>Within</w:t>
      </w:r>
      <w:r>
        <w:rPr>
          <w:spacing w:val="-8"/>
        </w:rPr>
        <w:t> </w:t>
      </w:r>
      <w:r>
        <w:rPr/>
        <w:t>the</w:t>
      </w:r>
      <w:r>
        <w:rPr>
          <w:spacing w:val="-8"/>
        </w:rPr>
        <w:t> </w:t>
      </w:r>
      <w:r>
        <w:rPr/>
        <w:t>scope</w:t>
      </w:r>
      <w:r>
        <w:rPr>
          <w:spacing w:val="-8"/>
        </w:rPr>
        <w:t> </w:t>
      </w:r>
      <w:r>
        <w:rPr/>
        <w:t>of</w:t>
      </w:r>
      <w:r>
        <w:rPr>
          <w:spacing w:val="-8"/>
        </w:rPr>
        <w:t> </w:t>
      </w:r>
      <w:r>
        <w:rPr/>
        <w:t>this dissertation—matched wallets with reputation-subgraph connectivity—Claim C1 is supported at both the matched cohort and the expanded pool.</w:t>
      </w:r>
    </w:p>
    <w:p>
      <w:pPr>
        <w:pStyle w:val="BodyText"/>
        <w:spacing w:line="396" w:lineRule="auto" w:before="26"/>
        <w:ind w:left="282" w:right="523" w:hanging="8"/>
        <w:jc w:val="both"/>
      </w:pPr>
      <w:r>
        <w:rPr>
          <w:i/>
        </w:rPr>
        <w:t>두 가지 주의 사항이 효율성 주장에 적합합니다. 첫째, 벤치마크 시간 PageRank은 사전 구축된 에지 목록을 해결합니다. BigQuery 추출 및 에지 구성을 포함하는 엔드투엔드 파이프라인에는 방법 전반에 걸쳐 공유되거나 부분적으로 공유되는 추가 비용이 발생합니다. 둘째, 여기에 보고된 메모리 공간은 코호트가 지갑 필터링되기 때문에 적당합니다. 전체 체인 전송 그래프는 AWP의 절대 비용을 더욱 증가시키고 상대적 격차를 좁히는 것이 아니라 넓힐 가능성이 높습니다. 이 논문의 범위 내에서(평판 하위 그래프 연결이 가능한 일치하는 지갑) 클레임 C1은 일치된 코호트와 확장된 풀 모두에서 지원됩니다.</w:t>
      </w:r>
    </w:p>
    <w:p>
      <w:pPr>
        <w:pStyle w:val="BodyText"/>
        <w:spacing w:line="396" w:lineRule="auto" w:before="22"/>
        <w:ind w:left="282" w:right="524" w:hanging="9"/>
        <w:jc w:val="both"/>
      </w:pPr>
      <w:r>
        <w:rPr/>
        <w:t>A</w:t>
      </w:r>
      <w:r>
        <w:rPr>
          <w:spacing w:val="-8"/>
        </w:rPr>
        <w:t> </w:t>
      </w:r>
      <w:r>
        <w:rPr/>
        <w:t>third</w:t>
      </w:r>
      <w:r>
        <w:rPr>
          <w:spacing w:val="-8"/>
        </w:rPr>
        <w:t> </w:t>
      </w:r>
      <w:r>
        <w:rPr/>
        <w:t>caveat</w:t>
      </w:r>
      <w:r>
        <w:rPr>
          <w:spacing w:val="-8"/>
        </w:rPr>
        <w:t> </w:t>
      </w:r>
      <w:r>
        <w:rPr/>
        <w:t>concerns</w:t>
      </w:r>
      <w:r>
        <w:rPr>
          <w:spacing w:val="-8"/>
        </w:rPr>
        <w:t> </w:t>
      </w:r>
      <w:r>
        <w:rPr/>
        <w:t>what</w:t>
      </w:r>
      <w:r>
        <w:rPr>
          <w:spacing w:val="-8"/>
        </w:rPr>
        <w:t> </w:t>
      </w:r>
      <w:r>
        <w:rPr/>
        <w:t>“faster”</w:t>
      </w:r>
      <w:r>
        <w:rPr>
          <w:spacing w:val="-8"/>
        </w:rPr>
        <w:t> </w:t>
      </w:r>
      <w:r>
        <w:rPr/>
        <w:t>does</w:t>
      </w:r>
      <w:r>
        <w:rPr>
          <w:spacing w:val="-8"/>
        </w:rPr>
        <w:t> </w:t>
      </w:r>
      <w:r>
        <w:rPr/>
        <w:t>and</w:t>
      </w:r>
      <w:r>
        <w:rPr>
          <w:spacing w:val="-8"/>
        </w:rPr>
        <w:t> </w:t>
      </w:r>
      <w:r>
        <w:rPr/>
        <w:t>does</w:t>
      </w:r>
      <w:r>
        <w:rPr>
          <w:spacing w:val="-8"/>
        </w:rPr>
        <w:t> </w:t>
      </w:r>
      <w:r>
        <w:rPr/>
        <w:t>not</w:t>
      </w:r>
      <w:r>
        <w:rPr>
          <w:spacing w:val="-8"/>
        </w:rPr>
        <w:t> </w:t>
      </w:r>
      <w:r>
        <w:rPr/>
        <w:t>buy. EndorseRank’s</w:t>
      </w:r>
      <w:r>
        <w:rPr>
          <w:spacing w:val="-8"/>
        </w:rPr>
        <w:t> </w:t>
      </w:r>
      <w:r>
        <w:rPr/>
        <w:t>speedup</w:t>
      </w:r>
      <w:r>
        <w:rPr>
          <w:spacing w:val="-8"/>
        </w:rPr>
        <w:t> </w:t>
      </w:r>
      <w:r>
        <w:rPr/>
        <w:t>does</w:t>
      </w:r>
      <w:r>
        <w:rPr>
          <w:spacing w:val="-8"/>
        </w:rPr>
        <w:t> </w:t>
      </w:r>
      <w:r>
        <w:rPr/>
        <w:t>not</w:t>
      </w:r>
      <w:r>
        <w:rPr>
          <w:spacing w:val="-8"/>
        </w:rPr>
        <w:t> </w:t>
      </w:r>
      <w:r>
        <w:rPr/>
        <w:t>au-tomatically</w:t>
      </w:r>
      <w:r>
        <w:rPr>
          <w:spacing w:val="-1"/>
        </w:rPr>
        <w:t> </w:t>
      </w:r>
      <w:r>
        <w:rPr/>
        <w:t>imply</w:t>
      </w:r>
      <w:r>
        <w:rPr>
          <w:spacing w:val="-1"/>
        </w:rPr>
        <w:t> </w:t>
      </w:r>
      <w:r>
        <w:rPr/>
        <w:t>superior</w:t>
      </w:r>
      <w:r>
        <w:rPr>
          <w:spacing w:val="-1"/>
        </w:rPr>
        <w:t> </w:t>
      </w:r>
      <w:r>
        <w:rPr/>
        <w:t>risk</w:t>
      </w:r>
      <w:r>
        <w:rPr>
          <w:spacing w:val="-1"/>
        </w:rPr>
        <w:t> </w:t>
      </w:r>
      <w:r>
        <w:rPr/>
        <w:t>discrimination.</w:t>
      </w:r>
      <w:r>
        <w:rPr>
          <w:spacing w:val="22"/>
        </w:rPr>
        <w:t> </w:t>
      </w:r>
      <w:r>
        <w:rPr/>
        <w:t>Efficiency</w:t>
      </w:r>
      <w:r>
        <w:rPr>
          <w:spacing w:val="-1"/>
        </w:rPr>
        <w:t> </w:t>
      </w:r>
      <w:r>
        <w:rPr/>
        <w:t>is</w:t>
      </w:r>
      <w:r>
        <w:rPr>
          <w:spacing w:val="-1"/>
        </w:rPr>
        <w:t> </w:t>
      </w:r>
      <w:r>
        <w:rPr/>
        <w:t>valuable</w:t>
      </w:r>
      <w:r>
        <w:rPr>
          <w:spacing w:val="-1"/>
        </w:rPr>
        <w:t> </w:t>
      </w:r>
      <w:r>
        <w:rPr/>
        <w:t>only</w:t>
      </w:r>
      <w:r>
        <w:rPr>
          <w:spacing w:val="-1"/>
        </w:rPr>
        <w:t> </w:t>
      </w:r>
      <w:r>
        <w:rPr/>
        <w:t>insofar</w:t>
      </w:r>
      <w:r>
        <w:rPr>
          <w:spacing w:val="-1"/>
        </w:rPr>
        <w:t> </w:t>
      </w:r>
      <w:r>
        <w:rPr/>
        <w:t>as</w:t>
      </w:r>
      <w:r>
        <w:rPr>
          <w:spacing w:val="-1"/>
        </w:rPr>
        <w:t> </w:t>
      </w:r>
      <w:r>
        <w:rPr/>
        <w:t>the</w:t>
      </w:r>
      <w:r>
        <w:rPr>
          <w:spacing w:val="-1"/>
        </w:rPr>
        <w:t> </w:t>
      </w:r>
      <w:r>
        <w:rPr/>
        <w:t>resulting scores</w:t>
      </w:r>
      <w:r>
        <w:rPr>
          <w:spacing w:val="-14"/>
        </w:rPr>
        <w:t> </w:t>
      </w:r>
      <w:r>
        <w:rPr/>
        <w:t>remain</w:t>
      </w:r>
      <w:r>
        <w:rPr>
          <w:spacing w:val="-14"/>
        </w:rPr>
        <w:t> </w:t>
      </w:r>
      <w:r>
        <w:rPr/>
        <w:t>credible</w:t>
      </w:r>
      <w:r>
        <w:rPr>
          <w:spacing w:val="-14"/>
        </w:rPr>
        <w:t> </w:t>
      </w:r>
      <w:r>
        <w:rPr/>
        <w:t>on</w:t>
      </w:r>
      <w:r>
        <w:rPr>
          <w:spacing w:val="-14"/>
        </w:rPr>
        <w:t> </w:t>
      </w:r>
      <w:r>
        <w:rPr/>
        <w:t>the</w:t>
      </w:r>
      <w:r>
        <w:rPr>
          <w:spacing w:val="-14"/>
        </w:rPr>
        <w:t> </w:t>
      </w:r>
      <w:r>
        <w:rPr/>
        <w:t>constructs</w:t>
      </w:r>
      <w:r>
        <w:rPr>
          <w:spacing w:val="-14"/>
        </w:rPr>
        <w:t> </w:t>
      </w:r>
      <w:r>
        <w:rPr/>
        <w:t>a</w:t>
      </w:r>
      <w:r>
        <w:rPr>
          <w:spacing w:val="-14"/>
        </w:rPr>
        <w:t> </w:t>
      </w:r>
      <w:r>
        <w:rPr/>
        <w:t>protocol</w:t>
      </w:r>
      <w:r>
        <w:rPr>
          <w:spacing w:val="-14"/>
        </w:rPr>
        <w:t> </w:t>
      </w:r>
      <w:r>
        <w:rPr/>
        <w:t>cares</w:t>
      </w:r>
      <w:r>
        <w:rPr>
          <w:spacing w:val="-14"/>
        </w:rPr>
        <w:t> </w:t>
      </w:r>
      <w:r>
        <w:rPr/>
        <w:t>about.</w:t>
      </w:r>
      <w:r>
        <w:rPr>
          <w:spacing w:val="12"/>
        </w:rPr>
        <w:t> </w:t>
      </w:r>
      <w:r>
        <w:rPr/>
        <w:t>Section</w:t>
      </w:r>
      <w:r>
        <w:rPr>
          <w:spacing w:val="-14"/>
        </w:rPr>
        <w:t> </w:t>
      </w:r>
      <w:hyperlink w:history="true" w:anchor="_bookmark100">
        <w:r>
          <w:rPr/>
          <w:t>4.4</w:t>
        </w:r>
      </w:hyperlink>
      <w:r>
        <w:rPr>
          <w:spacing w:val="-14"/>
        </w:rPr>
        <w:t> </w:t>
      </w:r>
      <w:r>
        <w:rPr/>
        <w:t>and</w:t>
      </w:r>
      <w:r>
        <w:rPr>
          <w:spacing w:val="-14"/>
        </w:rPr>
        <w:t> </w:t>
      </w:r>
      <w:r>
        <w:rPr/>
        <w:t>Claim</w:t>
      </w:r>
      <w:r>
        <w:rPr>
          <w:spacing w:val="-14"/>
        </w:rPr>
        <w:t> </w:t>
      </w:r>
      <w:r>
        <w:rPr/>
        <w:t>C4</w:t>
      </w:r>
      <w:r>
        <w:rPr>
          <w:spacing w:val="-14"/>
        </w:rPr>
        <w:t> </w:t>
      </w:r>
      <w:r>
        <w:rPr/>
        <w:t>therefore</w:t>
      </w:r>
    </w:p>
    <w:p>
      <w:pPr>
        <w:pStyle w:val="BodyText"/>
        <w:spacing w:line="396" w:lineRule="auto" w:before="22"/>
        <w:ind w:left="282" w:right="524" w:hanging="9"/>
        <w:jc w:val="both"/>
      </w:pPr>
      <w:r>
        <w:rPr>
          <w:i/>
        </w:rPr>
        <w:t>세 번째 경고는 "빠른 속도"가 구매하는 것과 구매하지 않는 것에 관한 것입니다. EndorseRank의 속도 향상이 자동으로 우수한 위험 차별을 의미하지는 않습니다. 효율성은 결과 점수가 프로토콜이 관심을 갖는 구성에 대해 신뢰할 수 있는 한에서만 가치가 있습니다. 섹션 4.4 및 그에 따른 청구 C4</w:t>
      </w:r>
    </w:p>
    <w:p>
      <w:pPr>
        <w:pStyle w:val="BodyText"/>
        <w:spacing w:after="0" w:line="396" w:lineRule="auto"/>
        <w:jc w:val="both"/>
        <w:sectPr>
          <w:pgSz w:w="11910" w:h="16840"/>
          <w:pgMar w:header="0" w:footer="2115" w:top="1780" w:bottom="2300" w:left="992"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11910" w:h="16840"/>
          <w:pgMar w:header="0" w:footer="2115" w:top="1920" w:bottom="2300" w:left="992" w:right="708"/>
        </w:sectPr>
      </w:pPr>
    </w:p>
    <w:p>
      <w:pPr>
        <w:spacing w:line="268" w:lineRule="auto" w:before="52"/>
        <w:ind w:left="2115" w:right="0" w:firstLine="0"/>
        <w:jc w:val="left"/>
        <w:rPr>
          <w:rFonts w:ascii="Verdana"/>
          <w:position w:val="2"/>
          <w:sz w:val="19"/>
        </w:rPr>
      </w:pPr>
      <w:r>
        <w:rPr/>
        <w:drawing>
          <wp:inline distT="0" distB="0" distL="0" distR="0">
            <wp:extent cx="224206" cy="98090"/>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7" cstate="print"/>
                    <a:stretch>
                      <a:fillRect/>
                    </a:stretch>
                  </pic:blipFill>
                  <pic:spPr>
                    <a:xfrm>
                      <a:off x="0" y="0"/>
                      <a:ext cx="224206" cy="98090"/>
                    </a:xfrm>
                    <a:prstGeom prst="rect">
                      <a:avLst/>
                    </a:prstGeom>
                  </pic:spPr>
                </pic:pic>
              </a:graphicData>
            </a:graphic>
          </wp:inline>
        </w:drawing>
      </w:r>
      <w:r>
        <w:rPr/>
      </w:r>
      <w:r>
        <w:rPr>
          <w:spacing w:val="53"/>
          <w:position w:val="2"/>
          <w:sz w:val="20"/>
        </w:rPr>
        <w:t> </w:t>
      </w:r>
      <w:bookmarkStart w:name="_bookmark94" w:id="169"/>
      <w:bookmarkEnd w:id="169"/>
      <w:r>
        <w:rPr>
          <w:spacing w:val="-9"/>
          <w:position w:val="2"/>
          <w:sz w:val="20"/>
        </w:rPr>
      </w:r>
      <w:r>
        <w:rPr>
          <w:rFonts w:ascii="Verdana"/>
          <w:spacing w:val="-6"/>
          <w:position w:val="2"/>
          <w:sz w:val="19"/>
        </w:rPr>
        <w:t>EndorseRank</w:t>
      </w:r>
      <w:r>
        <w:rPr>
          <w:rFonts w:ascii="Verdana"/>
          <w:spacing w:val="-23"/>
          <w:position w:val="2"/>
          <w:sz w:val="19"/>
        </w:rPr>
        <w:t> </w:t>
      </w:r>
      <w:r>
        <w:rPr>
          <w:rFonts w:ascii="Verdana"/>
          <w:spacing w:val="-6"/>
          <w:position w:val="2"/>
          <w:sz w:val="19"/>
        </w:rPr>
        <w:t>(in-cohort) </w:t>
      </w:r>
      <w:r>
        <w:rPr>
          <w:rFonts w:ascii="Verdana"/>
          <w:sz w:val="19"/>
        </w:rPr>
        <w:drawing>
          <wp:inline distT="0" distB="0" distL="0" distR="0">
            <wp:extent cx="224206" cy="98090"/>
            <wp:effectExtent l="0" t="0" r="0" b="0"/>
            <wp:docPr id="517" name="Image 517"/>
            <wp:cNvGraphicFramePr>
              <a:graphicFrameLocks/>
            </wp:cNvGraphicFramePr>
            <a:graphic>
              <a:graphicData uri="http://schemas.openxmlformats.org/drawingml/2006/picture">
                <pic:pic>
                  <pic:nvPicPr>
                    <pic:cNvPr id="517" name="Image 517"/>
                    <pic:cNvPicPr/>
                  </pic:nvPicPr>
                  <pic:blipFill>
                    <a:blip r:embed="rId8" cstate="print"/>
                    <a:stretch>
                      <a:fillRect/>
                    </a:stretch>
                  </pic:blipFill>
                  <pic:spPr>
                    <a:xfrm>
                      <a:off x="0" y="0"/>
                      <a:ext cx="224206" cy="98090"/>
                    </a:xfrm>
                    <a:prstGeom prst="rect">
                      <a:avLst/>
                    </a:prstGeom>
                  </pic:spPr>
                </pic:pic>
              </a:graphicData>
            </a:graphic>
          </wp:inline>
        </w:drawing>
      </w:r>
      <w:r>
        <w:rPr>
          <w:rFonts w:ascii="Verdana"/>
          <w:sz w:val="19"/>
        </w:rPr>
      </w:r>
      <w:r>
        <w:rPr>
          <w:spacing w:val="80"/>
          <w:position w:val="2"/>
          <w:sz w:val="19"/>
        </w:rPr>
        <w:t> </w:t>
      </w:r>
      <w:r>
        <w:rPr>
          <w:rFonts w:ascii="Verdana"/>
          <w:position w:val="2"/>
          <w:sz w:val="19"/>
        </w:rPr>
        <w:t>AWP</w:t>
      </w:r>
      <w:r>
        <w:rPr>
          <w:rFonts w:ascii="Verdana"/>
          <w:spacing w:val="-2"/>
          <w:position w:val="2"/>
          <w:sz w:val="19"/>
        </w:rPr>
        <w:t> </w:t>
      </w:r>
      <w:r>
        <w:rPr>
          <w:rFonts w:ascii="Verdana"/>
          <w:position w:val="2"/>
          <w:sz w:val="19"/>
        </w:rPr>
        <w:t>(in-cohort)</w:t>
      </w:r>
    </w:p>
    <w:p>
      <w:pPr>
        <w:spacing w:line="268" w:lineRule="auto" w:before="52"/>
        <w:ind w:left="2115" w:right="0" w:firstLine="0"/>
        <w:jc w:val="left"/>
        <w:rPr>
          <w:rFonts w:ascii="Verdana"/>
          <w:position w:val="2"/>
          <w:sz w:val="19"/>
        </w:rPr>
      </w:pPr>
      <w:r>
        <w:rPr>
          <w:i/>
        </w:rPr>
        <w:t>EndorseRank(코호트 내) AWP(코호트 내)</w:t>
      </w:r>
    </w:p>
    <w:p>
      <w:pPr>
        <w:spacing w:line="268" w:lineRule="auto" w:before="52"/>
        <w:ind w:left="325" w:right="1844" w:firstLine="0"/>
        <w:jc w:val="left"/>
        <w:rPr>
          <w:rFonts w:ascii="Verdana"/>
          <w:position w:val="2"/>
          <w:sz w:val="19"/>
        </w:rPr>
      </w:pPr>
      <w:r>
        <w:rPr/>
        <w:br w:type="column"/>
      </w:r>
      <w:r>
        <w:rPr/>
        <w:drawing>
          <wp:inline distT="0" distB="0" distL="0" distR="0">
            <wp:extent cx="224206" cy="98090"/>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9" cstate="print"/>
                    <a:stretch>
                      <a:fillRect/>
                    </a:stretch>
                  </pic:blipFill>
                  <pic:spPr>
                    <a:xfrm>
                      <a:off x="0" y="0"/>
                      <a:ext cx="224206" cy="98090"/>
                    </a:xfrm>
                    <a:prstGeom prst="rect">
                      <a:avLst/>
                    </a:prstGeom>
                  </pic:spPr>
                </pic:pic>
              </a:graphicData>
            </a:graphic>
          </wp:inline>
        </w:drawing>
      </w:r>
      <w:r>
        <w:rPr/>
      </w:r>
      <w:r>
        <w:rPr>
          <w:spacing w:val="57"/>
          <w:position w:val="2"/>
          <w:sz w:val="20"/>
        </w:rPr>
        <w:t> </w:t>
      </w:r>
      <w:r>
        <w:rPr>
          <w:rFonts w:ascii="Verdana"/>
          <w:spacing w:val="-6"/>
          <w:position w:val="2"/>
          <w:sz w:val="19"/>
        </w:rPr>
        <w:t>EndorseRank</w:t>
      </w:r>
      <w:r>
        <w:rPr>
          <w:rFonts w:ascii="Verdana"/>
          <w:spacing w:val="-23"/>
          <w:position w:val="2"/>
          <w:sz w:val="19"/>
        </w:rPr>
        <w:t> </w:t>
      </w:r>
      <w:r>
        <w:rPr>
          <w:rFonts w:ascii="Verdana"/>
          <w:spacing w:val="-6"/>
          <w:position w:val="2"/>
          <w:sz w:val="19"/>
        </w:rPr>
        <w:t>(expanded</w:t>
      </w:r>
      <w:r>
        <w:rPr>
          <w:rFonts w:ascii="Verdana"/>
          <w:spacing w:val="-16"/>
          <w:position w:val="2"/>
          <w:sz w:val="19"/>
        </w:rPr>
        <w:t> </w:t>
      </w:r>
      <w:r>
        <w:rPr>
          <w:rFonts w:ascii="Verdana"/>
          <w:spacing w:val="-6"/>
          <w:position w:val="2"/>
          <w:sz w:val="19"/>
        </w:rPr>
        <w:t>pool) </w:t>
      </w:r>
      <w:r>
        <w:rPr>
          <w:rFonts w:ascii="Verdana"/>
          <w:sz w:val="19"/>
        </w:rPr>
        <w:drawing>
          <wp:inline distT="0" distB="0" distL="0" distR="0">
            <wp:extent cx="224206" cy="98090"/>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10" cstate="print"/>
                    <a:stretch>
                      <a:fillRect/>
                    </a:stretch>
                  </pic:blipFill>
                  <pic:spPr>
                    <a:xfrm>
                      <a:off x="0" y="0"/>
                      <a:ext cx="224206" cy="98090"/>
                    </a:xfrm>
                    <a:prstGeom prst="rect">
                      <a:avLst/>
                    </a:prstGeom>
                  </pic:spPr>
                </pic:pic>
              </a:graphicData>
            </a:graphic>
          </wp:inline>
        </w:drawing>
      </w:r>
      <w:r>
        <w:rPr>
          <w:rFonts w:ascii="Verdana"/>
          <w:sz w:val="19"/>
        </w:rPr>
      </w:r>
      <w:r>
        <w:rPr>
          <w:spacing w:val="80"/>
          <w:position w:val="2"/>
          <w:sz w:val="19"/>
        </w:rPr>
        <w:t> </w:t>
      </w:r>
      <w:r>
        <w:rPr>
          <w:rFonts w:ascii="Verdana"/>
          <w:position w:val="2"/>
          <w:sz w:val="19"/>
        </w:rPr>
        <w:t>AWP</w:t>
      </w:r>
      <w:r>
        <w:rPr>
          <w:rFonts w:ascii="Verdana"/>
          <w:spacing w:val="-9"/>
          <w:position w:val="2"/>
          <w:sz w:val="19"/>
        </w:rPr>
        <w:t> </w:t>
      </w:r>
      <w:r>
        <w:rPr>
          <w:rFonts w:ascii="Verdana"/>
          <w:position w:val="2"/>
          <w:sz w:val="19"/>
        </w:rPr>
        <w:t>(expanded</w:t>
      </w:r>
      <w:r>
        <w:rPr>
          <w:rFonts w:ascii="Verdana"/>
          <w:spacing w:val="-10"/>
          <w:position w:val="2"/>
          <w:sz w:val="19"/>
        </w:rPr>
        <w:t> </w:t>
      </w:r>
      <w:r>
        <w:rPr>
          <w:rFonts w:ascii="Verdana"/>
          <w:position w:val="2"/>
          <w:sz w:val="19"/>
        </w:rPr>
        <w:t>pool)</w:t>
      </w:r>
    </w:p>
    <w:p>
      <w:pPr>
        <w:spacing w:line="268" w:lineRule="auto" w:before="52"/>
        <w:ind w:left="325" w:right="1844" w:firstLine="0"/>
        <w:jc w:val="left"/>
        <w:rPr>
          <w:rFonts w:ascii="Verdana"/>
          <w:position w:val="2"/>
          <w:sz w:val="19"/>
        </w:rPr>
      </w:pPr>
      <w:r>
        <w:rPr>
          <w:i/>
        </w:rPr>
        <w:t>EndorseRank(확장풀) AWP(확장풀)</w:t>
      </w:r>
    </w:p>
    <w:p>
      <w:pPr>
        <w:spacing w:after="0" w:line="268" w:lineRule="auto"/>
        <w:jc w:val="left"/>
        <w:rPr>
          <w:rFonts w:ascii="Verdana"/>
          <w:position w:val="2"/>
          <w:sz w:val="19"/>
        </w:rPr>
        <w:sectPr>
          <w:type w:val="continuous"/>
          <w:pgSz w:w="11910" w:h="16840"/>
          <w:pgMar w:header="0" w:footer="2115" w:top="1920" w:bottom="280" w:left="992" w:right="708"/>
          <w:cols w:num="2" w:equalWidth="0">
            <w:col w:w="4807" w:space="40"/>
            <w:col w:w="5363"/>
          </w:cols>
        </w:sectPr>
      </w:pPr>
    </w:p>
    <w:p>
      <w:pPr>
        <w:pStyle w:val="BodyText"/>
        <w:rPr>
          <w:rFonts w:ascii="Verdana"/>
          <w:sz w:val="22"/>
        </w:rPr>
      </w:pPr>
    </w:p>
    <w:p>
      <w:pPr>
        <w:pStyle w:val="BodyText"/>
        <w:spacing w:before="27"/>
        <w:rPr>
          <w:rFonts w:ascii="Verdana"/>
          <w:sz w:val="22"/>
        </w:rPr>
      </w:pPr>
    </w:p>
    <w:p>
      <w:pPr>
        <w:pStyle w:val="BodyText"/>
        <w:ind w:left="1235"/>
        <w:rPr>
          <w:rFonts w:ascii="Verdana"/>
        </w:rPr>
      </w:pPr>
      <w:r>
        <w:rPr>
          <w:rFonts w:ascii="Verdana"/>
        </w:rPr>
        <mc:AlternateContent>
          <mc:Choice Requires="wps">
            <w:drawing>
              <wp:anchor distT="0" distB="0" distL="0" distR="0" allowOverlap="1" layoutInCell="1" locked="0" behindDoc="0" simplePos="0" relativeHeight="15773696">
                <wp:simplePos x="0" y="0"/>
                <wp:positionH relativeFrom="page">
                  <wp:posOffset>1641852</wp:posOffset>
                </wp:positionH>
                <wp:positionV relativeFrom="paragraph">
                  <wp:posOffset>-218493</wp:posOffset>
                </wp:positionV>
                <wp:extent cx="4590415" cy="3007360"/>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4590415" cy="3007360"/>
                          <a:chExt cx="4590415" cy="3007360"/>
                        </a:xfrm>
                      </wpg:grpSpPr>
                      <wps:wsp>
                        <wps:cNvPr id="521" name="Graphic 521"/>
                        <wps:cNvSpPr/>
                        <wps:spPr>
                          <a:xfrm>
                            <a:off x="179805" y="5605"/>
                            <a:ext cx="1270" cy="2952750"/>
                          </a:xfrm>
                          <a:custGeom>
                            <a:avLst/>
                            <a:gdLst/>
                            <a:ahLst/>
                            <a:cxnLst/>
                            <a:rect l="l" t="t" r="r" b="b"/>
                            <a:pathLst>
                              <a:path w="0" h="2952750">
                                <a:moveTo>
                                  <a:pt x="0" y="2499490"/>
                                </a:moveTo>
                                <a:lnTo>
                                  <a:pt x="0" y="2952131"/>
                                </a:lnTo>
                              </a:path>
                              <a:path w="0" h="2952750">
                                <a:moveTo>
                                  <a:pt x="0" y="0"/>
                                </a:moveTo>
                                <a:lnTo>
                                  <a:pt x="0" y="2415413"/>
                                </a:lnTo>
                              </a:path>
                            </a:pathLst>
                          </a:custGeom>
                          <a:ln w="11210">
                            <a:solidFill>
                              <a:srgbClr val="AFAFAF"/>
                            </a:solidFill>
                            <a:prstDash val="solid"/>
                          </a:ln>
                        </wps:spPr>
                        <wps:bodyPr wrap="square" lIns="0" tIns="0" rIns="0" bIns="0" rtlCol="0">
                          <a:prstTxWarp prst="textNoShape">
                            <a:avLst/>
                          </a:prstTxWarp>
                          <a:noAutofit/>
                        </wps:bodyPr>
                      </wps:wsp>
                      <wps:wsp>
                        <wps:cNvPr id="522" name="Graphic 522"/>
                        <wps:cNvSpPr/>
                        <wps:spPr>
                          <a:xfrm>
                            <a:off x="179805"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3" name="Graphic 523"/>
                        <wps:cNvSpPr/>
                        <wps:spPr>
                          <a:xfrm>
                            <a:off x="179805"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4" name="Graphic 524"/>
                        <wps:cNvSpPr/>
                        <wps:spPr>
                          <a:xfrm>
                            <a:off x="1040052" y="5605"/>
                            <a:ext cx="1270" cy="2952750"/>
                          </a:xfrm>
                          <a:custGeom>
                            <a:avLst/>
                            <a:gdLst/>
                            <a:ahLst/>
                            <a:cxnLst/>
                            <a:rect l="l" t="t" r="r" b="b"/>
                            <a:pathLst>
                              <a:path w="0" h="2952750">
                                <a:moveTo>
                                  <a:pt x="0" y="0"/>
                                </a:moveTo>
                                <a:lnTo>
                                  <a:pt x="0" y="1958220"/>
                                </a:lnTo>
                              </a:path>
                              <a:path w="0" h="2952750">
                                <a:moveTo>
                                  <a:pt x="0" y="204229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5" name="Graphic 525"/>
                        <wps:cNvSpPr/>
                        <wps:spPr>
                          <a:xfrm>
                            <a:off x="1040052"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6" name="Graphic 526"/>
                        <wps:cNvSpPr/>
                        <wps:spPr>
                          <a:xfrm>
                            <a:off x="1040052"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27" name="Graphic 527"/>
                        <wps:cNvSpPr/>
                        <wps:spPr>
                          <a:xfrm>
                            <a:off x="1900299" y="5605"/>
                            <a:ext cx="1270" cy="2952750"/>
                          </a:xfrm>
                          <a:custGeom>
                            <a:avLst/>
                            <a:gdLst/>
                            <a:ahLst/>
                            <a:cxnLst/>
                            <a:rect l="l" t="t" r="r" b="b"/>
                            <a:pathLst>
                              <a:path w="0" h="2952750">
                                <a:moveTo>
                                  <a:pt x="0" y="0"/>
                                </a:moveTo>
                                <a:lnTo>
                                  <a:pt x="0" y="522771"/>
                                </a:lnTo>
                              </a:path>
                              <a:path w="0" h="2952750">
                                <a:moveTo>
                                  <a:pt x="0" y="606848"/>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28" name="Graphic 528"/>
                        <wps:cNvSpPr/>
                        <wps:spPr>
                          <a:xfrm>
                            <a:off x="1900299"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29" name="Graphic 529"/>
                        <wps:cNvSpPr/>
                        <wps:spPr>
                          <a:xfrm>
                            <a:off x="1900299"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0" name="Graphic 530"/>
                        <wps:cNvSpPr/>
                        <wps:spPr>
                          <a:xfrm>
                            <a:off x="2300254" y="5605"/>
                            <a:ext cx="1270" cy="2952750"/>
                          </a:xfrm>
                          <a:custGeom>
                            <a:avLst/>
                            <a:gdLst/>
                            <a:ahLst/>
                            <a:cxnLst/>
                            <a:rect l="l" t="t" r="r" b="b"/>
                            <a:pathLst>
                              <a:path w="0" h="2952750">
                                <a:moveTo>
                                  <a:pt x="0" y="519983"/>
                                </a:moveTo>
                                <a:lnTo>
                                  <a:pt x="0" y="2952131"/>
                                </a:lnTo>
                              </a:path>
                              <a:path w="0" h="2952750">
                                <a:moveTo>
                                  <a:pt x="0" y="0"/>
                                </a:moveTo>
                                <a:lnTo>
                                  <a:pt x="0" y="435905"/>
                                </a:lnTo>
                              </a:path>
                            </a:pathLst>
                          </a:custGeom>
                          <a:ln w="11210">
                            <a:solidFill>
                              <a:srgbClr val="AFAFAF"/>
                            </a:solidFill>
                            <a:prstDash val="solid"/>
                          </a:ln>
                        </wps:spPr>
                        <wps:bodyPr wrap="square" lIns="0" tIns="0" rIns="0" bIns="0" rtlCol="0">
                          <a:prstTxWarp prst="textNoShape">
                            <a:avLst/>
                          </a:prstTxWarp>
                          <a:noAutofit/>
                        </wps:bodyPr>
                      </wps:wsp>
                      <wps:wsp>
                        <wps:cNvPr id="531" name="Graphic 531"/>
                        <wps:cNvSpPr/>
                        <wps:spPr>
                          <a:xfrm>
                            <a:off x="2300254"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2" name="Graphic 532"/>
                        <wps:cNvSpPr/>
                        <wps:spPr>
                          <a:xfrm>
                            <a:off x="2300254"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3" name="Graphic 533"/>
                        <wps:cNvSpPr/>
                        <wps:spPr>
                          <a:xfrm>
                            <a:off x="3037484" y="5605"/>
                            <a:ext cx="1270" cy="2952750"/>
                          </a:xfrm>
                          <a:custGeom>
                            <a:avLst/>
                            <a:gdLst/>
                            <a:ahLst/>
                            <a:cxnLst/>
                            <a:rect l="l" t="t" r="r" b="b"/>
                            <a:pathLst>
                              <a:path w="0" h="2952750">
                                <a:moveTo>
                                  <a:pt x="0" y="1341882"/>
                                </a:moveTo>
                                <a:lnTo>
                                  <a:pt x="0" y="2952131"/>
                                </a:lnTo>
                              </a:path>
                              <a:path w="0" h="2952750">
                                <a:moveTo>
                                  <a:pt x="0" y="0"/>
                                </a:moveTo>
                                <a:lnTo>
                                  <a:pt x="0" y="1257805"/>
                                </a:lnTo>
                              </a:path>
                            </a:pathLst>
                          </a:custGeom>
                          <a:ln w="11210">
                            <a:solidFill>
                              <a:srgbClr val="AFAFAF"/>
                            </a:solidFill>
                            <a:prstDash val="solid"/>
                          </a:ln>
                        </wps:spPr>
                        <wps:bodyPr wrap="square" lIns="0" tIns="0" rIns="0" bIns="0" rtlCol="0">
                          <a:prstTxWarp prst="textNoShape">
                            <a:avLst/>
                          </a:prstTxWarp>
                          <a:noAutofit/>
                        </wps:bodyPr>
                      </wps:wsp>
                      <wps:wsp>
                        <wps:cNvPr id="534" name="Graphic 534"/>
                        <wps:cNvSpPr/>
                        <wps:spPr>
                          <a:xfrm>
                            <a:off x="3037484"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5" name="Graphic 535"/>
                        <wps:cNvSpPr/>
                        <wps:spPr>
                          <a:xfrm>
                            <a:off x="3037484"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6" name="Graphic 536"/>
                        <wps:cNvSpPr/>
                        <wps:spPr>
                          <a:xfrm>
                            <a:off x="4465901" y="5605"/>
                            <a:ext cx="1270" cy="2952750"/>
                          </a:xfrm>
                          <a:custGeom>
                            <a:avLst/>
                            <a:gdLst/>
                            <a:ahLst/>
                            <a:cxnLst/>
                            <a:rect l="l" t="t" r="r" b="b"/>
                            <a:pathLst>
                              <a:path w="0" h="2952750">
                                <a:moveTo>
                                  <a:pt x="0" y="0"/>
                                </a:moveTo>
                                <a:lnTo>
                                  <a:pt x="0" y="92148"/>
                                </a:lnTo>
                              </a:path>
                              <a:path w="0" h="2952750">
                                <a:moveTo>
                                  <a:pt x="0" y="176226"/>
                                </a:moveTo>
                                <a:lnTo>
                                  <a:pt x="0" y="2952131"/>
                                </a:lnTo>
                              </a:path>
                            </a:pathLst>
                          </a:custGeom>
                          <a:ln w="11210">
                            <a:solidFill>
                              <a:srgbClr val="AFAFAF"/>
                            </a:solidFill>
                            <a:prstDash val="solid"/>
                          </a:ln>
                        </wps:spPr>
                        <wps:bodyPr wrap="square" lIns="0" tIns="0" rIns="0" bIns="0" rtlCol="0">
                          <a:prstTxWarp prst="textNoShape">
                            <a:avLst/>
                          </a:prstTxWarp>
                          <a:noAutofit/>
                        </wps:bodyPr>
                      </wps:wsp>
                      <wps:wsp>
                        <wps:cNvPr id="537" name="Graphic 537"/>
                        <wps:cNvSpPr/>
                        <wps:spPr>
                          <a:xfrm>
                            <a:off x="4465901" y="2957736"/>
                            <a:ext cx="1270" cy="49530"/>
                          </a:xfrm>
                          <a:custGeom>
                            <a:avLst/>
                            <a:gdLst/>
                            <a:ahLst/>
                            <a:cxnLst/>
                            <a:rect l="l" t="t" r="r" b="b"/>
                            <a:pathLst>
                              <a:path w="0" h="49530">
                                <a:moveTo>
                                  <a:pt x="0" y="0"/>
                                </a:moveTo>
                                <a:lnTo>
                                  <a:pt x="0" y="49045"/>
                                </a:lnTo>
                              </a:path>
                            </a:pathLst>
                          </a:custGeom>
                          <a:solidFill>
                            <a:srgbClr val="000000"/>
                          </a:solidFill>
                        </wps:spPr>
                        <wps:bodyPr wrap="square" lIns="0" tIns="0" rIns="0" bIns="0" rtlCol="0">
                          <a:prstTxWarp prst="textNoShape">
                            <a:avLst/>
                          </a:prstTxWarp>
                          <a:noAutofit/>
                        </wps:bodyPr>
                      </wps:wsp>
                      <wps:wsp>
                        <wps:cNvPr id="538" name="Graphic 538"/>
                        <wps:cNvSpPr/>
                        <wps:spPr>
                          <a:xfrm>
                            <a:off x="4465901" y="2957736"/>
                            <a:ext cx="1270" cy="49530"/>
                          </a:xfrm>
                          <a:custGeom>
                            <a:avLst/>
                            <a:gdLst/>
                            <a:ahLst/>
                            <a:cxnLst/>
                            <a:rect l="l" t="t" r="r" b="b"/>
                            <a:pathLst>
                              <a:path w="0" h="49530">
                                <a:moveTo>
                                  <a:pt x="0" y="0"/>
                                </a:moveTo>
                                <a:lnTo>
                                  <a:pt x="0" y="49045"/>
                                </a:lnTo>
                              </a:path>
                            </a:pathLst>
                          </a:custGeom>
                          <a:ln w="11210">
                            <a:solidFill>
                              <a:srgbClr val="000000"/>
                            </a:solidFill>
                            <a:prstDash val="solid"/>
                          </a:ln>
                        </wps:spPr>
                        <wps:bodyPr wrap="square" lIns="0" tIns="0" rIns="0" bIns="0" rtlCol="0">
                          <a:prstTxWarp prst="textNoShape">
                            <a:avLst/>
                          </a:prstTxWarp>
                          <a:noAutofit/>
                        </wps:bodyPr>
                      </wps:wsp>
                      <wps:wsp>
                        <wps:cNvPr id="539" name="Graphic 539"/>
                        <wps:cNvSpPr/>
                        <wps:spPr>
                          <a:xfrm>
                            <a:off x="49045"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0" name="Graphic 540"/>
                        <wps:cNvSpPr/>
                        <wps:spPr>
                          <a:xfrm>
                            <a:off x="49045"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1" name="Graphic 541"/>
                        <wps:cNvSpPr/>
                        <wps:spPr>
                          <a:xfrm>
                            <a:off x="1543265"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2" name="Graphic 542"/>
                        <wps:cNvSpPr/>
                        <wps:spPr>
                          <a:xfrm>
                            <a:off x="1543265"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3" name="Graphic 543"/>
                        <wps:cNvSpPr/>
                        <wps:spPr>
                          <a:xfrm>
                            <a:off x="2177237"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4" name="Graphic 544"/>
                        <wps:cNvSpPr/>
                        <wps:spPr>
                          <a:xfrm>
                            <a:off x="2177237"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5" name="Graphic 545"/>
                        <wps:cNvSpPr/>
                        <wps:spPr>
                          <a:xfrm>
                            <a:off x="2403512"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6" name="Graphic 546"/>
                        <wps:cNvSpPr/>
                        <wps:spPr>
                          <a:xfrm>
                            <a:off x="2403512"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7" name="Graphic 547"/>
                        <wps:cNvSpPr/>
                        <wps:spPr>
                          <a:xfrm>
                            <a:off x="259482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48" name="Graphic 548"/>
                        <wps:cNvSpPr/>
                        <wps:spPr>
                          <a:xfrm>
                            <a:off x="259482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49" name="Graphic 549"/>
                        <wps:cNvSpPr/>
                        <wps:spPr>
                          <a:xfrm>
                            <a:off x="2760547"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0" name="Graphic 550"/>
                        <wps:cNvSpPr/>
                        <wps:spPr>
                          <a:xfrm>
                            <a:off x="2760547"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1" name="Graphic 551"/>
                        <wps:cNvSpPr/>
                        <wps:spPr>
                          <a:xfrm>
                            <a:off x="290672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2" name="Graphic 552"/>
                        <wps:cNvSpPr/>
                        <wps:spPr>
                          <a:xfrm>
                            <a:off x="290672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3" name="Graphic 553"/>
                        <wps:cNvSpPr/>
                        <wps:spPr>
                          <a:xfrm>
                            <a:off x="3897731"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4" name="Graphic 554"/>
                        <wps:cNvSpPr/>
                        <wps:spPr>
                          <a:xfrm>
                            <a:off x="3897731"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5" name="Graphic 555"/>
                        <wps:cNvSpPr/>
                        <wps:spPr>
                          <a:xfrm>
                            <a:off x="4400944" y="2957736"/>
                            <a:ext cx="1270" cy="28575"/>
                          </a:xfrm>
                          <a:custGeom>
                            <a:avLst/>
                            <a:gdLst/>
                            <a:ahLst/>
                            <a:cxnLst/>
                            <a:rect l="l" t="t" r="r" b="b"/>
                            <a:pathLst>
                              <a:path w="0" h="28575">
                                <a:moveTo>
                                  <a:pt x="0" y="0"/>
                                </a:moveTo>
                                <a:lnTo>
                                  <a:pt x="0" y="28025"/>
                                </a:lnTo>
                              </a:path>
                            </a:pathLst>
                          </a:custGeom>
                          <a:solidFill>
                            <a:srgbClr val="000000"/>
                          </a:solidFill>
                        </wps:spPr>
                        <wps:bodyPr wrap="square" lIns="0" tIns="0" rIns="0" bIns="0" rtlCol="0">
                          <a:prstTxWarp prst="textNoShape">
                            <a:avLst/>
                          </a:prstTxWarp>
                          <a:noAutofit/>
                        </wps:bodyPr>
                      </wps:wsp>
                      <wps:wsp>
                        <wps:cNvPr id="556" name="Graphic 556"/>
                        <wps:cNvSpPr/>
                        <wps:spPr>
                          <a:xfrm>
                            <a:off x="4400944" y="2957736"/>
                            <a:ext cx="1270" cy="28575"/>
                          </a:xfrm>
                          <a:custGeom>
                            <a:avLst/>
                            <a:gdLst/>
                            <a:ahLst/>
                            <a:cxnLst/>
                            <a:rect l="l" t="t" r="r" b="b"/>
                            <a:pathLst>
                              <a:path w="0" h="28575">
                                <a:moveTo>
                                  <a:pt x="0" y="0"/>
                                </a:moveTo>
                                <a:lnTo>
                                  <a:pt x="0" y="28025"/>
                                </a:lnTo>
                              </a:path>
                            </a:pathLst>
                          </a:custGeom>
                          <a:ln w="8407">
                            <a:solidFill>
                              <a:srgbClr val="000000"/>
                            </a:solidFill>
                            <a:prstDash val="solid"/>
                          </a:ln>
                        </wps:spPr>
                        <wps:bodyPr wrap="square" lIns="0" tIns="0" rIns="0" bIns="0" rtlCol="0">
                          <a:prstTxWarp prst="textNoShape">
                            <a:avLst/>
                          </a:prstTxWarp>
                          <a:noAutofit/>
                        </wps:bodyPr>
                      </wps:wsp>
                      <wps:wsp>
                        <wps:cNvPr id="557" name="Graphic 557"/>
                        <wps:cNvSpPr/>
                        <wps:spPr>
                          <a:xfrm>
                            <a:off x="49045" y="2873751"/>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58" name="Graphic 558"/>
                        <wps:cNvSpPr/>
                        <wps:spPr>
                          <a:xfrm>
                            <a:off x="0" y="2873751"/>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59" name="Graphic 559"/>
                        <wps:cNvSpPr/>
                        <wps:spPr>
                          <a:xfrm>
                            <a:off x="0" y="2873751"/>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0" name="Graphic 560"/>
                        <wps:cNvSpPr/>
                        <wps:spPr>
                          <a:xfrm>
                            <a:off x="49045" y="2235035"/>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1" name="Graphic 561"/>
                        <wps:cNvSpPr/>
                        <wps:spPr>
                          <a:xfrm>
                            <a:off x="0" y="2235035"/>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2" name="Graphic 562"/>
                        <wps:cNvSpPr/>
                        <wps:spPr>
                          <a:xfrm>
                            <a:off x="0" y="2235035"/>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3" name="Graphic 563"/>
                        <wps:cNvSpPr/>
                        <wps:spPr>
                          <a:xfrm>
                            <a:off x="49045" y="1596320"/>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4" name="Graphic 564"/>
                        <wps:cNvSpPr/>
                        <wps:spPr>
                          <a:xfrm>
                            <a:off x="0" y="1596320"/>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5" name="Graphic 565"/>
                        <wps:cNvSpPr/>
                        <wps:spPr>
                          <a:xfrm>
                            <a:off x="0" y="1596320"/>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6" name="Graphic 566"/>
                        <wps:cNvSpPr/>
                        <wps:spPr>
                          <a:xfrm>
                            <a:off x="49045" y="957604"/>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67" name="Graphic 567"/>
                        <wps:cNvSpPr/>
                        <wps:spPr>
                          <a:xfrm>
                            <a:off x="0" y="957604"/>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68" name="Graphic 568"/>
                        <wps:cNvSpPr/>
                        <wps:spPr>
                          <a:xfrm>
                            <a:off x="0" y="957604"/>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69" name="Graphic 569"/>
                        <wps:cNvSpPr/>
                        <wps:spPr>
                          <a:xfrm>
                            <a:off x="49045" y="318888"/>
                            <a:ext cx="4535170" cy="1270"/>
                          </a:xfrm>
                          <a:custGeom>
                            <a:avLst/>
                            <a:gdLst/>
                            <a:ahLst/>
                            <a:cxnLst/>
                            <a:rect l="l" t="t" r="r" b="b"/>
                            <a:pathLst>
                              <a:path w="4535170" h="0">
                                <a:moveTo>
                                  <a:pt x="0" y="0"/>
                                </a:moveTo>
                                <a:lnTo>
                                  <a:pt x="4535143" y="0"/>
                                </a:lnTo>
                              </a:path>
                            </a:pathLst>
                          </a:custGeom>
                          <a:ln w="11210">
                            <a:solidFill>
                              <a:srgbClr val="AFAFAF"/>
                            </a:solidFill>
                            <a:prstDash val="solid"/>
                          </a:ln>
                        </wps:spPr>
                        <wps:bodyPr wrap="square" lIns="0" tIns="0" rIns="0" bIns="0" rtlCol="0">
                          <a:prstTxWarp prst="textNoShape">
                            <a:avLst/>
                          </a:prstTxWarp>
                          <a:noAutofit/>
                        </wps:bodyPr>
                      </wps:wsp>
                      <wps:wsp>
                        <wps:cNvPr id="570" name="Graphic 570"/>
                        <wps:cNvSpPr/>
                        <wps:spPr>
                          <a:xfrm>
                            <a:off x="0" y="318888"/>
                            <a:ext cx="49530" cy="1270"/>
                          </a:xfrm>
                          <a:custGeom>
                            <a:avLst/>
                            <a:gdLst/>
                            <a:ahLst/>
                            <a:cxnLst/>
                            <a:rect l="l" t="t" r="r" b="b"/>
                            <a:pathLst>
                              <a:path w="49530" h="0">
                                <a:moveTo>
                                  <a:pt x="49045" y="0"/>
                                </a:moveTo>
                                <a:lnTo>
                                  <a:pt x="0" y="0"/>
                                </a:lnTo>
                              </a:path>
                            </a:pathLst>
                          </a:custGeom>
                          <a:solidFill>
                            <a:srgbClr val="000000"/>
                          </a:solidFill>
                        </wps:spPr>
                        <wps:bodyPr wrap="square" lIns="0" tIns="0" rIns="0" bIns="0" rtlCol="0">
                          <a:prstTxWarp prst="textNoShape">
                            <a:avLst/>
                          </a:prstTxWarp>
                          <a:noAutofit/>
                        </wps:bodyPr>
                      </wps:wsp>
                      <wps:wsp>
                        <wps:cNvPr id="571" name="Graphic 571"/>
                        <wps:cNvSpPr/>
                        <wps:spPr>
                          <a:xfrm>
                            <a:off x="0" y="318888"/>
                            <a:ext cx="49530" cy="1270"/>
                          </a:xfrm>
                          <a:custGeom>
                            <a:avLst/>
                            <a:gdLst/>
                            <a:ahLst/>
                            <a:cxnLst/>
                            <a:rect l="l" t="t" r="r" b="b"/>
                            <a:pathLst>
                              <a:path w="49530" h="0">
                                <a:moveTo>
                                  <a:pt x="49045" y="0"/>
                                </a:moveTo>
                                <a:lnTo>
                                  <a:pt x="0" y="0"/>
                                </a:lnTo>
                              </a:path>
                            </a:pathLst>
                          </a:custGeom>
                          <a:ln w="11210">
                            <a:solidFill>
                              <a:srgbClr val="000000"/>
                            </a:solidFill>
                            <a:prstDash val="solid"/>
                          </a:ln>
                        </wps:spPr>
                        <wps:bodyPr wrap="square" lIns="0" tIns="0" rIns="0" bIns="0" rtlCol="0">
                          <a:prstTxWarp prst="textNoShape">
                            <a:avLst/>
                          </a:prstTxWarp>
                          <a:noAutofit/>
                        </wps:bodyPr>
                      </wps:wsp>
                      <wps:wsp>
                        <wps:cNvPr id="572" name="Graphic 572"/>
                        <wps:cNvSpPr/>
                        <wps:spPr>
                          <a:xfrm>
                            <a:off x="179805" y="2604852"/>
                            <a:ext cx="2120900" cy="219075"/>
                          </a:xfrm>
                          <a:custGeom>
                            <a:avLst/>
                            <a:gdLst/>
                            <a:ahLst/>
                            <a:cxnLst/>
                            <a:rect l="l" t="t" r="r" b="b"/>
                            <a:pathLst>
                              <a:path w="2120900" h="219075">
                                <a:moveTo>
                                  <a:pt x="0" y="218696"/>
                                </a:moveTo>
                                <a:lnTo>
                                  <a:pt x="860247" y="175774"/>
                                </a:lnTo>
                                <a:lnTo>
                                  <a:pt x="1720494" y="3832"/>
                                </a:lnTo>
                                <a:lnTo>
                                  <a:pt x="2120448" y="0"/>
                                </a:lnTo>
                              </a:path>
                            </a:pathLst>
                          </a:custGeom>
                          <a:ln w="21019">
                            <a:solidFill>
                              <a:srgbClr val="2B5E8A"/>
                            </a:solidFill>
                            <a:prstDash val="solid"/>
                          </a:ln>
                        </wps:spPr>
                        <wps:bodyPr wrap="square" lIns="0" tIns="0" rIns="0" bIns="0" rtlCol="0">
                          <a:prstTxWarp prst="textNoShape">
                            <a:avLst/>
                          </a:prstTxWarp>
                          <a:noAutofit/>
                        </wps:bodyPr>
                      </wps:wsp>
                      <pic:pic>
                        <pic:nvPicPr>
                          <pic:cNvPr id="573" name="Image 573"/>
                          <pic:cNvPicPr/>
                        </pic:nvPicPr>
                        <pic:blipFill>
                          <a:blip r:embed="rId11" cstate="print"/>
                          <a:stretch>
                            <a:fillRect/>
                          </a:stretch>
                        </pic:blipFill>
                        <pic:spPr>
                          <a:xfrm>
                            <a:off x="130760" y="2774503"/>
                            <a:ext cx="98090" cy="98090"/>
                          </a:xfrm>
                          <a:prstGeom prst="rect">
                            <a:avLst/>
                          </a:prstGeom>
                        </pic:spPr>
                      </pic:pic>
                      <pic:pic>
                        <pic:nvPicPr>
                          <pic:cNvPr id="574" name="Image 574"/>
                          <pic:cNvPicPr/>
                        </pic:nvPicPr>
                        <pic:blipFill>
                          <a:blip r:embed="rId12" cstate="print"/>
                          <a:stretch>
                            <a:fillRect/>
                          </a:stretch>
                        </pic:blipFill>
                        <pic:spPr>
                          <a:xfrm>
                            <a:off x="991007" y="2731581"/>
                            <a:ext cx="98090" cy="98090"/>
                          </a:xfrm>
                          <a:prstGeom prst="rect">
                            <a:avLst/>
                          </a:prstGeom>
                        </pic:spPr>
                      </pic:pic>
                      <pic:pic>
                        <pic:nvPicPr>
                          <pic:cNvPr id="575" name="Image 575"/>
                          <pic:cNvPicPr/>
                        </pic:nvPicPr>
                        <pic:blipFill>
                          <a:blip r:embed="rId11" cstate="print"/>
                          <a:stretch>
                            <a:fillRect/>
                          </a:stretch>
                        </pic:blipFill>
                        <pic:spPr>
                          <a:xfrm>
                            <a:off x="1851254" y="2559639"/>
                            <a:ext cx="98090" cy="98090"/>
                          </a:xfrm>
                          <a:prstGeom prst="rect">
                            <a:avLst/>
                          </a:prstGeom>
                        </pic:spPr>
                      </pic:pic>
                      <pic:pic>
                        <pic:nvPicPr>
                          <pic:cNvPr id="576" name="Image 576"/>
                          <pic:cNvPicPr/>
                        </pic:nvPicPr>
                        <pic:blipFill>
                          <a:blip r:embed="rId11" cstate="print"/>
                          <a:stretch>
                            <a:fillRect/>
                          </a:stretch>
                        </pic:blipFill>
                        <pic:spPr>
                          <a:xfrm>
                            <a:off x="2251209" y="2555806"/>
                            <a:ext cx="98090" cy="98090"/>
                          </a:xfrm>
                          <a:prstGeom prst="rect">
                            <a:avLst/>
                          </a:prstGeom>
                        </pic:spPr>
                      </pic:pic>
                      <wps:wsp>
                        <wps:cNvPr id="577" name="Graphic 577"/>
                        <wps:cNvSpPr/>
                        <wps:spPr>
                          <a:xfrm>
                            <a:off x="179805" y="483549"/>
                            <a:ext cx="2120900" cy="1979930"/>
                          </a:xfrm>
                          <a:custGeom>
                            <a:avLst/>
                            <a:gdLst/>
                            <a:ahLst/>
                            <a:cxnLst/>
                            <a:rect l="l" t="t" r="r" b="b"/>
                            <a:pathLst>
                              <a:path w="2120900" h="1979930">
                                <a:moveTo>
                                  <a:pt x="0" y="1979507"/>
                                </a:moveTo>
                                <a:lnTo>
                                  <a:pt x="860247" y="1522314"/>
                                </a:lnTo>
                                <a:lnTo>
                                  <a:pt x="1720494" y="86865"/>
                                </a:lnTo>
                                <a:lnTo>
                                  <a:pt x="2120448" y="0"/>
                                </a:lnTo>
                              </a:path>
                            </a:pathLst>
                          </a:custGeom>
                          <a:ln w="21019">
                            <a:solidFill>
                              <a:srgbClr val="A03B3B"/>
                            </a:solidFill>
                            <a:prstDash val="solid"/>
                          </a:ln>
                        </wps:spPr>
                        <wps:bodyPr wrap="square" lIns="0" tIns="0" rIns="0" bIns="0" rtlCol="0">
                          <a:prstTxWarp prst="textNoShape">
                            <a:avLst/>
                          </a:prstTxWarp>
                          <a:noAutofit/>
                        </wps:bodyPr>
                      </wps:wsp>
                      <wps:wsp>
                        <wps:cNvPr id="578" name="Graphic 578"/>
                        <wps:cNvSpPr/>
                        <wps:spPr>
                          <a:xfrm>
                            <a:off x="137766" y="2421018"/>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79" name="Graphic 579"/>
                        <wps:cNvSpPr/>
                        <wps:spPr>
                          <a:xfrm>
                            <a:off x="137766" y="2421018"/>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0" name="Graphic 580"/>
                        <wps:cNvSpPr/>
                        <wps:spPr>
                          <a:xfrm>
                            <a:off x="998013" y="1963825"/>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1" name="Graphic 581"/>
                        <wps:cNvSpPr/>
                        <wps:spPr>
                          <a:xfrm>
                            <a:off x="998013" y="1963825"/>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2" name="Graphic 582"/>
                        <wps:cNvSpPr/>
                        <wps:spPr>
                          <a:xfrm>
                            <a:off x="1858261" y="528376"/>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3" name="Graphic 583"/>
                        <wps:cNvSpPr/>
                        <wps:spPr>
                          <a:xfrm>
                            <a:off x="1858261" y="528376"/>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4" name="Graphic 584"/>
                        <wps:cNvSpPr/>
                        <wps:spPr>
                          <a:xfrm>
                            <a:off x="2258215" y="4415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A03B3B"/>
                          </a:solidFill>
                        </wps:spPr>
                        <wps:bodyPr wrap="square" lIns="0" tIns="0" rIns="0" bIns="0" rtlCol="0">
                          <a:prstTxWarp prst="textNoShape">
                            <a:avLst/>
                          </a:prstTxWarp>
                          <a:noAutofit/>
                        </wps:bodyPr>
                      </wps:wsp>
                      <wps:wsp>
                        <wps:cNvPr id="585" name="Graphic 585"/>
                        <wps:cNvSpPr/>
                        <wps:spPr>
                          <a:xfrm>
                            <a:off x="2258215" y="4415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A03B3B"/>
                            </a:solidFill>
                            <a:prstDash val="solid"/>
                          </a:ln>
                        </wps:spPr>
                        <wps:bodyPr wrap="square" lIns="0" tIns="0" rIns="0" bIns="0" rtlCol="0">
                          <a:prstTxWarp prst="textNoShape">
                            <a:avLst/>
                          </a:prstTxWarp>
                          <a:noAutofit/>
                        </wps:bodyPr>
                      </wps:wsp>
                      <wps:wsp>
                        <wps:cNvPr id="586" name="Graphic 586"/>
                        <wps:cNvSpPr/>
                        <wps:spPr>
                          <a:xfrm>
                            <a:off x="3037484" y="2581730"/>
                            <a:ext cx="1428750" cy="141605"/>
                          </a:xfrm>
                          <a:custGeom>
                            <a:avLst/>
                            <a:gdLst/>
                            <a:ahLst/>
                            <a:cxnLst/>
                            <a:rect l="l" t="t" r="r" b="b"/>
                            <a:pathLst>
                              <a:path w="1428750" h="141605">
                                <a:moveTo>
                                  <a:pt x="0" y="141539"/>
                                </a:moveTo>
                                <a:lnTo>
                                  <a:pt x="1428416" y="0"/>
                                </a:lnTo>
                              </a:path>
                            </a:pathLst>
                          </a:custGeom>
                          <a:ln w="21019">
                            <a:solidFill>
                              <a:srgbClr val="5A8AB8"/>
                            </a:solidFill>
                            <a:prstDash val="sysDash"/>
                          </a:ln>
                        </wps:spPr>
                        <wps:bodyPr wrap="square" lIns="0" tIns="0" rIns="0" bIns="0" rtlCol="0">
                          <a:prstTxWarp prst="textNoShape">
                            <a:avLst/>
                          </a:prstTxWarp>
                          <a:noAutofit/>
                        </wps:bodyPr>
                      </wps:wsp>
                      <pic:pic>
                        <pic:nvPicPr>
                          <pic:cNvPr id="587" name="Image 587"/>
                          <pic:cNvPicPr/>
                        </pic:nvPicPr>
                        <pic:blipFill>
                          <a:blip r:embed="rId13" cstate="print"/>
                          <a:stretch>
                            <a:fillRect/>
                          </a:stretch>
                        </pic:blipFill>
                        <pic:spPr>
                          <a:xfrm>
                            <a:off x="2988439" y="2674224"/>
                            <a:ext cx="98090" cy="98090"/>
                          </a:xfrm>
                          <a:prstGeom prst="rect">
                            <a:avLst/>
                          </a:prstGeom>
                        </pic:spPr>
                      </pic:pic>
                      <pic:pic>
                        <pic:nvPicPr>
                          <pic:cNvPr id="588" name="Image 588"/>
                          <pic:cNvPicPr/>
                        </pic:nvPicPr>
                        <pic:blipFill>
                          <a:blip r:embed="rId14" cstate="print"/>
                          <a:stretch>
                            <a:fillRect/>
                          </a:stretch>
                        </pic:blipFill>
                        <pic:spPr>
                          <a:xfrm>
                            <a:off x="4416856" y="2532685"/>
                            <a:ext cx="98090" cy="98090"/>
                          </a:xfrm>
                          <a:prstGeom prst="rect">
                            <a:avLst/>
                          </a:prstGeom>
                        </pic:spPr>
                      </pic:pic>
                      <wps:wsp>
                        <wps:cNvPr id="589" name="Graphic 589"/>
                        <wps:cNvSpPr/>
                        <wps:spPr>
                          <a:xfrm>
                            <a:off x="3037484" y="139792"/>
                            <a:ext cx="1428750" cy="1165860"/>
                          </a:xfrm>
                          <a:custGeom>
                            <a:avLst/>
                            <a:gdLst/>
                            <a:ahLst/>
                            <a:cxnLst/>
                            <a:rect l="l" t="t" r="r" b="b"/>
                            <a:pathLst>
                              <a:path w="1428750" h="1165860">
                                <a:moveTo>
                                  <a:pt x="0" y="1165656"/>
                                </a:moveTo>
                                <a:lnTo>
                                  <a:pt x="1428416" y="0"/>
                                </a:lnTo>
                              </a:path>
                            </a:pathLst>
                          </a:custGeom>
                          <a:ln w="21019">
                            <a:solidFill>
                              <a:srgbClr val="C05F5F"/>
                            </a:solidFill>
                            <a:prstDash val="sysDash"/>
                          </a:ln>
                        </wps:spPr>
                        <wps:bodyPr wrap="square" lIns="0" tIns="0" rIns="0" bIns="0" rtlCol="0">
                          <a:prstTxWarp prst="textNoShape">
                            <a:avLst/>
                          </a:prstTxWarp>
                          <a:noAutofit/>
                        </wps:bodyPr>
                      </wps:wsp>
                      <wps:wsp>
                        <wps:cNvPr id="590" name="Graphic 590"/>
                        <wps:cNvSpPr/>
                        <wps:spPr>
                          <a:xfrm>
                            <a:off x="2995446" y="1263410"/>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91" name="Graphic 591"/>
                        <wps:cNvSpPr/>
                        <wps:spPr>
                          <a:xfrm>
                            <a:off x="2995446" y="1263410"/>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92" name="Graphic 592"/>
                        <wps:cNvSpPr/>
                        <wps:spPr>
                          <a:xfrm>
                            <a:off x="4423862" y="97754"/>
                            <a:ext cx="84455" cy="84455"/>
                          </a:xfrm>
                          <a:custGeom>
                            <a:avLst/>
                            <a:gdLst/>
                            <a:ahLst/>
                            <a:cxnLst/>
                            <a:rect l="l" t="t" r="r" b="b"/>
                            <a:pathLst>
                              <a:path w="84455" h="84455">
                                <a:moveTo>
                                  <a:pt x="84077" y="0"/>
                                </a:moveTo>
                                <a:lnTo>
                                  <a:pt x="0" y="0"/>
                                </a:lnTo>
                                <a:lnTo>
                                  <a:pt x="0" y="84077"/>
                                </a:lnTo>
                                <a:lnTo>
                                  <a:pt x="84077" y="84077"/>
                                </a:lnTo>
                                <a:lnTo>
                                  <a:pt x="84077" y="0"/>
                                </a:lnTo>
                                <a:close/>
                              </a:path>
                            </a:pathLst>
                          </a:custGeom>
                          <a:solidFill>
                            <a:srgbClr val="C05F5F"/>
                          </a:solidFill>
                        </wps:spPr>
                        <wps:bodyPr wrap="square" lIns="0" tIns="0" rIns="0" bIns="0" rtlCol="0">
                          <a:prstTxWarp prst="textNoShape">
                            <a:avLst/>
                          </a:prstTxWarp>
                          <a:noAutofit/>
                        </wps:bodyPr>
                      </wps:wsp>
                      <wps:wsp>
                        <wps:cNvPr id="593" name="Graphic 593"/>
                        <wps:cNvSpPr/>
                        <wps:spPr>
                          <a:xfrm>
                            <a:off x="4423862" y="97754"/>
                            <a:ext cx="84455" cy="84455"/>
                          </a:xfrm>
                          <a:custGeom>
                            <a:avLst/>
                            <a:gdLst/>
                            <a:ahLst/>
                            <a:cxnLst/>
                            <a:rect l="l" t="t" r="r" b="b"/>
                            <a:pathLst>
                              <a:path w="84455" h="84455">
                                <a:moveTo>
                                  <a:pt x="0" y="84077"/>
                                </a:moveTo>
                                <a:lnTo>
                                  <a:pt x="84077" y="84077"/>
                                </a:lnTo>
                                <a:lnTo>
                                  <a:pt x="84077" y="0"/>
                                </a:lnTo>
                                <a:lnTo>
                                  <a:pt x="0" y="0"/>
                                </a:lnTo>
                                <a:lnTo>
                                  <a:pt x="0" y="84077"/>
                                </a:lnTo>
                                <a:close/>
                              </a:path>
                            </a:pathLst>
                          </a:custGeom>
                          <a:ln w="14012">
                            <a:solidFill>
                              <a:srgbClr val="C05F5F"/>
                            </a:solidFill>
                            <a:prstDash val="solid"/>
                          </a:ln>
                        </wps:spPr>
                        <wps:bodyPr wrap="square" lIns="0" tIns="0" rIns="0" bIns="0" rtlCol="0">
                          <a:prstTxWarp prst="textNoShape">
                            <a:avLst/>
                          </a:prstTxWarp>
                          <a:noAutofit/>
                        </wps:bodyPr>
                      </wps:wsp>
                      <wps:wsp>
                        <wps:cNvPr id="594" name="Graphic 594"/>
                        <wps:cNvSpPr/>
                        <wps:spPr>
                          <a:xfrm>
                            <a:off x="49045" y="5605"/>
                            <a:ext cx="4535170" cy="2952750"/>
                          </a:xfrm>
                          <a:custGeom>
                            <a:avLst/>
                            <a:gdLst/>
                            <a:ahLst/>
                            <a:cxnLst/>
                            <a:rect l="l" t="t" r="r" b="b"/>
                            <a:pathLst>
                              <a:path w="4535170" h="2952750">
                                <a:moveTo>
                                  <a:pt x="0" y="2952131"/>
                                </a:moveTo>
                                <a:lnTo>
                                  <a:pt x="0" y="0"/>
                                </a:lnTo>
                              </a:path>
                              <a:path w="4535170" h="2952750">
                                <a:moveTo>
                                  <a:pt x="4535143" y="2952131"/>
                                </a:moveTo>
                                <a:lnTo>
                                  <a:pt x="4535143" y="0"/>
                                </a:lnTo>
                              </a:path>
                              <a:path w="4535170" h="2952750">
                                <a:moveTo>
                                  <a:pt x="0" y="2952131"/>
                                </a:moveTo>
                                <a:lnTo>
                                  <a:pt x="4535143" y="2952131"/>
                                </a:lnTo>
                              </a:path>
                              <a:path w="4535170" h="2952750">
                                <a:moveTo>
                                  <a:pt x="0" y="0"/>
                                </a:moveTo>
                                <a:lnTo>
                                  <a:pt x="4535143" y="0"/>
                                </a:lnTo>
                              </a:path>
                            </a:pathLst>
                          </a:custGeom>
                          <a:ln w="112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279739pt;margin-top:-17.204206pt;width:361.45pt;height:236.8pt;mso-position-horizontal-relative:page;mso-position-vertical-relative:paragraph;z-index:15773696" id="docshapegroup360" coordorigin="2586,-344" coordsize="7229,4736">
                <v:shape style="position:absolute;left:2868;top:-336;width:2;height:4650" id="docshape361" coordorigin="2869,-335" coordsize="0,4650" path="m2869,3601l2869,4314m2869,-335l2869,3469e" filled="false" stroked="true" strokeweight=".882704pt" strokecolor="#afafaf">
                  <v:path arrowok="t"/>
                  <v:stroke dashstyle="solid"/>
                </v:shape>
                <v:shape style="position:absolute;left:2868;top:4313;width:2;height:78" id="docshape362" coordorigin="2869,4314" coordsize="0,78" path="m2869,4314l2869,4391e" filled="true" fillcolor="#000000" stroked="false">
                  <v:path arrowok="t"/>
                  <v:fill type="solid"/>
                </v:shape>
                <v:line style="position:absolute" from="2869,4314" to="2869,4391" stroked="true" strokeweight=".882704pt" strokecolor="#000000">
                  <v:stroke dashstyle="solid"/>
                </v:line>
                <v:shape style="position:absolute;left:4223;top:-336;width:2;height:4650" id="docshape363" coordorigin="4223,-335" coordsize="0,4650" path="m4223,-335l4223,2749m4223,2881l4223,4314e" filled="false" stroked="true" strokeweight=".882704pt" strokecolor="#afafaf">
                  <v:path arrowok="t"/>
                  <v:stroke dashstyle="solid"/>
                </v:shape>
                <v:shape style="position:absolute;left:4223;top:4313;width:2;height:78" id="docshape364" coordorigin="4223,4314" coordsize="0,78" path="m4223,4314l4223,4391e" filled="true" fillcolor="#000000" stroked="false">
                  <v:path arrowok="t"/>
                  <v:fill type="solid"/>
                </v:shape>
                <v:line style="position:absolute" from="4223,4314" to="4223,4391" stroked="true" strokeweight=".882704pt" strokecolor="#000000">
                  <v:stroke dashstyle="solid"/>
                </v:line>
                <v:shape style="position:absolute;left:5578;top:-336;width:2;height:4650" id="docshape365" coordorigin="5578,-335" coordsize="0,4650" path="m5578,-335l5578,488m5578,620l5578,4314e" filled="false" stroked="true" strokeweight=".882704pt" strokecolor="#afafaf">
                  <v:path arrowok="t"/>
                  <v:stroke dashstyle="solid"/>
                </v:shape>
                <v:shape style="position:absolute;left:5578;top:4313;width:2;height:78" id="docshape366" coordorigin="5578,4314" coordsize="0,78" path="m5578,4314l5578,4391e" filled="true" fillcolor="#000000" stroked="false">
                  <v:path arrowok="t"/>
                  <v:fill type="solid"/>
                </v:shape>
                <v:line style="position:absolute" from="5578,4314" to="5578,4391" stroked="true" strokeweight=".882704pt" strokecolor="#000000">
                  <v:stroke dashstyle="solid"/>
                </v:line>
                <v:shape style="position:absolute;left:6208;top:-336;width:2;height:4650" id="docshape367" coordorigin="6208,-335" coordsize="0,4650" path="m6208,484l6208,4314m6208,-335l6208,351e" filled="false" stroked="true" strokeweight=".882704pt" strokecolor="#afafaf">
                  <v:path arrowok="t"/>
                  <v:stroke dashstyle="solid"/>
                </v:shape>
                <v:shape style="position:absolute;left:6208;top:4313;width:2;height:78" id="docshape368" coordorigin="6208,4314" coordsize="0,78" path="m6208,4314l6208,4391e" filled="true" fillcolor="#000000" stroked="false">
                  <v:path arrowok="t"/>
                  <v:fill type="solid"/>
                </v:shape>
                <v:line style="position:absolute" from="6208,4314" to="6208,4391" stroked="true" strokeweight=".882704pt" strokecolor="#000000">
                  <v:stroke dashstyle="solid"/>
                </v:line>
                <v:shape style="position:absolute;left:7369;top:-336;width:2;height:4650" id="docshape369" coordorigin="7369,-335" coordsize="0,4650" path="m7369,1778l7369,4314m7369,-335l7369,1646e" filled="false" stroked="true" strokeweight=".882704pt" strokecolor="#afafaf">
                  <v:path arrowok="t"/>
                  <v:stroke dashstyle="solid"/>
                </v:shape>
                <v:shape style="position:absolute;left:7369;top:4313;width:2;height:78" id="docshape370" coordorigin="7369,4314" coordsize="0,78" path="m7369,4314l7369,4391e" filled="true" fillcolor="#000000" stroked="false">
                  <v:path arrowok="t"/>
                  <v:fill type="solid"/>
                </v:shape>
                <v:line style="position:absolute" from="7369,4314" to="7369,4391" stroked="true" strokeweight=".882704pt" strokecolor="#000000">
                  <v:stroke dashstyle="solid"/>
                </v:line>
                <v:shape style="position:absolute;left:9618;top:-336;width:2;height:4650" id="docshape371" coordorigin="9619,-335" coordsize="0,4650" path="m9619,-335l9619,-190m9619,-58l9619,4314e" filled="false" stroked="true" strokeweight=".882704pt" strokecolor="#afafaf">
                  <v:path arrowok="t"/>
                  <v:stroke dashstyle="solid"/>
                </v:shape>
                <v:shape style="position:absolute;left:9618;top:4313;width:2;height:78" id="docshape372" coordorigin="9619,4314" coordsize="0,78" path="m9619,4314l9619,4391e" filled="true" fillcolor="#000000" stroked="false">
                  <v:path arrowok="t"/>
                  <v:fill type="solid"/>
                </v:shape>
                <v:line style="position:absolute" from="9619,4314" to="9619,4391" stroked="true" strokeweight=".882704pt" strokecolor="#000000">
                  <v:stroke dashstyle="solid"/>
                </v:line>
                <v:shape style="position:absolute;left:2662;top:4313;width:2;height:45" id="docshape373" coordorigin="2663,4314" coordsize="0,45" path="m2663,4314l2663,4358e" filled="true" fillcolor="#000000" stroked="false">
                  <v:path arrowok="t"/>
                  <v:fill type="solid"/>
                </v:shape>
                <v:line style="position:absolute" from="2663,4314" to="2663,4358" stroked="true" strokeweight=".662028pt" strokecolor="#000000">
                  <v:stroke dashstyle="solid"/>
                </v:line>
                <v:shape style="position:absolute;left:5015;top:4313;width:2;height:45" id="docshape374" coordorigin="5016,4314" coordsize="0,45" path="m5016,4314l5016,4358e" filled="true" fillcolor="#000000" stroked="false">
                  <v:path arrowok="t"/>
                  <v:fill type="solid"/>
                </v:shape>
                <v:line style="position:absolute" from="5016,4314" to="5016,4358" stroked="true" strokeweight=".662028pt" strokecolor="#000000">
                  <v:stroke dashstyle="solid"/>
                </v:line>
                <v:shape style="position:absolute;left:6014;top:4313;width:2;height:45" id="docshape375" coordorigin="6014,4314" coordsize="0,45" path="m6014,4314l6014,4358e" filled="true" fillcolor="#000000" stroked="false">
                  <v:path arrowok="t"/>
                  <v:fill type="solid"/>
                </v:shape>
                <v:line style="position:absolute" from="6014,4314" to="6014,4358" stroked="true" strokeweight=".662028pt" strokecolor="#000000">
                  <v:stroke dashstyle="solid"/>
                </v:line>
                <v:shape style="position:absolute;left:6370;top:4313;width:2;height:45" id="docshape376" coordorigin="6371,4314" coordsize="0,45" path="m6371,4314l6371,4358e" filled="true" fillcolor="#000000" stroked="false">
                  <v:path arrowok="t"/>
                  <v:fill type="solid"/>
                </v:shape>
                <v:line style="position:absolute" from="6371,4314" to="6371,4358" stroked="true" strokeweight=".662028pt" strokecolor="#000000">
                  <v:stroke dashstyle="solid"/>
                </v:line>
                <v:shape style="position:absolute;left:6671;top:4313;width:2;height:45" id="docshape377" coordorigin="6672,4314" coordsize="0,45" path="m6672,4314l6672,4358e" filled="true" fillcolor="#000000" stroked="false">
                  <v:path arrowok="t"/>
                  <v:fill type="solid"/>
                </v:shape>
                <v:line style="position:absolute" from="6672,4314" to="6672,4358" stroked="true" strokeweight=".662028pt" strokecolor="#000000">
                  <v:stroke dashstyle="solid"/>
                </v:line>
                <v:shape style="position:absolute;left:6932;top:4313;width:2;height:45" id="docshape378" coordorigin="6933,4314" coordsize="0,45" path="m6933,4314l6933,4358e" filled="true" fillcolor="#000000" stroked="false">
                  <v:path arrowok="t"/>
                  <v:fill type="solid"/>
                </v:shape>
                <v:line style="position:absolute" from="6933,4314" to="6933,4358" stroked="true" strokeweight=".662028pt" strokecolor="#000000">
                  <v:stroke dashstyle="solid"/>
                </v:line>
                <v:shape style="position:absolute;left:7163;top:4313;width:2;height:45" id="docshape379" coordorigin="7163,4314" coordsize="0,45" path="m7163,4314l7163,4358e" filled="true" fillcolor="#000000" stroked="false">
                  <v:path arrowok="t"/>
                  <v:fill type="solid"/>
                </v:shape>
                <v:line style="position:absolute" from="7163,4314" to="7163,4358" stroked="true" strokeweight=".662028pt" strokecolor="#000000">
                  <v:stroke dashstyle="solid"/>
                </v:line>
                <v:shape style="position:absolute;left:8723;top:4313;width:2;height:45" id="docshape380" coordorigin="8724,4314" coordsize="0,45" path="m8724,4314l8724,4358e" filled="true" fillcolor="#000000" stroked="false">
                  <v:path arrowok="t"/>
                  <v:fill type="solid"/>
                </v:shape>
                <v:line style="position:absolute" from="8724,4314" to="8724,4358" stroked="true" strokeweight=".662028pt" strokecolor="#000000">
                  <v:stroke dashstyle="solid"/>
                </v:line>
                <v:shape style="position:absolute;left:9516;top:4313;width:2;height:45" id="docshape381" coordorigin="9516,4314" coordsize="0,45" path="m9516,4314l9516,4358e" filled="true" fillcolor="#000000" stroked="false">
                  <v:path arrowok="t"/>
                  <v:fill type="solid"/>
                </v:shape>
                <v:line style="position:absolute" from="9516,4314" to="9516,4358" stroked="true" strokeweight=".662028pt" strokecolor="#000000">
                  <v:stroke dashstyle="solid"/>
                </v:line>
                <v:line style="position:absolute" from="2663,4182" to="9805,4182" stroked="true" strokeweight=".882704pt" strokecolor="#afafaf">
                  <v:stroke dashstyle="solid"/>
                </v:line>
                <v:shape style="position:absolute;left:2585;top:4181;width:78;height:2" id="docshape382" coordorigin="2586,4182" coordsize="78,0" path="m2663,4182l2586,4182e" filled="true" fillcolor="#000000" stroked="false">
                  <v:path arrowok="t"/>
                  <v:fill type="solid"/>
                </v:shape>
                <v:line style="position:absolute" from="2663,4182" to="2586,4182" stroked="true" strokeweight=".882704pt" strokecolor="#000000">
                  <v:stroke dashstyle="solid"/>
                </v:line>
                <v:line style="position:absolute" from="2663,3176" to="9805,3176" stroked="true" strokeweight=".882704pt" strokecolor="#afafaf">
                  <v:stroke dashstyle="solid"/>
                </v:line>
                <v:shape style="position:absolute;left:2585;top:3175;width:78;height:2" id="docshape383" coordorigin="2586,3176" coordsize="78,0" path="m2663,3176l2586,3176e" filled="true" fillcolor="#000000" stroked="false">
                  <v:path arrowok="t"/>
                  <v:fill type="solid"/>
                </v:shape>
                <v:line style="position:absolute" from="2663,3176" to="2586,3176" stroked="true" strokeweight=".882704pt" strokecolor="#000000">
                  <v:stroke dashstyle="solid"/>
                </v:line>
                <v:line style="position:absolute" from="2663,2170" to="9805,2170" stroked="true" strokeweight=".882704pt" strokecolor="#afafaf">
                  <v:stroke dashstyle="solid"/>
                </v:line>
                <v:shape style="position:absolute;left:2585;top:2169;width:78;height:2" id="docshape384" coordorigin="2586,2170" coordsize="78,0" path="m2663,2170l2586,2170e" filled="true" fillcolor="#000000" stroked="false">
                  <v:path arrowok="t"/>
                  <v:fill type="solid"/>
                </v:shape>
                <v:line style="position:absolute" from="2663,2170" to="2586,2170" stroked="true" strokeweight=".882704pt" strokecolor="#000000">
                  <v:stroke dashstyle="solid"/>
                </v:line>
                <v:line style="position:absolute" from="2663,1164" to="9805,1164" stroked="true" strokeweight=".882704pt" strokecolor="#afafaf">
                  <v:stroke dashstyle="solid"/>
                </v:line>
                <v:shape style="position:absolute;left:2585;top:1163;width:78;height:2" id="docshape385" coordorigin="2586,1164" coordsize="78,0" path="m2663,1164l2586,1164e" filled="true" fillcolor="#000000" stroked="false">
                  <v:path arrowok="t"/>
                  <v:fill type="solid"/>
                </v:shape>
                <v:line style="position:absolute" from="2663,1164" to="2586,1164" stroked="true" strokeweight=".882704pt" strokecolor="#000000">
                  <v:stroke dashstyle="solid"/>
                </v:line>
                <v:line style="position:absolute" from="2663,158" to="9805,158" stroked="true" strokeweight=".882704pt" strokecolor="#afafaf">
                  <v:stroke dashstyle="solid"/>
                </v:line>
                <v:shape style="position:absolute;left:2585;top:158;width:78;height:2" id="docshape386" coordorigin="2586,158" coordsize="78,0" path="m2663,158l2586,158e" filled="true" fillcolor="#000000" stroked="false">
                  <v:path arrowok="t"/>
                  <v:fill type="solid"/>
                </v:shape>
                <v:line style="position:absolute" from="2663,158" to="2586,158" stroked="true" strokeweight=".882704pt" strokecolor="#000000">
                  <v:stroke dashstyle="solid"/>
                </v:line>
                <v:shape style="position:absolute;left:2868;top:3758;width:3340;height:345" id="docshape387" coordorigin="2869,3758" coordsize="3340,345" path="m2869,4102l4223,4035,5578,3764,6208,3758e" filled="false" stroked="true" strokeweight="1.65507pt" strokecolor="#2b5e8a">
                  <v:path arrowok="t"/>
                  <v:stroke dashstyle="solid"/>
                </v:shape>
                <v:shape style="position:absolute;left:2791;top:4025;width:155;height:155" type="#_x0000_t75" id="docshape388" stroked="false">
                  <v:imagedata r:id="rId11" o:title=""/>
                </v:shape>
                <v:shape style="position:absolute;left:4146;top:3957;width:155;height:155" type="#_x0000_t75" id="docshape389" stroked="false">
                  <v:imagedata r:id="rId12" o:title=""/>
                </v:shape>
                <v:shape style="position:absolute;left:5500;top:3686;width:155;height:155" type="#_x0000_t75" id="docshape390" stroked="false">
                  <v:imagedata r:id="rId11" o:title=""/>
                </v:shape>
                <v:shape style="position:absolute;left:6130;top:3680;width:155;height:155" type="#_x0000_t75" id="docshape391" stroked="false">
                  <v:imagedata r:id="rId11" o:title=""/>
                </v:shape>
                <v:shape style="position:absolute;left:2868;top:417;width:3340;height:3118" id="docshape392" coordorigin="2869,417" coordsize="3340,3118" path="m2869,3535l4223,2815,5578,554,6208,417e" filled="false" stroked="true" strokeweight="1.65507pt" strokecolor="#a03b3b">
                  <v:path arrowok="t"/>
                  <v:stroke dashstyle="solid"/>
                </v:shape>
                <v:rect style="position:absolute;left:2802;top:3468;width:133;height:133" id="docshape393" filled="true" fillcolor="#a03b3b" stroked="false">
                  <v:fill type="solid"/>
                </v:rect>
                <v:rect style="position:absolute;left:2802;top:3468;width:133;height:133" id="docshape394" filled="false" stroked="true" strokeweight="1.10338pt" strokecolor="#a03b3b">
                  <v:stroke dashstyle="solid"/>
                </v:rect>
                <v:rect style="position:absolute;left:4157;top:2748;width:133;height:133" id="docshape395" filled="true" fillcolor="#a03b3b" stroked="false">
                  <v:fill type="solid"/>
                </v:rect>
                <v:rect style="position:absolute;left:4157;top:2748;width:133;height:133" id="docshape396" filled="false" stroked="true" strokeweight="1.10338pt" strokecolor="#a03b3b">
                  <v:stroke dashstyle="solid"/>
                </v:rect>
                <v:rect style="position:absolute;left:5512;top:488;width:133;height:133" id="docshape397" filled="true" fillcolor="#a03b3b" stroked="false">
                  <v:fill type="solid"/>
                </v:rect>
                <v:rect style="position:absolute;left:5512;top:488;width:133;height:133" id="docshape398" filled="false" stroked="true" strokeweight="1.10338pt" strokecolor="#a03b3b">
                  <v:stroke dashstyle="solid"/>
                </v:rect>
                <v:rect style="position:absolute;left:6141;top:351;width:133;height:133" id="docshape399" filled="true" fillcolor="#a03b3b" stroked="false">
                  <v:fill type="solid"/>
                </v:rect>
                <v:rect style="position:absolute;left:6141;top:351;width:133;height:133" id="docshape400" filled="false" stroked="true" strokeweight="1.10338pt" strokecolor="#a03b3b">
                  <v:stroke dashstyle="solid"/>
                </v:rect>
                <v:line style="position:absolute" from="7369,3945" to="9619,3722" stroked="true" strokeweight="1.65507pt" strokecolor="#5a8ab8">
                  <v:stroke dashstyle="shortdash"/>
                </v:line>
                <v:shape style="position:absolute;left:7291;top:3867;width:155;height:155" type="#_x0000_t75" id="docshape401" stroked="false">
                  <v:imagedata r:id="rId13" o:title=""/>
                </v:shape>
                <v:shape style="position:absolute;left:9541;top:3644;width:155;height:155" type="#_x0000_t75" id="docshape402" stroked="false">
                  <v:imagedata r:id="rId14" o:title=""/>
                </v:shape>
                <v:line style="position:absolute" from="7369,1712" to="9619,-124" stroked="true" strokeweight="1.65507pt" strokecolor="#c05f5f">
                  <v:stroke dashstyle="shortdash"/>
                </v:line>
                <v:rect style="position:absolute;left:7302;top:1645;width:133;height:133" id="docshape403" filled="true" fillcolor="#c05f5f" stroked="false">
                  <v:fill type="solid"/>
                </v:rect>
                <v:rect style="position:absolute;left:7302;top:1645;width:133;height:133" id="docshape404" filled="false" stroked="true" strokeweight="1.10338pt" strokecolor="#c05f5f">
                  <v:stroke dashstyle="solid"/>
                </v:rect>
                <v:rect style="position:absolute;left:9552;top:-191;width:133;height:133" id="docshape405" filled="true" fillcolor="#c05f5f" stroked="false">
                  <v:fill type="solid"/>
                </v:rect>
                <v:rect style="position:absolute;left:9552;top:-191;width:133;height:133" id="docshape406" filled="false" stroked="true" strokeweight="1.10338pt" strokecolor="#c05f5f">
                  <v:stroke dashstyle="solid"/>
                </v:rect>
                <v:shape style="position:absolute;left:2662;top:-336;width:7142;height:4650" id="docshape407" coordorigin="2663,-335" coordsize="7142,4650" path="m2663,4314l2663,-335m9805,4314l9805,-335m2663,4314l9805,4314m2663,-335l9805,-335e" filled="false" stroked="true" strokeweight=".882704pt" strokecolor="#000000">
                  <v:path arrowok="t"/>
                  <v:stroke dashstyle="solid"/>
                </v:shape>
                <w10:wrap type="none"/>
              </v:group>
            </w:pict>
          </mc:Fallback>
        </mc:AlternateContent>
      </w:r>
      <w:r>
        <w:rPr>
          <w:rFonts w:ascii="Verdana"/>
          <w:spacing w:val="-5"/>
          <w:w w:val="95"/>
        </w:rPr>
        <w:t>20</w:t>
      </w:r>
    </w:p>
    <w:p>
      <w:pPr>
        <w:pStyle w:val="BodyText"/>
        <w:rPr>
          <w:rFonts w:ascii="Verdana"/>
          <w:sz w:val="22"/>
        </w:rPr>
      </w:pPr>
    </w:p>
    <w:p>
      <w:pPr>
        <w:pStyle w:val="BodyText"/>
        <w:spacing w:before="180"/>
        <w:rPr>
          <w:rFonts w:ascii="Verdana"/>
          <w:sz w:val="22"/>
        </w:rPr>
      </w:pPr>
    </w:p>
    <w:p>
      <w:pPr>
        <w:pStyle w:val="BodyText"/>
        <w:ind w:left="1235"/>
        <w:rPr>
          <w:rFonts w:ascii="Verdana"/>
        </w:rPr>
      </w:pPr>
      <w:r>
        <w:rPr>
          <w:rFonts w:ascii="Verdana"/>
        </w:rPr>
        <mc:AlternateContent>
          <mc:Choice Requires="wps">
            <w:drawing>
              <wp:anchor distT="0" distB="0" distL="0" distR="0" allowOverlap="1" layoutInCell="1" locked="0" behindDoc="0" simplePos="0" relativeHeight="15774208">
                <wp:simplePos x="0" y="0"/>
                <wp:positionH relativeFrom="page">
                  <wp:posOffset>1182809</wp:posOffset>
                </wp:positionH>
                <wp:positionV relativeFrom="paragraph">
                  <wp:posOffset>-278554</wp:posOffset>
                </wp:positionV>
                <wp:extent cx="177800" cy="18161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177800" cy="1816100"/>
                        </a:xfrm>
                        <a:prstGeom prst="rect">
                          <a:avLst/>
                        </a:prstGeom>
                      </wps:spPr>
                      <wps:txbx>
                        <w:txbxContent>
                          <w:p>
                            <w:pPr>
                              <w:spacing w:line="278" w:lineRule="exact" w:before="0"/>
                              <w:ind w:left="20" w:right="0" w:firstLine="0"/>
                              <w:jc w:val="left"/>
                              <w:rPr>
                                <w:rFonts w:ascii="Verdana"/>
                                <w:sz w:val="26"/>
                              </w:rPr>
                            </w:pPr>
                            <w:r>
                              <w:rPr>
                                <w:rFonts w:ascii="Verdana"/>
                                <w:spacing w:val="-6"/>
                                <w:sz w:val="26"/>
                              </w:rPr>
                              <w:t>PageRank</w:t>
                            </w:r>
                            <w:r>
                              <w:rPr>
                                <w:rFonts w:ascii="Verdana"/>
                                <w:spacing w:val="-31"/>
                                <w:sz w:val="26"/>
                              </w:rPr>
                              <w:t> </w:t>
                            </w:r>
                            <w:r>
                              <w:rPr>
                                <w:rFonts w:ascii="Verdana"/>
                                <w:spacing w:val="-6"/>
                                <w:sz w:val="26"/>
                              </w:rPr>
                              <w:t>wall</w:t>
                            </w:r>
                            <w:r>
                              <w:rPr>
                                <w:rFonts w:ascii="Verdana"/>
                                <w:spacing w:val="-14"/>
                                <w:sz w:val="26"/>
                              </w:rPr>
                              <w:t> </w:t>
                            </w:r>
                            <w:r>
                              <w:rPr>
                                <w:rFonts w:ascii="Verdana"/>
                                <w:spacing w:val="-6"/>
                                <w:sz w:val="26"/>
                              </w:rPr>
                              <w:t>time</w:t>
                            </w:r>
                            <w:r>
                              <w:rPr>
                                <w:rFonts w:ascii="Verdana"/>
                                <w:spacing w:val="-15"/>
                                <w:sz w:val="26"/>
                              </w:rPr>
                              <w:t> </w:t>
                            </w:r>
                            <w:r>
                              <w:rPr>
                                <w:rFonts w:ascii="Verdana"/>
                                <w:spacing w:val="-6"/>
                                <w:w w:val="85"/>
                                <w:sz w:val="26"/>
                              </w:rPr>
                              <w:t>(s)</w:t>
                            </w:r>
                          </w:p>
                        </w:txbxContent>
                      </wps:txbx>
                      <wps:bodyPr wrap="square" lIns="0" tIns="0" rIns="0" bIns="0" rtlCol="0" vert="vert270">
                        <a:noAutofit/>
                      </wps:bodyPr>
                    </wps:wsp>
                  </a:graphicData>
                </a:graphic>
              </wp:anchor>
            </w:drawing>
          </mc:Choice>
          <mc:Fallback>
            <w:pict>
              <v:shape style="position:absolute;margin-left:93.134605pt;margin-top:-21.933435pt;width:14pt;height:143pt;mso-position-horizontal-relative:page;mso-position-vertical-relative:paragraph;z-index:15774208" type="#_x0000_t202" id="docshape408" filled="false" stroked="false">
                <v:textbox inset="0,0,0,0" style="layout-flow:vertical;mso-layout-flow-alt:bottom-to-top">
                  <w:txbxContent>
                    <w:p>
                      <w:pPr>
                        <w:spacing w:line="278" w:lineRule="exact" w:before="0"/>
                        <w:ind w:left="20" w:right="0" w:firstLine="0"/>
                        <w:jc w:val="left"/>
                        <w:rPr>
                          <w:rFonts w:ascii="Verdana"/>
                          <w:sz w:val="26"/>
                        </w:rPr>
                      </w:pPr>
                      <w:r>
                        <w:rPr>
                          <w:rFonts w:ascii="Verdana"/>
                          <w:spacing w:val="-6"/>
                          <w:sz w:val="26"/>
                        </w:rPr>
                        <w:t>PageRank</w:t>
                      </w:r>
                      <w:r>
                        <w:rPr>
                          <w:rFonts w:ascii="Verdana"/>
                          <w:spacing w:val="-31"/>
                          <w:sz w:val="26"/>
                        </w:rPr>
                        <w:t> </w:t>
                      </w:r>
                      <w:r>
                        <w:rPr>
                          <w:rFonts w:ascii="Verdana"/>
                          <w:spacing w:val="-6"/>
                          <w:sz w:val="26"/>
                        </w:rPr>
                        <w:t>wall</w:t>
                      </w:r>
                      <w:r>
                        <w:rPr>
                          <w:rFonts w:ascii="Verdana"/>
                          <w:spacing w:val="-14"/>
                          <w:sz w:val="26"/>
                        </w:rPr>
                        <w:t> </w:t>
                      </w:r>
                      <w:r>
                        <w:rPr>
                          <w:rFonts w:ascii="Verdana"/>
                          <w:spacing w:val="-6"/>
                          <w:sz w:val="26"/>
                        </w:rPr>
                        <w:t>time</w:t>
                      </w:r>
                      <w:r>
                        <w:rPr>
                          <w:rFonts w:ascii="Verdana"/>
                          <w:spacing w:val="-15"/>
                          <w:sz w:val="26"/>
                        </w:rPr>
                        <w:t> </w:t>
                      </w:r>
                      <w:r>
                        <w:rPr>
                          <w:rFonts w:ascii="Verdana"/>
                          <w:spacing w:val="-6"/>
                          <w:w w:val="85"/>
                          <w:sz w:val="26"/>
                        </w:rPr>
                        <w:t>(s)</w:t>
                      </w:r>
                    </w:p>
                  </w:txbxContent>
                </v:textbox>
                <w10:wrap type="none"/>
              </v:shape>
            </w:pict>
          </mc:Fallback>
        </mc:AlternateContent>
      </w:r>
      <w:r>
        <w:rPr>
          <w:rFonts w:ascii="Verdana"/>
          <w:spacing w:val="6"/>
          <w:w w:val="90"/>
        </w:rPr>
        <w:t>15</w:t>
      </w:r>
    </w:p>
    <w:p>
      <w:pPr>
        <w:pStyle w:val="BodyText"/>
        <w:rPr>
          <w:rFonts w:ascii="Verdana"/>
          <w:sz w:val="22"/>
        </w:rPr>
      </w:pPr>
    </w:p>
    <w:p>
      <w:pPr>
        <w:pStyle w:val="BodyText"/>
        <w:spacing w:before="179"/>
        <w:rPr>
          <w:rFonts w:ascii="Verdana"/>
          <w:sz w:val="22"/>
        </w:rPr>
      </w:pPr>
    </w:p>
    <w:p>
      <w:pPr>
        <w:pStyle w:val="BodyText"/>
        <w:ind w:left="1235"/>
        <w:rPr>
          <w:rFonts w:ascii="Verdana"/>
        </w:rPr>
      </w:pPr>
      <w:r>
        <w:rPr>
          <w:rFonts w:ascii="Verdana"/>
          <w:spacing w:val="6"/>
          <w:w w:val="95"/>
        </w:rPr>
        <w:t>10</w:t>
      </w:r>
    </w:p>
    <w:p>
      <w:pPr>
        <w:pStyle w:val="BodyText"/>
        <w:rPr>
          <w:rFonts w:ascii="Verdana"/>
          <w:sz w:val="22"/>
        </w:rPr>
      </w:pPr>
    </w:p>
    <w:p>
      <w:pPr>
        <w:pStyle w:val="BodyText"/>
        <w:spacing w:before="179"/>
        <w:rPr>
          <w:rFonts w:ascii="Verdana"/>
          <w:sz w:val="22"/>
        </w:rPr>
      </w:pPr>
    </w:p>
    <w:p>
      <w:pPr>
        <w:pStyle w:val="BodyText"/>
        <w:spacing w:before="1"/>
        <w:ind w:left="1376"/>
        <w:rPr>
          <w:rFonts w:ascii="Verdana"/>
        </w:rPr>
      </w:pPr>
      <w:r>
        <w:rPr>
          <w:rFonts w:ascii="Verdana"/>
          <w:spacing w:val="-10"/>
          <w:w w:val="95"/>
        </w:rPr>
        <w:t>5</w:t>
      </w:r>
    </w:p>
    <w:p>
      <w:pPr>
        <w:pStyle w:val="BodyText"/>
        <w:rPr>
          <w:rFonts w:ascii="Verdana"/>
          <w:sz w:val="22"/>
        </w:rPr>
      </w:pPr>
    </w:p>
    <w:p>
      <w:pPr>
        <w:pStyle w:val="BodyText"/>
        <w:spacing w:before="179"/>
        <w:rPr>
          <w:rFonts w:ascii="Verdana"/>
          <w:sz w:val="22"/>
        </w:rPr>
      </w:pPr>
    </w:p>
    <w:p>
      <w:pPr>
        <w:pStyle w:val="BodyText"/>
        <w:ind w:left="774" w:right="8089"/>
        <w:jc w:val="center"/>
        <w:rPr>
          <w:rFonts w:ascii="Verdana"/>
        </w:rPr>
      </w:pPr>
      <w:r>
        <w:rPr>
          <w:rFonts w:ascii="Verdana"/>
          <w:spacing w:val="-10"/>
        </w:rPr>
        <w:t>0</w:t>
      </w:r>
    </w:p>
    <w:p>
      <w:pPr>
        <w:pStyle w:val="BodyText"/>
        <w:tabs>
          <w:tab w:pos="1711" w:val="left" w:leader="none"/>
          <w:tab w:pos="3065" w:val="left" w:leader="none"/>
          <w:tab w:pos="4786" w:val="left" w:leader="none"/>
          <w:tab w:pos="7035" w:val="left" w:leader="none"/>
        </w:tabs>
        <w:spacing w:before="79"/>
        <w:ind w:left="356"/>
        <w:jc w:val="center"/>
        <w:rPr>
          <w:rFonts w:ascii="Verdana"/>
        </w:rPr>
      </w:pPr>
      <w:r>
        <w:rPr>
          <w:rFonts w:ascii="Verdana"/>
          <w:w w:val="75"/>
        </w:rPr>
        <w:t>1</w:t>
      </w:r>
      <w:r>
        <w:rPr>
          <w:rFonts w:ascii="Verdana"/>
          <w:spacing w:val="-40"/>
          <w:w w:val="75"/>
        </w:rPr>
        <w:t> </w:t>
      </w:r>
      <w:r>
        <w:rPr>
          <w:rFonts w:ascii="Verdana"/>
          <w:spacing w:val="-4"/>
          <w:w w:val="90"/>
        </w:rPr>
        <w:t>,000</w:t>
      </w:r>
      <w:r>
        <w:rPr>
          <w:rFonts w:ascii="Verdana"/>
        </w:rPr>
        <w:tab/>
      </w:r>
      <w:r>
        <w:rPr>
          <w:rFonts w:ascii="Verdana"/>
          <w:spacing w:val="-2"/>
          <w:w w:val="90"/>
        </w:rPr>
        <w:t>2,000</w:t>
      </w:r>
      <w:r>
        <w:rPr>
          <w:rFonts w:ascii="Verdana"/>
        </w:rPr>
        <w:tab/>
      </w:r>
      <w:r>
        <w:rPr>
          <w:rFonts w:ascii="Verdana"/>
          <w:spacing w:val="-2"/>
          <w:w w:val="90"/>
        </w:rPr>
        <w:t>4,0005,521</w:t>
      </w:r>
      <w:r>
        <w:rPr>
          <w:rFonts w:ascii="Verdana"/>
        </w:rPr>
        <w:tab/>
      </w:r>
      <w:r>
        <w:rPr>
          <w:rFonts w:ascii="Verdana"/>
          <w:spacing w:val="-2"/>
          <w:w w:val="85"/>
        </w:rPr>
        <w:t>10,000</w:t>
      </w:r>
      <w:r>
        <w:rPr>
          <w:rFonts w:ascii="Verdana"/>
        </w:rPr>
        <w:tab/>
      </w:r>
      <w:r>
        <w:rPr>
          <w:rFonts w:ascii="Verdana"/>
          <w:w w:val="80"/>
        </w:rPr>
        <w:t>31</w:t>
      </w:r>
      <w:r>
        <w:rPr>
          <w:rFonts w:ascii="Verdana"/>
          <w:spacing w:val="-35"/>
          <w:w w:val="80"/>
        </w:rPr>
        <w:t> </w:t>
      </w:r>
      <w:r>
        <w:rPr>
          <w:rFonts w:ascii="Verdana"/>
          <w:spacing w:val="6"/>
          <w:w w:val="90"/>
        </w:rPr>
        <w:t>,612</w:t>
      </w:r>
    </w:p>
    <w:p>
      <w:pPr>
        <w:pStyle w:val="Heading3"/>
        <w:spacing w:line="240" w:lineRule="auto" w:before="7"/>
        <w:ind w:left="261"/>
        <w:jc w:val="center"/>
      </w:pPr>
      <w:r>
        <w:rPr>
          <w:spacing w:val="-2"/>
        </w:rPr>
        <w:t>Number</w:t>
      </w:r>
      <w:r>
        <w:rPr>
          <w:spacing w:val="-25"/>
        </w:rPr>
        <w:t> </w:t>
      </w:r>
      <w:r>
        <w:rPr>
          <w:spacing w:val="-2"/>
        </w:rPr>
        <w:t>of</w:t>
      </w:r>
      <w:r>
        <w:rPr>
          <w:spacing w:val="-39"/>
        </w:rPr>
        <w:t> </w:t>
      </w:r>
      <w:r>
        <w:rPr>
          <w:spacing w:val="-2"/>
        </w:rPr>
        <w:t>wallets</w:t>
      </w:r>
      <w:r>
        <w:rPr>
          <w:spacing w:val="-15"/>
        </w:rPr>
        <w:t> </w:t>
      </w:r>
      <w:r>
        <w:rPr>
          <w:rFonts w:ascii="Trebuchet MS"/>
          <w:i/>
          <w:spacing w:val="-2"/>
          <w:sz w:val="19"/>
        </w:rPr>
        <w:t>n</w:t>
      </w:r>
      <w:r>
        <w:rPr>
          <w:rFonts w:ascii="Trebuchet MS"/>
          <w:i/>
          <w:spacing w:val="22"/>
          <w:sz w:val="19"/>
        </w:rPr>
        <w:t> </w:t>
      </w:r>
      <w:r>
        <w:rPr>
          <w:spacing w:val="-2"/>
        </w:rPr>
        <w:t>(log</w:t>
      </w:r>
      <w:r>
        <w:rPr>
          <w:spacing w:val="-21"/>
        </w:rPr>
        <w:t> </w:t>
      </w:r>
      <w:r>
        <w:rPr>
          <w:spacing w:val="-2"/>
        </w:rPr>
        <w:t>scale)</w:t>
      </w:r>
    </w:p>
    <w:p>
      <w:pPr>
        <w:pStyle w:val="Heading3"/>
        <w:spacing w:line="240" w:lineRule="auto" w:before="7"/>
        <w:ind w:left="261"/>
        <w:jc w:val="center"/>
      </w:pPr>
      <w:r>
        <w:rPr>
          <w:i/>
        </w:rPr>
        <w:t>지갑 수 n(로그 스케일)</w:t>
      </w:r>
    </w:p>
    <w:p>
      <w:pPr>
        <w:pStyle w:val="BodyText"/>
        <w:spacing w:before="109"/>
        <w:rPr>
          <w:rFonts w:ascii="Verdana"/>
        </w:rPr>
      </w:pPr>
    </w:p>
    <w:p>
      <w:pPr>
        <w:pStyle w:val="BodyText"/>
        <w:spacing w:line="194" w:lineRule="auto"/>
        <w:ind w:left="276" w:right="548" w:firstLine="5"/>
        <w:jc w:val="both"/>
      </w:pPr>
      <w:r>
        <w:rPr/>
        <w:t>Figure 4.4: PageRank wall-clock runtime versus cohort size (log </w:t>
      </w:r>
      <w:r>
        <w:rPr>
          <w:rFonts w:ascii="Calibri" w:hAnsi="Calibri"/>
          <w:i/>
        </w:rPr>
        <w:t>x</w:t>
      </w:r>
      <w:r>
        <w:rPr/>
        <w:t>-axis).</w:t>
      </w:r>
      <w:r>
        <w:rPr>
          <w:spacing w:val="40"/>
        </w:rPr>
        <w:t> </w:t>
      </w:r>
      <w:r>
        <w:rPr/>
        <w:t>Solid lines: in-cohort scaling on the matched GMX sample (</w:t>
      </w:r>
      <w:r>
        <w:rPr>
          <w:rFonts w:ascii="Calibri" w:hAnsi="Calibri"/>
          <w:i/>
        </w:rPr>
        <w:t>n </w:t>
      </w:r>
      <w:r>
        <w:rPr>
          <w:rFonts w:ascii="Lucida Sans Unicode" w:hAnsi="Lucida Sans Unicode"/>
        </w:rPr>
        <w:t>≤ </w:t>
      </w:r>
      <w:r>
        <w:rPr>
          <w:rFonts w:ascii="Calibri" w:hAnsi="Calibri"/>
        </w:rPr>
        <w:t>5</w:t>
      </w:r>
      <w:r>
        <w:rPr>
          <w:rFonts w:ascii="Calibri" w:hAnsi="Calibri"/>
          <w:i/>
        </w:rPr>
        <w:t>,</w:t>
      </w:r>
      <w:r>
        <w:rPr>
          <w:rFonts w:ascii="Calibri" w:hAnsi="Calibri"/>
        </w:rPr>
        <w:t>521</w:t>
      </w:r>
      <w:r>
        <w:rPr/>
        <w:t>).</w:t>
      </w:r>
      <w:r>
        <w:rPr>
          <w:spacing w:val="40"/>
        </w:rPr>
        <w:t> </w:t>
      </w:r>
      <w:r>
        <w:rPr/>
        <w:t>Dashed lines: expanded wallet pool (</w:t>
      </w:r>
      <w:r>
        <w:rPr>
          <w:rFonts w:ascii="Calibri" w:hAnsi="Calibri"/>
          <w:i/>
        </w:rPr>
        <w:t>N</w:t>
      </w:r>
      <w:r>
        <w:rPr>
          <w:rFonts w:ascii="Calibri" w:hAnsi="Calibri"/>
          <w:i/>
          <w:w w:val="125"/>
        </w:rPr>
        <w:t> </w:t>
      </w:r>
      <w:r>
        <w:rPr>
          <w:rFonts w:ascii="Calibri" w:hAnsi="Calibri"/>
          <w:w w:val="125"/>
        </w:rPr>
        <w:t>= </w:t>
      </w:r>
      <w:r>
        <w:rPr>
          <w:rFonts w:ascii="Calibri" w:hAnsi="Calibri"/>
        </w:rPr>
        <w:t>31</w:t>
      </w:r>
      <w:r>
        <w:rPr>
          <w:rFonts w:ascii="Calibri" w:hAnsi="Calibri"/>
          <w:i/>
        </w:rPr>
        <w:t>,</w:t>
      </w:r>
      <w:r>
        <w:rPr>
          <w:rFonts w:ascii="Calibri" w:hAnsi="Calibri"/>
        </w:rPr>
        <w:t>612</w:t>
      </w:r>
      <w:r>
        <w:rPr/>
        <w:t>).</w:t>
      </w:r>
      <w:r>
        <w:rPr>
          <w:spacing w:val="32"/>
        </w:rPr>
        <w:t> </w:t>
      </w:r>
      <w:r>
        <w:rPr/>
        <w:t>EndorseRank remains approximately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16"/>
        </w:rPr>
        <w:t> </w:t>
      </w:r>
      <w:r>
        <w:rPr/>
        <w:t>faster than AWP at </w:t>
      </w:r>
      <w:r>
        <w:rPr>
          <w:rFonts w:ascii="Calibri" w:hAnsi="Calibri"/>
          <w:i/>
        </w:rPr>
        <w:t>n </w:t>
      </w:r>
      <w:r>
        <w:rPr>
          <w:rFonts w:ascii="Calibri" w:hAnsi="Calibri"/>
          <w:w w:val="125"/>
        </w:rPr>
        <w:t>=</w:t>
      </w:r>
      <w:r>
        <w:rPr>
          <w:rFonts w:ascii="Calibri" w:hAnsi="Calibri"/>
          <w:w w:val="125"/>
        </w:rPr>
        <w:t> </w:t>
      </w:r>
      <w:r>
        <w:rPr>
          <w:rFonts w:ascii="Calibri" w:hAnsi="Calibri"/>
        </w:rPr>
        <w:t>10</w:t>
      </w:r>
      <w:r>
        <w:rPr>
          <w:rFonts w:ascii="Calibri" w:hAnsi="Calibri"/>
          <w:i/>
        </w:rPr>
        <w:t>,</w:t>
      </w:r>
      <w:r>
        <w:rPr>
          <w:rFonts w:ascii="Calibri" w:hAnsi="Calibri"/>
        </w:rPr>
        <w:t>000 </w:t>
      </w:r>
      <w:r>
        <w:rPr/>
        <w:t>(</w:t>
      </w:r>
      <w:r>
        <w:rPr>
          <w:rFonts w:ascii="Lucida Sans Unicode" w:hAnsi="Lucida Sans Unicode"/>
        </w:rPr>
        <w:t>≈</w:t>
      </w:r>
      <w:r>
        <w:rPr>
          <w:rFonts w:ascii="Lucida Sans Unicode" w:hAnsi="Lucida Sans Unicode"/>
          <w:spacing w:val="-1"/>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 and at full pool size (</w:t>
      </w:r>
      <w:r>
        <w:rPr>
          <w:rFonts w:ascii="Lucida Sans Unicode" w:hAnsi="Lucida Sans Unicode"/>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w:t>
      </w:r>
    </w:p>
    <w:p>
      <w:pPr>
        <w:pStyle w:val="BodyText"/>
        <w:spacing w:line="194" w:lineRule="auto"/>
        <w:ind w:left="276" w:right="548" w:firstLine="5"/>
        <w:jc w:val="both"/>
      </w:pPr>
      <w:r>
        <w:rPr>
          <w:i/>
        </w:rPr>
        <w:t>그림 4.4: PageRank 벽시계 런타임 대 코호트 크기(로그 x축). 실선: 일치하는 GMX 표본(n ≤ 5,521)에 대한 코호트 내 확장입니다. 점선: 확장된 지갑 풀(N = 31,612). EndorseRank는 n = 10,000(≒ 10.4×) 및 전체 풀 크기(≒ 9.4×)에서 AWP보다 약 9~10배 빠릅니다.</w:t>
      </w:r>
    </w:p>
    <w:p>
      <w:pPr>
        <w:pStyle w:val="BodyText"/>
        <w:spacing w:after="0" w:line="194" w:lineRule="auto"/>
        <w:jc w:val="both"/>
        <w:sectPr>
          <w:type w:val="continuous"/>
          <w:pgSz w:w="11910" w:h="16840"/>
          <w:pgMar w:header="0" w:footer="2115" w:top="1920" w:bottom="280" w:left="992" w:right="708"/>
        </w:sectPr>
      </w:pPr>
    </w:p>
    <w:p>
      <w:pPr>
        <w:pStyle w:val="BodyText"/>
        <w:spacing w:line="391" w:lineRule="auto" w:before="72"/>
        <w:ind w:left="273" w:right="524" w:firstLine="8"/>
        <w:jc w:val="both"/>
      </w:pPr>
      <w:r>
        <w:rPr/>
        <w:t>pair the runtime results with alignment results:</w:t>
      </w:r>
      <w:r>
        <w:rPr>
          <w:spacing w:val="35"/>
        </w:rPr>
        <w:t> </w:t>
      </w:r>
      <w:r>
        <w:rPr/>
        <w:t>EndorseRank is not merely cheaper; it is cheaper while</w:t>
      </w:r>
      <w:r>
        <w:rPr>
          <w:spacing w:val="-3"/>
        </w:rPr>
        <w:t> </w:t>
      </w:r>
      <w:r>
        <w:rPr/>
        <w:t>preserving</w:t>
      </w:r>
      <w:r>
        <w:rPr>
          <w:spacing w:val="-3"/>
        </w:rPr>
        <w:t> </w:t>
      </w:r>
      <w:r>
        <w:rPr/>
        <w:t>credible</w:t>
      </w:r>
      <w:r>
        <w:rPr>
          <w:spacing w:val="-3"/>
        </w:rPr>
        <w:t> </w:t>
      </w:r>
      <w:r>
        <w:rPr/>
        <w:t>primary-construct</w:t>
      </w:r>
      <w:r>
        <w:rPr>
          <w:spacing w:val="-3"/>
        </w:rPr>
        <w:t> </w:t>
      </w:r>
      <w:r>
        <w:rPr/>
        <w:t>allowance</w:t>
      </w:r>
      <w:r>
        <w:rPr>
          <w:spacing w:val="-3"/>
        </w:rPr>
        <w:t> </w:t>
      </w:r>
      <w:r>
        <w:rPr/>
        <w:t>alignment</w:t>
      </w:r>
      <w:r>
        <w:rPr>
          <w:spacing w:val="-3"/>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355</w:t>
      </w:r>
      <w:r>
        <w:rPr/>
        <w:t>)</w:t>
      </w:r>
      <w:r>
        <w:rPr>
          <w:spacing w:val="-3"/>
        </w:rPr>
        <w:t> </w:t>
      </w:r>
      <w:r>
        <w:rPr/>
        <w:t>and</w:t>
      </w:r>
      <w:r>
        <w:rPr>
          <w:spacing w:val="-3"/>
        </w:rPr>
        <w:t> </w:t>
      </w:r>
      <w:r>
        <w:rPr/>
        <w:t>moderate</w:t>
      </w:r>
      <w:r>
        <w:rPr>
          <w:spacing w:val="-3"/>
        </w:rPr>
        <w:t> </w:t>
      </w:r>
      <w:r>
        <w:rPr/>
        <w:t>trans-fer alignment.</w:t>
      </w:r>
      <w:r>
        <w:rPr>
          <w:spacing w:val="31"/>
        </w:rPr>
        <w:t> </w:t>
      </w:r>
      <w:r>
        <w:rPr/>
        <w:t>Protocols that need transfer-hub detection above all else may still prefer AWP and pay the runtime premium; protocols that need authorization-aware scores at low latency have a </w:t>
      </w:r>
      <w:bookmarkStart w:name="Robustness checks" w:id="170"/>
      <w:bookmarkEnd w:id="170"/>
      <w:r>
        <w:rPr>
          <w:w w:val="99"/>
        </w:rPr>
      </w:r>
      <w:bookmarkStart w:name="_bookmark95" w:id="171"/>
      <w:bookmarkEnd w:id="171"/>
      <w:r>
        <w:rPr/>
        <w:t>clear</w:t>
      </w:r>
      <w:r>
        <w:rPr/>
        <w:t> efficiency rationale for EndorseRank.</w:t>
      </w:r>
    </w:p>
    <w:p>
      <w:pPr>
        <w:pStyle w:val="BodyText"/>
        <w:spacing w:line="391" w:lineRule="auto" w:before="72"/>
        <w:ind w:left="273" w:right="524" w:firstLine="8"/>
        <w:jc w:val="both"/>
      </w:pPr>
      <w:r>
        <w:rPr>
          <w:i/>
        </w:rPr>
        <w:t>런타임 결과를 정렬 결과와 연결합니다. EndorseRank는 단지 더 저렴할 뿐만 아니라 신뢰할 수 있는 기본 구성 허용 정렬(τ = 0.355) 및 적당한 전송 정렬을 유지하면서 더 저렴합니다. 무엇보다 전송 허브 감지가 필요한 프로토콜은 여전히 ​​AWP를 선호하고 런타임 프리미엄을 지불할 수 있습니다. 짧은 대기 시간에 인증 인식 점수가 필요한 프로토콜은 EndorseRank에 대한 명확한 효율성 근거가 있습니다.</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Robustness</w:t>
      </w:r>
      <w:r>
        <w:rPr>
          <w:spacing w:val="19"/>
        </w:rPr>
        <w:t> </w:t>
      </w:r>
      <w:r>
        <w:rPr>
          <w:spacing w:val="-2"/>
        </w:rPr>
        <w:t>checks</w:t>
      </w:r>
    </w:p>
    <w:p>
      <w:pPr>
        <w:pStyle w:val="Heading2"/>
        <w:numPr>
          <w:ilvl w:val="1"/>
          <w:numId w:val="8"/>
        </w:numPr>
        <w:tabs>
          <w:tab w:pos="783" w:val="left" w:leader="none"/>
        </w:tabs>
        <w:spacing w:line="240" w:lineRule="auto" w:before="0" w:after="0"/>
        <w:ind w:left="783" w:right="0" w:hanging="501"/>
        <w:jc w:val="left"/>
      </w:pPr>
      <w:r>
        <w:rPr>
          <w:i/>
        </w:rPr>
        <w:t>견고성 검사</w:t>
      </w:r>
    </w:p>
    <w:p>
      <w:pPr>
        <w:pStyle w:val="BodyText"/>
        <w:spacing w:before="24"/>
        <w:rPr>
          <w:b/>
          <w:sz w:val="28"/>
        </w:rPr>
      </w:pPr>
    </w:p>
    <w:p>
      <w:pPr>
        <w:pStyle w:val="BodyText"/>
        <w:spacing w:line="396" w:lineRule="auto"/>
        <w:ind w:left="282" w:right="534"/>
        <w:jc w:val="both"/>
      </w:pPr>
      <w:r>
        <w:rPr/>
        <w:t>Efficiency</w:t>
      </w:r>
      <w:r>
        <w:rPr>
          <w:spacing w:val="-12"/>
        </w:rPr>
        <w:t> </w:t>
      </w:r>
      <w:r>
        <w:rPr/>
        <w:t>and</w:t>
      </w:r>
      <w:r>
        <w:rPr>
          <w:spacing w:val="-12"/>
        </w:rPr>
        <w:t> </w:t>
      </w:r>
      <w:r>
        <w:rPr/>
        <w:t>alignment</w:t>
      </w:r>
      <w:r>
        <w:rPr>
          <w:spacing w:val="-12"/>
        </w:rPr>
        <w:t> </w:t>
      </w:r>
      <w:r>
        <w:rPr/>
        <w:t>results</w:t>
      </w:r>
      <w:r>
        <w:rPr>
          <w:spacing w:val="-12"/>
        </w:rPr>
        <w:t> </w:t>
      </w:r>
      <w:r>
        <w:rPr/>
        <w:t>are</w:t>
      </w:r>
      <w:r>
        <w:rPr>
          <w:spacing w:val="-11"/>
        </w:rPr>
        <w:t> </w:t>
      </w:r>
      <w:r>
        <w:rPr/>
        <w:t>useful</w:t>
      </w:r>
      <w:r>
        <w:rPr>
          <w:spacing w:val="-12"/>
        </w:rPr>
        <w:t> </w:t>
      </w:r>
      <w:r>
        <w:rPr/>
        <w:t>only</w:t>
      </w:r>
      <w:r>
        <w:rPr>
          <w:spacing w:val="-12"/>
        </w:rPr>
        <w:t> </w:t>
      </w:r>
      <w:r>
        <w:rPr/>
        <w:t>if</w:t>
      </w:r>
      <w:r>
        <w:rPr>
          <w:spacing w:val="-12"/>
        </w:rPr>
        <w:t> </w:t>
      </w:r>
      <w:r>
        <w:rPr/>
        <w:t>they</w:t>
      </w:r>
      <w:r>
        <w:rPr>
          <w:spacing w:val="-11"/>
        </w:rPr>
        <w:t> </w:t>
      </w:r>
      <w:r>
        <w:rPr/>
        <w:t>are</w:t>
      </w:r>
      <w:r>
        <w:rPr>
          <w:spacing w:val="-12"/>
        </w:rPr>
        <w:t> </w:t>
      </w:r>
      <w:r>
        <w:rPr/>
        <w:t>not</w:t>
      </w:r>
      <w:r>
        <w:rPr>
          <w:spacing w:val="-12"/>
        </w:rPr>
        <w:t> </w:t>
      </w:r>
      <w:r>
        <w:rPr/>
        <w:t>artifacts</w:t>
      </w:r>
      <w:r>
        <w:rPr>
          <w:spacing w:val="-12"/>
        </w:rPr>
        <w:t> </w:t>
      </w:r>
      <w:r>
        <w:rPr/>
        <w:t>of</w:t>
      </w:r>
      <w:r>
        <w:rPr>
          <w:spacing w:val="-12"/>
        </w:rPr>
        <w:t> </w:t>
      </w:r>
      <w:r>
        <w:rPr/>
        <w:t>a</w:t>
      </w:r>
      <w:r>
        <w:rPr>
          <w:spacing w:val="-11"/>
        </w:rPr>
        <w:t> </w:t>
      </w:r>
      <w:r>
        <w:rPr/>
        <w:t>single</w:t>
      </w:r>
      <w:r>
        <w:rPr>
          <w:spacing w:val="-12"/>
        </w:rPr>
        <w:t> </w:t>
      </w:r>
      <w:r>
        <w:rPr/>
        <w:t>damping</w:t>
      </w:r>
      <w:r>
        <w:rPr>
          <w:spacing w:val="-12"/>
        </w:rPr>
        <w:t> </w:t>
      </w:r>
      <w:r>
        <w:rPr/>
        <w:t>choice, a</w:t>
      </w:r>
      <w:r>
        <w:rPr>
          <w:spacing w:val="-14"/>
        </w:rPr>
        <w:t> </w:t>
      </w:r>
      <w:r>
        <w:rPr/>
        <w:t>single</w:t>
      </w:r>
      <w:r>
        <w:rPr>
          <w:spacing w:val="-14"/>
        </w:rPr>
        <w:t> </w:t>
      </w:r>
      <w:r>
        <w:rPr/>
        <w:t>token</w:t>
      </w:r>
      <w:r>
        <w:rPr>
          <w:spacing w:val="-14"/>
        </w:rPr>
        <w:t> </w:t>
      </w:r>
      <w:r>
        <w:rPr/>
        <w:t>mix,</w:t>
      </w:r>
      <w:r>
        <w:rPr>
          <w:spacing w:val="-12"/>
        </w:rPr>
        <w:t> </w:t>
      </w:r>
      <w:r>
        <w:rPr/>
        <w:t>or</w:t>
      </w:r>
      <w:r>
        <w:rPr>
          <w:spacing w:val="-14"/>
        </w:rPr>
        <w:t> </w:t>
      </w:r>
      <w:r>
        <w:rPr/>
        <w:t>a</w:t>
      </w:r>
      <w:r>
        <w:rPr>
          <w:spacing w:val="-14"/>
        </w:rPr>
        <w:t> </w:t>
      </w:r>
      <w:r>
        <w:rPr/>
        <w:t>single</w:t>
      </w:r>
      <w:r>
        <w:rPr>
          <w:spacing w:val="-14"/>
        </w:rPr>
        <w:t> </w:t>
      </w:r>
      <w:r>
        <w:rPr/>
        <w:t>sample</w:t>
      </w:r>
      <w:r>
        <w:rPr>
          <w:spacing w:val="-14"/>
        </w:rPr>
        <w:t> </w:t>
      </w:r>
      <w:r>
        <w:rPr/>
        <w:t>size.</w:t>
      </w:r>
      <w:r>
        <w:rPr>
          <w:spacing w:val="12"/>
        </w:rPr>
        <w:t> </w:t>
      </w:r>
      <w:r>
        <w:rPr/>
        <w:t>This</w:t>
      </w:r>
      <w:r>
        <w:rPr>
          <w:spacing w:val="-14"/>
        </w:rPr>
        <w:t> </w:t>
      </w:r>
      <w:r>
        <w:rPr/>
        <w:t>section</w:t>
      </w:r>
      <w:r>
        <w:rPr>
          <w:spacing w:val="-14"/>
        </w:rPr>
        <w:t> </w:t>
      </w:r>
      <w:r>
        <w:rPr/>
        <w:t>reports</w:t>
      </w:r>
      <w:r>
        <w:rPr>
          <w:spacing w:val="-14"/>
        </w:rPr>
        <w:t> </w:t>
      </w:r>
      <w:r>
        <w:rPr/>
        <w:t>three</w:t>
      </w:r>
      <w:r>
        <w:rPr>
          <w:spacing w:val="-14"/>
        </w:rPr>
        <w:t> </w:t>
      </w:r>
      <w:r>
        <w:rPr/>
        <w:t>robustness</w:t>
      </w:r>
      <w:r>
        <w:rPr>
          <w:spacing w:val="-14"/>
        </w:rPr>
        <w:t> </w:t>
      </w:r>
      <w:r>
        <w:rPr/>
        <w:t>checks:</w:t>
      </w:r>
      <w:r>
        <w:rPr>
          <w:spacing w:val="10"/>
        </w:rPr>
        <w:t> </w:t>
      </w:r>
      <w:r>
        <w:rPr/>
        <w:t>PageRank damping sensitivity, restriction to the top-20 ERC-20 token subgraph, and sample-size sensitivity </w:t>
      </w:r>
      <w:bookmarkStart w:name="Damping sensitivity" w:id="172"/>
      <w:bookmarkEnd w:id="172"/>
      <w:r>
        <w:rPr/>
        <w:t>on</w:t>
      </w:r>
      <w:r>
        <w:rPr/>
        <w:t> the expanded wallet pool.</w:t>
      </w:r>
    </w:p>
    <w:p>
      <w:pPr>
        <w:pStyle w:val="BodyText"/>
        <w:spacing w:line="396" w:lineRule="auto"/>
        <w:ind w:left="282" w:right="534"/>
        <w:jc w:val="both"/>
      </w:pPr>
      <w:r>
        <w:rPr>
          <w:i/>
        </w:rPr>
        <w:t>효율성 및 정렬 결과는 단일 감쇠 선택, 단일 토큰 혼합 또는 단일 샘플 크기의 아티팩트가 아닌 경우에만 유용합니다. 이 섹션에서는 PageRank 감쇠 민감도, 상위 20개 ERC-20 토큰 하위 그래프에 대한 제한, 확장된 지갑 풀의 샘플 크기 민감도 등 세 가지 견고성 검사를 보고합니다.</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Damping</w:t>
      </w:r>
      <w:r>
        <w:rPr>
          <w:spacing w:val="-11"/>
        </w:rPr>
        <w:t> </w:t>
      </w:r>
      <w:r>
        <w:rPr>
          <w:spacing w:val="-2"/>
        </w:rPr>
        <w:t>sensitivity</w:t>
      </w:r>
    </w:p>
    <w:p>
      <w:pPr>
        <w:pStyle w:val="Heading4"/>
        <w:numPr>
          <w:ilvl w:val="2"/>
          <w:numId w:val="8"/>
        </w:numPr>
        <w:tabs>
          <w:tab w:pos="879" w:val="left" w:leader="none"/>
        </w:tabs>
        <w:spacing w:line="240" w:lineRule="auto" w:before="0" w:after="0"/>
        <w:ind w:left="879" w:right="0" w:hanging="597"/>
        <w:jc w:val="left"/>
      </w:pPr>
      <w:r>
        <w:rPr>
          <w:i/>
        </w:rPr>
        <w:t>감쇠감도</w:t>
      </w:r>
    </w:p>
    <w:p>
      <w:pPr>
        <w:pStyle w:val="BodyText"/>
        <w:spacing w:before="8"/>
        <w:rPr>
          <w:b/>
        </w:rPr>
      </w:pPr>
    </w:p>
    <w:p>
      <w:pPr>
        <w:pStyle w:val="BodyText"/>
        <w:ind w:left="274"/>
        <w:jc w:val="both"/>
        <w:rPr>
          <w:rFonts w:ascii="Lucida Sans Unicode" w:hAnsi="Lucida Sans Unicode"/>
        </w:rPr>
      </w:pPr>
      <w:r>
        <w:rPr/>
        <w:t>Table</w:t>
      </w:r>
      <w:r>
        <w:rPr>
          <w:spacing w:val="49"/>
        </w:rPr>
        <w:t> </w:t>
      </w:r>
      <w:hyperlink w:history="true" w:anchor="_bookmark96">
        <w:r>
          <w:rPr/>
          <w:t>4.4</w:t>
        </w:r>
      </w:hyperlink>
      <w:r>
        <w:rPr>
          <w:spacing w:val="50"/>
        </w:rPr>
        <w:t> </w:t>
      </w:r>
      <w:r>
        <w:rPr/>
        <w:t>reports</w:t>
      </w:r>
      <w:r>
        <w:rPr>
          <w:spacing w:val="50"/>
        </w:rPr>
        <w:t> </w:t>
      </w:r>
      <w:r>
        <w:rPr/>
        <w:t>mean</w:t>
      </w:r>
      <w:r>
        <w:rPr>
          <w:spacing w:val="49"/>
        </w:rPr>
        <w:t> </w:t>
      </w:r>
      <w:r>
        <w:rPr/>
        <w:t>Kendall</w:t>
      </w:r>
      <w:r>
        <w:rPr>
          <w:spacing w:val="51"/>
        </w:rPr>
        <w:t> </w:t>
      </w:r>
      <w:r>
        <w:rPr>
          <w:rFonts w:ascii="Calibri" w:hAnsi="Calibri"/>
          <w:i/>
        </w:rPr>
        <w:t>τ</w:t>
      </w:r>
      <w:r>
        <w:rPr>
          <w:rFonts w:ascii="Calibri" w:hAnsi="Calibri"/>
          <w:i/>
          <w:spacing w:val="54"/>
          <w:w w:val="150"/>
        </w:rPr>
        <w:t> </w:t>
      </w:r>
      <w:r>
        <w:rPr/>
        <w:t>for</w:t>
      </w:r>
      <w:r>
        <w:rPr>
          <w:spacing w:val="49"/>
        </w:rPr>
        <w:t> </w:t>
      </w:r>
      <w:r>
        <w:rPr/>
        <w:t>allowance</w:t>
      </w:r>
      <w:r>
        <w:rPr>
          <w:spacing w:val="50"/>
        </w:rPr>
        <w:t> </w:t>
      </w:r>
      <w:r>
        <w:rPr/>
        <w:t>and</w:t>
      </w:r>
      <w:r>
        <w:rPr>
          <w:spacing w:val="50"/>
        </w:rPr>
        <w:t> </w:t>
      </w:r>
      <w:r>
        <w:rPr/>
        <w:t>transfer</w:t>
      </w:r>
      <w:r>
        <w:rPr>
          <w:spacing w:val="50"/>
        </w:rPr>
        <w:t> </w:t>
      </w:r>
      <w:r>
        <w:rPr/>
        <w:t>families</w:t>
      </w:r>
      <w:r>
        <w:rPr>
          <w:spacing w:val="50"/>
        </w:rPr>
        <w:t> </w:t>
      </w:r>
      <w:r>
        <w:rPr/>
        <w:t>under</w:t>
      </w:r>
      <w:r>
        <w:rPr>
          <w:spacing w:val="50"/>
        </w:rPr>
        <w:t> </w:t>
      </w:r>
      <w:r>
        <w:rPr/>
        <w:t>damping</w:t>
      </w:r>
      <w:r>
        <w:rPr>
          <w:spacing w:val="50"/>
        </w:rPr>
        <w:t> </w:t>
      </w:r>
      <w:r>
        <w:rPr>
          <w:rFonts w:ascii="Calibri" w:hAnsi="Calibri"/>
          <w:i/>
        </w:rPr>
        <w:t>d</w:t>
      </w:r>
      <w:r>
        <w:rPr>
          <w:rFonts w:ascii="Calibri" w:hAnsi="Calibri"/>
          <w:i/>
          <w:spacing w:val="36"/>
        </w:rPr>
        <w:t>  </w:t>
      </w:r>
      <w:r>
        <w:rPr>
          <w:rFonts w:ascii="Lucida Sans Unicode" w:hAnsi="Lucida Sans Unicode"/>
          <w:spacing w:val="-10"/>
        </w:rPr>
        <w:t>∈</w:t>
      </w:r>
    </w:p>
    <w:p>
      <w:pPr>
        <w:pStyle w:val="BodyText"/>
        <w:ind w:left="274"/>
        <w:jc w:val="both"/>
        <w:rPr>
          <w:rFonts w:ascii="Lucida Sans Unicode" w:hAnsi="Lucida Sans Unicode"/>
        </w:rPr>
      </w:pPr>
      <w:r>
        <w:rPr>
          <w:i/>
        </w:rPr>
        <w:t>표 4.4 보고서는 감쇠 d ∈ 하에서 여유 및 전달 패밀리에 대한 평균 Kendall τ를 나타냅니다.</w:t>
      </w:r>
    </w:p>
    <w:p>
      <w:pPr>
        <w:pStyle w:val="BodyText"/>
        <w:spacing w:before="88"/>
        <w:ind w:left="282"/>
        <w:jc w:val="both"/>
      </w:pPr>
      <w:r>
        <w:rPr>
          <w:rFonts w:ascii="Lucida Sans Unicode"/>
        </w:rPr>
        <w:t>{</w:t>
      </w:r>
      <w:r>
        <w:rPr>
          <w:rFonts w:ascii="Calibri"/>
        </w:rPr>
        <w:t>0</w:t>
      </w:r>
      <w:r>
        <w:rPr>
          <w:rFonts w:ascii="Calibri"/>
          <w:i/>
        </w:rPr>
        <w:t>.</w:t>
      </w:r>
      <w:r>
        <w:rPr>
          <w:rFonts w:ascii="Calibri"/>
        </w:rPr>
        <w:t>75</w:t>
      </w:r>
      <w:r>
        <w:rPr>
          <w:rFonts w:ascii="Calibri"/>
          <w:i/>
        </w:rPr>
        <w:t>,</w:t>
      </w:r>
      <w:r>
        <w:rPr>
          <w:rFonts w:ascii="Calibri"/>
          <w:i/>
          <w:spacing w:val="-15"/>
        </w:rPr>
        <w:t> </w:t>
      </w:r>
      <w:r>
        <w:rPr>
          <w:rFonts w:ascii="Calibri"/>
        </w:rPr>
        <w:t>0</w:t>
      </w:r>
      <w:r>
        <w:rPr>
          <w:rFonts w:ascii="Calibri"/>
          <w:i/>
        </w:rPr>
        <w:t>.</w:t>
      </w:r>
      <w:r>
        <w:rPr>
          <w:rFonts w:ascii="Calibri"/>
        </w:rPr>
        <w:t>85</w:t>
      </w:r>
      <w:r>
        <w:rPr>
          <w:rFonts w:ascii="Calibri"/>
          <w:i/>
        </w:rPr>
        <w:t>,</w:t>
      </w:r>
      <w:r>
        <w:rPr>
          <w:rFonts w:ascii="Calibri"/>
          <w:i/>
          <w:spacing w:val="-14"/>
        </w:rPr>
        <w:t> </w:t>
      </w:r>
      <w:r>
        <w:rPr>
          <w:rFonts w:ascii="Calibri"/>
        </w:rPr>
        <w:t>0</w:t>
      </w:r>
      <w:r>
        <w:rPr>
          <w:rFonts w:ascii="Calibri"/>
          <w:i/>
        </w:rPr>
        <w:t>.</w:t>
      </w:r>
      <w:r>
        <w:rPr>
          <w:rFonts w:ascii="Calibri"/>
        </w:rPr>
        <w:t>95</w:t>
      </w:r>
      <w:r>
        <w:rPr>
          <w:rFonts w:ascii="Lucida Sans Unicode"/>
        </w:rPr>
        <w:t>}</w:t>
      </w:r>
      <w:r>
        <w:rPr>
          <w:rFonts w:ascii="Lucida Sans Unicode"/>
          <w:spacing w:val="-15"/>
        </w:rPr>
        <w:t> </w:t>
      </w:r>
      <w:r>
        <w:rPr/>
        <w:t>on the matched</w:t>
      </w:r>
      <w:r>
        <w:rPr>
          <w:spacing w:val="1"/>
        </w:rPr>
        <w:t> </w:t>
      </w:r>
      <w:r>
        <w:rPr/>
        <w:t>cohort, together with</w:t>
      </w:r>
      <w:r>
        <w:rPr>
          <w:spacing w:val="1"/>
        </w:rPr>
        <w:t> </w:t>
      </w:r>
      <w:r>
        <w:rPr/>
        <w:t>corresponding </w:t>
      </w:r>
      <w:r>
        <w:rPr>
          <w:spacing w:val="-2"/>
        </w:rPr>
        <w:t>runtimes.</w:t>
      </w:r>
    </w:p>
    <w:p>
      <w:pPr>
        <w:pStyle w:val="BodyText"/>
        <w:spacing w:before="88"/>
        <w:ind w:left="282"/>
        <w:jc w:val="both"/>
      </w:pPr>
      <w:r>
        <w:rPr>
          <w:i/>
        </w:rPr>
        <w:t>일치하는 집단에 대한 {0.75, 0.85, 0.95} 및 해당 런타임.</w:t>
      </w:r>
    </w:p>
    <w:p>
      <w:pPr>
        <w:pStyle w:val="BodyText"/>
        <w:spacing w:line="206" w:lineRule="auto" w:before="209"/>
        <w:ind w:left="282" w:right="564" w:hanging="8"/>
        <w:jc w:val="both"/>
      </w:pPr>
      <w:bookmarkStart w:name="_bookmark96" w:id="173"/>
      <w:bookmarkEnd w:id="173"/>
      <w:r>
        <w:rPr/>
      </w:r>
      <w:r>
        <w:rPr>
          <w:w w:val="105"/>
        </w:rPr>
        <w:t>Table</w:t>
      </w:r>
      <w:r>
        <w:rPr>
          <w:spacing w:val="-16"/>
          <w:w w:val="105"/>
        </w:rPr>
        <w:t> </w:t>
      </w:r>
      <w:r>
        <w:rPr>
          <w:w w:val="105"/>
        </w:rPr>
        <w:t>4.4:</w:t>
      </w:r>
      <w:r>
        <w:rPr>
          <w:spacing w:val="33"/>
          <w:w w:val="105"/>
        </w:rPr>
        <w:t> </w:t>
      </w:r>
      <w:r>
        <w:rPr>
          <w:w w:val="105"/>
        </w:rPr>
        <w:t>Robustness:</w:t>
      </w:r>
      <w:r>
        <w:rPr>
          <w:spacing w:val="40"/>
          <w:w w:val="105"/>
        </w:rPr>
        <w:t> </w:t>
      </w:r>
      <w:r>
        <w:rPr>
          <w:w w:val="105"/>
        </w:rPr>
        <w:t>mean</w:t>
      </w:r>
      <w:r>
        <w:rPr>
          <w:w w:val="105"/>
        </w:rPr>
        <w:t> Kendall</w:t>
      </w:r>
      <w:r>
        <w:rPr>
          <w:w w:val="105"/>
        </w:rPr>
        <w:t> </w:t>
      </w:r>
      <w:r>
        <w:rPr>
          <w:rFonts w:ascii="Calibri" w:hAnsi="Calibri"/>
          <w:i/>
          <w:w w:val="105"/>
        </w:rPr>
        <w:t>τ</w:t>
      </w:r>
      <w:r>
        <w:rPr>
          <w:rFonts w:ascii="Calibri" w:hAnsi="Calibri"/>
          <w:i/>
          <w:w w:val="105"/>
        </w:rPr>
        <w:t> </w:t>
      </w:r>
      <w:r>
        <w:rPr>
          <w:w w:val="105"/>
        </w:rPr>
        <w:t>under</w:t>
      </w:r>
      <w:r>
        <w:rPr>
          <w:w w:val="105"/>
        </w:rPr>
        <w:t> PageRank</w:t>
      </w:r>
      <w:r>
        <w:rPr>
          <w:w w:val="105"/>
        </w:rPr>
        <w:t> damping</w:t>
      </w:r>
      <w:r>
        <w:rPr>
          <w:w w:val="105"/>
        </w:rPr>
        <w:t> </w:t>
      </w:r>
      <w:r>
        <w:rPr>
          <w:rFonts w:ascii="Calibri" w:hAnsi="Calibri"/>
          <w:i/>
          <w:w w:val="105"/>
        </w:rPr>
        <w:t>d</w:t>
      </w:r>
      <w:r>
        <w:rPr>
          <w:rFonts w:ascii="Calibri" w:hAnsi="Calibri"/>
          <w:i/>
          <w:spacing w:val="40"/>
          <w:w w:val="105"/>
        </w:rPr>
        <w:t> </w:t>
      </w:r>
      <w:r>
        <w:rPr>
          <w:rFonts w:ascii="Lucida Sans Unicode" w:hAnsi="Lucida Sans Unicode"/>
          <w:w w:val="105"/>
        </w:rPr>
        <w:t>∈</w:t>
      </w:r>
      <w:r>
        <w:rPr>
          <w:rFonts w:ascii="Lucida Sans Unicode" w:hAnsi="Lucida Sans Unicode"/>
          <w:w w:val="105"/>
        </w:rPr>
        <w:t> {</w:t>
      </w:r>
      <w:r>
        <w:rPr>
          <w:rFonts w:ascii="Calibri" w:hAnsi="Calibri"/>
          <w:w w:val="105"/>
        </w:rPr>
        <w:t>0</w:t>
      </w:r>
      <w:r>
        <w:rPr>
          <w:rFonts w:ascii="Calibri" w:hAnsi="Calibri"/>
          <w:i/>
          <w:w w:val="105"/>
        </w:rPr>
        <w:t>.</w:t>
      </w:r>
      <w:r>
        <w:rPr>
          <w:rFonts w:ascii="Calibri" w:hAnsi="Calibri"/>
          <w:w w:val="105"/>
        </w:rPr>
        <w:t>75</w:t>
      </w:r>
      <w:r>
        <w:rPr>
          <w:rFonts w:ascii="Calibri" w:hAnsi="Calibri"/>
          <w:i/>
          <w:w w:val="105"/>
        </w:rPr>
        <w:t>,</w:t>
      </w:r>
      <w:r>
        <w:rPr>
          <w:rFonts w:ascii="Calibri" w:hAnsi="Calibri"/>
          <w:i/>
          <w:spacing w:val="-15"/>
          <w:w w:val="105"/>
        </w:rPr>
        <w:t> </w:t>
      </w:r>
      <w:r>
        <w:rPr>
          <w:rFonts w:ascii="Calibri" w:hAnsi="Calibri"/>
          <w:w w:val="105"/>
        </w:rPr>
        <w:t>0</w:t>
      </w:r>
      <w:r>
        <w:rPr>
          <w:rFonts w:ascii="Calibri" w:hAnsi="Calibri"/>
          <w:i/>
          <w:w w:val="105"/>
        </w:rPr>
        <w:t>.</w:t>
      </w:r>
      <w:r>
        <w:rPr>
          <w:rFonts w:ascii="Calibri" w:hAnsi="Calibri"/>
          <w:w w:val="105"/>
        </w:rPr>
        <w:t>85</w:t>
      </w:r>
      <w:r>
        <w:rPr>
          <w:rFonts w:ascii="Calibri" w:hAnsi="Calibri"/>
          <w:i/>
          <w:w w:val="105"/>
        </w:rPr>
        <w:t>,</w:t>
      </w:r>
      <w:r>
        <w:rPr>
          <w:rFonts w:ascii="Calibri" w:hAnsi="Calibri"/>
          <w:i/>
          <w:spacing w:val="-14"/>
          <w:w w:val="105"/>
        </w:rPr>
        <w:t> </w:t>
      </w:r>
      <w:r>
        <w:rPr>
          <w:rFonts w:ascii="Calibri" w:hAnsi="Calibri"/>
          <w:w w:val="105"/>
        </w:rPr>
        <w:t>0</w:t>
      </w:r>
      <w:r>
        <w:rPr>
          <w:rFonts w:ascii="Calibri" w:hAnsi="Calibri"/>
          <w:i/>
          <w:w w:val="105"/>
        </w:rPr>
        <w:t>.</w:t>
      </w:r>
      <w:r>
        <w:rPr>
          <w:rFonts w:ascii="Calibri" w:hAnsi="Calibri"/>
          <w:w w:val="105"/>
        </w:rPr>
        <w:t>95</w:t>
      </w:r>
      <w:r>
        <w:rPr>
          <w:rFonts w:ascii="Lucida Sans Unicode" w:hAnsi="Lucida Sans Unicode"/>
          <w:w w:val="105"/>
        </w:rPr>
        <w:t>}</w:t>
      </w:r>
      <w:r>
        <w:rPr>
          <w:rFonts w:ascii="Lucida Sans Unicode" w:hAnsi="Lucida Sans Unicode"/>
          <w:spacing w:val="-13"/>
          <w:w w:val="105"/>
        </w:rPr>
        <w:t> </w:t>
      </w:r>
      <w:r>
        <w:rPr>
          <w:w w:val="105"/>
        </w:rPr>
        <w:t>on matched wallet cohort (</w:t>
      </w:r>
      <w:r>
        <w:rPr>
          <w:rFonts w:ascii="Calibri" w:hAnsi="Calibri"/>
          <w:i/>
          <w:w w:val="105"/>
        </w:rPr>
        <w:t>n </w:t>
      </w:r>
      <w:r>
        <w:rPr>
          <w:rFonts w:ascii="Calibri" w:hAnsi="Calibri"/>
          <w:w w:val="125"/>
        </w:rPr>
        <w:t>= </w:t>
      </w:r>
      <w:r>
        <w:rPr>
          <w:rFonts w:ascii="Calibri" w:hAnsi="Calibri"/>
          <w:w w:val="105"/>
        </w:rPr>
        <w:t>5521</w:t>
      </w:r>
      <w:r>
        <w:rPr>
          <w:w w:val="105"/>
        </w:rPr>
        <w:t>).</w:t>
      </w:r>
    </w:p>
    <w:p>
      <w:pPr>
        <w:pStyle w:val="BodyText"/>
        <w:spacing w:line="206" w:lineRule="auto" w:before="209"/>
        <w:ind w:left="282" w:right="564" w:hanging="8"/>
        <w:jc w:val="both"/>
      </w:pPr>
      <w:r>
        <w:rPr>
          <w:i/>
        </w:rPr>
        <w:t>표 4.4: 견고성: 일치하는 지갑 코호트(n = 5521)에서 PageRank 감쇠 d ∈ {0.75, 0.85, 0.95} 하에서 평균 Kendall τ.</w:t>
      </w:r>
    </w:p>
    <w:p>
      <w:pPr>
        <w:pStyle w:val="BodyText"/>
        <w:spacing w:before="11"/>
        <w:rPr>
          <w:sz w:val="20"/>
        </w:rPr>
      </w:pPr>
    </w:p>
    <w:tbl>
      <w:tblPr>
        <w:tblW w:w="0" w:type="auto"/>
        <w:jc w:val="left"/>
        <w:tblInd w:w="2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1"/>
        <w:gridCol w:w="745"/>
        <w:gridCol w:w="933"/>
        <w:gridCol w:w="648"/>
        <w:gridCol w:w="836"/>
        <w:gridCol w:w="702"/>
        <w:gridCol w:w="891"/>
      </w:tblGrid>
      <w:tr>
        <w:trPr>
          <w:trHeight w:val="381" w:hRule="atLeast"/>
        </w:trPr>
        <w:tc>
          <w:tcPr>
            <w:tcW w:w="521" w:type="dxa"/>
            <w:tcBorders>
              <w:top w:val="single" w:sz="8" w:space="0" w:color="000000"/>
              <w:bottom w:val="single" w:sz="6" w:space="0" w:color="000000"/>
            </w:tcBorders>
          </w:tcPr>
          <w:p>
            <w:pPr>
              <w:pStyle w:val="TableParagraph"/>
              <w:spacing w:before="49"/>
              <w:ind w:right="67"/>
              <w:jc w:val="right"/>
              <w:rPr>
                <w:rFonts w:ascii="Calibri"/>
                <w:i/>
                <w:sz w:val="22"/>
              </w:rPr>
            </w:pPr>
            <w:r>
              <w:rPr>
                <w:rFonts w:ascii="Calibri"/>
                <w:i/>
                <w:spacing w:val="-10"/>
                <w:sz w:val="22"/>
              </w:rPr>
              <w:t>d</w:t>
            </w:r>
          </w:p>
          <w:p>
            <w:pPr>
              <w:pStyle w:val="TableParagraph"/>
              <w:spacing w:before="49"/>
              <w:ind w:right="67"/>
              <w:jc w:val="right"/>
              <w:rPr>
                <w:rFonts w:ascii="Calibri"/>
                <w:i/>
                <w:sz w:val="22"/>
              </w:rPr>
            </w:pPr>
            <w:r>
              <w:rPr>
                <w:i/>
              </w:rPr>
              <w:t>디</w:t>
            </w:r>
          </w:p>
        </w:tc>
        <w:tc>
          <w:tcPr>
            <w:tcW w:w="745" w:type="dxa"/>
            <w:tcBorders>
              <w:top w:val="single" w:sz="8" w:space="0" w:color="000000"/>
              <w:bottom w:val="single" w:sz="6" w:space="0" w:color="000000"/>
            </w:tcBorders>
          </w:tcPr>
          <w:p>
            <w:pPr>
              <w:pStyle w:val="TableParagraph"/>
              <w:spacing w:before="53"/>
              <w:ind w:left="1"/>
              <w:rPr>
                <w:sz w:val="22"/>
              </w:rPr>
            </w:pPr>
            <w:r>
              <w:rPr>
                <w:sz w:val="22"/>
              </w:rPr>
              <w:t>ER</w:t>
            </w:r>
            <w:r>
              <w:rPr>
                <w:spacing w:val="-4"/>
                <w:sz w:val="22"/>
              </w:rPr>
              <w:t> all.</w:t>
            </w:r>
          </w:p>
          <w:p>
            <w:pPr>
              <w:pStyle w:val="TableParagraph"/>
              <w:spacing w:before="53"/>
              <w:ind w:left="1"/>
              <w:rPr>
                <w:sz w:val="22"/>
              </w:rPr>
            </w:pPr>
            <w:r>
              <w:rPr>
                <w:i/>
              </w:rPr>
              <w:t>어 모두.</w:t>
            </w:r>
          </w:p>
        </w:tc>
        <w:tc>
          <w:tcPr>
            <w:tcW w:w="933" w:type="dxa"/>
            <w:tcBorders>
              <w:top w:val="single" w:sz="8" w:space="0" w:color="000000"/>
              <w:bottom w:val="single" w:sz="6" w:space="0" w:color="000000"/>
            </w:tcBorders>
          </w:tcPr>
          <w:p>
            <w:pPr>
              <w:pStyle w:val="TableParagraph"/>
              <w:spacing w:before="53"/>
              <w:ind w:left="2"/>
              <w:rPr>
                <w:sz w:val="22"/>
              </w:rPr>
            </w:pPr>
            <w:r>
              <w:rPr>
                <w:spacing w:val="-7"/>
                <w:sz w:val="22"/>
              </w:rPr>
              <w:t>AWP</w:t>
            </w:r>
            <w:r>
              <w:rPr>
                <w:spacing w:val="-4"/>
                <w:sz w:val="22"/>
              </w:rPr>
              <w:t> all.</w:t>
            </w:r>
          </w:p>
          <w:p>
            <w:pPr>
              <w:pStyle w:val="TableParagraph"/>
              <w:spacing w:before="53"/>
              <w:ind w:left="2"/>
              <w:rPr>
                <w:sz w:val="22"/>
              </w:rPr>
            </w:pPr>
            <w:r>
              <w:rPr>
                <w:i/>
              </w:rPr>
              <w:t>AWP 모두.</w:t>
            </w:r>
          </w:p>
        </w:tc>
        <w:tc>
          <w:tcPr>
            <w:tcW w:w="648" w:type="dxa"/>
            <w:tcBorders>
              <w:top w:val="single" w:sz="8" w:space="0" w:color="000000"/>
              <w:bottom w:val="single" w:sz="6" w:space="0" w:color="000000"/>
            </w:tcBorders>
          </w:tcPr>
          <w:p>
            <w:pPr>
              <w:pStyle w:val="TableParagraph"/>
              <w:spacing w:before="53"/>
              <w:ind w:left="3"/>
              <w:rPr>
                <w:sz w:val="22"/>
              </w:rPr>
            </w:pPr>
            <w:r>
              <w:rPr>
                <w:sz w:val="22"/>
              </w:rPr>
              <w:t>ER</w:t>
            </w:r>
            <w:r>
              <w:rPr>
                <w:spacing w:val="-4"/>
                <w:sz w:val="22"/>
              </w:rPr>
              <w:t> </w:t>
            </w:r>
            <w:r>
              <w:rPr>
                <w:spacing w:val="-5"/>
                <w:sz w:val="22"/>
              </w:rPr>
              <w:t>tr.</w:t>
            </w:r>
          </w:p>
          <w:p>
            <w:pPr>
              <w:pStyle w:val="TableParagraph"/>
              <w:spacing w:before="53"/>
              <w:ind w:left="3"/>
              <w:rPr>
                <w:sz w:val="22"/>
              </w:rPr>
            </w:pPr>
            <w:r>
              <w:rPr>
                <w:i/>
              </w:rPr>
              <w:t>응급실 tr.</w:t>
            </w:r>
          </w:p>
        </w:tc>
        <w:tc>
          <w:tcPr>
            <w:tcW w:w="836" w:type="dxa"/>
            <w:tcBorders>
              <w:top w:val="single" w:sz="8" w:space="0" w:color="000000"/>
              <w:bottom w:val="single" w:sz="6" w:space="0" w:color="000000"/>
            </w:tcBorders>
          </w:tcPr>
          <w:p>
            <w:pPr>
              <w:pStyle w:val="TableParagraph"/>
              <w:spacing w:before="53"/>
              <w:ind w:left="5"/>
              <w:rPr>
                <w:sz w:val="22"/>
              </w:rPr>
            </w:pPr>
            <w:r>
              <w:rPr>
                <w:spacing w:val="-7"/>
                <w:sz w:val="22"/>
              </w:rPr>
              <w:t>AWP</w:t>
            </w:r>
            <w:r>
              <w:rPr>
                <w:spacing w:val="-4"/>
                <w:sz w:val="22"/>
              </w:rPr>
              <w:t> </w:t>
            </w:r>
            <w:r>
              <w:rPr>
                <w:spacing w:val="-5"/>
                <w:sz w:val="22"/>
              </w:rPr>
              <w:t>tr.</w:t>
            </w:r>
          </w:p>
        </w:tc>
        <w:tc>
          <w:tcPr>
            <w:tcW w:w="702" w:type="dxa"/>
            <w:tcBorders>
              <w:top w:val="single" w:sz="8" w:space="0" w:color="000000"/>
              <w:bottom w:val="single" w:sz="6" w:space="0" w:color="000000"/>
            </w:tcBorders>
          </w:tcPr>
          <w:p>
            <w:pPr>
              <w:pStyle w:val="TableParagraph"/>
              <w:spacing w:before="53"/>
              <w:ind w:left="8" w:right="1"/>
              <w:rPr>
                <w:sz w:val="22"/>
              </w:rPr>
            </w:pPr>
            <w:r>
              <w:rPr>
                <w:sz w:val="22"/>
              </w:rPr>
              <w:t>ER</w:t>
            </w:r>
            <w:r>
              <w:rPr>
                <w:spacing w:val="-4"/>
                <w:sz w:val="22"/>
              </w:rPr>
              <w:t> </w:t>
            </w:r>
            <w:r>
              <w:rPr>
                <w:spacing w:val="-5"/>
                <w:sz w:val="22"/>
              </w:rPr>
              <w:t>(s)</w:t>
            </w:r>
          </w:p>
          <w:p>
            <w:pPr>
              <w:pStyle w:val="TableParagraph"/>
              <w:spacing w:before="53"/>
              <w:ind w:left="8" w:right="1"/>
              <w:rPr>
                <w:sz w:val="22"/>
              </w:rPr>
            </w:pPr>
            <w:r>
              <w:rPr>
                <w:i/>
              </w:rPr>
              <w:t>응급실(들)</w:t>
            </w:r>
          </w:p>
        </w:tc>
        <w:tc>
          <w:tcPr>
            <w:tcW w:w="891" w:type="dxa"/>
            <w:tcBorders>
              <w:top w:val="single" w:sz="8" w:space="0" w:color="000000"/>
              <w:bottom w:val="single" w:sz="6" w:space="0" w:color="000000"/>
            </w:tcBorders>
          </w:tcPr>
          <w:p>
            <w:pPr>
              <w:pStyle w:val="TableParagraph"/>
              <w:spacing w:before="53"/>
              <w:ind w:left="9" w:right="1"/>
              <w:rPr>
                <w:sz w:val="22"/>
              </w:rPr>
            </w:pPr>
            <w:r>
              <w:rPr>
                <w:spacing w:val="-7"/>
                <w:sz w:val="22"/>
              </w:rPr>
              <w:t>AWP</w:t>
            </w:r>
            <w:r>
              <w:rPr>
                <w:spacing w:val="-4"/>
                <w:sz w:val="22"/>
              </w:rPr>
              <w:t> </w:t>
            </w:r>
            <w:r>
              <w:rPr>
                <w:spacing w:val="-5"/>
                <w:sz w:val="22"/>
              </w:rPr>
              <w:t>(s)</w:t>
            </w:r>
          </w:p>
          <w:p>
            <w:pPr>
              <w:pStyle w:val="TableParagraph"/>
              <w:spacing w:before="53"/>
              <w:ind w:left="9" w:right="1"/>
              <w:rPr>
                <w:sz w:val="22"/>
              </w:rPr>
            </w:pPr>
            <w:r>
              <w:rPr>
                <w:i/>
              </w:rPr>
              <w:t>AWP(초)</w:t>
            </w:r>
          </w:p>
        </w:tc>
      </w:tr>
      <w:tr>
        <w:trPr>
          <w:trHeight w:val="319" w:hRule="atLeast"/>
        </w:trPr>
        <w:tc>
          <w:tcPr>
            <w:tcW w:w="521" w:type="dxa"/>
            <w:tcBorders>
              <w:top w:val="single" w:sz="6" w:space="0" w:color="000000"/>
            </w:tcBorders>
          </w:tcPr>
          <w:p>
            <w:pPr>
              <w:pStyle w:val="TableParagraph"/>
              <w:spacing w:line="247" w:lineRule="exact" w:before="52"/>
              <w:ind w:right="67"/>
              <w:jc w:val="right"/>
              <w:rPr>
                <w:sz w:val="22"/>
              </w:rPr>
            </w:pPr>
            <w:r>
              <w:rPr>
                <w:spacing w:val="-4"/>
                <w:sz w:val="22"/>
              </w:rPr>
              <w:t>0.75</w:t>
            </w:r>
          </w:p>
        </w:tc>
        <w:tc>
          <w:tcPr>
            <w:tcW w:w="745" w:type="dxa"/>
            <w:tcBorders>
              <w:top w:val="single" w:sz="6" w:space="0" w:color="000000"/>
            </w:tcBorders>
          </w:tcPr>
          <w:p>
            <w:pPr>
              <w:pStyle w:val="TableParagraph"/>
              <w:spacing w:line="247" w:lineRule="exact" w:before="52"/>
              <w:ind w:left="1" w:right="1"/>
              <w:rPr>
                <w:sz w:val="22"/>
              </w:rPr>
            </w:pPr>
            <w:r>
              <w:rPr>
                <w:spacing w:val="-2"/>
                <w:sz w:val="22"/>
              </w:rPr>
              <w:t>0.355</w:t>
            </w:r>
          </w:p>
        </w:tc>
        <w:tc>
          <w:tcPr>
            <w:tcW w:w="933" w:type="dxa"/>
            <w:tcBorders>
              <w:top w:val="single" w:sz="6" w:space="0" w:color="000000"/>
            </w:tcBorders>
          </w:tcPr>
          <w:p>
            <w:pPr>
              <w:pStyle w:val="TableParagraph"/>
              <w:spacing w:line="247" w:lineRule="exact" w:before="52"/>
              <w:ind w:left="2"/>
              <w:rPr>
                <w:sz w:val="22"/>
              </w:rPr>
            </w:pPr>
            <w:r>
              <w:rPr>
                <w:spacing w:val="-2"/>
                <w:sz w:val="22"/>
              </w:rPr>
              <w:t>-0.031</w:t>
            </w:r>
          </w:p>
        </w:tc>
        <w:tc>
          <w:tcPr>
            <w:tcW w:w="648" w:type="dxa"/>
            <w:tcBorders>
              <w:top w:val="single" w:sz="6" w:space="0" w:color="000000"/>
            </w:tcBorders>
          </w:tcPr>
          <w:p>
            <w:pPr>
              <w:pStyle w:val="TableParagraph"/>
              <w:spacing w:line="247" w:lineRule="exact" w:before="52"/>
              <w:ind w:left="3"/>
              <w:rPr>
                <w:sz w:val="22"/>
              </w:rPr>
            </w:pPr>
            <w:r>
              <w:rPr>
                <w:spacing w:val="-2"/>
                <w:sz w:val="22"/>
              </w:rPr>
              <w:t>0.333</w:t>
            </w:r>
          </w:p>
        </w:tc>
        <w:tc>
          <w:tcPr>
            <w:tcW w:w="836" w:type="dxa"/>
            <w:tcBorders>
              <w:top w:val="single" w:sz="6" w:space="0" w:color="000000"/>
            </w:tcBorders>
          </w:tcPr>
          <w:p>
            <w:pPr>
              <w:pStyle w:val="TableParagraph"/>
              <w:spacing w:line="247" w:lineRule="exact" w:before="52"/>
              <w:ind w:left="5"/>
              <w:rPr>
                <w:sz w:val="22"/>
              </w:rPr>
            </w:pPr>
            <w:r>
              <w:rPr>
                <w:spacing w:val="-2"/>
                <w:sz w:val="22"/>
              </w:rPr>
              <w:t>0.531</w:t>
            </w:r>
          </w:p>
        </w:tc>
        <w:tc>
          <w:tcPr>
            <w:tcW w:w="702" w:type="dxa"/>
            <w:tcBorders>
              <w:top w:val="single" w:sz="6" w:space="0" w:color="000000"/>
            </w:tcBorders>
          </w:tcPr>
          <w:p>
            <w:pPr>
              <w:pStyle w:val="TableParagraph"/>
              <w:spacing w:line="247" w:lineRule="exact" w:before="52"/>
              <w:ind w:left="8"/>
              <w:rPr>
                <w:sz w:val="22"/>
              </w:rPr>
            </w:pPr>
            <w:r>
              <w:rPr>
                <w:spacing w:val="-2"/>
                <w:sz w:val="22"/>
              </w:rPr>
              <w:t>3.436</w:t>
            </w:r>
          </w:p>
        </w:tc>
        <w:tc>
          <w:tcPr>
            <w:tcW w:w="891" w:type="dxa"/>
            <w:tcBorders>
              <w:top w:val="single" w:sz="6" w:space="0" w:color="000000"/>
            </w:tcBorders>
          </w:tcPr>
          <w:p>
            <w:pPr>
              <w:pStyle w:val="TableParagraph"/>
              <w:spacing w:line="247" w:lineRule="exact" w:before="52"/>
              <w:ind w:left="9"/>
              <w:rPr>
                <w:sz w:val="22"/>
              </w:rPr>
            </w:pPr>
            <w:r>
              <w:rPr>
                <w:spacing w:val="-2"/>
                <w:sz w:val="22"/>
              </w:rPr>
              <w:t>21.797</w:t>
            </w:r>
          </w:p>
        </w:tc>
      </w:tr>
      <w:tr>
        <w:trPr>
          <w:trHeight w:val="270" w:hRule="atLeast"/>
        </w:trPr>
        <w:tc>
          <w:tcPr>
            <w:tcW w:w="521" w:type="dxa"/>
          </w:tcPr>
          <w:p>
            <w:pPr>
              <w:pStyle w:val="TableParagraph"/>
              <w:spacing w:line="247" w:lineRule="exact"/>
              <w:ind w:right="67"/>
              <w:jc w:val="right"/>
              <w:rPr>
                <w:sz w:val="22"/>
              </w:rPr>
            </w:pPr>
            <w:r>
              <w:rPr>
                <w:spacing w:val="-4"/>
                <w:sz w:val="22"/>
              </w:rPr>
              <w:t>0.85</w:t>
            </w:r>
          </w:p>
        </w:tc>
        <w:tc>
          <w:tcPr>
            <w:tcW w:w="745" w:type="dxa"/>
          </w:tcPr>
          <w:p>
            <w:pPr>
              <w:pStyle w:val="TableParagraph"/>
              <w:spacing w:line="247" w:lineRule="exact"/>
              <w:ind w:left="1" w:right="1"/>
              <w:rPr>
                <w:sz w:val="22"/>
              </w:rPr>
            </w:pPr>
            <w:r>
              <w:rPr>
                <w:spacing w:val="-2"/>
                <w:sz w:val="22"/>
              </w:rPr>
              <w:t>0.355</w:t>
            </w:r>
          </w:p>
        </w:tc>
        <w:tc>
          <w:tcPr>
            <w:tcW w:w="933" w:type="dxa"/>
          </w:tcPr>
          <w:p>
            <w:pPr>
              <w:pStyle w:val="TableParagraph"/>
              <w:spacing w:line="247" w:lineRule="exact"/>
              <w:ind w:left="2"/>
              <w:rPr>
                <w:sz w:val="22"/>
              </w:rPr>
            </w:pPr>
            <w:r>
              <w:rPr>
                <w:spacing w:val="-2"/>
                <w:sz w:val="22"/>
              </w:rPr>
              <w:t>-0.030</w:t>
            </w:r>
          </w:p>
        </w:tc>
        <w:tc>
          <w:tcPr>
            <w:tcW w:w="648" w:type="dxa"/>
          </w:tcPr>
          <w:p>
            <w:pPr>
              <w:pStyle w:val="TableParagraph"/>
              <w:spacing w:line="247" w:lineRule="exact"/>
              <w:ind w:left="3"/>
              <w:rPr>
                <w:sz w:val="22"/>
              </w:rPr>
            </w:pPr>
            <w:r>
              <w:rPr>
                <w:spacing w:val="-2"/>
                <w:sz w:val="22"/>
              </w:rPr>
              <w:t>0.333</w:t>
            </w:r>
          </w:p>
        </w:tc>
        <w:tc>
          <w:tcPr>
            <w:tcW w:w="836" w:type="dxa"/>
          </w:tcPr>
          <w:p>
            <w:pPr>
              <w:pStyle w:val="TableParagraph"/>
              <w:spacing w:line="247" w:lineRule="exact"/>
              <w:ind w:left="5"/>
              <w:rPr>
                <w:sz w:val="22"/>
              </w:rPr>
            </w:pPr>
            <w:r>
              <w:rPr>
                <w:spacing w:val="-2"/>
                <w:sz w:val="22"/>
              </w:rPr>
              <w:t>0.534</w:t>
            </w:r>
          </w:p>
        </w:tc>
        <w:tc>
          <w:tcPr>
            <w:tcW w:w="702" w:type="dxa"/>
          </w:tcPr>
          <w:p>
            <w:pPr>
              <w:pStyle w:val="TableParagraph"/>
              <w:spacing w:line="247" w:lineRule="exact"/>
              <w:ind w:left="8"/>
              <w:rPr>
                <w:sz w:val="22"/>
              </w:rPr>
            </w:pPr>
            <w:r>
              <w:rPr>
                <w:spacing w:val="-2"/>
                <w:sz w:val="22"/>
              </w:rPr>
              <w:t>2.913</w:t>
            </w:r>
          </w:p>
        </w:tc>
        <w:tc>
          <w:tcPr>
            <w:tcW w:w="891" w:type="dxa"/>
          </w:tcPr>
          <w:p>
            <w:pPr>
              <w:pStyle w:val="TableParagraph"/>
              <w:spacing w:line="247" w:lineRule="exact"/>
              <w:ind w:left="9"/>
              <w:rPr>
                <w:sz w:val="22"/>
              </w:rPr>
            </w:pPr>
            <w:r>
              <w:rPr>
                <w:spacing w:val="-2"/>
                <w:sz w:val="22"/>
              </w:rPr>
              <w:t>21.383</w:t>
            </w:r>
          </w:p>
        </w:tc>
      </w:tr>
      <w:tr>
        <w:trPr>
          <w:trHeight w:val="332" w:hRule="atLeast"/>
        </w:trPr>
        <w:tc>
          <w:tcPr>
            <w:tcW w:w="521" w:type="dxa"/>
            <w:tcBorders>
              <w:bottom w:val="single" w:sz="8" w:space="0" w:color="000000"/>
            </w:tcBorders>
          </w:tcPr>
          <w:p>
            <w:pPr>
              <w:pStyle w:val="TableParagraph"/>
              <w:ind w:right="67"/>
              <w:jc w:val="right"/>
              <w:rPr>
                <w:sz w:val="22"/>
              </w:rPr>
            </w:pPr>
            <w:r>
              <w:rPr>
                <w:spacing w:val="-4"/>
                <w:sz w:val="22"/>
              </w:rPr>
              <w:t>0.95</w:t>
            </w:r>
          </w:p>
        </w:tc>
        <w:tc>
          <w:tcPr>
            <w:tcW w:w="745" w:type="dxa"/>
            <w:tcBorders>
              <w:bottom w:val="single" w:sz="8" w:space="0" w:color="000000"/>
            </w:tcBorders>
          </w:tcPr>
          <w:p>
            <w:pPr>
              <w:pStyle w:val="TableParagraph"/>
              <w:ind w:left="1" w:right="1"/>
              <w:rPr>
                <w:sz w:val="22"/>
              </w:rPr>
            </w:pPr>
            <w:r>
              <w:rPr>
                <w:spacing w:val="-2"/>
                <w:sz w:val="22"/>
              </w:rPr>
              <w:t>0.355</w:t>
            </w:r>
          </w:p>
        </w:tc>
        <w:tc>
          <w:tcPr>
            <w:tcW w:w="933" w:type="dxa"/>
            <w:tcBorders>
              <w:bottom w:val="single" w:sz="8" w:space="0" w:color="000000"/>
            </w:tcBorders>
          </w:tcPr>
          <w:p>
            <w:pPr>
              <w:pStyle w:val="TableParagraph"/>
              <w:ind w:left="2"/>
              <w:rPr>
                <w:sz w:val="22"/>
              </w:rPr>
            </w:pPr>
            <w:r>
              <w:rPr>
                <w:spacing w:val="-2"/>
                <w:sz w:val="22"/>
              </w:rPr>
              <w:t>-0.030</w:t>
            </w:r>
          </w:p>
        </w:tc>
        <w:tc>
          <w:tcPr>
            <w:tcW w:w="648" w:type="dxa"/>
            <w:tcBorders>
              <w:bottom w:val="single" w:sz="8" w:space="0" w:color="000000"/>
            </w:tcBorders>
          </w:tcPr>
          <w:p>
            <w:pPr>
              <w:pStyle w:val="TableParagraph"/>
              <w:ind w:left="3"/>
              <w:rPr>
                <w:sz w:val="22"/>
              </w:rPr>
            </w:pPr>
            <w:r>
              <w:rPr>
                <w:spacing w:val="-2"/>
                <w:sz w:val="22"/>
              </w:rPr>
              <w:t>0.333</w:t>
            </w:r>
          </w:p>
        </w:tc>
        <w:tc>
          <w:tcPr>
            <w:tcW w:w="836" w:type="dxa"/>
            <w:tcBorders>
              <w:bottom w:val="single" w:sz="8" w:space="0" w:color="000000"/>
            </w:tcBorders>
          </w:tcPr>
          <w:p>
            <w:pPr>
              <w:pStyle w:val="TableParagraph"/>
              <w:ind w:left="5"/>
              <w:rPr>
                <w:sz w:val="22"/>
              </w:rPr>
            </w:pPr>
            <w:r>
              <w:rPr>
                <w:spacing w:val="-2"/>
                <w:sz w:val="22"/>
              </w:rPr>
              <w:t>0.536</w:t>
            </w:r>
          </w:p>
        </w:tc>
        <w:tc>
          <w:tcPr>
            <w:tcW w:w="702" w:type="dxa"/>
            <w:tcBorders>
              <w:bottom w:val="single" w:sz="8" w:space="0" w:color="000000"/>
            </w:tcBorders>
          </w:tcPr>
          <w:p>
            <w:pPr>
              <w:pStyle w:val="TableParagraph"/>
              <w:ind w:left="8"/>
              <w:rPr>
                <w:sz w:val="22"/>
              </w:rPr>
            </w:pPr>
            <w:r>
              <w:rPr>
                <w:spacing w:val="-2"/>
                <w:sz w:val="22"/>
              </w:rPr>
              <w:t>2.320</w:t>
            </w:r>
          </w:p>
        </w:tc>
        <w:tc>
          <w:tcPr>
            <w:tcW w:w="891" w:type="dxa"/>
            <w:tcBorders>
              <w:bottom w:val="single" w:sz="8" w:space="0" w:color="000000"/>
            </w:tcBorders>
          </w:tcPr>
          <w:p>
            <w:pPr>
              <w:pStyle w:val="TableParagraph"/>
              <w:ind w:left="9"/>
              <w:rPr>
                <w:sz w:val="22"/>
              </w:rPr>
            </w:pPr>
            <w:r>
              <w:rPr>
                <w:spacing w:val="-2"/>
                <w:sz w:val="22"/>
              </w:rPr>
              <w:t>21.077</w:t>
            </w:r>
          </w:p>
        </w:tc>
      </w:tr>
    </w:tbl>
    <w:p>
      <w:pPr>
        <w:pStyle w:val="BodyText"/>
        <w:spacing w:before="27"/>
      </w:pPr>
    </w:p>
    <w:p>
      <w:pPr>
        <w:pStyle w:val="BodyText"/>
        <w:spacing w:line="456" w:lineRule="exact"/>
        <w:ind w:left="274" w:right="522" w:firstLine="7"/>
        <w:jc w:val="both"/>
      </w:pPr>
      <w:r>
        <w:rPr/>
        <w:t>EndorseRank allowance mean </w:t>
      </w:r>
      <w:r>
        <w:rPr>
          <w:rFonts w:ascii="Calibri" w:hAnsi="Calibri"/>
          <w:i/>
        </w:rPr>
        <w:t>τ</w:t>
      </w:r>
      <w:r>
        <w:rPr>
          <w:rFonts w:ascii="Calibri" w:hAnsi="Calibri"/>
          <w:i/>
          <w:spacing w:val="33"/>
        </w:rPr>
        <w:t> </w:t>
      </w:r>
      <w:r>
        <w:rPr/>
        <w:t>is stable at approximately </w:t>
      </w:r>
      <w:r>
        <w:rPr>
          <w:rFonts w:ascii="Calibri" w:hAnsi="Calibri"/>
        </w:rPr>
        <w:t>0</w:t>
      </w:r>
      <w:r>
        <w:rPr>
          <w:rFonts w:ascii="Calibri" w:hAnsi="Calibri"/>
          <w:i/>
        </w:rPr>
        <w:t>.</w:t>
      </w:r>
      <w:r>
        <w:rPr>
          <w:rFonts w:ascii="Calibri" w:hAnsi="Calibri"/>
        </w:rPr>
        <w:t>355 </w:t>
      </w:r>
      <w:r>
        <w:rPr/>
        <w:t>across all three damping values. Transfer-family </w:t>
      </w:r>
      <w:r>
        <w:rPr>
          <w:rFonts w:ascii="Calibri" w:hAnsi="Calibri"/>
          <w:i/>
        </w:rPr>
        <w:t>τ </w:t>
      </w:r>
      <w:r>
        <w:rPr/>
        <w:t>for EndorseRank is likewise unchanged at </w:t>
      </w:r>
      <w:r>
        <w:rPr>
          <w:rFonts w:ascii="Calibri" w:hAnsi="Calibri"/>
        </w:rPr>
        <w:t>0</w:t>
      </w:r>
      <w:r>
        <w:rPr>
          <w:rFonts w:ascii="Calibri" w:hAnsi="Calibri"/>
          <w:i/>
        </w:rPr>
        <w:t>.</w:t>
      </w:r>
      <w:r>
        <w:rPr>
          <w:rFonts w:ascii="Calibri" w:hAnsi="Calibri"/>
        </w:rPr>
        <w:t>333</w:t>
      </w:r>
      <w:r>
        <w:rPr/>
        <w:t>.</w:t>
      </w:r>
      <w:r>
        <w:rPr>
          <w:spacing w:val="40"/>
        </w:rPr>
        <w:t> </w:t>
      </w:r>
      <w:r>
        <w:rPr/>
        <w:t>AWP transfer </w:t>
      </w:r>
      <w:r>
        <w:rPr>
          <w:rFonts w:ascii="Calibri" w:hAnsi="Calibri"/>
          <w:i/>
        </w:rPr>
        <w:t>τ </w:t>
      </w:r>
      <w:r>
        <w:rPr/>
        <w:t>varies only </w:t>
      </w:r>
      <w:r>
        <w:rPr>
          <w:spacing w:val="-4"/>
        </w:rPr>
        <w:t>from</w:t>
      </w:r>
      <w:r>
        <w:rPr>
          <w:spacing w:val="-11"/>
        </w:rPr>
        <w:t> </w:t>
      </w:r>
      <w:r>
        <w:rPr>
          <w:rFonts w:ascii="Calibri" w:hAnsi="Calibri"/>
          <w:spacing w:val="-4"/>
        </w:rPr>
        <w:t>0</w:t>
      </w:r>
      <w:r>
        <w:rPr>
          <w:rFonts w:ascii="Calibri" w:hAnsi="Calibri"/>
          <w:i/>
          <w:spacing w:val="-4"/>
        </w:rPr>
        <w:t>.</w:t>
      </w:r>
      <w:r>
        <w:rPr>
          <w:rFonts w:ascii="Calibri" w:hAnsi="Calibri"/>
          <w:spacing w:val="-4"/>
        </w:rPr>
        <w:t>531</w:t>
      </w:r>
      <w:r>
        <w:rPr>
          <w:rFonts w:ascii="Calibri" w:hAnsi="Calibri"/>
          <w:spacing w:val="-10"/>
        </w:rPr>
        <w:t> </w:t>
      </w:r>
      <w:r>
        <w:rPr>
          <w:spacing w:val="-4"/>
        </w:rPr>
        <w:t>to</w:t>
      </w:r>
      <w:r>
        <w:rPr>
          <w:spacing w:val="-11"/>
        </w:rPr>
        <w:t> </w:t>
      </w:r>
      <w:r>
        <w:rPr>
          <w:rFonts w:ascii="Calibri" w:hAnsi="Calibri"/>
          <w:spacing w:val="-4"/>
        </w:rPr>
        <w:t>0</w:t>
      </w:r>
      <w:r>
        <w:rPr>
          <w:rFonts w:ascii="Calibri" w:hAnsi="Calibri"/>
          <w:i/>
          <w:spacing w:val="-4"/>
        </w:rPr>
        <w:t>.</w:t>
      </w:r>
      <w:r>
        <w:rPr>
          <w:rFonts w:ascii="Calibri" w:hAnsi="Calibri"/>
          <w:spacing w:val="-4"/>
        </w:rPr>
        <w:t>536</w:t>
      </w:r>
      <w:r>
        <w:rPr>
          <w:rFonts w:ascii="Calibri" w:hAnsi="Calibri"/>
          <w:spacing w:val="-10"/>
        </w:rPr>
        <w:t> </w:t>
      </w:r>
      <w:r>
        <w:rPr>
          <w:spacing w:val="-4"/>
        </w:rPr>
        <w:t>(at</w:t>
      </w:r>
      <w:r>
        <w:rPr>
          <w:spacing w:val="-11"/>
        </w:rPr>
        <w:t> </w:t>
      </w:r>
      <w:r>
        <w:rPr>
          <w:spacing w:val="-4"/>
        </w:rPr>
        <w:t>most</w:t>
      </w:r>
      <w:r>
        <w:rPr>
          <w:spacing w:val="-11"/>
        </w:rPr>
        <w:t> </w:t>
      </w:r>
      <w:r>
        <w:rPr>
          <w:rFonts w:ascii="Lucida Sans Unicode" w:hAnsi="Lucida Sans Unicode"/>
          <w:spacing w:val="-4"/>
        </w:rPr>
        <w:t>≈</w:t>
      </w:r>
      <w:r>
        <w:rPr>
          <w:rFonts w:ascii="Lucida Sans Unicode" w:hAnsi="Lucida Sans Unicode"/>
          <w:spacing w:val="-15"/>
        </w:rPr>
        <w:t> </w:t>
      </w:r>
      <w:r>
        <w:rPr>
          <w:rFonts w:ascii="Calibri" w:hAnsi="Calibri"/>
          <w:spacing w:val="-4"/>
        </w:rPr>
        <w:t>0</w:t>
      </w:r>
      <w:r>
        <w:rPr>
          <w:rFonts w:ascii="Calibri" w:hAnsi="Calibri"/>
          <w:i/>
          <w:spacing w:val="-4"/>
        </w:rPr>
        <w:t>.</w:t>
      </w:r>
      <w:r>
        <w:rPr>
          <w:rFonts w:ascii="Calibri" w:hAnsi="Calibri"/>
          <w:spacing w:val="-4"/>
        </w:rPr>
        <w:t>005</w:t>
      </w:r>
      <w:r>
        <w:rPr>
          <w:spacing w:val="-4"/>
        </w:rPr>
        <w:t>),</w:t>
      </w:r>
      <w:r>
        <w:rPr>
          <w:spacing w:val="-11"/>
        </w:rPr>
        <w:t> </w:t>
      </w:r>
      <w:r>
        <w:rPr>
          <w:spacing w:val="-4"/>
        </w:rPr>
        <w:t>and</w:t>
      </w:r>
      <w:r>
        <w:rPr>
          <w:spacing w:val="-11"/>
        </w:rPr>
        <w:t> </w:t>
      </w:r>
      <w:r>
        <w:rPr>
          <w:spacing w:val="-4"/>
        </w:rPr>
        <w:t>AWP</w:t>
      </w:r>
      <w:r>
        <w:rPr>
          <w:spacing w:val="-11"/>
        </w:rPr>
        <w:t> </w:t>
      </w:r>
      <w:r>
        <w:rPr>
          <w:spacing w:val="-4"/>
        </w:rPr>
        <w:t>allowance</w:t>
      </w:r>
      <w:r>
        <w:rPr>
          <w:spacing w:val="-11"/>
        </w:rPr>
        <w:t> </w:t>
      </w:r>
      <w:r>
        <w:rPr>
          <w:rFonts w:ascii="Calibri" w:hAnsi="Calibri"/>
          <w:i/>
          <w:spacing w:val="-4"/>
        </w:rPr>
        <w:t>τ</w:t>
      </w:r>
      <w:r>
        <w:rPr>
          <w:rFonts w:ascii="Calibri" w:hAnsi="Calibri"/>
          <w:i/>
          <w:spacing w:val="-6"/>
        </w:rPr>
        <w:t> </w:t>
      </w:r>
      <w:r>
        <w:rPr>
          <w:spacing w:val="-4"/>
        </w:rPr>
        <w:t>remains</w:t>
      </w:r>
      <w:r>
        <w:rPr>
          <w:spacing w:val="-11"/>
        </w:rPr>
        <w:t> </w:t>
      </w:r>
      <w:r>
        <w:rPr>
          <w:spacing w:val="-4"/>
        </w:rPr>
        <w:t>near</w:t>
      </w:r>
      <w:r>
        <w:rPr>
          <w:spacing w:val="-11"/>
        </w:rPr>
        <w:t> </w:t>
      </w:r>
      <w:r>
        <w:rPr>
          <w:spacing w:val="-4"/>
        </w:rPr>
        <w:t>zero</w:t>
      </w:r>
      <w:r>
        <w:rPr>
          <w:spacing w:val="-11"/>
        </w:rPr>
        <w:t> </w:t>
      </w:r>
      <w:r>
        <w:rPr>
          <w:spacing w:val="-4"/>
        </w:rPr>
        <w:t>(</w:t>
      </w:r>
      <w:r>
        <w:rPr>
          <w:rFonts w:ascii="Lucida Sans Unicode" w:hAnsi="Lucida Sans Unicode"/>
          <w:spacing w:val="-4"/>
        </w:rPr>
        <w:t>—</w:t>
      </w:r>
      <w:r>
        <w:rPr>
          <w:rFonts w:ascii="Calibri" w:hAnsi="Calibri"/>
          <w:spacing w:val="-4"/>
        </w:rPr>
        <w:t>0</w:t>
      </w:r>
      <w:r>
        <w:rPr>
          <w:rFonts w:ascii="Calibri" w:hAnsi="Calibri"/>
          <w:i/>
          <w:spacing w:val="-4"/>
        </w:rPr>
        <w:t>.</w:t>
      </w:r>
      <w:r>
        <w:rPr>
          <w:rFonts w:ascii="Calibri" w:hAnsi="Calibri"/>
          <w:spacing w:val="-4"/>
        </w:rPr>
        <w:t>031</w:t>
      </w:r>
      <w:r>
        <w:rPr>
          <w:rFonts w:ascii="Calibri" w:hAnsi="Calibri"/>
          <w:spacing w:val="-8"/>
        </w:rPr>
        <w:t> </w:t>
      </w:r>
      <w:r>
        <w:rPr>
          <w:spacing w:val="-4"/>
        </w:rPr>
        <w:t>to</w:t>
      </w:r>
      <w:r>
        <w:rPr>
          <w:spacing w:val="-11"/>
        </w:rPr>
        <w:t> </w:t>
      </w:r>
      <w:r>
        <w:rPr>
          <w:rFonts w:ascii="Lucida Sans Unicode" w:hAnsi="Lucida Sans Unicode"/>
          <w:spacing w:val="-4"/>
        </w:rPr>
        <w:t>—</w:t>
      </w:r>
      <w:r>
        <w:rPr>
          <w:rFonts w:ascii="Calibri" w:hAnsi="Calibri"/>
          <w:spacing w:val="-4"/>
        </w:rPr>
        <w:t>0</w:t>
      </w:r>
      <w:r>
        <w:rPr>
          <w:rFonts w:ascii="Calibri" w:hAnsi="Calibri"/>
          <w:i/>
          <w:spacing w:val="-4"/>
        </w:rPr>
        <w:t>.</w:t>
      </w:r>
      <w:r>
        <w:rPr>
          <w:rFonts w:ascii="Calibri" w:hAnsi="Calibri"/>
          <w:spacing w:val="-4"/>
        </w:rPr>
        <w:t>030</w:t>
      </w:r>
      <w:r>
        <w:rPr>
          <w:spacing w:val="-4"/>
        </w:rPr>
        <w:t>). </w:t>
      </w:r>
      <w:r>
        <w:rPr/>
        <w:t>The</w:t>
      </w:r>
      <w:r>
        <w:rPr>
          <w:spacing w:val="-5"/>
        </w:rPr>
        <w:t> </w:t>
      </w:r>
      <w:r>
        <w:rPr/>
        <w:t>construct-specific</w:t>
      </w:r>
      <w:r>
        <w:rPr>
          <w:spacing w:val="-5"/>
        </w:rPr>
        <w:t> </w:t>
      </w:r>
      <w:r>
        <w:rPr/>
        <w:t>pattern—EndorseRank</w:t>
      </w:r>
      <w:r>
        <w:rPr>
          <w:spacing w:val="-5"/>
        </w:rPr>
        <w:t> </w:t>
      </w:r>
      <w:r>
        <w:rPr/>
        <w:t>leading</w:t>
      </w:r>
      <w:r>
        <w:rPr>
          <w:spacing w:val="-5"/>
        </w:rPr>
        <w:t> </w:t>
      </w:r>
      <w:r>
        <w:rPr/>
        <w:t>on</w:t>
      </w:r>
      <w:r>
        <w:rPr>
          <w:spacing w:val="-5"/>
        </w:rPr>
        <w:t> </w:t>
      </w:r>
      <w:r>
        <w:rPr/>
        <w:t>allowance,</w:t>
      </w:r>
      <w:r>
        <w:rPr>
          <w:spacing w:val="-5"/>
        </w:rPr>
        <w:t> </w:t>
      </w:r>
      <w:r>
        <w:rPr/>
        <w:t>AWP</w:t>
      </w:r>
      <w:r>
        <w:rPr>
          <w:spacing w:val="-5"/>
        </w:rPr>
        <w:t> </w:t>
      </w:r>
      <w:r>
        <w:rPr/>
        <w:t>leading</w:t>
      </w:r>
      <w:r>
        <w:rPr>
          <w:spacing w:val="-5"/>
        </w:rPr>
        <w:t> </w:t>
      </w:r>
      <w:r>
        <w:rPr/>
        <w:t>on</w:t>
      </w:r>
      <w:r>
        <w:rPr>
          <w:spacing w:val="-5"/>
        </w:rPr>
        <w:t> </w:t>
      </w:r>
      <w:r>
        <w:rPr/>
        <w:t>transfer—is therefore not an artifact of the conventional </w:t>
      </w:r>
      <w:r>
        <w:rPr>
          <w:rFonts w:ascii="Calibri" w:hAnsi="Calibri"/>
          <w:i/>
        </w:rPr>
        <w:t>d </w:t>
      </w:r>
      <w:r>
        <w:rPr>
          <w:rFonts w:ascii="Calibri" w:hAnsi="Calibri"/>
          <w:w w:val="125"/>
        </w:rPr>
        <w:t>= </w:t>
      </w:r>
      <w:r>
        <w:rPr>
          <w:rFonts w:ascii="Calibri" w:hAnsi="Calibri"/>
        </w:rPr>
        <w:t>0</w:t>
      </w:r>
      <w:r>
        <w:rPr>
          <w:rFonts w:ascii="Calibri" w:hAnsi="Calibri"/>
          <w:i/>
        </w:rPr>
        <w:t>.</w:t>
      </w:r>
      <w:r>
        <w:rPr>
          <w:rFonts w:ascii="Calibri" w:hAnsi="Calibri"/>
        </w:rPr>
        <w:t>85 </w:t>
      </w:r>
      <w:r>
        <w:rPr/>
        <w:t>setting.</w:t>
      </w:r>
    </w:p>
    <w:p>
      <w:pPr>
        <w:pStyle w:val="BodyText"/>
        <w:spacing w:line="456" w:lineRule="exact"/>
        <w:ind w:left="274" w:right="522" w:firstLine="7"/>
        <w:jc w:val="both"/>
      </w:pPr>
      <w:r>
        <w:rPr>
          <w:i/>
        </w:rPr>
        <w:t>EndorseRank 허용 평균 τ는 세 가지 감쇠 값 모두에서 약 0.355로 안정적입니다. EndorseRank에 대한 전이 패밀리 τ는 마찬가지로 0.333으로 변경되지 않았습니다. AWP 전달 τ는 0.531에서 0.536(최대 ⟦ 0.005)까지만 변하며, AWP 허용량 τ는 거의 0(-0.031~-0.030)으로 유지됩니다. 따라서 구문별 패턴(EndorseRank 선행, 전이 AWP)은 기존 d = 0.85 설정의 인공물이 아닙니다.</w:t>
      </w:r>
    </w:p>
    <w:p>
      <w:pPr>
        <w:pStyle w:val="BodyText"/>
        <w:spacing w:after="0" w:line="456" w:lineRule="exact"/>
        <w:jc w:val="both"/>
        <w:sectPr>
          <w:pgSz w:w="11910" w:h="16840"/>
          <w:pgMar w:header="0" w:footer="2115" w:top="1840" w:bottom="2300" w:left="992" w:right="708"/>
        </w:sectPr>
      </w:pPr>
    </w:p>
    <w:p>
      <w:pPr>
        <w:pStyle w:val="BodyText"/>
        <w:spacing w:line="391" w:lineRule="auto" w:before="72"/>
        <w:ind w:left="282" w:right="560"/>
        <w:jc w:val="both"/>
      </w:pPr>
      <w:r>
        <w:rPr/>
        <w:t>Figure </w:t>
      </w:r>
      <w:hyperlink w:history="true" w:anchor="_bookmark97">
        <w:r>
          <w:rPr/>
          <w:t>4.5</w:t>
        </w:r>
      </w:hyperlink>
      <w:r>
        <w:rPr/>
        <w:t> plots these relationships.</w:t>
      </w:r>
      <w:r>
        <w:rPr>
          <w:spacing w:val="32"/>
        </w:rPr>
        <w:t> </w:t>
      </w:r>
      <w:r>
        <w:rPr/>
        <w:t>Flat allowance and transfer curves for EndorseRank indicate that the endorsement operator’s ranking is insensitive to moderate changes in the teleportation probability.</w:t>
      </w:r>
      <w:r>
        <w:rPr>
          <w:spacing w:val="40"/>
        </w:rPr>
        <w:t> </w:t>
      </w:r>
      <w:r>
        <w:rPr/>
        <w:t>Runtime decreases slightly as </w:t>
      </w:r>
      <w:r>
        <w:rPr>
          <w:rFonts w:ascii="Calibri" w:hAnsi="Calibri"/>
          <w:i/>
        </w:rPr>
        <w:t>d </w:t>
      </w:r>
      <w:r>
        <w:rPr/>
        <w:t>increases for both methods, consistent with faster mixing when less mass is retained on the graph operator, but the relative speedup remains large throughout the sweep.</w:t>
      </w:r>
    </w:p>
    <w:p>
      <w:pPr>
        <w:pStyle w:val="BodyText"/>
        <w:spacing w:line="391" w:lineRule="auto" w:before="72"/>
        <w:ind w:left="282" w:right="560"/>
        <w:jc w:val="both"/>
      </w:pPr>
      <w:r>
        <w:rPr>
          <w:i/>
        </w:rPr>
        <w:t>그림 4.5는 이러한 관계를 보여줍니다. EndorseRank에 대한 평평한 허용 및 전송 곡선은 보증 운영자의 순위가 순간 이동 확률의 중간 정도 변화에 민감하지 않음을 나타냅니다. 두 방법 모두 d가 증가하면 런타임이 약간 감소합니다. 이는 그래프 연산자에 더 적은 질량이 유지될 때 더 빠른 혼합과 일치하지만, 상대적 속도 향상은 스윕 전체에서 크게 유지됩니다.</w:t>
      </w:r>
    </w:p>
    <w:p>
      <w:pPr>
        <w:pStyle w:val="BodyText"/>
        <w:rPr>
          <w:sz w:val="23"/>
        </w:rPr>
      </w:pPr>
    </w:p>
    <w:p>
      <w:pPr>
        <w:pStyle w:val="BodyText"/>
        <w:spacing w:before="66"/>
        <w:rPr>
          <w:sz w:val="23"/>
        </w:rPr>
      </w:pPr>
    </w:p>
    <w:p>
      <w:pPr>
        <w:spacing w:before="0"/>
        <w:ind w:left="1284"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4720">
                <wp:simplePos x="0" y="0"/>
                <wp:positionH relativeFrom="page">
                  <wp:posOffset>1733988</wp:posOffset>
                </wp:positionH>
                <wp:positionV relativeFrom="paragraph">
                  <wp:posOffset>-210650</wp:posOffset>
                </wp:positionV>
                <wp:extent cx="4618990" cy="302450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4618990" cy="3024505"/>
                          <a:chExt cx="4618990" cy="3024505"/>
                        </a:xfrm>
                      </wpg:grpSpPr>
                      <wps:wsp>
                        <wps:cNvPr id="597" name="Graphic 597"/>
                        <wps:cNvSpPr/>
                        <wps:spPr>
                          <a:xfrm>
                            <a:off x="259333" y="5944"/>
                            <a:ext cx="1270" cy="2966720"/>
                          </a:xfrm>
                          <a:custGeom>
                            <a:avLst/>
                            <a:gdLst/>
                            <a:ahLst/>
                            <a:cxnLst/>
                            <a:rect l="l" t="t" r="r" b="b"/>
                            <a:pathLst>
                              <a:path w="0" h="2966720">
                                <a:moveTo>
                                  <a:pt x="0" y="206539"/>
                                </a:moveTo>
                                <a:lnTo>
                                  <a:pt x="0" y="2786717"/>
                                </a:lnTo>
                              </a:path>
                              <a:path w="0" h="2966720">
                                <a:moveTo>
                                  <a:pt x="0" y="2875886"/>
                                </a:moveTo>
                                <a:lnTo>
                                  <a:pt x="0" y="2966125"/>
                                </a:lnTo>
                              </a:path>
                              <a:path w="0" h="2966720">
                                <a:moveTo>
                                  <a:pt x="0" y="0"/>
                                </a:moveTo>
                                <a:lnTo>
                                  <a:pt x="0" y="117369"/>
                                </a:lnTo>
                              </a:path>
                            </a:pathLst>
                          </a:custGeom>
                          <a:ln w="11889">
                            <a:solidFill>
                              <a:srgbClr val="AFAFAF"/>
                            </a:solidFill>
                            <a:prstDash val="solid"/>
                          </a:ln>
                        </wps:spPr>
                        <wps:bodyPr wrap="square" lIns="0" tIns="0" rIns="0" bIns="0" rtlCol="0">
                          <a:prstTxWarp prst="textNoShape">
                            <a:avLst/>
                          </a:prstTxWarp>
                          <a:noAutofit/>
                        </wps:bodyPr>
                      </wps:wsp>
                      <wps:wsp>
                        <wps:cNvPr id="598" name="Graphic 598"/>
                        <wps:cNvSpPr/>
                        <wps:spPr>
                          <a:xfrm>
                            <a:off x="259333"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599" name="Graphic 599"/>
                        <wps:cNvSpPr/>
                        <wps:spPr>
                          <a:xfrm>
                            <a:off x="259333"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0" name="Graphic 600"/>
                        <wps:cNvSpPr/>
                        <wps:spPr>
                          <a:xfrm>
                            <a:off x="2332518" y="5944"/>
                            <a:ext cx="1270" cy="2966720"/>
                          </a:xfrm>
                          <a:custGeom>
                            <a:avLst/>
                            <a:gdLst/>
                            <a:ahLst/>
                            <a:cxnLst/>
                            <a:rect l="l" t="t" r="r" b="b"/>
                            <a:pathLst>
                              <a:path w="0" h="2966720">
                                <a:moveTo>
                                  <a:pt x="0" y="0"/>
                                </a:moveTo>
                                <a:lnTo>
                                  <a:pt x="0" y="102932"/>
                                </a:lnTo>
                              </a:path>
                              <a:path w="0" h="2966720">
                                <a:moveTo>
                                  <a:pt x="0" y="192101"/>
                                </a:moveTo>
                                <a:lnTo>
                                  <a:pt x="0" y="2785683"/>
                                </a:lnTo>
                              </a:path>
                              <a:path w="0" h="2966720">
                                <a:moveTo>
                                  <a:pt x="0" y="2874852"/>
                                </a:moveTo>
                                <a:lnTo>
                                  <a:pt x="0" y="2966125"/>
                                </a:lnTo>
                              </a:path>
                            </a:pathLst>
                          </a:custGeom>
                          <a:ln w="11889">
                            <a:solidFill>
                              <a:srgbClr val="AFAFAF"/>
                            </a:solidFill>
                            <a:prstDash val="solid"/>
                          </a:ln>
                        </wps:spPr>
                        <wps:bodyPr wrap="square" lIns="0" tIns="0" rIns="0" bIns="0" rtlCol="0">
                          <a:prstTxWarp prst="textNoShape">
                            <a:avLst/>
                          </a:prstTxWarp>
                          <a:noAutofit/>
                        </wps:bodyPr>
                      </wps:wsp>
                      <wps:wsp>
                        <wps:cNvPr id="601" name="Graphic 601"/>
                        <wps:cNvSpPr/>
                        <wps:spPr>
                          <a:xfrm>
                            <a:off x="2332518"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2" name="Graphic 602"/>
                        <wps:cNvSpPr/>
                        <wps:spPr>
                          <a:xfrm>
                            <a:off x="2332518"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3" name="Graphic 603"/>
                        <wps:cNvSpPr/>
                        <wps:spPr>
                          <a:xfrm>
                            <a:off x="4405703" y="5944"/>
                            <a:ext cx="1270" cy="2966720"/>
                          </a:xfrm>
                          <a:custGeom>
                            <a:avLst/>
                            <a:gdLst/>
                            <a:ahLst/>
                            <a:cxnLst/>
                            <a:rect l="l" t="t" r="r" b="b"/>
                            <a:pathLst>
                              <a:path w="0" h="2966720">
                                <a:moveTo>
                                  <a:pt x="0" y="0"/>
                                </a:moveTo>
                                <a:lnTo>
                                  <a:pt x="0" y="90239"/>
                                </a:lnTo>
                              </a:path>
                              <a:path w="0" h="2966720">
                                <a:moveTo>
                                  <a:pt x="0" y="2872519"/>
                                </a:moveTo>
                                <a:lnTo>
                                  <a:pt x="0" y="2966125"/>
                                </a:lnTo>
                              </a:path>
                              <a:path w="0" h="2966720">
                                <a:moveTo>
                                  <a:pt x="0" y="179408"/>
                                </a:moveTo>
                                <a:lnTo>
                                  <a:pt x="0" y="2783350"/>
                                </a:lnTo>
                              </a:path>
                            </a:pathLst>
                          </a:custGeom>
                          <a:ln w="11889">
                            <a:solidFill>
                              <a:srgbClr val="AFAFAF"/>
                            </a:solidFill>
                            <a:prstDash val="solid"/>
                          </a:ln>
                        </wps:spPr>
                        <wps:bodyPr wrap="square" lIns="0" tIns="0" rIns="0" bIns="0" rtlCol="0">
                          <a:prstTxWarp prst="textNoShape">
                            <a:avLst/>
                          </a:prstTxWarp>
                          <a:noAutofit/>
                        </wps:bodyPr>
                      </wps:wsp>
                      <wps:wsp>
                        <wps:cNvPr id="604" name="Graphic 604"/>
                        <wps:cNvSpPr/>
                        <wps:spPr>
                          <a:xfrm>
                            <a:off x="4405703" y="2972070"/>
                            <a:ext cx="1270" cy="52069"/>
                          </a:xfrm>
                          <a:custGeom>
                            <a:avLst/>
                            <a:gdLst/>
                            <a:ahLst/>
                            <a:cxnLst/>
                            <a:rect l="l" t="t" r="r" b="b"/>
                            <a:pathLst>
                              <a:path w="0" h="52069">
                                <a:moveTo>
                                  <a:pt x="0" y="0"/>
                                </a:moveTo>
                                <a:lnTo>
                                  <a:pt x="0" y="52015"/>
                                </a:lnTo>
                              </a:path>
                            </a:pathLst>
                          </a:custGeom>
                          <a:solidFill>
                            <a:srgbClr val="000000"/>
                          </a:solidFill>
                        </wps:spPr>
                        <wps:bodyPr wrap="square" lIns="0" tIns="0" rIns="0" bIns="0" rtlCol="0">
                          <a:prstTxWarp prst="textNoShape">
                            <a:avLst/>
                          </a:prstTxWarp>
                          <a:noAutofit/>
                        </wps:bodyPr>
                      </wps:wsp>
                      <wps:wsp>
                        <wps:cNvPr id="605" name="Graphic 605"/>
                        <wps:cNvSpPr/>
                        <wps:spPr>
                          <a:xfrm>
                            <a:off x="4405703" y="2972070"/>
                            <a:ext cx="1270" cy="52069"/>
                          </a:xfrm>
                          <a:custGeom>
                            <a:avLst/>
                            <a:gdLst/>
                            <a:ahLst/>
                            <a:cxnLst/>
                            <a:rect l="l" t="t" r="r" b="b"/>
                            <a:pathLst>
                              <a:path w="0" h="52069">
                                <a:moveTo>
                                  <a:pt x="0" y="0"/>
                                </a:moveTo>
                                <a:lnTo>
                                  <a:pt x="0" y="52015"/>
                                </a:lnTo>
                              </a:path>
                            </a:pathLst>
                          </a:custGeom>
                          <a:ln w="11889">
                            <a:solidFill>
                              <a:srgbClr val="000000"/>
                            </a:solidFill>
                            <a:prstDash val="solid"/>
                          </a:ln>
                        </wps:spPr>
                        <wps:bodyPr wrap="square" lIns="0" tIns="0" rIns="0" bIns="0" rtlCol="0">
                          <a:prstTxWarp prst="textNoShape">
                            <a:avLst/>
                          </a:prstTxWarp>
                          <a:noAutofit/>
                        </wps:bodyPr>
                      </wps:wsp>
                      <wps:wsp>
                        <wps:cNvPr id="606" name="Graphic 606"/>
                        <wps:cNvSpPr/>
                        <wps:spPr>
                          <a:xfrm>
                            <a:off x="52015" y="2692075"/>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07" name="Graphic 607"/>
                        <wps:cNvSpPr/>
                        <wps:spPr>
                          <a:xfrm>
                            <a:off x="0" y="2692075"/>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08" name="Graphic 608"/>
                        <wps:cNvSpPr/>
                        <wps:spPr>
                          <a:xfrm>
                            <a:off x="0" y="2692075"/>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09" name="Graphic 609"/>
                        <wps:cNvSpPr/>
                        <wps:spPr>
                          <a:xfrm>
                            <a:off x="52015" y="2216461"/>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0" name="Graphic 610"/>
                        <wps:cNvSpPr/>
                        <wps:spPr>
                          <a:xfrm>
                            <a:off x="0" y="2216461"/>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1" name="Graphic 611"/>
                        <wps:cNvSpPr/>
                        <wps:spPr>
                          <a:xfrm>
                            <a:off x="0" y="2216461"/>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2" name="Graphic 612"/>
                        <wps:cNvSpPr/>
                        <wps:spPr>
                          <a:xfrm>
                            <a:off x="52015" y="1740846"/>
                            <a:ext cx="4561205" cy="1270"/>
                          </a:xfrm>
                          <a:custGeom>
                            <a:avLst/>
                            <a:gdLst/>
                            <a:ahLst/>
                            <a:cxnLst/>
                            <a:rect l="l" t="t" r="r" b="b"/>
                            <a:pathLst>
                              <a:path w="4561205" h="0">
                                <a:moveTo>
                                  <a:pt x="0" y="0"/>
                                </a:moveTo>
                                <a:lnTo>
                                  <a:pt x="3269585" y="0"/>
                                </a:lnTo>
                              </a:path>
                              <a:path w="4561205" h="0">
                                <a:moveTo>
                                  <a:pt x="3358754"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3" name="Graphic 613"/>
                        <wps:cNvSpPr/>
                        <wps:spPr>
                          <a:xfrm>
                            <a:off x="0" y="1740846"/>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4" name="Graphic 614"/>
                        <wps:cNvSpPr/>
                        <wps:spPr>
                          <a:xfrm>
                            <a:off x="0" y="1740846"/>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5" name="Graphic 615"/>
                        <wps:cNvSpPr/>
                        <wps:spPr>
                          <a:xfrm>
                            <a:off x="52015" y="1265231"/>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6" name="Graphic 616"/>
                        <wps:cNvSpPr/>
                        <wps:spPr>
                          <a:xfrm>
                            <a:off x="0" y="1265231"/>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17" name="Graphic 617"/>
                        <wps:cNvSpPr/>
                        <wps:spPr>
                          <a:xfrm>
                            <a:off x="0" y="1265231"/>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18" name="Graphic 618"/>
                        <wps:cNvSpPr/>
                        <wps:spPr>
                          <a:xfrm>
                            <a:off x="52015" y="789616"/>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19" name="Graphic 619"/>
                        <wps:cNvSpPr/>
                        <wps:spPr>
                          <a:xfrm>
                            <a:off x="0" y="789616"/>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20" name="Graphic 620"/>
                        <wps:cNvSpPr/>
                        <wps:spPr>
                          <a:xfrm>
                            <a:off x="0" y="789616"/>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21" name="Graphic 621"/>
                        <wps:cNvSpPr/>
                        <wps:spPr>
                          <a:xfrm>
                            <a:off x="52015" y="314002"/>
                            <a:ext cx="4561205" cy="1270"/>
                          </a:xfrm>
                          <a:custGeom>
                            <a:avLst/>
                            <a:gdLst/>
                            <a:ahLst/>
                            <a:cxnLst/>
                            <a:rect l="l" t="t" r="r" b="b"/>
                            <a:pathLst>
                              <a:path w="4561205" h="0">
                                <a:moveTo>
                                  <a:pt x="0" y="0"/>
                                </a:moveTo>
                                <a:lnTo>
                                  <a:pt x="4561006" y="0"/>
                                </a:lnTo>
                              </a:path>
                            </a:pathLst>
                          </a:custGeom>
                          <a:ln w="11889">
                            <a:solidFill>
                              <a:srgbClr val="AFAFAF"/>
                            </a:solidFill>
                            <a:prstDash val="solid"/>
                          </a:ln>
                        </wps:spPr>
                        <wps:bodyPr wrap="square" lIns="0" tIns="0" rIns="0" bIns="0" rtlCol="0">
                          <a:prstTxWarp prst="textNoShape">
                            <a:avLst/>
                          </a:prstTxWarp>
                          <a:noAutofit/>
                        </wps:bodyPr>
                      </wps:wsp>
                      <wps:wsp>
                        <wps:cNvPr id="622" name="Graphic 622"/>
                        <wps:cNvSpPr/>
                        <wps:spPr>
                          <a:xfrm>
                            <a:off x="0" y="314002"/>
                            <a:ext cx="52069" cy="1270"/>
                          </a:xfrm>
                          <a:custGeom>
                            <a:avLst/>
                            <a:gdLst/>
                            <a:ahLst/>
                            <a:cxnLst/>
                            <a:rect l="l" t="t" r="r" b="b"/>
                            <a:pathLst>
                              <a:path w="52069" h="0">
                                <a:moveTo>
                                  <a:pt x="52015" y="0"/>
                                </a:moveTo>
                                <a:lnTo>
                                  <a:pt x="0" y="0"/>
                                </a:lnTo>
                              </a:path>
                            </a:pathLst>
                          </a:custGeom>
                          <a:solidFill>
                            <a:srgbClr val="000000"/>
                          </a:solidFill>
                        </wps:spPr>
                        <wps:bodyPr wrap="square" lIns="0" tIns="0" rIns="0" bIns="0" rtlCol="0">
                          <a:prstTxWarp prst="textNoShape">
                            <a:avLst/>
                          </a:prstTxWarp>
                          <a:noAutofit/>
                        </wps:bodyPr>
                      </wps:wsp>
                      <wps:wsp>
                        <wps:cNvPr id="623" name="Graphic 623"/>
                        <wps:cNvSpPr/>
                        <wps:spPr>
                          <a:xfrm>
                            <a:off x="0" y="314002"/>
                            <a:ext cx="52069" cy="1270"/>
                          </a:xfrm>
                          <a:custGeom>
                            <a:avLst/>
                            <a:gdLst/>
                            <a:ahLst/>
                            <a:cxnLst/>
                            <a:rect l="l" t="t" r="r" b="b"/>
                            <a:pathLst>
                              <a:path w="52069" h="0">
                                <a:moveTo>
                                  <a:pt x="52015" y="0"/>
                                </a:moveTo>
                                <a:lnTo>
                                  <a:pt x="0" y="0"/>
                                </a:lnTo>
                              </a:path>
                            </a:pathLst>
                          </a:custGeom>
                          <a:ln w="11889">
                            <a:solidFill>
                              <a:srgbClr val="000000"/>
                            </a:solidFill>
                            <a:prstDash val="solid"/>
                          </a:ln>
                        </wps:spPr>
                        <wps:bodyPr wrap="square" lIns="0" tIns="0" rIns="0" bIns="0" rtlCol="0">
                          <a:prstTxWarp prst="textNoShape">
                            <a:avLst/>
                          </a:prstTxWarp>
                          <a:noAutofit/>
                        </wps:bodyPr>
                      </wps:wsp>
                      <wps:wsp>
                        <wps:cNvPr id="624" name="Graphic 624"/>
                        <wps:cNvSpPr/>
                        <wps:spPr>
                          <a:xfrm>
                            <a:off x="259333" y="1003033"/>
                            <a:ext cx="4146550" cy="1270"/>
                          </a:xfrm>
                          <a:custGeom>
                            <a:avLst/>
                            <a:gdLst/>
                            <a:ahLst/>
                            <a:cxnLst/>
                            <a:rect l="l" t="t" r="r" b="b"/>
                            <a:pathLst>
                              <a:path w="4146550" h="635">
                                <a:moveTo>
                                  <a:pt x="0" y="0"/>
                                </a:moveTo>
                                <a:lnTo>
                                  <a:pt x="2073184" y="17"/>
                                </a:lnTo>
                                <a:lnTo>
                                  <a:pt x="4146369" y="48"/>
                                </a:lnTo>
                              </a:path>
                            </a:pathLst>
                          </a:custGeom>
                          <a:ln w="22292">
                            <a:solidFill>
                              <a:srgbClr val="2B5E8A"/>
                            </a:solidFill>
                            <a:prstDash val="solid"/>
                          </a:ln>
                        </wps:spPr>
                        <wps:bodyPr wrap="square" lIns="0" tIns="0" rIns="0" bIns="0" rtlCol="0">
                          <a:prstTxWarp prst="textNoShape">
                            <a:avLst/>
                          </a:prstTxWarp>
                          <a:noAutofit/>
                        </wps:bodyPr>
                      </wps:wsp>
                      <pic:pic>
                        <pic:nvPicPr>
                          <pic:cNvPr id="625" name="Image 625"/>
                          <pic:cNvPicPr/>
                        </pic:nvPicPr>
                        <pic:blipFill>
                          <a:blip r:embed="rId11" cstate="print"/>
                          <a:stretch>
                            <a:fillRect/>
                          </a:stretch>
                        </pic:blipFill>
                        <pic:spPr>
                          <a:xfrm>
                            <a:off x="207318" y="951017"/>
                            <a:ext cx="104030" cy="104030"/>
                          </a:xfrm>
                          <a:prstGeom prst="rect">
                            <a:avLst/>
                          </a:prstGeom>
                        </pic:spPr>
                      </pic:pic>
                      <pic:pic>
                        <pic:nvPicPr>
                          <pic:cNvPr id="626" name="Image 626"/>
                          <pic:cNvPicPr/>
                        </pic:nvPicPr>
                        <pic:blipFill>
                          <a:blip r:embed="rId15" cstate="print"/>
                          <a:stretch>
                            <a:fillRect/>
                          </a:stretch>
                        </pic:blipFill>
                        <pic:spPr>
                          <a:xfrm>
                            <a:off x="2280503" y="951035"/>
                            <a:ext cx="104030" cy="104030"/>
                          </a:xfrm>
                          <a:prstGeom prst="rect">
                            <a:avLst/>
                          </a:prstGeom>
                        </pic:spPr>
                      </pic:pic>
                      <pic:pic>
                        <pic:nvPicPr>
                          <pic:cNvPr id="627" name="Image 627"/>
                          <pic:cNvPicPr/>
                        </pic:nvPicPr>
                        <pic:blipFill>
                          <a:blip r:embed="rId16" cstate="print"/>
                          <a:stretch>
                            <a:fillRect/>
                          </a:stretch>
                        </pic:blipFill>
                        <pic:spPr>
                          <a:xfrm>
                            <a:off x="4353688" y="951065"/>
                            <a:ext cx="104030" cy="104030"/>
                          </a:xfrm>
                          <a:prstGeom prst="rect">
                            <a:avLst/>
                          </a:prstGeom>
                        </pic:spPr>
                      </pic:pic>
                      <wps:wsp>
                        <wps:cNvPr id="628" name="Graphic 628"/>
                        <wps:cNvSpPr/>
                        <wps:spPr>
                          <a:xfrm>
                            <a:off x="259333" y="2833879"/>
                            <a:ext cx="4146550" cy="3810"/>
                          </a:xfrm>
                          <a:custGeom>
                            <a:avLst/>
                            <a:gdLst/>
                            <a:ahLst/>
                            <a:cxnLst/>
                            <a:rect l="l" t="t" r="r" b="b"/>
                            <a:pathLst>
                              <a:path w="4146550" h="3810">
                                <a:moveTo>
                                  <a:pt x="0" y="3366"/>
                                </a:moveTo>
                                <a:lnTo>
                                  <a:pt x="2073184" y="2333"/>
                                </a:lnTo>
                                <a:lnTo>
                                  <a:pt x="4146369" y="0"/>
                                </a:lnTo>
                              </a:path>
                            </a:pathLst>
                          </a:custGeom>
                          <a:ln w="22292">
                            <a:solidFill>
                              <a:srgbClr val="A03B3B"/>
                            </a:solidFill>
                            <a:prstDash val="solid"/>
                          </a:ln>
                        </wps:spPr>
                        <wps:bodyPr wrap="square" lIns="0" tIns="0" rIns="0" bIns="0" rtlCol="0">
                          <a:prstTxWarp prst="textNoShape">
                            <a:avLst/>
                          </a:prstTxWarp>
                          <a:noAutofit/>
                        </wps:bodyPr>
                      </wps:wsp>
                      <wps:wsp>
                        <wps:cNvPr id="629" name="Graphic 629"/>
                        <wps:cNvSpPr/>
                        <wps:spPr>
                          <a:xfrm>
                            <a:off x="214749" y="2792661"/>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0" name="Graphic 630"/>
                        <wps:cNvSpPr/>
                        <wps:spPr>
                          <a:xfrm>
                            <a:off x="214749" y="2792661"/>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1" name="Graphic 631"/>
                        <wps:cNvSpPr/>
                        <wps:spPr>
                          <a:xfrm>
                            <a:off x="2287934" y="2791628"/>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2" name="Graphic 632"/>
                        <wps:cNvSpPr/>
                        <wps:spPr>
                          <a:xfrm>
                            <a:off x="2287934" y="2791628"/>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3" name="Graphic 633"/>
                        <wps:cNvSpPr/>
                        <wps:spPr>
                          <a:xfrm>
                            <a:off x="4361119" y="278929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34" name="Graphic 634"/>
                        <wps:cNvSpPr/>
                        <wps:spPr>
                          <a:xfrm>
                            <a:off x="4361119" y="278929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wps:wsp>
                        <wps:cNvPr id="635" name="Graphic 635"/>
                        <wps:cNvSpPr/>
                        <wps:spPr>
                          <a:xfrm>
                            <a:off x="259333" y="1109970"/>
                            <a:ext cx="4146550" cy="1270"/>
                          </a:xfrm>
                          <a:custGeom>
                            <a:avLst/>
                            <a:gdLst/>
                            <a:ahLst/>
                            <a:cxnLst/>
                            <a:rect l="l" t="t" r="r" b="b"/>
                            <a:pathLst>
                              <a:path w="4146550" h="635">
                                <a:moveTo>
                                  <a:pt x="0" y="16"/>
                                </a:moveTo>
                                <a:lnTo>
                                  <a:pt x="2073184" y="10"/>
                                </a:lnTo>
                                <a:lnTo>
                                  <a:pt x="4146369" y="0"/>
                                </a:lnTo>
                              </a:path>
                            </a:pathLst>
                          </a:custGeom>
                          <a:ln w="22292">
                            <a:solidFill>
                              <a:srgbClr val="5A8AB8"/>
                            </a:solidFill>
                            <a:prstDash val="sysDash"/>
                          </a:ln>
                        </wps:spPr>
                        <wps:bodyPr wrap="square" lIns="0" tIns="0" rIns="0" bIns="0" rtlCol="0">
                          <a:prstTxWarp prst="textNoShape">
                            <a:avLst/>
                          </a:prstTxWarp>
                          <a:noAutofit/>
                        </wps:bodyPr>
                      </wps:wsp>
                      <pic:pic>
                        <pic:nvPicPr>
                          <pic:cNvPr id="636" name="Image 636"/>
                          <pic:cNvPicPr/>
                        </pic:nvPicPr>
                        <pic:blipFill>
                          <a:blip r:embed="rId17" cstate="print"/>
                          <a:stretch>
                            <a:fillRect/>
                          </a:stretch>
                        </pic:blipFill>
                        <pic:spPr>
                          <a:xfrm>
                            <a:off x="207318" y="1057971"/>
                            <a:ext cx="104030" cy="104030"/>
                          </a:xfrm>
                          <a:prstGeom prst="rect">
                            <a:avLst/>
                          </a:prstGeom>
                        </pic:spPr>
                      </pic:pic>
                      <pic:pic>
                        <pic:nvPicPr>
                          <pic:cNvPr id="637" name="Image 637"/>
                          <pic:cNvPicPr/>
                        </pic:nvPicPr>
                        <pic:blipFill>
                          <a:blip r:embed="rId18" cstate="print"/>
                          <a:stretch>
                            <a:fillRect/>
                          </a:stretch>
                        </pic:blipFill>
                        <pic:spPr>
                          <a:xfrm>
                            <a:off x="2280503" y="1057964"/>
                            <a:ext cx="104030" cy="104030"/>
                          </a:xfrm>
                          <a:prstGeom prst="rect">
                            <a:avLst/>
                          </a:prstGeom>
                        </pic:spPr>
                      </pic:pic>
                      <pic:pic>
                        <pic:nvPicPr>
                          <pic:cNvPr id="638" name="Image 638"/>
                          <pic:cNvPicPr/>
                        </pic:nvPicPr>
                        <pic:blipFill>
                          <a:blip r:embed="rId18" cstate="print"/>
                          <a:stretch>
                            <a:fillRect/>
                          </a:stretch>
                        </pic:blipFill>
                        <pic:spPr>
                          <a:xfrm>
                            <a:off x="4353688" y="1057954"/>
                            <a:ext cx="104030" cy="104030"/>
                          </a:xfrm>
                          <a:prstGeom prst="rect">
                            <a:avLst/>
                          </a:prstGeom>
                        </pic:spPr>
                      </pic:pic>
                      <wps:wsp>
                        <wps:cNvPr id="639" name="Graphic 639"/>
                        <wps:cNvSpPr/>
                        <wps:spPr>
                          <a:xfrm>
                            <a:off x="259333" y="140768"/>
                            <a:ext cx="4146550" cy="27305"/>
                          </a:xfrm>
                          <a:custGeom>
                            <a:avLst/>
                            <a:gdLst/>
                            <a:ahLst/>
                            <a:cxnLst/>
                            <a:rect l="l" t="t" r="r" b="b"/>
                            <a:pathLst>
                              <a:path w="4146550" h="27305">
                                <a:moveTo>
                                  <a:pt x="0" y="27130"/>
                                </a:moveTo>
                                <a:lnTo>
                                  <a:pt x="2073184" y="12692"/>
                                </a:lnTo>
                                <a:lnTo>
                                  <a:pt x="4146369" y="0"/>
                                </a:lnTo>
                              </a:path>
                            </a:pathLst>
                          </a:custGeom>
                          <a:ln w="22292">
                            <a:solidFill>
                              <a:srgbClr val="C05F5F"/>
                            </a:solidFill>
                            <a:prstDash val="sysDash"/>
                          </a:ln>
                        </wps:spPr>
                        <wps:bodyPr wrap="square" lIns="0" tIns="0" rIns="0" bIns="0" rtlCol="0">
                          <a:prstTxWarp prst="textNoShape">
                            <a:avLst/>
                          </a:prstTxWarp>
                          <a:noAutofit/>
                        </wps:bodyPr>
                      </wps:wsp>
                      <wps:wsp>
                        <wps:cNvPr id="640" name="Graphic 640"/>
                        <wps:cNvSpPr/>
                        <wps:spPr>
                          <a:xfrm>
                            <a:off x="214749" y="123314"/>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1" name="Graphic 641"/>
                        <wps:cNvSpPr/>
                        <wps:spPr>
                          <a:xfrm>
                            <a:off x="214749" y="123314"/>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2" name="Graphic 642"/>
                        <wps:cNvSpPr/>
                        <wps:spPr>
                          <a:xfrm>
                            <a:off x="2287934" y="108876"/>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3" name="Graphic 643"/>
                        <wps:cNvSpPr/>
                        <wps:spPr>
                          <a:xfrm>
                            <a:off x="2287934" y="108876"/>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4" name="Graphic 644"/>
                        <wps:cNvSpPr/>
                        <wps:spPr>
                          <a:xfrm>
                            <a:off x="4361119" y="96183"/>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45" name="Graphic 645"/>
                        <wps:cNvSpPr/>
                        <wps:spPr>
                          <a:xfrm>
                            <a:off x="4361119" y="96183"/>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46" name="Graphic 646"/>
                        <wps:cNvSpPr/>
                        <wps:spPr>
                          <a:xfrm>
                            <a:off x="52015" y="5944"/>
                            <a:ext cx="4561205" cy="2966720"/>
                          </a:xfrm>
                          <a:custGeom>
                            <a:avLst/>
                            <a:gdLst/>
                            <a:ahLst/>
                            <a:cxnLst/>
                            <a:rect l="l" t="t" r="r" b="b"/>
                            <a:pathLst>
                              <a:path w="4561205" h="2966720">
                                <a:moveTo>
                                  <a:pt x="0" y="2966125"/>
                                </a:moveTo>
                                <a:lnTo>
                                  <a:pt x="0" y="0"/>
                                </a:lnTo>
                              </a:path>
                              <a:path w="4561205" h="2966720">
                                <a:moveTo>
                                  <a:pt x="4561006" y="2966125"/>
                                </a:moveTo>
                                <a:lnTo>
                                  <a:pt x="4561006" y="0"/>
                                </a:lnTo>
                              </a:path>
                              <a:path w="4561205" h="2966720">
                                <a:moveTo>
                                  <a:pt x="0" y="2966125"/>
                                </a:moveTo>
                                <a:lnTo>
                                  <a:pt x="4561006" y="2966125"/>
                                </a:lnTo>
                              </a:path>
                              <a:path w="4561205" h="2966720">
                                <a:moveTo>
                                  <a:pt x="0" y="0"/>
                                </a:moveTo>
                                <a:lnTo>
                                  <a:pt x="4561006" y="0"/>
                                </a:lnTo>
                              </a:path>
                            </a:pathLst>
                          </a:custGeom>
                          <a:ln w="11889">
                            <a:solidFill>
                              <a:srgbClr val="000000"/>
                            </a:solidFill>
                            <a:prstDash val="solid"/>
                          </a:ln>
                        </wps:spPr>
                        <wps:bodyPr wrap="square" lIns="0" tIns="0" rIns="0" bIns="0" rtlCol="0">
                          <a:prstTxWarp prst="textNoShape">
                            <a:avLst/>
                          </a:prstTxWarp>
                          <a:noAutofit/>
                        </wps:bodyPr>
                      </wps:wsp>
                      <pic:pic>
                        <pic:nvPicPr>
                          <pic:cNvPr id="647" name="Image 647"/>
                          <pic:cNvPicPr/>
                        </pic:nvPicPr>
                        <pic:blipFill>
                          <a:blip r:embed="rId19" cstate="print"/>
                          <a:stretch>
                            <a:fillRect/>
                          </a:stretch>
                        </pic:blipFill>
                        <pic:spPr>
                          <a:xfrm>
                            <a:off x="3247292" y="1158756"/>
                            <a:ext cx="237784" cy="104030"/>
                          </a:xfrm>
                          <a:prstGeom prst="rect">
                            <a:avLst/>
                          </a:prstGeom>
                        </pic:spPr>
                      </pic:pic>
                      <wps:wsp>
                        <wps:cNvPr id="648" name="Graphic 648"/>
                        <wps:cNvSpPr/>
                        <wps:spPr>
                          <a:xfrm>
                            <a:off x="3247292" y="1389109"/>
                            <a:ext cx="238125" cy="1270"/>
                          </a:xfrm>
                          <a:custGeom>
                            <a:avLst/>
                            <a:gdLst/>
                            <a:ahLst/>
                            <a:cxnLst/>
                            <a:rect l="l" t="t" r="r" b="b"/>
                            <a:pathLst>
                              <a:path w="238125" h="0">
                                <a:moveTo>
                                  <a:pt x="0" y="0"/>
                                </a:moveTo>
                                <a:lnTo>
                                  <a:pt x="118892" y="0"/>
                                </a:lnTo>
                                <a:lnTo>
                                  <a:pt x="237784" y="0"/>
                                </a:lnTo>
                              </a:path>
                            </a:pathLst>
                          </a:custGeom>
                          <a:ln w="22292">
                            <a:solidFill>
                              <a:srgbClr val="A03B3B"/>
                            </a:solidFill>
                            <a:prstDash val="solid"/>
                          </a:ln>
                        </wps:spPr>
                        <wps:bodyPr wrap="square" lIns="0" tIns="0" rIns="0" bIns="0" rtlCol="0">
                          <a:prstTxWarp prst="textNoShape">
                            <a:avLst/>
                          </a:prstTxWarp>
                          <a:noAutofit/>
                        </wps:bodyPr>
                      </wps:wsp>
                      <wps:wsp>
                        <wps:cNvPr id="649" name="Graphic 649"/>
                        <wps:cNvSpPr/>
                        <wps:spPr>
                          <a:xfrm>
                            <a:off x="3321600" y="1344525"/>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A03B3B"/>
                          </a:solidFill>
                        </wps:spPr>
                        <wps:bodyPr wrap="square" lIns="0" tIns="0" rIns="0" bIns="0" rtlCol="0">
                          <a:prstTxWarp prst="textNoShape">
                            <a:avLst/>
                          </a:prstTxWarp>
                          <a:noAutofit/>
                        </wps:bodyPr>
                      </wps:wsp>
                      <wps:wsp>
                        <wps:cNvPr id="650" name="Graphic 650"/>
                        <wps:cNvSpPr/>
                        <wps:spPr>
                          <a:xfrm>
                            <a:off x="3321600" y="1344525"/>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A03B3B"/>
                            </a:solidFill>
                            <a:prstDash val="solid"/>
                          </a:ln>
                        </wps:spPr>
                        <wps:bodyPr wrap="square" lIns="0" tIns="0" rIns="0" bIns="0" rtlCol="0">
                          <a:prstTxWarp prst="textNoShape">
                            <a:avLst/>
                          </a:prstTxWarp>
                          <a:noAutofit/>
                        </wps:bodyPr>
                      </wps:wsp>
                      <pic:pic>
                        <pic:nvPicPr>
                          <pic:cNvPr id="651" name="Image 651"/>
                          <pic:cNvPicPr/>
                        </pic:nvPicPr>
                        <pic:blipFill>
                          <a:blip r:embed="rId20" cstate="print"/>
                          <a:stretch>
                            <a:fillRect/>
                          </a:stretch>
                        </pic:blipFill>
                        <pic:spPr>
                          <a:xfrm>
                            <a:off x="3247292" y="1515433"/>
                            <a:ext cx="237784" cy="104030"/>
                          </a:xfrm>
                          <a:prstGeom prst="rect">
                            <a:avLst/>
                          </a:prstGeom>
                        </pic:spPr>
                      </pic:pic>
                      <wps:wsp>
                        <wps:cNvPr id="652" name="Graphic 652"/>
                        <wps:cNvSpPr/>
                        <wps:spPr>
                          <a:xfrm>
                            <a:off x="3247292" y="1745787"/>
                            <a:ext cx="238125" cy="1270"/>
                          </a:xfrm>
                          <a:custGeom>
                            <a:avLst/>
                            <a:gdLst/>
                            <a:ahLst/>
                            <a:cxnLst/>
                            <a:rect l="l" t="t" r="r" b="b"/>
                            <a:pathLst>
                              <a:path w="238125" h="0">
                                <a:moveTo>
                                  <a:pt x="0" y="0"/>
                                </a:moveTo>
                                <a:lnTo>
                                  <a:pt x="118892" y="0"/>
                                </a:lnTo>
                                <a:lnTo>
                                  <a:pt x="237784" y="0"/>
                                </a:lnTo>
                              </a:path>
                            </a:pathLst>
                          </a:custGeom>
                          <a:ln w="22292">
                            <a:solidFill>
                              <a:srgbClr val="C05F5F"/>
                            </a:solidFill>
                            <a:prstDash val="sysDash"/>
                          </a:ln>
                        </wps:spPr>
                        <wps:bodyPr wrap="square" lIns="0" tIns="0" rIns="0" bIns="0" rtlCol="0">
                          <a:prstTxWarp prst="textNoShape">
                            <a:avLst/>
                          </a:prstTxWarp>
                          <a:noAutofit/>
                        </wps:bodyPr>
                      </wps:wsp>
                      <wps:wsp>
                        <wps:cNvPr id="653" name="Graphic 653"/>
                        <wps:cNvSpPr/>
                        <wps:spPr>
                          <a:xfrm>
                            <a:off x="3321600" y="1701202"/>
                            <a:ext cx="89535" cy="89535"/>
                          </a:xfrm>
                          <a:custGeom>
                            <a:avLst/>
                            <a:gdLst/>
                            <a:ahLst/>
                            <a:cxnLst/>
                            <a:rect l="l" t="t" r="r" b="b"/>
                            <a:pathLst>
                              <a:path w="89535" h="89535">
                                <a:moveTo>
                                  <a:pt x="89169" y="0"/>
                                </a:moveTo>
                                <a:lnTo>
                                  <a:pt x="0" y="0"/>
                                </a:lnTo>
                                <a:lnTo>
                                  <a:pt x="0" y="89169"/>
                                </a:lnTo>
                                <a:lnTo>
                                  <a:pt x="89169" y="89169"/>
                                </a:lnTo>
                                <a:lnTo>
                                  <a:pt x="89169" y="0"/>
                                </a:lnTo>
                                <a:close/>
                              </a:path>
                            </a:pathLst>
                          </a:custGeom>
                          <a:solidFill>
                            <a:srgbClr val="C05F5F"/>
                          </a:solidFill>
                        </wps:spPr>
                        <wps:bodyPr wrap="square" lIns="0" tIns="0" rIns="0" bIns="0" rtlCol="0">
                          <a:prstTxWarp prst="textNoShape">
                            <a:avLst/>
                          </a:prstTxWarp>
                          <a:noAutofit/>
                        </wps:bodyPr>
                      </wps:wsp>
                      <wps:wsp>
                        <wps:cNvPr id="654" name="Graphic 654"/>
                        <wps:cNvSpPr/>
                        <wps:spPr>
                          <a:xfrm>
                            <a:off x="3321600" y="1701202"/>
                            <a:ext cx="89535" cy="89535"/>
                          </a:xfrm>
                          <a:custGeom>
                            <a:avLst/>
                            <a:gdLst/>
                            <a:ahLst/>
                            <a:cxnLst/>
                            <a:rect l="l" t="t" r="r" b="b"/>
                            <a:pathLst>
                              <a:path w="89535" h="89535">
                                <a:moveTo>
                                  <a:pt x="0" y="89169"/>
                                </a:moveTo>
                                <a:lnTo>
                                  <a:pt x="89169" y="89169"/>
                                </a:lnTo>
                                <a:lnTo>
                                  <a:pt x="89169" y="0"/>
                                </a:lnTo>
                                <a:lnTo>
                                  <a:pt x="0" y="0"/>
                                </a:lnTo>
                                <a:lnTo>
                                  <a:pt x="0" y="89169"/>
                                </a:lnTo>
                                <a:close/>
                              </a:path>
                            </a:pathLst>
                          </a:custGeom>
                          <a:ln w="14861">
                            <a:solidFill>
                              <a:srgbClr val="C05F5F"/>
                            </a:solidFill>
                            <a:prstDash val="solid"/>
                          </a:ln>
                        </wps:spPr>
                        <wps:bodyPr wrap="square" lIns="0" tIns="0" rIns="0" bIns="0" rtlCol="0">
                          <a:prstTxWarp prst="textNoShape">
                            <a:avLst/>
                          </a:prstTxWarp>
                          <a:noAutofit/>
                        </wps:bodyPr>
                      </wps:wsp>
                      <wps:wsp>
                        <wps:cNvPr id="655" name="Textbox 655"/>
                        <wps:cNvSpPr txBox="1"/>
                        <wps:spPr>
                          <a:xfrm>
                            <a:off x="0" y="0"/>
                            <a:ext cx="4618990" cy="302450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15"/>
                                <w:rPr>
                                  <w:sz w:val="18"/>
                                </w:rPr>
                              </w:pPr>
                            </w:p>
                            <w:p>
                              <w:pPr>
                                <w:spacing w:line="278" w:lineRule="auto" w:before="0"/>
                                <w:ind w:left="5638" w:right="175" w:firstLine="0"/>
                                <w:jc w:val="left"/>
                                <w:rPr>
                                  <w:rFonts w:ascii="Verdana"/>
                                  <w:sz w:val="20"/>
                                </w:rPr>
                              </w:pPr>
                              <w:r>
                                <w:rPr>
                                  <w:rFonts w:ascii="Verdana"/>
                                  <w:w w:val="105"/>
                                  <w:sz w:val="20"/>
                                </w:rPr>
                                <w:t>ER</w:t>
                              </w:r>
                              <w:r>
                                <w:rPr>
                                  <w:rFonts w:ascii="Verdana"/>
                                  <w:spacing w:val="-32"/>
                                  <w:w w:val="105"/>
                                  <w:sz w:val="20"/>
                                </w:rPr>
                                <w:t> </w:t>
                              </w:r>
                              <w:r>
                                <w:rPr>
                                  <w:rFonts w:ascii="Verdana"/>
                                  <w:w w:val="105"/>
                                  <w:sz w:val="20"/>
                                </w:rPr>
                                <w:t>allowance </w:t>
                              </w:r>
                              <w:r>
                                <w:rPr>
                                  <w:rFonts w:ascii="Verdana"/>
                                  <w:spacing w:val="-4"/>
                                  <w:sz w:val="20"/>
                                </w:rPr>
                                <w:t>AWP</w:t>
                              </w:r>
                              <w:r>
                                <w:rPr>
                                  <w:rFonts w:ascii="Verdana"/>
                                  <w:spacing w:val="-15"/>
                                  <w:sz w:val="20"/>
                                </w:rPr>
                                <w:t> </w:t>
                              </w:r>
                              <w:r>
                                <w:rPr>
                                  <w:rFonts w:ascii="Verdana"/>
                                  <w:spacing w:val="-4"/>
                                  <w:sz w:val="20"/>
                                </w:rPr>
                                <w:t>allowance </w:t>
                              </w:r>
                              <w:r>
                                <w:rPr>
                                  <w:rFonts w:ascii="Verdana"/>
                                  <w:w w:val="105"/>
                                  <w:sz w:val="20"/>
                                </w:rPr>
                                <w:t>ER</w:t>
                              </w:r>
                              <w:r>
                                <w:rPr>
                                  <w:rFonts w:ascii="Verdana"/>
                                  <w:spacing w:val="-32"/>
                                  <w:w w:val="105"/>
                                  <w:sz w:val="20"/>
                                </w:rPr>
                                <w:t> </w:t>
                              </w:r>
                              <w:r>
                                <w:rPr>
                                  <w:rFonts w:ascii="Verdana"/>
                                  <w:w w:val="105"/>
                                  <w:sz w:val="20"/>
                                </w:rPr>
                                <w:t>transfer AWP</w:t>
                              </w:r>
                              <w:r>
                                <w:rPr>
                                  <w:rFonts w:ascii="Verdana"/>
                                  <w:spacing w:val="-4"/>
                                  <w:w w:val="105"/>
                                  <w:sz w:val="20"/>
                                </w:rPr>
                                <w:t> </w:t>
                              </w:r>
                              <w:r>
                                <w:rPr>
                                  <w:rFonts w:ascii="Verdana"/>
                                  <w:w w:val="105"/>
                                  <w:sz w:val="20"/>
                                </w:rPr>
                                <w:t>transfer</w:t>
                              </w:r>
                            </w:p>
                          </w:txbxContent>
                        </wps:txbx>
                        <wps:bodyPr wrap="square" lIns="0" tIns="0" rIns="0" bIns="0" rtlCol="0">
                          <a:noAutofit/>
                        </wps:bodyPr>
                      </wps:wsp>
                    </wpg:wgp>
                  </a:graphicData>
                </a:graphic>
              </wp:anchor>
            </w:drawing>
          </mc:Choice>
          <mc:Fallback>
            <w:pict>
              <v:group style="position:absolute;margin-left:136.534531pt;margin-top:-16.586668pt;width:363.7pt;height:238.15pt;mso-position-horizontal-relative:page;mso-position-vertical-relative:paragraph;z-index:15774720" id="docshapegroup409" coordorigin="2731,-332" coordsize="7274,4763">
                <v:shape style="position:absolute;left:3139;top:-323;width:2;height:4672" id="docshape410" coordorigin="3139,-322" coordsize="0,4672" path="m3139,3l3139,4066m3139,4207l3139,4349m3139,-322l3139,-138e" filled="false" stroked="true" strokeweight=".93616pt" strokecolor="#afafaf">
                  <v:path arrowok="t"/>
                  <v:stroke dashstyle="solid"/>
                </v:shape>
                <v:shape style="position:absolute;left:3139;top:4348;width:2;height:82" id="docshape411" coordorigin="3139,4349" coordsize="0,82" path="m3139,4349l3139,4431e" filled="true" fillcolor="#000000" stroked="false">
                  <v:path arrowok="t"/>
                  <v:fill type="solid"/>
                </v:shape>
                <v:line style="position:absolute" from="3139,4349" to="3139,4431" stroked="true" strokeweight=".93616pt" strokecolor="#000000">
                  <v:stroke dashstyle="solid"/>
                </v:line>
                <v:shape style="position:absolute;left:6403;top:-323;width:2;height:4672" id="docshape412" coordorigin="6404,-322" coordsize="0,4672" path="m6404,-322l6404,-160m6404,-20l6404,4065m6404,4205l6404,4349e" filled="false" stroked="true" strokeweight=".93616pt" strokecolor="#afafaf">
                  <v:path arrowok="t"/>
                  <v:stroke dashstyle="solid"/>
                </v:shape>
                <v:shape style="position:absolute;left:6403;top:4348;width:2;height:82" id="docshape413" coordorigin="6404,4349" coordsize="0,82" path="m6404,4349l6404,4431e" filled="true" fillcolor="#000000" stroked="false">
                  <v:path arrowok="t"/>
                  <v:fill type="solid"/>
                </v:shape>
                <v:line style="position:absolute" from="6404,4349" to="6404,4431" stroked="true" strokeweight=".93616pt" strokecolor="#000000">
                  <v:stroke dashstyle="solid"/>
                </v:line>
                <v:shape style="position:absolute;left:9668;top:-323;width:2;height:4672" id="docshape414" coordorigin="9669,-322" coordsize="0,4672" path="m9669,-322l9669,-180m9669,4201l9669,4349m9669,-40l9669,4061e" filled="false" stroked="true" strokeweight=".93616pt" strokecolor="#afafaf">
                  <v:path arrowok="t"/>
                  <v:stroke dashstyle="solid"/>
                </v:shape>
                <v:shape style="position:absolute;left:9668;top:4348;width:2;height:82" id="docshape415" coordorigin="9669,4349" coordsize="0,82" path="m9669,4349l9669,4431e" filled="true" fillcolor="#000000" stroked="false">
                  <v:path arrowok="t"/>
                  <v:fill type="solid"/>
                </v:shape>
                <v:line style="position:absolute" from="9669,4349" to="9669,4431" stroked="true" strokeweight=".93616pt" strokecolor="#000000">
                  <v:stroke dashstyle="solid"/>
                </v:line>
                <v:line style="position:absolute" from="2813,3908" to="9995,3908" stroked="true" strokeweight=".93616pt" strokecolor="#afafaf">
                  <v:stroke dashstyle="solid"/>
                </v:line>
                <v:shape style="position:absolute;left:2730;top:3907;width:82;height:2" id="docshape416" coordorigin="2731,3908" coordsize="82,0" path="m2813,3908l2731,3908e" filled="true" fillcolor="#000000" stroked="false">
                  <v:path arrowok="t"/>
                  <v:fill type="solid"/>
                </v:shape>
                <v:line style="position:absolute" from="2813,3908" to="2731,3908" stroked="true" strokeweight=".93616pt" strokecolor="#000000">
                  <v:stroke dashstyle="solid"/>
                </v:line>
                <v:line style="position:absolute" from="2813,3159" to="9995,3159" stroked="true" strokeweight=".93616pt" strokecolor="#afafaf">
                  <v:stroke dashstyle="solid"/>
                </v:line>
                <v:shape style="position:absolute;left:2730;top:3158;width:82;height:2" id="docshape417" coordorigin="2731,3159" coordsize="82,0" path="m2813,3159l2731,3159e" filled="true" fillcolor="#000000" stroked="false">
                  <v:path arrowok="t"/>
                  <v:fill type="solid"/>
                </v:shape>
                <v:line style="position:absolute" from="2813,3159" to="2731,3159" stroked="true" strokeweight=".93616pt" strokecolor="#000000">
                  <v:stroke dashstyle="solid"/>
                </v:line>
                <v:shape style="position:absolute;left:2812;top:2409;width:7183;height:2" id="docshape418" coordorigin="2813,2410" coordsize="7183,0" path="m2813,2410l7962,2410m8102,2410l9995,2410e" filled="false" stroked="true" strokeweight=".93616pt" strokecolor="#afafaf">
                  <v:path arrowok="t"/>
                  <v:stroke dashstyle="solid"/>
                </v:shape>
                <v:shape style="position:absolute;left:2730;top:2409;width:82;height:2" id="docshape419" coordorigin="2731,2410" coordsize="82,0" path="m2813,2410l2731,2410e" filled="true" fillcolor="#000000" stroked="false">
                  <v:path arrowok="t"/>
                  <v:fill type="solid"/>
                </v:shape>
                <v:line style="position:absolute" from="2813,2410" to="2731,2410" stroked="true" strokeweight=".93616pt" strokecolor="#000000">
                  <v:stroke dashstyle="solid"/>
                </v:line>
                <v:line style="position:absolute" from="2813,1661" to="9995,1661" stroked="true" strokeweight=".93616pt" strokecolor="#afafaf">
                  <v:stroke dashstyle="solid"/>
                </v:line>
                <v:shape style="position:absolute;left:2730;top:1660;width:82;height:2" id="docshape420" coordorigin="2731,1661" coordsize="82,0" path="m2813,1661l2731,1661e" filled="true" fillcolor="#000000" stroked="false">
                  <v:path arrowok="t"/>
                  <v:fill type="solid"/>
                </v:shape>
                <v:line style="position:absolute" from="2813,1661" to="2731,1661" stroked="true" strokeweight=".93616pt" strokecolor="#000000">
                  <v:stroke dashstyle="solid"/>
                </v:line>
                <v:line style="position:absolute" from="2813,912" to="9995,912" stroked="true" strokeweight=".93616pt" strokecolor="#afafaf">
                  <v:stroke dashstyle="solid"/>
                </v:line>
                <v:shape style="position:absolute;left:2730;top:911;width:82;height:2" id="docshape421" coordorigin="2731,912" coordsize="82,0" path="m2813,912l2731,912e" filled="true" fillcolor="#000000" stroked="false">
                  <v:path arrowok="t"/>
                  <v:fill type="solid"/>
                </v:shape>
                <v:line style="position:absolute" from="2813,912" to="2731,912" stroked="true" strokeweight=".93616pt" strokecolor="#000000">
                  <v:stroke dashstyle="solid"/>
                </v:line>
                <v:line style="position:absolute" from="2813,163" to="9995,163" stroked="true" strokeweight=".93616pt" strokecolor="#afafaf">
                  <v:stroke dashstyle="solid"/>
                </v:line>
                <v:shape style="position:absolute;left:2730;top:162;width:82;height:2" id="docshape422" coordorigin="2731,163" coordsize="82,0" path="m2813,163l2731,163e" filled="true" fillcolor="#000000" stroked="false">
                  <v:path arrowok="t"/>
                  <v:fill type="solid"/>
                </v:shape>
                <v:line style="position:absolute" from="2813,163" to="2731,163" stroked="true" strokeweight=".93616pt" strokecolor="#000000">
                  <v:stroke dashstyle="solid"/>
                </v:line>
                <v:shape style="position:absolute;left:3139;top:1247;width:6530;height:2" id="docshape423" coordorigin="3139,1248" coordsize="6530,1" path="m3139,1248l6404,1248,9669,1248e" filled="false" stroked="true" strokeweight="1.7553pt" strokecolor="#2b5e8a">
                  <v:path arrowok="t"/>
                  <v:stroke dashstyle="solid"/>
                </v:shape>
                <v:shape style="position:absolute;left:3057;top:1165;width:164;height:164" type="#_x0000_t75" id="docshape424" stroked="false">
                  <v:imagedata r:id="rId11" o:title=""/>
                </v:shape>
                <v:shape style="position:absolute;left:6322;top:1165;width:164;height:164" type="#_x0000_t75" id="docshape425" stroked="false">
                  <v:imagedata r:id="rId15" o:title=""/>
                </v:shape>
                <v:shape style="position:absolute;left:9586;top:1166;width:164;height:164" type="#_x0000_t75" id="docshape426" stroked="false">
                  <v:imagedata r:id="rId16" o:title=""/>
                </v:shape>
                <v:shape style="position:absolute;left:3139;top:4131;width:6530;height:6" id="docshape427" coordorigin="3139,4131" coordsize="6530,6" path="m3139,4136l6404,4135,9669,4131e" filled="false" stroked="true" strokeweight="1.7553pt" strokecolor="#a03b3b">
                  <v:path arrowok="t"/>
                  <v:stroke dashstyle="solid"/>
                </v:shape>
                <v:rect style="position:absolute;left:3068;top:4066;width:141;height:141" id="docshape428" filled="true" fillcolor="#a03b3b" stroked="false">
                  <v:fill type="solid"/>
                </v:rect>
                <v:rect style="position:absolute;left:3068;top:4066;width:141;height:141" id="docshape429" filled="false" stroked="true" strokeweight="1.170200pt" strokecolor="#a03b3b">
                  <v:stroke dashstyle="solid"/>
                </v:rect>
                <v:rect style="position:absolute;left:6333;top:4064;width:141;height:141" id="docshape430" filled="true" fillcolor="#a03b3b" stroked="false">
                  <v:fill type="solid"/>
                </v:rect>
                <v:rect style="position:absolute;left:6333;top:4064;width:141;height:141" id="docshape431" filled="false" stroked="true" strokeweight="1.170200pt" strokecolor="#a03b3b">
                  <v:stroke dashstyle="solid"/>
                </v:rect>
                <v:rect style="position:absolute;left:9598;top:4060;width:141;height:141" id="docshape432" filled="true" fillcolor="#a03b3b" stroked="false">
                  <v:fill type="solid"/>
                </v:rect>
                <v:rect style="position:absolute;left:9598;top:4060;width:141;height:141" id="docshape433" filled="false" stroked="true" strokeweight="1.170200pt" strokecolor="#a03b3b">
                  <v:stroke dashstyle="solid"/>
                </v:rect>
                <v:shape style="position:absolute;left:3139;top:1416;width:6530;height:2" id="docshape434" coordorigin="3139,1416" coordsize="6530,1" path="m3139,1416l6404,1416,9669,1416e" filled="false" stroked="true" strokeweight="1.7553pt" strokecolor="#5a8ab8">
                  <v:path arrowok="t"/>
                  <v:stroke dashstyle="shortdash"/>
                </v:shape>
                <v:shape style="position:absolute;left:3057;top:1334;width:164;height:164" type="#_x0000_t75" id="docshape435" stroked="false">
                  <v:imagedata r:id="rId17" o:title=""/>
                </v:shape>
                <v:shape style="position:absolute;left:6322;top:1334;width:164;height:164" type="#_x0000_t75" id="docshape436" stroked="false">
                  <v:imagedata r:id="rId18" o:title=""/>
                </v:shape>
                <v:shape style="position:absolute;left:9586;top:1334;width:164;height:164" type="#_x0000_t75" id="docshape437" stroked="false">
                  <v:imagedata r:id="rId18" o:title=""/>
                </v:shape>
                <v:shape style="position:absolute;left:3139;top:-111;width:6530;height:43" id="docshape438" coordorigin="3139,-110" coordsize="6530,43" path="m3139,-67l6404,-90,9669,-110e" filled="false" stroked="true" strokeweight="1.7553pt" strokecolor="#c05f5f">
                  <v:path arrowok="t"/>
                  <v:stroke dashstyle="shortdash"/>
                </v:shape>
                <v:rect style="position:absolute;left:3068;top:-138;width:141;height:141" id="docshape439" filled="true" fillcolor="#c05f5f" stroked="false">
                  <v:fill type="solid"/>
                </v:rect>
                <v:rect style="position:absolute;left:3068;top:-138;width:141;height:141" id="docshape440" filled="false" stroked="true" strokeweight="1.170200pt" strokecolor="#c05f5f">
                  <v:stroke dashstyle="solid"/>
                </v:rect>
                <v:rect style="position:absolute;left:6333;top:-161;width:141;height:141" id="docshape441" filled="true" fillcolor="#c05f5f" stroked="false">
                  <v:fill type="solid"/>
                </v:rect>
                <v:rect style="position:absolute;left:6333;top:-161;width:141;height:141" id="docshape442" filled="false" stroked="true" strokeweight="1.170200pt" strokecolor="#c05f5f">
                  <v:stroke dashstyle="solid"/>
                </v:rect>
                <v:rect style="position:absolute;left:9598;top:-181;width:141;height:141" id="docshape443" filled="true" fillcolor="#c05f5f" stroked="false">
                  <v:fill type="solid"/>
                </v:rect>
                <v:rect style="position:absolute;left:9598;top:-181;width:141;height:141" id="docshape444" filled="false" stroked="true" strokeweight="1.170200pt" strokecolor="#c05f5f">
                  <v:stroke dashstyle="solid"/>
                </v:rect>
                <v:shape style="position:absolute;left:2812;top:-323;width:7183;height:4672" id="docshape445" coordorigin="2813,-322" coordsize="7183,4672" path="m2813,4349l2813,-322m9995,4349l9995,-322m2813,4349l9995,4349m2813,-322l9995,-322e" filled="false" stroked="true" strokeweight=".93616pt" strokecolor="#000000">
                  <v:path arrowok="t"/>
                  <v:stroke dashstyle="solid"/>
                </v:shape>
                <v:shape style="position:absolute;left:7844;top:1493;width:375;height:164" type="#_x0000_t75" id="docshape446" stroked="false">
                  <v:imagedata r:id="rId19" o:title=""/>
                </v:shape>
                <v:shape style="position:absolute;left:7844;top:1855;width:375;height:2" id="docshape447" coordorigin="7845,1856" coordsize="375,0" path="m7845,1856l8032,1856,8219,1856e" filled="false" stroked="true" strokeweight="1.7553pt" strokecolor="#a03b3b">
                  <v:path arrowok="t"/>
                  <v:stroke dashstyle="solid"/>
                </v:shape>
                <v:rect style="position:absolute;left:7961;top:1785;width:141;height:141" id="docshape448" filled="true" fillcolor="#a03b3b" stroked="false">
                  <v:fill type="solid"/>
                </v:rect>
                <v:rect style="position:absolute;left:7961;top:1785;width:141;height:141" id="docshape449" filled="false" stroked="true" strokeweight="1.170200pt" strokecolor="#a03b3b">
                  <v:stroke dashstyle="solid"/>
                </v:rect>
                <v:shape style="position:absolute;left:7844;top:2054;width:375;height:164" type="#_x0000_t75" id="docshape450" stroked="false">
                  <v:imagedata r:id="rId20" o:title=""/>
                </v:shape>
                <v:shape style="position:absolute;left:7844;top:2417;width:375;height:2" id="docshape451" coordorigin="7845,2418" coordsize="375,0" path="m7845,2418l8032,2418,8219,2418e" filled="false" stroked="true" strokeweight="1.7553pt" strokecolor="#c05f5f">
                  <v:path arrowok="t"/>
                  <v:stroke dashstyle="shortdash"/>
                </v:shape>
                <v:rect style="position:absolute;left:7961;top:2347;width:141;height:141" id="docshape452" filled="true" fillcolor="#c05f5f" stroked="false">
                  <v:fill type="solid"/>
                </v:rect>
                <v:rect style="position:absolute;left:7961;top:2347;width:141;height:141" id="docshape453" filled="false" stroked="true" strokeweight="1.170200pt" strokecolor="#c05f5f">
                  <v:stroke dashstyle="solid"/>
                </v:rect>
                <v:shape style="position:absolute;left:2730;top:-332;width:7274;height:4763" type="#_x0000_t202" id="docshape454"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115"/>
                          <w:rPr>
                            <w:sz w:val="18"/>
                          </w:rPr>
                        </w:pPr>
                      </w:p>
                      <w:p>
                        <w:pPr>
                          <w:spacing w:line="278" w:lineRule="auto" w:before="0"/>
                          <w:ind w:left="5638" w:right="175" w:firstLine="0"/>
                          <w:jc w:val="left"/>
                          <w:rPr>
                            <w:rFonts w:ascii="Verdana"/>
                            <w:sz w:val="20"/>
                          </w:rPr>
                        </w:pPr>
                        <w:r>
                          <w:rPr>
                            <w:rFonts w:ascii="Verdana"/>
                            <w:w w:val="105"/>
                            <w:sz w:val="20"/>
                          </w:rPr>
                          <w:t>ER</w:t>
                        </w:r>
                        <w:r>
                          <w:rPr>
                            <w:rFonts w:ascii="Verdana"/>
                            <w:spacing w:val="-32"/>
                            <w:w w:val="105"/>
                            <w:sz w:val="20"/>
                          </w:rPr>
                          <w:t> </w:t>
                        </w:r>
                        <w:r>
                          <w:rPr>
                            <w:rFonts w:ascii="Verdana"/>
                            <w:w w:val="105"/>
                            <w:sz w:val="20"/>
                          </w:rPr>
                          <w:t>allowance </w:t>
                        </w:r>
                        <w:r>
                          <w:rPr>
                            <w:rFonts w:ascii="Verdana"/>
                            <w:spacing w:val="-4"/>
                            <w:sz w:val="20"/>
                          </w:rPr>
                          <w:t>AWP</w:t>
                        </w:r>
                        <w:r>
                          <w:rPr>
                            <w:rFonts w:ascii="Verdana"/>
                            <w:spacing w:val="-15"/>
                            <w:sz w:val="20"/>
                          </w:rPr>
                          <w:t> </w:t>
                        </w:r>
                        <w:r>
                          <w:rPr>
                            <w:rFonts w:ascii="Verdana"/>
                            <w:spacing w:val="-4"/>
                            <w:sz w:val="20"/>
                          </w:rPr>
                          <w:t>allowance </w:t>
                        </w:r>
                        <w:r>
                          <w:rPr>
                            <w:rFonts w:ascii="Verdana"/>
                            <w:w w:val="105"/>
                            <w:sz w:val="20"/>
                          </w:rPr>
                          <w:t>ER</w:t>
                        </w:r>
                        <w:r>
                          <w:rPr>
                            <w:rFonts w:ascii="Verdana"/>
                            <w:spacing w:val="-32"/>
                            <w:w w:val="105"/>
                            <w:sz w:val="20"/>
                          </w:rPr>
                          <w:t> </w:t>
                        </w:r>
                        <w:r>
                          <w:rPr>
                            <w:rFonts w:ascii="Verdana"/>
                            <w:w w:val="105"/>
                            <w:sz w:val="20"/>
                          </w:rPr>
                          <w:t>transfer AWP</w:t>
                        </w:r>
                        <w:r>
                          <w:rPr>
                            <w:rFonts w:ascii="Verdana"/>
                            <w:spacing w:val="-4"/>
                            <w:w w:val="105"/>
                            <w:sz w:val="20"/>
                          </w:rPr>
                          <w:t> </w:t>
                        </w:r>
                        <w:r>
                          <w:rPr>
                            <w:rFonts w:ascii="Verdana"/>
                            <w:w w:val="105"/>
                            <w:sz w:val="20"/>
                          </w:rPr>
                          <w:t>transfer</w:t>
                        </w:r>
                      </w:p>
                    </w:txbxContent>
                  </v:textbox>
                  <w10:wrap type="none"/>
                </v:shape>
                <w10:wrap type="none"/>
              </v:group>
            </w:pict>
          </mc:Fallback>
        </mc:AlternateContent>
      </w:r>
      <w:bookmarkStart w:name="_bookmark97" w:id="174"/>
      <w:bookmarkEnd w:id="174"/>
      <w:r>
        <w:rPr/>
      </w:r>
      <w:r>
        <w:rPr>
          <w:rFonts w:ascii="Verdana"/>
          <w:spacing w:val="-5"/>
          <w:w w:val="90"/>
          <w:sz w:val="25"/>
        </w:rPr>
        <w:t>0.5</w:t>
      </w:r>
    </w:p>
    <w:p>
      <w:pPr>
        <w:pStyle w:val="BodyText"/>
        <w:spacing w:before="165"/>
        <w:rPr>
          <w:rFonts w:ascii="Verdana"/>
          <w:sz w:val="23"/>
        </w:rPr>
      </w:pPr>
    </w:p>
    <w:p>
      <w:pPr>
        <w:spacing w:before="1"/>
        <w:ind w:left="1284" w:right="0" w:firstLine="0"/>
        <w:jc w:val="left"/>
        <w:rPr>
          <w:rFonts w:ascii="Verdana"/>
          <w:sz w:val="25"/>
        </w:rPr>
      </w:pPr>
      <w:r>
        <w:rPr>
          <w:rFonts w:ascii="Verdana"/>
          <w:sz w:val="25"/>
        </w:rPr>
        <mc:AlternateContent>
          <mc:Choice Requires="wps">
            <w:drawing>
              <wp:anchor distT="0" distB="0" distL="0" distR="0" allowOverlap="1" layoutInCell="1" locked="0" behindDoc="0" simplePos="0" relativeHeight="15775232">
                <wp:simplePos x="0" y="0"/>
                <wp:positionH relativeFrom="page">
                  <wp:posOffset>1188207</wp:posOffset>
                </wp:positionH>
                <wp:positionV relativeFrom="paragraph">
                  <wp:posOffset>135104</wp:posOffset>
                </wp:positionV>
                <wp:extent cx="186690" cy="133477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86690" cy="1334770"/>
                        </a:xfrm>
                        <a:prstGeom prst="rect">
                          <a:avLst/>
                        </a:prstGeom>
                      </wps:spPr>
                      <wps:txbx>
                        <w:txbxContent>
                          <w:p>
                            <w:pPr>
                              <w:spacing w:line="294" w:lineRule="exact" w:before="0"/>
                              <w:ind w:left="20" w:right="0" w:firstLine="0"/>
                              <w:jc w:val="left"/>
                              <w:rPr>
                                <w:rFonts w:ascii="Trebuchet MS" w:hAnsi="Trebuchet MS"/>
                                <w:i/>
                                <w:sz w:val="20"/>
                              </w:rPr>
                            </w:pPr>
                            <w:r>
                              <w:rPr>
                                <w:rFonts w:ascii="Verdana" w:hAnsi="Verdana"/>
                                <w:spacing w:val="-6"/>
                                <w:sz w:val="28"/>
                              </w:rPr>
                              <w:t>Mean</w:t>
                            </w:r>
                            <w:r>
                              <w:rPr>
                                <w:rFonts w:ascii="Verdana" w:hAnsi="Verdana"/>
                                <w:spacing w:val="-24"/>
                                <w:sz w:val="28"/>
                              </w:rPr>
                              <w:t> </w:t>
                            </w:r>
                            <w:r>
                              <w:rPr>
                                <w:rFonts w:ascii="Verdana" w:hAnsi="Verdana"/>
                                <w:spacing w:val="-6"/>
                                <w:sz w:val="28"/>
                              </w:rPr>
                              <w:t>Kendall</w:t>
                            </w:r>
                            <w:r>
                              <w:rPr>
                                <w:rFonts w:ascii="Verdana" w:hAnsi="Verdana"/>
                                <w:spacing w:val="-14"/>
                                <w:sz w:val="28"/>
                              </w:rPr>
                              <w:t> </w:t>
                            </w:r>
                            <w:r>
                              <w:rPr>
                                <w:rFonts w:ascii="Trebuchet MS" w:hAnsi="Trebuchet MS"/>
                                <w:i/>
                                <w:spacing w:val="-10"/>
                                <w:sz w:val="20"/>
                              </w:rPr>
                              <w:t>τ</w:t>
                            </w:r>
                          </w:p>
                        </w:txbxContent>
                      </wps:txbx>
                      <wps:bodyPr wrap="square" lIns="0" tIns="0" rIns="0" bIns="0" rtlCol="0" vert="vert270">
                        <a:noAutofit/>
                      </wps:bodyPr>
                    </wps:wsp>
                  </a:graphicData>
                </a:graphic>
              </wp:anchor>
            </w:drawing>
          </mc:Choice>
          <mc:Fallback>
            <w:pict>
              <v:shape style="position:absolute;margin-left:93.559654pt;margin-top:10.638144pt;width:14.7pt;height:105.1pt;mso-position-horizontal-relative:page;mso-position-vertical-relative:paragraph;z-index:15775232" type="#_x0000_t202" id="docshape455" filled="false" stroked="false">
                <v:textbox inset="0,0,0,0" style="layout-flow:vertical;mso-layout-flow-alt:bottom-to-top">
                  <w:txbxContent>
                    <w:p>
                      <w:pPr>
                        <w:spacing w:line="294" w:lineRule="exact" w:before="0"/>
                        <w:ind w:left="20" w:right="0" w:firstLine="0"/>
                        <w:jc w:val="left"/>
                        <w:rPr>
                          <w:rFonts w:ascii="Trebuchet MS" w:hAnsi="Trebuchet MS"/>
                          <w:i/>
                          <w:sz w:val="20"/>
                        </w:rPr>
                      </w:pPr>
                      <w:r>
                        <w:rPr>
                          <w:rFonts w:ascii="Verdana" w:hAnsi="Verdana"/>
                          <w:spacing w:val="-6"/>
                          <w:sz w:val="28"/>
                        </w:rPr>
                        <w:t>Mean</w:t>
                      </w:r>
                      <w:r>
                        <w:rPr>
                          <w:rFonts w:ascii="Verdana" w:hAnsi="Verdana"/>
                          <w:spacing w:val="-24"/>
                          <w:sz w:val="28"/>
                        </w:rPr>
                        <w:t> </w:t>
                      </w:r>
                      <w:r>
                        <w:rPr>
                          <w:rFonts w:ascii="Verdana" w:hAnsi="Verdana"/>
                          <w:spacing w:val="-6"/>
                          <w:sz w:val="28"/>
                        </w:rPr>
                        <w:t>Kendall</w:t>
                      </w:r>
                      <w:r>
                        <w:rPr>
                          <w:rFonts w:ascii="Verdana" w:hAnsi="Verdana"/>
                          <w:spacing w:val="-14"/>
                          <w:sz w:val="28"/>
                        </w:rPr>
                        <w:t> </w:t>
                      </w:r>
                      <w:r>
                        <w:rPr>
                          <w:rFonts w:ascii="Trebuchet MS" w:hAnsi="Trebuchet MS"/>
                          <w:i/>
                          <w:spacing w:val="-10"/>
                          <w:sz w:val="20"/>
                        </w:rPr>
                        <w:t>τ</w:t>
                      </w:r>
                    </w:p>
                  </w:txbxContent>
                </v:textbox>
                <w10:wrap type="none"/>
              </v:shape>
            </w:pict>
          </mc:Fallback>
        </mc:AlternateContent>
      </w:r>
      <w:r>
        <w:rPr>
          <w:rFonts w:ascii="Verdana"/>
          <w:spacing w:val="-5"/>
          <w:w w:val="90"/>
          <w:sz w:val="25"/>
        </w:rPr>
        <w:t>0.4</w:t>
      </w:r>
    </w:p>
    <w:p>
      <w:pPr>
        <w:pStyle w:val="BodyText"/>
        <w:spacing w:before="165"/>
        <w:rPr>
          <w:rFonts w:ascii="Verdana"/>
          <w:sz w:val="23"/>
        </w:rPr>
      </w:pPr>
    </w:p>
    <w:p>
      <w:pPr>
        <w:spacing w:before="0"/>
        <w:ind w:left="1284" w:right="0" w:firstLine="0"/>
        <w:jc w:val="left"/>
        <w:rPr>
          <w:rFonts w:ascii="Verdana"/>
          <w:sz w:val="25"/>
        </w:rPr>
      </w:pPr>
      <w:r>
        <w:rPr>
          <w:rFonts w:ascii="Verdana"/>
          <w:spacing w:val="-5"/>
          <w:w w:val="90"/>
          <w:sz w:val="25"/>
        </w:rPr>
        <w:t>0.3</w:t>
      </w:r>
    </w:p>
    <w:p>
      <w:pPr>
        <w:pStyle w:val="BodyText"/>
        <w:spacing w:before="166"/>
        <w:rPr>
          <w:rFonts w:ascii="Verdana"/>
          <w:sz w:val="23"/>
        </w:rPr>
      </w:pPr>
    </w:p>
    <w:p>
      <w:pPr>
        <w:spacing w:before="0"/>
        <w:ind w:left="1284" w:right="0" w:firstLine="0"/>
        <w:jc w:val="left"/>
        <w:rPr>
          <w:rFonts w:ascii="Verdana"/>
          <w:sz w:val="25"/>
        </w:rPr>
      </w:pPr>
      <w:r>
        <w:rPr>
          <w:rFonts w:ascii="Verdana"/>
          <w:spacing w:val="-5"/>
          <w:w w:val="90"/>
          <w:sz w:val="25"/>
        </w:rPr>
        <w:t>0.2</w:t>
      </w:r>
    </w:p>
    <w:p>
      <w:pPr>
        <w:pStyle w:val="BodyText"/>
        <w:spacing w:before="165"/>
        <w:rPr>
          <w:rFonts w:ascii="Verdana"/>
          <w:sz w:val="23"/>
        </w:rPr>
      </w:pPr>
    </w:p>
    <w:p>
      <w:pPr>
        <w:spacing w:before="1"/>
        <w:ind w:left="1284" w:right="0" w:firstLine="0"/>
        <w:jc w:val="left"/>
        <w:rPr>
          <w:rFonts w:ascii="Verdana"/>
          <w:sz w:val="25"/>
        </w:rPr>
      </w:pPr>
      <w:r>
        <w:rPr>
          <w:rFonts w:ascii="Verdana"/>
          <w:spacing w:val="-5"/>
          <w:w w:val="85"/>
          <w:sz w:val="25"/>
        </w:rPr>
        <w:t>0.1</w:t>
      </w:r>
    </w:p>
    <w:p>
      <w:pPr>
        <w:pStyle w:val="BodyText"/>
        <w:spacing w:before="165"/>
        <w:rPr>
          <w:rFonts w:ascii="Verdana"/>
          <w:sz w:val="23"/>
        </w:rPr>
      </w:pPr>
    </w:p>
    <w:p>
      <w:pPr>
        <w:spacing w:before="0"/>
        <w:ind w:left="1284" w:right="0" w:firstLine="0"/>
        <w:jc w:val="left"/>
        <w:rPr>
          <w:rFonts w:ascii="Verdana"/>
          <w:sz w:val="25"/>
        </w:rPr>
      </w:pPr>
      <w:r>
        <w:rPr>
          <w:rFonts w:ascii="Verdana"/>
          <w:spacing w:val="-5"/>
          <w:w w:val="90"/>
          <w:sz w:val="25"/>
        </w:rPr>
        <w:t>0.0</w:t>
      </w:r>
    </w:p>
    <w:p>
      <w:pPr>
        <w:pStyle w:val="BodyText"/>
        <w:spacing w:before="110"/>
        <w:rPr>
          <w:rFonts w:ascii="Verdana"/>
          <w:sz w:val="23"/>
        </w:rPr>
      </w:pPr>
    </w:p>
    <w:p>
      <w:pPr>
        <w:tabs>
          <w:tab w:pos="5151" w:val="left" w:leader="none"/>
          <w:tab w:pos="8416" w:val="left" w:leader="none"/>
        </w:tabs>
        <w:spacing w:before="1"/>
        <w:ind w:left="1886" w:right="0" w:firstLine="0"/>
        <w:jc w:val="left"/>
        <w:rPr>
          <w:rFonts w:ascii="Verdana"/>
          <w:sz w:val="25"/>
        </w:rPr>
      </w:pPr>
      <w:r>
        <w:rPr>
          <w:rFonts w:ascii="Verdana"/>
          <w:spacing w:val="-4"/>
          <w:w w:val="95"/>
          <w:sz w:val="25"/>
        </w:rPr>
        <w:t>0.75</w:t>
      </w:r>
      <w:r>
        <w:rPr>
          <w:rFonts w:ascii="Verdana"/>
          <w:sz w:val="25"/>
        </w:rPr>
        <w:tab/>
      </w:r>
      <w:r>
        <w:rPr>
          <w:rFonts w:ascii="Verdana"/>
          <w:spacing w:val="-4"/>
          <w:w w:val="95"/>
          <w:sz w:val="25"/>
        </w:rPr>
        <w:t>0.85</w:t>
      </w:r>
      <w:r>
        <w:rPr>
          <w:rFonts w:ascii="Verdana"/>
          <w:sz w:val="25"/>
        </w:rPr>
        <w:tab/>
      </w:r>
      <w:r>
        <w:rPr>
          <w:rFonts w:ascii="Verdana"/>
          <w:spacing w:val="-4"/>
          <w:w w:val="95"/>
          <w:sz w:val="25"/>
        </w:rPr>
        <w:t>0.95</w:t>
      </w:r>
    </w:p>
    <w:p>
      <w:pPr>
        <w:spacing w:before="11"/>
        <w:ind w:left="4019" w:right="0" w:firstLine="0"/>
        <w:jc w:val="left"/>
        <w:rPr>
          <w:rFonts w:ascii="Trebuchet MS"/>
          <w:i/>
          <w:sz w:val="28"/>
        </w:rPr>
      </w:pPr>
      <w:r>
        <w:rPr>
          <w:rFonts w:ascii="Verdana"/>
          <w:spacing w:val="-10"/>
          <w:sz w:val="28"/>
        </w:rPr>
        <w:t>PageRank</w:t>
      </w:r>
      <w:r>
        <w:rPr>
          <w:rFonts w:ascii="Verdana"/>
          <w:spacing w:val="-32"/>
          <w:sz w:val="28"/>
        </w:rPr>
        <w:t> </w:t>
      </w:r>
      <w:r>
        <w:rPr>
          <w:rFonts w:ascii="Verdana"/>
          <w:spacing w:val="-10"/>
          <w:sz w:val="28"/>
        </w:rPr>
        <w:t>damping</w:t>
      </w:r>
      <w:r>
        <w:rPr>
          <w:rFonts w:ascii="Verdana"/>
          <w:spacing w:val="-22"/>
          <w:sz w:val="28"/>
        </w:rPr>
        <w:t> </w:t>
      </w:r>
      <w:r>
        <w:rPr>
          <w:rFonts w:ascii="Trebuchet MS"/>
          <w:i/>
          <w:spacing w:val="-10"/>
          <w:sz w:val="28"/>
        </w:rPr>
        <w:t>d</w:t>
      </w:r>
    </w:p>
    <w:p>
      <w:pPr>
        <w:spacing w:before="11"/>
        <w:ind w:left="4019" w:right="0" w:firstLine="0"/>
        <w:jc w:val="left"/>
        <w:rPr>
          <w:rFonts w:ascii="Trebuchet MS"/>
          <w:i/>
          <w:sz w:val="28"/>
        </w:rPr>
      </w:pPr>
      <w:r>
        <w:rPr>
          <w:i/>
        </w:rPr>
        <w:t>PageRank 댐핑 d</w:t>
      </w:r>
    </w:p>
    <w:p>
      <w:pPr>
        <w:pStyle w:val="BodyText"/>
        <w:spacing w:before="51"/>
        <w:rPr>
          <w:rFonts w:ascii="Trebuchet MS"/>
          <w:i/>
        </w:rPr>
      </w:pPr>
    </w:p>
    <w:p>
      <w:pPr>
        <w:pStyle w:val="BodyText"/>
        <w:spacing w:line="329" w:lineRule="exact"/>
        <w:ind w:left="282"/>
        <w:jc w:val="both"/>
        <w:rPr>
          <w:rFonts w:ascii="Lucida Sans Unicode" w:hAnsi="Lucida Sans Unicode"/>
        </w:rPr>
      </w:pPr>
      <w:r>
        <w:rPr/>
        <w:t>Figure</w:t>
      </w:r>
      <w:r>
        <w:rPr>
          <w:spacing w:val="30"/>
        </w:rPr>
        <w:t> </w:t>
      </w:r>
      <w:r>
        <w:rPr/>
        <w:t>4.5:</w:t>
      </w:r>
      <w:r>
        <w:rPr>
          <w:spacing w:val="52"/>
          <w:w w:val="150"/>
        </w:rPr>
        <w:t> </w:t>
      </w:r>
      <w:r>
        <w:rPr/>
        <w:t>Damping</w:t>
      </w:r>
      <w:r>
        <w:rPr>
          <w:spacing w:val="30"/>
        </w:rPr>
        <w:t> </w:t>
      </w:r>
      <w:r>
        <w:rPr/>
        <w:t>sensitivity</w:t>
      </w:r>
      <w:r>
        <w:rPr>
          <w:spacing w:val="30"/>
        </w:rPr>
        <w:t> </w:t>
      </w:r>
      <w:r>
        <w:rPr/>
        <w:t>of</w:t>
      </w:r>
      <w:r>
        <w:rPr>
          <w:spacing w:val="30"/>
        </w:rPr>
        <w:t> </w:t>
      </w:r>
      <w:r>
        <w:rPr/>
        <w:t>mean</w:t>
      </w:r>
      <w:r>
        <w:rPr>
          <w:spacing w:val="30"/>
        </w:rPr>
        <w:t> </w:t>
      </w:r>
      <w:r>
        <w:rPr/>
        <w:t>Kendall</w:t>
      </w:r>
      <w:r>
        <w:rPr>
          <w:spacing w:val="29"/>
        </w:rPr>
        <w:t> </w:t>
      </w:r>
      <w:r>
        <w:rPr>
          <w:rFonts w:ascii="Calibri" w:hAnsi="Calibri"/>
          <w:i/>
        </w:rPr>
        <w:t>τ</w:t>
      </w:r>
      <w:r>
        <w:rPr>
          <w:rFonts w:ascii="Calibri" w:hAnsi="Calibri"/>
          <w:i/>
          <w:spacing w:val="60"/>
        </w:rPr>
        <w:t> </w:t>
      </w:r>
      <w:r>
        <w:rPr/>
        <w:t>for</w:t>
      </w:r>
      <w:r>
        <w:rPr>
          <w:spacing w:val="31"/>
        </w:rPr>
        <w:t> </w:t>
      </w:r>
      <w:r>
        <w:rPr/>
        <w:t>allowance</w:t>
      </w:r>
      <w:r>
        <w:rPr>
          <w:spacing w:val="30"/>
        </w:rPr>
        <w:t> </w:t>
      </w:r>
      <w:r>
        <w:rPr/>
        <w:t>and</w:t>
      </w:r>
      <w:r>
        <w:rPr>
          <w:spacing w:val="30"/>
        </w:rPr>
        <w:t> </w:t>
      </w:r>
      <w:r>
        <w:rPr/>
        <w:t>transfer</w:t>
      </w:r>
      <w:r>
        <w:rPr>
          <w:spacing w:val="30"/>
        </w:rPr>
        <w:t> </w:t>
      </w:r>
      <w:r>
        <w:rPr/>
        <w:t>families</w:t>
      </w:r>
      <w:r>
        <w:rPr>
          <w:spacing w:val="30"/>
        </w:rPr>
        <w:t> </w:t>
      </w:r>
      <w:r>
        <w:rPr/>
        <w:t>(</w:t>
      </w:r>
      <w:r>
        <w:rPr>
          <w:rFonts w:ascii="Calibri" w:hAnsi="Calibri"/>
          <w:i/>
        </w:rPr>
        <w:t>d</w:t>
      </w:r>
      <w:r>
        <w:rPr>
          <w:rFonts w:ascii="Calibri" w:hAnsi="Calibri"/>
          <w:i/>
          <w:spacing w:val="55"/>
          <w:w w:val="150"/>
        </w:rPr>
        <w:t> </w:t>
      </w:r>
      <w:r>
        <w:rPr>
          <w:rFonts w:ascii="Lucida Sans Unicode" w:hAnsi="Lucida Sans Unicode"/>
          <w:spacing w:val="-10"/>
        </w:rPr>
        <w:t>∈</w:t>
      </w:r>
    </w:p>
    <w:p>
      <w:pPr>
        <w:pStyle w:val="BodyText"/>
        <w:spacing w:line="329" w:lineRule="exact"/>
        <w:ind w:left="282"/>
        <w:jc w:val="both"/>
        <w:rPr>
          <w:rFonts w:ascii="Lucida Sans Unicode" w:hAnsi="Lucida Sans Unicode"/>
        </w:rPr>
      </w:pPr>
      <w:r>
        <w:rPr>
          <w:i/>
        </w:rPr>
        <w:t>그림 4.5: 허용량 및 이전 계열에 대한 평균 Kendall τ의 감쇠 민감도(d ∈</w:t>
      </w:r>
    </w:p>
    <w:p>
      <w:pPr>
        <w:pStyle w:val="BodyText"/>
        <w:spacing w:line="187" w:lineRule="auto" w:before="18"/>
        <w:ind w:left="282" w:right="564"/>
        <w:jc w:val="both"/>
      </w:pPr>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w:t>
      </w:r>
      <w:r>
        <w:rPr>
          <w:spacing w:val="40"/>
        </w:rPr>
        <w:t> </w:t>
      </w:r>
      <w:r>
        <w:rPr/>
        <w:t>EndorseRank allowance alignment remains </w:t>
      </w:r>
      <w:r>
        <w:rPr>
          <w:rFonts w:ascii="Lucida Sans Unicode" w:hAnsi="Lucida Sans Unicode"/>
        </w:rPr>
        <w:t>≈ </w:t>
      </w:r>
      <w:r>
        <w:rPr>
          <w:rFonts w:ascii="Calibri" w:hAnsi="Calibri"/>
        </w:rPr>
        <w:t>0</w:t>
      </w:r>
      <w:r>
        <w:rPr>
          <w:rFonts w:ascii="Calibri" w:hAnsi="Calibri"/>
          <w:i/>
        </w:rPr>
        <w:t>.</w:t>
      </w:r>
      <w:r>
        <w:rPr>
          <w:rFonts w:ascii="Calibri" w:hAnsi="Calibri"/>
        </w:rPr>
        <w:t>355 </w:t>
      </w:r>
      <w:r>
        <w:rPr/>
        <w:t>across the sweep; AWP transfer alignment varies by at most </w:t>
      </w:r>
      <w:r>
        <w:rPr>
          <w:rFonts w:ascii="Lucida Sans Unicode" w:hAnsi="Lucida Sans Unicode"/>
        </w:rPr>
        <w:t>≈ </w:t>
      </w:r>
      <w:r>
        <w:rPr>
          <w:rFonts w:ascii="Calibri" w:hAnsi="Calibri"/>
        </w:rPr>
        <w:t>0</w:t>
      </w:r>
      <w:r>
        <w:rPr>
          <w:rFonts w:ascii="Calibri" w:hAnsi="Calibri"/>
          <w:i/>
        </w:rPr>
        <w:t>.</w:t>
      </w:r>
      <w:r>
        <w:rPr>
          <w:rFonts w:ascii="Calibri" w:hAnsi="Calibri"/>
        </w:rPr>
        <w:t>005</w:t>
      </w:r>
      <w:r>
        <w:rPr/>
        <w:t>.</w:t>
      </w:r>
    </w:p>
    <w:p>
      <w:pPr>
        <w:pStyle w:val="BodyText"/>
        <w:spacing w:line="187" w:lineRule="auto" w:before="18"/>
        <w:ind w:left="282" w:right="564"/>
        <w:jc w:val="both"/>
      </w:pPr>
      <w:r>
        <w:rPr>
          <w:i/>
        </w:rPr>
        <w:t>{0.75, 0.85, 0.95}). EndorseRank 여유 정렬은 스윕 전반에 걸쳐 AWP 전송 정렬이 최대 ≒ 0.005만큼 변경됩니다.</w:t>
      </w:r>
    </w:p>
    <w:p>
      <w:pPr>
        <w:pStyle w:val="BodyText"/>
        <w:spacing w:before="189"/>
      </w:pPr>
    </w:p>
    <w:p>
      <w:pPr>
        <w:pStyle w:val="BodyText"/>
        <w:spacing w:line="391" w:lineRule="auto" w:before="1"/>
        <w:ind w:left="282" w:right="524" w:hanging="8"/>
        <w:jc w:val="both"/>
      </w:pPr>
      <w:r>
        <w:rPr/>
        <w:t>The damping result has a methodological implication.</w:t>
      </w:r>
      <w:r>
        <w:rPr>
          <w:spacing w:val="40"/>
        </w:rPr>
        <w:t> </w:t>
      </w:r>
      <w:r>
        <w:rPr/>
        <w:t>Because allowance edges encode a latest snapshot rather than a long historical path structure, changing how much mass teleports does not reorder</w:t>
      </w:r>
      <w:r>
        <w:rPr>
          <w:spacing w:val="-13"/>
        </w:rPr>
        <w:t> </w:t>
      </w:r>
      <w:r>
        <w:rPr/>
        <w:t>wallets</w:t>
      </w:r>
      <w:r>
        <w:rPr>
          <w:spacing w:val="-13"/>
        </w:rPr>
        <w:t> </w:t>
      </w:r>
      <w:r>
        <w:rPr/>
        <w:t>enough</w:t>
      </w:r>
      <w:r>
        <w:rPr>
          <w:spacing w:val="-13"/>
        </w:rPr>
        <w:t> </w:t>
      </w:r>
      <w:r>
        <w:rPr/>
        <w:t>to</w:t>
      </w:r>
      <w:r>
        <w:rPr>
          <w:spacing w:val="-13"/>
        </w:rPr>
        <w:t> </w:t>
      </w:r>
      <w:r>
        <w:rPr/>
        <w:t>alter</w:t>
      </w:r>
      <w:r>
        <w:rPr>
          <w:spacing w:val="-13"/>
        </w:rPr>
        <w:t> </w:t>
      </w:r>
      <w:r>
        <w:rPr/>
        <w:t>family-level</w:t>
      </w:r>
      <w:r>
        <w:rPr>
          <w:spacing w:val="-13"/>
        </w:rPr>
        <w:t> </w:t>
      </w:r>
      <w:r>
        <w:rPr/>
        <w:t>alignment.</w:t>
      </w:r>
      <w:r>
        <w:rPr>
          <w:spacing w:val="9"/>
        </w:rPr>
        <w:t> </w:t>
      </w:r>
      <w:r>
        <w:rPr/>
        <w:t>Protocols</w:t>
      </w:r>
      <w:r>
        <w:rPr>
          <w:spacing w:val="-13"/>
        </w:rPr>
        <w:t> </w:t>
      </w:r>
      <w:r>
        <w:rPr/>
        <w:t>adopting</w:t>
      </w:r>
      <w:r>
        <w:rPr>
          <w:spacing w:val="-13"/>
        </w:rPr>
        <w:t> </w:t>
      </w:r>
      <w:r>
        <w:rPr/>
        <w:t>EndorseRank</w:t>
      </w:r>
      <w:r>
        <w:rPr>
          <w:spacing w:val="-13"/>
        </w:rPr>
        <w:t> </w:t>
      </w:r>
      <w:r>
        <w:rPr/>
        <w:t>can</w:t>
      </w:r>
      <w:r>
        <w:rPr>
          <w:spacing w:val="-13"/>
        </w:rPr>
        <w:t> </w:t>
      </w:r>
      <w:r>
        <w:rPr/>
        <w:t>there-fore treat </w:t>
      </w:r>
      <w:r>
        <w:rPr>
          <w:rFonts w:ascii="Calibri"/>
          <w:i/>
        </w:rPr>
        <w:t>d </w:t>
      </w:r>
      <w:r>
        <w:rPr>
          <w:rFonts w:ascii="Calibri"/>
          <w:w w:val="125"/>
        </w:rPr>
        <w:t>= </w:t>
      </w:r>
      <w:r>
        <w:rPr>
          <w:rFonts w:ascii="Calibri"/>
        </w:rPr>
        <w:t>0</w:t>
      </w:r>
      <w:r>
        <w:rPr>
          <w:rFonts w:ascii="Calibri"/>
          <w:i/>
        </w:rPr>
        <w:t>.</w:t>
      </w:r>
      <w:r>
        <w:rPr>
          <w:rFonts w:ascii="Calibri"/>
        </w:rPr>
        <w:t>85 </w:t>
      </w:r>
      <w:r>
        <w:rPr/>
        <w:t>as a stable default without extensive hyperparameter search for the allowance </w:t>
      </w:r>
      <w:bookmarkStart w:name="Top-token subgraph" w:id="175"/>
      <w:bookmarkEnd w:id="175"/>
      <w:r>
        <w:rPr/>
        <w:t>construct,</w:t>
      </w:r>
      <w:r>
        <w:rPr/>
        <w:t> at least within the range examined here.</w:t>
      </w:r>
    </w:p>
    <w:p>
      <w:pPr>
        <w:pStyle w:val="BodyText"/>
        <w:spacing w:line="391" w:lineRule="auto" w:before="1"/>
        <w:ind w:left="282" w:right="524" w:hanging="8"/>
        <w:jc w:val="both"/>
      </w:pPr>
      <w:r>
        <w:rPr>
          <w:i/>
        </w:rPr>
        <w:t>감쇠 결과는 방법론적인 의미를 갖습니다. 허용 가장자리는 긴 역사적 경로 구조가 아닌 최신 스냅샷을 인코딩하기 때문에 대량 순간 이동의 양을 변경해도 가족 수준 정렬을 변경할 만큼 지갑을 재정렬하지 않습니다. 따라서 EndorseRank를 채택하는 프로토콜은 적어도 여기에서 검토한 범위 내에서 허용 구성에 대한 광범위한 하이퍼 매개변수 검색 없이 d = 0.85를 안정적인 기본값으로 처리할 수 있습니다.</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4"/>
        </w:rPr>
        <w:t>Top-token</w:t>
      </w:r>
      <w:r>
        <w:rPr>
          <w:spacing w:val="-5"/>
        </w:rPr>
        <w:t> </w:t>
      </w:r>
      <w:r>
        <w:rPr>
          <w:spacing w:val="-4"/>
        </w:rPr>
        <w:t>subgraph</w:t>
      </w:r>
    </w:p>
    <w:p>
      <w:pPr>
        <w:pStyle w:val="Heading4"/>
        <w:numPr>
          <w:ilvl w:val="2"/>
          <w:numId w:val="8"/>
        </w:numPr>
        <w:tabs>
          <w:tab w:pos="879" w:val="left" w:leader="none"/>
        </w:tabs>
        <w:spacing w:line="240" w:lineRule="auto" w:before="73" w:after="0"/>
        <w:ind w:left="879" w:right="0" w:hanging="597"/>
        <w:jc w:val="left"/>
      </w:pPr>
      <w:r>
        <w:rPr>
          <w:i/>
        </w:rPr>
        <w:t>최상위 토큰 하위 그래프</w:t>
      </w:r>
    </w:p>
    <w:p>
      <w:pPr>
        <w:pStyle w:val="BodyText"/>
        <w:spacing w:before="42"/>
        <w:rPr>
          <w:b/>
        </w:rPr>
      </w:pPr>
    </w:p>
    <w:p>
      <w:pPr>
        <w:pStyle w:val="BodyText"/>
        <w:spacing w:line="376" w:lineRule="auto"/>
        <w:ind w:left="282" w:right="564" w:hanging="8"/>
      </w:pPr>
      <w:r>
        <w:rPr/>
        <w:t>Table</w:t>
      </w:r>
      <w:r>
        <w:rPr>
          <w:spacing w:val="-4"/>
        </w:rPr>
        <w:t> </w:t>
      </w:r>
      <w:hyperlink w:history="true" w:anchor="_bookmark98">
        <w:r>
          <w:rPr/>
          <w:t>4.5</w:t>
        </w:r>
      </w:hyperlink>
      <w:r>
        <w:rPr>
          <w:spacing w:val="-4"/>
        </w:rPr>
        <w:t> </w:t>
      </w:r>
      <w:r>
        <w:rPr/>
        <w:t>reports</w:t>
      </w:r>
      <w:r>
        <w:rPr>
          <w:spacing w:val="-4"/>
        </w:rPr>
        <w:t> </w:t>
      </w:r>
      <w:r>
        <w:rPr/>
        <w:t>family-level</w:t>
      </w:r>
      <w:r>
        <w:rPr>
          <w:spacing w:val="-4"/>
        </w:rPr>
        <w:t> </w:t>
      </w:r>
      <w:r>
        <w:rPr/>
        <w:t>mean</w:t>
      </w:r>
      <w:r>
        <w:rPr>
          <w:spacing w:val="-4"/>
        </w:rPr>
        <w:t> </w:t>
      </w:r>
      <w:r>
        <w:rPr>
          <w:rFonts w:ascii="Calibri" w:hAnsi="Calibri"/>
          <w:i/>
        </w:rPr>
        <w:t>τ</w:t>
      </w:r>
      <w:r>
        <w:rPr>
          <w:rFonts w:ascii="Calibri" w:hAnsi="Calibri"/>
          <w:i/>
          <w:spacing w:val="28"/>
        </w:rPr>
        <w:t> </w:t>
      </w:r>
      <w:r>
        <w:rPr/>
        <w:t>when</w:t>
      </w:r>
      <w:r>
        <w:rPr>
          <w:spacing w:val="-4"/>
        </w:rPr>
        <w:t> </w:t>
      </w:r>
      <w:r>
        <w:rPr/>
        <w:t>reputation</w:t>
      </w:r>
      <w:r>
        <w:rPr>
          <w:spacing w:val="-4"/>
        </w:rPr>
        <w:t> </w:t>
      </w:r>
      <w:r>
        <w:rPr/>
        <w:t>graphs</w:t>
      </w:r>
      <w:r>
        <w:rPr>
          <w:spacing w:val="-4"/>
        </w:rPr>
        <w:t> </w:t>
      </w:r>
      <w:r>
        <w:rPr/>
        <w:t>are</w:t>
      </w:r>
      <w:r>
        <w:rPr>
          <w:spacing w:val="-4"/>
        </w:rPr>
        <w:t> </w:t>
      </w:r>
      <w:r>
        <w:rPr/>
        <w:t>restricted</w:t>
      </w:r>
      <w:r>
        <w:rPr>
          <w:spacing w:val="-4"/>
        </w:rPr>
        <w:t> </w:t>
      </w:r>
      <w:r>
        <w:rPr/>
        <w:t>to</w:t>
      </w:r>
      <w:r>
        <w:rPr>
          <w:spacing w:val="-4"/>
        </w:rPr>
        <w:t> </w:t>
      </w:r>
      <w:r>
        <w:rPr/>
        <w:t>the</w:t>
      </w:r>
      <w:r>
        <w:rPr>
          <w:spacing w:val="-4"/>
        </w:rPr>
        <w:t> </w:t>
      </w:r>
      <w:r>
        <w:rPr/>
        <w:t>top-20</w:t>
      </w:r>
      <w:r>
        <w:rPr>
          <w:spacing w:val="-4"/>
        </w:rPr>
        <w:t> </w:t>
      </w:r>
      <w:r>
        <w:rPr/>
        <w:t>ERC-20 tokens by transfer and allowance volume.</w:t>
      </w:r>
    </w:p>
    <w:p>
      <w:pPr>
        <w:pStyle w:val="BodyText"/>
        <w:spacing w:line="376" w:lineRule="auto"/>
        <w:ind w:left="282" w:right="564" w:hanging="8"/>
      </w:pPr>
      <w:r>
        <w:rPr>
          <w:i/>
        </w:rPr>
        <w:t>표 4.5는 평판 그래프가 전송 및 허용량 기준 상위 20개 ERC-20 토큰으로 제한될 때 가족 수준 평균 τ를 보고합니다.</w:t>
      </w:r>
    </w:p>
    <w:p>
      <w:pPr>
        <w:pStyle w:val="BodyText"/>
        <w:spacing w:before="80"/>
        <w:ind w:left="505"/>
      </w:pPr>
      <w:bookmarkStart w:name="_bookmark98" w:id="176"/>
      <w:bookmarkEnd w:id="176"/>
      <w:r>
        <w:rPr/>
      </w:r>
      <w:r>
        <w:rPr/>
        <w:t>Table</w:t>
      </w:r>
      <w:r>
        <w:rPr>
          <w:spacing w:val="-8"/>
        </w:rPr>
        <w:t> </w:t>
      </w:r>
      <w:r>
        <w:rPr/>
        <w:t>4.5:</w:t>
      </w:r>
      <w:r>
        <w:rPr>
          <w:spacing w:val="11"/>
        </w:rPr>
        <w:t> </w:t>
      </w:r>
      <w:r>
        <w:rPr/>
        <w:t>Robustness:</w:t>
      </w:r>
      <w:r>
        <w:rPr>
          <w:spacing w:val="11"/>
        </w:rPr>
        <w:t> </w:t>
      </w:r>
      <w:r>
        <w:rPr/>
        <w:t>mean</w:t>
      </w:r>
      <w:r>
        <w:rPr>
          <w:spacing w:val="-8"/>
        </w:rPr>
        <w:t> </w:t>
      </w:r>
      <w:r>
        <w:rPr/>
        <w:t>Kendall</w:t>
      </w:r>
      <w:r>
        <w:rPr>
          <w:spacing w:val="-8"/>
        </w:rPr>
        <w:t> </w:t>
      </w:r>
      <w:r>
        <w:rPr>
          <w:rFonts w:ascii="Calibri" w:hAnsi="Calibri"/>
          <w:i/>
        </w:rPr>
        <w:t>τ</w:t>
      </w:r>
      <w:r>
        <w:rPr>
          <w:rFonts w:ascii="Calibri" w:hAnsi="Calibri"/>
          <w:i/>
          <w:spacing w:val="23"/>
        </w:rPr>
        <w:t> </w:t>
      </w:r>
      <w:r>
        <w:rPr/>
        <w:t>on</w:t>
      </w:r>
      <w:r>
        <w:rPr>
          <w:spacing w:val="-7"/>
        </w:rPr>
        <w:t> </w:t>
      </w:r>
      <w:r>
        <w:rPr/>
        <w:t>top-20</w:t>
      </w:r>
      <w:r>
        <w:rPr>
          <w:spacing w:val="-7"/>
        </w:rPr>
        <w:t> </w:t>
      </w:r>
      <w:r>
        <w:rPr/>
        <w:t>ERC-20</w:t>
      </w:r>
      <w:r>
        <w:rPr>
          <w:spacing w:val="-8"/>
        </w:rPr>
        <w:t> </w:t>
      </w:r>
      <w:r>
        <w:rPr/>
        <w:t>token</w:t>
      </w:r>
      <w:r>
        <w:rPr>
          <w:spacing w:val="-7"/>
        </w:rPr>
        <w:t> </w:t>
      </w:r>
      <w:r>
        <w:rPr/>
        <w:t>subgraph</w:t>
      </w:r>
      <w:r>
        <w:rPr>
          <w:spacing w:val="-7"/>
        </w:rPr>
        <w:t> </w:t>
      </w:r>
      <w:r>
        <w:rPr/>
        <w:t>(matched</w:t>
      </w:r>
      <w:r>
        <w:rPr>
          <w:spacing w:val="-7"/>
        </w:rPr>
        <w:t> </w:t>
      </w:r>
      <w:r>
        <w:rPr>
          <w:spacing w:val="-2"/>
        </w:rPr>
        <w:t>cohort).</w:t>
      </w:r>
    </w:p>
    <w:p>
      <w:pPr>
        <w:pStyle w:val="BodyText"/>
        <w:spacing w:before="80"/>
        <w:ind w:left="505"/>
      </w:pPr>
      <w:r>
        <w:rPr>
          <w:i/>
        </w:rPr>
        <w:t>표 4.5: 견고성: 상위 20개 ERC-20 토큰 하위 그래프(일치하는 코호트)의 평균 Kendall τ.</w:t>
      </w:r>
    </w:p>
    <w:p>
      <w:pPr>
        <w:tabs>
          <w:tab w:pos="3356" w:val="left" w:leader="none"/>
          <w:tab w:pos="3476" w:val="left" w:leader="none"/>
          <w:tab w:pos="4454" w:val="left" w:leader="none"/>
          <w:tab w:pos="5311" w:val="left" w:leader="none"/>
          <w:tab w:pos="5378" w:val="left" w:leader="none"/>
          <w:tab w:pos="5942" w:val="left" w:leader="none"/>
          <w:tab w:pos="6025" w:val="left" w:leader="none"/>
          <w:tab w:pos="6740" w:val="left" w:leader="none"/>
        </w:tabs>
        <w:spacing w:line="390" w:lineRule="atLeast" w:before="158"/>
        <w:ind w:left="2041" w:right="2323" w:firstLine="0"/>
        <w:jc w:val="center"/>
        <w:rPr>
          <w:sz w:val="22"/>
        </w:rPr>
      </w:pPr>
      <w:r>
        <w:rPr>
          <w:sz w:val="22"/>
        </w:rPr>
        <mc:AlternateContent>
          <mc:Choice Requires="wps">
            <w:drawing>
              <wp:anchor distT="0" distB="0" distL="0" distR="0" allowOverlap="1" layoutInCell="1" locked="0" behindDoc="0" simplePos="0" relativeHeight="15777280">
                <wp:simplePos x="0" y="0"/>
                <wp:positionH relativeFrom="page">
                  <wp:posOffset>1882114</wp:posOffset>
                </wp:positionH>
                <wp:positionV relativeFrom="paragraph">
                  <wp:posOffset>147062</wp:posOffset>
                </wp:positionV>
                <wp:extent cx="3796029"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3796029" cy="1270"/>
                        </a:xfrm>
                        <a:custGeom>
                          <a:avLst/>
                          <a:gdLst/>
                          <a:ahLst/>
                          <a:cxnLst/>
                          <a:rect l="l" t="t" r="r" b="b"/>
                          <a:pathLst>
                            <a:path w="3796029" h="0">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148.197998pt,11.57970pt" to="447.076998pt,11.57970pt" stroked="true" strokeweight=".9564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4044288">
                <wp:simplePos x="0" y="0"/>
                <wp:positionH relativeFrom="page">
                  <wp:posOffset>1882114</wp:posOffset>
                </wp:positionH>
                <wp:positionV relativeFrom="paragraph">
                  <wp:posOffset>400300</wp:posOffset>
                </wp:positionV>
                <wp:extent cx="3796029" cy="1270"/>
                <wp:effectExtent l="0" t="0" r="0" b="0"/>
                <wp:wrapNone/>
                <wp:docPr id="658" name="Graphic 658"/>
                <wp:cNvGraphicFramePr>
                  <a:graphicFrameLocks/>
                </wp:cNvGraphicFramePr>
                <a:graphic>
                  <a:graphicData uri="http://schemas.microsoft.com/office/word/2010/wordprocessingShape">
                    <wps:wsp>
                      <wps:cNvPr id="658" name="Graphic 658"/>
                      <wps:cNvSpPr/>
                      <wps:spPr>
                        <a:xfrm>
                          <a:off x="0" y="0"/>
                          <a:ext cx="3796029" cy="1270"/>
                        </a:xfrm>
                        <a:custGeom>
                          <a:avLst/>
                          <a:gdLst/>
                          <a:ahLst/>
                          <a:cxnLst/>
                          <a:rect l="l" t="t" r="r" b="b"/>
                          <a:pathLst>
                            <a:path w="3796029" h="0">
                              <a:moveTo>
                                <a:pt x="0" y="0"/>
                              </a:moveTo>
                              <a:lnTo>
                                <a:pt x="3795763"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72192" from="148.197998pt,31.519699pt" to="447.076998pt,31.519699pt" stroked="true" strokeweight=".5978pt" strokecolor="#000000">
                <v:stroke dashstyle="solid"/>
                <w10:wrap type="none"/>
              </v:line>
            </w:pict>
          </mc:Fallback>
        </mc:AlternateContent>
      </w:r>
      <w:r>
        <w:rPr>
          <w:spacing w:val="-2"/>
          <w:sz w:val="22"/>
        </w:rPr>
        <w:t>Method</w:t>
      </w:r>
      <w:r>
        <w:rPr>
          <w:sz w:val="22"/>
        </w:rPr>
        <w:tab/>
        <w:t>Transfer</w:t>
      </w:r>
      <w:r>
        <w:rPr>
          <w:spacing w:val="40"/>
          <w:sz w:val="22"/>
        </w:rPr>
        <w:t> </w:t>
      </w:r>
      <w:r>
        <w:rPr>
          <w:sz w:val="22"/>
        </w:rPr>
        <w:t>Allowance</w:t>
        <w:tab/>
        <w:tab/>
      </w:r>
      <w:r>
        <w:rPr>
          <w:spacing w:val="-4"/>
          <w:sz w:val="22"/>
        </w:rPr>
        <w:t>Liq.</w:t>
      </w:r>
      <w:r>
        <w:rPr>
          <w:sz w:val="22"/>
        </w:rPr>
        <w:tab/>
        <w:t>Inv.risk</w:t>
      </w:r>
      <w:r>
        <w:rPr>
          <w:spacing w:val="69"/>
          <w:sz w:val="22"/>
        </w:rPr>
        <w:t> </w:t>
      </w:r>
      <w:r>
        <w:rPr>
          <w:sz w:val="22"/>
        </w:rPr>
        <w:t>Sybil</w:t>
      </w:r>
      <w:r>
        <w:rPr>
          <w:spacing w:val="69"/>
          <w:sz w:val="22"/>
        </w:rPr>
        <w:t> </w:t>
      </w:r>
      <w:r>
        <w:rPr>
          <w:sz w:val="22"/>
        </w:rPr>
        <w:t>GMX </w:t>
      </w:r>
      <w:r>
        <w:rPr>
          <w:spacing w:val="-2"/>
          <w:sz w:val="22"/>
        </w:rPr>
        <w:t>EndorseRank</w:t>
      </w:r>
      <w:r>
        <w:rPr>
          <w:sz w:val="22"/>
        </w:rPr>
        <w:tab/>
        <w:tab/>
      </w:r>
      <w:r>
        <w:rPr>
          <w:spacing w:val="-2"/>
          <w:sz w:val="22"/>
        </w:rPr>
        <w:t>0.331</w:t>
      </w:r>
      <w:r>
        <w:rPr>
          <w:sz w:val="22"/>
        </w:rPr>
        <w:tab/>
      </w:r>
      <w:r>
        <w:rPr>
          <w:spacing w:val="-2"/>
          <w:sz w:val="22"/>
        </w:rPr>
        <w:t>0.355</w:t>
      </w:r>
      <w:r>
        <w:rPr>
          <w:sz w:val="22"/>
        </w:rPr>
        <w:tab/>
      </w:r>
      <w:r>
        <w:rPr>
          <w:spacing w:val="-2"/>
          <w:sz w:val="22"/>
        </w:rPr>
        <w:t>0.092</w:t>
      </w:r>
      <w:r>
        <w:rPr>
          <w:sz w:val="22"/>
        </w:rPr>
        <w:tab/>
        <w:tab/>
      </w:r>
      <w:r>
        <w:rPr>
          <w:spacing w:val="-2"/>
          <w:sz w:val="22"/>
        </w:rPr>
        <w:t>0.036</w:t>
      </w:r>
      <w:r>
        <w:rPr>
          <w:sz w:val="22"/>
        </w:rPr>
        <w:tab/>
        <w:t>0.234</w:t>
      </w:r>
      <w:r>
        <w:rPr>
          <w:spacing w:val="60"/>
          <w:w w:val="150"/>
          <w:sz w:val="22"/>
        </w:rPr>
        <w:t> </w:t>
      </w:r>
      <w:r>
        <w:rPr>
          <w:spacing w:val="-2"/>
          <w:sz w:val="22"/>
        </w:rPr>
        <w:t>0.098</w:t>
      </w:r>
    </w:p>
    <w:p>
      <w:pPr>
        <w:tabs>
          <w:tab w:pos="3356" w:val="left" w:leader="none"/>
          <w:tab w:pos="3476" w:val="left" w:leader="none"/>
          <w:tab w:pos="4454" w:val="left" w:leader="none"/>
          <w:tab w:pos="5311" w:val="left" w:leader="none"/>
          <w:tab w:pos="5378" w:val="left" w:leader="none"/>
          <w:tab w:pos="5942" w:val="left" w:leader="none"/>
          <w:tab w:pos="6025" w:val="left" w:leader="none"/>
          <w:tab w:pos="6740" w:val="left" w:leader="none"/>
        </w:tabs>
        <w:spacing w:line="390" w:lineRule="atLeast" w:before="158"/>
        <w:ind w:left="2041" w:right="2323" w:firstLine="0"/>
        <w:jc w:val="center"/>
        <w:rPr>
          <w:sz w:val="22"/>
        </w:rPr>
      </w:pPr>
      <w:r>
        <w:rPr>
          <w:i/>
        </w:rPr>
        <w:t>방법</w:t>
        <w:tab/>
        <w:t>편입수당</w:t>
        <w:tab/>
        <w:tab/>
        <w:t>액체.</w:t>
        <w:tab/>
        <w:t>투자위험 Sybil GMX EndorseRank</w:t>
        <w:tab/>
        <w:tab/>
        <w:t>0.331</w:t>
        <w:tab/>
        <w:t>0.355</w:t>
        <w:tab/>
        <w:t>0.092</w:t>
        <w:tab/>
        <w:tab/>
        <w:t>0.036</w:t>
        <w:tab/>
        <w:t>0.234 0.098</w:t>
      </w:r>
    </w:p>
    <w:p>
      <w:pPr>
        <w:tabs>
          <w:tab w:pos="1435" w:val="left" w:leader="none"/>
          <w:tab w:pos="2376" w:val="left" w:leader="none"/>
          <w:tab w:pos="3274" w:val="left" w:leader="none"/>
          <w:tab w:pos="3984" w:val="left" w:leader="none"/>
          <w:tab w:pos="4698" w:val="left" w:leader="none"/>
        </w:tabs>
        <w:spacing w:before="23"/>
        <w:ind w:left="-1" w:right="291" w:firstLine="0"/>
        <w:jc w:val="center"/>
        <w:rPr>
          <w:sz w:val="22"/>
        </w:rPr>
      </w:pPr>
      <w:r>
        <w:rPr>
          <w:spacing w:val="-5"/>
          <w:sz w:val="22"/>
        </w:rPr>
        <w:t>AWP</w:t>
      </w:r>
      <w:r>
        <w:rPr>
          <w:sz w:val="22"/>
        </w:rPr>
        <w:tab/>
      </w:r>
      <w:r>
        <w:rPr>
          <w:spacing w:val="-2"/>
          <w:sz w:val="22"/>
        </w:rPr>
        <w:t>0.532</w:t>
      </w:r>
      <w:r>
        <w:rPr>
          <w:sz w:val="22"/>
        </w:rPr>
        <w:tab/>
      </w:r>
      <w:r>
        <w:rPr>
          <w:spacing w:val="-2"/>
          <w:sz w:val="22"/>
        </w:rPr>
        <w:t>-0.031</w:t>
      </w:r>
      <w:r>
        <w:rPr>
          <w:sz w:val="22"/>
        </w:rPr>
        <w:tab/>
      </w:r>
      <w:r>
        <w:rPr>
          <w:spacing w:val="-4"/>
          <w:sz w:val="22"/>
        </w:rPr>
        <w:t>0.119</w:t>
      </w:r>
      <w:r>
        <w:rPr>
          <w:sz w:val="22"/>
        </w:rPr>
        <w:tab/>
      </w:r>
      <w:r>
        <w:rPr>
          <w:spacing w:val="-2"/>
          <w:sz w:val="22"/>
        </w:rPr>
        <w:t>0.108</w:t>
      </w:r>
      <w:r>
        <w:rPr>
          <w:sz w:val="22"/>
        </w:rPr>
        <w:tab/>
        <w:t>0.283</w:t>
      </w:r>
      <w:r>
        <w:rPr>
          <w:spacing w:val="60"/>
          <w:w w:val="150"/>
          <w:sz w:val="22"/>
        </w:rPr>
        <w:t> </w:t>
      </w:r>
      <w:r>
        <w:rPr>
          <w:spacing w:val="-2"/>
          <w:sz w:val="22"/>
        </w:rPr>
        <w:t>0.185</w:t>
      </w:r>
    </w:p>
    <w:p>
      <w:pPr>
        <w:pStyle w:val="BodyText"/>
        <w:spacing w:before="4"/>
        <w:rPr>
          <w:sz w:val="5"/>
        </w:rPr>
      </w:pPr>
      <w:r>
        <w:rPr>
          <w:sz w:val="5"/>
        </w:rPr>
        <mc:AlternateContent>
          <mc:Choice Requires="wps">
            <w:drawing>
              <wp:anchor distT="0" distB="0" distL="0" distR="0" allowOverlap="1" layoutInCell="1" locked="0" behindDoc="1" simplePos="0" relativeHeight="487634944">
                <wp:simplePos x="0" y="0"/>
                <wp:positionH relativeFrom="page">
                  <wp:posOffset>1882114</wp:posOffset>
                </wp:positionH>
                <wp:positionV relativeFrom="paragraph">
                  <wp:posOffset>54746</wp:posOffset>
                </wp:positionV>
                <wp:extent cx="3796029"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3796029" cy="1270"/>
                        </a:xfrm>
                        <a:custGeom>
                          <a:avLst/>
                          <a:gdLst/>
                          <a:ahLst/>
                          <a:cxnLst/>
                          <a:rect l="l" t="t" r="r" b="b"/>
                          <a:pathLst>
                            <a:path w="3796029" h="0">
                              <a:moveTo>
                                <a:pt x="0" y="0"/>
                              </a:moveTo>
                              <a:lnTo>
                                <a:pt x="3795763"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197998pt;margin-top:4.310773pt;width:298.9pt;height:.1pt;mso-position-horizontal-relative:page;mso-position-vertical-relative:paragraph;z-index:-15681536;mso-wrap-distance-left:0;mso-wrap-distance-right:0" id="docshape456" coordorigin="2964,86" coordsize="5978,0" path="m2964,86l8942,86e" filled="false" stroked="true" strokeweight=".9564pt" strokecolor="#000000">
                <v:path arrowok="t"/>
                <v:stroke dashstyle="solid"/>
                <w10:wrap type="topAndBottom"/>
              </v:shape>
            </w:pict>
          </mc:Fallback>
        </mc:AlternateContent>
      </w:r>
    </w:p>
    <w:p>
      <w:pPr>
        <w:pStyle w:val="BodyText"/>
        <w:spacing w:before="27"/>
      </w:pPr>
    </w:p>
    <w:p>
      <w:pPr>
        <w:pStyle w:val="BodyText"/>
        <w:spacing w:line="456" w:lineRule="exact"/>
        <w:ind w:left="273" w:right="522" w:firstLine="8"/>
        <w:jc w:val="both"/>
      </w:pPr>
      <w:r>
        <w:rPr/>
        <w:t>Relative to the full-token matched-cohort results in Table </w:t>
      </w:r>
      <w:hyperlink w:history="true" w:anchor="_bookmark101">
        <w:r>
          <w:rPr/>
          <w:t>4.7</w:t>
        </w:r>
      </w:hyperlink>
      <w:r>
        <w:rPr/>
        <w:t>, family-level means change only marginally.</w:t>
      </w:r>
      <w:r>
        <w:rPr>
          <w:spacing w:val="18"/>
        </w:rPr>
        <w:t> </w:t>
      </w:r>
      <w:r>
        <w:rPr/>
        <w:t>EndorseRank</w:t>
      </w:r>
      <w:r>
        <w:rPr>
          <w:spacing w:val="-5"/>
        </w:rPr>
        <w:t> </w:t>
      </w:r>
      <w:r>
        <w:rPr/>
        <w:t>allowance</w:t>
      </w:r>
      <w:r>
        <w:rPr>
          <w:spacing w:val="-5"/>
        </w:rPr>
        <w:t> </w:t>
      </w:r>
      <w:r>
        <w:rPr/>
        <w:t>remains</w:t>
      </w:r>
      <w:r>
        <w:rPr>
          <w:spacing w:val="-5"/>
        </w:rPr>
        <w:t> </w:t>
      </w:r>
      <w:r>
        <w:rPr>
          <w:rFonts w:ascii="Calibri" w:hAnsi="Calibri"/>
        </w:rPr>
        <w:t>0</w:t>
      </w:r>
      <w:r>
        <w:rPr>
          <w:rFonts w:ascii="Calibri" w:hAnsi="Calibri"/>
          <w:i/>
        </w:rPr>
        <w:t>.</w:t>
      </w:r>
      <w:r>
        <w:rPr>
          <w:rFonts w:ascii="Calibri" w:hAnsi="Calibri"/>
        </w:rPr>
        <w:t>355</w:t>
      </w:r>
      <w:r>
        <w:rPr/>
        <w:t>;</w:t>
      </w:r>
      <w:r>
        <w:rPr>
          <w:spacing w:val="-4"/>
        </w:rPr>
        <w:t> </w:t>
      </w:r>
      <w:r>
        <w:rPr/>
        <w:t>transfer</w:t>
      </w:r>
      <w:r>
        <w:rPr>
          <w:spacing w:val="-5"/>
        </w:rPr>
        <w:t> </w:t>
      </w:r>
      <w:r>
        <w:rPr/>
        <w:t>is</w:t>
      </w:r>
      <w:r>
        <w:rPr>
          <w:spacing w:val="-5"/>
        </w:rPr>
        <w:t> </w:t>
      </w:r>
      <w:r>
        <w:rPr>
          <w:rFonts w:ascii="Calibri" w:hAnsi="Calibri"/>
        </w:rPr>
        <w:t>0</w:t>
      </w:r>
      <w:r>
        <w:rPr>
          <w:rFonts w:ascii="Calibri" w:hAnsi="Calibri"/>
          <w:i/>
        </w:rPr>
        <w:t>.</w:t>
      </w:r>
      <w:r>
        <w:rPr>
          <w:rFonts w:ascii="Calibri" w:hAnsi="Calibri"/>
        </w:rPr>
        <w:t>331 </w:t>
      </w:r>
      <w:r>
        <w:rPr/>
        <w:t>(vs.</w:t>
      </w:r>
      <w:r>
        <w:rPr>
          <w:spacing w:val="-5"/>
        </w:rPr>
        <w:t> </w:t>
      </w:r>
      <w:r>
        <w:rPr>
          <w:rFonts w:ascii="Calibri" w:hAnsi="Calibri"/>
        </w:rPr>
        <w:t>0</w:t>
      </w:r>
      <w:r>
        <w:rPr>
          <w:rFonts w:ascii="Calibri" w:hAnsi="Calibri"/>
          <w:i/>
        </w:rPr>
        <w:t>.</w:t>
      </w:r>
      <w:r>
        <w:rPr>
          <w:rFonts w:ascii="Calibri" w:hAnsi="Calibri"/>
        </w:rPr>
        <w:t>333 </w:t>
      </w:r>
      <w:r>
        <w:rPr/>
        <w:t>on</w:t>
      </w:r>
      <w:r>
        <w:rPr>
          <w:spacing w:val="-5"/>
        </w:rPr>
        <w:t> </w:t>
      </w:r>
      <w:r>
        <w:rPr/>
        <w:t>the</w:t>
      </w:r>
      <w:r>
        <w:rPr>
          <w:spacing w:val="-5"/>
        </w:rPr>
        <w:t> </w:t>
      </w:r>
      <w:r>
        <w:rPr/>
        <w:t>full</w:t>
      </w:r>
      <w:r>
        <w:rPr>
          <w:spacing w:val="-5"/>
        </w:rPr>
        <w:t> </w:t>
      </w:r>
      <w:r>
        <w:rPr/>
        <w:t>graph). AWP transfer is </w:t>
      </w:r>
      <w:r>
        <w:rPr>
          <w:rFonts w:ascii="Calibri" w:hAnsi="Calibri"/>
        </w:rPr>
        <w:t>0</w:t>
      </w:r>
      <w:r>
        <w:rPr>
          <w:rFonts w:ascii="Calibri" w:hAnsi="Calibri"/>
          <w:i/>
        </w:rPr>
        <w:t>.</w:t>
      </w:r>
      <w:r>
        <w:rPr>
          <w:rFonts w:ascii="Calibri" w:hAnsi="Calibri"/>
        </w:rPr>
        <w:t>532 </w:t>
      </w:r>
      <w:r>
        <w:rPr/>
        <w:t>(vs. </w:t>
      </w:r>
      <w:r>
        <w:rPr>
          <w:rFonts w:ascii="Calibri" w:hAnsi="Calibri"/>
        </w:rPr>
        <w:t>0</w:t>
      </w:r>
      <w:r>
        <w:rPr>
          <w:rFonts w:ascii="Calibri" w:hAnsi="Calibri"/>
          <w:i/>
        </w:rPr>
        <w:t>.</w:t>
      </w:r>
      <w:r>
        <w:rPr>
          <w:rFonts w:ascii="Calibri" w:hAnsi="Calibri"/>
        </w:rPr>
        <w:t>534</w:t>
      </w:r>
      <w:r>
        <w:rPr/>
        <w:t>), and AWP allowance remains near zero (</w:t>
      </w:r>
      <w:r>
        <w:rPr>
          <w:rFonts w:ascii="Lucida Sans Unicode" w:hAnsi="Lucida Sans Unicode"/>
        </w:rPr>
        <w:t>—</w:t>
      </w:r>
      <w:r>
        <w:rPr>
          <w:rFonts w:ascii="Calibri" w:hAnsi="Calibri"/>
        </w:rPr>
        <w:t>0</w:t>
      </w:r>
      <w:r>
        <w:rPr>
          <w:rFonts w:ascii="Calibri" w:hAnsi="Calibri"/>
          <w:i/>
        </w:rPr>
        <w:t>.</w:t>
      </w:r>
      <w:r>
        <w:rPr>
          <w:rFonts w:ascii="Calibri" w:hAnsi="Calibri"/>
        </w:rPr>
        <w:t>031</w:t>
      </w:r>
      <w:r>
        <w:rPr/>
        <w:t>).</w:t>
      </w:r>
      <w:r>
        <w:rPr>
          <w:spacing w:val="40"/>
        </w:rPr>
        <w:t> </w:t>
      </w:r>
      <w:r>
        <w:rPr/>
        <w:t>Trading-success</w:t>
      </w:r>
      <w:r>
        <w:rPr>
          <w:spacing w:val="-2"/>
        </w:rPr>
        <w:t> </w:t>
      </w:r>
      <w:r>
        <w:rPr/>
        <w:t>and</w:t>
      </w:r>
      <w:r>
        <w:rPr>
          <w:spacing w:val="-2"/>
        </w:rPr>
        <w:t> </w:t>
      </w:r>
      <w:r>
        <w:rPr/>
        <w:t>Sybil-adjusted</w:t>
      </w:r>
      <w:r>
        <w:rPr>
          <w:spacing w:val="-2"/>
        </w:rPr>
        <w:t> </w:t>
      </w:r>
      <w:r>
        <w:rPr/>
        <w:t>stability</w:t>
      </w:r>
      <w:r>
        <w:rPr>
          <w:spacing w:val="-2"/>
        </w:rPr>
        <w:t> </w:t>
      </w:r>
      <w:r>
        <w:rPr/>
        <w:t>means</w:t>
      </w:r>
      <w:r>
        <w:rPr>
          <w:spacing w:val="-2"/>
        </w:rPr>
        <w:t> </w:t>
      </w:r>
      <w:r>
        <w:rPr/>
        <w:t>are</w:t>
      </w:r>
      <w:r>
        <w:rPr>
          <w:spacing w:val="-1"/>
        </w:rPr>
        <w:t> </w:t>
      </w:r>
      <w:r>
        <w:rPr/>
        <w:t>likewise</w:t>
      </w:r>
      <w:r>
        <w:rPr>
          <w:spacing w:val="-2"/>
        </w:rPr>
        <w:t> </w:t>
      </w:r>
      <w:r>
        <w:rPr/>
        <w:t>within</w:t>
      </w:r>
      <w:r>
        <w:rPr>
          <w:spacing w:val="-2"/>
        </w:rPr>
        <w:t> </w:t>
      </w:r>
      <w:r>
        <w:rPr/>
        <w:t>a</w:t>
      </w:r>
      <w:r>
        <w:rPr>
          <w:spacing w:val="-2"/>
        </w:rPr>
        <w:t> </w:t>
      </w:r>
      <w:r>
        <w:rPr/>
        <w:t>few</w:t>
      </w:r>
      <w:r>
        <w:rPr>
          <w:spacing w:val="-2"/>
        </w:rPr>
        <w:t> </w:t>
      </w:r>
      <w:r>
        <w:rPr/>
        <w:t>thousandths</w:t>
      </w:r>
      <w:r>
        <w:rPr>
          <w:spacing w:val="-2"/>
        </w:rPr>
        <w:t> </w:t>
      </w:r>
      <w:r>
        <w:rPr/>
        <w:t>of</w:t>
      </w:r>
      <w:r>
        <w:rPr>
          <w:spacing w:val="-2"/>
        </w:rPr>
        <w:t> </w:t>
      </w:r>
      <w:r>
        <w:rPr/>
        <w:t>the</w:t>
      </w:r>
      <w:r>
        <w:rPr>
          <w:spacing w:val="-2"/>
        </w:rPr>
        <w:t> </w:t>
      </w:r>
      <w:r>
        <w:rPr/>
        <w:t>full-graph values.</w:t>
      </w:r>
      <w:r>
        <w:rPr>
          <w:spacing w:val="14"/>
        </w:rPr>
        <w:t> </w:t>
      </w:r>
      <w:r>
        <w:rPr/>
        <w:t>The</w:t>
      </w:r>
      <w:r>
        <w:rPr>
          <w:spacing w:val="-12"/>
        </w:rPr>
        <w:t> </w:t>
      </w:r>
      <w:r>
        <w:rPr/>
        <w:t>primary</w:t>
      </w:r>
      <w:r>
        <w:rPr>
          <w:spacing w:val="-12"/>
        </w:rPr>
        <w:t> </w:t>
      </w:r>
      <w:r>
        <w:rPr/>
        <w:t>alignment</w:t>
      </w:r>
      <w:r>
        <w:rPr>
          <w:spacing w:val="-12"/>
        </w:rPr>
        <w:t> </w:t>
      </w:r>
      <w:r>
        <w:rPr/>
        <w:t>pattern</w:t>
      </w:r>
      <w:r>
        <w:rPr>
          <w:spacing w:val="-12"/>
        </w:rPr>
        <w:t> </w:t>
      </w:r>
      <w:r>
        <w:rPr/>
        <w:t>is</w:t>
      </w:r>
      <w:r>
        <w:rPr>
          <w:spacing w:val="-12"/>
        </w:rPr>
        <w:t> </w:t>
      </w:r>
      <w:r>
        <w:rPr/>
        <w:t>therefore</w:t>
      </w:r>
      <w:r>
        <w:rPr>
          <w:spacing w:val="-12"/>
        </w:rPr>
        <w:t> </w:t>
      </w:r>
      <w:r>
        <w:rPr/>
        <w:t>not</w:t>
      </w:r>
      <w:r>
        <w:rPr>
          <w:spacing w:val="-12"/>
        </w:rPr>
        <w:t> </w:t>
      </w:r>
      <w:r>
        <w:rPr/>
        <w:t>driven</w:t>
      </w:r>
      <w:r>
        <w:rPr>
          <w:spacing w:val="-12"/>
        </w:rPr>
        <w:t> </w:t>
      </w:r>
      <w:r>
        <w:rPr/>
        <w:t>by</w:t>
      </w:r>
      <w:r>
        <w:rPr>
          <w:spacing w:val="-12"/>
        </w:rPr>
        <w:t> </w:t>
      </w:r>
      <w:r>
        <w:rPr/>
        <w:t>long-tail</w:t>
      </w:r>
      <w:r>
        <w:rPr>
          <w:spacing w:val="-12"/>
        </w:rPr>
        <w:t> </w:t>
      </w:r>
      <w:r>
        <w:rPr/>
        <w:t>tokens</w:t>
      </w:r>
      <w:r>
        <w:rPr>
          <w:spacing w:val="-12"/>
        </w:rPr>
        <w:t> </w:t>
      </w:r>
      <w:r>
        <w:rPr/>
        <w:t>with</w:t>
      </w:r>
      <w:r>
        <w:rPr>
          <w:spacing w:val="-12"/>
        </w:rPr>
        <w:t> </w:t>
      </w:r>
      <w:r>
        <w:rPr/>
        <w:t>sparse,</w:t>
      </w:r>
      <w:r>
        <w:rPr>
          <w:spacing w:val="-10"/>
        </w:rPr>
        <w:t> </w:t>
      </w:r>
      <w:r>
        <w:rPr/>
        <w:t>noisy edges.</w:t>
      </w:r>
      <w:r>
        <w:rPr>
          <w:spacing w:val="27"/>
        </w:rPr>
        <w:t> </w:t>
      </w:r>
      <w:r>
        <w:rPr/>
        <w:t>High-volume</w:t>
      </w:r>
      <w:r>
        <w:rPr>
          <w:spacing w:val="-1"/>
        </w:rPr>
        <w:t> </w:t>
      </w:r>
      <w:r>
        <w:rPr/>
        <w:t>tokens—the</w:t>
      </w:r>
      <w:r>
        <w:rPr>
          <w:spacing w:val="-1"/>
        </w:rPr>
        <w:t> </w:t>
      </w:r>
      <w:r>
        <w:rPr/>
        <w:t>economically</w:t>
      </w:r>
      <w:r>
        <w:rPr>
          <w:spacing w:val="-1"/>
        </w:rPr>
        <w:t> </w:t>
      </w:r>
      <w:r>
        <w:rPr/>
        <w:t>salient</w:t>
      </w:r>
      <w:r>
        <w:rPr>
          <w:spacing w:val="-1"/>
        </w:rPr>
        <w:t> </w:t>
      </w:r>
      <w:r>
        <w:rPr/>
        <w:t>core</w:t>
      </w:r>
      <w:r>
        <w:rPr>
          <w:spacing w:val="-1"/>
        </w:rPr>
        <w:t> </w:t>
      </w:r>
      <w:r>
        <w:rPr/>
        <w:t>of</w:t>
      </w:r>
      <w:r>
        <w:rPr>
          <w:spacing w:val="-1"/>
        </w:rPr>
        <w:t> </w:t>
      </w:r>
      <w:r>
        <w:rPr/>
        <w:t>ERC-20</w:t>
      </w:r>
      <w:r>
        <w:rPr>
          <w:spacing w:val="-1"/>
        </w:rPr>
        <w:t> </w:t>
      </w:r>
      <w:r>
        <w:rPr/>
        <w:t>activity—suffice</w:t>
      </w:r>
      <w:r>
        <w:rPr>
          <w:spacing w:val="-2"/>
        </w:rPr>
        <w:t> </w:t>
      </w:r>
      <w:r>
        <w:rPr/>
        <w:t>to</w:t>
      </w:r>
      <w:r>
        <w:rPr>
          <w:spacing w:val="-1"/>
        </w:rPr>
        <w:t> </w:t>
      </w:r>
      <w:r>
        <w:rPr/>
        <w:t>repro-</w:t>
      </w:r>
      <w:bookmarkStart w:name="Sample-size sensitivity" w:id="177"/>
      <w:bookmarkEnd w:id="177"/>
      <w:r>
        <w:rPr/>
        <w:t>duce</w:t>
      </w:r>
      <w:r>
        <w:rPr/>
        <w:t> the EndorseRank–AWP contrast.</w:t>
      </w:r>
    </w:p>
    <w:p>
      <w:pPr>
        <w:pStyle w:val="BodyText"/>
        <w:spacing w:line="456" w:lineRule="exact"/>
        <w:ind w:left="273" w:right="522" w:firstLine="8"/>
        <w:jc w:val="both"/>
      </w:pPr>
      <w:r>
        <w:rPr>
          <w:i/>
        </w:rPr>
        <w:t>표 4.7의 전체 토큰 일치 코호트 결과와 관련하여 가족 수준의 변화는 미미합니다. EndorseRank 여유는 0.355로 유지되고 전송은 0.331입니다(전체 그래프에서는 0.333). AWP 전송은 0.532(vs. 0.534)이고 AWP 허용량은 0에 가깝습니다(-0.031). 거래 성공 및 Sybil 조정 안정성 평균도 마찬가지로 전체 그래프 값의 수천분의 1 범위 내에 있습니다. 따라서 기본 정렬 패턴은 희박하고 시끄러운 가장자리가 있는 롱테일 토큰에 의해 구동되지 않습니다. ERC-20 활동의 경제적으로 두드러진 핵심인 대용량 토큰은 EndorseRank–AWP 대비를 재현하는 데 충분합니다.</w:t>
      </w:r>
    </w:p>
    <w:p>
      <w:pPr>
        <w:pStyle w:val="BodyText"/>
        <w:spacing w:before="145"/>
      </w:pPr>
    </w:p>
    <w:p>
      <w:pPr>
        <w:pStyle w:val="Heading4"/>
        <w:numPr>
          <w:ilvl w:val="2"/>
          <w:numId w:val="8"/>
        </w:numPr>
        <w:tabs>
          <w:tab w:pos="879" w:val="left" w:leader="none"/>
        </w:tabs>
        <w:spacing w:line="240" w:lineRule="auto" w:before="0" w:after="0"/>
        <w:ind w:left="879" w:right="0" w:hanging="597"/>
        <w:jc w:val="left"/>
      </w:pPr>
      <w:r>
        <w:rPr/>
        <w:t>Sample-size</w:t>
      </w:r>
      <w:r>
        <w:rPr>
          <w:spacing w:val="-14"/>
        </w:rPr>
        <w:t> </w:t>
      </w:r>
      <w:r>
        <w:rPr>
          <w:spacing w:val="-2"/>
        </w:rPr>
        <w:t>sensitivity</w:t>
      </w:r>
    </w:p>
    <w:p>
      <w:pPr>
        <w:pStyle w:val="Heading4"/>
        <w:numPr>
          <w:ilvl w:val="2"/>
          <w:numId w:val="8"/>
        </w:numPr>
        <w:tabs>
          <w:tab w:pos="879" w:val="left" w:leader="none"/>
        </w:tabs>
        <w:spacing w:line="240" w:lineRule="auto" w:before="0" w:after="0"/>
        <w:ind w:left="879" w:right="0" w:hanging="597"/>
        <w:jc w:val="left"/>
      </w:pPr>
      <w:r>
        <w:rPr>
          <w:i/>
        </w:rPr>
        <w:t>샘플 크기 감도</w:t>
      </w:r>
    </w:p>
    <w:p>
      <w:pPr>
        <w:pStyle w:val="BodyText"/>
        <w:spacing w:before="42"/>
        <w:rPr>
          <w:b/>
        </w:rPr>
      </w:pPr>
    </w:p>
    <w:p>
      <w:pPr>
        <w:pStyle w:val="BodyText"/>
        <w:spacing w:line="374" w:lineRule="auto"/>
        <w:ind w:left="273" w:right="564" w:firstLine="1"/>
        <w:jc w:val="both"/>
      </w:pPr>
      <w:r>
        <w:rPr/>
        <w:t>Table</w:t>
      </w:r>
      <w:r>
        <w:rPr>
          <w:spacing w:val="-15"/>
        </w:rPr>
        <w:t> </w:t>
      </w:r>
      <w:hyperlink w:history="true" w:anchor="_bookmark99">
        <w:r>
          <w:rPr/>
          <w:t>4.6</w:t>
        </w:r>
      </w:hyperlink>
      <w:r>
        <w:rPr>
          <w:spacing w:val="-15"/>
        </w:rPr>
        <w:t> </w:t>
      </w:r>
      <w:r>
        <w:rPr/>
        <w:t>summarizes</w:t>
      </w:r>
      <w:r>
        <w:rPr>
          <w:spacing w:val="-15"/>
        </w:rPr>
        <w:t> </w:t>
      </w:r>
      <w:r>
        <w:rPr/>
        <w:t>allowance</w:t>
      </w:r>
      <w:r>
        <w:rPr>
          <w:spacing w:val="-15"/>
        </w:rPr>
        <w:t> </w:t>
      </w:r>
      <w:r>
        <w:rPr/>
        <w:t>and</w:t>
      </w:r>
      <w:r>
        <w:rPr>
          <w:spacing w:val="-15"/>
        </w:rPr>
        <w:t> </w:t>
      </w:r>
      <w:r>
        <w:rPr/>
        <w:t>transfer</w:t>
      </w:r>
      <w:r>
        <w:rPr>
          <w:spacing w:val="-15"/>
        </w:rPr>
        <w:t> </w:t>
      </w:r>
      <w:r>
        <w:rPr>
          <w:rFonts w:ascii="Calibri" w:hAnsi="Calibri"/>
          <w:i/>
        </w:rPr>
        <w:t>τ</w:t>
      </w:r>
      <w:r>
        <w:rPr>
          <w:rFonts w:ascii="Calibri" w:hAnsi="Calibri"/>
          <w:i/>
          <w:spacing w:val="9"/>
        </w:rPr>
        <w:t> </w:t>
      </w:r>
      <w:r>
        <w:rPr/>
        <w:t>at</w:t>
      </w:r>
      <w:r>
        <w:rPr>
          <w:spacing w:val="-15"/>
        </w:rPr>
        <w:t> </w:t>
      </w:r>
      <w:r>
        <w:rPr/>
        <w:t>staged</w:t>
      </w:r>
      <w:r>
        <w:rPr>
          <w:spacing w:val="-15"/>
        </w:rPr>
        <w:t> </w:t>
      </w:r>
      <w:r>
        <w:rPr/>
        <w:t>subsample</w:t>
      </w:r>
      <w:r>
        <w:rPr>
          <w:spacing w:val="-15"/>
        </w:rPr>
        <w:t> </w:t>
      </w:r>
      <w:r>
        <w:rPr/>
        <w:t>sizes</w:t>
      </w:r>
      <w:r>
        <w:rPr>
          <w:spacing w:val="-15"/>
        </w:rPr>
        <w:t> </w:t>
      </w:r>
      <w:r>
        <w:rPr/>
        <w:t>drawn</w:t>
      </w:r>
      <w:r>
        <w:rPr>
          <w:spacing w:val="-15"/>
        </w:rPr>
        <w:t> </w:t>
      </w:r>
      <w:r>
        <w:rPr/>
        <w:t>from</w:t>
      </w:r>
      <w:r>
        <w:rPr>
          <w:spacing w:val="-15"/>
        </w:rPr>
        <w:t> </w:t>
      </w:r>
      <w:r>
        <w:rPr/>
        <w:t>the</w:t>
      </w:r>
      <w:r>
        <w:rPr>
          <w:spacing w:val="-15"/>
        </w:rPr>
        <w:t> </w:t>
      </w:r>
      <w:r>
        <w:rPr/>
        <w:t>expanded </w:t>
      </w:r>
      <w:r>
        <w:rPr>
          <w:w w:val="105"/>
        </w:rPr>
        <w:t>wallet pool (</w:t>
      </w:r>
      <w:r>
        <w:rPr>
          <w:rFonts w:ascii="Calibri" w:hAnsi="Calibri"/>
          <w:i/>
          <w:w w:val="105"/>
        </w:rPr>
        <w:t>N</w:t>
      </w:r>
      <w:r>
        <w:rPr>
          <w:rFonts w:ascii="Calibri" w:hAnsi="Calibri"/>
          <w:i/>
          <w:w w:val="125"/>
        </w:rPr>
        <w:t> </w:t>
      </w:r>
      <w:r>
        <w:rPr>
          <w:rFonts w:ascii="Calibri" w:hAnsi="Calibri"/>
          <w:w w:val="125"/>
        </w:rPr>
        <w:t>= </w:t>
      </w:r>
      <w:r>
        <w:rPr>
          <w:rFonts w:ascii="Calibri" w:hAnsi="Calibri"/>
          <w:w w:val="105"/>
        </w:rPr>
        <w:t>31</w:t>
      </w:r>
      <w:r>
        <w:rPr>
          <w:rFonts w:ascii="Calibri" w:hAnsi="Calibri"/>
          <w:i/>
          <w:w w:val="105"/>
        </w:rPr>
        <w:t>,</w:t>
      </w:r>
      <w:r>
        <w:rPr>
          <w:rFonts w:ascii="Calibri" w:hAnsi="Calibri"/>
          <w:w w:val="105"/>
        </w:rPr>
        <w:t>612</w:t>
      </w:r>
      <w:r>
        <w:rPr>
          <w:w w:val="105"/>
        </w:rPr>
        <w:t>).</w:t>
      </w:r>
    </w:p>
    <w:p>
      <w:pPr>
        <w:pStyle w:val="BodyText"/>
        <w:spacing w:line="374" w:lineRule="auto"/>
        <w:ind w:left="273" w:right="564" w:firstLine="1"/>
        <w:jc w:val="both"/>
      </w:pPr>
      <w:r>
        <w:rPr>
          <w:i/>
        </w:rPr>
        <w:t>표 4.6은 확장된 지갑 풀(N = 31,612)에서 추출한 단계적 하위 표본 크기의 허용량 및 이체 τ를 요약합니다.</w:t>
      </w:r>
    </w:p>
    <w:p>
      <w:pPr>
        <w:pStyle w:val="BodyText"/>
        <w:spacing w:line="237" w:lineRule="auto" w:before="62"/>
        <w:ind w:left="282" w:right="544" w:hanging="8"/>
        <w:jc w:val="both"/>
      </w:pPr>
      <w:bookmarkStart w:name="_bookmark99" w:id="178"/>
      <w:bookmarkEnd w:id="178"/>
      <w:r>
        <w:rPr/>
      </w:r>
      <w:r>
        <w:rPr>
          <w:spacing w:val="-2"/>
          <w:w w:val="105"/>
        </w:rPr>
        <w:t>Table</w:t>
      </w:r>
      <w:r>
        <w:rPr>
          <w:spacing w:val="-14"/>
          <w:w w:val="105"/>
        </w:rPr>
        <w:t> </w:t>
      </w:r>
      <w:r>
        <w:rPr>
          <w:spacing w:val="-2"/>
          <w:w w:val="105"/>
        </w:rPr>
        <w:t>4.6:</w:t>
      </w:r>
      <w:r>
        <w:rPr>
          <w:spacing w:val="7"/>
          <w:w w:val="105"/>
        </w:rPr>
        <w:t> </w:t>
      </w:r>
      <w:r>
        <w:rPr>
          <w:spacing w:val="-2"/>
          <w:w w:val="105"/>
        </w:rPr>
        <w:t>Robustness:</w:t>
      </w:r>
      <w:r>
        <w:rPr>
          <w:spacing w:val="7"/>
          <w:w w:val="105"/>
        </w:rPr>
        <w:t> </w:t>
      </w:r>
      <w:r>
        <w:rPr>
          <w:spacing w:val="-2"/>
          <w:w w:val="105"/>
        </w:rPr>
        <w:t>alignment</w:t>
      </w:r>
      <w:r>
        <w:rPr>
          <w:spacing w:val="-14"/>
          <w:w w:val="105"/>
        </w:rPr>
        <w:t> </w:t>
      </w:r>
      <w:r>
        <w:rPr>
          <w:spacing w:val="-2"/>
          <w:w w:val="105"/>
        </w:rPr>
        <w:t>and</w:t>
      </w:r>
      <w:r>
        <w:rPr>
          <w:spacing w:val="-14"/>
          <w:w w:val="105"/>
        </w:rPr>
        <w:t> </w:t>
      </w:r>
      <w:r>
        <w:rPr>
          <w:spacing w:val="-2"/>
          <w:w w:val="105"/>
        </w:rPr>
        <w:t>runtime</w:t>
      </w:r>
      <w:r>
        <w:rPr>
          <w:spacing w:val="-14"/>
          <w:w w:val="105"/>
        </w:rPr>
        <w:t> </w:t>
      </w:r>
      <w:r>
        <w:rPr>
          <w:spacing w:val="-2"/>
          <w:w w:val="105"/>
        </w:rPr>
        <w:t>vs.</w:t>
      </w:r>
      <w:r>
        <w:rPr>
          <w:spacing w:val="-13"/>
          <w:w w:val="105"/>
        </w:rPr>
        <w:t> </w:t>
      </w:r>
      <w:r>
        <w:rPr>
          <w:spacing w:val="-2"/>
          <w:w w:val="105"/>
        </w:rPr>
        <w:t>subsample</w:t>
      </w:r>
      <w:r>
        <w:rPr>
          <w:spacing w:val="-14"/>
          <w:w w:val="105"/>
        </w:rPr>
        <w:t> </w:t>
      </w:r>
      <w:r>
        <w:rPr>
          <w:spacing w:val="-2"/>
          <w:w w:val="105"/>
        </w:rPr>
        <w:t>size</w:t>
      </w:r>
      <w:r>
        <w:rPr>
          <w:spacing w:val="-14"/>
          <w:w w:val="105"/>
        </w:rPr>
        <w:t> </w:t>
      </w:r>
      <w:r>
        <w:rPr>
          <w:spacing w:val="-2"/>
          <w:w w:val="105"/>
        </w:rPr>
        <w:t>from</w:t>
      </w:r>
      <w:r>
        <w:rPr>
          <w:spacing w:val="-14"/>
          <w:w w:val="105"/>
        </w:rPr>
        <w:t> </w:t>
      </w:r>
      <w:r>
        <w:rPr>
          <w:spacing w:val="-2"/>
          <w:w w:val="105"/>
        </w:rPr>
        <w:t>wallet</w:t>
      </w:r>
      <w:r>
        <w:rPr>
          <w:spacing w:val="-13"/>
          <w:w w:val="105"/>
        </w:rPr>
        <w:t> </w:t>
      </w:r>
      <w:r>
        <w:rPr>
          <w:spacing w:val="-2"/>
          <w:w w:val="105"/>
        </w:rPr>
        <w:t>pool</w:t>
      </w:r>
      <w:r>
        <w:rPr>
          <w:spacing w:val="-14"/>
          <w:w w:val="105"/>
        </w:rPr>
        <w:t> </w:t>
      </w:r>
      <w:r>
        <w:rPr>
          <w:spacing w:val="-2"/>
          <w:w w:val="105"/>
        </w:rPr>
        <w:t>(</w:t>
      </w:r>
      <w:r>
        <w:rPr>
          <w:rFonts w:ascii="Calibri" w:hAnsi="Calibri"/>
          <w:i/>
          <w:spacing w:val="-2"/>
          <w:w w:val="105"/>
        </w:rPr>
        <w:t>N</w:t>
      </w:r>
      <w:r>
        <w:rPr>
          <w:rFonts w:ascii="Calibri" w:hAnsi="Calibri"/>
          <w:i/>
          <w:spacing w:val="12"/>
          <w:w w:val="125"/>
        </w:rPr>
        <w:t> </w:t>
      </w:r>
      <w:r>
        <w:rPr>
          <w:rFonts w:ascii="Calibri" w:hAnsi="Calibri"/>
          <w:spacing w:val="-2"/>
          <w:w w:val="125"/>
        </w:rPr>
        <w:t>=</w:t>
      </w:r>
      <w:r>
        <w:rPr>
          <w:rFonts w:ascii="Calibri" w:hAnsi="Calibri"/>
          <w:spacing w:val="-7"/>
          <w:w w:val="125"/>
        </w:rPr>
        <w:t> </w:t>
      </w:r>
      <w:r>
        <w:rPr>
          <w:rFonts w:ascii="Calibri" w:hAnsi="Calibri"/>
          <w:spacing w:val="-2"/>
          <w:w w:val="105"/>
        </w:rPr>
        <w:t>31612</w:t>
      </w:r>
      <w:r>
        <w:rPr>
          <w:spacing w:val="-2"/>
          <w:w w:val="105"/>
        </w:rPr>
        <w:t>; </w:t>
      </w:r>
      <w:r>
        <w:rPr>
          <w:w w:val="105"/>
        </w:rPr>
        <w:t>seed </w:t>
      </w:r>
      <w:r>
        <w:rPr>
          <w:rFonts w:ascii="Calibri" w:hAnsi="Calibri"/>
          <w:w w:val="105"/>
        </w:rPr>
        <w:t>benchmark-tier2-v1</w:t>
      </w:r>
      <w:r>
        <w:rPr>
          <w:w w:val="105"/>
        </w:rPr>
        <w:t>).</w:t>
      </w:r>
    </w:p>
    <w:p>
      <w:pPr>
        <w:pStyle w:val="BodyText"/>
        <w:spacing w:line="237" w:lineRule="auto" w:before="62"/>
        <w:ind w:left="282" w:right="544" w:hanging="8"/>
        <w:jc w:val="both"/>
      </w:pPr>
      <w:r>
        <w:rPr>
          <w:i/>
        </w:rPr>
        <w:t>표 4.6: 견고성: 정렬 및 런타임과 지갑 풀의 하위 샘플 크기(N = 31612, 시드 벤치마크-tier2-v1).</w:t>
      </w:r>
    </w:p>
    <w:p>
      <w:pPr>
        <w:pStyle w:val="BodyText"/>
        <w:spacing w:before="11"/>
        <w:rPr>
          <w:sz w:val="17"/>
        </w:rPr>
      </w:pPr>
      <w:r>
        <w:rPr>
          <w:sz w:val="17"/>
        </w:rPr>
        <mc:AlternateContent>
          <mc:Choice Requires="wps">
            <w:drawing>
              <wp:anchor distT="0" distB="0" distL="0" distR="0" allowOverlap="1" layoutInCell="1" locked="0" behindDoc="1" simplePos="0" relativeHeight="487635456">
                <wp:simplePos x="0" y="0"/>
                <wp:positionH relativeFrom="page">
                  <wp:posOffset>2274722</wp:posOffset>
                </wp:positionH>
                <wp:positionV relativeFrom="paragraph">
                  <wp:posOffset>146356</wp:posOffset>
                </wp:positionV>
                <wp:extent cx="3011170" cy="127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3011170" cy="1270"/>
                        </a:xfrm>
                        <a:custGeom>
                          <a:avLst/>
                          <a:gdLst/>
                          <a:ahLst/>
                          <a:cxnLst/>
                          <a:rect l="l" t="t" r="r" b="b"/>
                          <a:pathLst>
                            <a:path w="3011170" h="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112pt;margin-top:11.52417pt;width:237.1pt;height:.1pt;mso-position-horizontal-relative:page;mso-position-vertical-relative:paragraph;z-index:-15681024;mso-wrap-distance-left:0;mso-wrap-distance-right:0" id="docshape457" coordorigin="3582,230" coordsize="4742,0" path="m3582,230l8323,230e" filled="false" stroked="true" strokeweight=".9564pt" strokecolor="#000000">
                <v:path arrowok="t"/>
                <v:stroke dashstyle="solid"/>
                <w10:wrap type="topAndBottom"/>
              </v:shape>
            </w:pict>
          </mc:Fallback>
        </mc:AlternateContent>
      </w:r>
    </w:p>
    <w:p>
      <w:pPr>
        <w:tabs>
          <w:tab w:pos="4241" w:val="left" w:leader="none"/>
          <w:tab w:pos="5033" w:val="left" w:leader="none"/>
          <w:tab w:pos="5776" w:val="left" w:leader="none"/>
          <w:tab w:pos="6640" w:val="left" w:leader="none"/>
        </w:tabs>
        <w:spacing w:line="380" w:lineRule="atLeast" w:before="0"/>
        <w:ind w:left="2659" w:right="2942" w:firstLine="414"/>
        <w:jc w:val="left"/>
        <w:rPr>
          <w:sz w:val="22"/>
        </w:rPr>
      </w:pPr>
      <w:r>
        <w:rPr>
          <w:rFonts w:ascii="Calibri"/>
          <w:i/>
          <w:sz w:val="22"/>
        </w:rPr>
        <w:t>n</w:t>
      </w:r>
      <w:r>
        <w:rPr>
          <w:rFonts w:ascii="Calibri"/>
          <w:i/>
          <w:spacing w:val="74"/>
          <w:sz w:val="22"/>
        </w:rPr>
        <w:t> </w:t>
      </w:r>
      <w:r>
        <w:rPr>
          <w:sz w:val="22"/>
        </w:rPr>
        <w:t>ER</w:t>
      </w:r>
      <w:r>
        <w:rPr>
          <w:spacing w:val="-7"/>
          <w:sz w:val="22"/>
        </w:rPr>
        <w:t> </w:t>
      </w:r>
      <w:r>
        <w:rPr>
          <w:sz w:val="22"/>
        </w:rPr>
        <w:t>all.</w:t>
      </w:r>
      <w:r>
        <w:rPr>
          <w:spacing w:val="40"/>
          <w:sz w:val="22"/>
        </w:rPr>
        <w:t> </w:t>
      </w:r>
      <w:r>
        <w:rPr>
          <w:sz w:val="22"/>
        </w:rPr>
        <w:t>AWP</w:t>
      </w:r>
      <w:r>
        <w:rPr>
          <w:spacing w:val="-7"/>
          <w:sz w:val="22"/>
        </w:rPr>
        <w:t> </w:t>
      </w:r>
      <w:r>
        <w:rPr>
          <w:sz w:val="22"/>
        </w:rPr>
        <w:t>all.</w:t>
      </w:r>
      <w:r>
        <w:rPr>
          <w:spacing w:val="40"/>
          <w:sz w:val="22"/>
        </w:rPr>
        <w:t> </w:t>
      </w:r>
      <w:r>
        <w:rPr>
          <w:sz w:val="22"/>
        </w:rPr>
        <w:t>ER</w:t>
      </w:r>
      <w:r>
        <w:rPr>
          <w:spacing w:val="-7"/>
          <w:sz w:val="22"/>
        </w:rPr>
        <w:t> </w:t>
      </w:r>
      <w:r>
        <w:rPr>
          <w:sz w:val="22"/>
        </w:rPr>
        <w:t>tr.</w:t>
      </w:r>
      <w:r>
        <w:rPr>
          <w:spacing w:val="40"/>
          <w:sz w:val="22"/>
        </w:rPr>
        <w:t> </w:t>
      </w:r>
      <w:r>
        <w:rPr>
          <w:sz w:val="22"/>
        </w:rPr>
        <w:t>AWP</w:t>
      </w:r>
      <w:r>
        <w:rPr>
          <w:spacing w:val="-7"/>
          <w:sz w:val="22"/>
        </w:rPr>
        <w:t> </w:t>
      </w:r>
      <w:r>
        <w:rPr>
          <w:sz w:val="22"/>
        </w:rPr>
        <w:t>tr.</w:t>
      </w:r>
      <w:r>
        <w:rPr>
          <w:spacing w:val="40"/>
          <w:sz w:val="22"/>
        </w:rPr>
        <w:t> </w:t>
      </w:r>
      <w:r>
        <w:rPr>
          <w:sz w:val="22"/>
        </w:rPr>
        <w:t>Speedup 10000</w:t>
      </w:r>
      <w:r>
        <w:rPr>
          <w:spacing w:val="80"/>
          <w:sz w:val="22"/>
        </w:rPr>
        <w:t> </w:t>
      </w:r>
      <w:r>
        <w:rPr>
          <w:sz w:val="22"/>
        </w:rPr>
        <w:t>0.555</w:t>
        <w:tab/>
      </w:r>
      <w:r>
        <w:rPr>
          <w:spacing w:val="-2"/>
          <w:sz w:val="22"/>
        </w:rPr>
        <w:t>0.016</w:t>
      </w:r>
      <w:r>
        <w:rPr>
          <w:sz w:val="22"/>
        </w:rPr>
        <w:tab/>
      </w:r>
      <w:r>
        <w:rPr>
          <w:spacing w:val="-2"/>
          <w:sz w:val="22"/>
        </w:rPr>
        <w:t>0.429</w:t>
      </w:r>
      <w:r>
        <w:rPr>
          <w:sz w:val="22"/>
        </w:rPr>
        <w:tab/>
      </w:r>
      <w:r>
        <w:rPr>
          <w:spacing w:val="-2"/>
          <w:sz w:val="22"/>
        </w:rPr>
        <w:t>0.789</w:t>
      </w:r>
      <w:r>
        <w:rPr>
          <w:sz w:val="22"/>
        </w:rPr>
        <w:tab/>
      </w:r>
      <w:r>
        <w:rPr>
          <w:spacing w:val="-2"/>
          <w:sz w:val="22"/>
        </w:rPr>
        <w:t>8.960</w:t>
      </w:r>
    </w:p>
    <w:p>
      <w:pPr>
        <w:tabs>
          <w:tab w:pos="4241" w:val="left" w:leader="none"/>
          <w:tab w:pos="5033" w:val="left" w:leader="none"/>
          <w:tab w:pos="5776" w:val="left" w:leader="none"/>
          <w:tab w:pos="6640" w:val="left" w:leader="none"/>
        </w:tabs>
        <w:spacing w:line="380" w:lineRule="atLeast" w:before="0"/>
        <w:ind w:left="2659" w:right="2942" w:firstLine="414"/>
        <w:jc w:val="left"/>
        <w:rPr>
          <w:sz w:val="22"/>
        </w:rPr>
      </w:pPr>
      <w:r>
        <w:rPr>
          <w:i/>
        </w:rPr>
        <w:t>n 응급실 모두. AWP 모두. 응급실 tr. AWP tr. 속도 향상 10000 0.555</w:t>
        <w:tab/>
        <w:t>0.016</w:t>
        <w:tab/>
        <w:t>0.429</w:t>
        <w:tab/>
        <w:t>0.789</w:t>
        <w:tab/>
        <w:t>8.960</w:t>
      </w:r>
    </w:p>
    <w:p>
      <w:pPr>
        <w:tabs>
          <w:tab w:pos="4241" w:val="left" w:leader="none"/>
          <w:tab w:pos="5033" w:val="left" w:leader="none"/>
          <w:tab w:pos="5776" w:val="left" w:leader="none"/>
          <w:tab w:pos="6640" w:val="left" w:leader="none"/>
        </w:tabs>
        <w:spacing w:before="0"/>
        <w:ind w:left="2659" w:right="0" w:firstLine="0"/>
        <w:jc w:val="left"/>
        <w:rPr>
          <w:sz w:val="22"/>
        </w:rPr>
      </w:pPr>
      <w:r>
        <w:rPr>
          <w:sz w:val="22"/>
        </w:rPr>
        <mc:AlternateContent>
          <mc:Choice Requires="wps">
            <w:drawing>
              <wp:anchor distT="0" distB="0" distL="0" distR="0" allowOverlap="1" layoutInCell="1" locked="0" behindDoc="1" simplePos="0" relativeHeight="487635968">
                <wp:simplePos x="0" y="0"/>
                <wp:positionH relativeFrom="page">
                  <wp:posOffset>2274722</wp:posOffset>
                </wp:positionH>
                <wp:positionV relativeFrom="paragraph">
                  <wp:posOffset>190145</wp:posOffset>
                </wp:positionV>
                <wp:extent cx="3011170" cy="1270"/>
                <wp:effectExtent l="0" t="0" r="0" b="0"/>
                <wp:wrapTopAndBottom/>
                <wp:docPr id="661" name="Graphic 661"/>
                <wp:cNvGraphicFramePr>
                  <a:graphicFrameLocks/>
                </wp:cNvGraphicFramePr>
                <a:graphic>
                  <a:graphicData uri="http://schemas.microsoft.com/office/word/2010/wordprocessingShape">
                    <wps:wsp>
                      <wps:cNvPr id="661" name="Graphic 661"/>
                      <wps:cNvSpPr/>
                      <wps:spPr>
                        <a:xfrm>
                          <a:off x="0" y="0"/>
                          <a:ext cx="3011170" cy="1270"/>
                        </a:xfrm>
                        <a:custGeom>
                          <a:avLst/>
                          <a:gdLst/>
                          <a:ahLst/>
                          <a:cxnLst/>
                          <a:rect l="l" t="t" r="r" b="b"/>
                          <a:pathLst>
                            <a:path w="3011170" h="0">
                              <a:moveTo>
                                <a:pt x="0" y="0"/>
                              </a:moveTo>
                              <a:lnTo>
                                <a:pt x="3010547"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112pt;margin-top:14.972086pt;width:237.1pt;height:.1pt;mso-position-horizontal-relative:page;mso-position-vertical-relative:paragraph;z-index:-15680512;mso-wrap-distance-left:0;mso-wrap-distance-right:0" id="docshape458" coordorigin="3582,299" coordsize="4742,0" path="m3582,299l8323,299e" filled="false" stroked="true" strokeweight=".9564pt" strokecolor="#000000">
                <v:path arrowok="t"/>
                <v:stroke dashstyle="solid"/>
                <w10:wrap type="topAndBottom"/>
              </v:shape>
            </w:pict>
          </mc:Fallback>
        </mc:AlternateContent>
      </w:r>
      <w:r>
        <w:rPr>
          <w:sz w:val="22"/>
        </w:rPr>
        <mc:AlternateContent>
          <mc:Choice Requires="wps">
            <w:drawing>
              <wp:anchor distT="0" distB="0" distL="0" distR="0" allowOverlap="1" layoutInCell="1" locked="0" behindDoc="0" simplePos="0" relativeHeight="15778304">
                <wp:simplePos x="0" y="0"/>
                <wp:positionH relativeFrom="page">
                  <wp:posOffset>2274722</wp:posOffset>
                </wp:positionH>
                <wp:positionV relativeFrom="paragraph">
                  <wp:posOffset>-235177</wp:posOffset>
                </wp:positionV>
                <wp:extent cx="3011170" cy="1270"/>
                <wp:effectExtent l="0" t="0" r="0" b="0"/>
                <wp:wrapNone/>
                <wp:docPr id="662" name="Graphic 662"/>
                <wp:cNvGraphicFramePr>
                  <a:graphicFrameLocks/>
                </wp:cNvGraphicFramePr>
                <a:graphic>
                  <a:graphicData uri="http://schemas.microsoft.com/office/word/2010/wordprocessingShape">
                    <wps:wsp>
                      <wps:cNvPr id="662" name="Graphic 662"/>
                      <wps:cNvSpPr/>
                      <wps:spPr>
                        <a:xfrm>
                          <a:off x="0" y="0"/>
                          <a:ext cx="3011170" cy="1270"/>
                        </a:xfrm>
                        <a:custGeom>
                          <a:avLst/>
                          <a:gdLst/>
                          <a:ahLst/>
                          <a:cxnLst/>
                          <a:rect l="l" t="t" r="r" b="b"/>
                          <a:pathLst>
                            <a:path w="3011170" h="0">
                              <a:moveTo>
                                <a:pt x="0" y="0"/>
                              </a:moveTo>
                              <a:lnTo>
                                <a:pt x="3010547"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179.112pt,-18.517914pt" to="416.163pt,-18.517914pt" stroked="true" strokeweight=".5978pt" strokecolor="#000000">
                <v:stroke dashstyle="solid"/>
                <w10:wrap type="none"/>
              </v:line>
            </w:pict>
          </mc:Fallback>
        </mc:AlternateContent>
      </w:r>
      <w:r>
        <w:rPr>
          <w:sz w:val="22"/>
        </w:rPr>
        <w:t>31612</w:t>
      </w:r>
      <w:r>
        <w:rPr>
          <w:spacing w:val="40"/>
          <w:sz w:val="22"/>
        </w:rPr>
        <w:t>  </w:t>
      </w:r>
      <w:r>
        <w:rPr>
          <w:spacing w:val="-4"/>
          <w:sz w:val="22"/>
        </w:rPr>
        <w:t>0.533</w:t>
      </w:r>
      <w:r>
        <w:rPr>
          <w:sz w:val="22"/>
        </w:rPr>
        <w:tab/>
      </w:r>
      <w:r>
        <w:rPr>
          <w:spacing w:val="-2"/>
          <w:sz w:val="22"/>
        </w:rPr>
        <w:t>0.021</w:t>
      </w:r>
      <w:r>
        <w:rPr>
          <w:sz w:val="22"/>
        </w:rPr>
        <w:tab/>
      </w:r>
      <w:r>
        <w:rPr>
          <w:spacing w:val="-2"/>
          <w:sz w:val="22"/>
        </w:rPr>
        <w:t>0.443</w:t>
      </w:r>
      <w:r>
        <w:rPr>
          <w:sz w:val="22"/>
        </w:rPr>
        <w:tab/>
      </w:r>
      <w:r>
        <w:rPr>
          <w:spacing w:val="-2"/>
          <w:sz w:val="22"/>
        </w:rPr>
        <w:t>0.797</w:t>
      </w:r>
      <w:r>
        <w:rPr>
          <w:sz w:val="22"/>
        </w:rPr>
        <w:tab/>
      </w:r>
      <w:r>
        <w:rPr>
          <w:spacing w:val="-2"/>
          <w:sz w:val="22"/>
        </w:rPr>
        <w:t>9.930</w:t>
      </w:r>
    </w:p>
    <w:p>
      <w:pPr>
        <w:pStyle w:val="BodyText"/>
        <w:spacing w:before="164"/>
      </w:pPr>
    </w:p>
    <w:p>
      <w:pPr>
        <w:pStyle w:val="BodyText"/>
        <w:spacing w:line="333" w:lineRule="auto"/>
        <w:ind w:left="276" w:right="563" w:hanging="3"/>
        <w:jc w:val="both"/>
      </w:pPr>
      <w:r>
        <w:rPr>
          <w:w w:val="105"/>
        </w:rPr>
        <w:t>At</w:t>
      </w:r>
      <w:r>
        <w:rPr>
          <w:spacing w:val="-16"/>
          <w:w w:val="105"/>
        </w:rPr>
        <w:t> </w:t>
      </w:r>
      <w:r>
        <w:rPr>
          <w:rFonts w:ascii="Calibri" w:hAnsi="Calibri"/>
          <w:i/>
          <w:w w:val="105"/>
        </w:rPr>
        <w:t>n</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10</w:t>
      </w:r>
      <w:r>
        <w:rPr>
          <w:rFonts w:ascii="Calibri" w:hAnsi="Calibri"/>
          <w:i/>
          <w:w w:val="105"/>
        </w:rPr>
        <w:t>,</w:t>
      </w:r>
      <w:r>
        <w:rPr>
          <w:rFonts w:ascii="Calibri" w:hAnsi="Calibri"/>
          <w:w w:val="105"/>
        </w:rPr>
        <w:t>000</w:t>
      </w:r>
      <w:r>
        <w:rPr>
          <w:rFonts w:ascii="Calibri" w:hAnsi="Calibri"/>
          <w:spacing w:val="-15"/>
          <w:w w:val="105"/>
        </w:rPr>
        <w:t> </w:t>
      </w:r>
      <w:r>
        <w:rPr>
          <w:w w:val="105"/>
        </w:rPr>
        <w:t>and</w:t>
      </w:r>
      <w:r>
        <w:rPr>
          <w:spacing w:val="-15"/>
          <w:w w:val="105"/>
        </w:rPr>
        <w:t> </w:t>
      </w:r>
      <w:r>
        <w:rPr>
          <w:rFonts w:ascii="Calibri" w:hAnsi="Calibri"/>
          <w:i/>
          <w:w w:val="105"/>
        </w:rPr>
        <w:t>N</w:t>
      </w:r>
      <w:r>
        <w:rPr>
          <w:rFonts w:ascii="Calibri" w:hAnsi="Calibri"/>
          <w:i/>
          <w:spacing w:val="-12"/>
          <w:w w:val="105"/>
        </w:rPr>
        <w:t> </w:t>
      </w:r>
      <w:r>
        <w:rPr>
          <w:rFonts w:ascii="Calibri" w:hAnsi="Calibri"/>
          <w:w w:val="125"/>
        </w:rPr>
        <w:t>=</w:t>
      </w:r>
      <w:r>
        <w:rPr>
          <w:rFonts w:ascii="Calibri" w:hAnsi="Calibri"/>
          <w:spacing w:val="-15"/>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6"/>
          <w:w w:val="105"/>
        </w:rPr>
        <w:t> </w:t>
      </w:r>
      <w:r>
        <w:rPr>
          <w:w w:val="105"/>
        </w:rPr>
        <w:t>EndorseRank</w:t>
      </w:r>
      <w:r>
        <w:rPr>
          <w:spacing w:val="-15"/>
          <w:w w:val="105"/>
        </w:rPr>
        <w:t> </w:t>
      </w:r>
      <w:r>
        <w:rPr>
          <w:w w:val="105"/>
        </w:rPr>
        <w:t>continues</w:t>
      </w:r>
      <w:r>
        <w:rPr>
          <w:spacing w:val="-16"/>
          <w:w w:val="105"/>
        </w:rPr>
        <w:t> </w:t>
      </w:r>
      <w:r>
        <w:rPr>
          <w:w w:val="105"/>
        </w:rPr>
        <w:t>to</w:t>
      </w:r>
      <w:r>
        <w:rPr>
          <w:spacing w:val="-16"/>
          <w:w w:val="105"/>
        </w:rPr>
        <w:t> </w:t>
      </w:r>
      <w:r>
        <w:rPr>
          <w:w w:val="105"/>
        </w:rPr>
        <w:t>dominate</w:t>
      </w:r>
      <w:r>
        <w:rPr>
          <w:spacing w:val="-16"/>
          <w:w w:val="105"/>
        </w:rPr>
        <w:t> </w:t>
      </w:r>
      <w:r>
        <w:rPr>
          <w:w w:val="105"/>
        </w:rPr>
        <w:t>on</w:t>
      </w:r>
      <w:r>
        <w:rPr>
          <w:spacing w:val="-15"/>
          <w:w w:val="105"/>
        </w:rPr>
        <w:t> </w:t>
      </w:r>
      <w:r>
        <w:rPr>
          <w:w w:val="105"/>
        </w:rPr>
        <w:t>allowance</w:t>
      </w:r>
      <w:r>
        <w:rPr>
          <w:spacing w:val="-16"/>
          <w:w w:val="105"/>
        </w:rPr>
        <w:t> </w:t>
      </w:r>
      <w:r>
        <w:rPr>
          <w:w w:val="105"/>
        </w:rPr>
        <w:t>and</w:t>
      </w:r>
      <w:r>
        <w:rPr>
          <w:spacing w:val="-16"/>
          <w:w w:val="105"/>
        </w:rPr>
        <w:t> </w:t>
      </w:r>
      <w:r>
        <w:rPr>
          <w:w w:val="105"/>
        </w:rPr>
        <w:t>AWP</w:t>
      </w:r>
      <w:r>
        <w:rPr>
          <w:spacing w:val="-16"/>
          <w:w w:val="105"/>
        </w:rPr>
        <w:t> </w:t>
      </w:r>
      <w:r>
        <w:rPr>
          <w:w w:val="105"/>
        </w:rPr>
        <w:t>on </w:t>
      </w:r>
      <w:r>
        <w:rPr/>
        <w:t>transfer, with EndorseRank speedups of approximately </w:t>
      </w:r>
      <w:r>
        <w:rPr>
          <w:rFonts w:ascii="Calibri" w:hAnsi="Calibri"/>
        </w:rPr>
        <w:t>9</w:t>
      </w:r>
      <w:r>
        <w:rPr>
          <w:rFonts w:ascii="Calibri" w:hAnsi="Calibri"/>
          <w:i/>
        </w:rPr>
        <w:t>.</w:t>
      </w:r>
      <w:r>
        <w:rPr>
          <w:rFonts w:ascii="Calibri" w:hAnsi="Calibri"/>
        </w:rPr>
        <w:t>0</w:t>
      </w:r>
      <w:r>
        <w:rPr>
          <w:rFonts w:ascii="Lucida Sans Unicode" w:hAnsi="Lucida Sans Unicode"/>
        </w:rPr>
        <w:t>×</w:t>
      </w:r>
      <w:r>
        <w:rPr>
          <w:rFonts w:ascii="Lucida Sans Unicode" w:hAnsi="Lucida Sans Unicode"/>
          <w:spacing w:val="-9"/>
        </w:rPr>
        <w:t> </w:t>
      </w:r>
      <w:r>
        <w:rPr/>
        <w:t>and </w:t>
      </w:r>
      <w:r>
        <w:rPr>
          <w:rFonts w:ascii="Calibri" w:hAnsi="Calibri"/>
        </w:rPr>
        <w:t>9</w:t>
      </w:r>
      <w:r>
        <w:rPr>
          <w:rFonts w:ascii="Calibri" w:hAnsi="Calibri"/>
          <w:i/>
        </w:rPr>
        <w:t>.</w:t>
      </w:r>
      <w:r>
        <w:rPr>
          <w:rFonts w:ascii="Calibri" w:hAnsi="Calibri"/>
        </w:rPr>
        <w:t>9</w:t>
      </w:r>
      <w:r>
        <w:rPr>
          <w:rFonts w:ascii="Lucida Sans Unicode" w:hAnsi="Lucida Sans Unicode"/>
        </w:rPr>
        <w:t>×</w:t>
      </w:r>
      <w:r>
        <w:rPr/>
        <w:t>, respectively.</w:t>
      </w:r>
      <w:r>
        <w:rPr>
          <w:spacing w:val="40"/>
        </w:rPr>
        <w:t> </w:t>
      </w:r>
      <w:r>
        <w:rPr/>
        <w:t>Absolute </w:t>
      </w:r>
      <w:r>
        <w:rPr>
          <w:rFonts w:ascii="Calibri" w:hAnsi="Calibri"/>
          <w:i/>
        </w:rPr>
        <w:t>τ </w:t>
      </w:r>
      <w:r>
        <w:rPr/>
        <w:t>values</w:t>
      </w:r>
      <w:r>
        <w:rPr>
          <w:spacing w:val="7"/>
        </w:rPr>
        <w:t> </w:t>
      </w:r>
      <w:r>
        <w:rPr/>
        <w:t>differ</w:t>
      </w:r>
      <w:r>
        <w:rPr>
          <w:spacing w:val="7"/>
        </w:rPr>
        <w:t> </w:t>
      </w:r>
      <w:r>
        <w:rPr/>
        <w:t>from</w:t>
      </w:r>
      <w:r>
        <w:rPr>
          <w:spacing w:val="7"/>
        </w:rPr>
        <w:t> </w:t>
      </w:r>
      <w:r>
        <w:rPr/>
        <w:t>the</w:t>
      </w:r>
      <w:r>
        <w:rPr>
          <w:spacing w:val="8"/>
        </w:rPr>
        <w:t> </w:t>
      </w:r>
      <w:r>
        <w:rPr/>
        <w:t>matched-cohort</w:t>
      </w:r>
      <w:r>
        <w:rPr>
          <w:spacing w:val="7"/>
        </w:rPr>
        <w:t> </w:t>
      </w:r>
      <w:r>
        <w:rPr/>
        <w:t>figures</w:t>
      </w:r>
      <w:r>
        <w:rPr>
          <w:spacing w:val="7"/>
        </w:rPr>
        <w:t> </w:t>
      </w:r>
      <w:r>
        <w:rPr/>
        <w:t>because</w:t>
      </w:r>
      <w:r>
        <w:rPr>
          <w:spacing w:val="8"/>
        </w:rPr>
        <w:t> </w:t>
      </w:r>
      <w:r>
        <w:rPr/>
        <w:t>the</w:t>
      </w:r>
      <w:r>
        <w:rPr>
          <w:spacing w:val="7"/>
        </w:rPr>
        <w:t> </w:t>
      </w:r>
      <w:r>
        <w:rPr/>
        <w:t>expanded</w:t>
      </w:r>
      <w:r>
        <w:rPr>
          <w:spacing w:val="7"/>
        </w:rPr>
        <w:t> </w:t>
      </w:r>
      <w:r>
        <w:rPr/>
        <w:t>pool</w:t>
      </w:r>
      <w:r>
        <w:rPr>
          <w:spacing w:val="7"/>
        </w:rPr>
        <w:t> </w:t>
      </w:r>
      <w:r>
        <w:rPr/>
        <w:t>includes</w:t>
      </w:r>
      <w:r>
        <w:rPr>
          <w:spacing w:val="8"/>
        </w:rPr>
        <w:t> </w:t>
      </w:r>
      <w:r>
        <w:rPr>
          <w:spacing w:val="-2"/>
        </w:rPr>
        <w:t>supplemental</w:t>
      </w:r>
    </w:p>
    <w:p>
      <w:pPr>
        <w:pStyle w:val="BodyText"/>
        <w:spacing w:line="333" w:lineRule="auto"/>
        <w:ind w:left="276" w:right="563" w:hanging="3"/>
        <w:jc w:val="both"/>
      </w:pPr>
      <w:r>
        <w:rPr>
          <w:i/>
        </w:rPr>
        <w:t>n = 10,000 및 N = 31,612에서 EndorseRank는 허용량 및 전송 시 AWP를 계속 지배하며, EndorseRank 속도는 각각 약 9.0× 및 9.9×입니다. 확장된 풀에는 보충 자료가 포함되어 있기 때문에 절대 τ 값은 일치 코호트 수치와 다릅니다.</w:t>
      </w:r>
    </w:p>
    <w:p>
      <w:pPr>
        <w:pStyle w:val="BodyText"/>
        <w:spacing w:after="0" w:line="333" w:lineRule="auto"/>
        <w:jc w:val="both"/>
        <w:sectPr>
          <w:pgSz w:w="11910" w:h="16840"/>
          <w:pgMar w:header="0" w:footer="2115" w:top="1920" w:bottom="2300" w:left="992" w:right="708"/>
        </w:sectPr>
      </w:pPr>
    </w:p>
    <w:p>
      <w:pPr>
        <w:pStyle w:val="BodyText"/>
        <w:spacing w:line="396" w:lineRule="auto" w:before="72"/>
        <w:ind w:left="273" w:right="562" w:firstLine="8"/>
        <w:jc w:val="both"/>
      </w:pPr>
      <w:r>
        <w:rPr/>
        <w:t>active wallets that are not GMX-matched; proxies and score supports therefore change with the sample</w:t>
      </w:r>
      <w:r>
        <w:rPr>
          <w:spacing w:val="-15"/>
        </w:rPr>
        <w:t> </w:t>
      </w:r>
      <w:r>
        <w:rPr/>
        <w:t>definition.</w:t>
      </w:r>
      <w:r>
        <w:rPr>
          <w:spacing w:val="-2"/>
        </w:rPr>
        <w:t> </w:t>
      </w:r>
      <w:r>
        <w:rPr/>
        <w:t>The</w:t>
      </w:r>
      <w:r>
        <w:rPr>
          <w:spacing w:val="-15"/>
        </w:rPr>
        <w:t> </w:t>
      </w:r>
      <w:r>
        <w:rPr/>
        <w:t>relevant</w:t>
      </w:r>
      <w:r>
        <w:rPr>
          <w:spacing w:val="-15"/>
        </w:rPr>
        <w:t> </w:t>
      </w:r>
      <w:r>
        <w:rPr/>
        <w:t>robustness</w:t>
      </w:r>
      <w:r>
        <w:rPr>
          <w:spacing w:val="-15"/>
        </w:rPr>
        <w:t> </w:t>
      </w:r>
      <w:r>
        <w:rPr/>
        <w:t>claim</w:t>
      </w:r>
      <w:r>
        <w:rPr>
          <w:spacing w:val="-15"/>
        </w:rPr>
        <w:t> </w:t>
      </w:r>
      <w:r>
        <w:rPr/>
        <w:t>is</w:t>
      </w:r>
      <w:r>
        <w:rPr>
          <w:spacing w:val="-15"/>
        </w:rPr>
        <w:t> </w:t>
      </w:r>
      <w:r>
        <w:rPr/>
        <w:t>ordinal</w:t>
      </w:r>
      <w:r>
        <w:rPr>
          <w:spacing w:val="-15"/>
        </w:rPr>
        <w:t> </w:t>
      </w:r>
      <w:r>
        <w:rPr/>
        <w:t>and</w:t>
      </w:r>
      <w:r>
        <w:rPr>
          <w:spacing w:val="-15"/>
        </w:rPr>
        <w:t> </w:t>
      </w:r>
      <w:r>
        <w:rPr/>
        <w:t>comparative:</w:t>
      </w:r>
      <w:r>
        <w:rPr>
          <w:spacing w:val="8"/>
        </w:rPr>
        <w:t> </w:t>
      </w:r>
      <w:r>
        <w:rPr/>
        <w:t>the</w:t>
      </w:r>
      <w:r>
        <w:rPr>
          <w:spacing w:val="-15"/>
        </w:rPr>
        <w:t> </w:t>
      </w:r>
      <w:r>
        <w:rPr/>
        <w:t>construct-specific winners</w:t>
      </w:r>
      <w:r>
        <w:rPr>
          <w:spacing w:val="-15"/>
        </w:rPr>
        <w:t> </w:t>
      </w:r>
      <w:r>
        <w:rPr/>
        <w:t>and</w:t>
      </w:r>
      <w:r>
        <w:rPr>
          <w:spacing w:val="-15"/>
        </w:rPr>
        <w:t> </w:t>
      </w:r>
      <w:r>
        <w:rPr/>
        <w:t>the</w:t>
      </w:r>
      <w:r>
        <w:rPr>
          <w:spacing w:val="-15"/>
        </w:rPr>
        <w:t> </w:t>
      </w:r>
      <w:r>
        <w:rPr/>
        <w:t>runtime</w:t>
      </w:r>
      <w:r>
        <w:rPr>
          <w:spacing w:val="-15"/>
        </w:rPr>
        <w:t> </w:t>
      </w:r>
      <w:r>
        <w:rPr/>
        <w:t>advantage</w:t>
      </w:r>
      <w:r>
        <w:rPr>
          <w:spacing w:val="-15"/>
        </w:rPr>
        <w:t> </w:t>
      </w:r>
      <w:r>
        <w:rPr/>
        <w:t>persist</w:t>
      </w:r>
      <w:r>
        <w:rPr>
          <w:spacing w:val="-15"/>
        </w:rPr>
        <w:t> </w:t>
      </w:r>
      <w:r>
        <w:rPr/>
        <w:t>under</w:t>
      </w:r>
      <w:r>
        <w:rPr>
          <w:spacing w:val="-15"/>
        </w:rPr>
        <w:t> </w:t>
      </w:r>
      <w:r>
        <w:rPr/>
        <w:t>pool</w:t>
      </w:r>
      <w:r>
        <w:rPr>
          <w:spacing w:val="-15"/>
        </w:rPr>
        <w:t> </w:t>
      </w:r>
      <w:r>
        <w:rPr/>
        <w:t>expansion</w:t>
      </w:r>
      <w:r>
        <w:rPr>
          <w:spacing w:val="-15"/>
        </w:rPr>
        <w:t> </w:t>
      </w:r>
      <w:r>
        <w:rPr/>
        <w:t>and</w:t>
      </w:r>
      <w:r>
        <w:rPr>
          <w:spacing w:val="-15"/>
        </w:rPr>
        <w:t> </w:t>
      </w:r>
      <w:r>
        <w:rPr/>
        <w:t>staged</w:t>
      </w:r>
      <w:r>
        <w:rPr>
          <w:spacing w:val="-15"/>
        </w:rPr>
        <w:t> </w:t>
      </w:r>
      <w:r>
        <w:rPr/>
        <w:t>subsampling.</w:t>
      </w:r>
      <w:r>
        <w:rPr>
          <w:spacing w:val="-15"/>
        </w:rPr>
        <w:t> </w:t>
      </w:r>
      <w:r>
        <w:rPr/>
        <w:t>In-cohort scaling detail for the GMX-matched sample alone appears in Appendix </w:t>
      </w:r>
      <w:hyperlink w:history="true" w:anchor="_bookmark198">
        <w:r>
          <w:rPr/>
          <w:t>8.1</w:t>
        </w:r>
      </w:hyperlink>
      <w:r>
        <w:rPr/>
        <w:t>.</w:t>
      </w:r>
    </w:p>
    <w:p>
      <w:pPr>
        <w:pStyle w:val="BodyText"/>
        <w:spacing w:line="396" w:lineRule="auto" w:before="72"/>
        <w:ind w:left="273" w:right="562" w:firstLine="8"/>
        <w:jc w:val="both"/>
      </w:pPr>
      <w:r>
        <w:rPr>
          <w:i/>
        </w:rPr>
        <w:t>GMX 일치하지 않는 활성 지갑, 따라서 프록시 및 점수 지원은 샘플 정의에 따라 변경됩니다. 관련 견고성 주장은 순서적이고 비교적입니다. 구성별 승자와 런타임 이점은 풀 확장 및 단계적 서브샘플링에서도 지속됩니다. GMX 일치 표본에 대한 코호트 내 확장 세부 사항은 부록 8.1에 나와 있습니다.</w:t>
      </w:r>
    </w:p>
    <w:p>
      <w:pPr>
        <w:pStyle w:val="BodyText"/>
        <w:spacing w:line="388" w:lineRule="auto" w:before="18"/>
        <w:ind w:left="282" w:right="523"/>
        <w:jc w:val="both"/>
      </w:pPr>
      <w:r>
        <w:rPr/>
        <w:t>Collectively, the robustness checks support reading Claims C1–C4 as stable properties of the EndorseRank–AWP comparison on this chain and window, rather than as fragile point estimates at a single configuration.</w:t>
      </w:r>
      <w:r>
        <w:rPr>
          <w:spacing w:val="31"/>
        </w:rPr>
        <w:t> </w:t>
      </w:r>
      <w:r>
        <w:rPr/>
        <w:t>Robustness does not mean invariance of every decimal place.</w:t>
      </w:r>
      <w:r>
        <w:rPr>
          <w:spacing w:val="31"/>
        </w:rPr>
        <w:t> </w:t>
      </w:r>
      <w:r>
        <w:rPr/>
        <w:t>Absolute </w:t>
      </w:r>
      <w:r>
        <w:rPr>
          <w:rFonts w:ascii="Calibri" w:hAnsi="Calibri"/>
          <w:i/>
        </w:rPr>
        <w:t>τ</w:t>
      </w:r>
      <w:r>
        <w:rPr>
          <w:rFonts w:ascii="Calibri" w:hAnsi="Calibri"/>
          <w:i/>
          <w:spacing w:val="28"/>
        </w:rPr>
        <w:t> </w:t>
      </w:r>
      <w:r>
        <w:rPr/>
        <w:t>values</w:t>
      </w:r>
      <w:r>
        <w:rPr>
          <w:spacing w:val="-5"/>
        </w:rPr>
        <w:t> </w:t>
      </w:r>
      <w:r>
        <w:rPr/>
        <w:t>shift</w:t>
      </w:r>
      <w:r>
        <w:rPr>
          <w:spacing w:val="-5"/>
        </w:rPr>
        <w:t> </w:t>
      </w:r>
      <w:r>
        <w:rPr/>
        <w:t>when</w:t>
      </w:r>
      <w:r>
        <w:rPr>
          <w:spacing w:val="-5"/>
        </w:rPr>
        <w:t> </w:t>
      </w:r>
      <w:r>
        <w:rPr/>
        <w:t>the</w:t>
      </w:r>
      <w:r>
        <w:rPr>
          <w:spacing w:val="-5"/>
        </w:rPr>
        <w:t> </w:t>
      </w:r>
      <w:r>
        <w:rPr/>
        <w:t>sample</w:t>
      </w:r>
      <w:r>
        <w:rPr>
          <w:spacing w:val="-5"/>
        </w:rPr>
        <w:t> </w:t>
      </w:r>
      <w:r>
        <w:rPr/>
        <w:t>definition</w:t>
      </w:r>
      <w:r>
        <w:rPr>
          <w:spacing w:val="-5"/>
        </w:rPr>
        <w:t> </w:t>
      </w:r>
      <w:r>
        <w:rPr/>
        <w:t>changes</w:t>
      </w:r>
      <w:r>
        <w:rPr>
          <w:spacing w:val="-5"/>
        </w:rPr>
        <w:t> </w:t>
      </w:r>
      <w:r>
        <w:rPr/>
        <w:t>from</w:t>
      </w:r>
      <w:r>
        <w:rPr>
          <w:spacing w:val="-5"/>
        </w:rPr>
        <w:t> </w:t>
      </w:r>
      <w:r>
        <w:rPr/>
        <w:t>the</w:t>
      </w:r>
      <w:r>
        <w:rPr>
          <w:spacing w:val="-5"/>
        </w:rPr>
        <w:t> </w:t>
      </w:r>
      <w:r>
        <w:rPr/>
        <w:t>GMX-matched</w:t>
      </w:r>
      <w:r>
        <w:rPr>
          <w:spacing w:val="-5"/>
        </w:rPr>
        <w:t> </w:t>
      </w:r>
      <w:r>
        <w:rPr/>
        <w:t>cohort</w:t>
      </w:r>
      <w:r>
        <w:rPr>
          <w:spacing w:val="-5"/>
        </w:rPr>
        <w:t> </w:t>
      </w:r>
      <w:r>
        <w:rPr/>
        <w:t>to</w:t>
      </w:r>
      <w:r>
        <w:rPr>
          <w:spacing w:val="-5"/>
        </w:rPr>
        <w:t> </w:t>
      </w:r>
      <w:r>
        <w:rPr/>
        <w:t>the</w:t>
      </w:r>
      <w:r>
        <w:rPr>
          <w:spacing w:val="-5"/>
        </w:rPr>
        <w:t> </w:t>
      </w:r>
      <w:r>
        <w:rPr/>
        <w:t>expanded pool,</w:t>
      </w:r>
      <w:r>
        <w:rPr>
          <w:spacing w:val="-13"/>
        </w:rPr>
        <w:t> </w:t>
      </w:r>
      <w:r>
        <w:rPr/>
        <w:t>and</w:t>
      </w:r>
      <w:r>
        <w:rPr>
          <w:spacing w:val="-15"/>
        </w:rPr>
        <w:t> </w:t>
      </w:r>
      <w:r>
        <w:rPr/>
        <w:t>runtimes</w:t>
      </w:r>
      <w:r>
        <w:rPr>
          <w:spacing w:val="-15"/>
        </w:rPr>
        <w:t> </w:t>
      </w:r>
      <w:r>
        <w:rPr/>
        <w:t>shift</w:t>
      </w:r>
      <w:r>
        <w:rPr>
          <w:spacing w:val="-15"/>
        </w:rPr>
        <w:t> </w:t>
      </w:r>
      <w:r>
        <w:rPr/>
        <w:t>with</w:t>
      </w:r>
      <w:r>
        <w:rPr>
          <w:spacing w:val="-15"/>
        </w:rPr>
        <w:t> </w:t>
      </w:r>
      <w:r>
        <w:rPr/>
        <w:t>damping</w:t>
      </w:r>
      <w:r>
        <w:rPr>
          <w:spacing w:val="-15"/>
        </w:rPr>
        <w:t> </w:t>
      </w:r>
      <w:r>
        <w:rPr/>
        <w:t>and</w:t>
      </w:r>
      <w:r>
        <w:rPr>
          <w:spacing w:val="-15"/>
        </w:rPr>
        <w:t> </w:t>
      </w:r>
      <w:r>
        <w:rPr>
          <w:rFonts w:ascii="Calibri" w:hAnsi="Calibri"/>
          <w:i/>
        </w:rPr>
        <w:t>n</w:t>
      </w:r>
      <w:r>
        <w:rPr/>
        <w:t>.</w:t>
      </w:r>
      <w:r>
        <w:rPr>
          <w:spacing w:val="11"/>
        </w:rPr>
        <w:t> </w:t>
      </w:r>
      <w:r>
        <w:rPr/>
        <w:t>What</w:t>
      </w:r>
      <w:r>
        <w:rPr>
          <w:spacing w:val="-15"/>
        </w:rPr>
        <w:t> </w:t>
      </w:r>
      <w:r>
        <w:rPr/>
        <w:t>remains</w:t>
      </w:r>
      <w:r>
        <w:rPr>
          <w:spacing w:val="-15"/>
        </w:rPr>
        <w:t> </w:t>
      </w:r>
      <w:r>
        <w:rPr/>
        <w:t>stable</w:t>
      </w:r>
      <w:r>
        <w:rPr>
          <w:spacing w:val="-15"/>
        </w:rPr>
        <w:t> </w:t>
      </w:r>
      <w:r>
        <w:rPr/>
        <w:t>is</w:t>
      </w:r>
      <w:r>
        <w:rPr>
          <w:spacing w:val="-15"/>
        </w:rPr>
        <w:t> </w:t>
      </w:r>
      <w:r>
        <w:rPr/>
        <w:t>the</w:t>
      </w:r>
      <w:r>
        <w:rPr>
          <w:spacing w:val="-15"/>
        </w:rPr>
        <w:t> </w:t>
      </w:r>
      <w:r>
        <w:rPr/>
        <w:t>comparative</w:t>
      </w:r>
      <w:r>
        <w:rPr>
          <w:spacing w:val="-15"/>
        </w:rPr>
        <w:t> </w:t>
      </w:r>
      <w:r>
        <w:rPr/>
        <w:t>structure:</w:t>
      </w:r>
      <w:r>
        <w:rPr>
          <w:spacing w:val="10"/>
        </w:rPr>
        <w:t> </w:t>
      </w:r>
      <w:r>
        <w:rPr/>
        <w:t>En-</w:t>
      </w:r>
      <w:r>
        <w:rPr>
          <w:spacing w:val="-2"/>
        </w:rPr>
        <w:t>dorseRank</w:t>
      </w:r>
      <w:r>
        <w:rPr>
          <w:spacing w:val="-5"/>
        </w:rPr>
        <w:t> </w:t>
      </w:r>
      <w:r>
        <w:rPr>
          <w:spacing w:val="-2"/>
        </w:rPr>
        <w:t>is</w:t>
      </w:r>
      <w:r>
        <w:rPr>
          <w:spacing w:val="-5"/>
        </w:rPr>
        <w:t> </w:t>
      </w:r>
      <w:r>
        <w:rPr>
          <w:spacing w:val="-2"/>
        </w:rPr>
        <w:t>faster; EndorseRank</w:t>
      </w:r>
      <w:r>
        <w:rPr>
          <w:spacing w:val="-5"/>
        </w:rPr>
        <w:t> </w:t>
      </w:r>
      <w:r>
        <w:rPr>
          <w:spacing w:val="-2"/>
        </w:rPr>
        <w:t>wins</w:t>
      </w:r>
      <w:r>
        <w:rPr>
          <w:spacing w:val="-4"/>
        </w:rPr>
        <w:t> </w:t>
      </w:r>
      <w:r>
        <w:rPr>
          <w:spacing w:val="-2"/>
        </w:rPr>
        <w:t>on</w:t>
      </w:r>
      <w:r>
        <w:rPr>
          <w:spacing w:val="-5"/>
        </w:rPr>
        <w:t> </w:t>
      </w:r>
      <w:r>
        <w:rPr>
          <w:spacing w:val="-2"/>
        </w:rPr>
        <w:t>allowance; AWP</w:t>
      </w:r>
      <w:r>
        <w:rPr>
          <w:spacing w:val="-5"/>
        </w:rPr>
        <w:t> </w:t>
      </w:r>
      <w:r>
        <w:rPr>
          <w:spacing w:val="-2"/>
        </w:rPr>
        <w:t>wins</w:t>
      </w:r>
      <w:r>
        <w:rPr>
          <w:spacing w:val="-4"/>
        </w:rPr>
        <w:t> </w:t>
      </w:r>
      <w:r>
        <w:rPr>
          <w:spacing w:val="-2"/>
        </w:rPr>
        <w:t>on</w:t>
      </w:r>
      <w:r>
        <w:rPr>
          <w:spacing w:val="-5"/>
        </w:rPr>
        <w:t> </w:t>
      </w:r>
      <w:r>
        <w:rPr>
          <w:spacing w:val="-2"/>
        </w:rPr>
        <w:t>transfer; allowance</w:t>
      </w:r>
      <w:r>
        <w:rPr>
          <w:spacing w:val="-5"/>
        </w:rPr>
        <w:t> </w:t>
      </w:r>
      <w:r>
        <w:rPr>
          <w:spacing w:val="-2"/>
        </w:rPr>
        <w:t>alignment</w:t>
      </w:r>
    </w:p>
    <w:p>
      <w:pPr>
        <w:pStyle w:val="BodyText"/>
        <w:spacing w:line="388" w:lineRule="auto" w:before="18"/>
        <w:ind w:left="282" w:right="523"/>
        <w:jc w:val="both"/>
      </w:pPr>
      <w:r>
        <w:rPr>
          <w:i/>
        </w:rPr>
        <w:t>종합적으로, 견고성 검사는 단일 구성의 취약점 추정이 아니라 이 체인 및 창에 대한 EndorseRank–AWP 비교의 안정적인 속성으로 클레임 C1–C4를 읽는 것을 지원합니다. 견고성이 모든 소수점 이하 자리의 불변성을 의미하는 것은 아닙니다. 샘플 정의가 GMX 일치 코호트에서 확장된 풀로 변경되면 절대 τ 값이 이동하고 런타임은 감쇠 및 n에 따라 이동합니다. 안정적으로 유지되는 것은 비교 구조입니다: En-dorseRank가 더 빠릅니다; EndorseRank 허용에서 승리; AWP 이적에서 승리; 허용 정렬</w:t>
      </w:r>
    </w:p>
    <w:p>
      <w:pPr>
        <w:pStyle w:val="BodyText"/>
        <w:spacing w:line="331" w:lineRule="exact"/>
        <w:ind w:left="282"/>
        <w:jc w:val="both"/>
      </w:pPr>
      <w:r>
        <w:rPr/>
        <w:t>under</w:t>
      </w:r>
      <w:r>
        <w:rPr>
          <w:spacing w:val="4"/>
        </w:rPr>
        <w:t> </w:t>
      </w:r>
      <w:r>
        <w:rPr/>
        <w:t>EndorseRank</w:t>
      </w:r>
      <w:r>
        <w:rPr>
          <w:spacing w:val="5"/>
        </w:rPr>
        <w:t> </w:t>
      </w:r>
      <w:r>
        <w:rPr/>
        <w:t>is</w:t>
      </w:r>
      <w:r>
        <w:rPr>
          <w:spacing w:val="4"/>
        </w:rPr>
        <w:t> </w:t>
      </w:r>
      <w:r>
        <w:rPr/>
        <w:t>insensitive</w:t>
      </w:r>
      <w:r>
        <w:rPr>
          <w:spacing w:val="5"/>
        </w:rPr>
        <w:t> </w:t>
      </w:r>
      <w:r>
        <w:rPr/>
        <w:t>to</w:t>
      </w:r>
      <w:r>
        <w:rPr>
          <w:spacing w:val="5"/>
        </w:rPr>
        <w:t> </w:t>
      </w:r>
      <w:r>
        <w:rPr/>
        <w:t>damping</w:t>
      </w:r>
      <w:r>
        <w:rPr>
          <w:spacing w:val="5"/>
        </w:rPr>
        <w:t> </w:t>
      </w:r>
      <w:r>
        <w:rPr/>
        <w:t>in</w:t>
      </w:r>
      <w:r>
        <w:rPr>
          <w:spacing w:val="4"/>
        </w:rPr>
        <w:t> </w:t>
      </w:r>
      <w:r>
        <w:rPr>
          <w:rFonts w:ascii="Lucida Sans Unicode"/>
        </w:rPr>
        <w:t>{</w:t>
      </w:r>
      <w:r>
        <w:rPr>
          <w:rFonts w:ascii="Calibri"/>
        </w:rPr>
        <w:t>0</w:t>
      </w:r>
      <w:r>
        <w:rPr>
          <w:rFonts w:ascii="Calibri"/>
          <w:i/>
        </w:rPr>
        <w:t>.</w:t>
      </w:r>
      <w:r>
        <w:rPr>
          <w:rFonts w:ascii="Calibri"/>
        </w:rPr>
        <w:t>75</w:t>
      </w:r>
      <w:r>
        <w:rPr>
          <w:rFonts w:ascii="Calibri"/>
          <w:i/>
        </w:rPr>
        <w:t>,</w:t>
      </w:r>
      <w:r>
        <w:rPr>
          <w:rFonts w:ascii="Calibri"/>
          <w:i/>
          <w:spacing w:val="-15"/>
        </w:rPr>
        <w:t> </w:t>
      </w:r>
      <w:r>
        <w:rPr>
          <w:rFonts w:ascii="Calibri"/>
        </w:rPr>
        <w:t>0</w:t>
      </w:r>
      <w:r>
        <w:rPr>
          <w:rFonts w:ascii="Calibri"/>
          <w:i/>
        </w:rPr>
        <w:t>.</w:t>
      </w:r>
      <w:r>
        <w:rPr>
          <w:rFonts w:ascii="Calibri"/>
        </w:rPr>
        <w:t>85</w:t>
      </w:r>
      <w:r>
        <w:rPr>
          <w:rFonts w:ascii="Calibri"/>
          <w:i/>
        </w:rPr>
        <w:t>,</w:t>
      </w:r>
      <w:r>
        <w:rPr>
          <w:rFonts w:ascii="Calibri"/>
          <w:i/>
          <w:spacing w:val="-15"/>
        </w:rPr>
        <w:t> </w:t>
      </w:r>
      <w:r>
        <w:rPr>
          <w:rFonts w:ascii="Calibri"/>
        </w:rPr>
        <w:t>0</w:t>
      </w:r>
      <w:r>
        <w:rPr>
          <w:rFonts w:ascii="Calibri"/>
          <w:i/>
        </w:rPr>
        <w:t>.</w:t>
      </w:r>
      <w:r>
        <w:rPr>
          <w:rFonts w:ascii="Calibri"/>
        </w:rPr>
        <w:t>95</w:t>
      </w:r>
      <w:r>
        <w:rPr>
          <w:rFonts w:ascii="Lucida Sans Unicode"/>
        </w:rPr>
        <w:t>}</w:t>
      </w:r>
      <w:r>
        <w:rPr/>
        <w:t>.</w:t>
      </w:r>
      <w:r>
        <w:rPr>
          <w:spacing w:val="37"/>
        </w:rPr>
        <w:t> </w:t>
      </w:r>
      <w:r>
        <w:rPr/>
        <w:t>That</w:t>
      </w:r>
      <w:r>
        <w:rPr>
          <w:spacing w:val="5"/>
        </w:rPr>
        <w:t> </w:t>
      </w:r>
      <w:r>
        <w:rPr/>
        <w:t>comparative</w:t>
      </w:r>
      <w:r>
        <w:rPr>
          <w:spacing w:val="5"/>
        </w:rPr>
        <w:t> </w:t>
      </w:r>
      <w:r>
        <w:rPr/>
        <w:t>structure</w:t>
      </w:r>
      <w:r>
        <w:rPr>
          <w:spacing w:val="5"/>
        </w:rPr>
        <w:t> </w:t>
      </w:r>
      <w:r>
        <w:rPr>
          <w:spacing w:val="-5"/>
        </w:rPr>
        <w:t>is</w:t>
      </w:r>
    </w:p>
    <w:p>
      <w:pPr>
        <w:pStyle w:val="BodyText"/>
        <w:spacing w:line="331" w:lineRule="exact"/>
        <w:ind w:left="282"/>
        <w:jc w:val="both"/>
      </w:pPr>
      <w:r>
        <w:rPr>
          <w:i/>
        </w:rPr>
        <w:t>EndorseRank 미만은 {0.75, 0.85, 0.95}의 감쇠에 둔감합니다. 그 비교구조는</w:t>
      </w:r>
    </w:p>
    <w:p>
      <w:pPr>
        <w:pStyle w:val="BodyText"/>
        <w:spacing w:before="127"/>
        <w:ind w:left="273"/>
        <w:jc w:val="both"/>
      </w:pPr>
      <w:bookmarkStart w:name="Social-method alignment: EndorseRank vs." w:id="179"/>
      <w:bookmarkEnd w:id="179"/>
      <w:r>
        <w:rPr/>
      </w:r>
      <w:bookmarkStart w:name="_bookmark100" w:id="180"/>
      <w:bookmarkEnd w:id="180"/>
      <w:r>
        <w:rPr/>
      </w:r>
      <w:r>
        <w:rPr/>
        <w:t>what</w:t>
      </w:r>
      <w:r>
        <w:rPr>
          <w:spacing w:val="-7"/>
        </w:rPr>
        <w:t> </w:t>
      </w:r>
      <w:r>
        <w:rPr/>
        <w:t>the</w:t>
      </w:r>
      <w:r>
        <w:rPr>
          <w:spacing w:val="-7"/>
        </w:rPr>
        <w:t> </w:t>
      </w:r>
      <w:r>
        <w:rPr/>
        <w:t>claims</w:t>
      </w:r>
      <w:r>
        <w:rPr>
          <w:spacing w:val="-6"/>
        </w:rPr>
        <w:t> </w:t>
      </w:r>
      <w:r>
        <w:rPr/>
        <w:t>assert,</w:t>
      </w:r>
      <w:r>
        <w:rPr>
          <w:spacing w:val="-7"/>
        </w:rPr>
        <w:t> </w:t>
      </w:r>
      <w:r>
        <w:rPr/>
        <w:t>and</w:t>
      </w:r>
      <w:r>
        <w:rPr>
          <w:spacing w:val="-7"/>
        </w:rPr>
        <w:t> </w:t>
      </w:r>
      <w:r>
        <w:rPr/>
        <w:t>it</w:t>
      </w:r>
      <w:r>
        <w:rPr>
          <w:spacing w:val="-6"/>
        </w:rPr>
        <w:t> </w:t>
      </w:r>
      <w:r>
        <w:rPr/>
        <w:t>is</w:t>
      </w:r>
      <w:r>
        <w:rPr>
          <w:spacing w:val="-7"/>
        </w:rPr>
        <w:t> </w:t>
      </w:r>
      <w:r>
        <w:rPr/>
        <w:t>what</w:t>
      </w:r>
      <w:r>
        <w:rPr>
          <w:spacing w:val="-7"/>
        </w:rPr>
        <w:t> </w:t>
      </w:r>
      <w:r>
        <w:rPr/>
        <w:t>the</w:t>
      </w:r>
      <w:r>
        <w:rPr>
          <w:spacing w:val="-6"/>
        </w:rPr>
        <w:t> </w:t>
      </w:r>
      <w:r>
        <w:rPr/>
        <w:t>robustness</w:t>
      </w:r>
      <w:r>
        <w:rPr>
          <w:spacing w:val="-7"/>
        </w:rPr>
        <w:t> </w:t>
      </w:r>
      <w:r>
        <w:rPr/>
        <w:t>section</w:t>
      </w:r>
      <w:r>
        <w:rPr>
          <w:spacing w:val="-6"/>
        </w:rPr>
        <w:t> </w:t>
      </w:r>
      <w:r>
        <w:rPr/>
        <w:t>is</w:t>
      </w:r>
      <w:r>
        <w:rPr>
          <w:spacing w:val="-7"/>
        </w:rPr>
        <w:t> </w:t>
      </w:r>
      <w:r>
        <w:rPr/>
        <w:t>designed</w:t>
      </w:r>
      <w:r>
        <w:rPr>
          <w:spacing w:val="-7"/>
        </w:rPr>
        <w:t> </w:t>
      </w:r>
      <w:r>
        <w:rPr/>
        <w:t>to</w:t>
      </w:r>
      <w:r>
        <w:rPr>
          <w:spacing w:val="-6"/>
        </w:rPr>
        <w:t> </w:t>
      </w:r>
      <w:r>
        <w:rPr>
          <w:spacing w:val="-2"/>
        </w:rPr>
        <w:t>protect.</w:t>
      </w:r>
    </w:p>
    <w:p>
      <w:pPr>
        <w:pStyle w:val="BodyText"/>
        <w:spacing w:before="127"/>
        <w:ind w:left="273"/>
        <w:jc w:val="both"/>
      </w:pPr>
      <w:r>
        <w:rPr>
          <w:i/>
        </w:rPr>
        <w:t>주장이 주장하는 것과 견고성 섹션이 보호하도록 설계된 것입니다.</w:t>
      </w:r>
    </w:p>
    <w:p>
      <w:pPr>
        <w:pStyle w:val="BodyText"/>
      </w:pPr>
    </w:p>
    <w:p>
      <w:pPr>
        <w:pStyle w:val="BodyText"/>
        <w:spacing w:before="43"/>
      </w:pPr>
    </w:p>
    <w:p>
      <w:pPr>
        <w:pStyle w:val="Heading2"/>
        <w:numPr>
          <w:ilvl w:val="1"/>
          <w:numId w:val="8"/>
        </w:numPr>
        <w:tabs>
          <w:tab w:pos="783" w:val="left" w:leader="none"/>
        </w:tabs>
        <w:spacing w:line="240" w:lineRule="auto" w:before="0" w:after="0"/>
        <w:ind w:left="783" w:right="0" w:hanging="501"/>
        <w:jc w:val="left"/>
      </w:pPr>
      <w:r>
        <w:rPr/>
        <w:t>Social-method</w:t>
      </w:r>
      <w:r>
        <w:rPr>
          <w:spacing w:val="13"/>
        </w:rPr>
        <w:t> </w:t>
      </w:r>
      <w:r>
        <w:rPr/>
        <w:t>alignment:</w:t>
      </w:r>
      <w:r>
        <w:rPr>
          <w:spacing w:val="42"/>
        </w:rPr>
        <w:t> </w:t>
      </w:r>
      <w:r>
        <w:rPr/>
        <w:t>EndorseRank</w:t>
      </w:r>
      <w:r>
        <w:rPr>
          <w:spacing w:val="14"/>
        </w:rPr>
        <w:t> </w:t>
      </w:r>
      <w:r>
        <w:rPr/>
        <w:t>vs.</w:t>
      </w:r>
      <w:r>
        <w:rPr>
          <w:spacing w:val="14"/>
        </w:rPr>
        <w:t> </w:t>
      </w:r>
      <w:r>
        <w:rPr/>
        <w:t>AWP</w:t>
      </w:r>
      <w:r>
        <w:rPr>
          <w:spacing w:val="14"/>
        </w:rPr>
        <w:t> </w:t>
      </w:r>
      <w:r>
        <w:rPr/>
        <w:t>(Claims</w:t>
      </w:r>
      <w:r>
        <w:rPr>
          <w:spacing w:val="13"/>
        </w:rPr>
        <w:t> </w:t>
      </w:r>
      <w:r>
        <w:rPr/>
        <w:t>C2–</w:t>
      </w:r>
      <w:r>
        <w:rPr>
          <w:spacing w:val="-5"/>
        </w:rPr>
        <w:t>C3)</w:t>
      </w:r>
    </w:p>
    <w:p>
      <w:pPr>
        <w:pStyle w:val="Heading2"/>
        <w:numPr>
          <w:ilvl w:val="1"/>
          <w:numId w:val="8"/>
        </w:numPr>
        <w:tabs>
          <w:tab w:pos="783" w:val="left" w:leader="none"/>
        </w:tabs>
        <w:spacing w:line="240" w:lineRule="auto" w:before="0" w:after="0"/>
        <w:ind w:left="783" w:right="0" w:hanging="501"/>
        <w:jc w:val="left"/>
      </w:pPr>
      <w:r>
        <w:rPr>
          <w:i/>
        </w:rPr>
        <w:t>사회적 방법 정렬: EndorseRank 대 AWP(주장 C2–C3)</w:t>
      </w:r>
    </w:p>
    <w:p>
      <w:pPr>
        <w:pStyle w:val="BodyText"/>
        <w:spacing w:before="24"/>
        <w:rPr>
          <w:b/>
          <w:sz w:val="28"/>
        </w:rPr>
      </w:pPr>
    </w:p>
    <w:p>
      <w:pPr>
        <w:pStyle w:val="BodyText"/>
        <w:spacing w:line="388" w:lineRule="auto"/>
        <w:ind w:left="282" w:right="558"/>
        <w:jc w:val="both"/>
      </w:pPr>
      <w:r>
        <w:rPr/>
        <w:t>Claims C2 and C3 address whether EndorseRank and AWP achieve credible domain alignment and</w:t>
      </w:r>
      <w:r>
        <w:rPr>
          <w:spacing w:val="-7"/>
        </w:rPr>
        <w:t> </w:t>
      </w:r>
      <w:r>
        <w:rPr/>
        <w:t>whether</w:t>
      </w:r>
      <w:r>
        <w:rPr>
          <w:spacing w:val="-7"/>
        </w:rPr>
        <w:t> </w:t>
      </w:r>
      <w:r>
        <w:rPr/>
        <w:t>winners</w:t>
      </w:r>
      <w:r>
        <w:rPr>
          <w:spacing w:val="-7"/>
        </w:rPr>
        <w:t> </w:t>
      </w:r>
      <w:r>
        <w:rPr/>
        <w:t>are</w:t>
      </w:r>
      <w:r>
        <w:rPr>
          <w:spacing w:val="-7"/>
        </w:rPr>
        <w:t> </w:t>
      </w:r>
      <w:r>
        <w:rPr/>
        <w:t>construct-specific. Table</w:t>
      </w:r>
      <w:r>
        <w:rPr>
          <w:spacing w:val="-7"/>
        </w:rPr>
        <w:t> </w:t>
      </w:r>
      <w:hyperlink w:history="true" w:anchor="_bookmark101">
        <w:r>
          <w:rPr/>
          <w:t>4.7</w:t>
        </w:r>
      </w:hyperlink>
      <w:r>
        <w:rPr>
          <w:spacing w:val="-7"/>
        </w:rPr>
        <w:t> </w:t>
      </w:r>
      <w:r>
        <w:rPr/>
        <w:t>reports</w:t>
      </w:r>
      <w:r>
        <w:rPr>
          <w:spacing w:val="-7"/>
        </w:rPr>
        <w:t> </w:t>
      </w:r>
      <w:r>
        <w:rPr/>
        <w:t>mean</w:t>
      </w:r>
      <w:r>
        <w:rPr>
          <w:spacing w:val="-7"/>
        </w:rPr>
        <w:t> </w:t>
      </w:r>
      <w:r>
        <w:rPr/>
        <w:t>Kendall</w:t>
      </w:r>
      <w:r>
        <w:rPr>
          <w:spacing w:val="-6"/>
        </w:rPr>
        <w:t> </w:t>
      </w:r>
      <w:r>
        <w:rPr>
          <w:rFonts w:ascii="Calibri" w:hAnsi="Calibri"/>
          <w:i/>
        </w:rPr>
        <w:t>τ</w:t>
      </w:r>
      <w:r>
        <w:rPr>
          <w:rFonts w:ascii="Calibri" w:hAnsi="Calibri"/>
          <w:i/>
          <w:spacing w:val="24"/>
        </w:rPr>
        <w:t> </w:t>
      </w:r>
      <w:r>
        <w:rPr/>
        <w:t>by</w:t>
      </w:r>
      <w:r>
        <w:rPr>
          <w:spacing w:val="-7"/>
        </w:rPr>
        <w:t> </w:t>
      </w:r>
      <w:r>
        <w:rPr/>
        <w:t>proxy</w:t>
      </w:r>
      <w:r>
        <w:rPr>
          <w:spacing w:val="-7"/>
        </w:rPr>
        <w:t> </w:t>
      </w:r>
      <w:r>
        <w:rPr/>
        <w:t>family</w:t>
      </w:r>
      <w:r>
        <w:rPr>
          <w:spacing w:val="-7"/>
        </w:rPr>
        <w:t> </w:t>
      </w:r>
      <w:r>
        <w:rPr/>
        <w:t>for EndorseRank, AWP, and the supplementary GF-PR reference.</w:t>
      </w:r>
      <w:r>
        <w:rPr>
          <w:spacing w:val="40"/>
        </w:rPr>
        <w:t> </w:t>
      </w:r>
      <w:r>
        <w:rPr/>
        <w:t>Rows 1–2 constitute the primary social-method comparison; row 3 is interpreted only in Section </w:t>
      </w:r>
      <w:hyperlink w:history="true" w:anchor="_bookmark112">
        <w:r>
          <w:rPr/>
          <w:t>4.7</w:t>
        </w:r>
      </w:hyperlink>
      <w:r>
        <w:rPr/>
        <w:t>.</w:t>
      </w:r>
    </w:p>
    <w:p>
      <w:pPr>
        <w:pStyle w:val="BodyText"/>
        <w:spacing w:line="388" w:lineRule="auto"/>
        <w:ind w:left="282" w:right="558"/>
        <w:jc w:val="both"/>
      </w:pPr>
      <w:r>
        <w:rPr>
          <w:i/>
        </w:rPr>
        <w:t>C2 및 C3 주장은 EndorseRank 및 AWP가 신뢰할 수 있는 도메인 정렬을 달성하는지 여부와 승자가 구조별인지 여부를 다룹니다. 표 4.7 보고서는 EndorseRank, AWP에 대한 프록시 패밀리별 Kendall τ 및 보충 GF-PR 참조를 의미합니다. 1~2행은 주요 사회적 방법 비교를 구성하며, 3행은 섹션 4.7에서만 해석됩니다.</w:t>
      </w:r>
    </w:p>
    <w:p>
      <w:pPr>
        <w:pStyle w:val="BodyText"/>
        <w:spacing w:line="247" w:lineRule="auto" w:before="10"/>
        <w:ind w:left="282" w:right="554" w:hanging="8"/>
        <w:jc w:val="both"/>
      </w:pPr>
      <w:bookmarkStart w:name="_bookmark101" w:id="181"/>
      <w:bookmarkEnd w:id="181"/>
      <w:r>
        <w:rPr/>
      </w:r>
      <w:r>
        <w:rPr/>
        <w:t>Table</w:t>
      </w:r>
      <w:r>
        <w:rPr>
          <w:spacing w:val="-15"/>
        </w:rPr>
        <w:t> </w:t>
      </w:r>
      <w:r>
        <w:rPr/>
        <w:t>4.7:</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4"/>
        </w:rPr>
        <w:t> </w:t>
      </w:r>
      <w:r>
        <w:rPr/>
        <w:t>by</w:t>
      </w:r>
      <w:r>
        <w:rPr>
          <w:spacing w:val="-15"/>
        </w:rPr>
        <w:t> </w:t>
      </w:r>
      <w:r>
        <w:rPr/>
        <w:t>proxy</w:t>
      </w:r>
      <w:r>
        <w:rPr>
          <w:spacing w:val="-15"/>
        </w:rPr>
        <w:t> </w:t>
      </w:r>
      <w:r>
        <w:rPr/>
        <w:t>family</w:t>
      </w:r>
      <w:r>
        <w:rPr>
          <w:spacing w:val="-15"/>
        </w:rPr>
        <w:t> </w:t>
      </w:r>
      <w:r>
        <w:rPr/>
        <w:t>across</w:t>
      </w:r>
      <w:r>
        <w:rPr>
          <w:spacing w:val="-15"/>
        </w:rPr>
        <w:t> </w:t>
      </w:r>
      <w:r>
        <w:rPr/>
        <w:t>3</w:t>
      </w:r>
      <w:r>
        <w:rPr>
          <w:spacing w:val="-15"/>
        </w:rPr>
        <w:t> </w:t>
      </w:r>
      <w:r>
        <w:rPr/>
        <w:t>PageRank</w:t>
      </w:r>
      <w:r>
        <w:rPr>
          <w:spacing w:val="-15"/>
        </w:rPr>
        <w:t> </w:t>
      </w:r>
      <w:r>
        <w:rPr/>
        <w:t>methods</w:t>
      </w:r>
      <w:r>
        <w:rPr>
          <w:spacing w:val="-15"/>
        </w:rPr>
        <w:t> </w:t>
      </w:r>
      <w:r>
        <w:rPr/>
        <w:t>(</w:t>
      </w:r>
      <w:r>
        <w:rPr>
          <w:rFonts w:ascii="Calibri" w:hAnsi="Calibri"/>
          <w:i/>
        </w:rPr>
        <w:t>n</w:t>
      </w:r>
      <w:r>
        <w:rPr>
          <w:rFonts w:ascii="Calibri" w:hAnsi="Calibri"/>
          <w:i/>
          <w:spacing w:val="-14"/>
        </w:rPr>
        <w:t> </w:t>
      </w:r>
      <w:r>
        <w:rPr>
          <w:rFonts w:ascii="Calibri" w:hAnsi="Calibri"/>
          <w:w w:val="125"/>
        </w:rPr>
        <w:t>=</w:t>
      </w:r>
      <w:r>
        <w:rPr>
          <w:rFonts w:ascii="Calibri" w:hAnsi="Calibri"/>
          <w:spacing w:val="-8"/>
          <w:w w:val="125"/>
        </w:rPr>
        <w:t> </w:t>
      </w:r>
      <w:r>
        <w:rPr>
          <w:rFonts w:ascii="Calibri" w:hAnsi="Calibri"/>
        </w:rPr>
        <w:t>5521</w:t>
      </w:r>
      <w:r>
        <w:rPr/>
        <w:t>).</w:t>
      </w:r>
      <w:r>
        <w:rPr>
          <w:spacing w:val="10"/>
        </w:rPr>
        <w:t> </w:t>
      </w:r>
      <w:r>
        <w:rPr/>
        <w:t>Bold</w:t>
      </w:r>
      <w:r>
        <w:rPr>
          <w:spacing w:val="-15"/>
        </w:rPr>
        <w:t> </w:t>
      </w:r>
      <w:r>
        <w:rPr/>
        <w:t>=</w:t>
      </w:r>
      <w:r>
        <w:rPr>
          <w:spacing w:val="-15"/>
        </w:rPr>
        <w:t> </w:t>
      </w:r>
      <w:r>
        <w:rPr/>
        <w:t>column maximum. Runtime</w:t>
      </w:r>
      <w:r>
        <w:rPr>
          <w:spacing w:val="-5"/>
        </w:rPr>
        <w:t> </w:t>
      </w:r>
      <w:r>
        <w:rPr/>
        <w:t>=</w:t>
      </w:r>
      <w:r>
        <w:rPr>
          <w:spacing w:val="-5"/>
        </w:rPr>
        <w:t> </w:t>
      </w:r>
      <w:r>
        <w:rPr/>
        <w:t>mean</w:t>
      </w:r>
      <w:r>
        <w:rPr>
          <w:spacing w:val="-5"/>
        </w:rPr>
        <w:t> </w:t>
      </w:r>
      <w:r>
        <w:rPr/>
        <w:t>PageRank</w:t>
      </w:r>
      <w:r>
        <w:rPr>
          <w:spacing w:val="-5"/>
        </w:rPr>
        <w:t> </w:t>
      </w:r>
      <w:r>
        <w:rPr/>
        <w:t>wall</w:t>
      </w:r>
      <w:r>
        <w:rPr>
          <w:spacing w:val="-5"/>
        </w:rPr>
        <w:t> </w:t>
      </w:r>
      <w:r>
        <w:rPr/>
        <w:t>time</w:t>
      </w:r>
      <w:r>
        <w:rPr>
          <w:spacing w:val="-5"/>
        </w:rPr>
        <w:t> </w:t>
      </w:r>
      <w:r>
        <w:rPr/>
        <w:t>(s,</w:t>
      </w:r>
      <w:r>
        <w:rPr>
          <w:spacing w:val="-5"/>
        </w:rPr>
        <w:t> </w:t>
      </w:r>
      <w:r>
        <w:rPr/>
        <w:t>3</w:t>
      </w:r>
      <w:r>
        <w:rPr>
          <w:spacing w:val="-5"/>
        </w:rPr>
        <w:t> </w:t>
      </w:r>
      <w:r>
        <w:rPr/>
        <w:t>repeats). EndorseRank</w:t>
      </w:r>
      <w:r>
        <w:rPr>
          <w:spacing w:val="-5"/>
        </w:rPr>
        <w:t> </w:t>
      </w:r>
      <w:r>
        <w:rPr/>
        <w:t>and</w:t>
      </w:r>
      <w:r>
        <w:rPr>
          <w:spacing w:val="-5"/>
        </w:rPr>
        <w:t> </w:t>
      </w:r>
      <w:r>
        <w:rPr/>
        <w:t>AWP</w:t>
      </w:r>
      <w:r>
        <w:rPr>
          <w:spacing w:val="-6"/>
        </w:rPr>
        <w:t> </w:t>
      </w:r>
      <w:r>
        <w:rPr/>
        <w:t>are</w:t>
      </w:r>
      <w:r>
        <w:rPr>
          <w:spacing w:val="-5"/>
        </w:rPr>
        <w:t> </w:t>
      </w:r>
      <w:r>
        <w:rPr/>
        <w:t>social </w:t>
      </w:r>
      <w:r>
        <w:rPr>
          <w:spacing w:val="-2"/>
        </w:rPr>
        <w:t>reputation</w:t>
      </w:r>
      <w:r>
        <w:rPr>
          <w:spacing w:val="-8"/>
        </w:rPr>
        <w:t> </w:t>
      </w:r>
      <w:r>
        <w:rPr>
          <w:spacing w:val="-2"/>
        </w:rPr>
        <w:t>graphs;</w:t>
      </w:r>
      <w:r>
        <w:rPr>
          <w:spacing w:val="-3"/>
        </w:rPr>
        <w:t> </w:t>
      </w:r>
      <w:r>
        <w:rPr>
          <w:spacing w:val="-2"/>
        </w:rPr>
        <w:t>GF-PR</w:t>
      </w:r>
      <w:r>
        <w:rPr>
          <w:spacing w:val="-8"/>
        </w:rPr>
        <w:t> </w:t>
      </w:r>
      <w:r>
        <w:rPr>
          <w:spacing w:val="-2"/>
        </w:rPr>
        <w:t>is</w:t>
      </w:r>
      <w:r>
        <w:rPr>
          <w:spacing w:val="-8"/>
        </w:rPr>
        <w:t> </w:t>
      </w:r>
      <w:r>
        <w:rPr>
          <w:spacing w:val="-2"/>
        </w:rPr>
        <w:t>an</w:t>
      </w:r>
      <w:r>
        <w:rPr>
          <w:spacing w:val="-8"/>
        </w:rPr>
        <w:t> </w:t>
      </w:r>
      <w:r>
        <w:rPr>
          <w:spacing w:val="-2"/>
        </w:rPr>
        <w:t>outcome-native</w:t>
      </w:r>
      <w:r>
        <w:rPr>
          <w:spacing w:val="-8"/>
        </w:rPr>
        <w:t> </w:t>
      </w:r>
      <w:r>
        <w:rPr>
          <w:spacing w:val="-2"/>
        </w:rPr>
        <w:t>GMX</w:t>
      </w:r>
      <w:r>
        <w:rPr>
          <w:spacing w:val="-8"/>
        </w:rPr>
        <w:t> </w:t>
      </w:r>
      <w:r>
        <w:rPr>
          <w:spacing w:val="-2"/>
        </w:rPr>
        <w:t>PnL</w:t>
      </w:r>
      <w:r>
        <w:rPr>
          <w:spacing w:val="-8"/>
        </w:rPr>
        <w:t> </w:t>
      </w:r>
      <w:r>
        <w:rPr>
          <w:spacing w:val="-2"/>
        </w:rPr>
        <w:t>star</w:t>
      </w:r>
      <w:r>
        <w:rPr>
          <w:spacing w:val="-8"/>
        </w:rPr>
        <w:t> </w:t>
      </w:r>
      <w:r>
        <w:rPr>
          <w:spacing w:val="-2"/>
        </w:rPr>
        <w:t>baseline</w:t>
      </w:r>
      <w:r>
        <w:rPr>
          <w:spacing w:val="-8"/>
        </w:rPr>
        <w:t> </w:t>
      </w:r>
      <w:r>
        <w:rPr>
          <w:spacing w:val="-2"/>
        </w:rPr>
        <w:t>(construct</w:t>
      </w:r>
      <w:r>
        <w:rPr>
          <w:spacing w:val="-8"/>
        </w:rPr>
        <w:t> </w:t>
      </w:r>
      <w:r>
        <w:rPr>
          <w:spacing w:val="-2"/>
        </w:rPr>
        <w:t>overlap</w:t>
      </w:r>
      <w:r>
        <w:rPr>
          <w:spacing w:val="-8"/>
        </w:rPr>
        <w:t> </w:t>
      </w:r>
      <w:r>
        <w:rPr>
          <w:spacing w:val="-2"/>
        </w:rPr>
        <w:t>on</w:t>
      </w:r>
      <w:r>
        <w:rPr>
          <w:spacing w:val="-8"/>
        </w:rPr>
        <w:t> </w:t>
      </w:r>
      <w:r>
        <w:rPr>
          <w:spacing w:val="-2"/>
        </w:rPr>
        <w:t>GMX proxies).</w:t>
      </w:r>
    </w:p>
    <w:p>
      <w:pPr>
        <w:pStyle w:val="BodyText"/>
        <w:spacing w:line="247" w:lineRule="auto" w:before="10"/>
        <w:ind w:left="282" w:right="554" w:hanging="8"/>
        <w:jc w:val="both"/>
      </w:pPr>
      <w:r>
        <w:rPr>
          <w:i/>
        </w:rPr>
        <w:t>표 4.7: 3가지 PageRank 방법에 걸쳐 프록시 계열의 평균 Kendall τ(n = 5521). 굵은 글씨 = 열 최대값. 런타임 = 평균 PageRank 벽 시간(초, 3회 반복). EndorseRank 및 AWP는 사회적 평판 그래프입니다. GF-PR은 결과 기반 GMX PnL 별 기준선입니다(GMX 프록시에 중복 구성).</w:t>
      </w:r>
    </w:p>
    <w:p>
      <w:pPr>
        <w:pStyle w:val="BodyText"/>
        <w:spacing w:before="6"/>
        <w:rPr>
          <w:sz w:val="20"/>
        </w:rPr>
      </w:pPr>
    </w:p>
    <w:tbl>
      <w:tblPr>
        <w:tblW w:w="0" w:type="auto"/>
        <w:jc w:val="left"/>
        <w:tblInd w:w="1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871"/>
        <w:gridCol w:w="1085"/>
        <w:gridCol w:w="631"/>
        <w:gridCol w:w="799"/>
        <w:gridCol w:w="631"/>
        <w:gridCol w:w="649"/>
        <w:gridCol w:w="1176"/>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p>
            <w:pPr>
              <w:pStyle w:val="TableParagraph"/>
              <w:spacing w:before="53"/>
              <w:ind w:left="69"/>
              <w:jc w:val="left"/>
              <w:rPr>
                <w:sz w:val="22"/>
              </w:rPr>
            </w:pPr>
            <w:r>
              <w:rPr>
                <w:i/>
              </w:rPr>
              <w:t>방법</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p>
            <w:pPr>
              <w:pStyle w:val="TableParagraph"/>
              <w:spacing w:before="53"/>
              <w:rPr>
                <w:sz w:val="22"/>
              </w:rPr>
            </w:pPr>
            <w:r>
              <w:rPr>
                <w:i/>
              </w:rPr>
              <w:t>옮기다</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p>
            <w:pPr>
              <w:pStyle w:val="TableParagraph"/>
              <w:spacing w:before="53"/>
              <w:ind w:left="1" w:right="1"/>
              <w:rPr>
                <w:sz w:val="22"/>
              </w:rPr>
            </w:pPr>
            <w:r>
              <w:rPr>
                <w:i/>
              </w:rPr>
              <w:t>용돈</w:t>
            </w:r>
          </w:p>
        </w:tc>
        <w:tc>
          <w:tcPr>
            <w:tcW w:w="631" w:type="dxa"/>
            <w:tcBorders>
              <w:top w:val="single" w:sz="8" w:space="0" w:color="000000"/>
              <w:bottom w:val="single" w:sz="6" w:space="0" w:color="000000"/>
            </w:tcBorders>
          </w:tcPr>
          <w:p>
            <w:pPr>
              <w:pStyle w:val="TableParagraph"/>
              <w:spacing w:before="53"/>
              <w:ind w:left="2" w:right="3"/>
              <w:rPr>
                <w:sz w:val="22"/>
              </w:rPr>
            </w:pPr>
            <w:r>
              <w:rPr>
                <w:spacing w:val="-4"/>
                <w:sz w:val="22"/>
              </w:rPr>
              <w:t>Liq.</w:t>
            </w:r>
          </w:p>
          <w:p>
            <w:pPr>
              <w:pStyle w:val="TableParagraph"/>
              <w:spacing w:before="53"/>
              <w:ind w:left="2" w:right="3"/>
              <w:rPr>
                <w:sz w:val="22"/>
              </w:rPr>
            </w:pPr>
            <w:r>
              <w:rPr>
                <w:i/>
              </w:rPr>
              <w:t>액체.</w:t>
            </w:r>
          </w:p>
        </w:tc>
        <w:tc>
          <w:tcPr>
            <w:tcW w:w="799" w:type="dxa"/>
            <w:tcBorders>
              <w:top w:val="single" w:sz="8" w:space="0" w:color="000000"/>
              <w:bottom w:val="single" w:sz="6" w:space="0" w:color="000000"/>
            </w:tcBorders>
          </w:tcPr>
          <w:p>
            <w:pPr>
              <w:pStyle w:val="TableParagraph"/>
              <w:spacing w:before="53"/>
              <w:ind w:left="2" w:right="2"/>
              <w:rPr>
                <w:sz w:val="22"/>
              </w:rPr>
            </w:pPr>
            <w:r>
              <w:rPr>
                <w:spacing w:val="-2"/>
                <w:sz w:val="22"/>
              </w:rPr>
              <w:t>Inv.risk</w:t>
            </w:r>
          </w:p>
          <w:p>
            <w:pPr>
              <w:pStyle w:val="TableParagraph"/>
              <w:spacing w:before="53"/>
              <w:ind w:left="2" w:right="2"/>
              <w:rPr>
                <w:sz w:val="22"/>
              </w:rPr>
            </w:pPr>
            <w:r>
              <w:rPr>
                <w:i/>
              </w:rPr>
              <w:t>투자위험</w:t>
            </w:r>
          </w:p>
        </w:tc>
        <w:tc>
          <w:tcPr>
            <w:tcW w:w="631" w:type="dxa"/>
            <w:tcBorders>
              <w:top w:val="single" w:sz="8" w:space="0" w:color="000000"/>
              <w:bottom w:val="single" w:sz="6" w:space="0" w:color="000000"/>
            </w:tcBorders>
          </w:tcPr>
          <w:p>
            <w:pPr>
              <w:pStyle w:val="TableParagraph"/>
              <w:spacing w:before="53"/>
              <w:ind w:left="1" w:right="3"/>
              <w:rPr>
                <w:sz w:val="22"/>
              </w:rPr>
            </w:pPr>
            <w:r>
              <w:rPr>
                <w:spacing w:val="-2"/>
                <w:sz w:val="22"/>
              </w:rPr>
              <w:t>Sybil</w:t>
            </w:r>
          </w:p>
        </w:tc>
        <w:tc>
          <w:tcPr>
            <w:tcW w:w="649" w:type="dxa"/>
            <w:tcBorders>
              <w:top w:val="single" w:sz="8" w:space="0" w:color="000000"/>
              <w:bottom w:val="single" w:sz="6" w:space="0" w:color="000000"/>
            </w:tcBorders>
          </w:tcPr>
          <w:p>
            <w:pPr>
              <w:pStyle w:val="TableParagraph"/>
              <w:spacing w:before="53"/>
              <w:ind w:left="1" w:right="4"/>
              <w:rPr>
                <w:sz w:val="22"/>
              </w:rPr>
            </w:pPr>
            <w:r>
              <w:rPr>
                <w:spacing w:val="-5"/>
                <w:sz w:val="22"/>
              </w:rPr>
              <w:t>GMX</w:t>
            </w:r>
          </w:p>
        </w:tc>
        <w:tc>
          <w:tcPr>
            <w:tcW w:w="1176" w:type="dxa"/>
            <w:tcBorders>
              <w:top w:val="single" w:sz="8" w:space="0" w:color="000000"/>
              <w:bottom w:val="single" w:sz="6" w:space="0" w:color="000000"/>
            </w:tcBorders>
          </w:tcPr>
          <w:p>
            <w:pPr>
              <w:pStyle w:val="TableParagraph"/>
              <w:spacing w:before="53"/>
              <w:ind w:right="70"/>
              <w:jc w:val="right"/>
              <w:rPr>
                <w:sz w:val="22"/>
              </w:rPr>
            </w:pPr>
            <w:r>
              <w:rPr>
                <w:sz w:val="22"/>
              </w:rPr>
              <w:t>Runtime</w:t>
            </w:r>
            <w:r>
              <w:rPr>
                <w:spacing w:val="-9"/>
                <w:sz w:val="22"/>
              </w:rPr>
              <w:t> </w:t>
            </w:r>
            <w:r>
              <w:rPr>
                <w:spacing w:val="-5"/>
                <w:sz w:val="22"/>
              </w:rPr>
              <w:t>(s)</w:t>
            </w:r>
          </w:p>
          <w:p>
            <w:pPr>
              <w:pStyle w:val="TableParagraph"/>
              <w:spacing w:before="53"/>
              <w:ind w:right="70"/>
              <w:jc w:val="right"/>
              <w:rPr>
                <w:sz w:val="22"/>
              </w:rPr>
            </w:pPr>
            <w:r>
              <w:rPr>
                <w:i/>
              </w:rPr>
              <w:t>런타임(들)</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2"/>
                <w:sz w:val="22"/>
              </w:rPr>
              <w:t>EndorseRank</w:t>
            </w:r>
          </w:p>
        </w:tc>
        <w:tc>
          <w:tcPr>
            <w:tcW w:w="871" w:type="dxa"/>
            <w:tcBorders>
              <w:top w:val="single" w:sz="6" w:space="0" w:color="000000"/>
            </w:tcBorders>
          </w:tcPr>
          <w:p>
            <w:pPr>
              <w:pStyle w:val="TableParagraph"/>
              <w:spacing w:line="247" w:lineRule="exact" w:before="52"/>
              <w:rPr>
                <w:sz w:val="22"/>
              </w:rPr>
            </w:pPr>
            <w:r>
              <w:rPr>
                <w:spacing w:val="-2"/>
                <w:sz w:val="22"/>
              </w:rPr>
              <w:t>0.333</w:t>
            </w:r>
          </w:p>
        </w:tc>
        <w:tc>
          <w:tcPr>
            <w:tcW w:w="1085" w:type="dxa"/>
            <w:tcBorders>
              <w:top w:val="single" w:sz="6" w:space="0" w:color="000000"/>
            </w:tcBorders>
          </w:tcPr>
          <w:p>
            <w:pPr>
              <w:pStyle w:val="TableParagraph"/>
              <w:spacing w:line="247" w:lineRule="exact" w:before="52"/>
              <w:ind w:right="1"/>
              <w:rPr>
                <w:b/>
                <w:sz w:val="22"/>
              </w:rPr>
            </w:pPr>
            <w:r>
              <w:rPr>
                <w:b/>
                <w:spacing w:val="-2"/>
                <w:sz w:val="22"/>
              </w:rPr>
              <w:t>0.355</w:t>
            </w:r>
          </w:p>
        </w:tc>
        <w:tc>
          <w:tcPr>
            <w:tcW w:w="631" w:type="dxa"/>
            <w:tcBorders>
              <w:top w:val="single" w:sz="6" w:space="0" w:color="000000"/>
            </w:tcBorders>
          </w:tcPr>
          <w:p>
            <w:pPr>
              <w:pStyle w:val="TableParagraph"/>
              <w:spacing w:line="247" w:lineRule="exact" w:before="52"/>
              <w:ind w:left="3" w:right="3"/>
              <w:rPr>
                <w:sz w:val="22"/>
              </w:rPr>
            </w:pPr>
            <w:r>
              <w:rPr>
                <w:spacing w:val="-2"/>
                <w:sz w:val="22"/>
              </w:rPr>
              <w:t>0.093</w:t>
            </w:r>
          </w:p>
        </w:tc>
        <w:tc>
          <w:tcPr>
            <w:tcW w:w="799" w:type="dxa"/>
            <w:tcBorders>
              <w:top w:val="single" w:sz="6" w:space="0" w:color="000000"/>
            </w:tcBorders>
          </w:tcPr>
          <w:p>
            <w:pPr>
              <w:pStyle w:val="TableParagraph"/>
              <w:spacing w:line="247" w:lineRule="exact" w:before="52"/>
              <w:ind w:left="1" w:right="2"/>
              <w:rPr>
                <w:sz w:val="22"/>
              </w:rPr>
            </w:pPr>
            <w:r>
              <w:rPr>
                <w:spacing w:val="-2"/>
                <w:sz w:val="22"/>
              </w:rPr>
              <w:t>0.035</w:t>
            </w:r>
          </w:p>
        </w:tc>
        <w:tc>
          <w:tcPr>
            <w:tcW w:w="631" w:type="dxa"/>
            <w:tcBorders>
              <w:top w:val="single" w:sz="6" w:space="0" w:color="000000"/>
            </w:tcBorders>
          </w:tcPr>
          <w:p>
            <w:pPr>
              <w:pStyle w:val="TableParagraph"/>
              <w:spacing w:line="247" w:lineRule="exact" w:before="52"/>
              <w:ind w:right="3"/>
              <w:rPr>
                <w:sz w:val="22"/>
              </w:rPr>
            </w:pPr>
            <w:r>
              <w:rPr>
                <w:spacing w:val="-2"/>
                <w:sz w:val="22"/>
              </w:rPr>
              <w:t>0.233</w:t>
            </w:r>
          </w:p>
        </w:tc>
        <w:tc>
          <w:tcPr>
            <w:tcW w:w="649" w:type="dxa"/>
            <w:tcBorders>
              <w:top w:val="single" w:sz="6" w:space="0" w:color="000000"/>
            </w:tcBorders>
          </w:tcPr>
          <w:p>
            <w:pPr>
              <w:pStyle w:val="TableParagraph"/>
              <w:spacing w:line="247" w:lineRule="exact" w:before="52"/>
              <w:ind w:right="4"/>
              <w:rPr>
                <w:sz w:val="22"/>
              </w:rPr>
            </w:pPr>
            <w:r>
              <w:rPr>
                <w:spacing w:val="-2"/>
                <w:sz w:val="22"/>
              </w:rPr>
              <w:t>0.096</w:t>
            </w:r>
          </w:p>
        </w:tc>
        <w:tc>
          <w:tcPr>
            <w:tcW w:w="1176" w:type="dxa"/>
            <w:tcBorders>
              <w:top w:val="single" w:sz="6" w:space="0" w:color="000000"/>
            </w:tcBorders>
          </w:tcPr>
          <w:p>
            <w:pPr>
              <w:pStyle w:val="TableParagraph"/>
              <w:spacing w:line="247" w:lineRule="exact" w:before="52"/>
              <w:ind w:right="71"/>
              <w:jc w:val="right"/>
              <w:rPr>
                <w:sz w:val="22"/>
              </w:rPr>
            </w:pPr>
            <w:r>
              <w:rPr>
                <w:spacing w:val="-2"/>
                <w:sz w:val="22"/>
              </w:rPr>
              <w:t>2.105</w:t>
            </w:r>
          </w:p>
        </w:tc>
      </w:tr>
      <w:tr>
        <w:trPr>
          <w:trHeight w:val="270" w:hRule="atLeast"/>
        </w:trPr>
        <w:tc>
          <w:tcPr>
            <w:tcW w:w="1315" w:type="dxa"/>
          </w:tcPr>
          <w:p>
            <w:pPr>
              <w:pStyle w:val="TableParagraph"/>
              <w:spacing w:line="247" w:lineRule="exact"/>
              <w:ind w:left="69"/>
              <w:jc w:val="left"/>
              <w:rPr>
                <w:sz w:val="22"/>
              </w:rPr>
            </w:pPr>
            <w:r>
              <w:rPr>
                <w:spacing w:val="-5"/>
                <w:sz w:val="22"/>
              </w:rPr>
              <w:t>AWP</w:t>
            </w:r>
          </w:p>
        </w:tc>
        <w:tc>
          <w:tcPr>
            <w:tcW w:w="871" w:type="dxa"/>
          </w:tcPr>
          <w:p>
            <w:pPr>
              <w:pStyle w:val="TableParagraph"/>
              <w:spacing w:line="247" w:lineRule="exact"/>
              <w:rPr>
                <w:b/>
                <w:sz w:val="22"/>
              </w:rPr>
            </w:pPr>
            <w:r>
              <w:rPr>
                <w:b/>
                <w:spacing w:val="-2"/>
                <w:sz w:val="22"/>
              </w:rPr>
              <w:t>0.534</w:t>
            </w:r>
          </w:p>
        </w:tc>
        <w:tc>
          <w:tcPr>
            <w:tcW w:w="1085" w:type="dxa"/>
          </w:tcPr>
          <w:p>
            <w:pPr>
              <w:pStyle w:val="TableParagraph"/>
              <w:spacing w:line="247" w:lineRule="exact"/>
              <w:ind w:right="1"/>
              <w:rPr>
                <w:sz w:val="22"/>
              </w:rPr>
            </w:pPr>
            <w:r>
              <w:rPr>
                <w:spacing w:val="-2"/>
                <w:sz w:val="22"/>
              </w:rPr>
              <w:t>-0.030</w:t>
            </w:r>
          </w:p>
        </w:tc>
        <w:tc>
          <w:tcPr>
            <w:tcW w:w="631" w:type="dxa"/>
          </w:tcPr>
          <w:p>
            <w:pPr>
              <w:pStyle w:val="TableParagraph"/>
              <w:spacing w:line="247" w:lineRule="exact"/>
              <w:ind w:left="2" w:right="3"/>
              <w:rPr>
                <w:sz w:val="22"/>
              </w:rPr>
            </w:pPr>
            <w:r>
              <w:rPr>
                <w:spacing w:val="-2"/>
                <w:sz w:val="22"/>
              </w:rPr>
              <w:t>0.113</w:t>
            </w:r>
          </w:p>
        </w:tc>
        <w:tc>
          <w:tcPr>
            <w:tcW w:w="799" w:type="dxa"/>
          </w:tcPr>
          <w:p>
            <w:pPr>
              <w:pStyle w:val="TableParagraph"/>
              <w:spacing w:line="247" w:lineRule="exact"/>
              <w:ind w:right="2"/>
              <w:rPr>
                <w:sz w:val="22"/>
              </w:rPr>
            </w:pPr>
            <w:r>
              <w:rPr>
                <w:spacing w:val="-2"/>
                <w:sz w:val="22"/>
              </w:rPr>
              <w:t>0.107</w:t>
            </w:r>
          </w:p>
        </w:tc>
        <w:tc>
          <w:tcPr>
            <w:tcW w:w="631" w:type="dxa"/>
          </w:tcPr>
          <w:p>
            <w:pPr>
              <w:pStyle w:val="TableParagraph"/>
              <w:spacing w:line="247" w:lineRule="exact"/>
              <w:ind w:right="3"/>
              <w:rPr>
                <w:b/>
                <w:sz w:val="22"/>
              </w:rPr>
            </w:pPr>
            <w:r>
              <w:rPr>
                <w:b/>
                <w:spacing w:val="-2"/>
                <w:sz w:val="22"/>
              </w:rPr>
              <w:t>0.286</w:t>
            </w:r>
          </w:p>
        </w:tc>
        <w:tc>
          <w:tcPr>
            <w:tcW w:w="649" w:type="dxa"/>
          </w:tcPr>
          <w:p>
            <w:pPr>
              <w:pStyle w:val="TableParagraph"/>
              <w:spacing w:line="247" w:lineRule="exact"/>
              <w:ind w:right="4"/>
              <w:rPr>
                <w:sz w:val="22"/>
              </w:rPr>
            </w:pPr>
            <w:r>
              <w:rPr>
                <w:spacing w:val="-2"/>
                <w:sz w:val="22"/>
              </w:rPr>
              <w:t>0.179</w:t>
            </w:r>
          </w:p>
        </w:tc>
        <w:tc>
          <w:tcPr>
            <w:tcW w:w="1176" w:type="dxa"/>
          </w:tcPr>
          <w:p>
            <w:pPr>
              <w:pStyle w:val="TableParagraph"/>
              <w:spacing w:line="247" w:lineRule="exact"/>
              <w:ind w:right="71"/>
              <w:jc w:val="right"/>
              <w:rPr>
                <w:sz w:val="22"/>
              </w:rPr>
            </w:pPr>
            <w:r>
              <w:rPr>
                <w:spacing w:val="-2"/>
                <w:sz w:val="22"/>
              </w:rPr>
              <w:t>18.711</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GF-</w:t>
            </w:r>
            <w:r>
              <w:rPr>
                <w:spacing w:val="-5"/>
                <w:sz w:val="22"/>
              </w:rPr>
              <w:t>PR</w:t>
            </w:r>
          </w:p>
        </w:tc>
        <w:tc>
          <w:tcPr>
            <w:tcW w:w="871" w:type="dxa"/>
            <w:tcBorders>
              <w:bottom w:val="single" w:sz="8" w:space="0" w:color="000000"/>
            </w:tcBorders>
          </w:tcPr>
          <w:p>
            <w:pPr>
              <w:pStyle w:val="TableParagraph"/>
              <w:rPr>
                <w:sz w:val="22"/>
              </w:rPr>
            </w:pPr>
            <w:r>
              <w:rPr>
                <w:spacing w:val="-2"/>
                <w:sz w:val="22"/>
              </w:rPr>
              <w:t>0.246</w:t>
            </w:r>
          </w:p>
        </w:tc>
        <w:tc>
          <w:tcPr>
            <w:tcW w:w="1085" w:type="dxa"/>
            <w:tcBorders>
              <w:bottom w:val="single" w:sz="8" w:space="0" w:color="000000"/>
            </w:tcBorders>
          </w:tcPr>
          <w:p>
            <w:pPr>
              <w:pStyle w:val="TableParagraph"/>
              <w:ind w:right="1"/>
              <w:rPr>
                <w:sz w:val="22"/>
              </w:rPr>
            </w:pPr>
            <w:r>
              <w:rPr>
                <w:spacing w:val="-2"/>
                <w:sz w:val="22"/>
              </w:rPr>
              <w:t>-0.041</w:t>
            </w:r>
          </w:p>
        </w:tc>
        <w:tc>
          <w:tcPr>
            <w:tcW w:w="631" w:type="dxa"/>
            <w:tcBorders>
              <w:bottom w:val="single" w:sz="8" w:space="0" w:color="000000"/>
            </w:tcBorders>
          </w:tcPr>
          <w:p>
            <w:pPr>
              <w:pStyle w:val="TableParagraph"/>
              <w:ind w:left="3" w:right="3"/>
              <w:rPr>
                <w:b/>
                <w:sz w:val="22"/>
              </w:rPr>
            </w:pPr>
            <w:r>
              <w:rPr>
                <w:b/>
                <w:spacing w:val="-2"/>
                <w:sz w:val="22"/>
              </w:rPr>
              <w:t>0.132</w:t>
            </w:r>
          </w:p>
        </w:tc>
        <w:tc>
          <w:tcPr>
            <w:tcW w:w="799" w:type="dxa"/>
            <w:tcBorders>
              <w:bottom w:val="single" w:sz="8" w:space="0" w:color="000000"/>
            </w:tcBorders>
          </w:tcPr>
          <w:p>
            <w:pPr>
              <w:pStyle w:val="TableParagraph"/>
              <w:ind w:left="1" w:right="2"/>
              <w:rPr>
                <w:b/>
                <w:sz w:val="22"/>
              </w:rPr>
            </w:pPr>
            <w:r>
              <w:rPr>
                <w:b/>
                <w:spacing w:val="-2"/>
                <w:sz w:val="22"/>
              </w:rPr>
              <w:t>0.376</w:t>
            </w:r>
          </w:p>
        </w:tc>
        <w:tc>
          <w:tcPr>
            <w:tcW w:w="631" w:type="dxa"/>
            <w:tcBorders>
              <w:bottom w:val="single" w:sz="8" w:space="0" w:color="000000"/>
            </w:tcBorders>
          </w:tcPr>
          <w:p>
            <w:pPr>
              <w:pStyle w:val="TableParagraph"/>
              <w:ind w:right="3"/>
              <w:rPr>
                <w:sz w:val="22"/>
              </w:rPr>
            </w:pPr>
            <w:r>
              <w:rPr>
                <w:spacing w:val="-2"/>
                <w:sz w:val="22"/>
              </w:rPr>
              <w:t>0.093</w:t>
            </w:r>
          </w:p>
        </w:tc>
        <w:tc>
          <w:tcPr>
            <w:tcW w:w="649" w:type="dxa"/>
            <w:tcBorders>
              <w:bottom w:val="single" w:sz="8" w:space="0" w:color="000000"/>
            </w:tcBorders>
          </w:tcPr>
          <w:p>
            <w:pPr>
              <w:pStyle w:val="TableParagraph"/>
              <w:ind w:right="4"/>
              <w:rPr>
                <w:b/>
                <w:sz w:val="22"/>
              </w:rPr>
            </w:pPr>
            <w:r>
              <w:rPr>
                <w:b/>
                <w:spacing w:val="-2"/>
                <w:sz w:val="22"/>
              </w:rPr>
              <w:t>0.583</w:t>
            </w:r>
          </w:p>
        </w:tc>
        <w:tc>
          <w:tcPr>
            <w:tcW w:w="1176" w:type="dxa"/>
            <w:tcBorders>
              <w:bottom w:val="single" w:sz="8" w:space="0" w:color="000000"/>
            </w:tcBorders>
          </w:tcPr>
          <w:p>
            <w:pPr>
              <w:pStyle w:val="TableParagraph"/>
              <w:ind w:right="71"/>
              <w:jc w:val="right"/>
              <w:rPr>
                <w:sz w:val="22"/>
              </w:rPr>
            </w:pPr>
            <w:r>
              <w:rPr>
                <w:spacing w:val="-2"/>
                <w:sz w:val="22"/>
              </w:rPr>
              <w:t>1.461</w:t>
            </w:r>
          </w:p>
        </w:tc>
      </w:tr>
    </w:tbl>
    <w:p>
      <w:pPr>
        <w:pStyle w:val="BodyText"/>
        <w:spacing w:before="99"/>
      </w:pPr>
    </w:p>
    <w:p>
      <w:pPr>
        <w:pStyle w:val="BodyText"/>
        <w:spacing w:line="374" w:lineRule="auto"/>
        <w:ind w:left="274" w:right="560" w:hanging="1"/>
        <w:jc w:val="both"/>
      </w:pPr>
      <w:r>
        <w:rPr/>
        <w:t>Among</w:t>
      </w:r>
      <w:r>
        <w:rPr>
          <w:spacing w:val="-15"/>
        </w:rPr>
        <w:t> </w:t>
      </w:r>
      <w:r>
        <w:rPr/>
        <w:t>social</w:t>
      </w:r>
      <w:r>
        <w:rPr>
          <w:spacing w:val="-15"/>
        </w:rPr>
        <w:t> </w:t>
      </w:r>
      <w:r>
        <w:rPr/>
        <w:t>methods,</w:t>
      </w:r>
      <w:r>
        <w:rPr>
          <w:spacing w:val="-15"/>
        </w:rPr>
        <w:t> </w:t>
      </w:r>
      <w:r>
        <w:rPr/>
        <w:t>EndorseRank</w:t>
      </w:r>
      <w:r>
        <w:rPr>
          <w:spacing w:val="-15"/>
        </w:rPr>
        <w:t> </w:t>
      </w:r>
      <w:r>
        <w:rPr/>
        <w:t>leads</w:t>
      </w:r>
      <w:r>
        <w:rPr>
          <w:spacing w:val="-15"/>
        </w:rPr>
        <w:t> </w:t>
      </w:r>
      <w:r>
        <w:rPr/>
        <w:t>on</w:t>
      </w:r>
      <w:r>
        <w:rPr>
          <w:spacing w:val="-15"/>
        </w:rPr>
        <w:t> </w:t>
      </w:r>
      <w:r>
        <w:rPr/>
        <w:t>allowance</w:t>
      </w:r>
      <w:r>
        <w:rPr>
          <w:spacing w:val="-15"/>
        </w:rPr>
        <w:t> </w:t>
      </w:r>
      <w:r>
        <w:rPr/>
        <w:t>(</w:t>
      </w:r>
      <w:r>
        <w:rPr>
          <w:rFonts w:ascii="Calibri" w:hAnsi="Calibri"/>
          <w:i/>
        </w:rPr>
        <w:t>τ</w:t>
      </w:r>
      <w:r>
        <w:rPr>
          <w:rFonts w:ascii="Calibri" w:hAnsi="Calibri"/>
          <w:i/>
          <w:spacing w:val="14"/>
        </w:rPr>
        <w:t> </w:t>
      </w:r>
      <w:r>
        <w:rPr>
          <w:rFonts w:ascii="Calibri" w:hAnsi="Calibri"/>
        </w:rPr>
        <w:t>=</w:t>
      </w:r>
      <w:r>
        <w:rPr>
          <w:rFonts w:ascii="Calibri" w:hAnsi="Calibri"/>
          <w:spacing w:val="9"/>
        </w:rPr>
        <w:t> </w:t>
      </w:r>
      <w:r>
        <w:rPr>
          <w:rFonts w:ascii="Calibri" w:hAnsi="Calibri"/>
        </w:rPr>
        <w:t>0</w:t>
      </w:r>
      <w:r>
        <w:rPr>
          <w:rFonts w:ascii="Calibri" w:hAnsi="Calibri"/>
          <w:i/>
        </w:rPr>
        <w:t>.</w:t>
      </w:r>
      <w:r>
        <w:rPr>
          <w:rFonts w:ascii="Calibri" w:hAnsi="Calibri"/>
        </w:rPr>
        <w:t>355</w:t>
      </w:r>
      <w:r>
        <w:rPr/>
        <w:t>),</w:t>
      </w:r>
      <w:r>
        <w:rPr>
          <w:spacing w:val="-15"/>
        </w:rPr>
        <w:t> </w:t>
      </w:r>
      <w:r>
        <w:rPr/>
        <w:t>while</w:t>
      </w:r>
      <w:r>
        <w:rPr>
          <w:spacing w:val="-15"/>
        </w:rPr>
        <w:t> </w:t>
      </w:r>
      <w:r>
        <w:rPr/>
        <w:t>AWP</w:t>
      </w:r>
      <w:r>
        <w:rPr>
          <w:spacing w:val="-15"/>
        </w:rPr>
        <w:t> </w:t>
      </w:r>
      <w:r>
        <w:rPr/>
        <w:t>leads</w:t>
      </w:r>
      <w:r>
        <w:rPr>
          <w:spacing w:val="-15"/>
        </w:rPr>
        <w:t> </w:t>
      </w:r>
      <w:r>
        <w:rPr/>
        <w:t>on</w:t>
      </w:r>
      <w:r>
        <w:rPr>
          <w:spacing w:val="-15"/>
        </w:rPr>
        <w:t> </w:t>
      </w:r>
      <w:r>
        <w:rPr/>
        <w:t>transfer (</w:t>
      </w:r>
      <w:r>
        <w:rPr>
          <w:rFonts w:ascii="Calibri" w:hAnsi="Calibri"/>
          <w:i/>
        </w:rPr>
        <w:t>τ</w:t>
      </w:r>
      <w:r>
        <w:rPr>
          <w:rFonts w:ascii="Calibri" w:hAnsi="Calibri"/>
          <w:i/>
          <w:spacing w:val="49"/>
        </w:rPr>
        <w:t> </w:t>
      </w:r>
      <w:r>
        <w:rPr>
          <w:rFonts w:ascii="Calibri" w:hAnsi="Calibri"/>
        </w:rPr>
        <w:t>=</w:t>
      </w:r>
      <w:r>
        <w:rPr>
          <w:rFonts w:ascii="Calibri" w:hAnsi="Calibri"/>
          <w:spacing w:val="19"/>
        </w:rPr>
        <w:t> </w:t>
      </w:r>
      <w:r>
        <w:rPr>
          <w:rFonts w:ascii="Calibri" w:hAnsi="Calibri"/>
        </w:rPr>
        <w:t>0</w:t>
      </w:r>
      <w:r>
        <w:rPr>
          <w:rFonts w:ascii="Calibri" w:hAnsi="Calibri"/>
          <w:i/>
        </w:rPr>
        <w:t>.</w:t>
      </w:r>
      <w:r>
        <w:rPr>
          <w:rFonts w:ascii="Calibri" w:hAnsi="Calibri"/>
        </w:rPr>
        <w:t>534</w:t>
      </w:r>
      <w:r>
        <w:rPr/>
        <w:t>),</w:t>
      </w:r>
      <w:r>
        <w:rPr>
          <w:spacing w:val="-2"/>
        </w:rPr>
        <w:t> </w:t>
      </w:r>
      <w:r>
        <w:rPr/>
        <w:t>Sybil-adjusted</w:t>
      </w:r>
      <w:r>
        <w:rPr>
          <w:spacing w:val="-2"/>
        </w:rPr>
        <w:t> </w:t>
      </w:r>
      <w:r>
        <w:rPr/>
        <w:t>stability</w:t>
      </w:r>
      <w:r>
        <w:rPr>
          <w:spacing w:val="-3"/>
        </w:rPr>
        <w:t> </w:t>
      </w:r>
      <w:r>
        <w:rPr/>
        <w:t>(</w:t>
      </w:r>
      <w:r>
        <w:rPr>
          <w:rFonts w:ascii="Calibri" w:hAnsi="Calibri"/>
          <w:i/>
        </w:rPr>
        <w:t>τ</w:t>
      </w:r>
      <w:r>
        <w:rPr>
          <w:rFonts w:ascii="Calibri" w:hAnsi="Calibri"/>
          <w:i/>
          <w:spacing w:val="50"/>
        </w:rPr>
        <w:t> </w:t>
      </w:r>
      <w:r>
        <w:rPr>
          <w:rFonts w:ascii="Calibri" w:hAnsi="Calibri"/>
        </w:rPr>
        <w:t>=</w:t>
      </w:r>
      <w:r>
        <w:rPr>
          <w:rFonts w:ascii="Calibri" w:hAnsi="Calibri"/>
          <w:spacing w:val="19"/>
        </w:rPr>
        <w:t> </w:t>
      </w:r>
      <w:r>
        <w:rPr>
          <w:rFonts w:ascii="Calibri" w:hAnsi="Calibri"/>
        </w:rPr>
        <w:t>0</w:t>
      </w:r>
      <w:r>
        <w:rPr>
          <w:rFonts w:ascii="Calibri" w:hAnsi="Calibri"/>
          <w:i/>
        </w:rPr>
        <w:t>.</w:t>
      </w:r>
      <w:r>
        <w:rPr>
          <w:rFonts w:ascii="Calibri" w:hAnsi="Calibri"/>
        </w:rPr>
        <w:t>286</w:t>
      </w:r>
      <w:r>
        <w:rPr/>
        <w:t>),</w:t>
      </w:r>
      <w:r>
        <w:rPr>
          <w:spacing w:val="-2"/>
        </w:rPr>
        <w:t> </w:t>
      </w:r>
      <w:r>
        <w:rPr/>
        <w:t>and</w:t>
      </w:r>
      <w:r>
        <w:rPr>
          <w:spacing w:val="-3"/>
        </w:rPr>
        <w:t> </w:t>
      </w:r>
      <w:r>
        <w:rPr/>
        <w:t>trading</w:t>
      </w:r>
      <w:r>
        <w:rPr>
          <w:spacing w:val="-2"/>
        </w:rPr>
        <w:t> </w:t>
      </w:r>
      <w:r>
        <w:rPr/>
        <w:t>success</w:t>
      </w:r>
      <w:r>
        <w:rPr>
          <w:spacing w:val="-3"/>
        </w:rPr>
        <w:t> </w:t>
      </w:r>
      <w:r>
        <w:rPr/>
        <w:t>(</w:t>
      </w:r>
      <w:r>
        <w:rPr>
          <w:rFonts w:ascii="Calibri" w:hAnsi="Calibri"/>
          <w:i/>
        </w:rPr>
        <w:t>τ</w:t>
      </w:r>
      <w:r>
        <w:rPr>
          <w:rFonts w:ascii="Calibri" w:hAnsi="Calibri"/>
          <w:i/>
          <w:spacing w:val="49"/>
        </w:rPr>
        <w:t> </w:t>
      </w:r>
      <w:r>
        <w:rPr>
          <w:rFonts w:ascii="Calibri" w:hAnsi="Calibri"/>
        </w:rPr>
        <w:t>=</w:t>
      </w:r>
      <w:r>
        <w:rPr>
          <w:rFonts w:ascii="Calibri" w:hAnsi="Calibri"/>
          <w:spacing w:val="20"/>
        </w:rPr>
        <w:t> </w:t>
      </w:r>
      <w:r>
        <w:rPr>
          <w:rFonts w:ascii="Calibri" w:hAnsi="Calibri"/>
        </w:rPr>
        <w:t>0</w:t>
      </w:r>
      <w:r>
        <w:rPr>
          <w:rFonts w:ascii="Calibri" w:hAnsi="Calibri"/>
          <w:i/>
        </w:rPr>
        <w:t>.</w:t>
      </w:r>
      <w:r>
        <w:rPr>
          <w:rFonts w:ascii="Calibri" w:hAnsi="Calibri"/>
        </w:rPr>
        <w:t>179</w:t>
      </w:r>
      <w:r>
        <w:rPr/>
        <w:t>).</w:t>
      </w:r>
      <w:r>
        <w:rPr>
          <w:spacing w:val="25"/>
        </w:rPr>
        <w:t> </w:t>
      </w:r>
      <w:r>
        <w:rPr>
          <w:spacing w:val="-2"/>
        </w:rPr>
        <w:t>EndorseRank’s</w:t>
      </w:r>
    </w:p>
    <w:p>
      <w:pPr>
        <w:pStyle w:val="BodyText"/>
        <w:spacing w:line="374" w:lineRule="auto"/>
        <w:ind w:left="274" w:right="560" w:hanging="1"/>
        <w:jc w:val="both"/>
      </w:pPr>
      <w:r>
        <w:rPr>
          <w:i/>
        </w:rPr>
        <w:t>사회적 방법 중 EndorseRank는 수당(τ = 0.355)을 주도하고, AWP는 이체(τ = 0.534), Sybil 조정 안정성(τ = 0.286) 및 거래 성공(τ = 0.179)을 주도합니다. EndorseRank의</w:t>
      </w:r>
    </w:p>
    <w:p>
      <w:pPr>
        <w:pStyle w:val="BodyText"/>
        <w:spacing w:after="0" w:line="374" w:lineRule="auto"/>
        <w:jc w:val="both"/>
        <w:sectPr>
          <w:pgSz w:w="11910" w:h="16840"/>
          <w:pgMar w:header="0" w:footer="2115" w:top="1840" w:bottom="2300" w:left="992" w:right="708"/>
        </w:sectPr>
      </w:pPr>
    </w:p>
    <w:p>
      <w:pPr>
        <w:pStyle w:val="BodyText"/>
        <w:spacing w:line="381" w:lineRule="auto" w:before="68"/>
        <w:ind w:left="282" w:right="522"/>
        <w:jc w:val="both"/>
      </w:pPr>
      <w:r>
        <w:rPr/>
        <w:t>transfer alignment is moderate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333</w:t>
      </w:r>
      <w:r>
        <w:rPr/>
        <w:t>)—credible as a secondary axis, but below AWP. On inverse-risk proxies, both social methods are weak (EndorseRank </w:t>
      </w:r>
      <w:r>
        <w:rPr>
          <w:rFonts w:ascii="Calibri" w:hAnsi="Calibri"/>
        </w:rPr>
        <w:t>0</w:t>
      </w:r>
      <w:r>
        <w:rPr>
          <w:rFonts w:ascii="Calibri" w:hAnsi="Calibri"/>
          <w:i/>
        </w:rPr>
        <w:t>.</w:t>
      </w:r>
      <w:r>
        <w:rPr>
          <w:rFonts w:ascii="Calibri" w:hAnsi="Calibri"/>
        </w:rPr>
        <w:t>035</w:t>
      </w:r>
      <w:r>
        <w:rPr/>
        <w:t>; AWP </w:t>
      </w:r>
      <w:r>
        <w:rPr>
          <w:rFonts w:ascii="Calibri" w:hAnsi="Calibri"/>
        </w:rPr>
        <w:t>0</w:t>
      </w:r>
      <w:r>
        <w:rPr>
          <w:rFonts w:ascii="Calibri" w:hAnsi="Calibri"/>
          <w:i/>
        </w:rPr>
        <w:t>.</w:t>
      </w:r>
      <w:r>
        <w:rPr>
          <w:rFonts w:ascii="Calibri" w:hAnsi="Calibri"/>
        </w:rPr>
        <w:t>107</w:t>
      </w:r>
      <w:r>
        <w:rPr/>
        <w:t>), indicating that</w:t>
      </w:r>
      <w:r>
        <w:rPr>
          <w:spacing w:val="-15"/>
        </w:rPr>
        <w:t> </w:t>
      </w:r>
      <w:r>
        <w:rPr/>
        <w:t>neither</w:t>
      </w:r>
      <w:r>
        <w:rPr>
          <w:spacing w:val="-15"/>
        </w:rPr>
        <w:t> </w:t>
      </w:r>
      <w:r>
        <w:rPr/>
        <w:t>allowance</w:t>
      </w:r>
      <w:r>
        <w:rPr>
          <w:spacing w:val="-15"/>
        </w:rPr>
        <w:t> </w:t>
      </w:r>
      <w:r>
        <w:rPr/>
        <w:t>nor</w:t>
      </w:r>
      <w:r>
        <w:rPr>
          <w:spacing w:val="-15"/>
        </w:rPr>
        <w:t> </w:t>
      </w:r>
      <w:r>
        <w:rPr/>
        <w:t>transfer</w:t>
      </w:r>
      <w:r>
        <w:rPr>
          <w:spacing w:val="-15"/>
        </w:rPr>
        <w:t> </w:t>
      </w:r>
      <w:r>
        <w:rPr/>
        <w:t>centrality</w:t>
      </w:r>
      <w:r>
        <w:rPr>
          <w:spacing w:val="-15"/>
        </w:rPr>
        <w:t> </w:t>
      </w:r>
      <w:r>
        <w:rPr/>
        <w:t>strongly</w:t>
      </w:r>
      <w:r>
        <w:rPr>
          <w:spacing w:val="-15"/>
        </w:rPr>
        <w:t> </w:t>
      </w:r>
      <w:r>
        <w:rPr/>
        <w:t>tracks</w:t>
      </w:r>
      <w:r>
        <w:rPr>
          <w:spacing w:val="-15"/>
        </w:rPr>
        <w:t> </w:t>
      </w:r>
      <w:r>
        <w:rPr/>
        <w:t>loss-avoidance</w:t>
      </w:r>
      <w:r>
        <w:rPr>
          <w:spacing w:val="-15"/>
        </w:rPr>
        <w:t> </w:t>
      </w:r>
      <w:r>
        <w:rPr/>
        <w:t>rankings</w:t>
      </w:r>
      <w:r>
        <w:rPr>
          <w:spacing w:val="-15"/>
        </w:rPr>
        <w:t> </w:t>
      </w:r>
      <w:r>
        <w:rPr/>
        <w:t>on</w:t>
      </w:r>
      <w:r>
        <w:rPr>
          <w:spacing w:val="-15"/>
        </w:rPr>
        <w:t> </w:t>
      </w:r>
      <w:r>
        <w:rPr/>
        <w:t>this</w:t>
      </w:r>
      <w:r>
        <w:rPr>
          <w:spacing w:val="-15"/>
        </w:rPr>
        <w:t> </w:t>
      </w:r>
      <w:r>
        <w:rPr/>
        <w:t>cohort. </w:t>
      </w:r>
      <w:r>
        <w:rPr>
          <w:spacing w:val="-2"/>
        </w:rPr>
        <w:t>GF-PR’s</w:t>
      </w:r>
      <w:r>
        <w:rPr>
          <w:spacing w:val="-3"/>
        </w:rPr>
        <w:t> </w:t>
      </w:r>
      <w:r>
        <w:rPr>
          <w:spacing w:val="-2"/>
        </w:rPr>
        <w:t>high</w:t>
      </w:r>
      <w:r>
        <w:rPr>
          <w:spacing w:val="-3"/>
        </w:rPr>
        <w:t> </w:t>
      </w:r>
      <w:r>
        <w:rPr>
          <w:spacing w:val="-2"/>
        </w:rPr>
        <w:t>inverse-risk</w:t>
      </w:r>
      <w:r>
        <w:rPr>
          <w:spacing w:val="-3"/>
        </w:rPr>
        <w:t> </w:t>
      </w:r>
      <w:r>
        <w:rPr>
          <w:spacing w:val="-2"/>
        </w:rPr>
        <w:t>(</w:t>
      </w:r>
      <w:r>
        <w:rPr>
          <w:rFonts w:ascii="Calibri" w:hAnsi="Calibri"/>
          <w:spacing w:val="-2"/>
        </w:rPr>
        <w:t>0</w:t>
      </w:r>
      <w:r>
        <w:rPr>
          <w:rFonts w:ascii="Calibri" w:hAnsi="Calibri"/>
          <w:i/>
          <w:spacing w:val="-2"/>
        </w:rPr>
        <w:t>.</w:t>
      </w:r>
      <w:r>
        <w:rPr>
          <w:rFonts w:ascii="Calibri" w:hAnsi="Calibri"/>
          <w:spacing w:val="-2"/>
        </w:rPr>
        <w:t>376</w:t>
      </w:r>
      <w:r>
        <w:rPr>
          <w:spacing w:val="-2"/>
        </w:rPr>
        <w:t>)</w:t>
      </w:r>
      <w:r>
        <w:rPr>
          <w:spacing w:val="-3"/>
        </w:rPr>
        <w:t> </w:t>
      </w:r>
      <w:r>
        <w:rPr>
          <w:spacing w:val="-2"/>
        </w:rPr>
        <w:t>and</w:t>
      </w:r>
      <w:r>
        <w:rPr>
          <w:spacing w:val="-3"/>
        </w:rPr>
        <w:t> </w:t>
      </w:r>
      <w:r>
        <w:rPr>
          <w:spacing w:val="-2"/>
        </w:rPr>
        <w:t>trading-success</w:t>
      </w:r>
      <w:r>
        <w:rPr>
          <w:spacing w:val="-3"/>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3"/>
        </w:rPr>
        <w:t> </w:t>
      </w:r>
      <w:r>
        <w:rPr>
          <w:spacing w:val="-2"/>
        </w:rPr>
        <w:t>means</w:t>
      </w:r>
      <w:r>
        <w:rPr>
          <w:spacing w:val="-3"/>
        </w:rPr>
        <w:t> </w:t>
      </w:r>
      <w:r>
        <w:rPr>
          <w:spacing w:val="-2"/>
        </w:rPr>
        <w:t>reflect</w:t>
      </w:r>
      <w:r>
        <w:rPr>
          <w:spacing w:val="-3"/>
        </w:rPr>
        <w:t> </w:t>
      </w:r>
      <w:r>
        <w:rPr>
          <w:spacing w:val="-2"/>
        </w:rPr>
        <w:t>construct</w:t>
      </w:r>
      <w:r>
        <w:rPr>
          <w:spacing w:val="-3"/>
        </w:rPr>
        <w:t> </w:t>
      </w:r>
      <w:r>
        <w:rPr>
          <w:spacing w:val="-2"/>
        </w:rPr>
        <w:t>overlap</w:t>
      </w:r>
      <w:r>
        <w:rPr>
          <w:spacing w:val="-3"/>
        </w:rPr>
        <w:t> </w:t>
      </w:r>
      <w:r>
        <w:rPr>
          <w:spacing w:val="-2"/>
        </w:rPr>
        <w:t>with </w:t>
      </w:r>
      <w:r>
        <w:rPr/>
        <w:t>GMX PnL inputs and are not evidence of superior social reputation.</w:t>
      </w:r>
    </w:p>
    <w:p>
      <w:pPr>
        <w:pStyle w:val="BodyText"/>
        <w:spacing w:line="381" w:lineRule="auto" w:before="68"/>
        <w:ind w:left="282" w:right="522"/>
        <w:jc w:val="both"/>
      </w:pPr>
      <w:r>
        <w:rPr>
          <w:i/>
        </w:rPr>
        <w:t>전송 정렬은 보통(τ = 0.333)입니다. 보조 축으로 신뢰할 수 있지만 AWP보다 낮습니다. 역위험 프록시에서는 두 가지 사회적 방법 모두 약하며(EndorseRank 0.035; AWP 0.107), 이는 허용이나 전송 중심성이 이 코호트에서 손실 회피 순위를 강력하게 추적하지 않음을 나타냅니다. GF-PR의 높은 역위험(0.376) 및 거래 성공(0.583) 평균은 GMX PnL 입력과의 구성 중복을 반영하며 우수한 사회적 평판의 증거는 아닙니다.</w:t>
      </w:r>
    </w:p>
    <w:p>
      <w:pPr>
        <w:pStyle w:val="BodyText"/>
        <w:spacing w:line="396" w:lineRule="auto" w:before="25"/>
        <w:ind w:left="282" w:right="524"/>
        <w:jc w:val="both"/>
      </w:pPr>
      <w:r>
        <w:rPr/>
        <w:t>Figure</w:t>
      </w:r>
      <w:r>
        <w:rPr>
          <w:spacing w:val="-5"/>
        </w:rPr>
        <w:t> </w:t>
      </w:r>
      <w:hyperlink w:history="true" w:anchor="_bookmark102">
        <w:r>
          <w:rPr/>
          <w:t>4.6</w:t>
        </w:r>
      </w:hyperlink>
      <w:r>
        <w:rPr>
          <w:spacing w:val="-5"/>
        </w:rPr>
        <w:t> </w:t>
      </w:r>
      <w:r>
        <w:rPr/>
        <w:t>provides</w:t>
      </w:r>
      <w:r>
        <w:rPr>
          <w:spacing w:val="-5"/>
        </w:rPr>
        <w:t> </w:t>
      </w:r>
      <w:r>
        <w:rPr/>
        <w:t>a</w:t>
      </w:r>
      <w:r>
        <w:rPr>
          <w:spacing w:val="-5"/>
        </w:rPr>
        <w:t> </w:t>
      </w:r>
      <w:r>
        <w:rPr/>
        <w:t>compact</w:t>
      </w:r>
      <w:r>
        <w:rPr>
          <w:spacing w:val="-5"/>
        </w:rPr>
        <w:t> </w:t>
      </w:r>
      <w:r>
        <w:rPr/>
        <w:t>visual</w:t>
      </w:r>
      <w:r>
        <w:rPr>
          <w:spacing w:val="-5"/>
        </w:rPr>
        <w:t> </w:t>
      </w:r>
      <w:r>
        <w:rPr/>
        <w:t>summary</w:t>
      </w:r>
      <w:r>
        <w:rPr>
          <w:spacing w:val="-5"/>
        </w:rPr>
        <w:t> </w:t>
      </w:r>
      <w:r>
        <w:rPr/>
        <w:t>of</w:t>
      </w:r>
      <w:r>
        <w:rPr>
          <w:spacing w:val="-5"/>
        </w:rPr>
        <w:t> </w:t>
      </w:r>
      <w:r>
        <w:rPr/>
        <w:t>family-level</w:t>
      </w:r>
      <w:r>
        <w:rPr>
          <w:spacing w:val="-5"/>
        </w:rPr>
        <w:t> </w:t>
      </w:r>
      <w:r>
        <w:rPr/>
        <w:t>alignment. The</w:t>
      </w:r>
      <w:r>
        <w:rPr>
          <w:spacing w:val="-5"/>
        </w:rPr>
        <w:t> </w:t>
      </w:r>
      <w:r>
        <w:rPr/>
        <w:t>heatmap</w:t>
      </w:r>
      <w:r>
        <w:rPr>
          <w:spacing w:val="-5"/>
        </w:rPr>
        <w:t> </w:t>
      </w:r>
      <w:r>
        <w:rPr/>
        <w:t>makes</w:t>
      </w:r>
      <w:r>
        <w:rPr>
          <w:spacing w:val="-5"/>
        </w:rPr>
        <w:t> </w:t>
      </w:r>
      <w:r>
        <w:rPr/>
        <w:t>the construct-specific</w:t>
      </w:r>
      <w:r>
        <w:rPr>
          <w:spacing w:val="-12"/>
        </w:rPr>
        <w:t> </w:t>
      </w:r>
      <w:r>
        <w:rPr/>
        <w:t>pattern</w:t>
      </w:r>
      <w:r>
        <w:rPr>
          <w:spacing w:val="-12"/>
        </w:rPr>
        <w:t> </w:t>
      </w:r>
      <w:r>
        <w:rPr/>
        <w:t>immediate: EndorseRank’s</w:t>
      </w:r>
      <w:r>
        <w:rPr>
          <w:spacing w:val="-12"/>
        </w:rPr>
        <w:t> </w:t>
      </w:r>
      <w:r>
        <w:rPr/>
        <w:t>strongest</w:t>
      </w:r>
      <w:r>
        <w:rPr>
          <w:spacing w:val="-12"/>
        </w:rPr>
        <w:t> </w:t>
      </w:r>
      <w:r>
        <w:rPr/>
        <w:t>cell</w:t>
      </w:r>
      <w:r>
        <w:rPr>
          <w:spacing w:val="-12"/>
        </w:rPr>
        <w:t> </w:t>
      </w:r>
      <w:r>
        <w:rPr/>
        <w:t>is</w:t>
      </w:r>
      <w:r>
        <w:rPr>
          <w:spacing w:val="-12"/>
        </w:rPr>
        <w:t> </w:t>
      </w:r>
      <w:r>
        <w:rPr/>
        <w:t>allowance;</w:t>
      </w:r>
      <w:r>
        <w:rPr>
          <w:spacing w:val="-11"/>
        </w:rPr>
        <w:t> </w:t>
      </w:r>
      <w:r>
        <w:rPr/>
        <w:t>AWP’s</w:t>
      </w:r>
      <w:r>
        <w:rPr>
          <w:spacing w:val="-12"/>
        </w:rPr>
        <w:t> </w:t>
      </w:r>
      <w:r>
        <w:rPr/>
        <w:t>strongest social-method</w:t>
      </w:r>
      <w:r>
        <w:rPr>
          <w:spacing w:val="-5"/>
        </w:rPr>
        <w:t> </w:t>
      </w:r>
      <w:r>
        <w:rPr/>
        <w:t>cells</w:t>
      </w:r>
      <w:r>
        <w:rPr>
          <w:spacing w:val="-5"/>
        </w:rPr>
        <w:t> </w:t>
      </w:r>
      <w:r>
        <w:rPr/>
        <w:t>are</w:t>
      </w:r>
      <w:r>
        <w:rPr>
          <w:spacing w:val="-5"/>
        </w:rPr>
        <w:t> </w:t>
      </w:r>
      <w:r>
        <w:rPr/>
        <w:t>transfer</w:t>
      </w:r>
      <w:r>
        <w:rPr>
          <w:spacing w:val="-5"/>
        </w:rPr>
        <w:t> </w:t>
      </w:r>
      <w:r>
        <w:rPr/>
        <w:t>and,</w:t>
      </w:r>
      <w:r>
        <w:rPr>
          <w:spacing w:val="-5"/>
        </w:rPr>
        <w:t> </w:t>
      </w:r>
      <w:r>
        <w:rPr/>
        <w:t>secondarily,</w:t>
      </w:r>
      <w:r>
        <w:rPr>
          <w:spacing w:val="-5"/>
        </w:rPr>
        <w:t> </w:t>
      </w:r>
      <w:r>
        <w:rPr/>
        <w:t>Sybil-adjusted</w:t>
      </w:r>
      <w:r>
        <w:rPr>
          <w:spacing w:val="-5"/>
        </w:rPr>
        <w:t> </w:t>
      </w:r>
      <w:r>
        <w:rPr/>
        <w:t>stability</w:t>
      </w:r>
      <w:r>
        <w:rPr>
          <w:spacing w:val="-5"/>
        </w:rPr>
        <w:t> </w:t>
      </w:r>
      <w:r>
        <w:rPr/>
        <w:t>and</w:t>
      </w:r>
      <w:r>
        <w:rPr>
          <w:spacing w:val="-5"/>
        </w:rPr>
        <w:t> </w:t>
      </w:r>
      <w:r>
        <w:rPr/>
        <w:t>trading</w:t>
      </w:r>
      <w:r>
        <w:rPr>
          <w:spacing w:val="-5"/>
        </w:rPr>
        <w:t> </w:t>
      </w:r>
      <w:r>
        <w:rPr/>
        <w:t>success;</w:t>
      </w:r>
      <w:r>
        <w:rPr>
          <w:spacing w:val="-5"/>
        </w:rPr>
        <w:t> </w:t>
      </w:r>
      <w:r>
        <w:rPr/>
        <w:t>GF-PR dominates outcome-native families.</w:t>
      </w:r>
      <w:r>
        <w:rPr>
          <w:spacing w:val="40"/>
        </w:rPr>
        <w:t> </w:t>
      </w:r>
      <w:r>
        <w:rPr/>
        <w:t>The visual separation between social-method cells and GF-PR outcome cells is the empirical signature of Claim C3 and the caution embodied in SC1.</w:t>
      </w:r>
    </w:p>
    <w:p>
      <w:pPr>
        <w:pStyle w:val="BodyText"/>
        <w:spacing w:line="396" w:lineRule="auto" w:before="25"/>
        <w:ind w:left="282" w:right="524"/>
        <w:jc w:val="both"/>
      </w:pPr>
      <w:r>
        <w:rPr>
          <w:i/>
        </w:rPr>
        <w:t>그림 4.6은 가족 수준의 정렬을 간략하게 시각적으로 요약한 것입니다. 히트맵은 구성별 패턴을 즉각적으로 만듭니다. EndorseRank의 가장 강력한 셀은 허용이고, AWP의 가장 강력한 사회적 방법 셀은 이전이며, 두 번째로 Sybil 조정 안정성 및 거래 성공입니다. GF-PR은 결과 기반 패밀리를 지배합니다. 사회적 방법 셀과 GF-PR 결과 셀 간의 시각적 분리는 주장 C3의 경험적 서명이자 SC1에 구현된 주의 사항입니다.</w:t>
      </w:r>
    </w:p>
    <w:p>
      <w:pPr>
        <w:spacing w:before="149"/>
        <w:ind w:left="0" w:right="1541" w:firstLine="0"/>
        <w:jc w:val="right"/>
        <w:rPr>
          <w:rFonts w:ascii="Verdana"/>
          <w:sz w:val="17"/>
        </w:rPr>
      </w:pPr>
      <w:r>
        <w:rPr>
          <w:rFonts w:ascii="Verdana"/>
          <w:sz w:val="17"/>
        </w:rPr>
        <mc:AlternateContent>
          <mc:Choice Requires="wps">
            <w:drawing>
              <wp:anchor distT="0" distB="0" distL="0" distR="0" allowOverlap="1" layoutInCell="1" locked="0" behindDoc="0" simplePos="0" relativeHeight="15778816">
                <wp:simplePos x="0" y="0"/>
                <wp:positionH relativeFrom="page">
                  <wp:posOffset>1920964</wp:posOffset>
                </wp:positionH>
                <wp:positionV relativeFrom="paragraph">
                  <wp:posOffset>160030</wp:posOffset>
                </wp:positionV>
                <wp:extent cx="3725545" cy="187198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3725545" cy="1871980"/>
                          <a:chExt cx="3725545" cy="1871980"/>
                        </a:xfrm>
                      </wpg:grpSpPr>
                      <pic:pic>
                        <pic:nvPicPr>
                          <pic:cNvPr id="664" name="Image 664"/>
                          <pic:cNvPicPr/>
                        </pic:nvPicPr>
                        <pic:blipFill>
                          <a:blip r:embed="rId21" cstate="print"/>
                          <a:stretch>
                            <a:fillRect/>
                          </a:stretch>
                        </pic:blipFill>
                        <pic:spPr>
                          <a:xfrm>
                            <a:off x="36347" y="4128"/>
                            <a:ext cx="3684975" cy="1830709"/>
                          </a:xfrm>
                          <a:prstGeom prst="rect">
                            <a:avLst/>
                          </a:prstGeom>
                        </pic:spPr>
                      </pic:pic>
                      <wps:wsp>
                        <wps:cNvPr id="665" name="Graphic 665"/>
                        <wps:cNvSpPr/>
                        <wps:spPr>
                          <a:xfrm>
                            <a:off x="404648"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6" name="Graphic 666"/>
                        <wps:cNvSpPr/>
                        <wps:spPr>
                          <a:xfrm>
                            <a:off x="404648"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67" name="Graphic 667"/>
                        <wps:cNvSpPr/>
                        <wps:spPr>
                          <a:xfrm>
                            <a:off x="404648"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68" name="Graphic 668"/>
                        <wps:cNvSpPr/>
                        <wps:spPr>
                          <a:xfrm>
                            <a:off x="1141687"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69" name="Graphic 669"/>
                        <wps:cNvSpPr/>
                        <wps:spPr>
                          <a:xfrm>
                            <a:off x="1141687"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0" name="Graphic 670"/>
                        <wps:cNvSpPr/>
                        <wps:spPr>
                          <a:xfrm>
                            <a:off x="1141687"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1" name="Graphic 671"/>
                        <wps:cNvSpPr/>
                        <wps:spPr>
                          <a:xfrm>
                            <a:off x="1878726"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2" name="Graphic 672"/>
                        <wps:cNvSpPr/>
                        <wps:spPr>
                          <a:xfrm>
                            <a:off x="1878726"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3" name="Graphic 673"/>
                        <wps:cNvSpPr/>
                        <wps:spPr>
                          <a:xfrm>
                            <a:off x="1878726"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4" name="Graphic 674"/>
                        <wps:cNvSpPr/>
                        <wps:spPr>
                          <a:xfrm>
                            <a:off x="2615765"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5" name="Graphic 675"/>
                        <wps:cNvSpPr/>
                        <wps:spPr>
                          <a:xfrm>
                            <a:off x="2615765"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6" name="Graphic 676"/>
                        <wps:cNvSpPr/>
                        <wps:spPr>
                          <a:xfrm>
                            <a:off x="2615765"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77" name="Graphic 677"/>
                        <wps:cNvSpPr/>
                        <wps:spPr>
                          <a:xfrm>
                            <a:off x="3352804" y="4128"/>
                            <a:ext cx="1270" cy="1831339"/>
                          </a:xfrm>
                          <a:custGeom>
                            <a:avLst/>
                            <a:gdLst/>
                            <a:ahLst/>
                            <a:cxnLst/>
                            <a:rect l="l" t="t" r="r" b="b"/>
                            <a:pathLst>
                              <a:path w="0" h="1831339">
                                <a:moveTo>
                                  <a:pt x="0" y="1831282"/>
                                </a:moveTo>
                                <a:lnTo>
                                  <a:pt x="0" y="0"/>
                                </a:lnTo>
                              </a:path>
                            </a:pathLst>
                          </a:custGeom>
                          <a:ln w="8257">
                            <a:solidFill>
                              <a:srgbClr val="AFAFAF"/>
                            </a:solidFill>
                            <a:prstDash val="solid"/>
                          </a:ln>
                        </wps:spPr>
                        <wps:bodyPr wrap="square" lIns="0" tIns="0" rIns="0" bIns="0" rtlCol="0">
                          <a:prstTxWarp prst="textNoShape">
                            <a:avLst/>
                          </a:prstTxWarp>
                          <a:noAutofit/>
                        </wps:bodyPr>
                      </wps:wsp>
                      <wps:wsp>
                        <wps:cNvPr id="678" name="Graphic 678"/>
                        <wps:cNvSpPr/>
                        <wps:spPr>
                          <a:xfrm>
                            <a:off x="3352804" y="1835411"/>
                            <a:ext cx="1270" cy="36195"/>
                          </a:xfrm>
                          <a:custGeom>
                            <a:avLst/>
                            <a:gdLst/>
                            <a:ahLst/>
                            <a:cxnLst/>
                            <a:rect l="l" t="t" r="r" b="b"/>
                            <a:pathLst>
                              <a:path w="0" h="36195">
                                <a:moveTo>
                                  <a:pt x="0" y="0"/>
                                </a:moveTo>
                                <a:lnTo>
                                  <a:pt x="0" y="36128"/>
                                </a:lnTo>
                              </a:path>
                            </a:pathLst>
                          </a:custGeom>
                          <a:solidFill>
                            <a:srgbClr val="000000"/>
                          </a:solidFill>
                        </wps:spPr>
                        <wps:bodyPr wrap="square" lIns="0" tIns="0" rIns="0" bIns="0" rtlCol="0">
                          <a:prstTxWarp prst="textNoShape">
                            <a:avLst/>
                          </a:prstTxWarp>
                          <a:noAutofit/>
                        </wps:bodyPr>
                      </wps:wsp>
                      <wps:wsp>
                        <wps:cNvPr id="679" name="Graphic 679"/>
                        <wps:cNvSpPr/>
                        <wps:spPr>
                          <a:xfrm>
                            <a:off x="3352804" y="1835411"/>
                            <a:ext cx="1270" cy="36195"/>
                          </a:xfrm>
                          <a:custGeom>
                            <a:avLst/>
                            <a:gdLst/>
                            <a:ahLst/>
                            <a:cxnLst/>
                            <a:rect l="l" t="t" r="r" b="b"/>
                            <a:pathLst>
                              <a:path w="0" h="36195">
                                <a:moveTo>
                                  <a:pt x="0" y="0"/>
                                </a:moveTo>
                                <a:lnTo>
                                  <a:pt x="0" y="36128"/>
                                </a:lnTo>
                              </a:path>
                            </a:pathLst>
                          </a:custGeom>
                          <a:ln w="8257">
                            <a:solidFill>
                              <a:srgbClr val="000000"/>
                            </a:solidFill>
                            <a:prstDash val="solid"/>
                          </a:ln>
                        </wps:spPr>
                        <wps:bodyPr wrap="square" lIns="0" tIns="0" rIns="0" bIns="0" rtlCol="0">
                          <a:prstTxWarp prst="textNoShape">
                            <a:avLst/>
                          </a:prstTxWarp>
                          <a:noAutofit/>
                        </wps:bodyPr>
                      </wps:wsp>
                      <wps:wsp>
                        <wps:cNvPr id="680" name="Graphic 680"/>
                        <wps:cNvSpPr/>
                        <wps:spPr>
                          <a:xfrm>
                            <a:off x="36128" y="309342"/>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1" name="Graphic 681"/>
                        <wps:cNvSpPr/>
                        <wps:spPr>
                          <a:xfrm>
                            <a:off x="0" y="309342"/>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2" name="Graphic 682"/>
                        <wps:cNvSpPr/>
                        <wps:spPr>
                          <a:xfrm>
                            <a:off x="0" y="309342"/>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3" name="Graphic 683"/>
                        <wps:cNvSpPr/>
                        <wps:spPr>
                          <a:xfrm>
                            <a:off x="36128" y="919770"/>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4" name="Graphic 684"/>
                        <wps:cNvSpPr/>
                        <wps:spPr>
                          <a:xfrm>
                            <a:off x="0" y="919770"/>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5" name="Graphic 685"/>
                        <wps:cNvSpPr/>
                        <wps:spPr>
                          <a:xfrm>
                            <a:off x="0" y="919770"/>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6" name="Graphic 686"/>
                        <wps:cNvSpPr/>
                        <wps:spPr>
                          <a:xfrm>
                            <a:off x="36128" y="1530197"/>
                            <a:ext cx="3685540" cy="1270"/>
                          </a:xfrm>
                          <a:custGeom>
                            <a:avLst/>
                            <a:gdLst/>
                            <a:ahLst/>
                            <a:cxnLst/>
                            <a:rect l="l" t="t" r="r" b="b"/>
                            <a:pathLst>
                              <a:path w="3685540" h="0">
                                <a:moveTo>
                                  <a:pt x="0" y="0"/>
                                </a:moveTo>
                                <a:lnTo>
                                  <a:pt x="3685195" y="0"/>
                                </a:lnTo>
                              </a:path>
                            </a:pathLst>
                          </a:custGeom>
                          <a:ln w="8257">
                            <a:solidFill>
                              <a:srgbClr val="AFAFAF"/>
                            </a:solidFill>
                            <a:prstDash val="solid"/>
                          </a:ln>
                        </wps:spPr>
                        <wps:bodyPr wrap="square" lIns="0" tIns="0" rIns="0" bIns="0" rtlCol="0">
                          <a:prstTxWarp prst="textNoShape">
                            <a:avLst/>
                          </a:prstTxWarp>
                          <a:noAutofit/>
                        </wps:bodyPr>
                      </wps:wsp>
                      <wps:wsp>
                        <wps:cNvPr id="687" name="Graphic 687"/>
                        <wps:cNvSpPr/>
                        <wps:spPr>
                          <a:xfrm>
                            <a:off x="0" y="1530197"/>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688" name="Graphic 688"/>
                        <wps:cNvSpPr/>
                        <wps:spPr>
                          <a:xfrm>
                            <a:off x="0" y="1530197"/>
                            <a:ext cx="36195" cy="1270"/>
                          </a:xfrm>
                          <a:custGeom>
                            <a:avLst/>
                            <a:gdLst/>
                            <a:ahLst/>
                            <a:cxnLst/>
                            <a:rect l="l" t="t" r="r" b="b"/>
                            <a:pathLst>
                              <a:path w="36195" h="0">
                                <a:moveTo>
                                  <a:pt x="36128" y="0"/>
                                </a:moveTo>
                                <a:lnTo>
                                  <a:pt x="0" y="0"/>
                                </a:lnTo>
                              </a:path>
                            </a:pathLst>
                          </a:custGeom>
                          <a:ln w="8257">
                            <a:solidFill>
                              <a:srgbClr val="000000"/>
                            </a:solidFill>
                            <a:prstDash val="solid"/>
                          </a:ln>
                        </wps:spPr>
                        <wps:bodyPr wrap="square" lIns="0" tIns="0" rIns="0" bIns="0" rtlCol="0">
                          <a:prstTxWarp prst="textNoShape">
                            <a:avLst/>
                          </a:prstTxWarp>
                          <a:noAutofit/>
                        </wps:bodyPr>
                      </wps:wsp>
                      <wps:wsp>
                        <wps:cNvPr id="689" name="Graphic 689"/>
                        <wps:cNvSpPr/>
                        <wps:spPr>
                          <a:xfrm>
                            <a:off x="36128" y="4128"/>
                            <a:ext cx="3685540" cy="1831339"/>
                          </a:xfrm>
                          <a:custGeom>
                            <a:avLst/>
                            <a:gdLst/>
                            <a:ahLst/>
                            <a:cxnLst/>
                            <a:rect l="l" t="t" r="r" b="b"/>
                            <a:pathLst>
                              <a:path w="3685540" h="1831339">
                                <a:moveTo>
                                  <a:pt x="0" y="1831282"/>
                                </a:moveTo>
                                <a:lnTo>
                                  <a:pt x="0" y="0"/>
                                </a:lnTo>
                              </a:path>
                              <a:path w="3685540" h="1831339">
                                <a:moveTo>
                                  <a:pt x="3685195" y="1831282"/>
                                </a:moveTo>
                                <a:lnTo>
                                  <a:pt x="3685195" y="0"/>
                                </a:lnTo>
                              </a:path>
                              <a:path w="3685540" h="1831339">
                                <a:moveTo>
                                  <a:pt x="0" y="1831282"/>
                                </a:moveTo>
                                <a:lnTo>
                                  <a:pt x="3685195" y="1831282"/>
                                </a:lnTo>
                              </a:path>
                              <a:path w="3685540" h="1831339">
                                <a:moveTo>
                                  <a:pt x="0" y="0"/>
                                </a:moveTo>
                                <a:lnTo>
                                  <a:pt x="3685195" y="0"/>
                                </a:lnTo>
                              </a:path>
                            </a:pathLst>
                          </a:custGeom>
                          <a:ln w="8257">
                            <a:solidFill>
                              <a:srgbClr val="000000"/>
                            </a:solidFill>
                            <a:prstDash val="solid"/>
                          </a:ln>
                        </wps:spPr>
                        <wps:bodyPr wrap="square" lIns="0" tIns="0" rIns="0" bIns="0" rtlCol="0">
                          <a:prstTxWarp prst="textNoShape">
                            <a:avLst/>
                          </a:prstTxWarp>
                          <a:noAutofit/>
                        </wps:bodyPr>
                      </wps:wsp>
                      <wps:wsp>
                        <wps:cNvPr id="690" name="Textbox 690"/>
                        <wps:cNvSpPr txBox="1"/>
                        <wps:spPr>
                          <a:xfrm>
                            <a:off x="271827" y="255809"/>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2"/>
                                  <w:w w:val="85"/>
                                  <w:sz w:val="16"/>
                                </w:rPr>
                                <w:t>0.333</w:t>
                              </w:r>
                            </w:p>
                          </w:txbxContent>
                        </wps:txbx>
                        <wps:bodyPr wrap="square" lIns="0" tIns="0" rIns="0" bIns="0" rtlCol="0">
                          <a:noAutofit/>
                        </wps:bodyPr>
                      </wps:wsp>
                      <wps:wsp>
                        <wps:cNvPr id="691" name="Textbox 691"/>
                        <wps:cNvSpPr txBox="1"/>
                        <wps:spPr>
                          <a:xfrm>
                            <a:off x="1008866" y="255809"/>
                            <a:ext cx="27559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0.355</w:t>
                              </w:r>
                            </w:p>
                          </w:txbxContent>
                        </wps:txbx>
                        <wps:bodyPr wrap="square" lIns="0" tIns="0" rIns="0" bIns="0" rtlCol="0">
                          <a:noAutofit/>
                        </wps:bodyPr>
                      </wps:wsp>
                      <wps:wsp>
                        <wps:cNvPr id="692" name="Textbox 692"/>
                        <wps:cNvSpPr txBox="1"/>
                        <wps:spPr>
                          <a:xfrm>
                            <a:off x="1745905" y="255809"/>
                            <a:ext cx="27559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0.035</w:t>
                              </w:r>
                            </w:p>
                          </w:txbxContent>
                        </wps:txbx>
                        <wps:bodyPr wrap="square" lIns="0" tIns="0" rIns="0" bIns="0" rtlCol="0">
                          <a:noAutofit/>
                        </wps:bodyPr>
                      </wps:wsp>
                      <wps:wsp>
                        <wps:cNvPr id="693" name="Textbox 693"/>
                        <wps:cNvSpPr txBox="1"/>
                        <wps:spPr>
                          <a:xfrm>
                            <a:off x="2482944" y="255809"/>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0.233</w:t>
                              </w:r>
                            </w:p>
                          </w:txbxContent>
                        </wps:txbx>
                        <wps:bodyPr wrap="square" lIns="0" tIns="0" rIns="0" bIns="0" rtlCol="0">
                          <a:noAutofit/>
                        </wps:bodyPr>
                      </wps:wsp>
                      <wps:wsp>
                        <wps:cNvPr id="694" name="Textbox 694"/>
                        <wps:cNvSpPr txBox="1"/>
                        <wps:spPr>
                          <a:xfrm>
                            <a:off x="3219983" y="255809"/>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2"/>
                                  <w:w w:val="90"/>
                                  <w:sz w:val="16"/>
                                </w:rPr>
                                <w:t>0.096</w:t>
                              </w:r>
                            </w:p>
                          </w:txbxContent>
                        </wps:txbx>
                        <wps:bodyPr wrap="square" lIns="0" tIns="0" rIns="0" bIns="0" rtlCol="0">
                          <a:noAutofit/>
                        </wps:bodyPr>
                      </wps:wsp>
                      <wps:wsp>
                        <wps:cNvPr id="695" name="Textbox 695"/>
                        <wps:cNvSpPr txBox="1"/>
                        <wps:spPr>
                          <a:xfrm>
                            <a:off x="271827" y="866236"/>
                            <a:ext cx="279400" cy="92075"/>
                          </a:xfrm>
                          <a:prstGeom prst="rect">
                            <a:avLst/>
                          </a:prstGeom>
                        </wps:spPr>
                        <wps:txbx>
                          <w:txbxContent>
                            <w:p>
                              <w:pPr>
                                <w:spacing w:line="144" w:lineRule="exact" w:before="0"/>
                                <w:ind w:left="0" w:right="0" w:firstLine="0"/>
                                <w:jc w:val="left"/>
                                <w:rPr>
                                  <w:rFonts w:ascii="Verdana"/>
                                  <w:sz w:val="16"/>
                                </w:rPr>
                              </w:pPr>
                              <w:r>
                                <w:rPr>
                                  <w:rFonts w:ascii="Verdana"/>
                                  <w:spacing w:val="-2"/>
                                  <w:w w:val="90"/>
                                  <w:sz w:val="16"/>
                                </w:rPr>
                                <w:t>0.534</w:t>
                              </w:r>
                            </w:p>
                          </w:txbxContent>
                        </wps:txbx>
                        <wps:bodyPr wrap="square" lIns="0" tIns="0" rIns="0" bIns="0" rtlCol="0">
                          <a:noAutofit/>
                        </wps:bodyPr>
                      </wps:wsp>
                      <wps:wsp>
                        <wps:cNvPr id="696" name="Textbox 696"/>
                        <wps:cNvSpPr txBox="1"/>
                        <wps:spPr>
                          <a:xfrm>
                            <a:off x="993140" y="866236"/>
                            <a:ext cx="308610" cy="92075"/>
                          </a:xfrm>
                          <a:prstGeom prst="rect">
                            <a:avLst/>
                          </a:prstGeom>
                        </wps:spPr>
                        <wps:txbx>
                          <w:txbxContent>
                            <w:p>
                              <w:pPr>
                                <w:spacing w:line="144" w:lineRule="exact" w:before="0"/>
                                <w:ind w:left="0" w:right="0" w:firstLine="0"/>
                                <w:jc w:val="left"/>
                                <w:rPr>
                                  <w:rFonts w:ascii="Verdana"/>
                                  <w:sz w:val="16"/>
                                </w:rPr>
                              </w:pPr>
                              <w:r>
                                <w:rPr>
                                  <w:rFonts w:ascii="Verdana"/>
                                  <w:w w:val="60"/>
                                  <w:sz w:val="16"/>
                                </w:rPr>
                                <w:t>-</w:t>
                              </w:r>
                              <w:r>
                                <w:rPr>
                                  <w:rFonts w:ascii="Verdana"/>
                                  <w:spacing w:val="-2"/>
                                  <w:w w:val="90"/>
                                  <w:sz w:val="16"/>
                                </w:rPr>
                                <w:t>0.030</w:t>
                              </w:r>
                            </w:p>
                          </w:txbxContent>
                        </wps:txbx>
                        <wps:bodyPr wrap="square" lIns="0" tIns="0" rIns="0" bIns="0" rtlCol="0">
                          <a:noAutofit/>
                        </wps:bodyPr>
                      </wps:wsp>
                      <wps:wsp>
                        <wps:cNvPr id="697" name="Textbox 697"/>
                        <wps:cNvSpPr txBox="1"/>
                        <wps:spPr>
                          <a:xfrm>
                            <a:off x="1745905" y="866236"/>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0.107</w:t>
                              </w:r>
                            </w:p>
                          </w:txbxContent>
                        </wps:txbx>
                        <wps:bodyPr wrap="square" lIns="0" tIns="0" rIns="0" bIns="0" rtlCol="0">
                          <a:noAutofit/>
                        </wps:bodyPr>
                      </wps:wsp>
                      <wps:wsp>
                        <wps:cNvPr id="698" name="Textbox 698"/>
                        <wps:cNvSpPr txBox="1"/>
                        <wps:spPr>
                          <a:xfrm>
                            <a:off x="2482944" y="866236"/>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0.286</w:t>
                              </w:r>
                            </w:p>
                          </w:txbxContent>
                        </wps:txbx>
                        <wps:bodyPr wrap="square" lIns="0" tIns="0" rIns="0" bIns="0" rtlCol="0">
                          <a:noAutofit/>
                        </wps:bodyPr>
                      </wps:wsp>
                      <wps:wsp>
                        <wps:cNvPr id="699" name="Textbox 699"/>
                        <wps:cNvSpPr txBox="1"/>
                        <wps:spPr>
                          <a:xfrm>
                            <a:off x="3219983" y="866236"/>
                            <a:ext cx="276860"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0.179</w:t>
                              </w:r>
                            </w:p>
                          </w:txbxContent>
                        </wps:txbx>
                        <wps:bodyPr wrap="square" lIns="0" tIns="0" rIns="0" bIns="0" rtlCol="0">
                          <a:noAutofit/>
                        </wps:bodyPr>
                      </wps:wsp>
                      <wps:wsp>
                        <wps:cNvPr id="700" name="Textbox 700"/>
                        <wps:cNvSpPr txBox="1"/>
                        <wps:spPr>
                          <a:xfrm>
                            <a:off x="271827" y="1476664"/>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0.246</w:t>
                              </w:r>
                            </w:p>
                          </w:txbxContent>
                        </wps:txbx>
                        <wps:bodyPr wrap="square" lIns="0" tIns="0" rIns="0" bIns="0" rtlCol="0">
                          <a:noAutofit/>
                        </wps:bodyPr>
                      </wps:wsp>
                      <wps:wsp>
                        <wps:cNvPr id="701" name="Textbox 701"/>
                        <wps:cNvSpPr txBox="1"/>
                        <wps:spPr>
                          <a:xfrm>
                            <a:off x="993140" y="1476664"/>
                            <a:ext cx="300355" cy="92075"/>
                          </a:xfrm>
                          <a:prstGeom prst="rect">
                            <a:avLst/>
                          </a:prstGeom>
                        </wps:spPr>
                        <wps:txbx>
                          <w:txbxContent>
                            <w:p>
                              <w:pPr>
                                <w:spacing w:line="144" w:lineRule="exact" w:before="0"/>
                                <w:ind w:left="0" w:right="0" w:firstLine="0"/>
                                <w:jc w:val="left"/>
                                <w:rPr>
                                  <w:rFonts w:ascii="Verdana"/>
                                  <w:sz w:val="16"/>
                                </w:rPr>
                              </w:pPr>
                              <w:r>
                                <w:rPr>
                                  <w:rFonts w:ascii="Verdana"/>
                                  <w:w w:val="60"/>
                                  <w:sz w:val="16"/>
                                </w:rPr>
                                <w:t>-</w:t>
                              </w:r>
                              <w:r>
                                <w:rPr>
                                  <w:rFonts w:ascii="Verdana"/>
                                  <w:spacing w:val="-4"/>
                                  <w:w w:val="85"/>
                                  <w:sz w:val="16"/>
                                </w:rPr>
                                <w:t>0.041</w:t>
                              </w:r>
                            </w:p>
                          </w:txbxContent>
                        </wps:txbx>
                        <wps:bodyPr wrap="square" lIns="0" tIns="0" rIns="0" bIns="0" rtlCol="0">
                          <a:noAutofit/>
                        </wps:bodyPr>
                      </wps:wsp>
                      <wps:wsp>
                        <wps:cNvPr id="702" name="Textbox 702"/>
                        <wps:cNvSpPr txBox="1"/>
                        <wps:spPr>
                          <a:xfrm>
                            <a:off x="1745905" y="1476664"/>
                            <a:ext cx="27749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0.376</w:t>
                              </w:r>
                            </w:p>
                          </w:txbxContent>
                        </wps:txbx>
                        <wps:bodyPr wrap="square" lIns="0" tIns="0" rIns="0" bIns="0" rtlCol="0">
                          <a:noAutofit/>
                        </wps:bodyPr>
                      </wps:wsp>
                      <wps:wsp>
                        <wps:cNvPr id="703" name="Textbox 703"/>
                        <wps:cNvSpPr txBox="1"/>
                        <wps:spPr>
                          <a:xfrm>
                            <a:off x="2482944" y="1476664"/>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0.093</w:t>
                              </w:r>
                            </w:p>
                          </w:txbxContent>
                        </wps:txbx>
                        <wps:bodyPr wrap="square" lIns="0" tIns="0" rIns="0" bIns="0" rtlCol="0">
                          <a:noAutofit/>
                        </wps:bodyPr>
                      </wps:wsp>
                      <wps:wsp>
                        <wps:cNvPr id="704" name="Textbox 704"/>
                        <wps:cNvSpPr txBox="1"/>
                        <wps:spPr>
                          <a:xfrm>
                            <a:off x="3219983" y="1476664"/>
                            <a:ext cx="276225" cy="92075"/>
                          </a:xfrm>
                          <a:prstGeom prst="rect">
                            <a:avLst/>
                          </a:prstGeom>
                        </wps:spPr>
                        <wps:txbx>
                          <w:txbxContent>
                            <w:p>
                              <w:pPr>
                                <w:spacing w:line="144" w:lineRule="exact" w:before="0"/>
                                <w:ind w:left="0" w:right="0" w:firstLine="0"/>
                                <w:jc w:val="left"/>
                                <w:rPr>
                                  <w:rFonts w:ascii="Verdana"/>
                                  <w:sz w:val="16"/>
                                </w:rPr>
                              </w:pPr>
                              <w:r>
                                <w:rPr>
                                  <w:rFonts w:ascii="Verdana"/>
                                  <w:spacing w:val="-4"/>
                                  <w:w w:val="85"/>
                                  <w:sz w:val="16"/>
                                </w:rPr>
                                <w:t>0.583</w:t>
                              </w:r>
                            </w:p>
                          </w:txbxContent>
                        </wps:txbx>
                        <wps:bodyPr wrap="square" lIns="0" tIns="0" rIns="0" bIns="0" rtlCol="0">
                          <a:noAutofit/>
                        </wps:bodyPr>
                      </wps:wsp>
                    </wpg:wgp>
                  </a:graphicData>
                </a:graphic>
              </wp:anchor>
            </w:drawing>
          </mc:Choice>
          <mc:Fallback>
            <w:pict>
              <v:group style="position:absolute;margin-left:151.257065pt;margin-top:12.600844pt;width:293.350pt;height:147.4pt;mso-position-horizontal-relative:page;mso-position-vertical-relative:paragraph;z-index:15778816" id="docshapegroup459" coordorigin="3025,252" coordsize="5867,2948">
                <v:shape style="position:absolute;left:3082;top:258;width:5804;height:2883" type="#_x0000_t75" id="docshape460" stroked="false">
                  <v:imagedata r:id="rId21" o:title=""/>
                </v:shape>
                <v:line style="position:absolute" from="3662,3142" to="3662,259" stroked="true" strokeweight=".650232pt" strokecolor="#afafaf">
                  <v:stroke dashstyle="solid"/>
                </v:line>
                <v:shape style="position:absolute;left:3662;top:3142;width:2;height:57" id="docshape461" coordorigin="3662,3142" coordsize="0,57" path="m3662,3142l3662,3199e" filled="true" fillcolor="#000000" stroked="false">
                  <v:path arrowok="t"/>
                  <v:fill type="solid"/>
                </v:shape>
                <v:line style="position:absolute" from="3662,3142" to="3662,3199" stroked="true" strokeweight=".650232pt" strokecolor="#000000">
                  <v:stroke dashstyle="solid"/>
                </v:line>
                <v:line style="position:absolute" from="4823,3142" to="4823,259" stroked="true" strokeweight=".650232pt" strokecolor="#afafaf">
                  <v:stroke dashstyle="solid"/>
                </v:line>
                <v:shape style="position:absolute;left:4823;top:3142;width:2;height:57" id="docshape462" coordorigin="4823,3142" coordsize="0,57" path="m4823,3142l4823,3199e" filled="true" fillcolor="#000000" stroked="false">
                  <v:path arrowok="t"/>
                  <v:fill type="solid"/>
                </v:shape>
                <v:line style="position:absolute" from="4823,3142" to="4823,3199" stroked="true" strokeweight=".650232pt" strokecolor="#000000">
                  <v:stroke dashstyle="solid"/>
                </v:line>
                <v:line style="position:absolute" from="5984,3142" to="5984,259" stroked="true" strokeweight=".650232pt" strokecolor="#afafaf">
                  <v:stroke dashstyle="solid"/>
                </v:line>
                <v:shape style="position:absolute;left:5983;top:3142;width:2;height:57" id="docshape463" coordorigin="5984,3142" coordsize="0,57" path="m5984,3142l5984,3199e" filled="true" fillcolor="#000000" stroked="false">
                  <v:path arrowok="t"/>
                  <v:fill type="solid"/>
                </v:shape>
                <v:line style="position:absolute" from="5984,3142" to="5984,3199" stroked="true" strokeweight=".650232pt" strokecolor="#000000">
                  <v:stroke dashstyle="solid"/>
                </v:line>
                <v:line style="position:absolute" from="7144,3142" to="7144,259" stroked="true" strokeweight=".650232pt" strokecolor="#afafaf">
                  <v:stroke dashstyle="solid"/>
                </v:line>
                <v:shape style="position:absolute;left:7144;top:3142;width:2;height:57" id="docshape464" coordorigin="7144,3142" coordsize="0,57" path="m7144,3142l7144,3199e" filled="true" fillcolor="#000000" stroked="false">
                  <v:path arrowok="t"/>
                  <v:fill type="solid"/>
                </v:shape>
                <v:line style="position:absolute" from="7144,3142" to="7144,3199" stroked="true" strokeweight=".650232pt" strokecolor="#000000">
                  <v:stroke dashstyle="solid"/>
                </v:line>
                <v:line style="position:absolute" from="8305,3142" to="8305,259" stroked="true" strokeweight=".650232pt" strokecolor="#afafaf">
                  <v:stroke dashstyle="solid"/>
                </v:line>
                <v:shape style="position:absolute;left:8305;top:3142;width:2;height:57" id="docshape465" coordorigin="8305,3142" coordsize="0,57" path="m8305,3142l8305,3199e" filled="true" fillcolor="#000000" stroked="false">
                  <v:path arrowok="t"/>
                  <v:fill type="solid"/>
                </v:shape>
                <v:line style="position:absolute" from="8305,3142" to="8305,3199" stroked="true" strokeweight=".650232pt" strokecolor="#000000">
                  <v:stroke dashstyle="solid"/>
                </v:line>
                <v:line style="position:absolute" from="3082,739" to="8885,739" stroked="true" strokeweight=".650232pt" strokecolor="#afafaf">
                  <v:stroke dashstyle="solid"/>
                </v:line>
                <v:shape style="position:absolute;left:3025;top:739;width:57;height:2" id="docshape466" coordorigin="3025,739" coordsize="57,0" path="m3082,739l3025,739e" filled="true" fillcolor="#000000" stroked="false">
                  <v:path arrowok="t"/>
                  <v:fill type="solid"/>
                </v:shape>
                <v:line style="position:absolute" from="3082,739" to="3025,739" stroked="true" strokeweight=".650232pt" strokecolor="#000000">
                  <v:stroke dashstyle="solid"/>
                </v:line>
                <v:line style="position:absolute" from="3082,1700" to="8885,1700" stroked="true" strokeweight=".650232pt" strokecolor="#afafaf">
                  <v:stroke dashstyle="solid"/>
                </v:line>
                <v:shape style="position:absolute;left:3025;top:1700;width:57;height:2" id="docshape467" coordorigin="3025,1700" coordsize="57,0" path="m3082,1700l3025,1700e" filled="true" fillcolor="#000000" stroked="false">
                  <v:path arrowok="t"/>
                  <v:fill type="solid"/>
                </v:shape>
                <v:line style="position:absolute" from="3082,1700" to="3025,1700" stroked="true" strokeweight=".650232pt" strokecolor="#000000">
                  <v:stroke dashstyle="solid"/>
                </v:line>
                <v:line style="position:absolute" from="3082,2662" to="8885,2662" stroked="true" strokeweight=".650232pt" strokecolor="#afafaf">
                  <v:stroke dashstyle="solid"/>
                </v:line>
                <v:shape style="position:absolute;left:3025;top:2661;width:57;height:2" id="docshape468" coordorigin="3025,2662" coordsize="57,0" path="m3082,2662l3025,2662e" filled="true" fillcolor="#000000" stroked="false">
                  <v:path arrowok="t"/>
                  <v:fill type="solid"/>
                </v:shape>
                <v:line style="position:absolute" from="3082,2662" to="3025,2662" stroked="true" strokeweight=".650232pt" strokecolor="#000000">
                  <v:stroke dashstyle="solid"/>
                </v:line>
                <v:shape style="position:absolute;left:3082;top:258;width:5804;height:2884" id="docshape469" coordorigin="3082,259" coordsize="5804,2884" path="m3082,3142l3082,259m8885,3142l8885,259m3082,3142l8885,3142m3082,259l8885,259e" filled="false" stroked="true" strokeweight=".650232pt" strokecolor="#000000">
                  <v:path arrowok="t"/>
                  <v:stroke dashstyle="solid"/>
                </v:shape>
                <v:shape style="position:absolute;left:3453;top:654;width:435;height:145" type="#_x0000_t202" id="docshape470" filled="false" stroked="false">
                  <v:textbox inset="0,0,0,0">
                    <w:txbxContent>
                      <w:p>
                        <w:pPr>
                          <w:spacing w:line="144" w:lineRule="exact" w:before="0"/>
                          <w:ind w:left="0" w:right="0" w:firstLine="0"/>
                          <w:jc w:val="left"/>
                          <w:rPr>
                            <w:rFonts w:ascii="Verdana"/>
                            <w:sz w:val="16"/>
                          </w:rPr>
                        </w:pPr>
                        <w:r>
                          <w:rPr>
                            <w:rFonts w:ascii="Verdana"/>
                            <w:spacing w:val="-2"/>
                            <w:w w:val="85"/>
                            <w:sz w:val="16"/>
                          </w:rPr>
                          <w:t>0.333</w:t>
                        </w:r>
                      </w:p>
                    </w:txbxContent>
                  </v:textbox>
                  <w10:wrap type="none"/>
                </v:shape>
                <v:shape style="position:absolute;left:4613;top:654;width:434;height:145" type="#_x0000_t202" id="docshape471" filled="false" stroked="false">
                  <v:textbox inset="0,0,0,0">
                    <w:txbxContent>
                      <w:p>
                        <w:pPr>
                          <w:spacing w:line="144" w:lineRule="exact" w:before="0"/>
                          <w:ind w:left="0" w:right="0" w:firstLine="0"/>
                          <w:jc w:val="left"/>
                          <w:rPr>
                            <w:rFonts w:ascii="Verdana"/>
                            <w:sz w:val="16"/>
                          </w:rPr>
                        </w:pPr>
                        <w:r>
                          <w:rPr>
                            <w:rFonts w:ascii="Verdana"/>
                            <w:spacing w:val="-4"/>
                            <w:w w:val="85"/>
                            <w:sz w:val="16"/>
                          </w:rPr>
                          <w:t>0.355</w:t>
                        </w:r>
                      </w:p>
                    </w:txbxContent>
                  </v:textbox>
                  <w10:wrap type="none"/>
                </v:shape>
                <v:shape style="position:absolute;left:5774;top:654;width:434;height:145" type="#_x0000_t202" id="docshape472" filled="false" stroked="false">
                  <v:textbox inset="0,0,0,0">
                    <w:txbxContent>
                      <w:p>
                        <w:pPr>
                          <w:spacing w:line="144" w:lineRule="exact" w:before="0"/>
                          <w:ind w:left="0" w:right="0" w:firstLine="0"/>
                          <w:jc w:val="left"/>
                          <w:rPr>
                            <w:rFonts w:ascii="Verdana"/>
                            <w:sz w:val="16"/>
                          </w:rPr>
                        </w:pPr>
                        <w:r>
                          <w:rPr>
                            <w:rFonts w:ascii="Verdana"/>
                            <w:spacing w:val="-4"/>
                            <w:w w:val="85"/>
                            <w:sz w:val="16"/>
                          </w:rPr>
                          <w:t>0.035</w:t>
                        </w:r>
                      </w:p>
                    </w:txbxContent>
                  </v:textbox>
                  <w10:wrap type="none"/>
                </v:shape>
                <v:shape style="position:absolute;left:6935;top:654;width:435;height:145" type="#_x0000_t202" id="docshape473" filled="false" stroked="false">
                  <v:textbox inset="0,0,0,0">
                    <w:txbxContent>
                      <w:p>
                        <w:pPr>
                          <w:spacing w:line="144" w:lineRule="exact" w:before="0"/>
                          <w:ind w:left="0" w:right="0" w:firstLine="0"/>
                          <w:jc w:val="left"/>
                          <w:rPr>
                            <w:rFonts w:ascii="Verdana"/>
                            <w:sz w:val="16"/>
                          </w:rPr>
                        </w:pPr>
                        <w:r>
                          <w:rPr>
                            <w:rFonts w:ascii="Verdana"/>
                            <w:spacing w:val="-4"/>
                            <w:w w:val="85"/>
                            <w:sz w:val="16"/>
                          </w:rPr>
                          <w:t>0.233</w:t>
                        </w:r>
                      </w:p>
                    </w:txbxContent>
                  </v:textbox>
                  <w10:wrap type="none"/>
                </v:shape>
                <v:shape style="position:absolute;left:8095;top:654;width:437;height:145" type="#_x0000_t202" id="docshape474" filled="false" stroked="false">
                  <v:textbox inset="0,0,0,0">
                    <w:txbxContent>
                      <w:p>
                        <w:pPr>
                          <w:spacing w:line="144" w:lineRule="exact" w:before="0"/>
                          <w:ind w:left="0" w:right="0" w:firstLine="0"/>
                          <w:jc w:val="left"/>
                          <w:rPr>
                            <w:rFonts w:ascii="Verdana"/>
                            <w:sz w:val="16"/>
                          </w:rPr>
                        </w:pPr>
                        <w:r>
                          <w:rPr>
                            <w:rFonts w:ascii="Verdana"/>
                            <w:spacing w:val="-2"/>
                            <w:w w:val="90"/>
                            <w:sz w:val="16"/>
                          </w:rPr>
                          <w:t>0.096</w:t>
                        </w:r>
                      </w:p>
                    </w:txbxContent>
                  </v:textbox>
                  <w10:wrap type="none"/>
                </v:shape>
                <v:shape style="position:absolute;left:3453;top:1616;width:440;height:145" type="#_x0000_t202" id="docshape475" filled="false" stroked="false">
                  <v:textbox inset="0,0,0,0">
                    <w:txbxContent>
                      <w:p>
                        <w:pPr>
                          <w:spacing w:line="144" w:lineRule="exact" w:before="0"/>
                          <w:ind w:left="0" w:right="0" w:firstLine="0"/>
                          <w:jc w:val="left"/>
                          <w:rPr>
                            <w:rFonts w:ascii="Verdana"/>
                            <w:sz w:val="16"/>
                          </w:rPr>
                        </w:pPr>
                        <w:r>
                          <w:rPr>
                            <w:rFonts w:ascii="Verdana"/>
                            <w:spacing w:val="-2"/>
                            <w:w w:val="90"/>
                            <w:sz w:val="16"/>
                          </w:rPr>
                          <w:t>0.534</w:t>
                        </w:r>
                      </w:p>
                    </w:txbxContent>
                  </v:textbox>
                  <w10:wrap type="none"/>
                </v:shape>
                <v:shape style="position:absolute;left:4589;top:1616;width:486;height:145" type="#_x0000_t202" id="docshape476" filled="false" stroked="false">
                  <v:textbox inset="0,0,0,0">
                    <w:txbxContent>
                      <w:p>
                        <w:pPr>
                          <w:spacing w:line="144" w:lineRule="exact" w:before="0"/>
                          <w:ind w:left="0" w:right="0" w:firstLine="0"/>
                          <w:jc w:val="left"/>
                          <w:rPr>
                            <w:rFonts w:ascii="Verdana"/>
                            <w:sz w:val="16"/>
                          </w:rPr>
                        </w:pPr>
                        <w:r>
                          <w:rPr>
                            <w:rFonts w:ascii="Verdana"/>
                            <w:w w:val="60"/>
                            <w:sz w:val="16"/>
                          </w:rPr>
                          <w:t>-</w:t>
                        </w:r>
                        <w:r>
                          <w:rPr>
                            <w:rFonts w:ascii="Verdana"/>
                            <w:spacing w:val="-2"/>
                            <w:w w:val="90"/>
                            <w:sz w:val="16"/>
                          </w:rPr>
                          <w:t>0.030</w:t>
                        </w:r>
                      </w:p>
                    </w:txbxContent>
                  </v:textbox>
                  <w10:wrap type="none"/>
                </v:shape>
                <v:shape style="position:absolute;left:5774;top:1616;width:435;height:145" type="#_x0000_t202" id="docshape477" filled="false" stroked="false">
                  <v:textbox inset="0,0,0,0">
                    <w:txbxContent>
                      <w:p>
                        <w:pPr>
                          <w:spacing w:line="144" w:lineRule="exact" w:before="0"/>
                          <w:ind w:left="0" w:right="0" w:firstLine="0"/>
                          <w:jc w:val="left"/>
                          <w:rPr>
                            <w:rFonts w:ascii="Verdana"/>
                            <w:sz w:val="16"/>
                          </w:rPr>
                        </w:pPr>
                        <w:r>
                          <w:rPr>
                            <w:rFonts w:ascii="Verdana"/>
                            <w:spacing w:val="-4"/>
                            <w:w w:val="85"/>
                            <w:sz w:val="16"/>
                          </w:rPr>
                          <w:t>0.107</w:t>
                        </w:r>
                      </w:p>
                    </w:txbxContent>
                  </v:textbox>
                  <w10:wrap type="none"/>
                </v:shape>
                <v:shape style="position:absolute;left:6935;top:1616;width:437;height:145" type="#_x0000_t202" id="docshape478" filled="false" stroked="false">
                  <v:textbox inset="0,0,0,0">
                    <w:txbxContent>
                      <w:p>
                        <w:pPr>
                          <w:spacing w:line="144" w:lineRule="exact" w:before="0"/>
                          <w:ind w:left="0" w:right="0" w:firstLine="0"/>
                          <w:jc w:val="left"/>
                          <w:rPr>
                            <w:rFonts w:ascii="Verdana"/>
                            <w:sz w:val="16"/>
                          </w:rPr>
                        </w:pPr>
                        <w:r>
                          <w:rPr>
                            <w:rFonts w:ascii="Verdana"/>
                            <w:spacing w:val="-4"/>
                            <w:w w:val="85"/>
                            <w:sz w:val="16"/>
                          </w:rPr>
                          <w:t>0.286</w:t>
                        </w:r>
                      </w:p>
                    </w:txbxContent>
                  </v:textbox>
                  <w10:wrap type="none"/>
                </v:shape>
                <v:shape style="position:absolute;left:8095;top:1616;width:436;height:145" type="#_x0000_t202" id="docshape479" filled="false" stroked="false">
                  <v:textbox inset="0,0,0,0">
                    <w:txbxContent>
                      <w:p>
                        <w:pPr>
                          <w:spacing w:line="144" w:lineRule="exact" w:before="0"/>
                          <w:ind w:left="0" w:right="0" w:firstLine="0"/>
                          <w:jc w:val="left"/>
                          <w:rPr>
                            <w:rFonts w:ascii="Verdana"/>
                            <w:sz w:val="16"/>
                          </w:rPr>
                        </w:pPr>
                        <w:r>
                          <w:rPr>
                            <w:rFonts w:ascii="Verdana"/>
                            <w:spacing w:val="-4"/>
                            <w:w w:val="85"/>
                            <w:sz w:val="16"/>
                          </w:rPr>
                          <w:t>0.179</w:t>
                        </w:r>
                      </w:p>
                    </w:txbxContent>
                  </v:textbox>
                  <w10:wrap type="none"/>
                </v:shape>
                <v:shape style="position:absolute;left:3453;top:2577;width:437;height:145" type="#_x0000_t202" id="docshape480" filled="false" stroked="false">
                  <v:textbox inset="0,0,0,0">
                    <w:txbxContent>
                      <w:p>
                        <w:pPr>
                          <w:spacing w:line="144" w:lineRule="exact" w:before="0"/>
                          <w:ind w:left="0" w:right="0" w:firstLine="0"/>
                          <w:jc w:val="left"/>
                          <w:rPr>
                            <w:rFonts w:ascii="Verdana"/>
                            <w:sz w:val="16"/>
                          </w:rPr>
                        </w:pPr>
                        <w:r>
                          <w:rPr>
                            <w:rFonts w:ascii="Verdana"/>
                            <w:spacing w:val="-4"/>
                            <w:w w:val="85"/>
                            <w:sz w:val="16"/>
                          </w:rPr>
                          <w:t>0.246</w:t>
                        </w:r>
                      </w:p>
                    </w:txbxContent>
                  </v:textbox>
                  <w10:wrap type="none"/>
                </v:shape>
                <v:shape style="position:absolute;left:4589;top:2577;width:473;height:145" type="#_x0000_t202" id="docshape481" filled="false" stroked="false">
                  <v:textbox inset="0,0,0,0">
                    <w:txbxContent>
                      <w:p>
                        <w:pPr>
                          <w:spacing w:line="144" w:lineRule="exact" w:before="0"/>
                          <w:ind w:left="0" w:right="0" w:firstLine="0"/>
                          <w:jc w:val="left"/>
                          <w:rPr>
                            <w:rFonts w:ascii="Verdana"/>
                            <w:sz w:val="16"/>
                          </w:rPr>
                        </w:pPr>
                        <w:r>
                          <w:rPr>
                            <w:rFonts w:ascii="Verdana"/>
                            <w:w w:val="60"/>
                            <w:sz w:val="16"/>
                          </w:rPr>
                          <w:t>-</w:t>
                        </w:r>
                        <w:r>
                          <w:rPr>
                            <w:rFonts w:ascii="Verdana"/>
                            <w:spacing w:val="-4"/>
                            <w:w w:val="85"/>
                            <w:sz w:val="16"/>
                          </w:rPr>
                          <w:t>0.041</w:t>
                        </w:r>
                      </w:p>
                    </w:txbxContent>
                  </v:textbox>
                  <w10:wrap type="none"/>
                </v:shape>
                <v:shape style="position:absolute;left:5774;top:2577;width:437;height:145" type="#_x0000_t202" id="docshape482" filled="false" stroked="false">
                  <v:textbox inset="0,0,0,0">
                    <w:txbxContent>
                      <w:p>
                        <w:pPr>
                          <w:spacing w:line="144" w:lineRule="exact" w:before="0"/>
                          <w:ind w:left="0" w:right="0" w:firstLine="0"/>
                          <w:jc w:val="left"/>
                          <w:rPr>
                            <w:rFonts w:ascii="Verdana"/>
                            <w:sz w:val="16"/>
                          </w:rPr>
                        </w:pPr>
                        <w:r>
                          <w:rPr>
                            <w:rFonts w:ascii="Verdana"/>
                            <w:spacing w:val="-4"/>
                            <w:w w:val="85"/>
                            <w:sz w:val="16"/>
                          </w:rPr>
                          <w:t>0.376</w:t>
                        </w:r>
                      </w:p>
                    </w:txbxContent>
                  </v:textbox>
                  <w10:wrap type="none"/>
                </v:shape>
                <v:shape style="position:absolute;left:6935;top:2577;width:435;height:145" type="#_x0000_t202" id="docshape483" filled="false" stroked="false">
                  <v:textbox inset="0,0,0,0">
                    <w:txbxContent>
                      <w:p>
                        <w:pPr>
                          <w:spacing w:line="144" w:lineRule="exact" w:before="0"/>
                          <w:ind w:left="0" w:right="0" w:firstLine="0"/>
                          <w:jc w:val="left"/>
                          <w:rPr>
                            <w:rFonts w:ascii="Verdana"/>
                            <w:sz w:val="16"/>
                          </w:rPr>
                        </w:pPr>
                        <w:r>
                          <w:rPr>
                            <w:rFonts w:ascii="Verdana"/>
                            <w:spacing w:val="-4"/>
                            <w:w w:val="85"/>
                            <w:sz w:val="16"/>
                          </w:rPr>
                          <w:t>0.093</w:t>
                        </w:r>
                      </w:p>
                    </w:txbxContent>
                  </v:textbox>
                  <w10:wrap type="none"/>
                </v:shape>
                <v:shape style="position:absolute;left:8095;top:2577;width:435;height:145" type="#_x0000_t202" id="docshape484" filled="false" stroked="false">
                  <v:textbox inset="0,0,0,0">
                    <w:txbxContent>
                      <w:p>
                        <w:pPr>
                          <w:spacing w:line="144" w:lineRule="exact" w:before="0"/>
                          <w:ind w:left="0" w:right="0" w:firstLine="0"/>
                          <w:jc w:val="left"/>
                          <w:rPr>
                            <w:rFonts w:ascii="Verdana"/>
                            <w:sz w:val="16"/>
                          </w:rPr>
                        </w:pPr>
                        <w:r>
                          <w:rPr>
                            <w:rFonts w:ascii="Verdana"/>
                            <w:spacing w:val="-4"/>
                            <w:w w:val="85"/>
                            <w:sz w:val="16"/>
                          </w:rPr>
                          <w:t>0.583</w:t>
                        </w:r>
                      </w:p>
                    </w:txbxContent>
                  </v:textbox>
                  <w10:wrap type="none"/>
                </v:shape>
                <w10:wrap type="none"/>
              </v:group>
            </w:pict>
          </mc:Fallback>
        </mc:AlternateContent>
      </w:r>
      <w:r>
        <w:rPr>
          <w:rFonts w:ascii="Verdana"/>
          <w:sz w:val="17"/>
        </w:rPr>
        <mc:AlternateContent>
          <mc:Choice Requires="wps">
            <w:drawing>
              <wp:anchor distT="0" distB="0" distL="0" distR="0" allowOverlap="1" layoutInCell="1" locked="0" behindDoc="0" simplePos="0" relativeHeight="15779328">
                <wp:simplePos x="0" y="0"/>
                <wp:positionH relativeFrom="page">
                  <wp:posOffset>5799437</wp:posOffset>
                </wp:positionH>
                <wp:positionV relativeFrom="paragraph">
                  <wp:posOffset>160030</wp:posOffset>
                </wp:positionV>
                <wp:extent cx="132080" cy="1839595"/>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132080" cy="1839595"/>
                          <a:chExt cx="132080" cy="1839595"/>
                        </a:xfrm>
                      </wpg:grpSpPr>
                      <pic:pic>
                        <pic:nvPicPr>
                          <pic:cNvPr id="706" name="Image 706"/>
                          <pic:cNvPicPr/>
                        </pic:nvPicPr>
                        <pic:blipFill>
                          <a:blip r:embed="rId22" cstate="print"/>
                          <a:stretch>
                            <a:fillRect/>
                          </a:stretch>
                        </pic:blipFill>
                        <pic:spPr>
                          <a:xfrm>
                            <a:off x="4014" y="2076"/>
                            <a:ext cx="92901" cy="1832025"/>
                          </a:xfrm>
                          <a:prstGeom prst="rect">
                            <a:avLst/>
                          </a:prstGeom>
                        </pic:spPr>
                      </pic:pic>
                      <wps:wsp>
                        <wps:cNvPr id="707" name="Graphic 707"/>
                        <wps:cNvSpPr/>
                        <wps:spPr>
                          <a:xfrm>
                            <a:off x="95693" y="1835411"/>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08" name="Graphic 708"/>
                        <wps:cNvSpPr/>
                        <wps:spPr>
                          <a:xfrm>
                            <a:off x="95693" y="1835411"/>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09" name="Graphic 709"/>
                        <wps:cNvSpPr/>
                        <wps:spPr>
                          <a:xfrm>
                            <a:off x="95693" y="1573799"/>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0" name="Graphic 710"/>
                        <wps:cNvSpPr/>
                        <wps:spPr>
                          <a:xfrm>
                            <a:off x="95693" y="1573799"/>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1" name="Graphic 711"/>
                        <wps:cNvSpPr/>
                        <wps:spPr>
                          <a:xfrm>
                            <a:off x="95693" y="1312187"/>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2" name="Graphic 712"/>
                        <wps:cNvSpPr/>
                        <wps:spPr>
                          <a:xfrm>
                            <a:off x="95693" y="1312187"/>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3" name="Graphic 713"/>
                        <wps:cNvSpPr/>
                        <wps:spPr>
                          <a:xfrm>
                            <a:off x="95693" y="1050575"/>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4" name="Graphic 714"/>
                        <wps:cNvSpPr/>
                        <wps:spPr>
                          <a:xfrm>
                            <a:off x="95693" y="1050575"/>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5" name="Graphic 715"/>
                        <wps:cNvSpPr/>
                        <wps:spPr>
                          <a:xfrm>
                            <a:off x="95693" y="788964"/>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6" name="Graphic 716"/>
                        <wps:cNvSpPr/>
                        <wps:spPr>
                          <a:xfrm>
                            <a:off x="95693" y="788964"/>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7" name="Graphic 717"/>
                        <wps:cNvSpPr/>
                        <wps:spPr>
                          <a:xfrm>
                            <a:off x="95693" y="527352"/>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18" name="Graphic 718"/>
                        <wps:cNvSpPr/>
                        <wps:spPr>
                          <a:xfrm>
                            <a:off x="95693" y="527352"/>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19" name="Graphic 719"/>
                        <wps:cNvSpPr/>
                        <wps:spPr>
                          <a:xfrm>
                            <a:off x="95693" y="265740"/>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20" name="Graphic 720"/>
                        <wps:cNvSpPr/>
                        <wps:spPr>
                          <a:xfrm>
                            <a:off x="95693" y="265740"/>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21" name="Graphic 721"/>
                        <wps:cNvSpPr/>
                        <wps:spPr>
                          <a:xfrm>
                            <a:off x="95693" y="4128"/>
                            <a:ext cx="36195" cy="1270"/>
                          </a:xfrm>
                          <a:custGeom>
                            <a:avLst/>
                            <a:gdLst/>
                            <a:ahLst/>
                            <a:cxnLst/>
                            <a:rect l="l" t="t" r="r" b="b"/>
                            <a:pathLst>
                              <a:path w="36195" h="0">
                                <a:moveTo>
                                  <a:pt x="36128" y="0"/>
                                </a:moveTo>
                                <a:lnTo>
                                  <a:pt x="0" y="0"/>
                                </a:lnTo>
                              </a:path>
                            </a:pathLst>
                          </a:custGeom>
                          <a:solidFill>
                            <a:srgbClr val="000000"/>
                          </a:solidFill>
                        </wps:spPr>
                        <wps:bodyPr wrap="square" lIns="0" tIns="0" rIns="0" bIns="0" rtlCol="0">
                          <a:prstTxWarp prst="textNoShape">
                            <a:avLst/>
                          </a:prstTxWarp>
                          <a:noAutofit/>
                        </wps:bodyPr>
                      </wps:wsp>
                      <wps:wsp>
                        <wps:cNvPr id="722" name="Graphic 722"/>
                        <wps:cNvSpPr/>
                        <wps:spPr>
                          <a:xfrm>
                            <a:off x="95693" y="4128"/>
                            <a:ext cx="36195" cy="1270"/>
                          </a:xfrm>
                          <a:custGeom>
                            <a:avLst/>
                            <a:gdLst/>
                            <a:ahLst/>
                            <a:cxnLst/>
                            <a:rect l="l" t="t" r="r" b="b"/>
                            <a:pathLst>
                              <a:path w="36195" h="0">
                                <a:moveTo>
                                  <a:pt x="0" y="0"/>
                                </a:moveTo>
                                <a:lnTo>
                                  <a:pt x="36128" y="0"/>
                                </a:lnTo>
                              </a:path>
                            </a:pathLst>
                          </a:custGeom>
                          <a:ln w="8257">
                            <a:solidFill>
                              <a:srgbClr val="000000"/>
                            </a:solidFill>
                            <a:prstDash val="solid"/>
                          </a:ln>
                        </wps:spPr>
                        <wps:bodyPr wrap="square" lIns="0" tIns="0" rIns="0" bIns="0" rtlCol="0">
                          <a:prstTxWarp prst="textNoShape">
                            <a:avLst/>
                          </a:prstTxWarp>
                          <a:noAutofit/>
                        </wps:bodyPr>
                      </wps:wsp>
                      <wps:wsp>
                        <wps:cNvPr id="723" name="Graphic 723"/>
                        <wps:cNvSpPr/>
                        <wps:spPr>
                          <a:xfrm>
                            <a:off x="4128" y="4128"/>
                            <a:ext cx="92075" cy="1831339"/>
                          </a:xfrm>
                          <a:custGeom>
                            <a:avLst/>
                            <a:gdLst/>
                            <a:ahLst/>
                            <a:cxnLst/>
                            <a:rect l="l" t="t" r="r" b="b"/>
                            <a:pathLst>
                              <a:path w="92075" h="1831339">
                                <a:moveTo>
                                  <a:pt x="0" y="1831282"/>
                                </a:moveTo>
                                <a:lnTo>
                                  <a:pt x="45782" y="1831282"/>
                                </a:lnTo>
                                <a:lnTo>
                                  <a:pt x="91564" y="1831282"/>
                                </a:lnTo>
                                <a:lnTo>
                                  <a:pt x="91564" y="0"/>
                                </a:lnTo>
                                <a:lnTo>
                                  <a:pt x="45782" y="0"/>
                                </a:lnTo>
                                <a:lnTo>
                                  <a:pt x="0" y="0"/>
                                </a:lnTo>
                                <a:lnTo>
                                  <a:pt x="0" y="1831282"/>
                                </a:lnTo>
                                <a:close/>
                              </a:path>
                            </a:pathLst>
                          </a:custGeom>
                          <a:ln w="82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6.64859pt;margin-top:12.600844pt;width:10.4pt;height:144.85pt;mso-position-horizontal-relative:page;mso-position-vertical-relative:paragraph;z-index:15779328" id="docshapegroup485" coordorigin="9133,252" coordsize="208,2897">
                <v:shape style="position:absolute;left:9139;top:255;width:147;height:2886" type="#_x0000_t75" id="docshape486" stroked="false">
                  <v:imagedata r:id="rId22" o:title=""/>
                </v:shape>
                <v:shape style="position:absolute;left:9283;top:3142;width:57;height:2" id="docshape487" coordorigin="9284,3142" coordsize="57,0" path="m9341,3142l9284,3142e" filled="true" fillcolor="#000000" stroked="false">
                  <v:path arrowok="t"/>
                  <v:fill type="solid"/>
                </v:shape>
                <v:line style="position:absolute" from="9284,3142" to="9341,3142" stroked="true" strokeweight=".650232pt" strokecolor="#000000">
                  <v:stroke dashstyle="solid"/>
                </v:line>
                <v:shape style="position:absolute;left:9283;top:2730;width:57;height:2" id="docshape488" coordorigin="9284,2730" coordsize="57,0" path="m9341,2730l9284,2730e" filled="true" fillcolor="#000000" stroked="false">
                  <v:path arrowok="t"/>
                  <v:fill type="solid"/>
                </v:shape>
                <v:line style="position:absolute" from="9284,2730" to="9341,2730" stroked="true" strokeweight=".650232pt" strokecolor="#000000">
                  <v:stroke dashstyle="solid"/>
                </v:line>
                <v:shape style="position:absolute;left:9283;top:2318;width:57;height:2" id="docshape489" coordorigin="9284,2318" coordsize="57,0" path="m9341,2318l9284,2318e" filled="true" fillcolor="#000000" stroked="false">
                  <v:path arrowok="t"/>
                  <v:fill type="solid"/>
                </v:shape>
                <v:line style="position:absolute" from="9284,2318" to="9341,2318" stroked="true" strokeweight=".650232pt" strokecolor="#000000">
                  <v:stroke dashstyle="solid"/>
                </v:line>
                <v:shape style="position:absolute;left:9283;top:1906;width:57;height:2" id="docshape490" coordorigin="9284,1906" coordsize="57,0" path="m9341,1906l9284,1906e" filled="true" fillcolor="#000000" stroked="false">
                  <v:path arrowok="t"/>
                  <v:fill type="solid"/>
                </v:shape>
                <v:line style="position:absolute" from="9284,1906" to="9341,1906" stroked="true" strokeweight=".650232pt" strokecolor="#000000">
                  <v:stroke dashstyle="solid"/>
                </v:line>
                <v:shape style="position:absolute;left:9283;top:1494;width:57;height:2" id="docshape491" coordorigin="9284,1494" coordsize="57,0" path="m9341,1494l9284,1494e" filled="true" fillcolor="#000000" stroked="false">
                  <v:path arrowok="t"/>
                  <v:fill type="solid"/>
                </v:shape>
                <v:line style="position:absolute" from="9284,1494" to="9341,1494" stroked="true" strokeweight=".650232pt" strokecolor="#000000">
                  <v:stroke dashstyle="solid"/>
                </v:line>
                <v:shape style="position:absolute;left:9283;top:1082;width:57;height:2" id="docshape492" coordorigin="9284,1082" coordsize="57,0" path="m9341,1082l9284,1082e" filled="true" fillcolor="#000000" stroked="false">
                  <v:path arrowok="t"/>
                  <v:fill type="solid"/>
                </v:shape>
                <v:line style="position:absolute" from="9284,1082" to="9341,1082" stroked="true" strokeweight=".650232pt" strokecolor="#000000">
                  <v:stroke dashstyle="solid"/>
                </v:line>
                <v:shape style="position:absolute;left:9283;top:670;width:57;height:2" id="docshape493" coordorigin="9284,671" coordsize="57,0" path="m9341,671l9284,671e" filled="true" fillcolor="#000000" stroked="false">
                  <v:path arrowok="t"/>
                  <v:fill type="solid"/>
                </v:shape>
                <v:line style="position:absolute" from="9284,671" to="9341,671" stroked="true" strokeweight=".650232pt" strokecolor="#000000">
                  <v:stroke dashstyle="solid"/>
                </v:line>
                <v:shape style="position:absolute;left:9283;top:258;width:57;height:2" id="docshape494" coordorigin="9284,259" coordsize="57,0" path="m9341,259l9284,259e" filled="true" fillcolor="#000000" stroked="false">
                  <v:path arrowok="t"/>
                  <v:fill type="solid"/>
                </v:shape>
                <v:line style="position:absolute" from="9284,259" to="9341,259" stroked="true" strokeweight=".650232pt" strokecolor="#000000">
                  <v:stroke dashstyle="solid"/>
                </v:line>
                <v:shape style="position:absolute;left:9139;top:258;width:145;height:2884" id="docshape495" coordorigin="9139,259" coordsize="145,2884" path="m9139,3142l9212,3142,9284,3142,9284,259,9212,259,9139,259,9139,3142xe" filled="false" stroked="true" strokeweight=".650232pt" strokecolor="#000000">
                  <v:path arrowok="t"/>
                  <v:stroke dashstyle="solid"/>
                </v:shape>
                <w10:wrap type="none"/>
              </v:group>
            </w:pict>
          </mc:Fallback>
        </mc:AlternateContent>
      </w:r>
      <w:bookmarkStart w:name="_bookmark102" w:id="182"/>
      <w:bookmarkEnd w:id="182"/>
      <w:r>
        <w:rPr/>
      </w:r>
      <w:r>
        <w:rPr>
          <w:rFonts w:ascii="Verdana"/>
          <w:spacing w:val="-5"/>
          <w:w w:val="95"/>
          <w:sz w:val="17"/>
        </w:rPr>
        <w:t>0.6</w:t>
      </w:r>
    </w:p>
    <w:p>
      <w:pPr>
        <w:pStyle w:val="BodyText"/>
        <w:spacing w:before="7"/>
        <w:rPr>
          <w:rFonts w:ascii="Verdana"/>
          <w:sz w:val="11"/>
        </w:rPr>
      </w:pPr>
    </w:p>
    <w:p>
      <w:pPr>
        <w:pStyle w:val="BodyText"/>
        <w:spacing w:after="0"/>
        <w:rPr>
          <w:rFonts w:ascii="Verdana"/>
          <w:sz w:val="11"/>
        </w:rPr>
        <w:sectPr>
          <w:pgSz w:w="11910" w:h="16840"/>
          <w:pgMar w:header="0" w:footer="2115" w:top="1840" w:bottom="2300" w:left="992" w:right="708"/>
        </w:sectPr>
      </w:pPr>
    </w:p>
    <w:p>
      <w:pPr>
        <w:spacing w:before="133"/>
        <w:ind w:left="867" w:right="0" w:firstLine="0"/>
        <w:jc w:val="left"/>
        <w:rPr>
          <w:rFonts w:ascii="Verdana"/>
          <w:sz w:val="17"/>
        </w:rPr>
      </w:pPr>
      <w:r>
        <w:rPr>
          <w:rFonts w:ascii="Verdana"/>
          <w:spacing w:val="-2"/>
          <w:w w:val="105"/>
          <w:sz w:val="17"/>
        </w:rPr>
        <w:t>EndorseRank</w:t>
      </w:r>
    </w:p>
    <w:p>
      <w:pPr>
        <w:spacing w:before="65"/>
        <w:ind w:left="867" w:right="0" w:firstLine="0"/>
        <w:jc w:val="left"/>
        <w:rPr>
          <w:rFonts w:ascii="Verdana"/>
          <w:sz w:val="17"/>
        </w:rPr>
      </w:pPr>
      <w:r>
        <w:rPr/>
        <w:br w:type="column"/>
      </w:r>
      <w:r>
        <w:rPr>
          <w:rFonts w:ascii="Verdana"/>
          <w:spacing w:val="-5"/>
          <w:w w:val="90"/>
          <w:sz w:val="17"/>
        </w:rPr>
        <w:t>0.5</w:t>
      </w:r>
    </w:p>
    <w:p>
      <w:pPr>
        <w:spacing w:after="0"/>
        <w:jc w:val="left"/>
        <w:rPr>
          <w:rFonts w:ascii="Verdana"/>
          <w:sz w:val="17"/>
        </w:rPr>
        <w:sectPr>
          <w:type w:val="continuous"/>
          <w:pgSz w:w="11910" w:h="16840"/>
          <w:pgMar w:header="0" w:footer="2115" w:top="1920" w:bottom="280" w:left="992" w:right="708"/>
          <w:cols w:num="2" w:equalWidth="0">
            <w:col w:w="2027" w:space="5511"/>
            <w:col w:w="2672"/>
          </w:cols>
        </w:sectPr>
      </w:pPr>
    </w:p>
    <w:p>
      <w:pPr>
        <w:spacing w:before="137"/>
        <w:ind w:left="0" w:right="1538" w:firstLine="0"/>
        <w:jc w:val="right"/>
        <w:rPr>
          <w:rFonts w:ascii="Verdana"/>
          <w:sz w:val="17"/>
        </w:rPr>
      </w:pPr>
      <w:r>
        <w:rPr>
          <w:rFonts w:ascii="Verdana"/>
          <w:sz w:val="17"/>
        </w:rPr>
        <mc:AlternateContent>
          <mc:Choice Requires="wps">
            <w:drawing>
              <wp:anchor distT="0" distB="0" distL="0" distR="0" allowOverlap="1" layoutInCell="1" locked="0" behindDoc="0" simplePos="0" relativeHeight="15779840">
                <wp:simplePos x="0" y="0"/>
                <wp:positionH relativeFrom="page">
                  <wp:posOffset>6237821</wp:posOffset>
                </wp:positionH>
                <wp:positionV relativeFrom="paragraph">
                  <wp:posOffset>81119</wp:posOffset>
                </wp:positionV>
                <wp:extent cx="137795" cy="93535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137795" cy="935355"/>
                        </a:xfrm>
                        <a:prstGeom prst="rect">
                          <a:avLst/>
                        </a:prstGeom>
                      </wps:spPr>
                      <wps:txbx>
                        <w:txbxContent>
                          <w:p>
                            <w:pPr>
                              <w:spacing w:line="209" w:lineRule="exact" w:before="0"/>
                              <w:ind w:left="20" w:right="0" w:firstLine="0"/>
                              <w:jc w:val="left"/>
                              <w:rPr>
                                <w:rFonts w:ascii="Trebuchet MS" w:hAnsi="Trebuchet MS"/>
                                <w:i/>
                                <w:sz w:val="14"/>
                              </w:rPr>
                            </w:pPr>
                            <w:r>
                              <w:rPr>
                                <w:rFonts w:ascii="Verdana" w:hAnsi="Verdana"/>
                                <w:spacing w:val="-2"/>
                                <w:sz w:val="19"/>
                              </w:rPr>
                              <w:t>Mean</w:t>
                            </w:r>
                            <w:r>
                              <w:rPr>
                                <w:rFonts w:ascii="Verdana" w:hAnsi="Verdana"/>
                                <w:spacing w:val="-12"/>
                                <w:sz w:val="19"/>
                              </w:rPr>
                              <w:t> </w:t>
                            </w:r>
                            <w:r>
                              <w:rPr>
                                <w:rFonts w:ascii="Verdana" w:hAnsi="Verdana"/>
                                <w:spacing w:val="-2"/>
                                <w:sz w:val="19"/>
                              </w:rPr>
                              <w:t>Kendall</w:t>
                            </w:r>
                            <w:r>
                              <w:rPr>
                                <w:rFonts w:ascii="Verdana" w:hAnsi="Verdana"/>
                                <w:spacing w:val="-6"/>
                                <w:sz w:val="19"/>
                              </w:rPr>
                              <w:t> </w:t>
                            </w:r>
                            <w:r>
                              <w:rPr>
                                <w:rFonts w:ascii="Trebuchet MS" w:hAnsi="Trebuchet MS"/>
                                <w:i/>
                                <w:spacing w:val="-10"/>
                                <w:sz w:val="14"/>
                              </w:rPr>
                              <w:t>τ</w:t>
                            </w:r>
                          </w:p>
                        </w:txbxContent>
                      </wps:txbx>
                      <wps:bodyPr wrap="square" lIns="0" tIns="0" rIns="0" bIns="0" rtlCol="0" vert="vert270">
                        <a:noAutofit/>
                      </wps:bodyPr>
                    </wps:wsp>
                  </a:graphicData>
                </a:graphic>
              </wp:anchor>
            </w:drawing>
          </mc:Choice>
          <mc:Fallback>
            <w:pict>
              <v:shape style="position:absolute;margin-left:491.167053pt;margin-top:6.387396pt;width:10.85pt;height:73.650pt;mso-position-horizontal-relative:page;mso-position-vertical-relative:paragraph;z-index:15779840" type="#_x0000_t202" id="docshape496" filled="false" stroked="false">
                <v:textbox inset="0,0,0,0" style="layout-flow:vertical;mso-layout-flow-alt:bottom-to-top">
                  <w:txbxContent>
                    <w:p>
                      <w:pPr>
                        <w:spacing w:line="209" w:lineRule="exact" w:before="0"/>
                        <w:ind w:left="20" w:right="0" w:firstLine="0"/>
                        <w:jc w:val="left"/>
                        <w:rPr>
                          <w:rFonts w:ascii="Trebuchet MS" w:hAnsi="Trebuchet MS"/>
                          <w:i/>
                          <w:sz w:val="14"/>
                        </w:rPr>
                      </w:pPr>
                      <w:r>
                        <w:rPr>
                          <w:rFonts w:ascii="Verdana" w:hAnsi="Verdana"/>
                          <w:spacing w:val="-2"/>
                          <w:sz w:val="19"/>
                        </w:rPr>
                        <w:t>Mean</w:t>
                      </w:r>
                      <w:r>
                        <w:rPr>
                          <w:rFonts w:ascii="Verdana" w:hAnsi="Verdana"/>
                          <w:spacing w:val="-12"/>
                          <w:sz w:val="19"/>
                        </w:rPr>
                        <w:t> </w:t>
                      </w:r>
                      <w:r>
                        <w:rPr>
                          <w:rFonts w:ascii="Verdana" w:hAnsi="Verdana"/>
                          <w:spacing w:val="-2"/>
                          <w:sz w:val="19"/>
                        </w:rPr>
                        <w:t>Kendall</w:t>
                      </w:r>
                      <w:r>
                        <w:rPr>
                          <w:rFonts w:ascii="Verdana" w:hAnsi="Verdana"/>
                          <w:spacing w:val="-6"/>
                          <w:sz w:val="19"/>
                        </w:rPr>
                        <w:t> </w:t>
                      </w:r>
                      <w:r>
                        <w:rPr>
                          <w:rFonts w:ascii="Trebuchet MS" w:hAnsi="Trebuchet MS"/>
                          <w:i/>
                          <w:spacing w:val="-10"/>
                          <w:sz w:val="14"/>
                        </w:rPr>
                        <w:t>τ</w:t>
                      </w:r>
                    </w:p>
                  </w:txbxContent>
                </v:textbox>
                <w10:wrap type="none"/>
              </v:shape>
            </w:pict>
          </mc:Fallback>
        </mc:AlternateContent>
      </w:r>
      <w:r>
        <w:rPr>
          <w:rFonts w:ascii="Verdana"/>
          <w:spacing w:val="-5"/>
          <w:w w:val="95"/>
          <w:sz w:val="17"/>
        </w:rPr>
        <w:t>0.4</w:t>
      </w:r>
    </w:p>
    <w:p>
      <w:pPr>
        <w:pStyle w:val="BodyText"/>
        <w:spacing w:before="7"/>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spacing w:before="76"/>
        <w:rPr>
          <w:rFonts w:ascii="Verdana"/>
          <w:sz w:val="16"/>
        </w:rPr>
      </w:pPr>
    </w:p>
    <w:p>
      <w:pPr>
        <w:spacing w:before="0"/>
        <w:ind w:left="0" w:right="38" w:firstLine="0"/>
        <w:jc w:val="right"/>
        <w:rPr>
          <w:rFonts w:ascii="Verdana"/>
          <w:sz w:val="17"/>
        </w:rPr>
      </w:pPr>
      <w:r>
        <w:rPr>
          <w:rFonts w:ascii="Verdana"/>
          <w:spacing w:val="-5"/>
          <w:w w:val="110"/>
          <w:sz w:val="17"/>
        </w:rPr>
        <w:t>AWP</w:t>
      </w:r>
    </w:p>
    <w:p>
      <w:pPr>
        <w:spacing w:before="65"/>
        <w:ind w:left="42" w:right="0" w:firstLine="0"/>
        <w:jc w:val="center"/>
        <w:rPr>
          <w:rFonts w:ascii="Verdana"/>
          <w:sz w:val="17"/>
        </w:rPr>
      </w:pPr>
      <w:r>
        <w:rPr/>
        <w:br w:type="column"/>
      </w:r>
      <w:r>
        <w:rPr>
          <w:rFonts w:ascii="Verdana"/>
          <w:spacing w:val="-5"/>
          <w:w w:val="90"/>
          <w:sz w:val="17"/>
        </w:rPr>
        <w:t>0.3</w:t>
      </w:r>
    </w:p>
    <w:p>
      <w:pPr>
        <w:pStyle w:val="BodyText"/>
        <w:spacing w:before="11"/>
        <w:rPr>
          <w:rFonts w:ascii="Verdana"/>
          <w:sz w:val="16"/>
        </w:rPr>
      </w:pPr>
    </w:p>
    <w:p>
      <w:pPr>
        <w:spacing w:before="0"/>
        <w:ind w:left="38" w:right="0" w:firstLine="0"/>
        <w:jc w:val="center"/>
        <w:rPr>
          <w:rFonts w:ascii="Verdana"/>
          <w:sz w:val="17"/>
        </w:rPr>
      </w:pPr>
      <w:r>
        <w:rPr>
          <w:rFonts w:ascii="Verdana"/>
          <w:spacing w:val="-5"/>
          <w:w w:val="90"/>
          <w:sz w:val="17"/>
        </w:rPr>
        <w:t>0.2</w:t>
      </w:r>
    </w:p>
    <w:p>
      <w:pPr>
        <w:spacing w:after="0"/>
        <w:jc w:val="center"/>
        <w:rPr>
          <w:rFonts w:ascii="Verdana"/>
          <w:sz w:val="17"/>
        </w:rPr>
        <w:sectPr>
          <w:type w:val="continuous"/>
          <w:pgSz w:w="11910" w:h="16840"/>
          <w:pgMar w:header="0" w:footer="2115" w:top="1920" w:bottom="280" w:left="992" w:right="708"/>
          <w:cols w:num="2" w:equalWidth="0">
            <w:col w:w="2020" w:space="4796"/>
            <w:col w:w="3394"/>
          </w:cols>
        </w:sectPr>
      </w:pPr>
    </w:p>
    <w:p>
      <w:pPr>
        <w:pStyle w:val="BodyText"/>
        <w:spacing w:before="6"/>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rPr>
          <w:rFonts w:ascii="Verdana"/>
          <w:sz w:val="16"/>
        </w:rPr>
      </w:pPr>
    </w:p>
    <w:p>
      <w:pPr>
        <w:pStyle w:val="BodyText"/>
        <w:spacing w:before="20"/>
        <w:rPr>
          <w:rFonts w:ascii="Verdana"/>
          <w:sz w:val="16"/>
        </w:rPr>
      </w:pPr>
    </w:p>
    <w:p>
      <w:pPr>
        <w:spacing w:before="0"/>
        <w:ind w:left="0" w:right="38" w:firstLine="0"/>
        <w:jc w:val="right"/>
        <w:rPr>
          <w:rFonts w:ascii="Verdana"/>
          <w:sz w:val="17"/>
        </w:rPr>
      </w:pPr>
      <w:r>
        <w:rPr>
          <w:rFonts w:ascii="Verdana"/>
          <w:spacing w:val="-8"/>
          <w:sz w:val="17"/>
        </w:rPr>
        <w:t>GF-</w:t>
      </w:r>
      <w:r>
        <w:rPr>
          <w:rFonts w:ascii="Verdana"/>
          <w:spacing w:val="-5"/>
          <w:sz w:val="17"/>
        </w:rPr>
        <w:t>PR</w:t>
      </w:r>
    </w:p>
    <w:p>
      <w:pPr>
        <w:spacing w:before="65"/>
        <w:ind w:left="0" w:right="102" w:firstLine="0"/>
        <w:jc w:val="center"/>
        <w:rPr>
          <w:rFonts w:ascii="Verdana"/>
          <w:sz w:val="17"/>
        </w:rPr>
      </w:pPr>
      <w:r>
        <w:rPr/>
        <w:br w:type="column"/>
      </w:r>
      <w:r>
        <w:rPr>
          <w:rFonts w:ascii="Verdana"/>
          <w:spacing w:val="-5"/>
          <w:w w:val="90"/>
          <w:sz w:val="17"/>
        </w:rPr>
        <w:t>0.1</w:t>
      </w:r>
    </w:p>
    <w:p>
      <w:pPr>
        <w:pStyle w:val="BodyText"/>
        <w:spacing w:before="11"/>
        <w:rPr>
          <w:rFonts w:ascii="Verdana"/>
          <w:sz w:val="16"/>
        </w:rPr>
      </w:pPr>
    </w:p>
    <w:p>
      <w:pPr>
        <w:spacing w:before="0"/>
        <w:ind w:left="0" w:right="88" w:firstLine="0"/>
        <w:jc w:val="center"/>
        <w:rPr>
          <w:rFonts w:ascii="Verdana"/>
          <w:sz w:val="17"/>
        </w:rPr>
      </w:pPr>
      <w:r>
        <w:rPr>
          <w:rFonts w:ascii="Verdana"/>
          <w:spacing w:val="-5"/>
          <w:w w:val="95"/>
          <w:sz w:val="17"/>
        </w:rPr>
        <w:t>0.0</w:t>
      </w:r>
    </w:p>
    <w:p>
      <w:pPr>
        <w:spacing w:after="0"/>
        <w:jc w:val="center"/>
        <w:rPr>
          <w:rFonts w:ascii="Verdana"/>
          <w:sz w:val="17"/>
        </w:rPr>
        <w:sectPr>
          <w:type w:val="continuous"/>
          <w:pgSz w:w="11910" w:h="16840"/>
          <w:pgMar w:header="0" w:footer="2115" w:top="1920" w:bottom="280" w:left="992" w:right="708"/>
          <w:cols w:num="2" w:equalWidth="0">
            <w:col w:w="2032" w:space="4919"/>
            <w:col w:w="3259"/>
          </w:cols>
        </w:sectPr>
      </w:pPr>
    </w:p>
    <w:p>
      <w:pPr>
        <w:pStyle w:val="BodyText"/>
        <w:spacing w:before="11"/>
        <w:rPr>
          <w:rFonts w:ascii="Verdana"/>
          <w:sz w:val="16"/>
        </w:rPr>
      </w:pPr>
    </w:p>
    <w:p>
      <w:pPr>
        <w:spacing w:before="0"/>
        <w:ind w:left="0" w:right="1420" w:firstLine="0"/>
        <w:jc w:val="right"/>
        <w:rPr>
          <w:rFonts w:ascii="Verdana" w:hAnsi="Verdana"/>
          <w:sz w:val="17"/>
        </w:rPr>
      </w:pPr>
      <w:r>
        <w:rPr>
          <w:rFonts w:ascii="Verdana" w:hAnsi="Verdana"/>
          <w:sz w:val="17"/>
        </w:rPr>
        <mc:AlternateContent>
          <mc:Choice Requires="wps">
            <w:drawing>
              <wp:anchor distT="0" distB="0" distL="0" distR="0" allowOverlap="1" layoutInCell="1" locked="0" behindDoc="0" simplePos="0" relativeHeight="15780352">
                <wp:simplePos x="0" y="0"/>
                <wp:positionH relativeFrom="page">
                  <wp:posOffset>1872910</wp:posOffset>
                </wp:positionH>
                <wp:positionV relativeFrom="paragraph">
                  <wp:posOffset>222739</wp:posOffset>
                </wp:positionV>
                <wp:extent cx="452755" cy="10350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rot="20100000">
                          <a:off x="0" y="0"/>
                          <a:ext cx="452755" cy="103505"/>
                        </a:xfrm>
                        <a:prstGeom prst="rect">
                          <a:avLst/>
                        </a:prstGeom>
                      </wps:spPr>
                      <wps:txbx>
                        <w:txbxContent>
                          <w:p>
                            <w:pPr>
                              <w:spacing w:line="163" w:lineRule="exact" w:before="0"/>
                              <w:ind w:left="0" w:right="0" w:firstLine="0"/>
                              <w:jc w:val="left"/>
                              <w:rPr>
                                <w:rFonts w:ascii="Verdana"/>
                                <w:sz w:val="17"/>
                              </w:rPr>
                            </w:pPr>
                            <w:r>
                              <w:rPr>
                                <w:rFonts w:ascii="Verdana"/>
                                <w:spacing w:val="-7"/>
                                <w:w w:val="105"/>
                                <w:sz w:val="17"/>
                              </w:rPr>
                              <w:t>Transfer</w:t>
                            </w:r>
                          </w:p>
                        </w:txbxContent>
                      </wps:txbx>
                      <wps:bodyPr wrap="square" lIns="0" tIns="0" rIns="0" bIns="0" rtlCol="0">
                        <a:noAutofit/>
                      </wps:bodyPr>
                    </wps:wsp>
                  </a:graphicData>
                </a:graphic>
              </wp:anchor>
            </w:drawing>
          </mc:Choice>
          <mc:Fallback>
            <w:pict>
              <v:shape style="position:absolute;margin-left:147.473251pt;margin-top:17.538551pt;width:35.65pt;height:8.15pt;mso-position-horizontal-relative:page;mso-position-vertical-relative:paragraph;z-index:15780352;rotation:335" type="#_x0000_t136" fillcolor="#000000" stroked="f">
                <o:extrusion v:ext="view" autorotationcenter="t"/>
                <v:textpath style="font-family:&quot;Verdana&quot;;font-size:8pt;v-text-kern:t;mso-text-shadow:auto" string="Transfer"/>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0864">
                <wp:simplePos x="0" y="0"/>
                <wp:positionH relativeFrom="page">
                  <wp:posOffset>2524229</wp:posOffset>
                </wp:positionH>
                <wp:positionV relativeFrom="paragraph">
                  <wp:posOffset>242769</wp:posOffset>
                </wp:positionV>
                <wp:extent cx="538480" cy="10350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rot="20100000">
                          <a:off x="0" y="0"/>
                          <a:ext cx="538480" cy="103505"/>
                        </a:xfrm>
                        <a:prstGeom prst="rect">
                          <a:avLst/>
                        </a:prstGeom>
                      </wps:spPr>
                      <wps:txbx>
                        <w:txbxContent>
                          <w:p>
                            <w:pPr>
                              <w:spacing w:line="163" w:lineRule="exact" w:before="0"/>
                              <w:ind w:left="0" w:right="0" w:firstLine="0"/>
                              <w:jc w:val="left"/>
                              <w:rPr>
                                <w:rFonts w:ascii="Verdana"/>
                                <w:sz w:val="17"/>
                              </w:rPr>
                            </w:pPr>
                            <w:r>
                              <w:rPr>
                                <w:rFonts w:ascii="Verdana"/>
                                <w:spacing w:val="-2"/>
                                <w:sz w:val="17"/>
                              </w:rPr>
                              <w:t>Allowance</w:t>
                            </w:r>
                          </w:p>
                        </w:txbxContent>
                      </wps:txbx>
                      <wps:bodyPr wrap="square" lIns="0" tIns="0" rIns="0" bIns="0" rtlCol="0">
                        <a:noAutofit/>
                      </wps:bodyPr>
                    </wps:wsp>
                  </a:graphicData>
                </a:graphic>
              </wp:anchor>
            </w:drawing>
          </mc:Choice>
          <mc:Fallback>
            <w:pict>
              <v:shape style="position:absolute;margin-left:198.758224pt;margin-top:19.115675pt;width:42.4pt;height:8.15pt;mso-position-horizontal-relative:page;mso-position-vertical-relative:paragraph;z-index:15780864;rotation:335" type="#_x0000_t136" fillcolor="#000000" stroked="f">
                <o:extrusion v:ext="view" autorotationcenter="t"/>
                <v:textpath style="font-family:&quot;Verdana&quot;;font-size:8pt;v-text-kern:t;mso-text-shadow:auto" string="Allowance"/>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1376">
                <wp:simplePos x="0" y="0"/>
                <wp:positionH relativeFrom="page">
                  <wp:posOffset>3182082</wp:posOffset>
                </wp:positionH>
                <wp:positionV relativeFrom="paragraph">
                  <wp:posOffset>258801</wp:posOffset>
                </wp:positionV>
                <wp:extent cx="628015" cy="10350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rot="20100000">
                          <a:off x="0" y="0"/>
                          <a:ext cx="628015" cy="103505"/>
                        </a:xfrm>
                        <a:prstGeom prst="rect">
                          <a:avLst/>
                        </a:prstGeom>
                      </wps:spPr>
                      <wps:txbx>
                        <w:txbxContent>
                          <w:p>
                            <w:pPr>
                              <w:spacing w:line="163" w:lineRule="exact" w:before="0"/>
                              <w:ind w:left="0" w:right="0" w:firstLine="0"/>
                              <w:jc w:val="left"/>
                              <w:rPr>
                                <w:rFonts w:ascii="Verdana"/>
                                <w:sz w:val="17"/>
                              </w:rPr>
                            </w:pPr>
                            <w:r>
                              <w:rPr>
                                <w:rFonts w:ascii="Verdana"/>
                                <w:spacing w:val="-6"/>
                                <w:sz w:val="17"/>
                              </w:rPr>
                              <w:t>Inverse</w:t>
                            </w:r>
                            <w:r>
                              <w:rPr>
                                <w:rFonts w:ascii="Verdana"/>
                                <w:spacing w:val="-2"/>
                                <w:sz w:val="17"/>
                              </w:rPr>
                              <w:t> </w:t>
                            </w:r>
                            <w:r>
                              <w:rPr>
                                <w:rFonts w:ascii="Verdana"/>
                                <w:spacing w:val="-4"/>
                                <w:sz w:val="17"/>
                              </w:rPr>
                              <w:t>risk</w:t>
                            </w:r>
                          </w:p>
                        </w:txbxContent>
                      </wps:txbx>
                      <wps:bodyPr wrap="square" lIns="0" tIns="0" rIns="0" bIns="0" rtlCol="0">
                        <a:noAutofit/>
                      </wps:bodyPr>
                    </wps:wsp>
                  </a:graphicData>
                </a:graphic>
              </wp:anchor>
            </w:drawing>
          </mc:Choice>
          <mc:Fallback>
            <w:pict>
              <v:shape style="position:absolute;margin-left:250.557663pt;margin-top:20.378073pt;width:49.45pt;height:8.15pt;mso-position-horizontal-relative:page;mso-position-vertical-relative:paragraph;z-index:15781376;rotation:335" type="#_x0000_t136" fillcolor="#000000" stroked="f">
                <o:extrusion v:ext="view" autorotationcenter="t"/>
                <v:textpath style="font-family:&quot;Verdana&quot;;font-size:8pt;v-text-kern:t;mso-text-shadow:auto" string="Inverse risk"/>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1888">
                <wp:simplePos x="0" y="0"/>
                <wp:positionH relativeFrom="page">
                  <wp:posOffset>3829245</wp:posOffset>
                </wp:positionH>
                <wp:positionV relativeFrom="paragraph">
                  <wp:posOffset>278999</wp:posOffset>
                </wp:positionV>
                <wp:extent cx="720725" cy="10350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rot="20100000">
                          <a:off x="0" y="0"/>
                          <a:ext cx="720725" cy="103505"/>
                        </a:xfrm>
                        <a:prstGeom prst="rect">
                          <a:avLst/>
                        </a:prstGeom>
                      </wps:spPr>
                      <wps:txbx>
                        <w:txbxContent>
                          <w:p>
                            <w:pPr>
                              <w:spacing w:line="163" w:lineRule="exact" w:before="0"/>
                              <w:ind w:left="0" w:right="0" w:firstLine="0"/>
                              <w:jc w:val="left"/>
                              <w:rPr>
                                <w:rFonts w:ascii="Verdana"/>
                                <w:sz w:val="17"/>
                              </w:rPr>
                            </w:pPr>
                            <w:r>
                              <w:rPr>
                                <w:rFonts w:ascii="Verdana"/>
                                <w:spacing w:val="-2"/>
                                <w:sz w:val="17"/>
                              </w:rPr>
                              <w:t>Sybil</w:t>
                            </w:r>
                            <w:r>
                              <w:rPr>
                                <w:rFonts w:ascii="Verdana"/>
                                <w:spacing w:val="-8"/>
                                <w:sz w:val="17"/>
                              </w:rPr>
                              <w:t> </w:t>
                            </w:r>
                            <w:r>
                              <w:rPr>
                                <w:rFonts w:ascii="Verdana"/>
                                <w:spacing w:val="-2"/>
                                <w:sz w:val="17"/>
                              </w:rPr>
                              <w:t>stability</w:t>
                            </w:r>
                          </w:p>
                        </w:txbxContent>
                      </wps:txbx>
                      <wps:bodyPr wrap="square" lIns="0" tIns="0" rIns="0" bIns="0" rtlCol="0">
                        <a:noAutofit/>
                      </wps:bodyPr>
                    </wps:wsp>
                  </a:graphicData>
                </a:graphic>
              </wp:anchor>
            </w:drawing>
          </mc:Choice>
          <mc:Fallback>
            <w:pict>
              <v:shape style="position:absolute;margin-left:301.515381pt;margin-top:21.968433pt;width:56.75pt;height:8.15pt;mso-position-horizontal-relative:page;mso-position-vertical-relative:paragraph;z-index:15781888;rotation:335" type="#_x0000_t136" fillcolor="#000000" stroked="f">
                <o:extrusion v:ext="view" autorotationcenter="t"/>
                <v:textpath style="font-family:&quot;Verdana&quot;;font-size:8pt;v-text-kern:t;mso-text-shadow:auto" string="Sybil stability"/>
                <w10:wrap type="none"/>
              </v:shape>
            </w:pict>
          </mc:Fallback>
        </mc:AlternateContent>
      </w:r>
      <w:r>
        <w:rPr>
          <w:rFonts w:ascii="Verdana" w:hAnsi="Verdana"/>
          <w:sz w:val="17"/>
        </w:rPr>
        <mc:AlternateContent>
          <mc:Choice Requires="wps">
            <w:drawing>
              <wp:anchor distT="0" distB="0" distL="0" distR="0" allowOverlap="1" layoutInCell="1" locked="0" behindDoc="0" simplePos="0" relativeHeight="15782400">
                <wp:simplePos x="0" y="0"/>
                <wp:positionH relativeFrom="page">
                  <wp:posOffset>4441762</wp:posOffset>
                </wp:positionH>
                <wp:positionV relativeFrom="paragraph">
                  <wp:posOffset>308068</wp:posOffset>
                </wp:positionV>
                <wp:extent cx="845185" cy="10350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rot="20100000">
                          <a:off x="0" y="0"/>
                          <a:ext cx="845185" cy="103505"/>
                        </a:xfrm>
                        <a:prstGeom prst="rect">
                          <a:avLst/>
                        </a:prstGeom>
                      </wps:spPr>
                      <wps:txbx>
                        <w:txbxContent>
                          <w:p>
                            <w:pPr>
                              <w:spacing w:line="163" w:lineRule="exact" w:before="0"/>
                              <w:ind w:left="0" w:right="0" w:firstLine="0"/>
                              <w:jc w:val="left"/>
                              <w:rPr>
                                <w:rFonts w:ascii="Verdana"/>
                                <w:sz w:val="17"/>
                              </w:rPr>
                            </w:pPr>
                            <w:r>
                              <w:rPr>
                                <w:rFonts w:ascii="Verdana"/>
                                <w:sz w:val="17"/>
                              </w:rPr>
                              <w:t>Trading</w:t>
                            </w:r>
                            <w:r>
                              <w:rPr>
                                <w:rFonts w:ascii="Verdana"/>
                                <w:spacing w:val="-13"/>
                                <w:sz w:val="17"/>
                              </w:rPr>
                              <w:t> </w:t>
                            </w:r>
                            <w:r>
                              <w:rPr>
                                <w:rFonts w:ascii="Verdana"/>
                                <w:spacing w:val="-5"/>
                                <w:sz w:val="17"/>
                              </w:rPr>
                              <w:t>success</w:t>
                            </w:r>
                          </w:p>
                        </w:txbxContent>
                      </wps:txbx>
                      <wps:bodyPr wrap="square" lIns="0" tIns="0" rIns="0" bIns="0" rtlCol="0">
                        <a:noAutofit/>
                      </wps:bodyPr>
                    </wps:wsp>
                  </a:graphicData>
                </a:graphic>
              </wp:anchor>
            </w:drawing>
          </mc:Choice>
          <mc:Fallback>
            <w:pict>
              <v:shape style="position:absolute;margin-left:349.745117pt;margin-top:24.257389pt;width:66.55pt;height:8.15pt;mso-position-horizontal-relative:page;mso-position-vertical-relative:paragraph;z-index:15782400;rotation:335" type="#_x0000_t136" fillcolor="#000000" stroked="f">
                <o:extrusion v:ext="view" autorotationcenter="t"/>
                <v:textpath style="font-family:&quot;Verdana&quot;;font-size:8pt;v-text-kern:t;mso-text-shadow:auto" string="Trading success"/>
                <w10:wrap type="none"/>
              </v:shape>
            </w:pict>
          </mc:Fallback>
        </mc:AlternateContent>
      </w:r>
      <w:r>
        <w:rPr>
          <w:rFonts w:ascii="Verdana" w:hAnsi="Verdana"/>
          <w:w w:val="570"/>
          <w:sz w:val="2"/>
        </w:rPr>
        <w:t>−</w:t>
      </w:r>
      <w:r>
        <w:rPr>
          <w:rFonts w:ascii="Verdana" w:hAnsi="Verdana"/>
          <w:spacing w:val="-13"/>
          <w:w w:val="570"/>
          <w:sz w:val="2"/>
        </w:rPr>
        <w:t> </w:t>
      </w:r>
      <w:r>
        <w:rPr>
          <w:rFonts w:ascii="Verdana" w:hAnsi="Verdana"/>
          <w:spacing w:val="-5"/>
          <w:sz w:val="17"/>
        </w:rPr>
        <w:t>0.1</w:t>
      </w:r>
    </w:p>
    <w:p>
      <w:pPr>
        <w:pStyle w:val="BodyText"/>
        <w:rPr>
          <w:rFonts w:ascii="Verdana"/>
        </w:rPr>
      </w:pPr>
    </w:p>
    <w:p>
      <w:pPr>
        <w:pStyle w:val="BodyText"/>
        <w:rPr>
          <w:rFonts w:ascii="Verdana"/>
        </w:rPr>
      </w:pPr>
    </w:p>
    <w:p>
      <w:pPr>
        <w:pStyle w:val="BodyText"/>
        <w:spacing w:before="144"/>
        <w:rPr>
          <w:rFonts w:ascii="Verdana"/>
        </w:rPr>
      </w:pPr>
    </w:p>
    <w:p>
      <w:pPr>
        <w:pStyle w:val="BodyText"/>
        <w:spacing w:line="237" w:lineRule="auto"/>
        <w:ind w:left="282" w:right="524"/>
        <w:jc w:val="both"/>
      </w:pPr>
      <w:r>
        <w:rPr/>
        <w:t>Figure</w:t>
      </w:r>
      <w:r>
        <w:rPr>
          <w:spacing w:val="-15"/>
        </w:rPr>
        <w:t> </w:t>
      </w:r>
      <w:r>
        <w:rPr/>
        <w:t>4.6: Family-level</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3"/>
        </w:rPr>
        <w:t> </w:t>
      </w:r>
      <w:r>
        <w:rPr/>
        <w:t>heatmap</w:t>
      </w:r>
      <w:r>
        <w:rPr>
          <w:spacing w:val="-15"/>
        </w:rPr>
        <w:t> </w:t>
      </w:r>
      <w:r>
        <w:rPr/>
        <w:t>for</w:t>
      </w:r>
      <w:r>
        <w:rPr>
          <w:spacing w:val="-15"/>
        </w:rPr>
        <w:t> </w:t>
      </w:r>
      <w:r>
        <w:rPr/>
        <w:t>EndorseRank,</w:t>
      </w:r>
      <w:r>
        <w:rPr>
          <w:spacing w:val="-14"/>
        </w:rPr>
        <w:t> </w:t>
      </w:r>
      <w:r>
        <w:rPr/>
        <w:t>AWP,</w:t>
      </w:r>
      <w:r>
        <w:rPr>
          <w:spacing w:val="-15"/>
        </w:rPr>
        <w:t> </w:t>
      </w:r>
      <w:r>
        <w:rPr/>
        <w:t>and</w:t>
      </w:r>
      <w:r>
        <w:rPr>
          <w:spacing w:val="-15"/>
        </w:rPr>
        <w:t> </w:t>
      </w:r>
      <w:r>
        <w:rPr/>
        <w:t>supplementary</w:t>
      </w:r>
      <w:r>
        <w:rPr>
          <w:spacing w:val="-15"/>
        </w:rPr>
        <w:t> </w:t>
      </w:r>
      <w:r>
        <w:rPr/>
        <w:t>GF-PR</w:t>
      </w:r>
      <w:r>
        <w:rPr>
          <w:spacing w:val="-4"/>
        </w:rPr>
        <w:t> </w:t>
      </w:r>
      <w:r>
        <w:rPr/>
        <w:t>on</w:t>
      </w:r>
      <w:r>
        <w:rPr>
          <w:spacing w:val="-3"/>
        </w:rPr>
        <w:t> </w:t>
      </w:r>
      <w:r>
        <w:rPr/>
        <w:t>the</w:t>
      </w:r>
      <w:r>
        <w:rPr>
          <w:spacing w:val="-3"/>
        </w:rPr>
        <w:t> </w:t>
      </w:r>
      <w:r>
        <w:rPr/>
        <w:t>matched</w:t>
      </w:r>
      <w:r>
        <w:rPr>
          <w:spacing w:val="-3"/>
        </w:rPr>
        <w:t> </w:t>
      </w:r>
      <w:r>
        <w:rPr/>
        <w:t>cohort</w:t>
      </w:r>
      <w:r>
        <w:rPr>
          <w:spacing w:val="-4"/>
        </w:rPr>
        <w:t> </w:t>
      </w:r>
      <w:r>
        <w:rPr/>
        <w:t>(</w:t>
      </w:r>
      <w:r>
        <w:rPr>
          <w:rFonts w:ascii="Calibri" w:hAnsi="Calibri"/>
          <w:i/>
        </w:rPr>
        <w:t>n </w:t>
      </w:r>
      <w:r>
        <w:rPr>
          <w:rFonts w:ascii="Calibri" w:hAnsi="Calibri"/>
          <w:w w:val="125"/>
        </w:rPr>
        <w:t>=</w:t>
      </w:r>
      <w:r>
        <w:rPr>
          <w:rFonts w:ascii="Calibri" w:hAnsi="Calibri"/>
          <w:spacing w:val="-3"/>
          <w:w w:val="125"/>
        </w:rPr>
        <w:t> </w:t>
      </w:r>
      <w:r>
        <w:rPr>
          <w:rFonts w:ascii="Calibri" w:hAnsi="Calibri"/>
        </w:rPr>
        <w:t>5</w:t>
      </w:r>
      <w:r>
        <w:rPr>
          <w:rFonts w:ascii="Calibri" w:hAnsi="Calibri"/>
          <w:i/>
        </w:rPr>
        <w:t>,</w:t>
      </w:r>
      <w:r>
        <w:rPr>
          <w:rFonts w:ascii="Calibri" w:hAnsi="Calibri"/>
        </w:rPr>
        <w:t>521</w:t>
      </w:r>
      <w:r>
        <w:rPr/>
        <w:t>). EndorseRank</w:t>
      </w:r>
      <w:r>
        <w:rPr>
          <w:spacing w:val="-3"/>
        </w:rPr>
        <w:t> </w:t>
      </w:r>
      <w:r>
        <w:rPr/>
        <w:t>peaks</w:t>
      </w:r>
      <w:r>
        <w:rPr>
          <w:spacing w:val="-3"/>
        </w:rPr>
        <w:t> </w:t>
      </w:r>
      <w:r>
        <w:rPr/>
        <w:t>on</w:t>
      </w:r>
      <w:r>
        <w:rPr>
          <w:spacing w:val="-3"/>
        </w:rPr>
        <w:t> </w:t>
      </w:r>
      <w:r>
        <w:rPr/>
        <w:t>allowance;</w:t>
      </w:r>
      <w:r>
        <w:rPr>
          <w:spacing w:val="-3"/>
        </w:rPr>
        <w:t> </w:t>
      </w:r>
      <w:r>
        <w:rPr/>
        <w:t>AWP</w:t>
      </w:r>
      <w:r>
        <w:rPr>
          <w:spacing w:val="-4"/>
        </w:rPr>
        <w:t> </w:t>
      </w:r>
      <w:r>
        <w:rPr/>
        <w:t>peaks</w:t>
      </w:r>
      <w:r>
        <w:rPr>
          <w:spacing w:val="-4"/>
        </w:rPr>
        <w:t> </w:t>
      </w:r>
      <w:r>
        <w:rPr/>
        <w:t>on</w:t>
      </w:r>
      <w:r>
        <w:rPr>
          <w:spacing w:val="-3"/>
        </w:rPr>
        <w:t> </w:t>
      </w:r>
      <w:r>
        <w:rPr/>
        <w:t>transfer among social methods; GF-PR peaks on trading-outcome families via construct overlap.</w:t>
      </w:r>
    </w:p>
    <w:p>
      <w:pPr>
        <w:pStyle w:val="BodyText"/>
        <w:spacing w:line="237" w:lineRule="auto"/>
        <w:ind w:left="282" w:right="524"/>
        <w:jc w:val="both"/>
      </w:pPr>
      <w:r>
        <w:rPr>
          <w:i/>
        </w:rPr>
        <w:t>그림 4.6: EndorseRank, AWP에 대한 가족 수준 평균 Kendall τ 히트맵 및 일치하는 코호트(n = 5,521)의 보충 GF-PR. EndorseRank 수당 최고점, AWP 사회적 방법 간 이전 최고점, GF-PR 구성 중복을 통한 거래 결과 계열의 최고점.</w:t>
      </w:r>
    </w:p>
    <w:p>
      <w:pPr>
        <w:pStyle w:val="BodyText"/>
        <w:spacing w:before="56"/>
      </w:pPr>
    </w:p>
    <w:p>
      <w:pPr>
        <w:pStyle w:val="BodyText"/>
        <w:spacing w:line="456" w:lineRule="exact"/>
        <w:ind w:left="282" w:right="524"/>
        <w:jc w:val="both"/>
      </w:pPr>
      <w:r>
        <w:rPr/>
        <w:t>Claim</w:t>
      </w:r>
      <w:r>
        <w:rPr>
          <w:spacing w:val="-5"/>
        </w:rPr>
        <w:t> </w:t>
      </w:r>
      <w:r>
        <w:rPr/>
        <w:t>C2</w:t>
      </w:r>
      <w:r>
        <w:rPr>
          <w:spacing w:val="-5"/>
        </w:rPr>
        <w:t> </w:t>
      </w:r>
      <w:r>
        <w:rPr/>
        <w:t>is</w:t>
      </w:r>
      <w:r>
        <w:rPr>
          <w:spacing w:val="-5"/>
        </w:rPr>
        <w:t> </w:t>
      </w:r>
      <w:r>
        <w:rPr/>
        <w:t>supported</w:t>
      </w:r>
      <w:r>
        <w:rPr>
          <w:spacing w:val="-5"/>
        </w:rPr>
        <w:t> </w:t>
      </w:r>
      <w:r>
        <w:rPr/>
        <w:t>insofar</w:t>
      </w:r>
      <w:r>
        <w:rPr>
          <w:spacing w:val="-5"/>
        </w:rPr>
        <w:t> </w:t>
      </w:r>
      <w:r>
        <w:rPr/>
        <w:t>as</w:t>
      </w:r>
      <w:r>
        <w:rPr>
          <w:spacing w:val="-5"/>
        </w:rPr>
        <w:t> </w:t>
      </w:r>
      <w:r>
        <w:rPr/>
        <w:t>both</w:t>
      </w:r>
      <w:r>
        <w:rPr>
          <w:spacing w:val="-5"/>
        </w:rPr>
        <w:t> </w:t>
      </w:r>
      <w:r>
        <w:rPr/>
        <w:t>social</w:t>
      </w:r>
      <w:r>
        <w:rPr>
          <w:spacing w:val="-5"/>
        </w:rPr>
        <w:t> </w:t>
      </w:r>
      <w:r>
        <w:rPr/>
        <w:t>methods</w:t>
      </w:r>
      <w:r>
        <w:rPr>
          <w:spacing w:val="-5"/>
        </w:rPr>
        <w:t> </w:t>
      </w:r>
      <w:r>
        <w:rPr/>
        <w:t>achieve</w:t>
      </w:r>
      <w:r>
        <w:rPr>
          <w:spacing w:val="-5"/>
        </w:rPr>
        <w:t> </w:t>
      </w:r>
      <w:r>
        <w:rPr/>
        <w:t>non-negligible</w:t>
      </w:r>
      <w:r>
        <w:rPr>
          <w:spacing w:val="-5"/>
        </w:rPr>
        <w:t> </w:t>
      </w:r>
      <w:r>
        <w:rPr/>
        <w:t>alignment</w:t>
      </w:r>
      <w:r>
        <w:rPr>
          <w:spacing w:val="-5"/>
        </w:rPr>
        <w:t> </w:t>
      </w:r>
      <w:r>
        <w:rPr/>
        <w:t>on</w:t>
      </w:r>
      <w:r>
        <w:rPr>
          <w:spacing w:val="-5"/>
        </w:rPr>
        <w:t> </w:t>
      </w:r>
      <w:r>
        <w:rPr/>
        <w:t>at</w:t>
      </w:r>
      <w:r>
        <w:rPr>
          <w:spacing w:val="-5"/>
        </w:rPr>
        <w:t> </w:t>
      </w:r>
      <w:r>
        <w:rPr/>
        <w:t>least one primary construct:</w:t>
      </w:r>
      <w:r>
        <w:rPr>
          <w:spacing w:val="40"/>
        </w:rPr>
        <w:t> </w:t>
      </w:r>
      <w:r>
        <w:rPr/>
        <w:t>EndorseRank on allowance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35</w:t>
      </w:r>
      <w:r>
        <w:rPr/>
        <w:t>, at the lower edge of the </w:t>
      </w:r>
      <w:r>
        <w:rPr/>
        <w:t>substan-tively meaningful band defined in Chapter </w:t>
      </w:r>
      <w:hyperlink w:history="true" w:anchor="_bookmark17">
        <w:r>
          <w:rPr/>
          <w:t>2</w:t>
        </w:r>
      </w:hyperlink>
      <w:r>
        <w:rPr/>
        <w:t>), and AWP on transfer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w:t>
      </w:r>
      <w:r>
        <w:rPr/>
        <w:t>).</w:t>
      </w:r>
      <w:r>
        <w:rPr>
          <w:spacing w:val="40"/>
        </w:rPr>
        <w:t> </w:t>
      </w:r>
      <w:r>
        <w:rPr/>
        <w:t>Claim C3 is supported by the crossed pattern of family winners.</w:t>
      </w:r>
      <w:r>
        <w:rPr>
          <w:spacing w:val="40"/>
        </w:rPr>
        <w:t> </w:t>
      </w:r>
      <w:r>
        <w:rPr/>
        <w:t>No single social method dominates all fami-lies; alignment</w:t>
      </w:r>
      <w:r>
        <w:rPr>
          <w:spacing w:val="-2"/>
        </w:rPr>
        <w:t> </w:t>
      </w:r>
      <w:r>
        <w:rPr/>
        <w:t>is</w:t>
      </w:r>
      <w:r>
        <w:rPr>
          <w:spacing w:val="-2"/>
        </w:rPr>
        <w:t> </w:t>
      </w:r>
      <w:r>
        <w:rPr/>
        <w:t>construct-specific,</w:t>
      </w:r>
      <w:r>
        <w:rPr>
          <w:spacing w:val="-1"/>
        </w:rPr>
        <w:t> </w:t>
      </w:r>
      <w:r>
        <w:rPr/>
        <w:t>as</w:t>
      </w:r>
      <w:r>
        <w:rPr>
          <w:spacing w:val="-2"/>
        </w:rPr>
        <w:t> </w:t>
      </w:r>
      <w:r>
        <w:rPr/>
        <w:t>predicted</w:t>
      </w:r>
      <w:r>
        <w:rPr>
          <w:spacing w:val="-1"/>
        </w:rPr>
        <w:t> </w:t>
      </w:r>
      <w:r>
        <w:rPr/>
        <w:t>when</w:t>
      </w:r>
      <w:r>
        <w:rPr>
          <w:spacing w:val="-2"/>
        </w:rPr>
        <w:t> </w:t>
      </w:r>
      <w:r>
        <w:rPr/>
        <w:t>endorsement</w:t>
      </w:r>
      <w:r>
        <w:rPr>
          <w:spacing w:val="-2"/>
        </w:rPr>
        <w:t> </w:t>
      </w:r>
      <w:r>
        <w:rPr/>
        <w:t>and</w:t>
      </w:r>
      <w:r>
        <w:rPr>
          <w:spacing w:val="-1"/>
        </w:rPr>
        <w:t> </w:t>
      </w:r>
      <w:r>
        <w:rPr/>
        <w:t>transfer</w:t>
      </w:r>
      <w:r>
        <w:rPr>
          <w:spacing w:val="-2"/>
        </w:rPr>
        <w:t> </w:t>
      </w:r>
      <w:r>
        <w:rPr/>
        <w:t>encode</w:t>
      </w:r>
      <w:r>
        <w:rPr>
          <w:spacing w:val="-1"/>
        </w:rPr>
        <w:t> </w:t>
      </w:r>
      <w:r>
        <w:rPr/>
        <w:t>different</w:t>
      </w:r>
    </w:p>
    <w:p>
      <w:pPr>
        <w:pStyle w:val="BodyText"/>
        <w:spacing w:line="456" w:lineRule="exact"/>
        <w:ind w:left="282" w:right="524"/>
        <w:jc w:val="both"/>
      </w:pPr>
      <w:r>
        <w:rPr>
          <w:i/>
        </w:rPr>
        <w:t>주장 C2는 두 가지 사회적 방법이 적어도 하나의 기본 구성에서 무시할 수 없는 정렬을 달성하는 한 지원됩니다: 허용에 대한 EndorseRank(2장에서 정의된 실질적으로 의미 있는 대역의 하단 가장자리에서 τ ≒ 0.35) 및 전송에 대한 AWP(τ = 0.534). 주장 C3은 가족 승자의 교차 패턴에 의해 뒷받침됩니다. 단일한 사회적 방법이 모든 가족을 지배하지 않습니다. 보증 및 전송 인코딩이 다를 때 예상되는 것처럼 정렬은 구성에 따라 다릅니다.</w:t>
      </w:r>
    </w:p>
    <w:p>
      <w:pPr>
        <w:pStyle w:val="BodyText"/>
        <w:spacing w:after="0" w:line="456" w:lineRule="exact"/>
        <w:jc w:val="both"/>
        <w:sectPr>
          <w:type w:val="continuous"/>
          <w:pgSz w:w="11910" w:h="16840"/>
          <w:pgMar w:header="0" w:footer="2115" w:top="1920" w:bottom="280" w:left="992" w:right="708"/>
        </w:sectPr>
      </w:pPr>
    </w:p>
    <w:p>
      <w:pPr>
        <w:pStyle w:val="BodyText"/>
        <w:spacing w:before="72"/>
        <w:ind w:left="273"/>
        <w:jc w:val="both"/>
      </w:pPr>
      <w:r>
        <w:rPr/>
        <w:t>wallet</w:t>
      </w:r>
      <w:r>
        <w:rPr>
          <w:spacing w:val="-7"/>
        </w:rPr>
        <w:t> </w:t>
      </w:r>
      <w:r>
        <w:rPr>
          <w:spacing w:val="-2"/>
        </w:rPr>
        <w:t>relationships.</w:t>
      </w:r>
    </w:p>
    <w:p>
      <w:pPr>
        <w:pStyle w:val="BodyText"/>
        <w:spacing w:before="72"/>
        <w:ind w:left="273"/>
        <w:jc w:val="both"/>
      </w:pPr>
      <w:r>
        <w:rPr>
          <w:i/>
        </w:rPr>
        <w:t>지갑 관계.</w:t>
      </w:r>
    </w:p>
    <w:p>
      <w:pPr>
        <w:pStyle w:val="BodyText"/>
        <w:spacing w:line="388" w:lineRule="auto" w:before="194"/>
        <w:ind w:left="282" w:right="524"/>
        <w:jc w:val="both"/>
      </w:pPr>
      <w:r>
        <w:rPr/>
        <w:t>Reading</w:t>
      </w:r>
      <w:r>
        <w:rPr>
          <w:spacing w:val="-13"/>
        </w:rPr>
        <w:t> </w:t>
      </w:r>
      <w:r>
        <w:rPr/>
        <w:t>Table</w:t>
      </w:r>
      <w:r>
        <w:rPr>
          <w:spacing w:val="-13"/>
        </w:rPr>
        <w:t> </w:t>
      </w:r>
      <w:hyperlink w:history="true" w:anchor="_bookmark101">
        <w:r>
          <w:rPr/>
          <w:t>4.7</w:t>
        </w:r>
      </w:hyperlink>
      <w:r>
        <w:rPr>
          <w:spacing w:val="-12"/>
        </w:rPr>
        <w:t> </w:t>
      </w:r>
      <w:r>
        <w:rPr/>
        <w:t>requires</w:t>
      </w:r>
      <w:r>
        <w:rPr>
          <w:spacing w:val="-13"/>
        </w:rPr>
        <w:t> </w:t>
      </w:r>
      <w:r>
        <w:rPr/>
        <w:t>care</w:t>
      </w:r>
      <w:r>
        <w:rPr>
          <w:spacing w:val="-12"/>
        </w:rPr>
        <w:t> </w:t>
      </w:r>
      <w:r>
        <w:rPr/>
        <w:t>on</w:t>
      </w:r>
      <w:r>
        <w:rPr>
          <w:spacing w:val="-12"/>
        </w:rPr>
        <w:t> </w:t>
      </w:r>
      <w:r>
        <w:rPr/>
        <w:t>two</w:t>
      </w:r>
      <w:r>
        <w:rPr>
          <w:spacing w:val="-12"/>
        </w:rPr>
        <w:t> </w:t>
      </w:r>
      <w:r>
        <w:rPr/>
        <w:t>points.</w:t>
      </w:r>
      <w:r>
        <w:rPr>
          <w:spacing w:val="10"/>
        </w:rPr>
        <w:t> </w:t>
      </w:r>
      <w:r>
        <w:rPr/>
        <w:t>First,</w:t>
      </w:r>
      <w:r>
        <w:rPr>
          <w:spacing w:val="-11"/>
        </w:rPr>
        <w:t> </w:t>
      </w:r>
      <w:r>
        <w:rPr/>
        <w:t>family</w:t>
      </w:r>
      <w:r>
        <w:rPr>
          <w:spacing w:val="-12"/>
        </w:rPr>
        <w:t> </w:t>
      </w:r>
      <w:r>
        <w:rPr/>
        <w:t>means</w:t>
      </w:r>
      <w:r>
        <w:rPr>
          <w:spacing w:val="-12"/>
        </w:rPr>
        <w:t> </w:t>
      </w:r>
      <w:r>
        <w:rPr/>
        <w:t>average</w:t>
      </w:r>
      <w:r>
        <w:rPr>
          <w:spacing w:val="-12"/>
        </w:rPr>
        <w:t> </w:t>
      </w:r>
      <w:r>
        <w:rPr/>
        <w:t>heterogeneous</w:t>
      </w:r>
      <w:r>
        <w:rPr>
          <w:spacing w:val="-12"/>
        </w:rPr>
        <w:t> </w:t>
      </w:r>
      <w:r>
        <w:rPr/>
        <w:t>proxies; a</w:t>
      </w:r>
      <w:r>
        <w:rPr>
          <w:spacing w:val="-15"/>
        </w:rPr>
        <w:t> </w:t>
      </w:r>
      <w:r>
        <w:rPr/>
        <w:t>method</w:t>
      </w:r>
      <w:r>
        <w:rPr>
          <w:spacing w:val="-15"/>
        </w:rPr>
        <w:t> </w:t>
      </w:r>
      <w:r>
        <w:rPr/>
        <w:t>can</w:t>
      </w:r>
      <w:r>
        <w:rPr>
          <w:spacing w:val="-15"/>
        </w:rPr>
        <w:t> </w:t>
      </w:r>
      <w:r>
        <w:rPr/>
        <w:t>lead</w:t>
      </w:r>
      <w:r>
        <w:rPr>
          <w:spacing w:val="-15"/>
        </w:rPr>
        <w:t> </w:t>
      </w:r>
      <w:r>
        <w:rPr/>
        <w:t>on</w:t>
      </w:r>
      <w:r>
        <w:rPr>
          <w:spacing w:val="-15"/>
        </w:rPr>
        <w:t> </w:t>
      </w:r>
      <w:r>
        <w:rPr/>
        <w:t>a</w:t>
      </w:r>
      <w:r>
        <w:rPr>
          <w:spacing w:val="-15"/>
        </w:rPr>
        <w:t> </w:t>
      </w:r>
      <w:r>
        <w:rPr/>
        <w:t>family</w:t>
      </w:r>
      <w:r>
        <w:rPr>
          <w:spacing w:val="-15"/>
        </w:rPr>
        <w:t> </w:t>
      </w:r>
      <w:r>
        <w:rPr/>
        <w:t>mean</w:t>
      </w:r>
      <w:r>
        <w:rPr>
          <w:spacing w:val="-15"/>
        </w:rPr>
        <w:t> </w:t>
      </w:r>
      <w:r>
        <w:rPr/>
        <w:t>while</w:t>
      </w:r>
      <w:r>
        <w:rPr>
          <w:spacing w:val="-15"/>
        </w:rPr>
        <w:t> </w:t>
      </w:r>
      <w:r>
        <w:rPr/>
        <w:t>trailing</w:t>
      </w:r>
      <w:r>
        <w:rPr>
          <w:spacing w:val="-15"/>
        </w:rPr>
        <w:t> </w:t>
      </w:r>
      <w:r>
        <w:rPr/>
        <w:t>on</w:t>
      </w:r>
      <w:r>
        <w:rPr>
          <w:spacing w:val="-15"/>
        </w:rPr>
        <w:t> </w:t>
      </w:r>
      <w:r>
        <w:rPr/>
        <w:t>an</w:t>
      </w:r>
      <w:r>
        <w:rPr>
          <w:spacing w:val="-15"/>
        </w:rPr>
        <w:t> </w:t>
      </w:r>
      <w:r>
        <w:rPr/>
        <w:t>individual</w:t>
      </w:r>
      <w:r>
        <w:rPr>
          <w:spacing w:val="-15"/>
        </w:rPr>
        <w:t> </w:t>
      </w:r>
      <w:r>
        <w:rPr/>
        <w:t>proxy,</w:t>
      </w:r>
      <w:r>
        <w:rPr>
          <w:spacing w:val="-13"/>
        </w:rPr>
        <w:t> </w:t>
      </w:r>
      <w:r>
        <w:rPr/>
        <w:t>or</w:t>
      </w:r>
      <w:r>
        <w:rPr>
          <w:spacing w:val="-15"/>
        </w:rPr>
        <w:t> </w:t>
      </w:r>
      <w:r>
        <w:rPr/>
        <w:t>vice</w:t>
      </w:r>
      <w:r>
        <w:rPr>
          <w:spacing w:val="-15"/>
        </w:rPr>
        <w:t> </w:t>
      </w:r>
      <w:r>
        <w:rPr/>
        <w:t>versa.</w:t>
      </w:r>
      <w:r>
        <w:rPr>
          <w:spacing w:val="12"/>
        </w:rPr>
        <w:t> </w:t>
      </w:r>
      <w:r>
        <w:rPr/>
        <w:t>Section</w:t>
      </w:r>
      <w:r>
        <w:rPr>
          <w:spacing w:val="-15"/>
        </w:rPr>
        <w:t> </w:t>
      </w:r>
      <w:hyperlink w:history="true" w:anchor="_bookmark103">
        <w:r>
          <w:rPr/>
          <w:t>4.5</w:t>
        </w:r>
      </w:hyperlink>
      <w:r>
        <w:rPr/>
        <w:t> therefore</w:t>
      </w:r>
      <w:r>
        <w:rPr>
          <w:spacing w:val="-7"/>
        </w:rPr>
        <w:t> </w:t>
      </w:r>
      <w:r>
        <w:rPr/>
        <w:t>reports</w:t>
      </w:r>
      <w:r>
        <w:rPr>
          <w:spacing w:val="-7"/>
        </w:rPr>
        <w:t> </w:t>
      </w:r>
      <w:r>
        <w:rPr/>
        <w:t>per-proxy</w:t>
      </w:r>
      <w:r>
        <w:rPr>
          <w:spacing w:val="-7"/>
        </w:rPr>
        <w:t> </w:t>
      </w:r>
      <w:r>
        <w:rPr>
          <w:rFonts w:ascii="Calibri" w:hAnsi="Calibri"/>
          <w:i/>
        </w:rPr>
        <w:t>ρ</w:t>
      </w:r>
      <w:r>
        <w:rPr>
          <w:rFonts w:ascii="Calibri" w:hAnsi="Calibri"/>
          <w:i/>
          <w:spacing w:val="-1"/>
        </w:rPr>
        <w:t> </w:t>
      </w:r>
      <w:r>
        <w:rPr/>
        <w:t>and</w:t>
      </w:r>
      <w:r>
        <w:rPr>
          <w:spacing w:val="-7"/>
        </w:rPr>
        <w:t> </w:t>
      </w:r>
      <w:r>
        <w:rPr>
          <w:rFonts w:ascii="Calibri" w:hAnsi="Calibri"/>
          <w:i/>
        </w:rPr>
        <w:t>τ</w:t>
      </w:r>
      <w:r>
        <w:rPr>
          <w:rFonts w:ascii="Calibri" w:hAnsi="Calibri"/>
          <w:i/>
          <w:spacing w:val="24"/>
        </w:rPr>
        <w:t> </w:t>
      </w:r>
      <w:r>
        <w:rPr/>
        <w:t>so</w:t>
      </w:r>
      <w:r>
        <w:rPr>
          <w:spacing w:val="-7"/>
        </w:rPr>
        <w:t> </w:t>
      </w:r>
      <w:r>
        <w:rPr/>
        <w:t>that</w:t>
      </w:r>
      <w:r>
        <w:rPr>
          <w:spacing w:val="-7"/>
        </w:rPr>
        <w:t> </w:t>
      </w:r>
      <w:r>
        <w:rPr/>
        <w:t>readers</w:t>
      </w:r>
      <w:r>
        <w:rPr>
          <w:spacing w:val="-7"/>
        </w:rPr>
        <w:t> </w:t>
      </w:r>
      <w:r>
        <w:rPr/>
        <w:t>can</w:t>
      </w:r>
      <w:r>
        <w:rPr>
          <w:spacing w:val="-7"/>
        </w:rPr>
        <w:t> </w:t>
      </w:r>
      <w:r>
        <w:rPr/>
        <w:t>audit</w:t>
      </w:r>
      <w:r>
        <w:rPr>
          <w:spacing w:val="-7"/>
        </w:rPr>
        <w:t> </w:t>
      </w:r>
      <w:r>
        <w:rPr/>
        <w:t>the</w:t>
      </w:r>
      <w:r>
        <w:rPr>
          <w:spacing w:val="-7"/>
        </w:rPr>
        <w:t> </w:t>
      </w:r>
      <w:r>
        <w:rPr/>
        <w:t>means. Second,</w:t>
      </w:r>
      <w:r>
        <w:rPr>
          <w:spacing w:val="-6"/>
        </w:rPr>
        <w:t> </w:t>
      </w:r>
      <w:r>
        <w:rPr/>
        <w:t>primary-construct correlations</w:t>
      </w:r>
      <w:r>
        <w:rPr>
          <w:spacing w:val="-11"/>
        </w:rPr>
        <w:t> </w:t>
      </w:r>
      <w:r>
        <w:rPr/>
        <w:t>(EndorseRank</w:t>
      </w:r>
      <w:r>
        <w:rPr>
          <w:spacing w:val="-11"/>
        </w:rPr>
        <w:t> </w:t>
      </w:r>
      <w:r>
        <w:rPr/>
        <w:t>with</w:t>
      </w:r>
      <w:r>
        <w:rPr>
          <w:spacing w:val="-11"/>
        </w:rPr>
        <w:t> </w:t>
      </w:r>
      <w:r>
        <w:rPr/>
        <w:t>allowance;</w:t>
      </w:r>
      <w:r>
        <w:rPr>
          <w:spacing w:val="-9"/>
        </w:rPr>
        <w:t> </w:t>
      </w:r>
      <w:r>
        <w:rPr/>
        <w:t>AWP</w:t>
      </w:r>
      <w:r>
        <w:rPr>
          <w:spacing w:val="-11"/>
        </w:rPr>
        <w:t> </w:t>
      </w:r>
      <w:r>
        <w:rPr/>
        <w:t>with</w:t>
      </w:r>
      <w:r>
        <w:rPr>
          <w:spacing w:val="-11"/>
        </w:rPr>
        <w:t> </w:t>
      </w:r>
      <w:r>
        <w:rPr/>
        <w:t>transfer)</w:t>
      </w:r>
      <w:r>
        <w:rPr>
          <w:spacing w:val="-11"/>
        </w:rPr>
        <w:t> </w:t>
      </w:r>
      <w:r>
        <w:rPr/>
        <w:t>are</w:t>
      </w:r>
      <w:r>
        <w:rPr>
          <w:spacing w:val="-11"/>
        </w:rPr>
        <w:t> </w:t>
      </w:r>
      <w:r>
        <w:rPr/>
        <w:t>necessary</w:t>
      </w:r>
      <w:r>
        <w:rPr>
          <w:spacing w:val="-11"/>
        </w:rPr>
        <w:t> </w:t>
      </w:r>
      <w:r>
        <w:rPr/>
        <w:t>but</w:t>
      </w:r>
      <w:r>
        <w:rPr>
          <w:spacing w:val="-11"/>
        </w:rPr>
        <w:t> </w:t>
      </w:r>
      <w:r>
        <w:rPr/>
        <w:t>not</w:t>
      </w:r>
      <w:r>
        <w:rPr>
          <w:spacing w:val="-11"/>
        </w:rPr>
        <w:t> </w:t>
      </w:r>
      <w:r>
        <w:rPr/>
        <w:t>sufficient</w:t>
      </w:r>
      <w:r>
        <w:rPr>
          <w:spacing w:val="-11"/>
        </w:rPr>
        <w:t> </w:t>
      </w:r>
      <w:r>
        <w:rPr/>
        <w:t>for a reputation method’s usefulness.</w:t>
      </w:r>
      <w:r>
        <w:rPr>
          <w:spacing w:val="40"/>
        </w:rPr>
        <w:t> </w:t>
      </w:r>
      <w:r>
        <w:rPr/>
        <w:t>They confirm that PageRank recovers the graph signal it was given.</w:t>
      </w:r>
      <w:r>
        <w:rPr>
          <w:spacing w:val="14"/>
        </w:rPr>
        <w:t> </w:t>
      </w:r>
      <w:r>
        <w:rPr/>
        <w:t>External</w:t>
      </w:r>
      <w:r>
        <w:rPr>
          <w:spacing w:val="-8"/>
        </w:rPr>
        <w:t> </w:t>
      </w:r>
      <w:r>
        <w:rPr/>
        <w:t>usefulness</w:t>
      </w:r>
      <w:r>
        <w:rPr>
          <w:spacing w:val="-9"/>
        </w:rPr>
        <w:t> </w:t>
      </w:r>
      <w:r>
        <w:rPr/>
        <w:t>depends</w:t>
      </w:r>
      <w:r>
        <w:rPr>
          <w:spacing w:val="-9"/>
        </w:rPr>
        <w:t> </w:t>
      </w:r>
      <w:r>
        <w:rPr/>
        <w:t>on</w:t>
      </w:r>
      <w:r>
        <w:rPr>
          <w:spacing w:val="-9"/>
        </w:rPr>
        <w:t> </w:t>
      </w:r>
      <w:r>
        <w:rPr/>
        <w:t>secondary</w:t>
      </w:r>
      <w:r>
        <w:rPr>
          <w:spacing w:val="-8"/>
        </w:rPr>
        <w:t> </w:t>
      </w:r>
      <w:r>
        <w:rPr/>
        <w:t>axes—whether</w:t>
      </w:r>
      <w:r>
        <w:rPr>
          <w:spacing w:val="-8"/>
        </w:rPr>
        <w:t> </w:t>
      </w:r>
      <w:r>
        <w:rPr/>
        <w:t>endorsement</w:t>
      </w:r>
      <w:r>
        <w:rPr>
          <w:spacing w:val="-8"/>
        </w:rPr>
        <w:t> </w:t>
      </w:r>
      <w:r>
        <w:rPr/>
        <w:t>rankings</w:t>
      </w:r>
      <w:r>
        <w:rPr>
          <w:spacing w:val="-9"/>
        </w:rPr>
        <w:t> </w:t>
      </w:r>
      <w:r>
        <w:rPr/>
        <w:t>also</w:t>
      </w:r>
      <w:r>
        <w:rPr>
          <w:spacing w:val="-8"/>
        </w:rPr>
        <w:t> </w:t>
      </w:r>
      <w:r>
        <w:rPr/>
        <w:t>relate to transfer activity, trading outcomes, or stability—and on whether those secondary relationships are strong enough for a deployment context.</w:t>
      </w:r>
      <w:r>
        <w:rPr>
          <w:spacing w:val="40"/>
        </w:rPr>
        <w:t> </w:t>
      </w:r>
      <w:r>
        <w:rPr/>
        <w:t>EndorseRank’s moderate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333 </w:t>
      </w:r>
      <w:r>
        <w:rPr/>
        <w:t>is en-couraging</w:t>
      </w:r>
      <w:r>
        <w:rPr>
          <w:spacing w:val="-6"/>
        </w:rPr>
        <w:t> </w:t>
      </w:r>
      <w:r>
        <w:rPr/>
        <w:t>as</w:t>
      </w:r>
      <w:r>
        <w:rPr>
          <w:spacing w:val="-6"/>
        </w:rPr>
        <w:t> </w:t>
      </w:r>
      <w:r>
        <w:rPr/>
        <w:t>a</w:t>
      </w:r>
      <w:r>
        <w:rPr>
          <w:spacing w:val="-5"/>
        </w:rPr>
        <w:t> </w:t>
      </w:r>
      <w:r>
        <w:rPr/>
        <w:t>secondary</w:t>
      </w:r>
      <w:r>
        <w:rPr>
          <w:spacing w:val="-5"/>
        </w:rPr>
        <w:t> </w:t>
      </w:r>
      <w:r>
        <w:rPr/>
        <w:t>axis;</w:t>
      </w:r>
      <w:r>
        <w:rPr>
          <w:spacing w:val="-4"/>
        </w:rPr>
        <w:t> </w:t>
      </w:r>
      <w:r>
        <w:rPr/>
        <w:t>its</w:t>
      </w:r>
      <w:r>
        <w:rPr>
          <w:spacing w:val="-6"/>
        </w:rPr>
        <w:t> </w:t>
      </w:r>
      <w:r>
        <w:rPr/>
        <w:t>weak</w:t>
      </w:r>
      <w:r>
        <w:rPr>
          <w:spacing w:val="-5"/>
        </w:rPr>
        <w:t> </w:t>
      </w:r>
      <w:r>
        <w:rPr/>
        <w:t>trading-success</w:t>
      </w:r>
      <w:r>
        <w:rPr>
          <w:spacing w:val="-5"/>
        </w:rPr>
        <w:t> </w:t>
      </w:r>
      <w:r>
        <w:rPr>
          <w:rFonts w:ascii="Calibri" w:hAnsi="Calibri"/>
          <w:i/>
        </w:rPr>
        <w:t>τ</w:t>
      </w:r>
      <w:r>
        <w:rPr>
          <w:rFonts w:ascii="Calibri" w:hAnsi="Calibri"/>
          <w:i/>
          <w:spacing w:val="25"/>
          <w:w w:val="125"/>
        </w:rPr>
        <w:t> </w:t>
      </w:r>
      <w:r>
        <w:rPr>
          <w:rFonts w:ascii="Calibri" w:hAnsi="Calibri"/>
          <w:w w:val="125"/>
        </w:rPr>
        <w:t>=</w:t>
      </w:r>
      <w:r>
        <w:rPr>
          <w:rFonts w:ascii="Calibri" w:hAnsi="Calibri"/>
          <w:spacing w:val="-2"/>
          <w:w w:val="125"/>
        </w:rPr>
        <w:t> </w:t>
      </w:r>
      <w:r>
        <w:rPr>
          <w:rFonts w:ascii="Calibri" w:hAnsi="Calibri"/>
        </w:rPr>
        <w:t>0</w:t>
      </w:r>
      <w:r>
        <w:rPr>
          <w:rFonts w:ascii="Calibri" w:hAnsi="Calibri"/>
          <w:i/>
        </w:rPr>
        <w:t>.</w:t>
      </w:r>
      <w:r>
        <w:rPr>
          <w:rFonts w:ascii="Calibri" w:hAnsi="Calibri"/>
        </w:rPr>
        <w:t>096 </w:t>
      </w:r>
      <w:r>
        <w:rPr/>
        <w:t>is</w:t>
      </w:r>
      <w:r>
        <w:rPr>
          <w:spacing w:val="-6"/>
        </w:rPr>
        <w:t> </w:t>
      </w:r>
      <w:r>
        <w:rPr/>
        <w:t>a</w:t>
      </w:r>
      <w:r>
        <w:rPr>
          <w:spacing w:val="-5"/>
        </w:rPr>
        <w:t> </w:t>
      </w:r>
      <w:r>
        <w:rPr/>
        <w:t>limitation</w:t>
      </w:r>
      <w:r>
        <w:rPr>
          <w:spacing w:val="-5"/>
        </w:rPr>
        <w:t> </w:t>
      </w:r>
      <w:r>
        <w:rPr/>
        <w:t>for</w:t>
      </w:r>
      <w:r>
        <w:rPr>
          <w:spacing w:val="-5"/>
        </w:rPr>
        <w:t> </w:t>
      </w:r>
      <w:r>
        <w:rPr/>
        <w:t>protocols</w:t>
      </w:r>
      <w:r>
        <w:rPr>
          <w:spacing w:val="-6"/>
        </w:rPr>
        <w:t> </w:t>
      </w:r>
      <w:r>
        <w:rPr/>
        <w:t>that hoped allowance endorsement would double as a trading-skill score.</w:t>
      </w:r>
    </w:p>
    <w:p>
      <w:pPr>
        <w:pStyle w:val="BodyText"/>
        <w:spacing w:line="388" w:lineRule="auto" w:before="194"/>
        <w:ind w:left="282" w:right="524"/>
        <w:jc w:val="both"/>
      </w:pPr>
      <w:r>
        <w:rPr>
          <w:i/>
        </w:rPr>
        <w:t>표 4.7을 읽으려면 두 가지 점에 주의가 필요합니다. 첫째, 가족은 평균 이종 프록시를 의미합니다. 방법은 개별 프록시를 추적하면서 가족 평균을 이끌거나 그 반대일 수 있습니다. 따라서 섹션 4.5에서는 독자가 수단을 감사할 수 있도록 프록시별 ρ 및 τ를 보고합니다. 둘째, 기본 구성 상관관계(수당이 있는 EndorseRank, 이전이 있는 AWP)는 필요하지만 평판 방법의 유용성에 충분하지는 않습니다. 그들은 PageRank가 주어진 그래프 신호를 복구한다는 것을 확인했습니다. 외부 유용성은 보조 축(보증 순위가 이전 활동, 거래 결과 또는 안정성과도 관련되어 있는지 여부)과 이러한 보조 관계가 배포 상황에 대해 충분히 강력한지 여부에 따라 달라집니다. EndorseRank의 중간 전송 τ = 0.333은 보조 축으로 고무적이며, 약한 거래 성공 τ = 0.096은 허용 승인이 거래 기술 점수로 두 배가 되기를 희망하는 프로토콜에 대한 제한 사항입니다.</w:t>
      </w:r>
    </w:p>
    <w:p>
      <w:pPr>
        <w:pStyle w:val="BodyText"/>
        <w:spacing w:line="396" w:lineRule="auto" w:before="26"/>
        <w:ind w:left="282" w:right="524" w:hanging="8"/>
        <w:jc w:val="both"/>
      </w:pPr>
      <w:r>
        <w:rPr/>
        <w:t>The</w:t>
      </w:r>
      <w:r>
        <w:rPr>
          <w:spacing w:val="-15"/>
        </w:rPr>
        <w:t> </w:t>
      </w:r>
      <w:r>
        <w:rPr/>
        <w:t>exported</w:t>
      </w:r>
      <w:r>
        <w:rPr>
          <w:spacing w:val="-15"/>
        </w:rPr>
        <w:t> </w:t>
      </w:r>
      <w:r>
        <w:rPr/>
        <w:t>summary</w:t>
      </w:r>
      <w:r>
        <w:rPr>
          <w:spacing w:val="-15"/>
        </w:rPr>
        <w:t> </w:t>
      </w:r>
      <w:r>
        <w:rPr/>
        <w:t>also</w:t>
      </w:r>
      <w:r>
        <w:rPr>
          <w:spacing w:val="-15"/>
        </w:rPr>
        <w:t> </w:t>
      </w:r>
      <w:r>
        <w:rPr/>
        <w:t>includes</w:t>
      </w:r>
      <w:r>
        <w:rPr>
          <w:spacing w:val="-15"/>
        </w:rPr>
        <w:t> </w:t>
      </w:r>
      <w:r>
        <w:rPr/>
        <w:t>a</w:t>
      </w:r>
      <w:r>
        <w:rPr>
          <w:spacing w:val="-15"/>
        </w:rPr>
        <w:t> </w:t>
      </w:r>
      <w:r>
        <w:rPr/>
        <w:t>liquidation-related</w:t>
      </w:r>
      <w:r>
        <w:rPr>
          <w:spacing w:val="-15"/>
        </w:rPr>
        <w:t> </w:t>
      </w:r>
      <w:r>
        <w:rPr/>
        <w:t>column</w:t>
      </w:r>
      <w:r>
        <w:rPr>
          <w:spacing w:val="-15"/>
        </w:rPr>
        <w:t> </w:t>
      </w:r>
      <w:r>
        <w:rPr/>
        <w:t>and</w:t>
      </w:r>
      <w:r>
        <w:rPr>
          <w:spacing w:val="-15"/>
        </w:rPr>
        <w:t> </w:t>
      </w:r>
      <w:r>
        <w:rPr/>
        <w:t>the</w:t>
      </w:r>
      <w:r>
        <w:rPr>
          <w:spacing w:val="-15"/>
        </w:rPr>
        <w:t> </w:t>
      </w:r>
      <w:r>
        <w:rPr/>
        <w:t>GF-PR</w:t>
      </w:r>
      <w:r>
        <w:rPr>
          <w:spacing w:val="-15"/>
        </w:rPr>
        <w:t> </w:t>
      </w:r>
      <w:r>
        <w:rPr/>
        <w:t>row.</w:t>
      </w:r>
      <w:r>
        <w:rPr>
          <w:spacing w:val="-15"/>
        </w:rPr>
        <w:t> </w:t>
      </w:r>
      <w:r>
        <w:rPr/>
        <w:t>Liquidation-family means are low for both social methods and are not the focus of Claims C2–C3; they are retained for completeness with the evaluation pipeline.</w:t>
      </w:r>
      <w:r>
        <w:rPr>
          <w:spacing w:val="40"/>
        </w:rPr>
        <w:t> </w:t>
      </w:r>
      <w:r>
        <w:rPr/>
        <w:t>GF-PR’s outcome-family dominance is discussed only in Section </w:t>
      </w:r>
      <w:hyperlink w:history="true" w:anchor="_bookmark112">
        <w:r>
          <w:rPr/>
          <w:t>4.7</w:t>
        </w:r>
      </w:hyperlink>
      <w:r>
        <w:rPr/>
        <w:t>.</w:t>
      </w:r>
      <w:r>
        <w:rPr>
          <w:spacing w:val="40"/>
        </w:rPr>
        <w:t> </w:t>
      </w:r>
      <w:r>
        <w:rPr/>
        <w:t>The primary narrative of this section is the EndorseRank–AWP contrast across transfer, allowance, inverse risk, Sybil-adjusted stability, and trading success.</w:t>
      </w:r>
    </w:p>
    <w:p>
      <w:pPr>
        <w:pStyle w:val="BodyText"/>
        <w:spacing w:line="396" w:lineRule="auto" w:before="26"/>
        <w:ind w:left="282" w:right="524" w:hanging="8"/>
        <w:jc w:val="both"/>
      </w:pPr>
      <w:r>
        <w:rPr>
          <w:i/>
        </w:rPr>
        <w:t>내보낸 요약에는 청산 관련 열과 GF-PR 행도 포함됩니다. 청산 계열 수단은 두 가지 사회적 방법 모두에 대해 낮으며 청구 C2-C3의 초점이 아니며 평가 파이프라인의 완전성을 위해 유지됩니다. GF-PR의 결과 계열 지배력은 섹션 4.7에서만 논의됩니다. 이 섹션의 기본 설명은 이체, 허용, 역위험, Sybil 조정 안정성 및 거래 성공에 대한 EndorseRank–AWP 대비입니다.</w:t>
      </w:r>
    </w:p>
    <w:p>
      <w:pPr>
        <w:pStyle w:val="BodyText"/>
        <w:spacing w:line="396" w:lineRule="auto" w:before="19"/>
        <w:ind w:left="282" w:right="524"/>
        <w:jc w:val="both"/>
      </w:pPr>
      <w:r>
        <w:rPr/>
        <w:t>Per-proxy detail for each family appears in Section </w:t>
      </w:r>
      <w:hyperlink w:history="true" w:anchor="_bookmark103">
        <w:r>
          <w:rPr/>
          <w:t>4.5</w:t>
        </w:r>
      </w:hyperlink>
      <w:r>
        <w:rPr/>
        <w:t>.</w:t>
      </w:r>
      <w:r>
        <w:rPr>
          <w:spacing w:val="40"/>
        </w:rPr>
        <w:t> </w:t>
      </w:r>
      <w:r>
        <w:rPr/>
        <w:t>Inter-method divergence between En-</w:t>
      </w:r>
      <w:bookmarkStart w:name="Proxy family detail" w:id="183"/>
      <w:bookmarkEnd w:id="183"/>
      <w:r>
        <w:rPr>
          <w:w w:val="99"/>
        </w:rPr>
      </w:r>
      <w:bookmarkStart w:name="_bookmark103" w:id="184"/>
      <w:bookmarkEnd w:id="184"/>
      <w:r>
        <w:rPr/>
        <w:t>dorseRank</w:t>
      </w:r>
      <w:r>
        <w:rPr/>
        <w:t> and AWP score vectors is quantified in Section </w:t>
      </w:r>
      <w:hyperlink w:history="true" w:anchor="_bookmark109">
        <w:r>
          <w:rPr/>
          <w:t>4.6</w:t>
        </w:r>
      </w:hyperlink>
      <w:r>
        <w:rPr/>
        <w:t>.</w:t>
      </w:r>
    </w:p>
    <w:p>
      <w:pPr>
        <w:pStyle w:val="BodyText"/>
        <w:spacing w:line="396" w:lineRule="auto" w:before="19"/>
        <w:ind w:left="282" w:right="524"/>
        <w:jc w:val="both"/>
      </w:pPr>
      <w:r>
        <w:rPr>
          <w:i/>
        </w:rPr>
        <w:t>각 제품군에 대한 프록시별 세부 정보는 섹션 4.5에 나와 있습니다. En-dorseRank와 AWP 점수 벡터 간의 방법 간 차이는 섹션 4.6에서 정량화됩니다.</w:t>
      </w:r>
    </w:p>
    <w:p>
      <w:pPr>
        <w:pStyle w:val="BodyText"/>
        <w:spacing w:before="160"/>
      </w:pPr>
    </w:p>
    <w:p>
      <w:pPr>
        <w:pStyle w:val="Heading2"/>
        <w:numPr>
          <w:ilvl w:val="1"/>
          <w:numId w:val="8"/>
        </w:numPr>
        <w:tabs>
          <w:tab w:pos="783" w:val="left" w:leader="none"/>
        </w:tabs>
        <w:spacing w:line="240" w:lineRule="auto" w:before="0" w:after="0"/>
        <w:ind w:left="783" w:right="0" w:hanging="501"/>
        <w:jc w:val="left"/>
      </w:pPr>
      <w:r>
        <w:rPr/>
        <w:t>Proxy</w:t>
      </w:r>
      <w:r>
        <w:rPr>
          <w:spacing w:val="12"/>
        </w:rPr>
        <w:t> </w:t>
      </w:r>
      <w:r>
        <w:rPr/>
        <w:t>family</w:t>
      </w:r>
      <w:r>
        <w:rPr>
          <w:spacing w:val="13"/>
        </w:rPr>
        <w:t> </w:t>
      </w:r>
      <w:r>
        <w:rPr>
          <w:spacing w:val="-2"/>
        </w:rPr>
        <w:t>detail</w:t>
      </w:r>
    </w:p>
    <w:p>
      <w:pPr>
        <w:pStyle w:val="Heading2"/>
        <w:numPr>
          <w:ilvl w:val="1"/>
          <w:numId w:val="8"/>
        </w:numPr>
        <w:tabs>
          <w:tab w:pos="783" w:val="left" w:leader="none"/>
        </w:tabs>
        <w:spacing w:line="240" w:lineRule="auto" w:before="0" w:after="0"/>
        <w:ind w:left="783" w:right="0" w:hanging="501"/>
        <w:jc w:val="left"/>
      </w:pPr>
      <w:r>
        <w:rPr>
          <w:i/>
        </w:rPr>
        <w:t>프록시 제품군 세부정보</w:t>
      </w:r>
    </w:p>
    <w:p>
      <w:pPr>
        <w:pStyle w:val="BodyText"/>
        <w:spacing w:before="20"/>
        <w:rPr>
          <w:b/>
          <w:sz w:val="28"/>
        </w:rPr>
      </w:pPr>
    </w:p>
    <w:p>
      <w:pPr>
        <w:pStyle w:val="BodyText"/>
        <w:spacing w:line="391" w:lineRule="auto"/>
        <w:ind w:left="282" w:right="564" w:hanging="8"/>
        <w:jc w:val="both"/>
      </w:pPr>
      <w:r>
        <w:rPr/>
        <w:t>The following subsections report Spearman </w:t>
      </w:r>
      <w:r>
        <w:rPr>
          <w:rFonts w:ascii="Calibri" w:hAnsi="Calibri"/>
          <w:i/>
        </w:rPr>
        <w:t>ρ </w:t>
      </w:r>
      <w:r>
        <w:rPr/>
        <w:t>and Kendall </w:t>
      </w:r>
      <w:r>
        <w:rPr>
          <w:rFonts w:ascii="Calibri" w:hAnsi="Calibri"/>
          <w:i/>
        </w:rPr>
        <w:t>τ</w:t>
      </w:r>
      <w:r>
        <w:rPr>
          <w:rFonts w:ascii="Calibri" w:hAnsi="Calibri"/>
          <w:i/>
          <w:spacing w:val="38"/>
        </w:rPr>
        <w:t> </w:t>
      </w:r>
      <w:r>
        <w:rPr/>
        <w:t>for each proxy within family.</w:t>
      </w:r>
      <w:r>
        <w:rPr>
          <w:spacing w:val="40"/>
        </w:rPr>
        <w:t> </w:t>
      </w:r>
      <w:r>
        <w:rPr/>
        <w:t>Each family</w:t>
      </w:r>
      <w:r>
        <w:rPr>
          <w:spacing w:val="-5"/>
        </w:rPr>
        <w:t> </w:t>
      </w:r>
      <w:r>
        <w:rPr/>
        <w:t>is</w:t>
      </w:r>
      <w:r>
        <w:rPr>
          <w:spacing w:val="-5"/>
        </w:rPr>
        <w:t> </w:t>
      </w:r>
      <w:r>
        <w:rPr/>
        <w:t>interpreted</w:t>
      </w:r>
      <w:r>
        <w:rPr>
          <w:spacing w:val="-5"/>
        </w:rPr>
        <w:t> </w:t>
      </w:r>
      <w:r>
        <w:rPr/>
        <w:t>first</w:t>
      </w:r>
      <w:r>
        <w:rPr>
          <w:spacing w:val="-5"/>
        </w:rPr>
        <w:t> </w:t>
      </w:r>
      <w:r>
        <w:rPr/>
        <w:t>for</w:t>
      </w:r>
      <w:r>
        <w:rPr>
          <w:spacing w:val="-5"/>
        </w:rPr>
        <w:t> </w:t>
      </w:r>
      <w:r>
        <w:rPr/>
        <w:t>the</w:t>
      </w:r>
      <w:r>
        <w:rPr>
          <w:spacing w:val="-5"/>
        </w:rPr>
        <w:t> </w:t>
      </w:r>
      <w:r>
        <w:rPr/>
        <w:t>primary</w:t>
      </w:r>
      <w:r>
        <w:rPr>
          <w:spacing w:val="-5"/>
        </w:rPr>
        <w:t> </w:t>
      </w:r>
      <w:r>
        <w:rPr/>
        <w:t>EndorseRank–AWP</w:t>
      </w:r>
      <w:r>
        <w:rPr>
          <w:spacing w:val="-5"/>
        </w:rPr>
        <w:t> </w:t>
      </w:r>
      <w:r>
        <w:rPr/>
        <w:t>comparison;</w:t>
      </w:r>
      <w:r>
        <w:rPr>
          <w:spacing w:val="-4"/>
        </w:rPr>
        <w:t> </w:t>
      </w:r>
      <w:r>
        <w:rPr/>
        <w:t>supplementary</w:t>
      </w:r>
      <w:r>
        <w:rPr>
          <w:spacing w:val="-5"/>
        </w:rPr>
        <w:t> </w:t>
      </w:r>
      <w:r>
        <w:rPr/>
        <w:t>GF-PR notes</w:t>
      </w:r>
      <w:r>
        <w:rPr>
          <w:spacing w:val="-13"/>
        </w:rPr>
        <w:t> </w:t>
      </w:r>
      <w:r>
        <w:rPr/>
        <w:t>appear</w:t>
      </w:r>
      <w:r>
        <w:rPr>
          <w:spacing w:val="-13"/>
        </w:rPr>
        <w:t> </w:t>
      </w:r>
      <w:r>
        <w:rPr/>
        <w:t>where</w:t>
      </w:r>
      <w:r>
        <w:rPr>
          <w:spacing w:val="-13"/>
        </w:rPr>
        <w:t> </w:t>
      </w:r>
      <w:r>
        <w:rPr/>
        <w:t>they</w:t>
      </w:r>
      <w:r>
        <w:rPr>
          <w:spacing w:val="-13"/>
        </w:rPr>
        <w:t> </w:t>
      </w:r>
      <w:r>
        <w:rPr/>
        <w:t>clarify</w:t>
      </w:r>
      <w:r>
        <w:rPr>
          <w:spacing w:val="-13"/>
        </w:rPr>
        <w:t> </w:t>
      </w:r>
      <w:r>
        <w:rPr/>
        <w:t>construct</w:t>
      </w:r>
      <w:r>
        <w:rPr>
          <w:spacing w:val="-13"/>
        </w:rPr>
        <w:t> </w:t>
      </w:r>
      <w:r>
        <w:rPr/>
        <w:t>overlap</w:t>
      </w:r>
      <w:r>
        <w:rPr>
          <w:spacing w:val="-13"/>
        </w:rPr>
        <w:t> </w:t>
      </w:r>
      <w:r>
        <w:rPr/>
        <w:t>or</w:t>
      </w:r>
      <w:r>
        <w:rPr>
          <w:spacing w:val="-13"/>
        </w:rPr>
        <w:t> </w:t>
      </w:r>
      <w:r>
        <w:rPr/>
        <w:t>ceiling</w:t>
      </w:r>
      <w:r>
        <w:rPr>
          <w:spacing w:val="-13"/>
        </w:rPr>
        <w:t> </w:t>
      </w:r>
      <w:r>
        <w:rPr/>
        <w:t>effects.</w:t>
      </w:r>
      <w:r>
        <w:rPr>
          <w:spacing w:val="10"/>
        </w:rPr>
        <w:t> </w:t>
      </w:r>
      <w:r>
        <w:rPr/>
        <w:t>All</w:t>
      </w:r>
      <w:r>
        <w:rPr>
          <w:spacing w:val="-13"/>
        </w:rPr>
        <w:t> </w:t>
      </w:r>
      <w:r>
        <w:rPr/>
        <w:t>proxies</w:t>
      </w:r>
      <w:r>
        <w:rPr>
          <w:spacing w:val="-13"/>
        </w:rPr>
        <w:t> </w:t>
      </w:r>
      <w:r>
        <w:rPr/>
        <w:t>are</w:t>
      </w:r>
      <w:r>
        <w:rPr>
          <w:spacing w:val="-13"/>
        </w:rPr>
        <w:t> </w:t>
      </w:r>
      <w:r>
        <w:rPr/>
        <w:t>oriented</w:t>
      </w:r>
      <w:r>
        <w:rPr>
          <w:spacing w:val="-13"/>
        </w:rPr>
        <w:t> </w:t>
      </w:r>
      <w:r>
        <w:rPr/>
        <w:t>so</w:t>
      </w:r>
      <w:r>
        <w:rPr>
          <w:spacing w:val="-13"/>
        </w:rPr>
        <w:t> </w:t>
      </w:r>
      <w:r>
        <w:rPr/>
        <w:t>that higher values imply higher expected reputation before correlation, following Do et al.</w:t>
      </w:r>
      <w:hyperlink w:history="true" w:anchor="_bookmark149">
        <w:r>
          <w:rPr>
            <w:vertAlign w:val="superscript"/>
          </w:rPr>
          <w:t>[16]</w:t>
        </w:r>
      </w:hyperlink>
      <w:r>
        <w:rPr>
          <w:vertAlign w:val="baseline"/>
        </w:rPr>
        <w:t> and the </w:t>
      </w:r>
      <w:bookmarkStart w:name="Transfer family (Do et al. baseline)" w:id="185"/>
      <w:bookmarkEnd w:id="185"/>
      <w:r>
        <w:rPr>
          <w:vertAlign w:val="baseline"/>
        </w:rPr>
        <w:t>operational</w:t>
      </w:r>
      <w:r>
        <w:rPr>
          <w:vertAlign w:val="baseline"/>
        </w:rPr>
        <w:t> definitions in Chapter </w:t>
      </w:r>
      <w:hyperlink w:history="true" w:anchor="_bookmark48">
        <w:r>
          <w:rPr>
            <w:vertAlign w:val="baseline"/>
          </w:rPr>
          <w:t>3</w:t>
        </w:r>
      </w:hyperlink>
      <w:r>
        <w:rPr>
          <w:vertAlign w:val="baseline"/>
        </w:rPr>
        <w:t>.</w:t>
      </w:r>
    </w:p>
    <w:p>
      <w:pPr>
        <w:pStyle w:val="BodyText"/>
        <w:spacing w:line="391" w:lineRule="auto"/>
        <w:ind w:left="282" w:right="564" w:hanging="8"/>
        <w:jc w:val="both"/>
      </w:pPr>
      <w:r>
        <w:rPr>
          <w:i/>
        </w:rPr>
        <w:t>다음 하위 섹션에서는 제품군 내의 각 프록시에 대해 Spearman ρ 및 Kendall τ를 보고합니다. 각 계열은 기본 EndorseRank–AWP 비교를 위해 먼저 해석되며 구성 중복 또는 천장 효과를 명확히 하는 보충 GF-PR 메모가 표시됩니다. 모든 프록시는 Do et al.[16]에 따라 상관관계 이전에 높은 값이 더 높은 예상 평판을 의미하도록 지향됩니다. 그리고 3장의 조작적 정의.</w:t>
      </w:r>
    </w:p>
    <w:p>
      <w:pPr>
        <w:pStyle w:val="BodyText"/>
        <w:spacing w:after="0" w:line="391"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t>Transfer</w:t>
      </w:r>
      <w:r>
        <w:rPr>
          <w:spacing w:val="-10"/>
        </w:rPr>
        <w:t> </w:t>
      </w:r>
      <w:r>
        <w:rPr/>
        <w:t>family</w:t>
      </w:r>
      <w:r>
        <w:rPr>
          <w:spacing w:val="-9"/>
        </w:rPr>
        <w:t> </w:t>
      </w:r>
      <w:r>
        <w:rPr/>
        <w:t>(Do</w:t>
      </w:r>
      <w:r>
        <w:rPr>
          <w:spacing w:val="-9"/>
        </w:rPr>
        <w:t> </w:t>
      </w:r>
      <w:r>
        <w:rPr/>
        <w:t>et</w:t>
      </w:r>
      <w:r>
        <w:rPr>
          <w:spacing w:val="-10"/>
        </w:rPr>
        <w:t> </w:t>
      </w:r>
      <w:r>
        <w:rPr/>
        <w:t>al.</w:t>
      </w:r>
      <w:r>
        <w:rPr>
          <w:spacing w:val="-9"/>
        </w:rPr>
        <w:t> </w:t>
      </w:r>
      <w:r>
        <w:rPr>
          <w:spacing w:val="-2"/>
        </w:rPr>
        <w:t>baseline)</w:t>
      </w:r>
    </w:p>
    <w:p>
      <w:pPr>
        <w:pStyle w:val="Heading4"/>
        <w:numPr>
          <w:ilvl w:val="2"/>
          <w:numId w:val="8"/>
        </w:numPr>
        <w:tabs>
          <w:tab w:pos="879" w:val="left" w:leader="none"/>
        </w:tabs>
        <w:spacing w:line="240" w:lineRule="auto" w:before="73" w:after="0"/>
        <w:ind w:left="879" w:right="0" w:hanging="597"/>
        <w:jc w:val="left"/>
      </w:pPr>
      <w:r>
        <w:rPr>
          <w:i/>
        </w:rPr>
        <w:t>전입가족(Do et al. 기준선)</w:t>
      </w:r>
    </w:p>
    <w:p>
      <w:pPr>
        <w:pStyle w:val="BodyText"/>
        <w:spacing w:before="46"/>
        <w:rPr>
          <w:b/>
        </w:rPr>
      </w:pPr>
    </w:p>
    <w:p>
      <w:pPr>
        <w:pStyle w:val="BodyText"/>
        <w:spacing w:line="396" w:lineRule="auto"/>
        <w:ind w:left="282" w:right="523" w:hanging="8"/>
      </w:pPr>
      <w:r>
        <w:rPr/>
        <w:t>Table</w:t>
      </w:r>
      <w:r>
        <w:rPr>
          <w:spacing w:val="-4"/>
        </w:rPr>
        <w:t> </w:t>
      </w:r>
      <w:hyperlink w:history="true" w:anchor="_bookmark104">
        <w:r>
          <w:rPr/>
          <w:t>4.8</w:t>
        </w:r>
      </w:hyperlink>
      <w:r>
        <w:rPr>
          <w:spacing w:val="-3"/>
        </w:rPr>
        <w:t> </w:t>
      </w:r>
      <w:r>
        <w:rPr/>
        <w:t>reports</w:t>
      </w:r>
      <w:r>
        <w:rPr>
          <w:spacing w:val="-3"/>
        </w:rPr>
        <w:t> </w:t>
      </w:r>
      <w:r>
        <w:rPr/>
        <w:t>alignment</w:t>
      </w:r>
      <w:r>
        <w:rPr>
          <w:spacing w:val="-3"/>
        </w:rPr>
        <w:t> </w:t>
      </w:r>
      <w:r>
        <w:rPr/>
        <w:t>with</w:t>
      </w:r>
      <w:r>
        <w:rPr>
          <w:spacing w:val="-3"/>
        </w:rPr>
        <w:t> </w:t>
      </w:r>
      <w:r>
        <w:rPr/>
        <w:t>transfer</w:t>
      </w:r>
      <w:r>
        <w:rPr>
          <w:spacing w:val="-3"/>
        </w:rPr>
        <w:t> </w:t>
      </w:r>
      <w:r>
        <w:rPr/>
        <w:t>in-degree</w:t>
      </w:r>
      <w:r>
        <w:rPr>
          <w:spacing w:val="-3"/>
        </w:rPr>
        <w:t> </w:t>
      </w:r>
      <w:r>
        <w:rPr/>
        <w:t>and</w:t>
      </w:r>
      <w:r>
        <w:rPr>
          <w:spacing w:val="-3"/>
        </w:rPr>
        <w:t> </w:t>
      </w:r>
      <w:r>
        <w:rPr/>
        <w:t>inbound</w:t>
      </w:r>
      <w:r>
        <w:rPr>
          <w:spacing w:val="-3"/>
        </w:rPr>
        <w:t> </w:t>
      </w:r>
      <w:r>
        <w:rPr/>
        <w:t>transfer</w:t>
      </w:r>
      <w:r>
        <w:rPr>
          <w:spacing w:val="-3"/>
        </w:rPr>
        <w:t> </w:t>
      </w:r>
      <w:r>
        <w:rPr/>
        <w:t>value—the</w:t>
      </w:r>
      <w:r>
        <w:rPr>
          <w:spacing w:val="-3"/>
        </w:rPr>
        <w:t> </w:t>
      </w:r>
      <w:r>
        <w:rPr/>
        <w:t>baseline</w:t>
      </w:r>
      <w:r>
        <w:rPr>
          <w:spacing w:val="-3"/>
        </w:rPr>
        <w:t> </w:t>
      </w:r>
      <w:r>
        <w:rPr/>
        <w:t>vali-dation axis in Do et al.</w:t>
      </w:r>
      <w:hyperlink w:history="true" w:anchor="_bookmark149">
        <w:r>
          <w:rPr>
            <w:vertAlign w:val="superscript"/>
          </w:rPr>
          <w:t>[16]</w:t>
        </w:r>
      </w:hyperlink>
      <w:r>
        <w:rPr>
          <w:vertAlign w:val="baseline"/>
        </w:rPr>
        <w:t>.</w:t>
      </w:r>
    </w:p>
    <w:p>
      <w:pPr>
        <w:pStyle w:val="BodyText"/>
        <w:spacing w:line="396" w:lineRule="auto"/>
        <w:ind w:left="282" w:right="523" w:hanging="8"/>
      </w:pPr>
      <w:r>
        <w:rPr>
          <w:i/>
        </w:rPr>
        <w:t>표 4.8은 Do et al.[16]의 기본 검증 축인 전송 수준 및 인바운드 전송 값과의 정렬을 보고합니다.</w:t>
      </w:r>
    </w:p>
    <w:p>
      <w:pPr>
        <w:pStyle w:val="BodyText"/>
        <w:spacing w:line="259" w:lineRule="exact"/>
        <w:ind w:left="274"/>
      </w:pPr>
      <w:bookmarkStart w:name="_bookmark104" w:id="186"/>
      <w:bookmarkEnd w:id="186"/>
      <w:r>
        <w:rPr/>
      </w:r>
      <w:r>
        <w:rPr/>
        <w:t>Table</w:t>
      </w:r>
      <w:r>
        <w:rPr>
          <w:spacing w:val="-10"/>
        </w:rPr>
        <w:t> </w:t>
      </w:r>
      <w:r>
        <w:rPr/>
        <w:t>4.8:</w:t>
      </w:r>
      <w:r>
        <w:rPr>
          <w:spacing w:val="10"/>
        </w:rPr>
        <w:t> </w:t>
      </w:r>
      <w:r>
        <w:rPr/>
        <w:t>Domain</w:t>
      </w:r>
      <w:r>
        <w:rPr>
          <w:spacing w:val="-10"/>
        </w:rPr>
        <w:t> </w:t>
      </w:r>
      <w:r>
        <w:rPr/>
        <w:t>alignment</w:t>
      </w:r>
      <w:r>
        <w:rPr>
          <w:spacing w:val="-9"/>
        </w:rPr>
        <w:t> </w:t>
      </w:r>
      <w:r>
        <w:rPr/>
        <w:t>with</w:t>
      </w:r>
      <w:r>
        <w:rPr>
          <w:spacing w:val="-9"/>
        </w:rPr>
        <w:t> </w:t>
      </w:r>
      <w:r>
        <w:rPr/>
        <w:t>transfer</w:t>
      </w:r>
      <w:r>
        <w:rPr>
          <w:spacing w:val="-10"/>
        </w:rPr>
        <w:t> </w:t>
      </w:r>
      <w:r>
        <w:rPr/>
        <w:t>proxies</w:t>
      </w:r>
      <w:r>
        <w:rPr>
          <w:spacing w:val="-9"/>
        </w:rPr>
        <w:t> </w:t>
      </w:r>
      <w:r>
        <w:rPr/>
        <w:t>(Do</w:t>
      </w:r>
      <w:r>
        <w:rPr>
          <w:spacing w:val="-9"/>
        </w:rPr>
        <w:t> </w:t>
      </w:r>
      <w:r>
        <w:rPr/>
        <w:t>et</w:t>
      </w:r>
      <w:r>
        <w:rPr>
          <w:spacing w:val="-10"/>
        </w:rPr>
        <w:t> </w:t>
      </w:r>
      <w:r>
        <w:rPr/>
        <w:t>al.</w:t>
      </w:r>
      <w:r>
        <w:rPr>
          <w:spacing w:val="-9"/>
        </w:rPr>
        <w:t> </w:t>
      </w:r>
      <w:r>
        <w:rPr/>
        <w:t>2023</w:t>
      </w:r>
      <w:r>
        <w:rPr>
          <w:spacing w:val="-9"/>
        </w:rPr>
        <w:t> </w:t>
      </w:r>
      <w:r>
        <w:rPr/>
        <w:t>baseline).</w:t>
      </w:r>
      <w:r>
        <w:rPr>
          <w:spacing w:val="10"/>
        </w:rPr>
        <w:t> </w:t>
      </w:r>
      <w:r>
        <w:rPr/>
        <w:t>Kendall</w:t>
      </w:r>
      <w:r>
        <w:rPr>
          <w:spacing w:val="-10"/>
        </w:rPr>
        <w:t> </w:t>
      </w:r>
      <w:r>
        <w:rPr>
          <w:rFonts w:ascii="Calibri" w:hAnsi="Calibri"/>
          <w:i/>
        </w:rPr>
        <w:t>τ</w:t>
      </w:r>
      <w:r>
        <w:rPr>
          <w:rFonts w:ascii="Calibri" w:hAnsi="Calibri"/>
          <w:i/>
          <w:spacing w:val="21"/>
        </w:rPr>
        <w:t> </w:t>
      </w:r>
      <w:r>
        <w:rPr/>
        <w:t>and</w:t>
      </w:r>
      <w:r>
        <w:rPr>
          <w:spacing w:val="-10"/>
        </w:rPr>
        <w:t> </w:t>
      </w:r>
      <w:r>
        <w:rPr>
          <w:spacing w:val="-2"/>
        </w:rPr>
        <w:t>Spear-</w:t>
      </w:r>
    </w:p>
    <w:p>
      <w:pPr>
        <w:pStyle w:val="BodyText"/>
        <w:spacing w:line="259" w:lineRule="exact"/>
        <w:ind w:left="274"/>
      </w:pPr>
      <w:r>
        <w:rPr>
          <w:i/>
        </w:rPr>
        <w:t>표 4.8: 전송 프록시를 사용한 도메인 정렬(Do et al. 2023 기준선) Kendall τ와 스피어-</w:t>
      </w:r>
    </w:p>
    <w:p>
      <w:pPr>
        <w:pStyle w:val="BodyText"/>
        <w:spacing w:line="291" w:lineRule="exact"/>
        <w:ind w:left="282"/>
      </w:pPr>
      <w:r>
        <w:rPr/>
        <w:t>man</w:t>
      </w:r>
      <w:r>
        <w:rPr>
          <w:spacing w:val="-8"/>
        </w:rPr>
        <w:t> </w:t>
      </w:r>
      <w:r>
        <w:rPr>
          <w:rFonts w:ascii="Calibri" w:hAnsi="Calibri"/>
          <w:i/>
        </w:rPr>
        <w:t>ρ</w:t>
      </w:r>
      <w:r>
        <w:rPr>
          <w:rFonts w:ascii="Calibri" w:hAnsi="Calibri"/>
          <w:i/>
          <w:spacing w:val="-1"/>
        </w:rPr>
        <w:t> </w:t>
      </w:r>
      <w:r>
        <w:rPr/>
        <w:t>between</w:t>
      </w:r>
      <w:r>
        <w:rPr>
          <w:spacing w:val="-8"/>
        </w:rPr>
        <w:t> </w:t>
      </w:r>
      <w:r>
        <w:rPr/>
        <w:t>reputation</w:t>
      </w:r>
      <w:r>
        <w:rPr>
          <w:spacing w:val="-7"/>
        </w:rPr>
        <w:t> </w:t>
      </w:r>
      <w:r>
        <w:rPr/>
        <w:t>scores</w:t>
      </w:r>
      <w:r>
        <w:rPr>
          <w:spacing w:val="-7"/>
        </w:rPr>
        <w:t> </w:t>
      </w:r>
      <w:r>
        <w:rPr/>
        <w:t>and</w:t>
      </w:r>
      <w:r>
        <w:rPr>
          <w:spacing w:val="-8"/>
        </w:rPr>
        <w:t> </w:t>
      </w:r>
      <w:r>
        <w:rPr/>
        <w:t>proxy</w:t>
      </w:r>
      <w:r>
        <w:rPr>
          <w:spacing w:val="-7"/>
        </w:rPr>
        <w:t> </w:t>
      </w:r>
      <w:r>
        <w:rPr>
          <w:spacing w:val="-2"/>
        </w:rPr>
        <w:t>rankings.</w:t>
      </w:r>
    </w:p>
    <w:p>
      <w:pPr>
        <w:pStyle w:val="BodyText"/>
        <w:spacing w:line="291" w:lineRule="exact"/>
        <w:ind w:left="282"/>
      </w:pPr>
      <w:r>
        <w:rPr>
          <w:i/>
        </w:rPr>
        <w:t>평판 점수와 프록시 순위 사이의 man ρ.</w:t>
      </w:r>
    </w:p>
    <w:p>
      <w:pPr>
        <w:pStyle w:val="BodyText"/>
        <w:spacing w:before="1"/>
        <w:rPr>
          <w:sz w:val="20"/>
        </w:rPr>
      </w:pPr>
    </w:p>
    <w:tbl>
      <w:tblPr>
        <w:tblW w:w="0" w:type="auto"/>
        <w:jc w:val="left"/>
        <w:tblInd w:w="2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0"/>
        <w:gridCol w:w="1179"/>
        <w:gridCol w:w="1005"/>
      </w:tblGrid>
      <w:tr>
        <w:trPr>
          <w:trHeight w:val="381" w:hRule="atLeast"/>
        </w:trPr>
        <w:tc>
          <w:tcPr>
            <w:tcW w:w="2200"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p>
            <w:pPr>
              <w:pStyle w:val="TableParagraph"/>
              <w:spacing w:before="53"/>
              <w:ind w:left="69"/>
              <w:jc w:val="left"/>
              <w:rPr>
                <w:sz w:val="22"/>
              </w:rPr>
            </w:pPr>
            <w:r>
              <w:rPr>
                <w:i/>
              </w:rPr>
              <w:t>대리</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2"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200"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pacing w:val="-2"/>
                <w:sz w:val="22"/>
              </w:rPr>
              <w:t>In-degree</w:t>
            </w:r>
          </w:p>
          <w:p>
            <w:pPr>
              <w:pStyle w:val="TableParagraph"/>
              <w:spacing w:line="247" w:lineRule="exact" w:before="18"/>
              <w:ind w:left="69"/>
              <w:jc w:val="left"/>
              <w:rPr>
                <w:sz w:val="22"/>
              </w:rPr>
            </w:pPr>
            <w:r>
              <w:rPr>
                <w:i/>
              </w:rPr>
              <w:t>학위</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0.422</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0.344</w:t>
            </w:r>
          </w:p>
        </w:tc>
      </w:tr>
      <w:tr>
        <w:trPr>
          <w:trHeight w:val="330" w:hRule="atLeast"/>
        </w:trPr>
        <w:tc>
          <w:tcPr>
            <w:tcW w:w="2200" w:type="dxa"/>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p>
            <w:pPr>
              <w:pStyle w:val="TableParagraph"/>
              <w:ind w:left="69"/>
              <w:jc w:val="left"/>
              <w:rPr>
                <w:sz w:val="22"/>
              </w:rPr>
            </w:pPr>
            <w:r>
              <w:rPr>
                <w:i/>
              </w:rPr>
              <w:t>가치 내 (합계 인바운드)</w:t>
            </w:r>
          </w:p>
        </w:tc>
        <w:tc>
          <w:tcPr>
            <w:tcW w:w="1179" w:type="dxa"/>
          </w:tcPr>
          <w:p>
            <w:pPr>
              <w:pStyle w:val="TableParagraph"/>
              <w:ind w:left="1" w:right="1"/>
              <w:rPr>
                <w:sz w:val="22"/>
              </w:rPr>
            </w:pPr>
            <w:r>
              <w:rPr>
                <w:spacing w:val="-2"/>
                <w:sz w:val="22"/>
              </w:rPr>
              <w:t>0.398</w:t>
            </w:r>
          </w:p>
        </w:tc>
        <w:tc>
          <w:tcPr>
            <w:tcW w:w="1005" w:type="dxa"/>
          </w:tcPr>
          <w:p>
            <w:pPr>
              <w:pStyle w:val="TableParagraph"/>
              <w:ind w:left="25" w:right="25"/>
              <w:rPr>
                <w:sz w:val="22"/>
              </w:rPr>
            </w:pPr>
            <w:r>
              <w:rPr>
                <w:spacing w:val="-2"/>
                <w:sz w:val="22"/>
              </w:rPr>
              <w:t>0.321</w:t>
            </w:r>
          </w:p>
        </w:tc>
      </w:tr>
      <w:tr>
        <w:trPr>
          <w:trHeight w:val="601" w:hRule="atLeast"/>
        </w:trPr>
        <w:tc>
          <w:tcPr>
            <w:tcW w:w="2200"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pacing w:val="-2"/>
                <w:sz w:val="22"/>
              </w:rPr>
              <w:t>In-degree</w:t>
            </w:r>
          </w:p>
          <w:p>
            <w:pPr>
              <w:pStyle w:val="TableParagraph"/>
              <w:spacing w:line="247" w:lineRule="exact" w:before="18"/>
              <w:ind w:left="69"/>
              <w:jc w:val="left"/>
              <w:rPr>
                <w:sz w:val="22"/>
              </w:rPr>
            </w:pPr>
            <w:r>
              <w:rPr>
                <w:i/>
              </w:rPr>
              <w:t>학위</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0.791</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0.617</w:t>
            </w:r>
          </w:p>
        </w:tc>
      </w:tr>
      <w:tr>
        <w:trPr>
          <w:trHeight w:val="330" w:hRule="atLeast"/>
        </w:trPr>
        <w:tc>
          <w:tcPr>
            <w:tcW w:w="2200" w:type="dxa"/>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p>
            <w:pPr>
              <w:pStyle w:val="TableParagraph"/>
              <w:ind w:left="69"/>
              <w:jc w:val="left"/>
              <w:rPr>
                <w:sz w:val="22"/>
              </w:rPr>
            </w:pPr>
            <w:r>
              <w:rPr>
                <w:i/>
              </w:rPr>
              <w:t>가치 내 (합계 인바운드)</w:t>
            </w:r>
          </w:p>
        </w:tc>
        <w:tc>
          <w:tcPr>
            <w:tcW w:w="1179" w:type="dxa"/>
          </w:tcPr>
          <w:p>
            <w:pPr>
              <w:pStyle w:val="TableParagraph"/>
              <w:ind w:left="1" w:right="1"/>
              <w:rPr>
                <w:sz w:val="22"/>
              </w:rPr>
            </w:pPr>
            <w:r>
              <w:rPr>
                <w:spacing w:val="-2"/>
                <w:sz w:val="22"/>
              </w:rPr>
              <w:t>0.610</w:t>
            </w:r>
          </w:p>
        </w:tc>
        <w:tc>
          <w:tcPr>
            <w:tcW w:w="1005" w:type="dxa"/>
          </w:tcPr>
          <w:p>
            <w:pPr>
              <w:pStyle w:val="TableParagraph"/>
              <w:ind w:left="25" w:right="25"/>
              <w:rPr>
                <w:sz w:val="22"/>
              </w:rPr>
            </w:pPr>
            <w:r>
              <w:rPr>
                <w:spacing w:val="-2"/>
                <w:sz w:val="22"/>
              </w:rPr>
              <w:t>0.450</w:t>
            </w:r>
          </w:p>
        </w:tc>
      </w:tr>
      <w:tr>
        <w:trPr>
          <w:trHeight w:val="601" w:hRule="atLeast"/>
        </w:trPr>
        <w:tc>
          <w:tcPr>
            <w:tcW w:w="2200"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pacing w:val="-2"/>
                <w:sz w:val="22"/>
              </w:rPr>
              <w:t>In-degree</w:t>
            </w:r>
          </w:p>
          <w:p>
            <w:pPr>
              <w:pStyle w:val="TableParagraph"/>
              <w:spacing w:line="247" w:lineRule="exact" w:before="18"/>
              <w:ind w:left="69"/>
              <w:jc w:val="left"/>
              <w:rPr>
                <w:sz w:val="22"/>
              </w:rPr>
            </w:pPr>
            <w:r>
              <w:rPr>
                <w:i/>
              </w:rPr>
              <w:t>학위</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0.396</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0.275</w:t>
            </w:r>
          </w:p>
        </w:tc>
      </w:tr>
      <w:tr>
        <w:trPr>
          <w:trHeight w:val="332" w:hRule="atLeast"/>
        </w:trPr>
        <w:tc>
          <w:tcPr>
            <w:tcW w:w="2200" w:type="dxa"/>
            <w:tcBorders>
              <w:bottom w:val="single" w:sz="8" w:space="0" w:color="000000"/>
            </w:tcBorders>
          </w:tcPr>
          <w:p>
            <w:pPr>
              <w:pStyle w:val="TableParagraph"/>
              <w:ind w:left="69"/>
              <w:jc w:val="left"/>
              <w:rPr>
                <w:sz w:val="22"/>
              </w:rPr>
            </w:pPr>
            <w:r>
              <w:rPr>
                <w:sz w:val="22"/>
              </w:rPr>
              <w:t>In-value</w:t>
            </w:r>
            <w:r>
              <w:rPr>
                <w:spacing w:val="-7"/>
                <w:sz w:val="22"/>
              </w:rPr>
              <w:t> </w:t>
            </w:r>
            <w:r>
              <w:rPr>
                <w:sz w:val="22"/>
              </w:rPr>
              <w:t>(sum</w:t>
            </w:r>
            <w:r>
              <w:rPr>
                <w:spacing w:val="-7"/>
                <w:sz w:val="22"/>
              </w:rPr>
              <w:t> </w:t>
            </w:r>
            <w:r>
              <w:rPr>
                <w:spacing w:val="-2"/>
                <w:sz w:val="22"/>
              </w:rPr>
              <w:t>inbound)</w:t>
            </w:r>
          </w:p>
          <w:p>
            <w:pPr>
              <w:pStyle w:val="TableParagraph"/>
              <w:ind w:left="69"/>
              <w:jc w:val="left"/>
              <w:rPr>
                <w:sz w:val="22"/>
              </w:rPr>
            </w:pPr>
            <w:r>
              <w:rPr>
                <w:i/>
              </w:rPr>
              <w:t>가치 내 (합계 인바운드)</w:t>
            </w:r>
          </w:p>
        </w:tc>
        <w:tc>
          <w:tcPr>
            <w:tcW w:w="1179" w:type="dxa"/>
            <w:tcBorders>
              <w:bottom w:val="single" w:sz="8" w:space="0" w:color="000000"/>
            </w:tcBorders>
          </w:tcPr>
          <w:p>
            <w:pPr>
              <w:pStyle w:val="TableParagraph"/>
              <w:ind w:left="1" w:right="1"/>
              <w:rPr>
                <w:sz w:val="22"/>
              </w:rPr>
            </w:pPr>
            <w:r>
              <w:rPr>
                <w:spacing w:val="-2"/>
                <w:sz w:val="22"/>
              </w:rPr>
              <w:t>0.314</w:t>
            </w:r>
          </w:p>
        </w:tc>
        <w:tc>
          <w:tcPr>
            <w:tcW w:w="1005" w:type="dxa"/>
            <w:tcBorders>
              <w:bottom w:val="single" w:sz="8" w:space="0" w:color="000000"/>
            </w:tcBorders>
          </w:tcPr>
          <w:p>
            <w:pPr>
              <w:pStyle w:val="TableParagraph"/>
              <w:ind w:left="25" w:right="25"/>
              <w:rPr>
                <w:sz w:val="22"/>
              </w:rPr>
            </w:pPr>
            <w:r>
              <w:rPr>
                <w:spacing w:val="-2"/>
                <w:sz w:val="22"/>
              </w:rPr>
              <w:t>0.216</w:t>
            </w:r>
          </w:p>
        </w:tc>
      </w:tr>
    </w:tbl>
    <w:p>
      <w:pPr>
        <w:pStyle w:val="BodyText"/>
        <w:spacing w:before="164"/>
      </w:pPr>
    </w:p>
    <w:p>
      <w:pPr>
        <w:pStyle w:val="BodyText"/>
        <w:spacing w:line="388" w:lineRule="auto"/>
        <w:ind w:left="274" w:right="523" w:hanging="1"/>
        <w:jc w:val="both"/>
      </w:pPr>
      <w:r>
        <w:rPr/>
        <w:t>AWP</w:t>
      </w:r>
      <w:r>
        <w:rPr>
          <w:spacing w:val="-1"/>
        </w:rPr>
        <w:t> </w:t>
      </w:r>
      <w:r>
        <w:rPr/>
        <w:t>achieves</w:t>
      </w:r>
      <w:r>
        <w:rPr>
          <w:spacing w:val="-1"/>
        </w:rPr>
        <w:t> </w:t>
      </w:r>
      <w:r>
        <w:rPr/>
        <w:t>the</w:t>
      </w:r>
      <w:r>
        <w:rPr>
          <w:spacing w:val="-1"/>
        </w:rPr>
        <w:t> </w:t>
      </w:r>
      <w:r>
        <w:rPr/>
        <w:t>highest</w:t>
      </w:r>
      <w:r>
        <w:rPr>
          <w:spacing w:val="-1"/>
        </w:rPr>
        <w:t> </w:t>
      </w:r>
      <w:r>
        <w:rPr/>
        <w:t>social-method</w:t>
      </w:r>
      <w:r>
        <w:rPr>
          <w:spacing w:val="-1"/>
        </w:rPr>
        <w:t> </w:t>
      </w:r>
      <w:r>
        <w:rPr/>
        <w:t>alignment</w:t>
      </w:r>
      <w:r>
        <w:rPr>
          <w:spacing w:val="-1"/>
        </w:rPr>
        <w:t> </w:t>
      </w:r>
      <w:r>
        <w:rPr/>
        <w:t>on</w:t>
      </w:r>
      <w:r>
        <w:rPr>
          <w:spacing w:val="-1"/>
        </w:rPr>
        <w:t> </w:t>
      </w:r>
      <w:r>
        <w:rPr/>
        <w:t>both</w:t>
      </w:r>
      <w:r>
        <w:rPr>
          <w:spacing w:val="-1"/>
        </w:rPr>
        <w:t> </w:t>
      </w:r>
      <w:r>
        <w:rPr/>
        <w:t>transfer</w:t>
      </w:r>
      <w:r>
        <w:rPr>
          <w:spacing w:val="-1"/>
        </w:rPr>
        <w:t> </w:t>
      </w:r>
      <w:r>
        <w:rPr/>
        <w:t>proxies: in-degree</w:t>
      </w:r>
      <w:r>
        <w:rPr>
          <w:spacing w:val="-2"/>
        </w:rPr>
        <w:t> </w:t>
      </w:r>
      <w:r>
        <w:rPr>
          <w:rFonts w:ascii="Calibri" w:hAnsi="Calibri"/>
          <w:i/>
        </w:rPr>
        <w:t>τ</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617 </w:t>
      </w:r>
      <w:r>
        <w:rPr/>
        <w:t>(</w:t>
      </w:r>
      <w:r>
        <w:rPr>
          <w:rFonts w:ascii="Calibri" w:hAnsi="Calibri"/>
          <w:i/>
        </w:rPr>
        <w:t>ρ</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791</w:t>
      </w:r>
      <w:r>
        <w:rPr/>
        <w:t>)</w:t>
      </w:r>
      <w:r>
        <w:rPr>
          <w:spacing w:val="-14"/>
        </w:rPr>
        <w:t> </w:t>
      </w:r>
      <w:r>
        <w:rPr/>
        <w:t>and</w:t>
      </w:r>
      <w:r>
        <w:rPr>
          <w:spacing w:val="-14"/>
        </w:rPr>
        <w:t> </w:t>
      </w:r>
      <w:r>
        <w:rPr/>
        <w:t>in-value</w:t>
      </w:r>
      <w:r>
        <w:rPr>
          <w:spacing w:val="-14"/>
        </w:rPr>
        <w:t>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450</w:t>
      </w:r>
      <w:r>
        <w:rPr>
          <w:rFonts w:ascii="Calibri" w:hAnsi="Calibri"/>
          <w:spacing w:val="-8"/>
        </w:rPr>
        <w:t> </w:t>
      </w:r>
      <w:r>
        <w:rPr/>
        <w:t>(</w:t>
      </w:r>
      <w:r>
        <w:rPr>
          <w:rFonts w:ascii="Calibri" w:hAnsi="Calibri"/>
          <w:i/>
        </w:rPr>
        <w:t>ρ</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610</w:t>
      </w:r>
      <w:r>
        <w:rPr/>
        <w:t>),</w:t>
      </w:r>
      <w:r>
        <w:rPr>
          <w:spacing w:val="-11"/>
        </w:rPr>
        <w:t> </w:t>
      </w:r>
      <w:r>
        <w:rPr/>
        <w:t>for</w:t>
      </w:r>
      <w:r>
        <w:rPr>
          <w:spacing w:val="-14"/>
        </w:rPr>
        <w:t> </w:t>
      </w:r>
      <w:r>
        <w:rPr/>
        <w:t>a</w:t>
      </w:r>
      <w:r>
        <w:rPr>
          <w:spacing w:val="-14"/>
        </w:rPr>
        <w:t> </w:t>
      </w:r>
      <w:r>
        <w:rPr/>
        <w:t>family</w:t>
      </w:r>
      <w:r>
        <w:rPr>
          <w:spacing w:val="-14"/>
        </w:rPr>
        <w:t> </w:t>
      </w:r>
      <w:r>
        <w:rPr/>
        <w:t>mean</w:t>
      </w:r>
      <w:r>
        <w:rPr>
          <w:spacing w:val="-14"/>
        </w:rPr>
        <w:t> </w:t>
      </w:r>
      <w:r>
        <w:rPr/>
        <w:t>of</w:t>
      </w:r>
      <w:r>
        <w:rPr>
          <w:spacing w:val="-14"/>
        </w:rPr>
        <w:t> </w:t>
      </w:r>
      <w:r>
        <w:rPr>
          <w:rFonts w:ascii="Calibri" w:hAnsi="Calibri"/>
        </w:rPr>
        <w:t>0</w:t>
      </w:r>
      <w:r>
        <w:rPr>
          <w:rFonts w:ascii="Calibri" w:hAnsi="Calibri"/>
          <w:i/>
        </w:rPr>
        <w:t>.</w:t>
      </w:r>
      <w:r>
        <w:rPr>
          <w:rFonts w:ascii="Calibri" w:hAnsi="Calibri"/>
        </w:rPr>
        <w:t>534</w:t>
      </w:r>
      <w:r>
        <w:rPr/>
        <w:t>.</w:t>
      </w:r>
      <w:r>
        <w:rPr>
          <w:spacing w:val="17"/>
        </w:rPr>
        <w:t> </w:t>
      </w:r>
      <w:r>
        <w:rPr/>
        <w:t>This</w:t>
      </w:r>
      <w:r>
        <w:rPr>
          <w:spacing w:val="-14"/>
        </w:rPr>
        <w:t> </w:t>
      </w:r>
      <w:r>
        <w:rPr/>
        <w:t>result</w:t>
      </w:r>
      <w:r>
        <w:rPr>
          <w:spacing w:val="-14"/>
        </w:rPr>
        <w:t> </w:t>
      </w:r>
      <w:r>
        <w:rPr/>
        <w:t>is</w:t>
      </w:r>
      <w:r>
        <w:rPr>
          <w:spacing w:val="-14"/>
        </w:rPr>
        <w:t> </w:t>
      </w:r>
      <w:r>
        <w:rPr/>
        <w:t>expected by construction:</w:t>
      </w:r>
      <w:r>
        <w:rPr>
          <w:spacing w:val="28"/>
        </w:rPr>
        <w:t> </w:t>
      </w:r>
      <w:r>
        <w:rPr/>
        <w:t>AWP ranks on the time-decayed transfer graph, so correlation with transfer cen-trality</w:t>
      </w:r>
      <w:r>
        <w:rPr>
          <w:spacing w:val="-4"/>
        </w:rPr>
        <w:t> </w:t>
      </w:r>
      <w:r>
        <w:rPr/>
        <w:t>is</w:t>
      </w:r>
      <w:r>
        <w:rPr>
          <w:spacing w:val="-4"/>
        </w:rPr>
        <w:t> </w:t>
      </w:r>
      <w:r>
        <w:rPr/>
        <w:t>a</w:t>
      </w:r>
      <w:r>
        <w:rPr>
          <w:spacing w:val="-4"/>
        </w:rPr>
        <w:t> </w:t>
      </w:r>
      <w:r>
        <w:rPr/>
        <w:t>primary-construct</w:t>
      </w:r>
      <w:r>
        <w:rPr>
          <w:spacing w:val="-4"/>
        </w:rPr>
        <w:t> </w:t>
      </w:r>
      <w:r>
        <w:rPr/>
        <w:t>check</w:t>
      </w:r>
      <w:r>
        <w:rPr>
          <w:spacing w:val="-4"/>
        </w:rPr>
        <w:t> </w:t>
      </w:r>
      <w:r>
        <w:rPr/>
        <w:t>rather</w:t>
      </w:r>
      <w:r>
        <w:rPr>
          <w:spacing w:val="-4"/>
        </w:rPr>
        <w:t> </w:t>
      </w:r>
      <w:r>
        <w:rPr/>
        <w:t>than</w:t>
      </w:r>
      <w:r>
        <w:rPr>
          <w:spacing w:val="-4"/>
        </w:rPr>
        <w:t> </w:t>
      </w:r>
      <w:r>
        <w:rPr/>
        <w:t>an</w:t>
      </w:r>
      <w:r>
        <w:rPr>
          <w:spacing w:val="-4"/>
        </w:rPr>
        <w:t> </w:t>
      </w:r>
      <w:r>
        <w:rPr/>
        <w:t>independent</w:t>
      </w:r>
      <w:r>
        <w:rPr>
          <w:spacing w:val="-4"/>
        </w:rPr>
        <w:t> </w:t>
      </w:r>
      <w:r>
        <w:rPr/>
        <w:t>external</w:t>
      </w:r>
      <w:r>
        <w:rPr>
          <w:spacing w:val="-4"/>
        </w:rPr>
        <w:t> </w:t>
      </w:r>
      <w:r>
        <w:rPr/>
        <w:t>validation. The</w:t>
      </w:r>
      <w:r>
        <w:rPr>
          <w:spacing w:val="-4"/>
        </w:rPr>
        <w:t> </w:t>
      </w:r>
      <w:r>
        <w:rPr/>
        <w:t>magnitude is</w:t>
      </w:r>
      <w:r>
        <w:rPr>
          <w:spacing w:val="-3"/>
        </w:rPr>
        <w:t> </w:t>
      </w:r>
      <w:r>
        <w:rPr/>
        <w:t>nonetheless</w:t>
      </w:r>
      <w:r>
        <w:rPr>
          <w:spacing w:val="-3"/>
        </w:rPr>
        <w:t> </w:t>
      </w:r>
      <w:r>
        <w:rPr/>
        <w:t>informative.</w:t>
      </w:r>
      <w:r>
        <w:rPr>
          <w:spacing w:val="22"/>
        </w:rPr>
        <w:t> </w:t>
      </w:r>
      <w:r>
        <w:rPr/>
        <w:t>AWP</w:t>
      </w:r>
      <w:r>
        <w:rPr>
          <w:spacing w:val="-3"/>
        </w:rPr>
        <w:t> </w:t>
      </w:r>
      <w:r>
        <w:rPr/>
        <w:t>does</w:t>
      </w:r>
      <w:r>
        <w:rPr>
          <w:spacing w:val="-2"/>
        </w:rPr>
        <w:t> </w:t>
      </w:r>
      <w:r>
        <w:rPr/>
        <w:t>not</w:t>
      </w:r>
      <w:r>
        <w:rPr>
          <w:spacing w:val="-3"/>
        </w:rPr>
        <w:t> </w:t>
      </w:r>
      <w:r>
        <w:rPr/>
        <w:t>collapse</w:t>
      </w:r>
      <w:r>
        <w:rPr>
          <w:spacing w:val="-2"/>
        </w:rPr>
        <w:t> </w:t>
      </w:r>
      <w:r>
        <w:rPr/>
        <w:t>to</w:t>
      </w:r>
      <w:r>
        <w:rPr>
          <w:spacing w:val="-3"/>
        </w:rPr>
        <w:t> </w:t>
      </w:r>
      <w:r>
        <w:rPr/>
        <w:t>a</w:t>
      </w:r>
      <w:r>
        <w:rPr>
          <w:spacing w:val="-2"/>
        </w:rPr>
        <w:t> </w:t>
      </w:r>
      <w:r>
        <w:rPr/>
        <w:t>trivial</w:t>
      </w:r>
      <w:r>
        <w:rPr>
          <w:spacing w:val="-3"/>
        </w:rPr>
        <w:t> </w:t>
      </w:r>
      <w:r>
        <w:rPr/>
        <w:t>identity</w:t>
      </w:r>
      <w:r>
        <w:rPr>
          <w:spacing w:val="-2"/>
        </w:rPr>
        <w:t> </w:t>
      </w:r>
      <w:r>
        <w:rPr/>
        <w:t>with</w:t>
      </w:r>
      <w:r>
        <w:rPr>
          <w:spacing w:val="-3"/>
        </w:rPr>
        <w:t> </w:t>
      </w:r>
      <w:r>
        <w:rPr/>
        <w:t>in-degree;</w:t>
      </w:r>
      <w:r>
        <w:rPr>
          <w:spacing w:val="-1"/>
        </w:rPr>
        <w:t> </w:t>
      </w:r>
      <w:r>
        <w:rPr/>
        <w:t>logistic</w:t>
      </w:r>
      <w:r>
        <w:rPr>
          <w:spacing w:val="-2"/>
        </w:rPr>
        <w:t> </w:t>
      </w:r>
      <w:r>
        <w:rPr/>
        <w:t>de-cay</w:t>
      </w:r>
      <w:r>
        <w:rPr>
          <w:spacing w:val="-5"/>
        </w:rPr>
        <w:t> </w:t>
      </w:r>
      <w:r>
        <w:rPr/>
        <w:t>and</w:t>
      </w:r>
      <w:r>
        <w:rPr>
          <w:spacing w:val="-5"/>
        </w:rPr>
        <w:t> </w:t>
      </w:r>
      <w:r>
        <w:rPr/>
        <w:t>value</w:t>
      </w:r>
      <w:r>
        <w:rPr>
          <w:spacing w:val="-5"/>
        </w:rPr>
        <w:t> </w:t>
      </w:r>
      <w:r>
        <w:rPr/>
        <w:t>weighting</w:t>
      </w:r>
      <w:r>
        <w:rPr>
          <w:spacing w:val="-5"/>
        </w:rPr>
        <w:t> </w:t>
      </w:r>
      <w:r>
        <w:rPr/>
        <w:t>produce</w:t>
      </w:r>
      <w:r>
        <w:rPr>
          <w:spacing w:val="-5"/>
        </w:rPr>
        <w:t> </w:t>
      </w:r>
      <w:r>
        <w:rPr/>
        <w:t>rankings</w:t>
      </w:r>
      <w:r>
        <w:rPr>
          <w:spacing w:val="-5"/>
        </w:rPr>
        <w:t> </w:t>
      </w:r>
      <w:r>
        <w:rPr/>
        <w:t>that</w:t>
      </w:r>
      <w:r>
        <w:rPr>
          <w:spacing w:val="-5"/>
        </w:rPr>
        <w:t> </w:t>
      </w:r>
      <w:r>
        <w:rPr/>
        <w:t>agree</w:t>
      </w:r>
      <w:r>
        <w:rPr>
          <w:spacing w:val="-5"/>
        </w:rPr>
        <w:t> </w:t>
      </w:r>
      <w:r>
        <w:rPr/>
        <w:t>strongly</w:t>
      </w:r>
      <w:r>
        <w:rPr>
          <w:spacing w:val="-5"/>
        </w:rPr>
        <w:t> </w:t>
      </w:r>
      <w:r>
        <w:rPr/>
        <w:t>but</w:t>
      </w:r>
      <w:r>
        <w:rPr>
          <w:spacing w:val="-5"/>
        </w:rPr>
        <w:t> </w:t>
      </w:r>
      <w:r>
        <w:rPr/>
        <w:t>not</w:t>
      </w:r>
      <w:r>
        <w:rPr>
          <w:spacing w:val="-5"/>
        </w:rPr>
        <w:t> </w:t>
      </w:r>
      <w:r>
        <w:rPr/>
        <w:t>perfectly</w:t>
      </w:r>
      <w:r>
        <w:rPr>
          <w:spacing w:val="-5"/>
        </w:rPr>
        <w:t> </w:t>
      </w:r>
      <w:r>
        <w:rPr/>
        <w:t>with</w:t>
      </w:r>
      <w:r>
        <w:rPr>
          <w:spacing w:val="-5"/>
        </w:rPr>
        <w:t> </w:t>
      </w:r>
      <w:r>
        <w:rPr/>
        <w:t>simple</w:t>
      </w:r>
      <w:r>
        <w:rPr>
          <w:spacing w:val="-5"/>
        </w:rPr>
        <w:t> </w:t>
      </w:r>
      <w:r>
        <w:rPr/>
        <w:t>degree and value summaries.</w:t>
      </w:r>
    </w:p>
    <w:p>
      <w:pPr>
        <w:pStyle w:val="BodyText"/>
        <w:spacing w:line="388" w:lineRule="auto"/>
        <w:ind w:left="274" w:right="523" w:hanging="1"/>
        <w:jc w:val="both"/>
      </w:pPr>
      <w:r>
        <w:rPr>
          <w:i/>
        </w:rPr>
        <w:t>AWP는 두 전송 프록시 모두에서 가장 높은 사회적 방법 정렬을 달성합니다. 즉, 차수 τ = 0.617(ρ = 0.791) 및 값 내 τ = 0.450(ρ = 0.610), 가족 평균은 0.534입니다. 이 결과는 구성에 의해 예상됩니다. AWP는 시간 경과에 따른 전송 그래프에서 순위를 매기므로 전송 중심성과의 상관관계는 독립적인 외부 검증이 아닌 기본 구성 확인입니다. 그럼에도 불구하고 규모는 유익합니다. AWP는 차수가 있는 사소한 정체성으로 붕괴되지 않습니다. 로지스틱 디케이 및 가치 가중치는 단순한 차수 및 가치 요약과 강력하게 일치하지만 완벽하지는 않은 순위를 생성합니다.</w:t>
      </w:r>
    </w:p>
    <w:p>
      <w:pPr>
        <w:pStyle w:val="BodyText"/>
        <w:spacing w:line="386" w:lineRule="auto" w:before="24"/>
        <w:ind w:left="282" w:right="544"/>
        <w:jc w:val="both"/>
      </w:pPr>
      <w:r>
        <w:rPr/>
        <w:t>EndorseRank</w:t>
      </w:r>
      <w:r>
        <w:rPr>
          <w:spacing w:val="-15"/>
        </w:rPr>
        <w:t> </w:t>
      </w:r>
      <w:r>
        <w:rPr/>
        <w:t>shows</w:t>
      </w:r>
      <w:r>
        <w:rPr>
          <w:spacing w:val="-15"/>
        </w:rPr>
        <w:t> </w:t>
      </w:r>
      <w:r>
        <w:rPr/>
        <w:t>moderate</w:t>
      </w:r>
      <w:r>
        <w:rPr>
          <w:spacing w:val="-15"/>
        </w:rPr>
        <w:t> </w:t>
      </w:r>
      <w:r>
        <w:rPr/>
        <w:t>secondary-axis</w:t>
      </w:r>
      <w:r>
        <w:rPr>
          <w:spacing w:val="-15"/>
        </w:rPr>
        <w:t> </w:t>
      </w:r>
      <w:r>
        <w:rPr/>
        <w:t>alignment</w:t>
      </w:r>
      <w:r>
        <w:rPr>
          <w:spacing w:val="-15"/>
        </w:rPr>
        <w:t> </w:t>
      </w:r>
      <w:r>
        <w:rPr/>
        <w:t>(in-degree</w:t>
      </w:r>
      <w:r>
        <w:rPr>
          <w:spacing w:val="-15"/>
        </w:rPr>
        <w:t> </w:t>
      </w:r>
      <w:r>
        <w:rPr>
          <w:rFonts w:ascii="Calibri" w:hAnsi="Calibri"/>
          <w:i/>
        </w:rPr>
        <w:t>τ</w:t>
      </w:r>
      <w:r>
        <w:rPr>
          <w:rFonts w:ascii="Calibri" w:hAnsi="Calibri"/>
          <w:i/>
          <w:spacing w:val="18"/>
          <w:w w:val="125"/>
        </w:rPr>
        <w:t>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344</w:t>
      </w:r>
      <w:r>
        <w:rPr/>
        <w:t>;</w:t>
      </w:r>
      <w:r>
        <w:rPr>
          <w:spacing w:val="-11"/>
        </w:rPr>
        <w:t> </w:t>
      </w:r>
      <w:r>
        <w:rPr/>
        <w:t>in-value</w:t>
      </w:r>
      <w:r>
        <w:rPr>
          <w:spacing w:val="-15"/>
        </w:rPr>
        <w:t> </w:t>
      </w:r>
      <w:r>
        <w:rPr>
          <w:rFonts w:ascii="Calibri" w:hAnsi="Calibri"/>
          <w:i/>
        </w:rPr>
        <w:t>τ</w:t>
      </w:r>
      <w:r>
        <w:rPr>
          <w:rFonts w:ascii="Calibri" w:hAnsi="Calibri"/>
          <w:i/>
          <w:spacing w:val="24"/>
          <w:w w:val="125"/>
        </w:rPr>
        <w:t> </w:t>
      </w:r>
      <w:r>
        <w:rPr>
          <w:rFonts w:ascii="Calibri" w:hAnsi="Calibri"/>
          <w:w w:val="125"/>
        </w:rPr>
        <w:t>=</w:t>
      </w:r>
      <w:r>
        <w:rPr>
          <w:rFonts w:ascii="Calibri" w:hAnsi="Calibri"/>
          <w:spacing w:val="-3"/>
          <w:w w:val="125"/>
        </w:rPr>
        <w:t> </w:t>
      </w:r>
      <w:r>
        <w:rPr>
          <w:rFonts w:ascii="Calibri" w:hAnsi="Calibri"/>
        </w:rPr>
        <w:t>0</w:t>
      </w:r>
      <w:r>
        <w:rPr>
          <w:rFonts w:ascii="Calibri" w:hAnsi="Calibri"/>
          <w:i/>
        </w:rPr>
        <w:t>.</w:t>
      </w:r>
      <w:r>
        <w:rPr>
          <w:rFonts w:ascii="Calibri" w:hAnsi="Calibri"/>
        </w:rPr>
        <w:t>321</w:t>
      </w:r>
      <w:r>
        <w:rPr/>
        <w:t>; family</w:t>
      </w:r>
      <w:r>
        <w:rPr>
          <w:spacing w:val="-4"/>
        </w:rPr>
        <w:t> </w:t>
      </w:r>
      <w:r>
        <w:rPr/>
        <w:t>mean</w:t>
      </w:r>
      <w:r>
        <w:rPr>
          <w:spacing w:val="-3"/>
        </w:rPr>
        <w:t> </w:t>
      </w:r>
      <w:r>
        <w:rPr>
          <w:rFonts w:ascii="Calibri" w:hAnsi="Calibri"/>
        </w:rPr>
        <w:t>0</w:t>
      </w:r>
      <w:r>
        <w:rPr>
          <w:rFonts w:ascii="Calibri" w:hAnsi="Calibri"/>
          <w:i/>
        </w:rPr>
        <w:t>.</w:t>
      </w:r>
      <w:r>
        <w:rPr>
          <w:rFonts w:ascii="Calibri" w:hAnsi="Calibri"/>
        </w:rPr>
        <w:t>333</w:t>
      </w:r>
      <w:r>
        <w:rPr/>
        <w:t>).</w:t>
      </w:r>
      <w:r>
        <w:rPr>
          <w:spacing w:val="19"/>
        </w:rPr>
        <w:t> </w:t>
      </w:r>
      <w:r>
        <w:rPr/>
        <w:t>Wallets</w:t>
      </w:r>
      <w:r>
        <w:rPr>
          <w:spacing w:val="-4"/>
        </w:rPr>
        <w:t> </w:t>
      </w:r>
      <w:r>
        <w:rPr/>
        <w:t>that</w:t>
      </w:r>
      <w:r>
        <w:rPr>
          <w:spacing w:val="-4"/>
        </w:rPr>
        <w:t> </w:t>
      </w:r>
      <w:r>
        <w:rPr/>
        <w:t>receive</w:t>
      </w:r>
      <w:r>
        <w:rPr>
          <w:spacing w:val="-4"/>
        </w:rPr>
        <w:t> </w:t>
      </w:r>
      <w:r>
        <w:rPr/>
        <w:t>substantial</w:t>
      </w:r>
      <w:r>
        <w:rPr>
          <w:spacing w:val="-4"/>
        </w:rPr>
        <w:t> </w:t>
      </w:r>
      <w:r>
        <w:rPr/>
        <w:t>transfer</w:t>
      </w:r>
      <w:r>
        <w:rPr>
          <w:spacing w:val="-4"/>
        </w:rPr>
        <w:t> </w:t>
      </w:r>
      <w:r>
        <w:rPr/>
        <w:t>activity</w:t>
      </w:r>
      <w:r>
        <w:rPr>
          <w:spacing w:val="-4"/>
        </w:rPr>
        <w:t> </w:t>
      </w:r>
      <w:r>
        <w:rPr/>
        <w:t>are</w:t>
      </w:r>
      <w:r>
        <w:rPr>
          <w:spacing w:val="-4"/>
        </w:rPr>
        <w:t> </w:t>
      </w:r>
      <w:r>
        <w:rPr/>
        <w:t>somewhat</w:t>
      </w:r>
      <w:r>
        <w:rPr>
          <w:spacing w:val="-4"/>
        </w:rPr>
        <w:t> </w:t>
      </w:r>
      <w:r>
        <w:rPr/>
        <w:t>more</w:t>
      </w:r>
      <w:r>
        <w:rPr>
          <w:spacing w:val="-4"/>
        </w:rPr>
        <w:t> </w:t>
      </w:r>
      <w:r>
        <w:rPr/>
        <w:t>likely</w:t>
      </w:r>
      <w:r>
        <w:rPr>
          <w:spacing w:val="-4"/>
        </w:rPr>
        <w:t> </w:t>
      </w:r>
      <w:r>
        <w:rPr/>
        <w:t>to appear as endorsed spenders, but the relationship is far from deterministic.</w:t>
      </w:r>
      <w:r>
        <w:rPr>
          <w:spacing w:val="28"/>
        </w:rPr>
        <w:t> </w:t>
      </w:r>
      <w:r>
        <w:rPr/>
        <w:t>Allowance delegation and transfer receipt are related economic behaviors—active protocols and market makers tend to attract both—yet they are not interchangeable.</w:t>
      </w:r>
      <w:r>
        <w:rPr>
          <w:spacing w:val="40"/>
        </w:rPr>
        <w:t> </w:t>
      </w:r>
      <w:r>
        <w:rPr/>
        <w:t>The moderate EndorseRank–transfer </w:t>
      </w:r>
      <w:r>
        <w:rPr>
          <w:rFonts w:ascii="Calibri" w:hAnsi="Calibri"/>
          <w:i/>
        </w:rPr>
        <w:t>τ </w:t>
      </w:r>
      <w:r>
        <w:rPr/>
        <w:t>therefore supports</w:t>
      </w:r>
      <w:r>
        <w:rPr>
          <w:spacing w:val="-6"/>
        </w:rPr>
        <w:t> </w:t>
      </w:r>
      <w:r>
        <w:rPr/>
        <w:t>Claim</w:t>
      </w:r>
      <w:r>
        <w:rPr>
          <w:spacing w:val="-6"/>
        </w:rPr>
        <w:t> </w:t>
      </w:r>
      <w:r>
        <w:rPr/>
        <w:t>C2</w:t>
      </w:r>
      <w:r>
        <w:rPr>
          <w:spacing w:val="-6"/>
        </w:rPr>
        <w:t> </w:t>
      </w:r>
      <w:r>
        <w:rPr/>
        <w:t>(credible</w:t>
      </w:r>
      <w:r>
        <w:rPr>
          <w:spacing w:val="-6"/>
        </w:rPr>
        <w:t> </w:t>
      </w:r>
      <w:r>
        <w:rPr/>
        <w:t>secondary</w:t>
      </w:r>
      <w:r>
        <w:rPr>
          <w:spacing w:val="-6"/>
        </w:rPr>
        <w:t> </w:t>
      </w:r>
      <w:r>
        <w:rPr/>
        <w:t>alignment)</w:t>
      </w:r>
      <w:r>
        <w:rPr>
          <w:spacing w:val="-6"/>
        </w:rPr>
        <w:t> </w:t>
      </w:r>
      <w:r>
        <w:rPr/>
        <w:t>without</w:t>
      </w:r>
      <w:r>
        <w:rPr>
          <w:spacing w:val="-6"/>
        </w:rPr>
        <w:t> </w:t>
      </w:r>
      <w:r>
        <w:rPr/>
        <w:t>undermining</w:t>
      </w:r>
      <w:r>
        <w:rPr>
          <w:spacing w:val="-6"/>
        </w:rPr>
        <w:t> </w:t>
      </w:r>
      <w:r>
        <w:rPr/>
        <w:t>Claim</w:t>
      </w:r>
      <w:r>
        <w:rPr>
          <w:spacing w:val="-6"/>
        </w:rPr>
        <w:t> </w:t>
      </w:r>
      <w:r>
        <w:rPr/>
        <w:t>C3</w:t>
      </w:r>
      <w:r>
        <w:rPr>
          <w:spacing w:val="-6"/>
        </w:rPr>
        <w:t> </w:t>
      </w:r>
      <w:r>
        <w:rPr/>
        <w:t>(AWP</w:t>
      </w:r>
      <w:r>
        <w:rPr>
          <w:spacing w:val="-6"/>
        </w:rPr>
        <w:t> </w:t>
      </w:r>
      <w:r>
        <w:rPr/>
        <w:t>remains the transfer-family winner among social methods).</w:t>
      </w:r>
    </w:p>
    <w:p>
      <w:pPr>
        <w:pStyle w:val="BodyText"/>
        <w:spacing w:line="386" w:lineRule="auto" w:before="24"/>
        <w:ind w:left="282" w:right="544"/>
        <w:jc w:val="both"/>
      </w:pPr>
      <w:r>
        <w:rPr>
          <w:i/>
        </w:rPr>
        <w:t>EndorseRank는 적당한 보조 축 정렬을 보여줍니다(차수 τ = 0.344, 값 내 τ = 0.321, 계열 평균 0.333). 상당한 이체 활동을 받는 지갑은 승인된 지출자로 나타날 가능성이 다소 높지만 그 관계는 결정적이지 않습니다. 수당 위임과 이체 수령은 관련된 경제적 행동입니다. 활성 프로토콜과 시장 조성자는 두 가지 모두를 유치하는 경향이 있지만 서로 바꿔 사용할 수는 없습니다. 따라서 온건한 EndorseRank–이전 τ는 클레임 ​​C3을 훼손하지 않고 클레임 C2(신뢰할 수 있는 2차 정렬)를 지원합니다(AWP는 사회적 방법 중 이전-가족 승자로 남아 있음).</w:t>
      </w:r>
    </w:p>
    <w:p>
      <w:pPr>
        <w:pStyle w:val="BodyText"/>
        <w:spacing w:after="0" w:line="386" w:lineRule="auto"/>
        <w:jc w:val="both"/>
        <w:sectPr>
          <w:pgSz w:w="11910" w:h="16840"/>
          <w:pgMar w:header="0" w:footer="2115" w:top="1920" w:bottom="2300" w:left="992" w:right="708"/>
        </w:sectPr>
      </w:pPr>
    </w:p>
    <w:p>
      <w:pPr>
        <w:pStyle w:val="BodyText"/>
        <w:spacing w:line="386" w:lineRule="auto" w:before="68"/>
        <w:ind w:left="273" w:right="524" w:firstLine="8"/>
        <w:jc w:val="both"/>
      </w:pPr>
      <w:r>
        <w:rPr>
          <w:spacing w:val="-2"/>
        </w:rPr>
        <w:t>GF-PR</w:t>
      </w:r>
      <w:r>
        <w:rPr>
          <w:spacing w:val="-9"/>
        </w:rPr>
        <w:t> </w:t>
      </w:r>
      <w:r>
        <w:rPr>
          <w:spacing w:val="-2"/>
        </w:rPr>
        <w:t>is</w:t>
      </w:r>
      <w:r>
        <w:rPr>
          <w:spacing w:val="-9"/>
        </w:rPr>
        <w:t> </w:t>
      </w:r>
      <w:r>
        <w:rPr>
          <w:spacing w:val="-2"/>
        </w:rPr>
        <w:t>weak</w:t>
      </w:r>
      <w:r>
        <w:rPr>
          <w:spacing w:val="-9"/>
        </w:rPr>
        <w:t> </w:t>
      </w:r>
      <w:r>
        <w:rPr>
          <w:spacing w:val="-2"/>
        </w:rPr>
        <w:t>on</w:t>
      </w:r>
      <w:r>
        <w:rPr>
          <w:spacing w:val="-9"/>
        </w:rPr>
        <w:t> </w:t>
      </w:r>
      <w:r>
        <w:rPr>
          <w:spacing w:val="-2"/>
        </w:rPr>
        <w:t>transfer</w:t>
      </w:r>
      <w:r>
        <w:rPr>
          <w:spacing w:val="-9"/>
        </w:rPr>
        <w:t> </w:t>
      </w:r>
      <w:r>
        <w:rPr>
          <w:spacing w:val="-2"/>
        </w:rPr>
        <w:t>proxies</w:t>
      </w:r>
      <w:r>
        <w:rPr>
          <w:spacing w:val="-9"/>
        </w:rPr>
        <w:t> </w:t>
      </w:r>
      <w:r>
        <w:rPr>
          <w:spacing w:val="-2"/>
        </w:rPr>
        <w:t>(family</w:t>
      </w:r>
      <w:r>
        <w:rPr>
          <w:spacing w:val="-9"/>
        </w:rPr>
        <w:t> </w:t>
      </w:r>
      <w:r>
        <w:rPr>
          <w:spacing w:val="-2"/>
        </w:rPr>
        <w:t>mean</w:t>
      </w:r>
      <w:r>
        <w:rPr>
          <w:spacing w:val="-9"/>
        </w:rPr>
        <w:t> </w:t>
      </w:r>
      <w:r>
        <w:rPr>
          <w:rFonts w:ascii="Calibri"/>
          <w:spacing w:val="-2"/>
        </w:rPr>
        <w:t>0</w:t>
      </w:r>
      <w:r>
        <w:rPr>
          <w:rFonts w:ascii="Calibri"/>
          <w:i/>
          <w:spacing w:val="-2"/>
        </w:rPr>
        <w:t>.</w:t>
      </w:r>
      <w:r>
        <w:rPr>
          <w:rFonts w:ascii="Calibri"/>
          <w:spacing w:val="-2"/>
        </w:rPr>
        <w:t>246</w:t>
      </w:r>
      <w:r>
        <w:rPr>
          <w:spacing w:val="-2"/>
        </w:rPr>
        <w:t>),</w:t>
      </w:r>
      <w:r>
        <w:rPr>
          <w:spacing w:val="-6"/>
        </w:rPr>
        <w:t> </w:t>
      </w:r>
      <w:r>
        <w:rPr>
          <w:spacing w:val="-2"/>
        </w:rPr>
        <w:t>as</w:t>
      </w:r>
      <w:r>
        <w:rPr>
          <w:spacing w:val="-9"/>
        </w:rPr>
        <w:t> </w:t>
      </w:r>
      <w:r>
        <w:rPr>
          <w:spacing w:val="-2"/>
        </w:rPr>
        <w:t>expected</w:t>
      </w:r>
      <w:r>
        <w:rPr>
          <w:spacing w:val="-9"/>
        </w:rPr>
        <w:t> </w:t>
      </w:r>
      <w:r>
        <w:rPr>
          <w:spacing w:val="-2"/>
        </w:rPr>
        <w:t>for</w:t>
      </w:r>
      <w:r>
        <w:rPr>
          <w:spacing w:val="-9"/>
        </w:rPr>
        <w:t> </w:t>
      </w:r>
      <w:r>
        <w:rPr>
          <w:spacing w:val="-2"/>
        </w:rPr>
        <w:t>a</w:t>
      </w:r>
      <w:r>
        <w:rPr>
          <w:spacing w:val="-9"/>
        </w:rPr>
        <w:t> </w:t>
      </w:r>
      <w:r>
        <w:rPr>
          <w:spacing w:val="-2"/>
        </w:rPr>
        <w:t>method</w:t>
      </w:r>
      <w:r>
        <w:rPr>
          <w:spacing w:val="-9"/>
        </w:rPr>
        <w:t> </w:t>
      </w:r>
      <w:r>
        <w:rPr>
          <w:spacing w:val="-2"/>
        </w:rPr>
        <w:t>with</w:t>
      </w:r>
      <w:r>
        <w:rPr>
          <w:spacing w:val="-9"/>
        </w:rPr>
        <w:t> </w:t>
      </w:r>
      <w:r>
        <w:rPr>
          <w:spacing w:val="-2"/>
        </w:rPr>
        <w:t>no</w:t>
      </w:r>
      <w:r>
        <w:rPr>
          <w:spacing w:val="-9"/>
        </w:rPr>
        <w:t> </w:t>
      </w:r>
      <w:r>
        <w:rPr>
          <w:spacing w:val="-2"/>
        </w:rPr>
        <w:t>wallet-to-wallet</w:t>
      </w:r>
      <w:r>
        <w:rPr>
          <w:spacing w:val="-7"/>
        </w:rPr>
        <w:t> </w:t>
      </w:r>
      <w:r>
        <w:rPr>
          <w:spacing w:val="-2"/>
        </w:rPr>
        <w:t>transfer</w:t>
      </w:r>
      <w:r>
        <w:rPr>
          <w:spacing w:val="-7"/>
        </w:rPr>
        <w:t> </w:t>
      </w:r>
      <w:r>
        <w:rPr>
          <w:spacing w:val="-2"/>
        </w:rPr>
        <w:t>edges.</w:t>
      </w:r>
      <w:r>
        <w:rPr>
          <w:spacing w:val="37"/>
        </w:rPr>
        <w:t> </w:t>
      </w:r>
      <w:r>
        <w:rPr>
          <w:spacing w:val="-2"/>
        </w:rPr>
        <w:t>Any</w:t>
      </w:r>
      <w:r>
        <w:rPr>
          <w:spacing w:val="-7"/>
        </w:rPr>
        <w:t> </w:t>
      </w:r>
      <w:r>
        <w:rPr>
          <w:spacing w:val="-2"/>
        </w:rPr>
        <w:t>residual</w:t>
      </w:r>
      <w:r>
        <w:rPr>
          <w:spacing w:val="-7"/>
        </w:rPr>
        <w:t> </w:t>
      </w:r>
      <w:r>
        <w:rPr>
          <w:spacing w:val="-2"/>
        </w:rPr>
        <w:t>correlation</w:t>
      </w:r>
      <w:r>
        <w:rPr>
          <w:spacing w:val="-7"/>
        </w:rPr>
        <w:t> </w:t>
      </w:r>
      <w:r>
        <w:rPr>
          <w:spacing w:val="-2"/>
        </w:rPr>
        <w:t>likely</w:t>
      </w:r>
      <w:r>
        <w:rPr>
          <w:spacing w:val="-7"/>
        </w:rPr>
        <w:t> </w:t>
      </w:r>
      <w:r>
        <w:rPr>
          <w:spacing w:val="-2"/>
        </w:rPr>
        <w:t>reflects</w:t>
      </w:r>
      <w:r>
        <w:rPr>
          <w:spacing w:val="-7"/>
        </w:rPr>
        <w:t> </w:t>
      </w:r>
      <w:r>
        <w:rPr>
          <w:spacing w:val="-2"/>
        </w:rPr>
        <w:t>indirect</w:t>
      </w:r>
      <w:r>
        <w:rPr>
          <w:spacing w:val="-7"/>
        </w:rPr>
        <w:t> </w:t>
      </w:r>
      <w:r>
        <w:rPr>
          <w:spacing w:val="-2"/>
        </w:rPr>
        <w:t>association</w:t>
      </w:r>
      <w:r>
        <w:rPr>
          <w:spacing w:val="-7"/>
        </w:rPr>
        <w:t> </w:t>
      </w:r>
      <w:r>
        <w:rPr>
          <w:spacing w:val="-2"/>
        </w:rPr>
        <w:t>between</w:t>
      </w:r>
      <w:r>
        <w:rPr>
          <w:spacing w:val="-7"/>
        </w:rPr>
        <w:t> </w:t>
      </w:r>
      <w:r>
        <w:rPr>
          <w:spacing w:val="-2"/>
        </w:rPr>
        <w:t>profitable </w:t>
      </w:r>
      <w:r>
        <w:rPr/>
        <w:t>GMX traders and transfer activity, not transfer-graph semantics.</w:t>
      </w:r>
    </w:p>
    <w:p>
      <w:pPr>
        <w:pStyle w:val="BodyText"/>
        <w:spacing w:line="386" w:lineRule="auto" w:before="68"/>
        <w:ind w:left="273" w:right="524" w:firstLine="8"/>
        <w:jc w:val="both"/>
      </w:pPr>
      <w:r>
        <w:rPr>
          <w:i/>
        </w:rPr>
        <w:t>GF-PR은 지갑 간 전송 에지가 없는 방법에서 예상되는 것처럼 전송 프록시(가족 평균 0.246)에서 약합니다. 잔여 상관관계는 이체 그래프 의미가 아닌 수익성 있는 GMX 거래자와 이체 활동 간의 간접적인 연관성을 반영할 가능성이 높습니다.</w:t>
      </w:r>
    </w:p>
    <w:p>
      <w:pPr>
        <w:pStyle w:val="BodyText"/>
        <w:spacing w:line="396" w:lineRule="auto" w:before="27"/>
        <w:ind w:left="250" w:right="560" w:firstLine="31"/>
        <w:jc w:val="both"/>
      </w:pPr>
      <w:r>
        <w:rPr/>
        <w:t>For RQ4, the transfer family is the Do et al. baseline validation frame.</w:t>
      </w:r>
      <w:r>
        <w:rPr>
          <w:spacing w:val="29"/>
        </w:rPr>
        <w:t> </w:t>
      </w:r>
      <w:r>
        <w:rPr/>
        <w:t>Both social methods clear a</w:t>
      </w:r>
      <w:r>
        <w:rPr>
          <w:spacing w:val="-1"/>
        </w:rPr>
        <w:t> </w:t>
      </w:r>
      <w:r>
        <w:rPr/>
        <w:t>non-negligible</w:t>
      </w:r>
      <w:r>
        <w:rPr>
          <w:spacing w:val="-1"/>
        </w:rPr>
        <w:t> </w:t>
      </w:r>
      <w:r>
        <w:rPr/>
        <w:t>bar</w:t>
      </w:r>
      <w:r>
        <w:rPr>
          <w:spacing w:val="-1"/>
        </w:rPr>
        <w:t> </w:t>
      </w:r>
      <w:r>
        <w:rPr/>
        <w:t>on</w:t>
      </w:r>
      <w:r>
        <w:rPr>
          <w:spacing w:val="-1"/>
        </w:rPr>
        <w:t> </w:t>
      </w:r>
      <w:r>
        <w:rPr/>
        <w:t>this</w:t>
      </w:r>
      <w:r>
        <w:rPr>
          <w:spacing w:val="-1"/>
        </w:rPr>
        <w:t> </w:t>
      </w:r>
      <w:r>
        <w:rPr/>
        <w:t>frame, but</w:t>
      </w:r>
      <w:r>
        <w:rPr>
          <w:spacing w:val="-1"/>
        </w:rPr>
        <w:t> </w:t>
      </w:r>
      <w:r>
        <w:rPr/>
        <w:t>AWP’s</w:t>
      </w:r>
      <w:r>
        <w:rPr>
          <w:spacing w:val="-1"/>
        </w:rPr>
        <w:t> </w:t>
      </w:r>
      <w:r>
        <w:rPr/>
        <w:t>lead</w:t>
      </w:r>
      <w:r>
        <w:rPr>
          <w:spacing w:val="-1"/>
        </w:rPr>
        <w:t> </w:t>
      </w:r>
      <w:r>
        <w:rPr/>
        <w:t>is</w:t>
      </w:r>
      <w:r>
        <w:rPr>
          <w:spacing w:val="-1"/>
        </w:rPr>
        <w:t> </w:t>
      </w:r>
      <w:r>
        <w:rPr/>
        <w:t>large.</w:t>
      </w:r>
      <w:r>
        <w:rPr>
          <w:spacing w:val="25"/>
        </w:rPr>
        <w:t> </w:t>
      </w:r>
      <w:r>
        <w:rPr/>
        <w:t>If</w:t>
      </w:r>
      <w:r>
        <w:rPr>
          <w:spacing w:val="-1"/>
        </w:rPr>
        <w:t> </w:t>
      </w:r>
      <w:r>
        <w:rPr/>
        <w:t>a</w:t>
      </w:r>
      <w:r>
        <w:rPr>
          <w:spacing w:val="-1"/>
        </w:rPr>
        <w:t> </w:t>
      </w:r>
      <w:r>
        <w:rPr/>
        <w:t>protocol’s</w:t>
      </w:r>
      <w:r>
        <w:rPr>
          <w:spacing w:val="-1"/>
        </w:rPr>
        <w:t> </w:t>
      </w:r>
      <w:r>
        <w:rPr/>
        <w:t>notion</w:t>
      </w:r>
      <w:r>
        <w:rPr>
          <w:spacing w:val="-1"/>
        </w:rPr>
        <w:t> </w:t>
      </w:r>
      <w:r>
        <w:rPr/>
        <w:t>of</w:t>
      </w:r>
      <w:r>
        <w:rPr>
          <w:spacing w:val="-1"/>
        </w:rPr>
        <w:t> </w:t>
      </w:r>
      <w:r>
        <w:rPr/>
        <w:t>reputation</w:t>
      </w:r>
      <w:r>
        <w:rPr>
          <w:spacing w:val="-1"/>
        </w:rPr>
        <w:t> </w:t>
      </w:r>
      <w:r>
        <w:rPr/>
        <w:t>is “wallets</w:t>
      </w:r>
      <w:r>
        <w:rPr>
          <w:spacing w:val="-15"/>
        </w:rPr>
        <w:t> </w:t>
      </w:r>
      <w:r>
        <w:rPr/>
        <w:t>that</w:t>
      </w:r>
      <w:r>
        <w:rPr>
          <w:spacing w:val="-15"/>
        </w:rPr>
        <w:t> </w:t>
      </w:r>
      <w:r>
        <w:rPr/>
        <w:t>receive</w:t>
      </w:r>
      <w:r>
        <w:rPr>
          <w:spacing w:val="-15"/>
        </w:rPr>
        <w:t> </w:t>
      </w:r>
      <w:r>
        <w:rPr/>
        <w:t>economically</w:t>
      </w:r>
      <w:r>
        <w:rPr>
          <w:spacing w:val="-15"/>
        </w:rPr>
        <w:t> </w:t>
      </w:r>
      <w:r>
        <w:rPr/>
        <w:t>meaningful</w:t>
      </w:r>
      <w:r>
        <w:rPr>
          <w:spacing w:val="-15"/>
        </w:rPr>
        <w:t> </w:t>
      </w:r>
      <w:r>
        <w:rPr/>
        <w:t>transfers,”</w:t>
      </w:r>
      <w:r>
        <w:rPr>
          <w:spacing w:val="-14"/>
        </w:rPr>
        <w:t> </w:t>
      </w:r>
      <w:r>
        <w:rPr/>
        <w:t>AWP</w:t>
      </w:r>
      <w:r>
        <w:rPr>
          <w:spacing w:val="-15"/>
        </w:rPr>
        <w:t> </w:t>
      </w:r>
      <w:r>
        <w:rPr/>
        <w:t>is</w:t>
      </w:r>
      <w:r>
        <w:rPr>
          <w:spacing w:val="-15"/>
        </w:rPr>
        <w:t> </w:t>
      </w:r>
      <w:r>
        <w:rPr/>
        <w:t>the</w:t>
      </w:r>
      <w:r>
        <w:rPr>
          <w:spacing w:val="-15"/>
        </w:rPr>
        <w:t> </w:t>
      </w:r>
      <w:r>
        <w:rPr/>
        <w:t>appropriate</w:t>
      </w:r>
      <w:r>
        <w:rPr>
          <w:spacing w:val="-15"/>
        </w:rPr>
        <w:t> </w:t>
      </w:r>
      <w:r>
        <w:rPr/>
        <w:t>social</w:t>
      </w:r>
      <w:r>
        <w:rPr>
          <w:spacing w:val="-15"/>
        </w:rPr>
        <w:t> </w:t>
      </w:r>
      <w:r>
        <w:rPr/>
        <w:t>method</w:t>
      </w:r>
      <w:r>
        <w:rPr>
          <w:spacing w:val="-15"/>
        </w:rPr>
        <w:t> </w:t>
      </w:r>
      <w:r>
        <w:rPr/>
        <w:t>on this evidence.</w:t>
      </w:r>
      <w:r>
        <w:rPr>
          <w:spacing w:val="40"/>
        </w:rPr>
        <w:t> </w:t>
      </w:r>
      <w:r>
        <w:rPr/>
        <w:t>EndorseRank remains relevant as a secondary check: moderate transfer alignment suggests</w:t>
      </w:r>
      <w:r>
        <w:rPr>
          <w:spacing w:val="-1"/>
        </w:rPr>
        <w:t> </w:t>
      </w:r>
      <w:r>
        <w:rPr/>
        <w:t>that</w:t>
      </w:r>
      <w:r>
        <w:rPr>
          <w:spacing w:val="-1"/>
        </w:rPr>
        <w:t> </w:t>
      </w:r>
      <w:r>
        <w:rPr/>
        <w:t>endorsed</w:t>
      </w:r>
      <w:r>
        <w:rPr>
          <w:spacing w:val="-1"/>
        </w:rPr>
        <w:t> </w:t>
      </w:r>
      <w:r>
        <w:rPr/>
        <w:t>spenders</w:t>
      </w:r>
      <w:r>
        <w:rPr>
          <w:spacing w:val="-1"/>
        </w:rPr>
        <w:t> </w:t>
      </w:r>
      <w:r>
        <w:rPr/>
        <w:t>are</w:t>
      </w:r>
      <w:r>
        <w:rPr>
          <w:spacing w:val="-1"/>
        </w:rPr>
        <w:t> </w:t>
      </w:r>
      <w:r>
        <w:rPr/>
        <w:t>not</w:t>
      </w:r>
      <w:r>
        <w:rPr>
          <w:spacing w:val="-1"/>
        </w:rPr>
        <w:t> </w:t>
      </w:r>
      <w:r>
        <w:rPr/>
        <w:t>an</w:t>
      </w:r>
      <w:r>
        <w:rPr>
          <w:spacing w:val="-1"/>
        </w:rPr>
        <w:t> </w:t>
      </w:r>
      <w:r>
        <w:rPr/>
        <w:t>entirely</w:t>
      </w:r>
      <w:r>
        <w:rPr>
          <w:spacing w:val="-1"/>
        </w:rPr>
        <w:t> </w:t>
      </w:r>
      <w:r>
        <w:rPr/>
        <w:t>disjoint</w:t>
      </w:r>
      <w:r>
        <w:rPr>
          <w:spacing w:val="-1"/>
        </w:rPr>
        <w:t> </w:t>
      </w:r>
      <w:r>
        <w:rPr/>
        <w:t>population</w:t>
      </w:r>
      <w:r>
        <w:rPr>
          <w:spacing w:val="-1"/>
        </w:rPr>
        <w:t> </w:t>
      </w:r>
      <w:r>
        <w:rPr/>
        <w:t>from</w:t>
      </w:r>
      <w:r>
        <w:rPr>
          <w:spacing w:val="-1"/>
        </w:rPr>
        <w:t> </w:t>
      </w:r>
      <w:r>
        <w:rPr/>
        <w:t>transfer</w:t>
      </w:r>
      <w:r>
        <w:rPr>
          <w:spacing w:val="-1"/>
        </w:rPr>
        <w:t> </w:t>
      </w:r>
      <w:r>
        <w:rPr/>
        <w:t>recipients,</w:t>
      </w:r>
      <w:r>
        <w:rPr>
          <w:spacing w:val="-1"/>
        </w:rPr>
        <w:t> </w:t>
      </w:r>
      <w:r>
        <w:rPr/>
        <w:t>so </w:t>
      </w:r>
      <w:bookmarkStart w:name="Allowance family" w:id="187"/>
      <w:bookmarkEnd w:id="187"/>
      <w:r>
        <w:rPr/>
        <w:t>allowance</w:t>
      </w:r>
      <w:r>
        <w:rPr/>
        <w:t>-based scores are not orthogonal to economic flow—only imperfectly aligned with it.</w:t>
      </w:r>
    </w:p>
    <w:p>
      <w:pPr>
        <w:pStyle w:val="BodyText"/>
        <w:spacing w:line="396" w:lineRule="auto" w:before="27"/>
        <w:ind w:left="250" w:right="560" w:firstLine="31"/>
        <w:jc w:val="both"/>
      </w:pPr>
      <w:r>
        <w:rPr>
          <w:i/>
        </w:rPr>
        <w:t>RQ4의 경우 전이 가족은 Do et al. 기준 검증 프레임. 두 소셜 방법 모두 이 프레임에서 무시할 수 없는 기준을 클리어하지만 AWP의 리드가 큽니다. 프로토콜의 평판 개념이 "경제적으로 의미 있는 전송을 받는 지갑"이라면 AWP는 이 증거에 대한 적절한 사회적 방법입니다. EndorseRank는 2차 점검으로 관련성을 유지합니다. 적당한 이전 정렬은 승인된 지출자가 이전 수신자와 완전히 분리된 인구가 아니므로 수당 기반 점수가 경제적 흐름과 직교하지 않고 단지 불완전하게 일치함을 시사합니다.</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t>Allowance</w:t>
      </w:r>
      <w:r>
        <w:rPr>
          <w:spacing w:val="-12"/>
        </w:rPr>
        <w:t> </w:t>
      </w:r>
      <w:r>
        <w:rPr>
          <w:spacing w:val="-2"/>
        </w:rPr>
        <w:t>family</w:t>
      </w:r>
    </w:p>
    <w:p>
      <w:pPr>
        <w:pStyle w:val="Heading4"/>
        <w:numPr>
          <w:ilvl w:val="2"/>
          <w:numId w:val="8"/>
        </w:numPr>
        <w:tabs>
          <w:tab w:pos="879" w:val="left" w:leader="none"/>
        </w:tabs>
        <w:spacing w:line="240" w:lineRule="auto" w:before="1" w:after="0"/>
        <w:ind w:left="879" w:right="0" w:hanging="597"/>
        <w:jc w:val="left"/>
      </w:pPr>
      <w:r>
        <w:rPr>
          <w:i/>
        </w:rPr>
        <w:t>수당 가족</w:t>
      </w:r>
    </w:p>
    <w:p>
      <w:pPr>
        <w:pStyle w:val="BodyText"/>
        <w:spacing w:before="46"/>
        <w:rPr>
          <w:b/>
        </w:rPr>
      </w:pPr>
    </w:p>
    <w:p>
      <w:pPr>
        <w:pStyle w:val="BodyText"/>
        <w:spacing w:line="396" w:lineRule="auto"/>
        <w:ind w:left="282" w:right="527" w:hanging="8"/>
        <w:jc w:val="both"/>
      </w:pPr>
      <w:r>
        <w:rPr/>
        <w:t>Table </w:t>
      </w:r>
      <w:hyperlink w:history="true" w:anchor="_bookmark105">
        <w:r>
          <w:rPr/>
          <w:t>4.9</w:t>
        </w:r>
      </w:hyperlink>
      <w:r>
        <w:rPr/>
        <w:t> reports alignment with spender-side in-approve degree and in-approve value—EndorseRank’s primary construct.</w:t>
      </w:r>
    </w:p>
    <w:p>
      <w:pPr>
        <w:pStyle w:val="BodyText"/>
        <w:spacing w:line="396" w:lineRule="auto"/>
        <w:ind w:left="282" w:right="527" w:hanging="8"/>
        <w:jc w:val="both"/>
      </w:pPr>
      <w:r>
        <w:rPr>
          <w:i/>
        </w:rPr>
        <w:t>표 4.9는 지출자 측 승인 수준 및 승인 값과의 정렬을 보고합니다(EndorseRank의 기본 구성).</w:t>
      </w:r>
    </w:p>
    <w:p>
      <w:pPr>
        <w:pStyle w:val="BodyText"/>
        <w:spacing w:before="67"/>
        <w:ind w:left="280"/>
        <w:jc w:val="both"/>
      </w:pPr>
      <w:bookmarkStart w:name="_bookmark105" w:id="188"/>
      <w:bookmarkEnd w:id="188"/>
      <w:r>
        <w:rPr/>
      </w:r>
      <w:r>
        <w:rPr/>
        <w:t>Table</w:t>
      </w:r>
      <w:r>
        <w:rPr>
          <w:spacing w:val="-11"/>
        </w:rPr>
        <w:t> </w:t>
      </w:r>
      <w:r>
        <w:rPr/>
        <w:t>4.9:</w:t>
      </w:r>
      <w:r>
        <w:rPr>
          <w:spacing w:val="6"/>
        </w:rPr>
        <w:t> </w:t>
      </w:r>
      <w:r>
        <w:rPr/>
        <w:t>Domain</w:t>
      </w:r>
      <w:r>
        <w:rPr>
          <w:spacing w:val="-10"/>
        </w:rPr>
        <w:t> </w:t>
      </w:r>
      <w:r>
        <w:rPr/>
        <w:t>alignment</w:t>
      </w:r>
      <w:r>
        <w:rPr>
          <w:spacing w:val="-11"/>
        </w:rPr>
        <w:t> </w:t>
      </w:r>
      <w:r>
        <w:rPr/>
        <w:t>with</w:t>
      </w:r>
      <w:r>
        <w:rPr>
          <w:spacing w:val="-11"/>
        </w:rPr>
        <w:t> </w:t>
      </w:r>
      <w:r>
        <w:rPr/>
        <w:t>allowance</w:t>
      </w:r>
      <w:r>
        <w:rPr>
          <w:spacing w:val="-10"/>
        </w:rPr>
        <w:t> </w:t>
      </w:r>
      <w:r>
        <w:rPr/>
        <w:t>proxies</w:t>
      </w:r>
      <w:r>
        <w:rPr>
          <w:spacing w:val="-11"/>
        </w:rPr>
        <w:t> </w:t>
      </w:r>
      <w:r>
        <w:rPr/>
        <w:t>(spender-side</w:t>
      </w:r>
      <w:r>
        <w:rPr>
          <w:spacing w:val="-10"/>
        </w:rPr>
        <w:t> </w:t>
      </w:r>
      <w:r>
        <w:rPr/>
        <w:t>in-approve</w:t>
      </w:r>
      <w:r>
        <w:rPr>
          <w:spacing w:val="-11"/>
        </w:rPr>
        <w:t> </w:t>
      </w:r>
      <w:r>
        <w:rPr/>
        <w:t>degree</w:t>
      </w:r>
      <w:r>
        <w:rPr>
          <w:spacing w:val="-11"/>
        </w:rPr>
        <w:t> </w:t>
      </w:r>
      <w:r>
        <w:rPr/>
        <w:t>and</w:t>
      </w:r>
      <w:r>
        <w:rPr>
          <w:spacing w:val="-10"/>
        </w:rPr>
        <w:t> </w:t>
      </w:r>
      <w:r>
        <w:rPr>
          <w:spacing w:val="-2"/>
        </w:rPr>
        <w:t>value).</w:t>
      </w:r>
    </w:p>
    <w:p>
      <w:pPr>
        <w:pStyle w:val="BodyText"/>
        <w:spacing w:before="67"/>
        <w:ind w:left="280"/>
        <w:jc w:val="both"/>
      </w:pPr>
      <w:r>
        <w:rPr>
          <w:i/>
        </w:rPr>
        <w:t>표 4.9: 수당 프록시와 도메인 정렬(지출자 측 승인 정도 및 값)</w:t>
      </w:r>
    </w:p>
    <w:p>
      <w:pPr>
        <w:pStyle w:val="BodyText"/>
        <w:spacing w:before="13"/>
        <w:rPr>
          <w:sz w:val="20"/>
        </w:rPr>
      </w:pPr>
    </w:p>
    <w:tbl>
      <w:tblPr>
        <w:tblW w:w="0" w:type="auto"/>
        <w:jc w:val="left"/>
        <w:tblInd w:w="2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7"/>
        <w:gridCol w:w="1179"/>
        <w:gridCol w:w="1005"/>
      </w:tblGrid>
      <w:tr>
        <w:trPr>
          <w:trHeight w:val="381" w:hRule="atLeast"/>
        </w:trPr>
        <w:tc>
          <w:tcPr>
            <w:tcW w:w="2187"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p>
            <w:pPr>
              <w:pStyle w:val="TableParagraph"/>
              <w:spacing w:before="53"/>
              <w:ind w:left="69"/>
              <w:jc w:val="left"/>
              <w:rPr>
                <w:sz w:val="22"/>
              </w:rPr>
            </w:pPr>
            <w:r>
              <w:rPr>
                <w:i/>
              </w:rPr>
              <w:t>대리</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3"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187"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p>
            <w:pPr>
              <w:pStyle w:val="TableParagraph"/>
              <w:spacing w:line="247" w:lineRule="exact" w:before="18"/>
              <w:ind w:left="69"/>
              <w:jc w:val="left"/>
              <w:rPr>
                <w:sz w:val="22"/>
              </w:rPr>
            </w:pPr>
            <w:r>
              <w:rPr>
                <w:i/>
              </w:rPr>
              <w:t>승인되지 않은 학위</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0.360</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0.356</w:t>
            </w:r>
          </w:p>
        </w:tc>
      </w:tr>
      <w:tr>
        <w:trPr>
          <w:trHeight w:val="330" w:hRule="atLeast"/>
        </w:trPr>
        <w:tc>
          <w:tcPr>
            <w:tcW w:w="2187" w:type="dxa"/>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p>
            <w:pPr>
              <w:pStyle w:val="TableParagraph"/>
              <w:ind w:left="69"/>
              <w:jc w:val="left"/>
              <w:rPr>
                <w:sz w:val="22"/>
              </w:rPr>
            </w:pPr>
            <w:r>
              <w:rPr>
                <w:i/>
              </w:rPr>
              <w:t>승인되지 않은 값(합계)</w:t>
            </w:r>
          </w:p>
        </w:tc>
        <w:tc>
          <w:tcPr>
            <w:tcW w:w="1179" w:type="dxa"/>
          </w:tcPr>
          <w:p>
            <w:pPr>
              <w:pStyle w:val="TableParagraph"/>
              <w:ind w:left="1"/>
              <w:rPr>
                <w:sz w:val="22"/>
              </w:rPr>
            </w:pPr>
            <w:r>
              <w:rPr>
                <w:spacing w:val="-2"/>
                <w:sz w:val="22"/>
              </w:rPr>
              <w:t>0.360</w:t>
            </w:r>
          </w:p>
        </w:tc>
        <w:tc>
          <w:tcPr>
            <w:tcW w:w="1005" w:type="dxa"/>
          </w:tcPr>
          <w:p>
            <w:pPr>
              <w:pStyle w:val="TableParagraph"/>
              <w:ind w:left="26" w:right="25"/>
              <w:rPr>
                <w:sz w:val="22"/>
              </w:rPr>
            </w:pPr>
            <w:r>
              <w:rPr>
                <w:spacing w:val="-2"/>
                <w:sz w:val="22"/>
              </w:rPr>
              <w:t>0.354</w:t>
            </w:r>
          </w:p>
        </w:tc>
      </w:tr>
      <w:tr>
        <w:trPr>
          <w:trHeight w:val="601" w:hRule="atLeast"/>
        </w:trPr>
        <w:tc>
          <w:tcPr>
            <w:tcW w:w="2187"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p>
            <w:pPr>
              <w:pStyle w:val="TableParagraph"/>
              <w:spacing w:line="247" w:lineRule="exact" w:before="18"/>
              <w:ind w:left="69"/>
              <w:jc w:val="left"/>
              <w:rPr>
                <w:sz w:val="22"/>
              </w:rPr>
            </w:pPr>
            <w:r>
              <w:rPr>
                <w:i/>
              </w:rPr>
              <w:t>승인되지 않은 학위</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-0.037</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-0.030</w:t>
            </w:r>
          </w:p>
        </w:tc>
      </w:tr>
      <w:tr>
        <w:trPr>
          <w:trHeight w:val="330" w:hRule="atLeast"/>
        </w:trPr>
        <w:tc>
          <w:tcPr>
            <w:tcW w:w="2187" w:type="dxa"/>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p>
            <w:pPr>
              <w:pStyle w:val="TableParagraph"/>
              <w:ind w:left="69"/>
              <w:jc w:val="left"/>
              <w:rPr>
                <w:sz w:val="22"/>
              </w:rPr>
            </w:pPr>
            <w:r>
              <w:rPr>
                <w:i/>
              </w:rPr>
              <w:t>승인되지 않은 값(합계)</w:t>
            </w:r>
          </w:p>
        </w:tc>
        <w:tc>
          <w:tcPr>
            <w:tcW w:w="1179" w:type="dxa"/>
          </w:tcPr>
          <w:p>
            <w:pPr>
              <w:pStyle w:val="TableParagraph"/>
              <w:ind w:left="1"/>
              <w:rPr>
                <w:sz w:val="22"/>
              </w:rPr>
            </w:pPr>
            <w:r>
              <w:rPr>
                <w:spacing w:val="-2"/>
                <w:sz w:val="22"/>
              </w:rPr>
              <w:t>-0.037</w:t>
            </w:r>
          </w:p>
        </w:tc>
        <w:tc>
          <w:tcPr>
            <w:tcW w:w="1005" w:type="dxa"/>
          </w:tcPr>
          <w:p>
            <w:pPr>
              <w:pStyle w:val="TableParagraph"/>
              <w:ind w:left="26" w:right="25"/>
              <w:rPr>
                <w:sz w:val="22"/>
              </w:rPr>
            </w:pPr>
            <w:r>
              <w:rPr>
                <w:spacing w:val="-2"/>
                <w:sz w:val="22"/>
              </w:rPr>
              <w:t>-0.030</w:t>
            </w:r>
          </w:p>
        </w:tc>
      </w:tr>
      <w:tr>
        <w:trPr>
          <w:trHeight w:val="601" w:hRule="atLeast"/>
        </w:trPr>
        <w:tc>
          <w:tcPr>
            <w:tcW w:w="2187"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z w:val="22"/>
              </w:rPr>
              <w:t>In-approve</w:t>
            </w:r>
            <w:r>
              <w:rPr>
                <w:spacing w:val="-11"/>
                <w:sz w:val="22"/>
              </w:rPr>
              <w:t> </w:t>
            </w:r>
            <w:r>
              <w:rPr>
                <w:spacing w:val="-2"/>
                <w:sz w:val="22"/>
              </w:rPr>
              <w:t>degree</w:t>
            </w:r>
          </w:p>
          <w:p>
            <w:pPr>
              <w:pStyle w:val="TableParagraph"/>
              <w:spacing w:line="247" w:lineRule="exact" w:before="18"/>
              <w:ind w:left="69"/>
              <w:jc w:val="left"/>
              <w:rPr>
                <w:sz w:val="22"/>
              </w:rPr>
            </w:pPr>
            <w:r>
              <w:rPr>
                <w:i/>
              </w:rPr>
              <w:t>승인되지 않은 학위</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-0.051</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-0.042</w:t>
            </w:r>
          </w:p>
        </w:tc>
      </w:tr>
      <w:tr>
        <w:trPr>
          <w:trHeight w:val="332" w:hRule="atLeast"/>
        </w:trPr>
        <w:tc>
          <w:tcPr>
            <w:tcW w:w="2187" w:type="dxa"/>
            <w:tcBorders>
              <w:bottom w:val="single" w:sz="8" w:space="0" w:color="000000"/>
            </w:tcBorders>
          </w:tcPr>
          <w:p>
            <w:pPr>
              <w:pStyle w:val="TableParagraph"/>
              <w:ind w:left="69"/>
              <w:jc w:val="left"/>
              <w:rPr>
                <w:sz w:val="22"/>
              </w:rPr>
            </w:pPr>
            <w:r>
              <w:rPr>
                <w:sz w:val="22"/>
              </w:rPr>
              <w:t>In-approve</w:t>
            </w:r>
            <w:r>
              <w:rPr>
                <w:spacing w:val="-9"/>
                <w:sz w:val="22"/>
              </w:rPr>
              <w:t> </w:t>
            </w:r>
            <w:r>
              <w:rPr>
                <w:sz w:val="22"/>
              </w:rPr>
              <w:t>value</w:t>
            </w:r>
            <w:r>
              <w:rPr>
                <w:spacing w:val="-8"/>
                <w:sz w:val="22"/>
              </w:rPr>
              <w:t> </w:t>
            </w:r>
            <w:r>
              <w:rPr>
                <w:spacing w:val="-2"/>
                <w:sz w:val="22"/>
              </w:rPr>
              <w:t>(sum)</w:t>
            </w:r>
          </w:p>
          <w:p>
            <w:pPr>
              <w:pStyle w:val="TableParagraph"/>
              <w:ind w:left="69"/>
              <w:jc w:val="left"/>
              <w:rPr>
                <w:sz w:val="22"/>
              </w:rPr>
            </w:pPr>
            <w:r>
              <w:rPr>
                <w:i/>
              </w:rPr>
              <w:t>승인되지 않은 값(합계)</w:t>
            </w:r>
          </w:p>
        </w:tc>
        <w:tc>
          <w:tcPr>
            <w:tcW w:w="1179" w:type="dxa"/>
            <w:tcBorders>
              <w:bottom w:val="single" w:sz="8" w:space="0" w:color="000000"/>
            </w:tcBorders>
          </w:tcPr>
          <w:p>
            <w:pPr>
              <w:pStyle w:val="TableParagraph"/>
              <w:ind w:left="1"/>
              <w:rPr>
                <w:sz w:val="22"/>
              </w:rPr>
            </w:pPr>
            <w:r>
              <w:rPr>
                <w:spacing w:val="-2"/>
                <w:sz w:val="22"/>
              </w:rPr>
              <w:t>-0.050</w:t>
            </w:r>
          </w:p>
        </w:tc>
        <w:tc>
          <w:tcPr>
            <w:tcW w:w="1005" w:type="dxa"/>
            <w:tcBorders>
              <w:bottom w:val="single" w:sz="8" w:space="0" w:color="000000"/>
            </w:tcBorders>
          </w:tcPr>
          <w:p>
            <w:pPr>
              <w:pStyle w:val="TableParagraph"/>
              <w:ind w:left="26" w:right="25"/>
              <w:rPr>
                <w:sz w:val="22"/>
              </w:rPr>
            </w:pPr>
            <w:r>
              <w:rPr>
                <w:spacing w:val="-2"/>
                <w:sz w:val="22"/>
              </w:rPr>
              <w:t>-0.041</w:t>
            </w:r>
          </w:p>
        </w:tc>
      </w:tr>
    </w:tbl>
    <w:p>
      <w:pPr>
        <w:pStyle w:val="BodyText"/>
        <w:spacing w:before="166"/>
      </w:pPr>
    </w:p>
    <w:p>
      <w:pPr>
        <w:pStyle w:val="BodyText"/>
        <w:spacing w:line="386" w:lineRule="auto"/>
        <w:ind w:left="282" w:right="563"/>
        <w:jc w:val="both"/>
      </w:pPr>
      <w:r>
        <w:rPr>
          <w:spacing w:val="-2"/>
        </w:rPr>
        <w:t>EndorseRank</w:t>
      </w:r>
      <w:r>
        <w:rPr>
          <w:spacing w:val="-5"/>
        </w:rPr>
        <w:t> </w:t>
      </w:r>
      <w:r>
        <w:rPr>
          <w:spacing w:val="-2"/>
        </w:rPr>
        <w:t>shows</w:t>
      </w:r>
      <w:r>
        <w:rPr>
          <w:spacing w:val="-5"/>
        </w:rPr>
        <w:t> </w:t>
      </w:r>
      <w:r>
        <w:rPr>
          <w:spacing w:val="-2"/>
        </w:rPr>
        <w:t>credible</w:t>
      </w:r>
      <w:r>
        <w:rPr>
          <w:spacing w:val="-5"/>
        </w:rPr>
        <w:t> </w:t>
      </w:r>
      <w:r>
        <w:rPr>
          <w:spacing w:val="-2"/>
        </w:rPr>
        <w:t>primary-construct</w:t>
      </w:r>
      <w:r>
        <w:rPr>
          <w:spacing w:val="-5"/>
        </w:rPr>
        <w:t> </w:t>
      </w:r>
      <w:r>
        <w:rPr>
          <w:spacing w:val="-2"/>
        </w:rPr>
        <w:t>alignment</w:t>
      </w:r>
      <w:r>
        <w:rPr>
          <w:spacing w:val="-5"/>
        </w:rPr>
        <w:t> </w:t>
      </w:r>
      <w:r>
        <w:rPr>
          <w:spacing w:val="-2"/>
        </w:rPr>
        <w:t>with</w:t>
      </w:r>
      <w:r>
        <w:rPr>
          <w:spacing w:val="-5"/>
        </w:rPr>
        <w:t> </w:t>
      </w:r>
      <w:r>
        <w:rPr>
          <w:spacing w:val="-2"/>
        </w:rPr>
        <w:t>both</w:t>
      </w:r>
      <w:r>
        <w:rPr>
          <w:spacing w:val="-5"/>
        </w:rPr>
        <w:t> </w:t>
      </w:r>
      <w:r>
        <w:rPr>
          <w:spacing w:val="-2"/>
        </w:rPr>
        <w:t>allowance</w:t>
      </w:r>
      <w:r>
        <w:rPr>
          <w:spacing w:val="-5"/>
        </w:rPr>
        <w:t> </w:t>
      </w:r>
      <w:r>
        <w:rPr>
          <w:spacing w:val="-2"/>
        </w:rPr>
        <w:t>proxies</w:t>
      </w:r>
      <w:r>
        <w:rPr>
          <w:spacing w:val="-5"/>
        </w:rPr>
        <w:t> </w:t>
      </w:r>
      <w:r>
        <w:rPr>
          <w:spacing w:val="-2"/>
        </w:rPr>
        <w:t>(in-approve </w:t>
      </w:r>
      <w:r>
        <w:rPr/>
        <w:t>degree</w:t>
      </w:r>
      <w:r>
        <w:rPr>
          <w:spacing w:val="-12"/>
        </w:rPr>
        <w:t> </w:t>
      </w:r>
      <w:r>
        <w:rPr>
          <w:rFonts w:ascii="Calibri" w:hAnsi="Calibri"/>
          <w:i/>
        </w:rPr>
        <w:t>τ</w:t>
      </w:r>
      <w:r>
        <w:rPr>
          <w:rFonts w:ascii="Calibri" w:hAnsi="Calibri"/>
          <w:i/>
          <w:spacing w:val="21"/>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356</w:t>
      </w:r>
      <w:r>
        <w:rPr/>
        <w:t>;</w:t>
      </w:r>
      <w:r>
        <w:rPr>
          <w:spacing w:val="-9"/>
        </w:rPr>
        <w:t> </w:t>
      </w:r>
      <w:r>
        <w:rPr/>
        <w:t>in-approve</w:t>
      </w:r>
      <w:r>
        <w:rPr>
          <w:spacing w:val="-11"/>
        </w:rPr>
        <w:t> </w:t>
      </w:r>
      <w:r>
        <w:rPr/>
        <w:t>value</w:t>
      </w:r>
      <w:r>
        <w:rPr>
          <w:spacing w:val="-12"/>
        </w:rPr>
        <w:t> </w:t>
      </w:r>
      <w:r>
        <w:rPr>
          <w:rFonts w:ascii="Calibri" w:hAnsi="Calibri"/>
          <w:i/>
        </w:rPr>
        <w:t>τ</w:t>
      </w:r>
      <w:r>
        <w:rPr>
          <w:rFonts w:ascii="Calibri" w:hAnsi="Calibri"/>
          <w:i/>
          <w:spacing w:val="21"/>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354</w:t>
      </w:r>
      <w:r>
        <w:rPr/>
        <w:t>;</w:t>
      </w:r>
      <w:r>
        <w:rPr>
          <w:spacing w:val="-9"/>
        </w:rPr>
        <w:t> </w:t>
      </w:r>
      <w:r>
        <w:rPr/>
        <w:t>family</w:t>
      </w:r>
      <w:r>
        <w:rPr>
          <w:spacing w:val="-11"/>
        </w:rPr>
        <w:t> </w:t>
      </w:r>
      <w:r>
        <w:rPr/>
        <w:t>mean</w:t>
      </w:r>
      <w:r>
        <w:rPr>
          <w:spacing w:val="-11"/>
        </w:rPr>
        <w:t> </w:t>
      </w:r>
      <w:r>
        <w:rPr>
          <w:rFonts w:ascii="Calibri" w:hAnsi="Calibri"/>
        </w:rPr>
        <w:t>0</w:t>
      </w:r>
      <w:r>
        <w:rPr>
          <w:rFonts w:ascii="Calibri" w:hAnsi="Calibri"/>
          <w:i/>
        </w:rPr>
        <w:t>.</w:t>
      </w:r>
      <w:r>
        <w:rPr>
          <w:rFonts w:ascii="Calibri" w:hAnsi="Calibri"/>
        </w:rPr>
        <w:t>355</w:t>
      </w:r>
      <w:r>
        <w:rPr/>
        <w:t>). As</w:t>
      </w:r>
      <w:r>
        <w:rPr>
          <w:spacing w:val="-11"/>
        </w:rPr>
        <w:t> </w:t>
      </w:r>
      <w:r>
        <w:rPr/>
        <w:t>with</w:t>
      </w:r>
      <w:r>
        <w:rPr>
          <w:spacing w:val="-12"/>
        </w:rPr>
        <w:t> </w:t>
      </w:r>
      <w:r>
        <w:rPr/>
        <w:t>AWP</w:t>
      </w:r>
      <w:r>
        <w:rPr>
          <w:spacing w:val="-12"/>
        </w:rPr>
        <w:t> </w:t>
      </w:r>
      <w:r>
        <w:rPr/>
        <w:t>on</w:t>
      </w:r>
      <w:r>
        <w:rPr>
          <w:spacing w:val="-11"/>
        </w:rPr>
        <w:t> </w:t>
      </w:r>
      <w:r>
        <w:rPr/>
        <w:t>transfer,</w:t>
      </w:r>
      <w:r>
        <w:rPr>
          <w:spacing w:val="-10"/>
        </w:rPr>
        <w:t> </w:t>
      </w:r>
      <w:r>
        <w:rPr/>
        <w:t>this is a primary-construct check:</w:t>
      </w:r>
      <w:r>
        <w:rPr>
          <w:spacing w:val="40"/>
        </w:rPr>
        <w:t> </w:t>
      </w:r>
      <w:r>
        <w:rPr/>
        <w:t>PageRank on </w:t>
      </w:r>
      <w:r>
        <w:rPr>
          <w:rFonts w:ascii="Calibri" w:hAnsi="Calibri"/>
          <w:i/>
        </w:rPr>
        <w:t>G</w:t>
      </w:r>
      <w:r>
        <w:rPr>
          <w:vertAlign w:val="subscript"/>
        </w:rPr>
        <w:t>approve</w:t>
      </w:r>
      <w:r>
        <w:rPr>
          <w:vertAlign w:val="baseline"/>
        </w:rPr>
        <w:t> should correlate with spender-side approval centrality.</w:t>
      </w:r>
      <w:r>
        <w:rPr>
          <w:spacing w:val="37"/>
          <w:vertAlign w:val="baseline"/>
        </w:rPr>
        <w:t> </w:t>
      </w:r>
      <w:r>
        <w:rPr>
          <w:vertAlign w:val="baseline"/>
        </w:rPr>
        <w:t>The near-equality of degree and value correlations suggests that, on this cohort, being approved</w:t>
      </w:r>
      <w:r>
        <w:rPr>
          <w:spacing w:val="6"/>
          <w:vertAlign w:val="baseline"/>
        </w:rPr>
        <w:t> </w:t>
      </w:r>
      <w:r>
        <w:rPr>
          <w:vertAlign w:val="baseline"/>
        </w:rPr>
        <w:t>by</w:t>
      </w:r>
      <w:r>
        <w:rPr>
          <w:spacing w:val="6"/>
          <w:vertAlign w:val="baseline"/>
        </w:rPr>
        <w:t> </w:t>
      </w:r>
      <w:r>
        <w:rPr>
          <w:vertAlign w:val="baseline"/>
        </w:rPr>
        <w:t>many</w:t>
      </w:r>
      <w:r>
        <w:rPr>
          <w:spacing w:val="6"/>
          <w:vertAlign w:val="baseline"/>
        </w:rPr>
        <w:t> </w:t>
      </w:r>
      <w:r>
        <w:rPr>
          <w:vertAlign w:val="baseline"/>
        </w:rPr>
        <w:t>owners</w:t>
      </w:r>
      <w:r>
        <w:rPr>
          <w:spacing w:val="7"/>
          <w:vertAlign w:val="baseline"/>
        </w:rPr>
        <w:t> </w:t>
      </w:r>
      <w:r>
        <w:rPr>
          <w:vertAlign w:val="baseline"/>
        </w:rPr>
        <w:t>and</w:t>
      </w:r>
      <w:r>
        <w:rPr>
          <w:spacing w:val="6"/>
          <w:vertAlign w:val="baseline"/>
        </w:rPr>
        <w:t> </w:t>
      </w:r>
      <w:r>
        <w:rPr>
          <w:vertAlign w:val="baseline"/>
        </w:rPr>
        <w:t>being</w:t>
      </w:r>
      <w:r>
        <w:rPr>
          <w:spacing w:val="6"/>
          <w:vertAlign w:val="baseline"/>
        </w:rPr>
        <w:t> </w:t>
      </w:r>
      <w:r>
        <w:rPr>
          <w:vertAlign w:val="baseline"/>
        </w:rPr>
        <w:t>approved</w:t>
      </w:r>
      <w:r>
        <w:rPr>
          <w:spacing w:val="7"/>
          <w:vertAlign w:val="baseline"/>
        </w:rPr>
        <w:t> </w:t>
      </w:r>
      <w:r>
        <w:rPr>
          <w:vertAlign w:val="baseline"/>
        </w:rPr>
        <w:t>for</w:t>
      </w:r>
      <w:r>
        <w:rPr>
          <w:spacing w:val="6"/>
          <w:vertAlign w:val="baseline"/>
        </w:rPr>
        <w:t> </w:t>
      </w:r>
      <w:r>
        <w:rPr>
          <w:vertAlign w:val="baseline"/>
        </w:rPr>
        <w:t>large</w:t>
      </w:r>
      <w:r>
        <w:rPr>
          <w:spacing w:val="6"/>
          <w:vertAlign w:val="baseline"/>
        </w:rPr>
        <w:t> </w:t>
      </w:r>
      <w:r>
        <w:rPr>
          <w:vertAlign w:val="baseline"/>
        </w:rPr>
        <w:t>aggregate</w:t>
      </w:r>
      <w:r>
        <w:rPr>
          <w:spacing w:val="7"/>
          <w:vertAlign w:val="baseline"/>
        </w:rPr>
        <w:t> </w:t>
      </w:r>
      <w:r>
        <w:rPr>
          <w:vertAlign w:val="baseline"/>
        </w:rPr>
        <w:t>value</w:t>
      </w:r>
      <w:r>
        <w:rPr>
          <w:spacing w:val="6"/>
          <w:vertAlign w:val="baseline"/>
        </w:rPr>
        <w:t> </w:t>
      </w:r>
      <w:r>
        <w:rPr>
          <w:vertAlign w:val="baseline"/>
        </w:rPr>
        <w:t>convey</w:t>
      </w:r>
      <w:r>
        <w:rPr>
          <w:spacing w:val="6"/>
          <w:vertAlign w:val="baseline"/>
        </w:rPr>
        <w:t> </w:t>
      </w:r>
      <w:r>
        <w:rPr>
          <w:vertAlign w:val="baseline"/>
        </w:rPr>
        <w:t>similar</w:t>
      </w:r>
      <w:r>
        <w:rPr>
          <w:spacing w:val="6"/>
          <w:vertAlign w:val="baseline"/>
        </w:rPr>
        <w:t> </w:t>
      </w:r>
      <w:r>
        <w:rPr>
          <w:spacing w:val="-2"/>
          <w:vertAlign w:val="baseline"/>
        </w:rPr>
        <w:t>ranking</w:t>
      </w:r>
    </w:p>
    <w:p>
      <w:pPr>
        <w:pStyle w:val="BodyText"/>
        <w:spacing w:line="386" w:lineRule="auto"/>
        <w:ind w:left="282" w:right="563"/>
        <w:jc w:val="both"/>
      </w:pPr>
      <w:r>
        <w:rPr>
          <w:i/>
        </w:rPr>
        <w:t>EndorseRank는 두 허용 프록시와의 신뢰할 수 있는 기본 구성 정렬을 보여줍니다(승인 내 등급 τ = 0.356, 승인 내 값 τ = 0.354, 계열 평균 0.355). 전송 시 AWP와 마찬가지로 이는 기본 구성 확인입니다. Gapprove의 PageRank는 지출자 측 승인 중심성과 상관관계가 있어야 합니다. 정도와 가치 상관관계가 거의 동일하다는 것은 이 코호트에서 많은 소유자의 승인을 받고 대규모 총 가치에 대한 승인을 받는 것이 유사한 순위를 전달함을 시사합니다.</w:t>
      </w:r>
    </w:p>
    <w:p>
      <w:pPr>
        <w:pStyle w:val="BodyText"/>
        <w:spacing w:after="0" w:line="386" w:lineRule="auto"/>
        <w:jc w:val="both"/>
        <w:sectPr>
          <w:pgSz w:w="11910" w:h="16840"/>
          <w:pgMar w:header="0" w:footer="2115" w:top="1840" w:bottom="2300" w:left="992" w:right="708"/>
        </w:sectPr>
      </w:pPr>
    </w:p>
    <w:p>
      <w:pPr>
        <w:pStyle w:val="BodyText"/>
        <w:spacing w:before="72"/>
        <w:ind w:left="282"/>
        <w:jc w:val="both"/>
      </w:pPr>
      <w:r>
        <w:rPr/>
        <w:t>information</w:t>
      </w:r>
      <w:r>
        <w:rPr>
          <w:spacing w:val="-12"/>
        </w:rPr>
        <w:t> </w:t>
      </w:r>
      <w:r>
        <w:rPr/>
        <w:t>under</w:t>
      </w:r>
      <w:r>
        <w:rPr>
          <w:spacing w:val="-12"/>
        </w:rPr>
        <w:t> </w:t>
      </w:r>
      <w:r>
        <w:rPr/>
        <w:t>latest-allowance</w:t>
      </w:r>
      <w:r>
        <w:rPr>
          <w:spacing w:val="-12"/>
        </w:rPr>
        <w:t> </w:t>
      </w:r>
      <w:r>
        <w:rPr>
          <w:spacing w:val="-2"/>
        </w:rPr>
        <w:t>semantics.</w:t>
      </w:r>
    </w:p>
    <w:p>
      <w:pPr>
        <w:pStyle w:val="BodyText"/>
        <w:spacing w:before="72"/>
        <w:ind w:left="282"/>
        <w:jc w:val="both"/>
      </w:pPr>
      <w:r>
        <w:rPr>
          <w:i/>
        </w:rPr>
        <w:t>최신 허용 의미에 따른 정보.</w:t>
      </w:r>
    </w:p>
    <w:p>
      <w:pPr>
        <w:pStyle w:val="BodyText"/>
        <w:spacing w:line="456" w:lineRule="exact" w:before="54"/>
        <w:ind w:left="274" w:right="521" w:hanging="2"/>
        <w:jc w:val="both"/>
      </w:pPr>
      <w:r>
        <w:rPr/>
        <w:t>AWP alignment on allowance is near zero and slightly negative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Lucida Sans Unicode" w:hAnsi="Lucida Sans Unicode"/>
        </w:rPr>
        <w:t>—</w:t>
      </w:r>
      <w:r>
        <w:rPr>
          <w:rFonts w:ascii="Calibri" w:hAnsi="Calibri"/>
        </w:rPr>
        <w:t>0</w:t>
      </w:r>
      <w:r>
        <w:rPr>
          <w:rFonts w:ascii="Calibri" w:hAnsi="Calibri"/>
          <w:i/>
        </w:rPr>
        <w:t>.</w:t>
      </w:r>
      <w:r>
        <w:rPr>
          <w:rFonts w:ascii="Calibri" w:hAnsi="Calibri"/>
        </w:rPr>
        <w:t>030 </w:t>
      </w:r>
      <w:r>
        <w:rPr/>
        <w:t>for both proxies). Transfer</w:t>
      </w:r>
      <w:r>
        <w:rPr>
          <w:spacing w:val="-3"/>
        </w:rPr>
        <w:t> </w:t>
      </w:r>
      <w:r>
        <w:rPr/>
        <w:t>centrality</w:t>
      </w:r>
      <w:r>
        <w:rPr>
          <w:spacing w:val="-3"/>
        </w:rPr>
        <w:t> </w:t>
      </w:r>
      <w:r>
        <w:rPr/>
        <w:t>does</w:t>
      </w:r>
      <w:r>
        <w:rPr>
          <w:spacing w:val="-2"/>
        </w:rPr>
        <w:t> </w:t>
      </w:r>
      <w:r>
        <w:rPr/>
        <w:t>not</w:t>
      </w:r>
      <w:r>
        <w:rPr>
          <w:spacing w:val="-2"/>
        </w:rPr>
        <w:t> </w:t>
      </w:r>
      <w:r>
        <w:rPr/>
        <w:t>identify</w:t>
      </w:r>
      <w:r>
        <w:rPr>
          <w:spacing w:val="-2"/>
        </w:rPr>
        <w:t> </w:t>
      </w:r>
      <w:r>
        <w:rPr/>
        <w:t>wallets</w:t>
      </w:r>
      <w:r>
        <w:rPr>
          <w:spacing w:val="-3"/>
        </w:rPr>
        <w:t> </w:t>
      </w:r>
      <w:r>
        <w:rPr/>
        <w:t>that</w:t>
      </w:r>
      <w:r>
        <w:rPr>
          <w:spacing w:val="-2"/>
        </w:rPr>
        <w:t> </w:t>
      </w:r>
      <w:r>
        <w:rPr/>
        <w:t>receive</w:t>
      </w:r>
      <w:r>
        <w:rPr>
          <w:spacing w:val="-2"/>
        </w:rPr>
        <w:t> </w:t>
      </w:r>
      <w:r>
        <w:rPr/>
        <w:t>spending</w:t>
      </w:r>
      <w:r>
        <w:rPr>
          <w:spacing w:val="-2"/>
        </w:rPr>
        <w:t> </w:t>
      </w:r>
      <w:r>
        <w:rPr/>
        <w:t>authorization. This</w:t>
      </w:r>
      <w:r>
        <w:rPr>
          <w:spacing w:val="-3"/>
        </w:rPr>
        <w:t> </w:t>
      </w:r>
      <w:r>
        <w:rPr/>
        <w:t>dissociation is</w:t>
      </w:r>
      <w:r>
        <w:rPr>
          <w:spacing w:val="-3"/>
        </w:rPr>
        <w:t> </w:t>
      </w:r>
      <w:r>
        <w:rPr/>
        <w:t>central</w:t>
      </w:r>
      <w:r>
        <w:rPr>
          <w:spacing w:val="-3"/>
        </w:rPr>
        <w:t> </w:t>
      </w:r>
      <w:r>
        <w:rPr/>
        <w:t>to</w:t>
      </w:r>
      <w:r>
        <w:rPr>
          <w:spacing w:val="-3"/>
        </w:rPr>
        <w:t> </w:t>
      </w:r>
      <w:r>
        <w:rPr/>
        <w:t>the</w:t>
      </w:r>
      <w:r>
        <w:rPr>
          <w:spacing w:val="-3"/>
        </w:rPr>
        <w:t> </w:t>
      </w:r>
      <w:r>
        <w:rPr/>
        <w:t>dissertation’s</w:t>
      </w:r>
      <w:r>
        <w:rPr>
          <w:spacing w:val="-4"/>
        </w:rPr>
        <w:t> </w:t>
      </w:r>
      <w:r>
        <w:rPr/>
        <w:t>contribution: if</w:t>
      </w:r>
      <w:r>
        <w:rPr>
          <w:spacing w:val="-3"/>
        </w:rPr>
        <w:t> </w:t>
      </w:r>
      <w:r>
        <w:rPr/>
        <w:t>transfer-based</w:t>
      </w:r>
      <w:r>
        <w:rPr>
          <w:spacing w:val="-3"/>
        </w:rPr>
        <w:t> </w:t>
      </w:r>
      <w:r>
        <w:rPr/>
        <w:t>reputation</w:t>
      </w:r>
      <w:r>
        <w:rPr>
          <w:spacing w:val="-3"/>
        </w:rPr>
        <w:t> </w:t>
      </w:r>
      <w:r>
        <w:rPr/>
        <w:t>were</w:t>
      </w:r>
      <w:r>
        <w:rPr>
          <w:spacing w:val="-3"/>
        </w:rPr>
        <w:t> </w:t>
      </w:r>
      <w:r>
        <w:rPr/>
        <w:t>a</w:t>
      </w:r>
      <w:r>
        <w:rPr>
          <w:spacing w:val="-3"/>
        </w:rPr>
        <w:t> </w:t>
      </w:r>
      <w:r>
        <w:rPr/>
        <w:t>sufficient</w:t>
      </w:r>
      <w:r>
        <w:rPr>
          <w:spacing w:val="-3"/>
        </w:rPr>
        <w:t> </w:t>
      </w:r>
      <w:r>
        <w:rPr/>
        <w:t>proxy</w:t>
      </w:r>
      <w:r>
        <w:rPr>
          <w:spacing w:val="-3"/>
        </w:rPr>
        <w:t> </w:t>
      </w:r>
      <w:r>
        <w:rPr/>
        <w:t>for endorsement,</w:t>
      </w:r>
      <w:r>
        <w:rPr>
          <w:spacing w:val="-8"/>
        </w:rPr>
        <w:t> </w:t>
      </w:r>
      <w:r>
        <w:rPr/>
        <w:t>AWP</w:t>
      </w:r>
      <w:r>
        <w:rPr>
          <w:spacing w:val="-9"/>
        </w:rPr>
        <w:t> </w:t>
      </w:r>
      <w:r>
        <w:rPr/>
        <w:t>would</w:t>
      </w:r>
      <w:r>
        <w:rPr>
          <w:spacing w:val="-8"/>
        </w:rPr>
        <w:t> </w:t>
      </w:r>
      <w:r>
        <w:rPr/>
        <w:t>show</w:t>
      </w:r>
      <w:r>
        <w:rPr>
          <w:spacing w:val="-8"/>
        </w:rPr>
        <w:t> </w:t>
      </w:r>
      <w:r>
        <w:rPr/>
        <w:t>at</w:t>
      </w:r>
      <w:r>
        <w:rPr>
          <w:spacing w:val="-8"/>
        </w:rPr>
        <w:t> </w:t>
      </w:r>
      <w:r>
        <w:rPr/>
        <w:t>least</w:t>
      </w:r>
      <w:r>
        <w:rPr>
          <w:spacing w:val="-8"/>
        </w:rPr>
        <w:t> </w:t>
      </w:r>
      <w:r>
        <w:rPr/>
        <w:t>moderate</w:t>
      </w:r>
      <w:r>
        <w:rPr>
          <w:spacing w:val="-8"/>
        </w:rPr>
        <w:t> </w:t>
      </w:r>
      <w:r>
        <w:rPr/>
        <w:t>allowance</w:t>
      </w:r>
      <w:r>
        <w:rPr>
          <w:spacing w:val="-8"/>
        </w:rPr>
        <w:t> </w:t>
      </w:r>
      <w:r>
        <w:rPr/>
        <w:t>alignment.</w:t>
      </w:r>
      <w:r>
        <w:rPr>
          <w:spacing w:val="15"/>
        </w:rPr>
        <w:t> </w:t>
      </w:r>
      <w:r>
        <w:rPr/>
        <w:t>It</w:t>
      </w:r>
      <w:r>
        <w:rPr>
          <w:spacing w:val="-8"/>
        </w:rPr>
        <w:t> </w:t>
      </w:r>
      <w:r>
        <w:rPr/>
        <w:t>does</w:t>
      </w:r>
      <w:r>
        <w:rPr>
          <w:spacing w:val="-8"/>
        </w:rPr>
        <w:t> </w:t>
      </w:r>
      <w:r>
        <w:rPr/>
        <w:t>not.</w:t>
      </w:r>
      <w:r>
        <w:rPr>
          <w:spacing w:val="15"/>
        </w:rPr>
        <w:t> </w:t>
      </w:r>
      <w:r>
        <w:rPr/>
        <w:t>Protocols</w:t>
      </w:r>
      <w:r>
        <w:rPr>
          <w:spacing w:val="-9"/>
        </w:rPr>
        <w:t> </w:t>
      </w:r>
      <w:r>
        <w:rPr/>
        <w:t>that care about explicit spending authorization—for example, which addresses are trusted to move to-kens</w:t>
      </w:r>
      <w:r>
        <w:rPr>
          <w:spacing w:val="-15"/>
        </w:rPr>
        <w:t> </w:t>
      </w:r>
      <w:r>
        <w:rPr/>
        <w:t>on</w:t>
      </w:r>
      <w:r>
        <w:rPr>
          <w:spacing w:val="-15"/>
        </w:rPr>
        <w:t> </w:t>
      </w:r>
      <w:r>
        <w:rPr/>
        <w:t>behalf</w:t>
      </w:r>
      <w:r>
        <w:rPr>
          <w:spacing w:val="-15"/>
        </w:rPr>
        <w:t> </w:t>
      </w:r>
      <w:r>
        <w:rPr/>
        <w:t>of</w:t>
      </w:r>
      <w:r>
        <w:rPr>
          <w:spacing w:val="-15"/>
        </w:rPr>
        <w:t> </w:t>
      </w:r>
      <w:r>
        <w:rPr/>
        <w:t>others—cannot</w:t>
      </w:r>
      <w:r>
        <w:rPr>
          <w:spacing w:val="-15"/>
        </w:rPr>
        <w:t> </w:t>
      </w:r>
      <w:r>
        <w:rPr/>
        <w:t>substitute</w:t>
      </w:r>
      <w:r>
        <w:rPr>
          <w:spacing w:val="-15"/>
        </w:rPr>
        <w:t> </w:t>
      </w:r>
      <w:r>
        <w:rPr/>
        <w:t>AWP</w:t>
      </w:r>
      <w:r>
        <w:rPr>
          <w:spacing w:val="-15"/>
        </w:rPr>
        <w:t> </w:t>
      </w:r>
      <w:r>
        <w:rPr/>
        <w:t>for</w:t>
      </w:r>
      <w:r>
        <w:rPr>
          <w:spacing w:val="-15"/>
        </w:rPr>
        <w:t> </w:t>
      </w:r>
      <w:r>
        <w:rPr/>
        <w:t>an</w:t>
      </w:r>
      <w:r>
        <w:rPr>
          <w:spacing w:val="-15"/>
        </w:rPr>
        <w:t> </w:t>
      </w:r>
      <w:r>
        <w:rPr/>
        <w:t>allowance-aware</w:t>
      </w:r>
      <w:r>
        <w:rPr>
          <w:spacing w:val="-15"/>
        </w:rPr>
        <w:t> </w:t>
      </w:r>
      <w:r>
        <w:rPr/>
        <w:t>method</w:t>
      </w:r>
      <w:r>
        <w:rPr>
          <w:spacing w:val="-14"/>
        </w:rPr>
        <w:t> </w:t>
      </w:r>
      <w:r>
        <w:rPr/>
        <w:t>on</w:t>
      </w:r>
      <w:r>
        <w:rPr>
          <w:spacing w:val="-15"/>
        </w:rPr>
        <w:t> </w:t>
      </w:r>
      <w:r>
        <w:rPr/>
        <w:t>this</w:t>
      </w:r>
      <w:r>
        <w:rPr>
          <w:spacing w:val="-15"/>
        </w:rPr>
        <w:t> </w:t>
      </w:r>
      <w:r>
        <w:rPr>
          <w:spacing w:val="-2"/>
        </w:rPr>
        <w:t>evidence.</w:t>
      </w:r>
    </w:p>
    <w:p>
      <w:pPr>
        <w:pStyle w:val="BodyText"/>
        <w:spacing w:line="456" w:lineRule="exact" w:before="54"/>
        <w:ind w:left="274" w:right="521" w:hanging="2"/>
        <w:jc w:val="both"/>
      </w:pPr>
      <w:r>
        <w:rPr>
          <w:i/>
        </w:rPr>
        <w:t>AWP 허용량 정렬은 0에 가깝고 약간 음수입니다(두 프록시 모두 τ = —0.030). 전송 중심성은 지출 승인을 받은 지갑을 식별하지 않습니다. 이러한 분리는 논문 기여의 핵심입니다. 이전 기반 평판이 승인을 위한 충분한 프록시라면 AWP는 최소한 중간 수준의 허용 정렬을 보여줄 것입니다. 그렇지 않습니다. 명시적인 지출 승인에 관심이 있는 프로토콜(예: 다른 사람을 대신하여 토큰으로 이동하기 위해 신뢰할 수 있는 주소)은 이 증거에 대한 허용량 인식 방법을 AWP로 대체할 수 없습니다.</w:t>
      </w:r>
    </w:p>
    <w:p>
      <w:pPr>
        <w:pStyle w:val="BodyText"/>
        <w:spacing w:line="456" w:lineRule="exact" w:before="16"/>
        <w:ind w:left="282" w:right="524"/>
        <w:jc w:val="both"/>
      </w:pPr>
      <w:r>
        <w:rPr/>
        <w:t>GF-PR is likewise near zero on allowance (family mean </w:t>
      </w:r>
      <w:r>
        <w:rPr>
          <w:rFonts w:ascii="Lucida Sans Unicode" w:hAnsi="Lucida Sans Unicode"/>
        </w:rPr>
        <w:t>≈ —</w:t>
      </w:r>
      <w:r>
        <w:rPr>
          <w:rFonts w:ascii="Calibri" w:hAnsi="Calibri"/>
        </w:rPr>
        <w:t>0</w:t>
      </w:r>
      <w:r>
        <w:rPr>
          <w:rFonts w:ascii="Calibri" w:hAnsi="Calibri"/>
          <w:i/>
        </w:rPr>
        <w:t>.</w:t>
      </w:r>
      <w:r>
        <w:rPr>
          <w:rFonts w:ascii="Calibri" w:hAnsi="Calibri"/>
        </w:rPr>
        <w:t>041</w:t>
      </w:r>
      <w:r>
        <w:rPr/>
        <w:t>), confirming that outcome-native PnL flow does not encode endorsement structure.</w:t>
      </w:r>
      <w:r>
        <w:rPr>
          <w:spacing w:val="40"/>
        </w:rPr>
        <w:t> </w:t>
      </w:r>
      <w:r>
        <w:rPr/>
        <w:t>The allowance family therefore isolates EndorseRank’s distinctive signal among both the social baseline and the supplementary ceiling </w:t>
      </w:r>
      <w:r>
        <w:rPr>
          <w:spacing w:val="-2"/>
        </w:rPr>
        <w:t>reference.</w:t>
      </w:r>
    </w:p>
    <w:p>
      <w:pPr>
        <w:pStyle w:val="BodyText"/>
        <w:spacing w:line="456" w:lineRule="exact" w:before="16"/>
        <w:ind w:left="282" w:right="524"/>
        <w:jc w:val="both"/>
      </w:pPr>
      <w:r>
        <w:rPr>
          <w:i/>
        </w:rPr>
        <w:t>GF-PR은 마찬가지로 허용량에 대해 거의 0에 가깝습니다(계열 평균 ≒ -0.041). 이는 결과 기반 PnL 흐름이 보증 구조를 인코딩하지 않음을 확인시켜 줍니다. 따라서 수당군은 사회적 기준선과 추가 상한선 기준 모두에서 EndorseRank의 고유한 신호를 분리합니다.</w:t>
      </w:r>
    </w:p>
    <w:p>
      <w:pPr>
        <w:pStyle w:val="BodyText"/>
        <w:spacing w:line="391" w:lineRule="auto" w:before="157"/>
        <w:ind w:left="282" w:right="534" w:hanging="8"/>
        <w:jc w:val="both"/>
      </w:pPr>
      <w:r>
        <w:rPr/>
        <w:t>The allowance result is the empirical core of EndorseRank’s contribution.</w:t>
      </w:r>
      <w:r>
        <w:rPr>
          <w:spacing w:val="40"/>
        </w:rPr>
        <w:t> </w:t>
      </w:r>
      <w:r>
        <w:rPr/>
        <w:t>Prior transfer-based </w:t>
      </w:r>
      <w:r>
        <w:rPr>
          <w:spacing w:val="-2"/>
        </w:rPr>
        <w:t>reputation</w:t>
      </w:r>
      <w:r>
        <w:rPr>
          <w:spacing w:val="-6"/>
        </w:rPr>
        <w:t> </w:t>
      </w:r>
      <w:r>
        <w:rPr>
          <w:spacing w:val="-2"/>
        </w:rPr>
        <w:t>work</w:t>
      </w:r>
      <w:r>
        <w:rPr>
          <w:spacing w:val="-6"/>
        </w:rPr>
        <w:t> </w:t>
      </w:r>
      <w:r>
        <w:rPr>
          <w:spacing w:val="-2"/>
        </w:rPr>
        <w:t>could</w:t>
      </w:r>
      <w:r>
        <w:rPr>
          <w:spacing w:val="-6"/>
        </w:rPr>
        <w:t> </w:t>
      </w:r>
      <w:r>
        <w:rPr>
          <w:spacing w:val="-2"/>
        </w:rPr>
        <w:t>not</w:t>
      </w:r>
      <w:r>
        <w:rPr>
          <w:spacing w:val="-6"/>
        </w:rPr>
        <w:t> </w:t>
      </w:r>
      <w:r>
        <w:rPr>
          <w:spacing w:val="-2"/>
        </w:rPr>
        <w:t>have</w:t>
      </w:r>
      <w:r>
        <w:rPr>
          <w:spacing w:val="-6"/>
        </w:rPr>
        <w:t> </w:t>
      </w:r>
      <w:r>
        <w:rPr>
          <w:spacing w:val="-2"/>
        </w:rPr>
        <w:t>produced</w:t>
      </w:r>
      <w:r>
        <w:rPr>
          <w:spacing w:val="-6"/>
        </w:rPr>
        <w:t> </w:t>
      </w:r>
      <w:r>
        <w:rPr>
          <w:spacing w:val="-2"/>
        </w:rPr>
        <w:t>Table</w:t>
      </w:r>
      <w:r>
        <w:rPr>
          <w:spacing w:val="-7"/>
        </w:rPr>
        <w:t> </w:t>
      </w:r>
      <w:hyperlink w:history="true" w:anchor="_bookmark105">
        <w:r>
          <w:rPr>
            <w:spacing w:val="-2"/>
          </w:rPr>
          <w:t>4.9</w:t>
        </w:r>
      </w:hyperlink>
      <w:r>
        <w:rPr>
          <w:spacing w:val="-2"/>
        </w:rPr>
        <w:t>’s</w:t>
      </w:r>
      <w:r>
        <w:rPr>
          <w:spacing w:val="-6"/>
        </w:rPr>
        <w:t> </w:t>
      </w:r>
      <w:r>
        <w:rPr>
          <w:spacing w:val="-2"/>
        </w:rPr>
        <w:t>pattern,</w:t>
      </w:r>
      <w:r>
        <w:rPr>
          <w:spacing w:val="-4"/>
        </w:rPr>
        <w:t> </w:t>
      </w:r>
      <w:r>
        <w:rPr>
          <w:spacing w:val="-2"/>
        </w:rPr>
        <w:t>because</w:t>
      </w:r>
      <w:r>
        <w:rPr>
          <w:spacing w:val="-6"/>
        </w:rPr>
        <w:t> </w:t>
      </w:r>
      <w:r>
        <w:rPr>
          <w:spacing w:val="-2"/>
        </w:rPr>
        <w:t>transfer</w:t>
      </w:r>
      <w:r>
        <w:rPr>
          <w:spacing w:val="-6"/>
        </w:rPr>
        <w:t> </w:t>
      </w:r>
      <w:r>
        <w:rPr>
          <w:spacing w:val="-2"/>
        </w:rPr>
        <w:t>graphs</w:t>
      </w:r>
      <w:r>
        <w:rPr>
          <w:spacing w:val="-6"/>
        </w:rPr>
        <w:t> </w:t>
      </w:r>
      <w:r>
        <w:rPr>
          <w:spacing w:val="-2"/>
        </w:rPr>
        <w:t>do</w:t>
      </w:r>
      <w:r>
        <w:rPr>
          <w:spacing w:val="-6"/>
        </w:rPr>
        <w:t> </w:t>
      </w:r>
      <w:r>
        <w:rPr>
          <w:spacing w:val="-2"/>
        </w:rPr>
        <w:t>not</w:t>
      </w:r>
      <w:r>
        <w:rPr>
          <w:spacing w:val="-6"/>
        </w:rPr>
        <w:t> </w:t>
      </w:r>
      <w:r>
        <w:rPr>
          <w:spacing w:val="-2"/>
        </w:rPr>
        <w:t>encode </w:t>
      </w:r>
      <w:r>
        <w:rPr/>
        <w:t>spending authorization.</w:t>
      </w:r>
      <w:r>
        <w:rPr>
          <w:spacing w:val="40"/>
        </w:rPr>
        <w:t> </w:t>
      </w:r>
      <w:r>
        <w:rPr/>
        <w:t>By building </w:t>
      </w:r>
      <w:r>
        <w:rPr>
          <w:rFonts w:ascii="Calibri" w:hAnsi="Calibri"/>
          <w:i/>
        </w:rPr>
        <w:t>G</w:t>
      </w:r>
      <w:r>
        <w:rPr>
          <w:vertAlign w:val="subscript"/>
        </w:rPr>
        <w:t>approve</w:t>
      </w:r>
      <w:r>
        <w:rPr>
          <w:vertAlign w:val="baseline"/>
        </w:rPr>
        <w:t> from latest allowances and ranking with PageRank, EndorseRank</w:t>
      </w:r>
      <w:r>
        <w:rPr>
          <w:spacing w:val="-1"/>
          <w:vertAlign w:val="baseline"/>
        </w:rPr>
        <w:t> </w:t>
      </w:r>
      <w:r>
        <w:rPr>
          <w:vertAlign w:val="baseline"/>
        </w:rPr>
        <w:t>recovers</w:t>
      </w:r>
      <w:r>
        <w:rPr>
          <w:spacing w:val="-1"/>
          <w:vertAlign w:val="baseline"/>
        </w:rPr>
        <w:t> </w:t>
      </w:r>
      <w:r>
        <w:rPr>
          <w:vertAlign w:val="baseline"/>
        </w:rPr>
        <w:t>a</w:t>
      </w:r>
      <w:r>
        <w:rPr>
          <w:spacing w:val="-1"/>
          <w:vertAlign w:val="baseline"/>
        </w:rPr>
        <w:t> </w:t>
      </w:r>
      <w:r>
        <w:rPr>
          <w:vertAlign w:val="baseline"/>
        </w:rPr>
        <w:t>signal</w:t>
      </w:r>
      <w:r>
        <w:rPr>
          <w:spacing w:val="-1"/>
          <w:vertAlign w:val="baseline"/>
        </w:rPr>
        <w:t> </w:t>
      </w:r>
      <w:r>
        <w:rPr>
          <w:vertAlign w:val="baseline"/>
        </w:rPr>
        <w:t>that</w:t>
      </w:r>
      <w:r>
        <w:rPr>
          <w:spacing w:val="-1"/>
          <w:vertAlign w:val="baseline"/>
        </w:rPr>
        <w:t> </w:t>
      </w:r>
      <w:r>
        <w:rPr>
          <w:vertAlign w:val="baseline"/>
        </w:rPr>
        <w:t>AWP</w:t>
      </w:r>
      <w:r>
        <w:rPr>
          <w:spacing w:val="-1"/>
          <w:vertAlign w:val="baseline"/>
        </w:rPr>
        <w:t> </w:t>
      </w:r>
      <w:r>
        <w:rPr>
          <w:vertAlign w:val="baseline"/>
        </w:rPr>
        <w:t>misses</w:t>
      </w:r>
      <w:r>
        <w:rPr>
          <w:spacing w:val="-1"/>
          <w:vertAlign w:val="baseline"/>
        </w:rPr>
        <w:t> </w:t>
      </w:r>
      <w:r>
        <w:rPr>
          <w:vertAlign w:val="baseline"/>
        </w:rPr>
        <w:t>entirely.</w:t>
      </w:r>
      <w:r>
        <w:rPr>
          <w:spacing w:val="25"/>
          <w:vertAlign w:val="baseline"/>
        </w:rPr>
        <w:t> </w:t>
      </w:r>
      <w:r>
        <w:rPr>
          <w:vertAlign w:val="baseline"/>
        </w:rPr>
        <w:t>Combined</w:t>
      </w:r>
      <w:r>
        <w:rPr>
          <w:spacing w:val="-1"/>
          <w:vertAlign w:val="baseline"/>
        </w:rPr>
        <w:t> </w:t>
      </w:r>
      <w:r>
        <w:rPr>
          <w:vertAlign w:val="baseline"/>
        </w:rPr>
        <w:t>with</w:t>
      </w:r>
      <w:r>
        <w:rPr>
          <w:spacing w:val="-1"/>
          <w:vertAlign w:val="baseline"/>
        </w:rPr>
        <w:t> </w:t>
      </w:r>
      <w:r>
        <w:rPr>
          <w:vertAlign w:val="baseline"/>
        </w:rPr>
        <w:t>the</w:t>
      </w:r>
      <w:r>
        <w:rPr>
          <w:spacing w:val="-1"/>
          <w:vertAlign w:val="baseline"/>
        </w:rPr>
        <w:t> </w:t>
      </w:r>
      <w:r>
        <w:rPr>
          <w:vertAlign w:val="baseline"/>
        </w:rPr>
        <w:t>runtime</w:t>
      </w:r>
      <w:r>
        <w:rPr>
          <w:spacing w:val="-1"/>
          <w:vertAlign w:val="baseline"/>
        </w:rPr>
        <w:t> </w:t>
      </w:r>
      <w:r>
        <w:rPr>
          <w:vertAlign w:val="baseline"/>
        </w:rPr>
        <w:t>results, the allowance</w:t>
      </w:r>
      <w:r>
        <w:rPr>
          <w:spacing w:val="-1"/>
          <w:vertAlign w:val="baseline"/>
        </w:rPr>
        <w:t> </w:t>
      </w:r>
      <w:r>
        <w:rPr>
          <w:vertAlign w:val="baseline"/>
        </w:rPr>
        <w:t>family</w:t>
      </w:r>
      <w:r>
        <w:rPr>
          <w:spacing w:val="-1"/>
          <w:vertAlign w:val="baseline"/>
        </w:rPr>
        <w:t> </w:t>
      </w:r>
      <w:r>
        <w:rPr>
          <w:vertAlign w:val="baseline"/>
        </w:rPr>
        <w:t>supports</w:t>
      </w:r>
      <w:r>
        <w:rPr>
          <w:spacing w:val="-1"/>
          <w:vertAlign w:val="baseline"/>
        </w:rPr>
        <w:t> </w:t>
      </w:r>
      <w:r>
        <w:rPr>
          <w:vertAlign w:val="baseline"/>
        </w:rPr>
        <w:t>the</w:t>
      </w:r>
      <w:r>
        <w:rPr>
          <w:spacing w:val="-1"/>
          <w:vertAlign w:val="baseline"/>
        </w:rPr>
        <w:t> </w:t>
      </w:r>
      <w:r>
        <w:rPr>
          <w:vertAlign w:val="baseline"/>
        </w:rPr>
        <w:t>efficiency–alignment</w:t>
      </w:r>
      <w:r>
        <w:rPr>
          <w:spacing w:val="-1"/>
          <w:vertAlign w:val="baseline"/>
        </w:rPr>
        <w:t> </w:t>
      </w:r>
      <w:r>
        <w:rPr>
          <w:vertAlign w:val="baseline"/>
        </w:rPr>
        <w:t>trade-off</w:t>
      </w:r>
      <w:r>
        <w:rPr>
          <w:spacing w:val="-1"/>
          <w:vertAlign w:val="baseline"/>
        </w:rPr>
        <w:t> </w:t>
      </w:r>
      <w:r>
        <w:rPr>
          <w:vertAlign w:val="baseline"/>
        </w:rPr>
        <w:t>in</w:t>
      </w:r>
      <w:r>
        <w:rPr>
          <w:spacing w:val="-1"/>
          <w:vertAlign w:val="baseline"/>
        </w:rPr>
        <w:t> </w:t>
      </w:r>
      <w:r>
        <w:rPr>
          <w:vertAlign w:val="baseline"/>
        </w:rPr>
        <w:t>Claim</w:t>
      </w:r>
      <w:r>
        <w:rPr>
          <w:spacing w:val="-1"/>
          <w:vertAlign w:val="baseline"/>
        </w:rPr>
        <w:t> </w:t>
      </w:r>
      <w:r>
        <w:rPr>
          <w:vertAlign w:val="baseline"/>
        </w:rPr>
        <w:t>C4: the</w:t>
      </w:r>
      <w:r>
        <w:rPr>
          <w:spacing w:val="-1"/>
          <w:vertAlign w:val="baseline"/>
        </w:rPr>
        <w:t> </w:t>
      </w:r>
      <w:r>
        <w:rPr>
          <w:vertAlign w:val="baseline"/>
        </w:rPr>
        <w:t>cheaper</w:t>
      </w:r>
      <w:r>
        <w:rPr>
          <w:spacing w:val="-1"/>
          <w:vertAlign w:val="baseline"/>
        </w:rPr>
        <w:t> </w:t>
      </w:r>
      <w:r>
        <w:rPr>
          <w:vertAlign w:val="baseline"/>
        </w:rPr>
        <w:t>method</w:t>
      </w:r>
      <w:r>
        <w:rPr>
          <w:spacing w:val="-1"/>
          <w:vertAlign w:val="baseline"/>
        </w:rPr>
        <w:t> </w:t>
      </w:r>
      <w:r>
        <w:rPr>
          <w:vertAlign w:val="baseline"/>
        </w:rPr>
        <w:t>is </w:t>
      </w:r>
      <w:bookmarkStart w:name="Inverse-risk family (GMX PnL)" w:id="189"/>
      <w:bookmarkEnd w:id="189"/>
      <w:r>
        <w:rPr>
          <w:vertAlign w:val="baseline"/>
        </w:rPr>
        <w:t>also</w:t>
      </w:r>
      <w:r>
        <w:rPr>
          <w:vertAlign w:val="baseline"/>
        </w:rPr>
        <w:t> the only social method that aligns with authorization proxies.</w:t>
      </w:r>
    </w:p>
    <w:p>
      <w:pPr>
        <w:pStyle w:val="BodyText"/>
        <w:spacing w:line="391" w:lineRule="auto" w:before="157"/>
        <w:ind w:left="282" w:right="534" w:hanging="8"/>
        <w:jc w:val="both"/>
      </w:pPr>
      <w:r>
        <w:rPr>
          <w:i/>
        </w:rPr>
        <w:t>수당 결과는 EndorseRank 기여의 실증적 핵심입니다. 이전의 이적 기반 평판 작업은 이적 그래프가 지출 승인을 인코딩하지 않기 때문에 표 4.9의 패턴을 생성할 수 없었습니다. PageRank를 사용하여 최신 허용량 및 순위에서 Gapprove를 구축함으로써 EndorseRank는 AWP가 완전히 놓친 신호를 복구합니다. 런타임 결과와 결합하여 허용 패밀리는 클레임 ​​C4의 효율성-조정 균형을 지원합니다. 더 저렴한 방법은 인증 프록시와 일치하는 유일한 소셜 방법이기도 합니다.</w:t>
      </w:r>
    </w:p>
    <w:p>
      <w:pPr>
        <w:pStyle w:val="BodyText"/>
        <w:spacing w:before="17"/>
      </w:pPr>
    </w:p>
    <w:p>
      <w:pPr>
        <w:pStyle w:val="Heading4"/>
        <w:numPr>
          <w:ilvl w:val="2"/>
          <w:numId w:val="8"/>
        </w:numPr>
        <w:tabs>
          <w:tab w:pos="879" w:val="left" w:leader="none"/>
        </w:tabs>
        <w:spacing w:line="240" w:lineRule="auto" w:before="0" w:after="0"/>
        <w:ind w:left="879" w:right="0" w:hanging="597"/>
        <w:jc w:val="left"/>
      </w:pPr>
      <w:r>
        <w:rPr/>
        <w:t>Inverse-risk</w:t>
      </w:r>
      <w:r>
        <w:rPr>
          <w:spacing w:val="-15"/>
        </w:rPr>
        <w:t> </w:t>
      </w:r>
      <w:r>
        <w:rPr/>
        <w:t>family</w:t>
      </w:r>
      <w:r>
        <w:rPr>
          <w:spacing w:val="-14"/>
        </w:rPr>
        <w:t> </w:t>
      </w:r>
      <w:r>
        <w:rPr/>
        <w:t>(GMX</w:t>
      </w:r>
      <w:r>
        <w:rPr>
          <w:spacing w:val="-14"/>
        </w:rPr>
        <w:t> </w:t>
      </w:r>
      <w:r>
        <w:rPr>
          <w:spacing w:val="-4"/>
        </w:rPr>
        <w:t>PnL)</w:t>
      </w:r>
    </w:p>
    <w:p>
      <w:pPr>
        <w:pStyle w:val="Heading4"/>
        <w:numPr>
          <w:ilvl w:val="2"/>
          <w:numId w:val="8"/>
        </w:numPr>
        <w:tabs>
          <w:tab w:pos="879" w:val="left" w:leader="none"/>
        </w:tabs>
        <w:spacing w:line="240" w:lineRule="auto" w:before="0" w:after="0"/>
        <w:ind w:left="879" w:right="0" w:hanging="597"/>
        <w:jc w:val="left"/>
      </w:pPr>
      <w:r>
        <w:rPr>
          <w:i/>
        </w:rPr>
        <w:t>역위험군(GMX PnL)</w:t>
      </w:r>
    </w:p>
    <w:p>
      <w:pPr>
        <w:pStyle w:val="BodyText"/>
        <w:spacing w:before="46"/>
        <w:rPr>
          <w:b/>
        </w:rPr>
      </w:pPr>
    </w:p>
    <w:p>
      <w:pPr>
        <w:pStyle w:val="BodyText"/>
        <w:ind w:left="273" w:firstLine="1"/>
        <w:jc w:val="both"/>
      </w:pPr>
      <w:r>
        <w:rPr/>
        <w:t>Table</w:t>
      </w:r>
      <w:r>
        <w:rPr>
          <w:spacing w:val="-11"/>
        </w:rPr>
        <w:t> </w:t>
      </w:r>
      <w:hyperlink w:history="true" w:anchor="_bookmark106">
        <w:r>
          <w:rPr/>
          <w:t>4.10</w:t>
        </w:r>
      </w:hyperlink>
      <w:r>
        <w:rPr>
          <w:spacing w:val="-10"/>
        </w:rPr>
        <w:t> </w:t>
      </w:r>
      <w:r>
        <w:rPr/>
        <w:t>reports</w:t>
      </w:r>
      <w:r>
        <w:rPr>
          <w:spacing w:val="-10"/>
        </w:rPr>
        <w:t> </w:t>
      </w:r>
      <w:r>
        <w:rPr/>
        <w:t>alignment</w:t>
      </w:r>
      <w:r>
        <w:rPr>
          <w:spacing w:val="-10"/>
        </w:rPr>
        <w:t> </w:t>
      </w:r>
      <w:r>
        <w:rPr/>
        <w:t>with</w:t>
      </w:r>
      <w:r>
        <w:rPr>
          <w:spacing w:val="-11"/>
        </w:rPr>
        <w:t> </w:t>
      </w:r>
      <w:r>
        <w:rPr/>
        <w:t>loss-avoidance,</w:t>
      </w:r>
      <w:r>
        <w:rPr>
          <w:spacing w:val="-10"/>
        </w:rPr>
        <w:t> </w:t>
      </w:r>
      <w:r>
        <w:rPr/>
        <w:t>non-loss</w:t>
      </w:r>
      <w:r>
        <w:rPr>
          <w:spacing w:val="-10"/>
        </w:rPr>
        <w:t> </w:t>
      </w:r>
      <w:r>
        <w:rPr/>
        <w:t>close</w:t>
      </w:r>
      <w:r>
        <w:rPr>
          <w:spacing w:val="-10"/>
        </w:rPr>
        <w:t> </w:t>
      </w:r>
      <w:r>
        <w:rPr/>
        <w:t>rate,</w:t>
      </w:r>
      <w:r>
        <w:rPr>
          <w:spacing w:val="-11"/>
        </w:rPr>
        <w:t> </w:t>
      </w:r>
      <w:r>
        <w:rPr/>
        <w:t>and</w:t>
      </w:r>
      <w:r>
        <w:rPr>
          <w:spacing w:val="-10"/>
        </w:rPr>
        <w:t> </w:t>
      </w:r>
      <w:r>
        <w:rPr/>
        <w:t>worst-close</w:t>
      </w:r>
      <w:r>
        <w:rPr>
          <w:spacing w:val="-10"/>
        </w:rPr>
        <w:t> </w:t>
      </w:r>
      <w:r>
        <w:rPr/>
        <w:t>PnL</w:t>
      </w:r>
      <w:r>
        <w:rPr>
          <w:spacing w:val="-10"/>
        </w:rPr>
        <w:t> </w:t>
      </w:r>
      <w:r>
        <w:rPr>
          <w:spacing w:val="-2"/>
        </w:rPr>
        <w:t>score.</w:t>
      </w:r>
    </w:p>
    <w:p>
      <w:pPr>
        <w:pStyle w:val="BodyText"/>
        <w:ind w:left="273" w:firstLine="1"/>
        <w:jc w:val="both"/>
      </w:pPr>
      <w:r>
        <w:rPr>
          <w:i/>
        </w:rPr>
        <w:t>표 4.10은 손실 ​​회피, 무손실 마감 비율 및 최악의 마감 PnL 점수와의 정렬을 보고합니다.</w:t>
      </w:r>
    </w:p>
    <w:p>
      <w:pPr>
        <w:pStyle w:val="BodyText"/>
        <w:spacing w:line="456" w:lineRule="exact" w:before="54"/>
        <w:ind w:left="282" w:right="556" w:hanging="9"/>
        <w:jc w:val="both"/>
      </w:pPr>
      <w:r>
        <w:rPr/>
        <w:t>Among social methods, alignment is weak overall.</w:t>
      </w:r>
      <w:r>
        <w:rPr>
          <w:spacing w:val="40"/>
        </w:rPr>
        <w:t> </w:t>
      </w:r>
      <w:r>
        <w:rPr/>
        <w:t>EndorseRank family mean </w:t>
      </w:r>
      <w:r>
        <w:rPr>
          <w:rFonts w:ascii="Calibri" w:hAnsi="Calibri"/>
          <w:i/>
        </w:rPr>
        <w:t>τ</w:t>
      </w:r>
      <w:r>
        <w:rPr>
          <w:rFonts w:ascii="Calibri" w:hAnsi="Calibri"/>
          <w:i/>
          <w:spacing w:val="40"/>
        </w:rPr>
        <w:t> </w:t>
      </w:r>
      <w:r>
        <w:rPr/>
        <w:t>is </w:t>
      </w:r>
      <w:r>
        <w:rPr>
          <w:rFonts w:ascii="Calibri" w:hAnsi="Calibri"/>
        </w:rPr>
        <w:t>0</w:t>
      </w:r>
      <w:r>
        <w:rPr>
          <w:rFonts w:ascii="Calibri" w:hAnsi="Calibri"/>
          <w:i/>
        </w:rPr>
        <w:t>.</w:t>
      </w:r>
      <w:r>
        <w:rPr>
          <w:rFonts w:ascii="Calibri" w:hAnsi="Calibri"/>
        </w:rPr>
        <w:t>035</w:t>
      </w:r>
      <w:r>
        <w:rPr/>
        <w:t>, with individual proxies ranging from </w:t>
      </w:r>
      <w:r>
        <w:rPr>
          <w:rFonts w:ascii="Lucida Sans Unicode" w:hAnsi="Lucida Sans Unicode"/>
        </w:rPr>
        <w:t>—</w:t>
      </w:r>
      <w:r>
        <w:rPr>
          <w:rFonts w:ascii="Calibri" w:hAnsi="Calibri"/>
        </w:rPr>
        <w:t>0</w:t>
      </w:r>
      <w:r>
        <w:rPr>
          <w:rFonts w:ascii="Calibri" w:hAnsi="Calibri"/>
          <w:i/>
        </w:rPr>
        <w:t>.</w:t>
      </w:r>
      <w:r>
        <w:rPr>
          <w:rFonts w:ascii="Calibri" w:hAnsi="Calibri"/>
        </w:rPr>
        <w:t>031 </w:t>
      </w:r>
      <w:r>
        <w:rPr/>
        <w:t>(non-loss close rate) to </w:t>
      </w:r>
      <w:r>
        <w:rPr>
          <w:rFonts w:ascii="Calibri" w:hAnsi="Calibri"/>
        </w:rPr>
        <w:t>0</w:t>
      </w:r>
      <w:r>
        <w:rPr>
          <w:rFonts w:ascii="Calibri" w:hAnsi="Calibri"/>
          <w:i/>
        </w:rPr>
        <w:t>.</w:t>
      </w:r>
      <w:r>
        <w:rPr>
          <w:rFonts w:ascii="Calibri" w:hAnsi="Calibri"/>
        </w:rPr>
        <w:t>079 </w:t>
      </w:r>
      <w:r>
        <w:rPr/>
        <w:t>(loss avoidance).</w:t>
      </w:r>
      <w:r>
        <w:rPr>
          <w:spacing w:val="40"/>
        </w:rPr>
        <w:t> </w:t>
      </w:r>
      <w:r>
        <w:rPr/>
        <w:t>AWP is low-to-moderate</w:t>
      </w:r>
      <w:r>
        <w:rPr>
          <w:spacing w:val="-1"/>
        </w:rPr>
        <w:t> </w:t>
      </w:r>
      <w:r>
        <w:rPr/>
        <w:t>(family</w:t>
      </w:r>
      <w:r>
        <w:rPr>
          <w:spacing w:val="-1"/>
        </w:rPr>
        <w:t> </w:t>
      </w:r>
      <w:r>
        <w:rPr/>
        <w:t>mean</w:t>
      </w:r>
      <w:r>
        <w:rPr>
          <w:spacing w:val="-1"/>
        </w:rPr>
        <w:t> </w:t>
      </w:r>
      <w:r>
        <w:rPr>
          <w:rFonts w:ascii="Calibri" w:hAnsi="Calibri"/>
        </w:rPr>
        <w:t>0</w:t>
      </w:r>
      <w:r>
        <w:rPr>
          <w:rFonts w:ascii="Calibri" w:hAnsi="Calibri"/>
          <w:i/>
        </w:rPr>
        <w:t>.</w:t>
      </w:r>
      <w:r>
        <w:rPr>
          <w:rFonts w:ascii="Calibri" w:hAnsi="Calibri"/>
        </w:rPr>
        <w:t>107</w:t>
      </w:r>
      <w:r>
        <w:rPr/>
        <w:t>), driven</w:t>
      </w:r>
      <w:r>
        <w:rPr>
          <w:spacing w:val="-1"/>
        </w:rPr>
        <w:t> </w:t>
      </w:r>
      <w:r>
        <w:rPr/>
        <w:t>by</w:t>
      </w:r>
      <w:r>
        <w:rPr>
          <w:spacing w:val="-1"/>
        </w:rPr>
        <w:t> </w:t>
      </w:r>
      <w:r>
        <w:rPr/>
        <w:t>loss</w:t>
      </w:r>
      <w:r>
        <w:rPr>
          <w:spacing w:val="-1"/>
        </w:rPr>
        <w:t> </w:t>
      </w:r>
      <w:r>
        <w:rPr/>
        <w:t>avoidance</w:t>
      </w:r>
      <w:r>
        <w:rPr>
          <w:spacing w:val="-1"/>
        </w:rPr>
        <w:t> </w:t>
      </w:r>
      <w:r>
        <w:rPr/>
        <w:t>(</w:t>
      </w:r>
      <w:r>
        <w:rPr>
          <w:rFonts w:ascii="Calibri" w:hAnsi="Calibri"/>
          <w:i/>
        </w:rPr>
        <w:t>τ</w:t>
      </w:r>
      <w:r>
        <w:rPr>
          <w:rFonts w:ascii="Calibri" w:hAnsi="Calibri"/>
          <w:i/>
          <w:spacing w:val="27"/>
          <w:w w:val="125"/>
        </w:rPr>
        <w:t> </w:t>
      </w:r>
      <w:r>
        <w:rPr>
          <w:rFonts w:ascii="Calibri" w:hAnsi="Calibri"/>
          <w:w w:val="125"/>
        </w:rPr>
        <w:t>= </w:t>
      </w:r>
      <w:r>
        <w:rPr>
          <w:rFonts w:ascii="Calibri" w:hAnsi="Calibri"/>
        </w:rPr>
        <w:t>0</w:t>
      </w:r>
      <w:r>
        <w:rPr>
          <w:rFonts w:ascii="Calibri" w:hAnsi="Calibri"/>
          <w:i/>
        </w:rPr>
        <w:t>.</w:t>
      </w:r>
      <w:r>
        <w:rPr>
          <w:rFonts w:ascii="Calibri" w:hAnsi="Calibri"/>
        </w:rPr>
        <w:t>165</w:t>
      </w:r>
      <w:r>
        <w:rPr/>
        <w:t>)</w:t>
      </w:r>
      <w:r>
        <w:rPr>
          <w:spacing w:val="-1"/>
        </w:rPr>
        <w:t> </w:t>
      </w:r>
      <w:r>
        <w:rPr/>
        <w:t>and</w:t>
      </w:r>
      <w:r>
        <w:rPr>
          <w:spacing w:val="-1"/>
        </w:rPr>
        <w:t> </w:t>
      </w:r>
      <w:r>
        <w:rPr/>
        <w:t>worst-close</w:t>
      </w:r>
      <w:r>
        <w:rPr>
          <w:spacing w:val="-1"/>
        </w:rPr>
        <w:t> </w:t>
      </w:r>
      <w:r>
        <w:rPr/>
        <w:t>PnL score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137</w:t>
      </w:r>
      <w:r>
        <w:rPr/>
        <w:t>), while non-loss close rate remains negligible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019</w:t>
      </w:r>
      <w:r>
        <w:rPr/>
        <w:t>).</w:t>
      </w:r>
      <w:r>
        <w:rPr>
          <w:spacing w:val="40"/>
        </w:rPr>
        <w:t> </w:t>
      </w:r>
      <w:r>
        <w:rPr/>
        <w:t>Transfer activity is modestly associated with avoiding large losses, but neither social method ranks wallets in close agreement with inverse-risk summaries.</w:t>
      </w:r>
    </w:p>
    <w:p>
      <w:pPr>
        <w:pStyle w:val="BodyText"/>
        <w:spacing w:line="456" w:lineRule="exact" w:before="54"/>
        <w:ind w:left="282" w:right="556" w:hanging="9"/>
        <w:jc w:val="both"/>
      </w:pPr>
      <w:r>
        <w:rPr>
          <w:i/>
        </w:rPr>
        <w:t>사회적 방법 중 정렬은 전반적으로 약하다. EndorseRank 계열 평균 τ는 0.035이며, 개별 프록시의 범위는 -0.031(비손실 성사율)에서 0.079(손실 회피)입니다. AWP는 손실 회피(τ = 0.165)와 최악의 손익 점수(τ = 0.137)에 의해 발생하는 낮은 수준에서 중간 수준(계열 평균 0.107)이며, 무손실 청산률은 무시할 수 있는 수준(τ = 0.019)입니다. 전송 활동은 큰 손실을 피하는 것과 어느 정도 연관되어 있지만, 사회적 방법 중 어느 것도 역위험 요약과 밀접하게 일치하는 지갑 순위를 매기지 않습니다.</w:t>
      </w:r>
    </w:p>
    <w:p>
      <w:pPr>
        <w:pStyle w:val="BodyText"/>
        <w:spacing w:before="153"/>
        <w:ind w:left="282"/>
        <w:jc w:val="both"/>
      </w:pPr>
      <w:r>
        <w:rPr/>
        <w:t>GF-PR achieves</w:t>
      </w:r>
      <w:r>
        <w:rPr>
          <w:spacing w:val="1"/>
        </w:rPr>
        <w:t> </w:t>
      </w:r>
      <w:r>
        <w:rPr/>
        <w:t>the</w:t>
      </w:r>
      <w:r>
        <w:rPr>
          <w:spacing w:val="2"/>
        </w:rPr>
        <w:t> </w:t>
      </w:r>
      <w:r>
        <w:rPr/>
        <w:t>highest</w:t>
      </w:r>
      <w:r>
        <w:rPr>
          <w:spacing w:val="1"/>
        </w:rPr>
        <w:t> </w:t>
      </w:r>
      <w:r>
        <w:rPr/>
        <w:t>family</w:t>
      </w:r>
      <w:r>
        <w:rPr>
          <w:spacing w:val="2"/>
        </w:rPr>
        <w:t> </w:t>
      </w:r>
      <w:r>
        <w:rPr/>
        <w:t>mean</w:t>
      </w:r>
      <w:r>
        <w:rPr>
          <w:spacing w:val="1"/>
        </w:rPr>
        <w:t> </w:t>
      </w:r>
      <w:r>
        <w:rPr/>
        <w:t>(</w:t>
      </w:r>
      <w:r>
        <w:rPr>
          <w:rFonts w:ascii="Calibri" w:hAnsi="Calibri"/>
        </w:rPr>
        <w:t>0</w:t>
      </w:r>
      <w:r>
        <w:rPr>
          <w:rFonts w:ascii="Calibri" w:hAnsi="Calibri"/>
          <w:i/>
        </w:rPr>
        <w:t>.</w:t>
      </w:r>
      <w:r>
        <w:rPr>
          <w:rFonts w:ascii="Calibri" w:hAnsi="Calibri"/>
        </w:rPr>
        <w:t>376</w:t>
      </w:r>
      <w:r>
        <w:rPr/>
        <w:t>),</w:t>
      </w:r>
      <w:r>
        <w:rPr>
          <w:spacing w:val="2"/>
        </w:rPr>
        <w:t> </w:t>
      </w:r>
      <w:r>
        <w:rPr/>
        <w:t>with</w:t>
      </w:r>
      <w:r>
        <w:rPr>
          <w:spacing w:val="2"/>
        </w:rPr>
        <w:t> </w:t>
      </w:r>
      <w:r>
        <w:rPr/>
        <w:t>loss</w:t>
      </w:r>
      <w:r>
        <w:rPr>
          <w:spacing w:val="1"/>
        </w:rPr>
        <w:t> </w:t>
      </w:r>
      <w:r>
        <w:rPr/>
        <w:t>avoidance</w:t>
      </w:r>
      <w:r>
        <w:rPr>
          <w:spacing w:val="1"/>
        </w:rPr>
        <w:t> </w:t>
      </w:r>
      <w:r>
        <w:rPr>
          <w:rFonts w:ascii="Calibri" w:hAnsi="Calibri"/>
          <w:i/>
        </w:rPr>
        <w:t>τ</w:t>
      </w:r>
      <w:r>
        <w:rPr>
          <w:rFonts w:ascii="Calibri" w:hAnsi="Calibri"/>
          <w:i/>
          <w:spacing w:val="44"/>
        </w:rPr>
        <w:t> </w:t>
      </w:r>
      <w:r>
        <w:rPr>
          <w:rFonts w:ascii="Calibri" w:hAnsi="Calibri"/>
        </w:rPr>
        <w:t>=</w:t>
      </w:r>
      <w:r>
        <w:rPr>
          <w:rFonts w:ascii="Calibri" w:hAnsi="Calibri"/>
          <w:spacing w:val="18"/>
        </w:rPr>
        <w:t> </w:t>
      </w:r>
      <w:r>
        <w:rPr>
          <w:rFonts w:ascii="Calibri" w:hAnsi="Calibri"/>
        </w:rPr>
        <w:t>0</w:t>
      </w:r>
      <w:r>
        <w:rPr>
          <w:rFonts w:ascii="Calibri" w:hAnsi="Calibri"/>
          <w:i/>
        </w:rPr>
        <w:t>.</w:t>
      </w:r>
      <w:r>
        <w:rPr>
          <w:rFonts w:ascii="Calibri" w:hAnsi="Calibri"/>
        </w:rPr>
        <w:t>545</w:t>
      </w:r>
      <w:r>
        <w:rPr>
          <w:rFonts w:ascii="Calibri" w:hAnsi="Calibri"/>
          <w:spacing w:val="7"/>
        </w:rPr>
        <w:t> </w:t>
      </w:r>
      <w:r>
        <w:rPr/>
        <w:t>and worst-</w:t>
      </w:r>
      <w:r>
        <w:rPr>
          <w:spacing w:val="-2"/>
        </w:rPr>
        <w:t>close</w:t>
      </w:r>
    </w:p>
    <w:p>
      <w:pPr>
        <w:pStyle w:val="BodyText"/>
        <w:spacing w:before="153"/>
        <w:ind w:left="282"/>
        <w:jc w:val="both"/>
      </w:pPr>
      <w:r>
        <w:rPr>
          <w:i/>
        </w:rPr>
        <w:t>GF-PR은 손실 회피 τ = 0.545 및 최악의 종가로 가장 높은 계열 평균(0.376)을 달성합니다.</w:t>
      </w:r>
    </w:p>
    <w:p>
      <w:pPr>
        <w:pStyle w:val="BodyText"/>
        <w:spacing w:after="0"/>
        <w:jc w:val="both"/>
        <w:sectPr>
          <w:pgSz w:w="11910" w:h="16840"/>
          <w:pgMar w:header="0" w:footer="2115" w:top="1840" w:bottom="2300" w:left="992" w:right="708"/>
        </w:sectPr>
      </w:pPr>
    </w:p>
    <w:p>
      <w:pPr>
        <w:pStyle w:val="BodyText"/>
        <w:spacing w:line="252" w:lineRule="auto" w:before="75"/>
        <w:ind w:left="282" w:right="564" w:hanging="8"/>
      </w:pPr>
      <w:bookmarkStart w:name="_bookmark106" w:id="190"/>
      <w:bookmarkEnd w:id="190"/>
      <w:r>
        <w:rPr/>
      </w:r>
      <w:r>
        <w:rPr/>
        <w:t>Table</w:t>
      </w:r>
      <w:r>
        <w:rPr>
          <w:spacing w:val="-5"/>
        </w:rPr>
        <w:t> </w:t>
      </w:r>
      <w:r>
        <w:rPr/>
        <w:t>4.10:</w:t>
      </w:r>
      <w:r>
        <w:rPr>
          <w:spacing w:val="15"/>
        </w:rPr>
        <w:t> </w:t>
      </w:r>
      <w:r>
        <w:rPr/>
        <w:t>Domain</w:t>
      </w:r>
      <w:r>
        <w:rPr>
          <w:spacing w:val="-5"/>
        </w:rPr>
        <w:t> </w:t>
      </w:r>
      <w:r>
        <w:rPr/>
        <w:t>alignment</w:t>
      </w:r>
      <w:r>
        <w:rPr>
          <w:spacing w:val="-5"/>
        </w:rPr>
        <w:t> </w:t>
      </w:r>
      <w:r>
        <w:rPr/>
        <w:t>with</w:t>
      </w:r>
      <w:r>
        <w:rPr>
          <w:spacing w:val="-5"/>
        </w:rPr>
        <w:t> </w:t>
      </w:r>
      <w:r>
        <w:rPr/>
        <w:t>inverse-risk</w:t>
      </w:r>
      <w:r>
        <w:rPr>
          <w:spacing w:val="-5"/>
        </w:rPr>
        <w:t> </w:t>
      </w:r>
      <w:r>
        <w:rPr/>
        <w:t>proxies</w:t>
      </w:r>
      <w:r>
        <w:rPr>
          <w:spacing w:val="-5"/>
        </w:rPr>
        <w:t> </w:t>
      </w:r>
      <w:r>
        <w:rPr/>
        <w:t>from</w:t>
      </w:r>
      <w:r>
        <w:rPr>
          <w:spacing w:val="-5"/>
        </w:rPr>
        <w:t> </w:t>
      </w:r>
      <w:r>
        <w:rPr/>
        <w:t>GMX</w:t>
      </w:r>
      <w:r>
        <w:rPr>
          <w:spacing w:val="-5"/>
        </w:rPr>
        <w:t> </w:t>
      </w:r>
      <w:r>
        <w:rPr/>
        <w:t>realized</w:t>
      </w:r>
      <w:r>
        <w:rPr>
          <w:spacing w:val="-5"/>
        </w:rPr>
        <w:t> </w:t>
      </w:r>
      <w:r>
        <w:rPr/>
        <w:t>PnL</w:t>
      </w:r>
      <w:r>
        <w:rPr>
          <w:spacing w:val="-5"/>
        </w:rPr>
        <w:t> </w:t>
      </w:r>
      <w:r>
        <w:rPr/>
        <w:t>(higher</w:t>
      </w:r>
      <w:r>
        <w:rPr>
          <w:spacing w:val="-5"/>
        </w:rPr>
        <w:t> </w:t>
      </w:r>
      <w:r>
        <w:rPr/>
        <w:t>=</w:t>
      </w:r>
      <w:r>
        <w:rPr>
          <w:spacing w:val="-5"/>
        </w:rPr>
        <w:t> </w:t>
      </w:r>
      <w:r>
        <w:rPr/>
        <w:t>lower </w:t>
      </w:r>
      <w:r>
        <w:rPr>
          <w:spacing w:val="-2"/>
        </w:rPr>
        <w:t>loss).</w:t>
      </w:r>
    </w:p>
    <w:p>
      <w:pPr>
        <w:pStyle w:val="BodyText"/>
        <w:spacing w:line="252" w:lineRule="auto" w:before="75"/>
        <w:ind w:left="282" w:right="564" w:hanging="8"/>
      </w:pPr>
      <w:r>
        <w:rPr>
          <w:i/>
        </w:rPr>
        <w:t>표 4.10: GMX 실현 손익(더 높은 = 더 낮은 손실)의 역위험 프록시를 사용한 도메인 정렬.</w:t>
      </w:r>
    </w:p>
    <w:p>
      <w:pPr>
        <w:pStyle w:val="BodyText"/>
        <w:spacing w:before="10"/>
        <w:rPr>
          <w:sz w:val="17"/>
        </w:rPr>
      </w:pPr>
      <w:r>
        <w:rPr>
          <w:sz w:val="17"/>
        </w:rPr>
        <mc:AlternateContent>
          <mc:Choice Requires="wps">
            <w:drawing>
              <wp:anchor distT="0" distB="0" distL="0" distR="0" allowOverlap="1" layoutInCell="1" locked="0" behindDoc="1" simplePos="0" relativeHeight="487642112">
                <wp:simplePos x="0" y="0"/>
                <wp:positionH relativeFrom="page">
                  <wp:posOffset>2053221</wp:posOffset>
                </wp:positionH>
                <wp:positionV relativeFrom="paragraph">
                  <wp:posOffset>145738</wp:posOffset>
                </wp:positionV>
                <wp:extent cx="3453765"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3453765" cy="1270"/>
                        </a:xfrm>
                        <a:custGeom>
                          <a:avLst/>
                          <a:gdLst/>
                          <a:ahLst/>
                          <a:cxnLst/>
                          <a:rect l="l" t="t" r="r" b="b"/>
                          <a:pathLst>
                            <a:path w="3453765" h="0">
                              <a:moveTo>
                                <a:pt x="0" y="0"/>
                              </a:moveTo>
                              <a:lnTo>
                                <a:pt x="3453561"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1.671005pt;margin-top:11.475461pt;width:271.95pt;height:.1pt;mso-position-horizontal-relative:page;mso-position-vertical-relative:paragraph;z-index:-15674368;mso-wrap-distance-left:0;mso-wrap-distance-right:0" id="docshape497" coordorigin="3233,230" coordsize="5439,0" path="m3233,230l8672,230e" filled="false" stroked="true" strokeweight=".9564pt" strokecolor="#000000">
                <v:path arrowok="t"/>
                <v:stroke dashstyle="solid"/>
                <w10:wrap type="topAndBottom"/>
              </v:shape>
            </w:pict>
          </mc:Fallback>
        </mc:AlternateContent>
      </w:r>
    </w:p>
    <w:p>
      <w:pPr>
        <w:tabs>
          <w:tab w:pos="3254" w:val="left" w:leader="none"/>
        </w:tabs>
        <w:spacing w:before="49"/>
        <w:ind w:left="-1" w:right="306" w:firstLine="0"/>
        <w:jc w:val="center"/>
        <w:rPr>
          <w:rFonts w:ascii="Calibri" w:hAnsi="Calibri"/>
          <w:i/>
          <w:sz w:val="22"/>
        </w:rPr>
      </w:pPr>
      <w:r>
        <w:rPr>
          <w:spacing w:val="-2"/>
          <w:sz w:val="22"/>
        </w:rPr>
        <w:t>Proxy</w:t>
      </w:r>
      <w:r>
        <w:rPr>
          <w:sz w:val="22"/>
        </w:rPr>
        <w:tab/>
        <w:t>Spearman</w:t>
      </w:r>
      <w:r>
        <w:rPr>
          <w:spacing w:val="-5"/>
          <w:sz w:val="22"/>
        </w:rPr>
        <w:t> </w:t>
      </w:r>
      <w:r>
        <w:rPr>
          <w:rFonts w:ascii="Calibri" w:hAnsi="Calibri"/>
          <w:i/>
          <w:sz w:val="22"/>
        </w:rPr>
        <w:t>ρ</w:t>
      </w:r>
      <w:r>
        <w:rPr>
          <w:rFonts w:ascii="Calibri" w:hAnsi="Calibri"/>
          <w:i/>
          <w:spacing w:val="55"/>
          <w:w w:val="150"/>
          <w:sz w:val="22"/>
        </w:rPr>
        <w:t> </w:t>
      </w:r>
      <w:r>
        <w:rPr>
          <w:sz w:val="22"/>
        </w:rPr>
        <w:t>Kendall</w:t>
      </w:r>
      <w:r>
        <w:rPr>
          <w:spacing w:val="-4"/>
          <w:sz w:val="22"/>
        </w:rPr>
        <w:t> </w:t>
      </w:r>
      <w:r>
        <w:rPr>
          <w:rFonts w:ascii="Calibri" w:hAnsi="Calibri"/>
          <w:i/>
          <w:spacing w:val="-12"/>
          <w:sz w:val="22"/>
        </w:rPr>
        <w:t>τ</w:t>
      </w:r>
    </w:p>
    <w:p>
      <w:pPr>
        <w:tabs>
          <w:tab w:pos="3254" w:val="left" w:leader="none"/>
        </w:tabs>
        <w:spacing w:before="49"/>
        <w:ind w:left="-1" w:right="306" w:firstLine="0"/>
        <w:jc w:val="center"/>
        <w:rPr>
          <w:rFonts w:ascii="Calibri" w:hAnsi="Calibri"/>
          <w:i/>
          <w:sz w:val="22"/>
        </w:rPr>
      </w:pPr>
      <w:r>
        <w:rPr>
          <w:i/>
        </w:rPr>
        <w:t>대리</w:t>
        <w:tab/>
        <w:t>Spearman ρ Kendall τ</w:t>
      </w:r>
    </w:p>
    <w:p>
      <w:pPr>
        <w:pStyle w:val="BodyText"/>
        <w:spacing w:before="11"/>
        <w:rPr>
          <w:rFonts w:ascii="Calibri"/>
          <w:i/>
          <w:sz w:val="3"/>
        </w:rPr>
      </w:pPr>
      <w:r>
        <w:rPr>
          <w:rFonts w:ascii="Calibri"/>
          <w:i/>
          <w:sz w:val="3"/>
        </w:rPr>
        <mc:AlternateContent>
          <mc:Choice Requires="wps">
            <w:drawing>
              <wp:anchor distT="0" distB="0" distL="0" distR="0" allowOverlap="1" layoutInCell="1" locked="0" behindDoc="1" simplePos="0" relativeHeight="487642624">
                <wp:simplePos x="0" y="0"/>
                <wp:positionH relativeFrom="page">
                  <wp:posOffset>2053221</wp:posOffset>
                </wp:positionH>
                <wp:positionV relativeFrom="paragraph">
                  <wp:posOffset>45517</wp:posOffset>
                </wp:positionV>
                <wp:extent cx="3453765"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3453765" cy="1270"/>
                        </a:xfrm>
                        <a:custGeom>
                          <a:avLst/>
                          <a:gdLst/>
                          <a:ahLst/>
                          <a:cxnLst/>
                          <a:rect l="l" t="t" r="r" b="b"/>
                          <a:pathLst>
                            <a:path w="3453765" h="0">
                              <a:moveTo>
                                <a:pt x="0" y="0"/>
                              </a:moveTo>
                              <a:lnTo>
                                <a:pt x="3453561"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1.671005pt;margin-top:3.584066pt;width:271.95pt;height:.1pt;mso-position-horizontal-relative:page;mso-position-vertical-relative:paragraph;z-index:-15673856;mso-wrap-distance-left:0;mso-wrap-distance-right:0" id="docshape498" coordorigin="3233,72" coordsize="5439,0" path="m3233,72l8672,72e" filled="false" stroked="true" strokeweight=".5978pt" strokecolor="#000000">
                <v:path arrowok="t"/>
                <v:stroke dashstyle="solid"/>
                <w10:wrap type="topAndBottom"/>
              </v:shape>
            </w:pict>
          </mc:Fallback>
        </mc:AlternateContent>
      </w:r>
    </w:p>
    <w:p>
      <w:pPr>
        <w:spacing w:before="164"/>
        <w:ind w:left="2311" w:right="0" w:firstLine="0"/>
        <w:jc w:val="left"/>
        <w:rPr>
          <w:sz w:val="22"/>
        </w:rPr>
      </w:pPr>
      <w:r>
        <w:rPr>
          <w:sz w:val="22"/>
        </w:rPr>
        <w:t>Loss</w:t>
      </w:r>
      <w:r>
        <w:rPr>
          <w:spacing w:val="8"/>
          <w:sz w:val="22"/>
        </w:rPr>
        <w:t> </w:t>
      </w:r>
      <w:r>
        <w:rPr>
          <w:sz w:val="22"/>
        </w:rPr>
        <w:t>avoidance</w:t>
      </w:r>
      <w:r>
        <w:rPr>
          <w:spacing w:val="9"/>
          <w:sz w:val="22"/>
        </w:rPr>
        <w:t> </w:t>
      </w:r>
      <w:r>
        <w:rPr>
          <w:sz w:val="22"/>
        </w:rPr>
        <w:t>(</w:t>
      </w:r>
      <w:r>
        <w:rPr>
          <w:rFonts w:ascii="Lucida Sans Unicode" w:hAnsi="Lucida Sans Unicode"/>
          <w:sz w:val="22"/>
        </w:rPr>
        <w:t>—</w:t>
      </w:r>
      <w:r>
        <w:rPr>
          <w:rFonts w:ascii="Lucida Sans Unicode" w:hAnsi="Lucida Sans Unicode"/>
          <w:spacing w:val="-27"/>
          <w:sz w:val="22"/>
        </w:rPr>
        <w:t> </w:t>
      </w:r>
      <w:r>
        <w:rPr>
          <w:position w:val="16"/>
          <w:sz w:val="22"/>
        </w:rPr>
        <w:t>Σ</w:t>
      </w:r>
      <w:r>
        <w:rPr>
          <w:spacing w:val="-13"/>
          <w:position w:val="16"/>
          <w:sz w:val="22"/>
        </w:rPr>
        <w:t> </w:t>
      </w:r>
      <w:r>
        <w:rPr>
          <w:spacing w:val="-4"/>
          <w:sz w:val="22"/>
        </w:rPr>
        <w:t>min</w:t>
      </w:r>
      <w:r>
        <w:rPr>
          <w:rFonts w:ascii="Calibri" w:hAnsi="Calibri"/>
          <w:spacing w:val="-4"/>
          <w:sz w:val="22"/>
        </w:rPr>
        <w:t>(</w:t>
      </w:r>
      <w:r>
        <w:rPr>
          <w:spacing w:val="-4"/>
          <w:sz w:val="22"/>
        </w:rPr>
        <w:t>P</w:t>
      </w:r>
    </w:p>
    <w:p>
      <w:pPr>
        <w:spacing w:before="164"/>
        <w:ind w:left="2311" w:right="0" w:firstLine="0"/>
        <w:jc w:val="left"/>
        <w:rPr>
          <w:sz w:val="22"/>
        </w:rPr>
      </w:pPr>
      <w:r>
        <w:rPr>
          <w:i/>
        </w:rPr>
        <w:t>손실 회피 (— Σ min(P</w:t>
      </w:r>
    </w:p>
    <w:p>
      <w:pPr>
        <w:spacing w:line="1200" w:lineRule="atLeast" w:before="4"/>
        <w:ind w:left="2311" w:right="5052" w:hanging="1"/>
        <w:jc w:val="left"/>
        <w:rPr>
          <w:sz w:val="22"/>
        </w:rPr>
      </w:pPr>
      <w:r>
        <w:rPr>
          <w:sz w:val="22"/>
        </w:rPr>
        <mc:AlternateContent>
          <mc:Choice Requires="wps">
            <w:drawing>
              <wp:anchor distT="0" distB="0" distL="0" distR="0" allowOverlap="1" layoutInCell="1" locked="0" behindDoc="0" simplePos="0" relativeHeight="15783936">
                <wp:simplePos x="0" y="0"/>
                <wp:positionH relativeFrom="page">
                  <wp:posOffset>2015121</wp:posOffset>
                </wp:positionH>
                <wp:positionV relativeFrom="paragraph">
                  <wp:posOffset>-356489</wp:posOffset>
                </wp:positionV>
                <wp:extent cx="3529965" cy="225615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3529965" cy="22561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2"/>
                              <w:gridCol w:w="1738"/>
                              <w:gridCol w:w="1049"/>
                            </w:tblGrid>
                            <w:tr>
                              <w:trPr>
                                <w:trHeight w:val="527" w:hRule="atLeast"/>
                              </w:trPr>
                              <w:tc>
                                <w:tcPr>
                                  <w:tcW w:w="2652" w:type="dxa"/>
                                </w:tcPr>
                                <w:p>
                                  <w:pPr>
                                    <w:pStyle w:val="TableParagraph"/>
                                    <w:spacing w:line="242" w:lineRule="exact" w:before="0"/>
                                    <w:ind w:left="69"/>
                                    <w:jc w:val="left"/>
                                    <w:rPr>
                                      <w:i/>
                                      <w:sz w:val="22"/>
                                    </w:rPr>
                                  </w:pPr>
                                  <w:r>
                                    <w:rPr>
                                      <w:i/>
                                      <w:spacing w:val="-2"/>
                                      <w:sz w:val="22"/>
                                    </w:rPr>
                                    <w:t>EndorseRank</w:t>
                                  </w:r>
                                </w:p>
                              </w:tc>
                              <w:tc>
                                <w:tcPr>
                                  <w:tcW w:w="2787" w:type="dxa"/>
                                  <w:gridSpan w:val="2"/>
                                </w:tcPr>
                                <w:p>
                                  <w:pPr>
                                    <w:pStyle w:val="TableParagraph"/>
                                    <w:tabs>
                                      <w:tab w:pos="946" w:val="left" w:leader="none"/>
                                      <w:tab w:pos="2529" w:val="right" w:leader="none"/>
                                    </w:tabs>
                                    <w:spacing w:line="251" w:lineRule="exact" w:before="256"/>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0.097</w:t>
                                  </w:r>
                                  <w:r>
                                    <w:rPr>
                                      <w:sz w:val="22"/>
                                    </w:rPr>
                                    <w:tab/>
                                  </w:r>
                                  <w:r>
                                    <w:rPr>
                                      <w:spacing w:val="-2"/>
                                      <w:sz w:val="22"/>
                                    </w:rPr>
                                    <w:t>0.079</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61"/>
                                    <w:jc w:val="right"/>
                                    <w:rPr>
                                      <w:sz w:val="22"/>
                                    </w:rPr>
                                  </w:pPr>
                                  <w:r>
                                    <w:rPr>
                                      <w:spacing w:val="-2"/>
                                      <w:sz w:val="22"/>
                                    </w:rPr>
                                    <w:t>-0.037</w:t>
                                  </w:r>
                                </w:p>
                              </w:tc>
                              <w:tc>
                                <w:tcPr>
                                  <w:tcW w:w="1049" w:type="dxa"/>
                                </w:tcPr>
                                <w:p>
                                  <w:pPr>
                                    <w:pStyle w:val="TableParagraph"/>
                                    <w:spacing w:line="247" w:lineRule="exact"/>
                                    <w:ind w:left="43"/>
                                    <w:rPr>
                                      <w:sz w:val="22"/>
                                    </w:rPr>
                                  </w:pPr>
                                  <w:r>
                                    <w:rPr>
                                      <w:spacing w:val="-2"/>
                                      <w:sz w:val="22"/>
                                    </w:rPr>
                                    <w:t>-0.031</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0.070</w:t>
                                  </w:r>
                                </w:p>
                              </w:tc>
                              <w:tc>
                                <w:tcPr>
                                  <w:tcW w:w="1049" w:type="dxa"/>
                                </w:tcPr>
                                <w:p>
                                  <w:pPr>
                                    <w:pStyle w:val="TableParagraph"/>
                                    <w:spacing w:line="233" w:lineRule="exact"/>
                                    <w:ind w:left="43"/>
                                    <w:rPr>
                                      <w:sz w:val="22"/>
                                    </w:rPr>
                                  </w:pPr>
                                  <w:r>
                                    <w:rPr>
                                      <w:spacing w:val="-2"/>
                                      <w:sz w:val="22"/>
                                    </w:rPr>
                                    <w:t>0.057</w:t>
                                  </w:r>
                                </w:p>
                              </w:tc>
                            </w:tr>
                            <w:tr>
                              <w:trPr>
                                <w:trHeight w:val="676" w:hRule="atLeast"/>
                              </w:trPr>
                              <w:tc>
                                <w:tcPr>
                                  <w:tcW w:w="2652" w:type="dxa"/>
                                </w:tcPr>
                                <w:p>
                                  <w:pPr>
                                    <w:pStyle w:val="TableParagraph"/>
                                    <w:spacing w:before="138"/>
                                    <w:ind w:left="69"/>
                                    <w:jc w:val="left"/>
                                    <w:rPr>
                                      <w:i/>
                                      <w:sz w:val="22"/>
                                    </w:rPr>
                                  </w:pPr>
                                  <w:r>
                                    <w:rPr>
                                      <w:i/>
                                      <w:spacing w:val="-5"/>
                                      <w:sz w:val="22"/>
                                    </w:rPr>
                                    <w:t>AWP</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0.243</w:t>
                                  </w:r>
                                  <w:r>
                                    <w:rPr>
                                      <w:sz w:val="22"/>
                                    </w:rPr>
                                    <w:tab/>
                                  </w:r>
                                  <w:r>
                                    <w:rPr>
                                      <w:spacing w:val="-2"/>
                                      <w:sz w:val="22"/>
                                    </w:rPr>
                                    <w:t>0.165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0.028</w:t>
                                  </w:r>
                                </w:p>
                              </w:tc>
                              <w:tc>
                                <w:tcPr>
                                  <w:tcW w:w="1049" w:type="dxa"/>
                                </w:tcPr>
                                <w:p>
                                  <w:pPr>
                                    <w:pStyle w:val="TableParagraph"/>
                                    <w:spacing w:line="247" w:lineRule="exact"/>
                                    <w:ind w:left="43"/>
                                    <w:rPr>
                                      <w:sz w:val="22"/>
                                    </w:rPr>
                                  </w:pPr>
                                  <w:r>
                                    <w:rPr>
                                      <w:spacing w:val="-2"/>
                                      <w:sz w:val="22"/>
                                    </w:rPr>
                                    <w:t>0.019</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0.204</w:t>
                                  </w:r>
                                </w:p>
                              </w:tc>
                              <w:tc>
                                <w:tcPr>
                                  <w:tcW w:w="1049" w:type="dxa"/>
                                </w:tcPr>
                                <w:p>
                                  <w:pPr>
                                    <w:pStyle w:val="TableParagraph"/>
                                    <w:spacing w:line="233" w:lineRule="exact"/>
                                    <w:ind w:left="43"/>
                                    <w:rPr>
                                      <w:sz w:val="22"/>
                                    </w:rPr>
                                  </w:pPr>
                                  <w:r>
                                    <w:rPr>
                                      <w:spacing w:val="-2"/>
                                      <w:sz w:val="22"/>
                                    </w:rPr>
                                    <w:t>0.137</w:t>
                                  </w:r>
                                </w:p>
                              </w:tc>
                            </w:tr>
                            <w:tr>
                              <w:trPr>
                                <w:trHeight w:val="676" w:hRule="atLeast"/>
                              </w:trPr>
                              <w:tc>
                                <w:tcPr>
                                  <w:tcW w:w="2652" w:type="dxa"/>
                                </w:tcPr>
                                <w:p>
                                  <w:pPr>
                                    <w:pStyle w:val="TableParagraph"/>
                                    <w:spacing w:before="138"/>
                                    <w:ind w:left="69"/>
                                    <w:jc w:val="left"/>
                                    <w:rPr>
                                      <w:i/>
                                      <w:sz w:val="22"/>
                                    </w:rPr>
                                  </w:pPr>
                                  <w:r>
                                    <w:rPr>
                                      <w:i/>
                                      <w:spacing w:val="-2"/>
                                      <w:sz w:val="22"/>
                                    </w:rPr>
                                    <w:t>GF-</w:t>
                                  </w:r>
                                  <w:r>
                                    <w:rPr>
                                      <w:i/>
                                      <w:spacing w:val="-5"/>
                                      <w:sz w:val="22"/>
                                    </w:rPr>
                                    <w:t>PR</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0.675</w:t>
                                  </w:r>
                                  <w:r>
                                    <w:rPr>
                                      <w:sz w:val="22"/>
                                    </w:rPr>
                                    <w:tab/>
                                  </w:r>
                                  <w:r>
                                    <w:rPr>
                                      <w:spacing w:val="-2"/>
                                      <w:sz w:val="22"/>
                                    </w:rPr>
                                    <w:t>0.545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0.150</w:t>
                                  </w:r>
                                </w:p>
                              </w:tc>
                              <w:tc>
                                <w:tcPr>
                                  <w:tcW w:w="1049" w:type="dxa"/>
                                </w:tcPr>
                                <w:p>
                                  <w:pPr>
                                    <w:pStyle w:val="TableParagraph"/>
                                    <w:spacing w:line="247" w:lineRule="exact"/>
                                    <w:ind w:left="43"/>
                                    <w:rPr>
                                      <w:sz w:val="22"/>
                                    </w:rPr>
                                  </w:pPr>
                                  <w:r>
                                    <w:rPr>
                                      <w:spacing w:val="-2"/>
                                      <w:sz w:val="22"/>
                                    </w:rPr>
                                    <w:t>0.104</w:t>
                                  </w:r>
                                </w:p>
                              </w:tc>
                            </w:tr>
                            <w:tr>
                              <w:trPr>
                                <w:trHeight w:val="332" w:hRule="atLeast"/>
                              </w:trPr>
                              <w:tc>
                                <w:tcPr>
                                  <w:tcW w:w="4390" w:type="dxa"/>
                                  <w:gridSpan w:val="2"/>
                                  <w:tcBorders>
                                    <w:bottom w:val="single" w:sz="8" w:space="0" w:color="000000"/>
                                  </w:tcBorders>
                                </w:tcPr>
                                <w:p>
                                  <w:pPr>
                                    <w:pStyle w:val="TableParagraph"/>
                                    <w:tabs>
                                      <w:tab w:pos="3598" w:val="left" w:leader="none"/>
                                    </w:tabs>
                                    <w:spacing w:line="30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0.618</w:t>
                                  </w:r>
                                </w:p>
                              </w:tc>
                              <w:tc>
                                <w:tcPr>
                                  <w:tcW w:w="1049" w:type="dxa"/>
                                  <w:tcBorders>
                                    <w:bottom w:val="single" w:sz="8" w:space="0" w:color="000000"/>
                                  </w:tcBorders>
                                </w:tcPr>
                                <w:p>
                                  <w:pPr>
                                    <w:pStyle w:val="TableParagraph"/>
                                    <w:ind w:left="43"/>
                                    <w:rPr>
                                      <w:sz w:val="22"/>
                                    </w:rPr>
                                  </w:pPr>
                                  <w:r>
                                    <w:rPr>
                                      <w:spacing w:val="-2"/>
                                      <w:sz w:val="22"/>
                                    </w:rPr>
                                    <w:t>0.478</w:t>
                                  </w:r>
                                </w:p>
                              </w:tc>
                            </w:tr>
                          </w:tbl>
                          <w:p>
                            <w:pPr>
                              <w:pStyle w:val="BodyText"/>
                            </w:pPr>
                          </w:p>
                        </w:txbxContent>
                      </wps:txbx>
                      <wps:bodyPr wrap="square" lIns="0" tIns="0" rIns="0" bIns="0" rtlCol="0">
                        <a:noAutofit/>
                      </wps:bodyPr>
                    </wps:wsp>
                  </a:graphicData>
                </a:graphic>
              </wp:anchor>
            </w:drawing>
          </mc:Choice>
          <mc:Fallback>
            <w:pict>
              <v:shape style="position:absolute;margin-left:158.671005pt;margin-top:-28.07003pt;width:277.95pt;height:177.65pt;mso-position-horizontal-relative:page;mso-position-vertical-relative:paragraph;z-index:15783936" type="#_x0000_t202" id="docshape49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2"/>
                        <w:gridCol w:w="1738"/>
                        <w:gridCol w:w="1049"/>
                      </w:tblGrid>
                      <w:tr>
                        <w:trPr>
                          <w:trHeight w:val="527" w:hRule="atLeast"/>
                        </w:trPr>
                        <w:tc>
                          <w:tcPr>
                            <w:tcW w:w="2652" w:type="dxa"/>
                          </w:tcPr>
                          <w:p>
                            <w:pPr>
                              <w:pStyle w:val="TableParagraph"/>
                              <w:spacing w:line="242" w:lineRule="exact" w:before="0"/>
                              <w:ind w:left="69"/>
                              <w:jc w:val="left"/>
                              <w:rPr>
                                <w:i/>
                                <w:sz w:val="22"/>
                              </w:rPr>
                            </w:pPr>
                            <w:r>
                              <w:rPr>
                                <w:i/>
                                <w:spacing w:val="-2"/>
                                <w:sz w:val="22"/>
                              </w:rPr>
                              <w:t>EndorseRank</w:t>
                            </w:r>
                          </w:p>
                        </w:tc>
                        <w:tc>
                          <w:tcPr>
                            <w:tcW w:w="2787" w:type="dxa"/>
                            <w:gridSpan w:val="2"/>
                          </w:tcPr>
                          <w:p>
                            <w:pPr>
                              <w:pStyle w:val="TableParagraph"/>
                              <w:tabs>
                                <w:tab w:pos="946" w:val="left" w:leader="none"/>
                                <w:tab w:pos="2529" w:val="right" w:leader="none"/>
                              </w:tabs>
                              <w:spacing w:line="251" w:lineRule="exact" w:before="256"/>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0.097</w:t>
                            </w:r>
                            <w:r>
                              <w:rPr>
                                <w:sz w:val="22"/>
                              </w:rPr>
                              <w:tab/>
                            </w:r>
                            <w:r>
                              <w:rPr>
                                <w:spacing w:val="-2"/>
                                <w:sz w:val="22"/>
                              </w:rPr>
                              <w:t>0.079</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61"/>
                              <w:jc w:val="right"/>
                              <w:rPr>
                                <w:sz w:val="22"/>
                              </w:rPr>
                            </w:pPr>
                            <w:r>
                              <w:rPr>
                                <w:spacing w:val="-2"/>
                                <w:sz w:val="22"/>
                              </w:rPr>
                              <w:t>-0.037</w:t>
                            </w:r>
                          </w:p>
                        </w:tc>
                        <w:tc>
                          <w:tcPr>
                            <w:tcW w:w="1049" w:type="dxa"/>
                          </w:tcPr>
                          <w:p>
                            <w:pPr>
                              <w:pStyle w:val="TableParagraph"/>
                              <w:spacing w:line="247" w:lineRule="exact"/>
                              <w:ind w:left="43"/>
                              <w:rPr>
                                <w:sz w:val="22"/>
                              </w:rPr>
                            </w:pPr>
                            <w:r>
                              <w:rPr>
                                <w:spacing w:val="-2"/>
                                <w:sz w:val="22"/>
                              </w:rPr>
                              <w:t>-0.031</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0.070</w:t>
                            </w:r>
                          </w:p>
                        </w:tc>
                        <w:tc>
                          <w:tcPr>
                            <w:tcW w:w="1049" w:type="dxa"/>
                          </w:tcPr>
                          <w:p>
                            <w:pPr>
                              <w:pStyle w:val="TableParagraph"/>
                              <w:spacing w:line="233" w:lineRule="exact"/>
                              <w:ind w:left="43"/>
                              <w:rPr>
                                <w:sz w:val="22"/>
                              </w:rPr>
                            </w:pPr>
                            <w:r>
                              <w:rPr>
                                <w:spacing w:val="-2"/>
                                <w:sz w:val="22"/>
                              </w:rPr>
                              <w:t>0.057</w:t>
                            </w:r>
                          </w:p>
                        </w:tc>
                      </w:tr>
                      <w:tr>
                        <w:trPr>
                          <w:trHeight w:val="676" w:hRule="atLeast"/>
                        </w:trPr>
                        <w:tc>
                          <w:tcPr>
                            <w:tcW w:w="2652" w:type="dxa"/>
                          </w:tcPr>
                          <w:p>
                            <w:pPr>
                              <w:pStyle w:val="TableParagraph"/>
                              <w:spacing w:before="138"/>
                              <w:ind w:left="69"/>
                              <w:jc w:val="left"/>
                              <w:rPr>
                                <w:i/>
                                <w:sz w:val="22"/>
                              </w:rPr>
                            </w:pPr>
                            <w:r>
                              <w:rPr>
                                <w:i/>
                                <w:spacing w:val="-5"/>
                                <w:sz w:val="22"/>
                              </w:rPr>
                              <w:t>AWP</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0.243</w:t>
                            </w:r>
                            <w:r>
                              <w:rPr>
                                <w:sz w:val="22"/>
                              </w:rPr>
                              <w:tab/>
                            </w:r>
                            <w:r>
                              <w:rPr>
                                <w:spacing w:val="-2"/>
                                <w:sz w:val="22"/>
                              </w:rPr>
                              <w:t>0.165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0.028</w:t>
                            </w:r>
                          </w:p>
                        </w:tc>
                        <w:tc>
                          <w:tcPr>
                            <w:tcW w:w="1049" w:type="dxa"/>
                          </w:tcPr>
                          <w:p>
                            <w:pPr>
                              <w:pStyle w:val="TableParagraph"/>
                              <w:spacing w:line="247" w:lineRule="exact"/>
                              <w:ind w:left="43"/>
                              <w:rPr>
                                <w:sz w:val="22"/>
                              </w:rPr>
                            </w:pPr>
                            <w:r>
                              <w:rPr>
                                <w:spacing w:val="-2"/>
                                <w:sz w:val="22"/>
                              </w:rPr>
                              <w:t>0.019</w:t>
                            </w:r>
                          </w:p>
                        </w:tc>
                      </w:tr>
                      <w:tr>
                        <w:trPr>
                          <w:trHeight w:val="256" w:hRule="atLeast"/>
                        </w:trPr>
                        <w:tc>
                          <w:tcPr>
                            <w:tcW w:w="4390" w:type="dxa"/>
                            <w:gridSpan w:val="2"/>
                          </w:tcPr>
                          <w:p>
                            <w:pPr>
                              <w:pStyle w:val="TableParagraph"/>
                              <w:tabs>
                                <w:tab w:pos="3598" w:val="left" w:leader="none"/>
                              </w:tabs>
                              <w:spacing w:line="23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0.204</w:t>
                            </w:r>
                          </w:p>
                        </w:tc>
                        <w:tc>
                          <w:tcPr>
                            <w:tcW w:w="1049" w:type="dxa"/>
                          </w:tcPr>
                          <w:p>
                            <w:pPr>
                              <w:pStyle w:val="TableParagraph"/>
                              <w:spacing w:line="233" w:lineRule="exact"/>
                              <w:ind w:left="43"/>
                              <w:rPr>
                                <w:sz w:val="22"/>
                              </w:rPr>
                            </w:pPr>
                            <w:r>
                              <w:rPr>
                                <w:spacing w:val="-2"/>
                                <w:sz w:val="22"/>
                              </w:rPr>
                              <w:t>0.137</w:t>
                            </w:r>
                          </w:p>
                        </w:tc>
                      </w:tr>
                      <w:tr>
                        <w:trPr>
                          <w:trHeight w:val="676" w:hRule="atLeast"/>
                        </w:trPr>
                        <w:tc>
                          <w:tcPr>
                            <w:tcW w:w="2652" w:type="dxa"/>
                          </w:tcPr>
                          <w:p>
                            <w:pPr>
                              <w:pStyle w:val="TableParagraph"/>
                              <w:spacing w:before="138"/>
                              <w:ind w:left="69"/>
                              <w:jc w:val="left"/>
                              <w:rPr>
                                <w:i/>
                                <w:sz w:val="22"/>
                              </w:rPr>
                            </w:pPr>
                            <w:r>
                              <w:rPr>
                                <w:i/>
                                <w:spacing w:val="-2"/>
                                <w:sz w:val="22"/>
                              </w:rPr>
                              <w:t>GF-</w:t>
                            </w:r>
                            <w:r>
                              <w:rPr>
                                <w:i/>
                                <w:spacing w:val="-5"/>
                                <w:sz w:val="22"/>
                              </w:rPr>
                              <w:t>PR</w:t>
                            </w:r>
                          </w:p>
                        </w:tc>
                        <w:tc>
                          <w:tcPr>
                            <w:tcW w:w="2787" w:type="dxa"/>
                            <w:gridSpan w:val="2"/>
                          </w:tcPr>
                          <w:p>
                            <w:pPr>
                              <w:pStyle w:val="TableParagraph"/>
                              <w:tabs>
                                <w:tab w:pos="946" w:val="left" w:leader="none"/>
                                <w:tab w:pos="2529" w:val="right" w:leader="none"/>
                              </w:tabs>
                              <w:spacing w:line="251" w:lineRule="exact" w:before="405"/>
                              <w:ind w:left="-86"/>
                              <w:jc w:val="left"/>
                              <w:rPr>
                                <w:sz w:val="22"/>
                              </w:rPr>
                            </w:pPr>
                            <w:r>
                              <w:rPr>
                                <w:sz w:val="22"/>
                              </w:rPr>
                              <w:t>nL</w:t>
                            </w:r>
                            <w:r>
                              <w:rPr>
                                <w:rFonts w:ascii="Calibri"/>
                                <w:i/>
                                <w:sz w:val="22"/>
                              </w:rPr>
                              <w:t>,</w:t>
                            </w:r>
                            <w:r>
                              <w:rPr>
                                <w:rFonts w:ascii="Calibri"/>
                                <w:i/>
                                <w:spacing w:val="-12"/>
                                <w:sz w:val="22"/>
                              </w:rPr>
                              <w:t> </w:t>
                            </w:r>
                            <w:r>
                              <w:rPr>
                                <w:rFonts w:ascii="Calibri"/>
                                <w:spacing w:val="-5"/>
                                <w:sz w:val="22"/>
                              </w:rPr>
                              <w:t>0)</w:t>
                            </w:r>
                            <w:r>
                              <w:rPr>
                                <w:spacing w:val="-5"/>
                                <w:sz w:val="22"/>
                              </w:rPr>
                              <w:t>)</w:t>
                            </w:r>
                            <w:r>
                              <w:rPr>
                                <w:sz w:val="22"/>
                              </w:rPr>
                              <w:tab/>
                            </w:r>
                            <w:r>
                              <w:rPr>
                                <w:spacing w:val="-2"/>
                                <w:sz w:val="22"/>
                              </w:rPr>
                              <w:t>0.675</w:t>
                            </w:r>
                            <w:r>
                              <w:rPr>
                                <w:sz w:val="22"/>
                              </w:rPr>
                              <w:tab/>
                            </w:r>
                            <w:r>
                              <w:rPr>
                                <w:spacing w:val="-2"/>
                                <w:sz w:val="22"/>
                              </w:rPr>
                              <w:t>0.545</w:t>
                            </w:r>
                          </w:p>
                        </w:tc>
                      </w:tr>
                      <w:tr>
                        <w:trPr>
                          <w:trHeight w:val="270" w:hRule="atLeast"/>
                        </w:trPr>
                        <w:tc>
                          <w:tcPr>
                            <w:tcW w:w="2652" w:type="dxa"/>
                          </w:tcPr>
                          <w:p>
                            <w:pPr>
                              <w:pStyle w:val="TableParagraph"/>
                              <w:spacing w:line="247" w:lineRule="exact"/>
                              <w:ind w:left="69"/>
                              <w:jc w:val="left"/>
                              <w:rPr>
                                <w:sz w:val="22"/>
                              </w:rPr>
                            </w:pPr>
                            <w:r>
                              <w:rPr>
                                <w:sz w:val="22"/>
                              </w:rPr>
                              <w:t>Non-loss</w:t>
                            </w:r>
                            <w:r>
                              <w:rPr>
                                <w:spacing w:val="-11"/>
                                <w:sz w:val="22"/>
                              </w:rPr>
                              <w:t> </w:t>
                            </w:r>
                            <w:r>
                              <w:rPr>
                                <w:sz w:val="22"/>
                              </w:rPr>
                              <w:t>close</w:t>
                            </w:r>
                            <w:r>
                              <w:rPr>
                                <w:spacing w:val="-11"/>
                                <w:sz w:val="22"/>
                              </w:rPr>
                              <w:t> </w:t>
                            </w:r>
                            <w:r>
                              <w:rPr>
                                <w:spacing w:val="-4"/>
                                <w:sz w:val="22"/>
                              </w:rPr>
                              <w:t>rate</w:t>
                            </w:r>
                          </w:p>
                        </w:tc>
                        <w:tc>
                          <w:tcPr>
                            <w:tcW w:w="1738" w:type="dxa"/>
                          </w:tcPr>
                          <w:p>
                            <w:pPr>
                              <w:pStyle w:val="TableParagraph"/>
                              <w:spacing w:line="247" w:lineRule="exact"/>
                              <w:ind w:right="298"/>
                              <w:jc w:val="right"/>
                              <w:rPr>
                                <w:sz w:val="22"/>
                              </w:rPr>
                            </w:pPr>
                            <w:r>
                              <w:rPr>
                                <w:spacing w:val="-2"/>
                                <w:sz w:val="22"/>
                              </w:rPr>
                              <w:t>0.150</w:t>
                            </w:r>
                          </w:p>
                        </w:tc>
                        <w:tc>
                          <w:tcPr>
                            <w:tcW w:w="1049" w:type="dxa"/>
                          </w:tcPr>
                          <w:p>
                            <w:pPr>
                              <w:pStyle w:val="TableParagraph"/>
                              <w:spacing w:line="247" w:lineRule="exact"/>
                              <w:ind w:left="43"/>
                              <w:rPr>
                                <w:sz w:val="22"/>
                              </w:rPr>
                            </w:pPr>
                            <w:r>
                              <w:rPr>
                                <w:spacing w:val="-2"/>
                                <w:sz w:val="22"/>
                              </w:rPr>
                              <w:t>0.104</w:t>
                            </w:r>
                          </w:p>
                        </w:tc>
                      </w:tr>
                      <w:tr>
                        <w:trPr>
                          <w:trHeight w:val="332" w:hRule="atLeast"/>
                        </w:trPr>
                        <w:tc>
                          <w:tcPr>
                            <w:tcW w:w="4390" w:type="dxa"/>
                            <w:gridSpan w:val="2"/>
                            <w:tcBorders>
                              <w:bottom w:val="single" w:sz="8" w:space="0" w:color="000000"/>
                            </w:tcBorders>
                          </w:tcPr>
                          <w:p>
                            <w:pPr>
                              <w:pStyle w:val="TableParagraph"/>
                              <w:tabs>
                                <w:tab w:pos="3598" w:val="left" w:leader="none"/>
                              </w:tabs>
                              <w:spacing w:line="306" w:lineRule="exact" w:before="0"/>
                              <w:ind w:left="69"/>
                              <w:jc w:val="left"/>
                              <w:rPr>
                                <w:sz w:val="22"/>
                              </w:rPr>
                            </w:pPr>
                            <w:r>
                              <w:rPr>
                                <w:spacing w:val="-4"/>
                                <w:sz w:val="22"/>
                              </w:rPr>
                              <w:t>Worst-close</w:t>
                            </w:r>
                            <w:r>
                              <w:rPr>
                                <w:spacing w:val="-1"/>
                                <w:sz w:val="22"/>
                              </w:rPr>
                              <w:t> </w:t>
                            </w:r>
                            <w:r>
                              <w:rPr>
                                <w:spacing w:val="-4"/>
                                <w:sz w:val="22"/>
                              </w:rPr>
                              <w:t>PnL</w:t>
                            </w:r>
                            <w:r>
                              <w:rPr>
                                <w:sz w:val="22"/>
                              </w:rPr>
                              <w:t> </w:t>
                            </w:r>
                            <w:r>
                              <w:rPr>
                                <w:spacing w:val="-4"/>
                                <w:sz w:val="22"/>
                              </w:rPr>
                              <w:t>score</w:t>
                            </w:r>
                            <w:r>
                              <w:rPr>
                                <w:sz w:val="22"/>
                              </w:rPr>
                              <w:t> </w:t>
                            </w:r>
                            <w:r>
                              <w:rPr>
                                <w:spacing w:val="-4"/>
                                <w:sz w:val="22"/>
                              </w:rPr>
                              <w:t>(</w:t>
                            </w:r>
                            <w:r>
                              <w:rPr>
                                <w:rFonts w:ascii="Lucida Sans Unicode" w:hAnsi="Lucida Sans Unicode"/>
                                <w:spacing w:val="-4"/>
                                <w:sz w:val="22"/>
                              </w:rPr>
                              <w:t>—</w:t>
                            </w:r>
                            <w:r>
                              <w:rPr>
                                <w:rFonts w:ascii="Lucida Sans Unicode" w:hAnsi="Lucida Sans Unicode"/>
                                <w:spacing w:val="-34"/>
                                <w:sz w:val="22"/>
                              </w:rPr>
                              <w:t> </w:t>
                            </w:r>
                            <w:r>
                              <w:rPr>
                                <w:spacing w:val="-4"/>
                                <w:sz w:val="22"/>
                              </w:rPr>
                              <w:t>min</w:t>
                            </w:r>
                            <w:r>
                              <w:rPr>
                                <w:spacing w:val="-18"/>
                                <w:sz w:val="22"/>
                              </w:rPr>
                              <w:t> </w:t>
                            </w:r>
                            <w:r>
                              <w:rPr>
                                <w:spacing w:val="-4"/>
                                <w:sz w:val="22"/>
                              </w:rPr>
                              <w:t>PnL)</w:t>
                            </w:r>
                            <w:r>
                              <w:rPr>
                                <w:sz w:val="22"/>
                              </w:rPr>
                              <w:tab/>
                            </w:r>
                            <w:r>
                              <w:rPr>
                                <w:spacing w:val="-2"/>
                                <w:sz w:val="22"/>
                              </w:rPr>
                              <w:t>0.618</w:t>
                            </w:r>
                          </w:p>
                        </w:tc>
                        <w:tc>
                          <w:tcPr>
                            <w:tcW w:w="1049" w:type="dxa"/>
                            <w:tcBorders>
                              <w:bottom w:val="single" w:sz="8" w:space="0" w:color="000000"/>
                            </w:tcBorders>
                          </w:tcPr>
                          <w:p>
                            <w:pPr>
                              <w:pStyle w:val="TableParagraph"/>
                              <w:ind w:left="43"/>
                              <w:rPr>
                                <w:sz w:val="22"/>
                              </w:rPr>
                            </w:pPr>
                            <w:r>
                              <w:rPr>
                                <w:spacing w:val="-2"/>
                                <w:sz w:val="22"/>
                              </w:rPr>
                              <w:t>0.478</w:t>
                            </w:r>
                          </w:p>
                        </w:tc>
                      </w:tr>
                    </w:tbl>
                    <w:p>
                      <w:pPr>
                        <w:pStyle w:val="BodyText"/>
                      </w:pPr>
                    </w:p>
                  </w:txbxContent>
                </v:textbox>
                <w10:wrap type="none"/>
              </v:shape>
            </w:pict>
          </mc:Fallback>
        </mc:AlternateContent>
      </w:r>
      <w:r>
        <w:rPr>
          <w:sz w:val="22"/>
        </w:rPr>
        <w:t>Loss avoidance (</w:t>
      </w:r>
      <w:r>
        <w:rPr>
          <w:rFonts w:ascii="Lucida Sans Unicode" w:hAnsi="Lucida Sans Unicode"/>
          <w:sz w:val="22"/>
        </w:rPr>
        <w:t>—</w:t>
      </w:r>
      <w:r>
        <w:rPr>
          <w:rFonts w:ascii="Lucida Sans Unicode" w:hAnsi="Lucida Sans Unicode"/>
          <w:spacing w:val="-29"/>
          <w:sz w:val="22"/>
        </w:rPr>
        <w:t> </w:t>
      </w:r>
      <w:r>
        <w:rPr>
          <w:position w:val="16"/>
          <w:sz w:val="22"/>
        </w:rPr>
        <w:t>Σ</w:t>
      </w:r>
      <w:r>
        <w:rPr>
          <w:spacing w:val="-14"/>
          <w:position w:val="16"/>
          <w:sz w:val="22"/>
        </w:rPr>
        <w:t> </w:t>
      </w:r>
      <w:r>
        <w:rPr>
          <w:sz w:val="22"/>
        </w:rPr>
        <w:t>min</w:t>
      </w:r>
      <w:r>
        <w:rPr>
          <w:rFonts w:ascii="Calibri" w:hAnsi="Calibri"/>
          <w:sz w:val="22"/>
        </w:rPr>
        <w:t>(</w:t>
      </w:r>
      <w:r>
        <w:rPr>
          <w:sz w:val="22"/>
        </w:rPr>
        <w:t>P Loss</w:t>
      </w:r>
      <w:r>
        <w:rPr>
          <w:spacing w:val="9"/>
          <w:sz w:val="22"/>
        </w:rPr>
        <w:t> </w:t>
      </w:r>
      <w:r>
        <w:rPr>
          <w:sz w:val="22"/>
        </w:rPr>
        <w:t>avoidance</w:t>
      </w:r>
      <w:r>
        <w:rPr>
          <w:spacing w:val="9"/>
          <w:sz w:val="22"/>
        </w:rPr>
        <w:t> </w:t>
      </w:r>
      <w:r>
        <w:rPr>
          <w:sz w:val="22"/>
        </w:rPr>
        <w:t>(</w:t>
      </w:r>
      <w:r>
        <w:rPr>
          <w:rFonts w:ascii="Lucida Sans Unicode" w:hAnsi="Lucida Sans Unicode"/>
          <w:sz w:val="22"/>
        </w:rPr>
        <w:t>—</w:t>
      </w:r>
      <w:r>
        <w:rPr>
          <w:rFonts w:ascii="Lucida Sans Unicode" w:hAnsi="Lucida Sans Unicode"/>
          <w:spacing w:val="-28"/>
          <w:sz w:val="22"/>
        </w:rPr>
        <w:t> </w:t>
      </w:r>
      <w:r>
        <w:rPr>
          <w:position w:val="16"/>
          <w:sz w:val="22"/>
        </w:rPr>
        <w:t>Σ</w:t>
      </w:r>
      <w:r>
        <w:rPr>
          <w:spacing w:val="-12"/>
          <w:position w:val="16"/>
          <w:sz w:val="22"/>
        </w:rPr>
        <w:t> </w:t>
      </w:r>
      <w:r>
        <w:rPr>
          <w:spacing w:val="-2"/>
          <w:sz w:val="22"/>
        </w:rPr>
        <w:t>min</w:t>
      </w:r>
      <w:r>
        <w:rPr>
          <w:rFonts w:ascii="Calibri" w:hAnsi="Calibri"/>
          <w:spacing w:val="-2"/>
          <w:sz w:val="22"/>
        </w:rPr>
        <w:t>(</w:t>
      </w:r>
      <w:r>
        <w:rPr>
          <w:spacing w:val="-2"/>
          <w:sz w:val="22"/>
        </w:rPr>
        <w:t>P</w:t>
      </w:r>
    </w:p>
    <w:p>
      <w:pPr>
        <w:spacing w:line="1200" w:lineRule="atLeast" w:before="4"/>
        <w:ind w:left="2311" w:right="5052" w:hanging="1"/>
        <w:jc w:val="left"/>
        <w:rPr>
          <w:sz w:val="22"/>
        </w:rPr>
      </w:pPr>
      <w:r>
        <w:rPr>
          <w:i/>
        </w:rPr>
        <w:t>손실 회피 (— Σ min(P 손실 회피 (— Σ min(P</w:t>
      </w:r>
    </w:p>
    <w:p>
      <w:pPr>
        <w:pStyle w:val="BodyText"/>
        <w:rPr>
          <w:sz w:val="22"/>
        </w:rPr>
      </w:pPr>
    </w:p>
    <w:p>
      <w:pPr>
        <w:pStyle w:val="BodyText"/>
        <w:rPr>
          <w:sz w:val="22"/>
        </w:rPr>
      </w:pPr>
    </w:p>
    <w:p>
      <w:pPr>
        <w:pStyle w:val="BodyText"/>
        <w:spacing w:before="242"/>
        <w:rPr>
          <w:sz w:val="22"/>
        </w:rPr>
      </w:pPr>
    </w:p>
    <w:p>
      <w:pPr>
        <w:pStyle w:val="BodyText"/>
        <w:spacing w:line="384" w:lineRule="auto"/>
        <w:ind w:left="282" w:right="521"/>
        <w:jc w:val="both"/>
      </w:pPr>
      <w:r>
        <w:rPr/>
        <w:t>PnL score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478</w:t>
      </w:r>
      <w:r>
        <w:rPr/>
        <w:t>.</w:t>
      </w:r>
      <w:r>
        <w:rPr>
          <w:spacing w:val="40"/>
        </w:rPr>
        <w:t> </w:t>
      </w:r>
      <w:r>
        <w:rPr/>
        <w:t>This elevation is expected:</w:t>
      </w:r>
      <w:r>
        <w:rPr>
          <w:spacing w:val="37"/>
        </w:rPr>
        <w:t> </w:t>
      </w:r>
      <w:r>
        <w:rPr/>
        <w:t>GF-PR’s POOL/SINK star graph is built from the</w:t>
      </w:r>
      <w:r>
        <w:rPr>
          <w:spacing w:val="-5"/>
        </w:rPr>
        <w:t> </w:t>
      </w:r>
      <w:r>
        <w:rPr/>
        <w:t>same</w:t>
      </w:r>
      <w:r>
        <w:rPr>
          <w:spacing w:val="-5"/>
        </w:rPr>
        <w:t> </w:t>
      </w:r>
      <w:r>
        <w:rPr/>
        <w:t>GMX</w:t>
      </w:r>
      <w:r>
        <w:rPr>
          <w:spacing w:val="-5"/>
        </w:rPr>
        <w:t> </w:t>
      </w:r>
      <w:r>
        <w:rPr/>
        <w:t>PnL</w:t>
      </w:r>
      <w:r>
        <w:rPr>
          <w:spacing w:val="-5"/>
        </w:rPr>
        <w:t> </w:t>
      </w:r>
      <w:r>
        <w:rPr/>
        <w:t>stream</w:t>
      </w:r>
      <w:r>
        <w:rPr>
          <w:spacing w:val="-4"/>
        </w:rPr>
        <w:t> </w:t>
      </w:r>
      <w:r>
        <w:rPr/>
        <w:t>that</w:t>
      </w:r>
      <w:r>
        <w:rPr>
          <w:spacing w:val="-4"/>
        </w:rPr>
        <w:t> </w:t>
      </w:r>
      <w:r>
        <w:rPr/>
        <w:t>defines</w:t>
      </w:r>
      <w:r>
        <w:rPr>
          <w:spacing w:val="-5"/>
        </w:rPr>
        <w:t> </w:t>
      </w:r>
      <w:r>
        <w:rPr/>
        <w:t>these</w:t>
      </w:r>
      <w:r>
        <w:rPr>
          <w:spacing w:val="-5"/>
        </w:rPr>
        <w:t> </w:t>
      </w:r>
      <w:r>
        <w:rPr/>
        <w:t>proxies.</w:t>
      </w:r>
      <w:r>
        <w:rPr>
          <w:spacing w:val="18"/>
        </w:rPr>
        <w:t> </w:t>
      </w:r>
      <w:r>
        <w:rPr/>
        <w:t>High</w:t>
      </w:r>
      <w:r>
        <w:rPr>
          <w:spacing w:val="-5"/>
        </w:rPr>
        <w:t> </w:t>
      </w:r>
      <w:r>
        <w:rPr/>
        <w:t>GF-PR</w:t>
      </w:r>
      <w:r>
        <w:rPr>
          <w:spacing w:val="-5"/>
        </w:rPr>
        <w:t> </w:t>
      </w:r>
      <w:r>
        <w:rPr>
          <w:rFonts w:ascii="Calibri" w:hAnsi="Calibri"/>
          <w:i/>
        </w:rPr>
        <w:t>τ</w:t>
      </w:r>
      <w:r>
        <w:rPr>
          <w:rFonts w:ascii="Calibri" w:hAnsi="Calibri"/>
          <w:i/>
          <w:spacing w:val="28"/>
        </w:rPr>
        <w:t> </w:t>
      </w:r>
      <w:r>
        <w:rPr/>
        <w:t>on</w:t>
      </w:r>
      <w:r>
        <w:rPr>
          <w:spacing w:val="-5"/>
        </w:rPr>
        <w:t> </w:t>
      </w:r>
      <w:r>
        <w:rPr/>
        <w:t>inverse</w:t>
      </w:r>
      <w:r>
        <w:rPr>
          <w:spacing w:val="-5"/>
        </w:rPr>
        <w:t> </w:t>
      </w:r>
      <w:r>
        <w:rPr/>
        <w:t>risk</w:t>
      </w:r>
      <w:r>
        <w:rPr>
          <w:spacing w:val="-5"/>
        </w:rPr>
        <w:t> </w:t>
      </w:r>
      <w:r>
        <w:rPr/>
        <w:t>is</w:t>
      </w:r>
      <w:r>
        <w:rPr>
          <w:spacing w:val="-4"/>
        </w:rPr>
        <w:t> </w:t>
      </w:r>
      <w:r>
        <w:rPr/>
        <w:t>therefore</w:t>
      </w:r>
      <w:r>
        <w:rPr>
          <w:spacing w:val="-5"/>
        </w:rPr>
        <w:t> </w:t>
      </w:r>
      <w:r>
        <w:rPr/>
        <w:t>a construct-overlap</w:t>
      </w:r>
      <w:r>
        <w:rPr>
          <w:spacing w:val="-15"/>
        </w:rPr>
        <w:t> </w:t>
      </w:r>
      <w:r>
        <w:rPr/>
        <w:t>diagnostic,</w:t>
      </w:r>
      <w:r>
        <w:rPr>
          <w:spacing w:val="-13"/>
        </w:rPr>
        <w:t> </w:t>
      </w:r>
      <w:r>
        <w:rPr/>
        <w:t>not</w:t>
      </w:r>
      <w:r>
        <w:rPr>
          <w:spacing w:val="-15"/>
        </w:rPr>
        <w:t> </w:t>
      </w:r>
      <w:r>
        <w:rPr/>
        <w:t>evidence</w:t>
      </w:r>
      <w:r>
        <w:rPr>
          <w:spacing w:val="-15"/>
        </w:rPr>
        <w:t> </w:t>
      </w:r>
      <w:r>
        <w:rPr/>
        <w:t>that</w:t>
      </w:r>
      <w:r>
        <w:rPr>
          <w:spacing w:val="-15"/>
        </w:rPr>
        <w:t> </w:t>
      </w:r>
      <w:r>
        <w:rPr/>
        <w:t>outcome-native</w:t>
      </w:r>
      <w:r>
        <w:rPr>
          <w:spacing w:val="-15"/>
        </w:rPr>
        <w:t> </w:t>
      </w:r>
      <w:r>
        <w:rPr/>
        <w:t>ranking</w:t>
      </w:r>
      <w:r>
        <w:rPr>
          <w:spacing w:val="-15"/>
        </w:rPr>
        <w:t> </w:t>
      </w:r>
      <w:r>
        <w:rPr/>
        <w:t>measures</w:t>
      </w:r>
      <w:r>
        <w:rPr>
          <w:spacing w:val="-15"/>
        </w:rPr>
        <w:t> </w:t>
      </w:r>
      <w:r>
        <w:rPr/>
        <w:t>social</w:t>
      </w:r>
      <w:r>
        <w:rPr>
          <w:spacing w:val="-15"/>
        </w:rPr>
        <w:t> </w:t>
      </w:r>
      <w:r>
        <w:rPr/>
        <w:t>reputation. Section </w:t>
      </w:r>
      <w:hyperlink w:history="true" w:anchor="_bookmark112">
        <w:r>
          <w:rPr/>
          <w:t>4.7</w:t>
        </w:r>
      </w:hyperlink>
      <w:r>
        <w:rPr/>
        <w:t> develops this interpretation formally as claim SC1.</w:t>
      </w:r>
    </w:p>
    <w:p>
      <w:pPr>
        <w:pStyle w:val="BodyText"/>
        <w:spacing w:line="384" w:lineRule="auto"/>
        <w:ind w:left="282" w:right="521"/>
        <w:jc w:val="both"/>
      </w:pPr>
      <w:r>
        <w:rPr>
          <w:i/>
        </w:rPr>
        <w:t>손익 점수 τ = 0.478. 이러한 상승은 예상됩니다. GF-PR의 POOL/SINK 스타 그래프는 이러한 프록시를 정의하는 동일한 GMX PnL 스트림에서 구축됩니다. 따라서 역위험에 대한 높은 GF-PR τ는 구성-중복 진단이며, 결과 기반 순위가 사회적 평판을 측정한다는 증거는 아닙니다. 4.7절에서는 이 해석을 공식적으로 주장 SC1로 발전시킨다.</w:t>
      </w:r>
    </w:p>
    <w:p>
      <w:pPr>
        <w:pStyle w:val="BodyText"/>
        <w:spacing w:line="396" w:lineRule="auto" w:before="23"/>
        <w:ind w:left="282" w:right="563"/>
        <w:jc w:val="both"/>
      </w:pPr>
      <w:r>
        <w:rPr/>
        <w:t>For the primary comparison, the inverse-risk family supports a cautious reading of RQ4:</w:t>
      </w:r>
      <w:r>
        <w:rPr>
          <w:spacing w:val="40"/>
        </w:rPr>
        <w:t> </w:t>
      </w:r>
      <w:r>
        <w:rPr/>
        <w:t>social graphs</w:t>
      </w:r>
      <w:r>
        <w:rPr>
          <w:spacing w:val="-10"/>
        </w:rPr>
        <w:t> </w:t>
      </w:r>
      <w:r>
        <w:rPr/>
        <w:t>are</w:t>
      </w:r>
      <w:r>
        <w:rPr>
          <w:spacing w:val="-10"/>
        </w:rPr>
        <w:t> </w:t>
      </w:r>
      <w:r>
        <w:rPr/>
        <w:t>not</w:t>
      </w:r>
      <w:r>
        <w:rPr>
          <w:spacing w:val="-10"/>
        </w:rPr>
        <w:t> </w:t>
      </w:r>
      <w:r>
        <w:rPr/>
        <w:t>strong</w:t>
      </w:r>
      <w:r>
        <w:rPr>
          <w:spacing w:val="-10"/>
        </w:rPr>
        <w:t> </w:t>
      </w:r>
      <w:r>
        <w:rPr/>
        <w:t>predictors</w:t>
      </w:r>
      <w:r>
        <w:rPr>
          <w:spacing w:val="-10"/>
        </w:rPr>
        <w:t> </w:t>
      </w:r>
      <w:r>
        <w:rPr/>
        <w:t>of</w:t>
      </w:r>
      <w:r>
        <w:rPr>
          <w:spacing w:val="-10"/>
        </w:rPr>
        <w:t> </w:t>
      </w:r>
      <w:r>
        <w:rPr/>
        <w:t>loss-avoidance</w:t>
      </w:r>
      <w:r>
        <w:rPr>
          <w:spacing w:val="-10"/>
        </w:rPr>
        <w:t> </w:t>
      </w:r>
      <w:r>
        <w:rPr/>
        <w:t>rankings</w:t>
      </w:r>
      <w:r>
        <w:rPr>
          <w:spacing w:val="-10"/>
        </w:rPr>
        <w:t> </w:t>
      </w:r>
      <w:r>
        <w:rPr/>
        <w:t>on</w:t>
      </w:r>
      <w:r>
        <w:rPr>
          <w:spacing w:val="-10"/>
        </w:rPr>
        <w:t> </w:t>
      </w:r>
      <w:r>
        <w:rPr/>
        <w:t>this</w:t>
      </w:r>
      <w:r>
        <w:rPr>
          <w:spacing w:val="-10"/>
        </w:rPr>
        <w:t> </w:t>
      </w:r>
      <w:r>
        <w:rPr/>
        <w:t>six-month</w:t>
      </w:r>
      <w:r>
        <w:rPr>
          <w:spacing w:val="-10"/>
        </w:rPr>
        <w:t> </w:t>
      </w:r>
      <w:r>
        <w:rPr/>
        <w:t>GMX</w:t>
      </w:r>
      <w:r>
        <w:rPr>
          <w:spacing w:val="-10"/>
        </w:rPr>
        <w:t> </w:t>
      </w:r>
      <w:r>
        <w:rPr/>
        <w:t>window.</w:t>
      </w:r>
      <w:r>
        <w:rPr>
          <w:spacing w:val="10"/>
        </w:rPr>
        <w:t> </w:t>
      </w:r>
      <w:r>
        <w:rPr/>
        <w:t>That finding</w:t>
      </w:r>
      <w:r>
        <w:rPr>
          <w:spacing w:val="-9"/>
        </w:rPr>
        <w:t> </w:t>
      </w:r>
      <w:r>
        <w:rPr/>
        <w:t>does</w:t>
      </w:r>
      <w:r>
        <w:rPr>
          <w:spacing w:val="-9"/>
        </w:rPr>
        <w:t> </w:t>
      </w:r>
      <w:r>
        <w:rPr/>
        <w:t>not</w:t>
      </w:r>
      <w:r>
        <w:rPr>
          <w:spacing w:val="-9"/>
        </w:rPr>
        <w:t> </w:t>
      </w:r>
      <w:r>
        <w:rPr/>
        <w:t>invalidate</w:t>
      </w:r>
      <w:r>
        <w:rPr>
          <w:spacing w:val="-9"/>
        </w:rPr>
        <w:t> </w:t>
      </w:r>
      <w:r>
        <w:rPr/>
        <w:t>EndorseRank’s</w:t>
      </w:r>
      <w:r>
        <w:rPr>
          <w:spacing w:val="-9"/>
        </w:rPr>
        <w:t> </w:t>
      </w:r>
      <w:r>
        <w:rPr/>
        <w:t>allowance</w:t>
      </w:r>
      <w:r>
        <w:rPr>
          <w:spacing w:val="-9"/>
        </w:rPr>
        <w:t> </w:t>
      </w:r>
      <w:r>
        <w:rPr/>
        <w:t>alignment;</w:t>
      </w:r>
      <w:r>
        <w:rPr>
          <w:spacing w:val="-8"/>
        </w:rPr>
        <w:t> </w:t>
      </w:r>
      <w:r>
        <w:rPr/>
        <w:t>it</w:t>
      </w:r>
      <w:r>
        <w:rPr>
          <w:spacing w:val="-9"/>
        </w:rPr>
        <w:t> </w:t>
      </w:r>
      <w:r>
        <w:rPr/>
        <w:t>delimits</w:t>
      </w:r>
      <w:r>
        <w:rPr>
          <w:spacing w:val="-9"/>
        </w:rPr>
        <w:t> </w:t>
      </w:r>
      <w:r>
        <w:rPr/>
        <w:t>what</w:t>
      </w:r>
      <w:r>
        <w:rPr>
          <w:spacing w:val="-9"/>
        </w:rPr>
        <w:t> </w:t>
      </w:r>
      <w:r>
        <w:rPr/>
        <w:t>social</w:t>
      </w:r>
      <w:r>
        <w:rPr>
          <w:spacing w:val="-9"/>
        </w:rPr>
        <w:t> </w:t>
      </w:r>
      <w:r>
        <w:rPr/>
        <w:t>reputation can be expected to explain.</w:t>
      </w:r>
      <w:r>
        <w:rPr>
          <w:spacing w:val="40"/>
        </w:rPr>
        <w:t> </w:t>
      </w:r>
      <w:r>
        <w:rPr/>
        <w:t>Wallets that are central in approval or transfer networks need not be </w:t>
      </w:r>
      <w:bookmarkStart w:name="Sybil-adjusted stability family" w:id="191"/>
      <w:bookmarkEnd w:id="191"/>
      <w:r>
        <w:rPr/>
        <w:t>the</w:t>
      </w:r>
      <w:r>
        <w:rPr/>
        <w:t> same wallets that avoid large perpetual losses, and the data confirm that separation.</w:t>
      </w:r>
    </w:p>
    <w:p>
      <w:pPr>
        <w:pStyle w:val="BodyText"/>
        <w:spacing w:line="396" w:lineRule="auto" w:before="23"/>
        <w:ind w:left="282" w:right="563"/>
        <w:jc w:val="both"/>
      </w:pPr>
      <w:r>
        <w:rPr>
          <w:i/>
        </w:rPr>
        <w:t>일차 비교를 위해 역위험 계열은 RQ4를 주의 깊게 읽을 것을 지지합니다. 소셜 그래프는 이 6개월 GMX 기간의 손실 회피 순위를 강력하게 예측하는 지표가 아닙니다. 그 결과는 EndorseRank의 수당 조정을 무효화하지 않으며 사회적 평판이 설명할 수 있는 범위를 제한합니다. 승인 또는 전송 네트워크의 중심인 지갑은 대규모 영구 손실을 방지하는 동일한 지갑일 필요는 없으며 데이터는 이러한 분리를 확인합니다.</w:t>
      </w:r>
    </w:p>
    <w:p>
      <w:pPr>
        <w:pStyle w:val="BodyText"/>
        <w:spacing w:before="11"/>
      </w:pPr>
    </w:p>
    <w:p>
      <w:pPr>
        <w:pStyle w:val="Heading4"/>
        <w:numPr>
          <w:ilvl w:val="2"/>
          <w:numId w:val="8"/>
        </w:numPr>
        <w:tabs>
          <w:tab w:pos="879" w:val="left" w:leader="none"/>
        </w:tabs>
        <w:spacing w:line="240" w:lineRule="auto" w:before="0" w:after="0"/>
        <w:ind w:left="879" w:right="0" w:hanging="597"/>
        <w:jc w:val="left"/>
      </w:pPr>
      <w:r>
        <w:rPr>
          <w:spacing w:val="-2"/>
        </w:rPr>
        <w:t>Sybil-adjusted</w:t>
      </w:r>
      <w:r>
        <w:rPr>
          <w:spacing w:val="3"/>
        </w:rPr>
        <w:t> </w:t>
      </w:r>
      <w:r>
        <w:rPr>
          <w:spacing w:val="-2"/>
        </w:rPr>
        <w:t>stability</w:t>
      </w:r>
      <w:r>
        <w:rPr>
          <w:spacing w:val="4"/>
        </w:rPr>
        <w:t> </w:t>
      </w:r>
      <w:r>
        <w:rPr>
          <w:spacing w:val="-2"/>
        </w:rPr>
        <w:t>family</w:t>
      </w:r>
    </w:p>
    <w:p>
      <w:pPr>
        <w:pStyle w:val="Heading4"/>
        <w:numPr>
          <w:ilvl w:val="2"/>
          <w:numId w:val="8"/>
        </w:numPr>
        <w:tabs>
          <w:tab w:pos="879" w:val="left" w:leader="none"/>
        </w:tabs>
        <w:spacing w:line="240" w:lineRule="auto" w:before="0" w:after="0"/>
        <w:ind w:left="879" w:right="0" w:hanging="597"/>
        <w:jc w:val="left"/>
      </w:pPr>
      <w:r>
        <w:rPr>
          <w:i/>
        </w:rPr>
        <w:t>Sybil-조정된 안정성 계열</w:t>
      </w:r>
    </w:p>
    <w:p>
      <w:pPr>
        <w:pStyle w:val="BodyText"/>
        <w:spacing w:before="47"/>
        <w:rPr>
          <w:b/>
        </w:rPr>
      </w:pPr>
    </w:p>
    <w:p>
      <w:pPr>
        <w:pStyle w:val="BodyText"/>
        <w:spacing w:line="384" w:lineRule="auto"/>
        <w:ind w:left="273" w:right="524" w:hanging="146"/>
        <w:jc w:val="center"/>
      </w:pPr>
      <w:r>
        <w:rPr/>
        <w:t>Table </w:t>
      </w:r>
      <w:hyperlink w:history="true" w:anchor="_bookmark107">
        <w:r>
          <w:rPr/>
          <w:t>4.11</w:t>
        </w:r>
      </w:hyperlink>
      <w:r>
        <w:rPr/>
        <w:t> reports alignment with inbound counterparty ratio, transfer tenure, and active months. AWP</w:t>
      </w:r>
      <w:r>
        <w:rPr>
          <w:spacing w:val="-15"/>
        </w:rPr>
        <w:t> </w:t>
      </w:r>
      <w:r>
        <w:rPr/>
        <w:t>exceeds</w:t>
      </w:r>
      <w:r>
        <w:rPr>
          <w:spacing w:val="-15"/>
        </w:rPr>
        <w:t> </w:t>
      </w:r>
      <w:r>
        <w:rPr/>
        <w:t>EndorseRank</w:t>
      </w:r>
      <w:r>
        <w:rPr>
          <w:spacing w:val="-15"/>
        </w:rPr>
        <w:t> </w:t>
      </w:r>
      <w:r>
        <w:rPr/>
        <w:t>among</w:t>
      </w:r>
      <w:r>
        <w:rPr>
          <w:spacing w:val="-15"/>
        </w:rPr>
        <w:t> </w:t>
      </w:r>
      <w:r>
        <w:rPr/>
        <w:t>social</w:t>
      </w:r>
      <w:r>
        <w:rPr>
          <w:spacing w:val="-15"/>
        </w:rPr>
        <w:t> </w:t>
      </w:r>
      <w:r>
        <w:rPr/>
        <w:t>methods</w:t>
      </w:r>
      <w:r>
        <w:rPr>
          <w:spacing w:val="-15"/>
        </w:rPr>
        <w:t> </w:t>
      </w:r>
      <w:r>
        <w:rPr/>
        <w:t>(family</w:t>
      </w:r>
      <w:r>
        <w:rPr>
          <w:spacing w:val="-15"/>
        </w:rPr>
        <w:t> </w:t>
      </w:r>
      <w:r>
        <w:rPr/>
        <w:t>means</w:t>
      </w:r>
      <w:r>
        <w:rPr>
          <w:spacing w:val="-15"/>
        </w:rPr>
        <w:t> </w:t>
      </w:r>
      <w:r>
        <w:rPr>
          <w:rFonts w:ascii="Calibri" w:hAnsi="Calibri"/>
        </w:rPr>
        <w:t>0</w:t>
      </w:r>
      <w:r>
        <w:rPr>
          <w:rFonts w:ascii="Calibri" w:hAnsi="Calibri"/>
          <w:i/>
        </w:rPr>
        <w:t>.</w:t>
      </w:r>
      <w:r>
        <w:rPr>
          <w:rFonts w:ascii="Calibri" w:hAnsi="Calibri"/>
        </w:rPr>
        <w:t>286</w:t>
      </w:r>
      <w:r>
        <w:rPr>
          <w:rFonts w:ascii="Calibri" w:hAnsi="Calibri"/>
          <w:spacing w:val="-14"/>
        </w:rPr>
        <w:t> </w:t>
      </w:r>
      <w:r>
        <w:rPr/>
        <w:t>vs.</w:t>
      </w:r>
      <w:r>
        <w:rPr>
          <w:spacing w:val="-15"/>
        </w:rPr>
        <w:t> </w:t>
      </w:r>
      <w:r>
        <w:rPr>
          <w:rFonts w:ascii="Calibri" w:hAnsi="Calibri"/>
        </w:rPr>
        <w:t>0</w:t>
      </w:r>
      <w:r>
        <w:rPr>
          <w:rFonts w:ascii="Calibri" w:hAnsi="Calibri"/>
          <w:i/>
        </w:rPr>
        <w:t>.</w:t>
      </w:r>
      <w:r>
        <w:rPr>
          <w:rFonts w:ascii="Calibri" w:hAnsi="Calibri"/>
        </w:rPr>
        <w:t>233</w:t>
      </w:r>
      <w:r>
        <w:rPr/>
        <w:t>).</w:t>
      </w:r>
      <w:r>
        <w:rPr>
          <w:spacing w:val="-11"/>
        </w:rPr>
        <w:t> </w:t>
      </w:r>
      <w:r>
        <w:rPr/>
        <w:t>The</w:t>
      </w:r>
      <w:r>
        <w:rPr>
          <w:spacing w:val="-15"/>
        </w:rPr>
        <w:t> </w:t>
      </w:r>
      <w:r>
        <w:rPr/>
        <w:t>gap</w:t>
      </w:r>
      <w:r>
        <w:rPr>
          <w:spacing w:val="-15"/>
        </w:rPr>
        <w:t> </w:t>
      </w:r>
      <w:r>
        <w:rPr/>
        <w:t>is</w:t>
      </w:r>
      <w:r>
        <w:rPr>
          <w:spacing w:val="-15"/>
        </w:rPr>
        <w:t> </w:t>
      </w:r>
      <w:r>
        <w:rPr/>
        <w:t>con-centrated</w:t>
      </w:r>
      <w:r>
        <w:rPr>
          <w:spacing w:val="-10"/>
        </w:rPr>
        <w:t> </w:t>
      </w:r>
      <w:r>
        <w:rPr/>
        <w:t>in</w:t>
      </w:r>
      <w:r>
        <w:rPr>
          <w:spacing w:val="-10"/>
        </w:rPr>
        <w:t> </w:t>
      </w:r>
      <w:r>
        <w:rPr/>
        <w:t>tenure</w:t>
      </w:r>
      <w:r>
        <w:rPr>
          <w:spacing w:val="-10"/>
        </w:rPr>
        <w:t> </w:t>
      </w:r>
      <w:r>
        <w:rPr/>
        <w:t>and</w:t>
      </w:r>
      <w:r>
        <w:rPr>
          <w:spacing w:val="-10"/>
        </w:rPr>
        <w:t> </w:t>
      </w:r>
      <w:r>
        <w:rPr/>
        <w:t>activity</w:t>
      </w:r>
      <w:r>
        <w:rPr>
          <w:spacing w:val="-10"/>
        </w:rPr>
        <w:t> </w:t>
      </w:r>
      <w:r>
        <w:rPr/>
        <w:t>proxies:</w:t>
      </w:r>
      <w:r>
        <w:rPr>
          <w:spacing w:val="16"/>
        </w:rPr>
        <w:t> </w:t>
      </w:r>
      <w:r>
        <w:rPr/>
        <w:t>AWP</w:t>
      </w:r>
      <w:r>
        <w:rPr>
          <w:spacing w:val="-10"/>
        </w:rPr>
        <w:t> </w:t>
      </w:r>
      <w:r>
        <w:rPr/>
        <w:t>achieves</w:t>
      </w:r>
      <w:r>
        <w:rPr>
          <w:spacing w:val="-10"/>
        </w:rPr>
        <w:t> </w:t>
      </w:r>
      <w:r>
        <w:rPr>
          <w:rFonts w:ascii="Calibri" w:hAnsi="Calibri"/>
          <w:i/>
        </w:rPr>
        <w:t>τ</w:t>
      </w:r>
      <w:r>
        <w:rPr>
          <w:rFonts w:ascii="Calibri" w:hAnsi="Calibri"/>
          <w:i/>
          <w:spacing w:val="27"/>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436</w:t>
      </w:r>
      <w:r>
        <w:rPr>
          <w:rFonts w:ascii="Calibri" w:hAnsi="Calibri"/>
          <w:spacing w:val="-4"/>
        </w:rPr>
        <w:t> </w:t>
      </w:r>
      <w:r>
        <w:rPr/>
        <w:t>on</w:t>
      </w:r>
      <w:r>
        <w:rPr>
          <w:spacing w:val="-10"/>
        </w:rPr>
        <w:t> </w:t>
      </w:r>
      <w:r>
        <w:rPr/>
        <w:t>transfer</w:t>
      </w:r>
      <w:r>
        <w:rPr>
          <w:spacing w:val="-10"/>
        </w:rPr>
        <w:t> </w:t>
      </w:r>
      <w:r>
        <w:rPr/>
        <w:t>tenure</w:t>
      </w:r>
      <w:r>
        <w:rPr>
          <w:spacing w:val="-10"/>
        </w:rPr>
        <w:t> </w:t>
      </w:r>
      <w:r>
        <w:rPr/>
        <w:t>and</w:t>
      </w:r>
      <w:r>
        <w:rPr>
          <w:spacing w:val="-10"/>
        </w:rPr>
        <w:t> </w:t>
      </w:r>
      <w:r>
        <w:rPr>
          <w:rFonts w:ascii="Calibri" w:hAnsi="Calibri"/>
          <w:i/>
        </w:rPr>
        <w:t>τ</w:t>
      </w:r>
      <w:r>
        <w:rPr>
          <w:rFonts w:ascii="Calibri" w:hAnsi="Calibri"/>
          <w:i/>
          <w:spacing w:val="27"/>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482 </w:t>
      </w:r>
      <w:r>
        <w:rPr/>
        <w:t>on</w:t>
      </w:r>
      <w:r>
        <w:rPr>
          <w:spacing w:val="-2"/>
        </w:rPr>
        <w:t> </w:t>
      </w:r>
      <w:r>
        <w:rPr/>
        <w:t>active</w:t>
      </w:r>
      <w:r>
        <w:rPr>
          <w:spacing w:val="-2"/>
        </w:rPr>
        <w:t> </w:t>
      </w:r>
      <w:r>
        <w:rPr/>
        <w:t>months, versus</w:t>
      </w:r>
      <w:r>
        <w:rPr>
          <w:spacing w:val="-1"/>
        </w:rPr>
        <w:t> </w:t>
      </w:r>
      <w:r>
        <w:rPr>
          <w:rFonts w:ascii="Calibri" w:hAnsi="Calibri"/>
        </w:rPr>
        <w:t>0</w:t>
      </w:r>
      <w:r>
        <w:rPr>
          <w:rFonts w:ascii="Calibri" w:hAnsi="Calibri"/>
          <w:i/>
        </w:rPr>
        <w:t>.</w:t>
      </w:r>
      <w:r>
        <w:rPr>
          <w:rFonts w:ascii="Calibri" w:hAnsi="Calibri"/>
        </w:rPr>
        <w:t>297</w:t>
      </w:r>
      <w:r>
        <w:rPr>
          <w:rFonts w:ascii="Calibri" w:hAnsi="Calibri"/>
          <w:spacing w:val="4"/>
        </w:rPr>
        <w:t> </w:t>
      </w:r>
      <w:r>
        <w:rPr/>
        <w:t>and</w:t>
      </w:r>
      <w:r>
        <w:rPr>
          <w:spacing w:val="-2"/>
        </w:rPr>
        <w:t> </w:t>
      </w:r>
      <w:r>
        <w:rPr>
          <w:rFonts w:ascii="Calibri" w:hAnsi="Calibri"/>
        </w:rPr>
        <w:t>0</w:t>
      </w:r>
      <w:r>
        <w:rPr>
          <w:rFonts w:ascii="Calibri" w:hAnsi="Calibri"/>
          <w:i/>
        </w:rPr>
        <w:t>.</w:t>
      </w:r>
      <w:r>
        <w:rPr>
          <w:rFonts w:ascii="Calibri" w:hAnsi="Calibri"/>
        </w:rPr>
        <w:t>330</w:t>
      </w:r>
      <w:r>
        <w:rPr>
          <w:rFonts w:ascii="Calibri" w:hAnsi="Calibri"/>
          <w:spacing w:val="5"/>
        </w:rPr>
        <w:t> </w:t>
      </w:r>
      <w:r>
        <w:rPr/>
        <w:t>for</w:t>
      </w:r>
      <w:r>
        <w:rPr>
          <w:spacing w:val="-2"/>
        </w:rPr>
        <w:t> </w:t>
      </w:r>
      <w:r>
        <w:rPr/>
        <w:t>EndorseRank.</w:t>
      </w:r>
      <w:r>
        <w:rPr>
          <w:spacing w:val="32"/>
        </w:rPr>
        <w:t> </w:t>
      </w:r>
      <w:r>
        <w:rPr/>
        <w:t>Because</w:t>
      </w:r>
      <w:r>
        <w:rPr>
          <w:spacing w:val="-2"/>
        </w:rPr>
        <w:t> </w:t>
      </w:r>
      <w:r>
        <w:rPr/>
        <w:t>AWP’s</w:t>
      </w:r>
      <w:r>
        <w:rPr>
          <w:spacing w:val="-2"/>
        </w:rPr>
        <w:t> </w:t>
      </w:r>
      <w:r>
        <w:rPr/>
        <w:t>edge</w:t>
      </w:r>
      <w:r>
        <w:rPr>
          <w:spacing w:val="-1"/>
        </w:rPr>
        <w:t> </w:t>
      </w:r>
      <w:r>
        <w:rPr/>
        <w:t>weights</w:t>
      </w:r>
      <w:r>
        <w:rPr>
          <w:spacing w:val="-2"/>
        </w:rPr>
        <w:t> incor-</w:t>
      </w:r>
    </w:p>
    <w:p>
      <w:pPr>
        <w:pStyle w:val="BodyText"/>
        <w:spacing w:line="384" w:lineRule="auto"/>
        <w:ind w:left="273" w:right="524" w:hanging="146"/>
        <w:jc w:val="center"/>
      </w:pPr>
      <w:r>
        <w:rPr>
          <w:i/>
        </w:rPr>
        <w:t>표 4.11은 인바운드 거래상대방 비율, 이전 기간 및 활성 월 간의 정렬을 보고합니다. 사회적 방법 중 AWP는 EndorseRank를 초과합니다(가족은 0.286 대 0.233을 의미함). 격차는 보유 기간 및 활동 프록시에 집중되어 있습니다. AWP는 이전 보유 기간에서 τ = 0.436, 활성 월에서 τ = 0.482를 달성한 반면, EndorseRank에서는 0.297 및 0.330을 달성했습니다. AWP의 가장자리 가중치가 포함되어 있기 때문입니다.</w:t>
      </w:r>
    </w:p>
    <w:p>
      <w:pPr>
        <w:pStyle w:val="BodyText"/>
        <w:spacing w:after="0" w:line="384" w:lineRule="auto"/>
        <w:jc w:val="center"/>
        <w:sectPr>
          <w:pgSz w:w="11910" w:h="16840"/>
          <w:pgMar w:header="0" w:footer="2115" w:top="1800" w:bottom="2300" w:left="992" w:right="708"/>
        </w:sectPr>
      </w:pPr>
    </w:p>
    <w:p>
      <w:pPr>
        <w:pStyle w:val="BodyText"/>
        <w:spacing w:before="75"/>
        <w:ind w:left="664"/>
      </w:pPr>
      <w:bookmarkStart w:name="_bookmark107" w:id="192"/>
      <w:bookmarkEnd w:id="192"/>
      <w:r>
        <w:rPr/>
      </w:r>
      <w:r>
        <w:rPr/>
        <w:t>Table</w:t>
      </w:r>
      <w:r>
        <w:rPr>
          <w:spacing w:val="-12"/>
        </w:rPr>
        <w:t> </w:t>
      </w:r>
      <w:r>
        <w:rPr/>
        <w:t>4.11:</w:t>
      </w:r>
      <w:r>
        <w:rPr>
          <w:spacing w:val="6"/>
        </w:rPr>
        <w:t> </w:t>
      </w:r>
      <w:r>
        <w:rPr/>
        <w:t>Domain</w:t>
      </w:r>
      <w:r>
        <w:rPr>
          <w:spacing w:val="-11"/>
        </w:rPr>
        <w:t> </w:t>
      </w:r>
      <w:r>
        <w:rPr/>
        <w:t>alignment</w:t>
      </w:r>
      <w:r>
        <w:rPr>
          <w:spacing w:val="-11"/>
        </w:rPr>
        <w:t> </w:t>
      </w:r>
      <w:r>
        <w:rPr/>
        <w:t>with</w:t>
      </w:r>
      <w:r>
        <w:rPr>
          <w:spacing w:val="-11"/>
        </w:rPr>
        <w:t> </w:t>
      </w:r>
      <w:r>
        <w:rPr/>
        <w:t>Sybil-adjusted</w:t>
      </w:r>
      <w:r>
        <w:rPr>
          <w:spacing w:val="-12"/>
        </w:rPr>
        <w:t> </w:t>
      </w:r>
      <w:r>
        <w:rPr/>
        <w:t>stability</w:t>
      </w:r>
      <w:r>
        <w:rPr>
          <w:spacing w:val="-11"/>
        </w:rPr>
        <w:t> </w:t>
      </w:r>
      <w:r>
        <w:rPr/>
        <w:t>proxies</w:t>
      </w:r>
      <w:r>
        <w:rPr>
          <w:spacing w:val="-11"/>
        </w:rPr>
        <w:t> </w:t>
      </w:r>
      <w:r>
        <w:rPr/>
        <w:t>from</w:t>
      </w:r>
      <w:r>
        <w:rPr>
          <w:spacing w:val="-11"/>
        </w:rPr>
        <w:t> </w:t>
      </w:r>
      <w:r>
        <w:rPr/>
        <w:t>transfer</w:t>
      </w:r>
      <w:r>
        <w:rPr>
          <w:spacing w:val="-11"/>
        </w:rPr>
        <w:t> </w:t>
      </w:r>
      <w:r>
        <w:rPr>
          <w:spacing w:val="-2"/>
        </w:rPr>
        <w:t>activity.</w:t>
      </w:r>
    </w:p>
    <w:p>
      <w:pPr>
        <w:pStyle w:val="BodyText"/>
        <w:spacing w:before="75"/>
        <w:ind w:left="664"/>
      </w:pPr>
      <w:r>
        <w:rPr>
          <w:i/>
        </w:rPr>
        <w:t>표 4.11: 전송 활동에서 Sybil 조정된 안정성 프록시를 사용한 도메인 정렬.</w:t>
      </w:r>
    </w:p>
    <w:p>
      <w:pPr>
        <w:pStyle w:val="BodyText"/>
        <w:spacing w:before="14"/>
        <w:rPr>
          <w:sz w:val="20"/>
        </w:rPr>
      </w:pPr>
    </w:p>
    <w:tbl>
      <w:tblPr>
        <w:tblW w:w="0" w:type="auto"/>
        <w:jc w:val="left"/>
        <w:tblInd w:w="2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8"/>
        <w:gridCol w:w="1179"/>
        <w:gridCol w:w="1005"/>
      </w:tblGrid>
      <w:tr>
        <w:trPr>
          <w:trHeight w:val="381" w:hRule="atLeast"/>
        </w:trPr>
        <w:tc>
          <w:tcPr>
            <w:tcW w:w="2478"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p>
            <w:pPr>
              <w:pStyle w:val="TableParagraph"/>
              <w:spacing w:before="53"/>
              <w:ind w:left="69"/>
              <w:jc w:val="left"/>
              <w:rPr>
                <w:sz w:val="22"/>
              </w:rPr>
            </w:pPr>
            <w:r>
              <w:rPr>
                <w:i/>
              </w:rPr>
              <w:t>대리</w:t>
            </w:r>
          </w:p>
        </w:tc>
        <w:tc>
          <w:tcPr>
            <w:tcW w:w="1179" w:type="dxa"/>
            <w:tcBorders>
              <w:top w:val="single" w:sz="8" w:space="0" w:color="000000"/>
              <w:bottom w:val="single" w:sz="6" w:space="0" w:color="000000"/>
            </w:tcBorders>
          </w:tcPr>
          <w:p>
            <w:pPr>
              <w:pStyle w:val="TableParagraph"/>
              <w:spacing w:before="49"/>
              <w:ind w:left="1"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3" w:right="25"/>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2478"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p>
            <w:pPr>
              <w:pStyle w:val="TableParagraph"/>
              <w:spacing w:line="247" w:lineRule="exact" w:before="18"/>
              <w:ind w:left="69"/>
              <w:jc w:val="left"/>
              <w:rPr>
                <w:sz w:val="22"/>
              </w:rPr>
            </w:pPr>
            <w:r>
              <w:rPr>
                <w:i/>
              </w:rPr>
              <w:t>인바운드 상대방 비율</w:t>
            </w:r>
          </w:p>
        </w:tc>
        <w:tc>
          <w:tcPr>
            <w:tcW w:w="1179"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0.093</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5" w:right="25"/>
              <w:rPr>
                <w:sz w:val="22"/>
              </w:rPr>
            </w:pPr>
            <w:r>
              <w:rPr>
                <w:spacing w:val="-2"/>
                <w:sz w:val="22"/>
              </w:rPr>
              <w:t>0.073</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p>
            <w:pPr>
              <w:pStyle w:val="TableParagraph"/>
              <w:spacing w:line="247" w:lineRule="exact"/>
              <w:ind w:left="69"/>
              <w:jc w:val="left"/>
              <w:rPr>
                <w:sz w:val="22"/>
              </w:rPr>
            </w:pPr>
            <w:r>
              <w:rPr>
                <w:i/>
              </w:rPr>
              <w:t>이전 기간(일)</w:t>
            </w:r>
          </w:p>
        </w:tc>
        <w:tc>
          <w:tcPr>
            <w:tcW w:w="1179" w:type="dxa"/>
          </w:tcPr>
          <w:p>
            <w:pPr>
              <w:pStyle w:val="TableParagraph"/>
              <w:spacing w:line="247" w:lineRule="exact"/>
              <w:ind w:left="1" w:right="1"/>
              <w:rPr>
                <w:sz w:val="22"/>
              </w:rPr>
            </w:pPr>
            <w:r>
              <w:rPr>
                <w:spacing w:val="-2"/>
                <w:sz w:val="22"/>
              </w:rPr>
              <w:t>0.366</w:t>
            </w:r>
          </w:p>
        </w:tc>
        <w:tc>
          <w:tcPr>
            <w:tcW w:w="1005" w:type="dxa"/>
          </w:tcPr>
          <w:p>
            <w:pPr>
              <w:pStyle w:val="TableParagraph"/>
              <w:spacing w:line="247" w:lineRule="exact"/>
              <w:ind w:left="25" w:right="25"/>
              <w:rPr>
                <w:sz w:val="22"/>
              </w:rPr>
            </w:pPr>
            <w:r>
              <w:rPr>
                <w:spacing w:val="-2"/>
                <w:sz w:val="22"/>
              </w:rPr>
              <w:t>0.297</w:t>
            </w:r>
          </w:p>
        </w:tc>
      </w:tr>
      <w:tr>
        <w:trPr>
          <w:trHeight w:val="330" w:hRule="atLeast"/>
        </w:trPr>
        <w:tc>
          <w:tcPr>
            <w:tcW w:w="2478" w:type="dxa"/>
          </w:tcPr>
          <w:p>
            <w:pPr>
              <w:pStyle w:val="TableParagraph"/>
              <w:ind w:left="69"/>
              <w:jc w:val="left"/>
              <w:rPr>
                <w:sz w:val="22"/>
              </w:rPr>
            </w:pPr>
            <w:r>
              <w:rPr>
                <w:sz w:val="22"/>
              </w:rPr>
              <w:t>Active</w:t>
            </w:r>
            <w:r>
              <w:rPr>
                <w:spacing w:val="-7"/>
                <w:sz w:val="22"/>
              </w:rPr>
              <w:t> </w:t>
            </w:r>
            <w:r>
              <w:rPr>
                <w:spacing w:val="-2"/>
                <w:sz w:val="22"/>
              </w:rPr>
              <w:t>months</w:t>
            </w:r>
          </w:p>
          <w:p>
            <w:pPr>
              <w:pStyle w:val="TableParagraph"/>
              <w:ind w:left="69"/>
              <w:jc w:val="left"/>
              <w:rPr>
                <w:sz w:val="22"/>
              </w:rPr>
            </w:pPr>
            <w:r>
              <w:rPr>
                <w:i/>
              </w:rPr>
              <w:t>활성 월</w:t>
            </w:r>
          </w:p>
        </w:tc>
        <w:tc>
          <w:tcPr>
            <w:tcW w:w="1179" w:type="dxa"/>
          </w:tcPr>
          <w:p>
            <w:pPr>
              <w:pStyle w:val="TableParagraph"/>
              <w:ind w:left="1" w:right="1"/>
              <w:rPr>
                <w:sz w:val="22"/>
              </w:rPr>
            </w:pPr>
            <w:r>
              <w:rPr>
                <w:spacing w:val="-2"/>
                <w:sz w:val="22"/>
              </w:rPr>
              <w:t>0.381</w:t>
            </w:r>
          </w:p>
        </w:tc>
        <w:tc>
          <w:tcPr>
            <w:tcW w:w="1005" w:type="dxa"/>
          </w:tcPr>
          <w:p>
            <w:pPr>
              <w:pStyle w:val="TableParagraph"/>
              <w:ind w:left="25" w:right="25"/>
              <w:rPr>
                <w:sz w:val="22"/>
              </w:rPr>
            </w:pPr>
            <w:r>
              <w:rPr>
                <w:spacing w:val="-2"/>
                <w:sz w:val="22"/>
              </w:rPr>
              <w:t>0.330</w:t>
            </w:r>
          </w:p>
        </w:tc>
      </w:tr>
      <w:tr>
        <w:trPr>
          <w:trHeight w:val="601" w:hRule="atLeast"/>
        </w:trPr>
        <w:tc>
          <w:tcPr>
            <w:tcW w:w="2478"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p>
            <w:pPr>
              <w:pStyle w:val="TableParagraph"/>
              <w:spacing w:line="247" w:lineRule="exact" w:before="18"/>
              <w:ind w:left="69"/>
              <w:jc w:val="left"/>
              <w:rPr>
                <w:sz w:val="22"/>
              </w:rPr>
            </w:pPr>
            <w:r>
              <w:rPr>
                <w:i/>
              </w:rPr>
              <w:t>인바운드 상대방 비율</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-0.063</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-0.061</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p>
            <w:pPr>
              <w:pStyle w:val="TableParagraph"/>
              <w:spacing w:line="247" w:lineRule="exact"/>
              <w:ind w:left="69"/>
              <w:jc w:val="left"/>
              <w:rPr>
                <w:sz w:val="22"/>
              </w:rPr>
            </w:pPr>
            <w:r>
              <w:rPr>
                <w:i/>
              </w:rPr>
              <w:t>이전 기간(일)</w:t>
            </w:r>
          </w:p>
        </w:tc>
        <w:tc>
          <w:tcPr>
            <w:tcW w:w="1179" w:type="dxa"/>
          </w:tcPr>
          <w:p>
            <w:pPr>
              <w:pStyle w:val="TableParagraph"/>
              <w:spacing w:line="247" w:lineRule="exact"/>
              <w:ind w:left="1" w:right="1"/>
              <w:rPr>
                <w:sz w:val="22"/>
              </w:rPr>
            </w:pPr>
            <w:r>
              <w:rPr>
                <w:spacing w:val="-2"/>
                <w:sz w:val="22"/>
              </w:rPr>
              <w:t>0.602</w:t>
            </w:r>
          </w:p>
        </w:tc>
        <w:tc>
          <w:tcPr>
            <w:tcW w:w="1005" w:type="dxa"/>
          </w:tcPr>
          <w:p>
            <w:pPr>
              <w:pStyle w:val="TableParagraph"/>
              <w:spacing w:line="247" w:lineRule="exact"/>
              <w:ind w:left="25" w:right="25"/>
              <w:rPr>
                <w:sz w:val="22"/>
              </w:rPr>
            </w:pPr>
            <w:r>
              <w:rPr>
                <w:spacing w:val="-2"/>
                <w:sz w:val="22"/>
              </w:rPr>
              <w:t>0.436</w:t>
            </w:r>
          </w:p>
        </w:tc>
      </w:tr>
      <w:tr>
        <w:trPr>
          <w:trHeight w:val="330" w:hRule="atLeast"/>
        </w:trPr>
        <w:tc>
          <w:tcPr>
            <w:tcW w:w="2478" w:type="dxa"/>
          </w:tcPr>
          <w:p>
            <w:pPr>
              <w:pStyle w:val="TableParagraph"/>
              <w:ind w:left="69"/>
              <w:jc w:val="left"/>
              <w:rPr>
                <w:sz w:val="22"/>
              </w:rPr>
            </w:pPr>
            <w:r>
              <w:rPr>
                <w:sz w:val="22"/>
              </w:rPr>
              <w:t>Active</w:t>
            </w:r>
            <w:r>
              <w:rPr>
                <w:spacing w:val="-7"/>
                <w:sz w:val="22"/>
              </w:rPr>
              <w:t> </w:t>
            </w:r>
            <w:r>
              <w:rPr>
                <w:spacing w:val="-2"/>
                <w:sz w:val="22"/>
              </w:rPr>
              <w:t>months</w:t>
            </w:r>
          </w:p>
          <w:p>
            <w:pPr>
              <w:pStyle w:val="TableParagraph"/>
              <w:ind w:left="69"/>
              <w:jc w:val="left"/>
              <w:rPr>
                <w:sz w:val="22"/>
              </w:rPr>
            </w:pPr>
            <w:r>
              <w:rPr>
                <w:i/>
              </w:rPr>
              <w:t>활성 월</w:t>
            </w:r>
          </w:p>
        </w:tc>
        <w:tc>
          <w:tcPr>
            <w:tcW w:w="1179" w:type="dxa"/>
          </w:tcPr>
          <w:p>
            <w:pPr>
              <w:pStyle w:val="TableParagraph"/>
              <w:ind w:left="1" w:right="1"/>
              <w:rPr>
                <w:sz w:val="22"/>
              </w:rPr>
            </w:pPr>
            <w:r>
              <w:rPr>
                <w:spacing w:val="-2"/>
                <w:sz w:val="22"/>
              </w:rPr>
              <w:t>0.622</w:t>
            </w:r>
          </w:p>
        </w:tc>
        <w:tc>
          <w:tcPr>
            <w:tcW w:w="1005" w:type="dxa"/>
          </w:tcPr>
          <w:p>
            <w:pPr>
              <w:pStyle w:val="TableParagraph"/>
              <w:ind w:left="25" w:right="25"/>
              <w:rPr>
                <w:sz w:val="22"/>
              </w:rPr>
            </w:pPr>
            <w:r>
              <w:rPr>
                <w:spacing w:val="-2"/>
                <w:sz w:val="22"/>
              </w:rPr>
              <w:t>0.482</w:t>
            </w:r>
          </w:p>
        </w:tc>
      </w:tr>
      <w:tr>
        <w:trPr>
          <w:trHeight w:val="601" w:hRule="atLeast"/>
        </w:trPr>
        <w:tc>
          <w:tcPr>
            <w:tcW w:w="2478"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z w:val="22"/>
              </w:rPr>
              <w:t>Inbound</w:t>
            </w:r>
            <w:r>
              <w:rPr>
                <w:spacing w:val="-11"/>
                <w:sz w:val="22"/>
              </w:rPr>
              <w:t> </w:t>
            </w:r>
            <w:r>
              <w:rPr>
                <w:sz w:val="22"/>
              </w:rPr>
              <w:t>counterparty</w:t>
            </w:r>
            <w:r>
              <w:rPr>
                <w:spacing w:val="-10"/>
                <w:sz w:val="22"/>
              </w:rPr>
              <w:t> </w:t>
            </w:r>
            <w:r>
              <w:rPr>
                <w:spacing w:val="-2"/>
                <w:sz w:val="22"/>
              </w:rPr>
              <w:t>ratio</w:t>
            </w:r>
          </w:p>
          <w:p>
            <w:pPr>
              <w:pStyle w:val="TableParagraph"/>
              <w:spacing w:line="247" w:lineRule="exact" w:before="18"/>
              <w:ind w:left="69"/>
              <w:jc w:val="left"/>
              <w:rPr>
                <w:sz w:val="22"/>
              </w:rPr>
            </w:pPr>
            <w:r>
              <w:rPr>
                <w:i/>
              </w:rPr>
              <w:t>인바운드 상대방 비율</w:t>
            </w:r>
          </w:p>
        </w:tc>
        <w:tc>
          <w:tcPr>
            <w:tcW w:w="1179" w:type="dxa"/>
          </w:tcPr>
          <w:p>
            <w:pPr>
              <w:pStyle w:val="TableParagraph"/>
              <w:spacing w:before="81"/>
              <w:jc w:val="left"/>
              <w:rPr>
                <w:sz w:val="22"/>
              </w:rPr>
            </w:pPr>
          </w:p>
          <w:p>
            <w:pPr>
              <w:pStyle w:val="TableParagraph"/>
              <w:spacing w:line="247" w:lineRule="exact" w:before="0"/>
              <w:ind w:left="1" w:right="1"/>
              <w:rPr>
                <w:sz w:val="22"/>
              </w:rPr>
            </w:pPr>
            <w:r>
              <w:rPr>
                <w:spacing w:val="-2"/>
                <w:sz w:val="22"/>
              </w:rPr>
              <w:t>-0.339</w:t>
            </w:r>
          </w:p>
        </w:tc>
        <w:tc>
          <w:tcPr>
            <w:tcW w:w="1005" w:type="dxa"/>
          </w:tcPr>
          <w:p>
            <w:pPr>
              <w:pStyle w:val="TableParagraph"/>
              <w:spacing w:before="81"/>
              <w:jc w:val="left"/>
              <w:rPr>
                <w:sz w:val="22"/>
              </w:rPr>
            </w:pPr>
          </w:p>
          <w:p>
            <w:pPr>
              <w:pStyle w:val="TableParagraph"/>
              <w:spacing w:line="247" w:lineRule="exact" w:before="0"/>
              <w:ind w:left="25" w:right="25"/>
              <w:rPr>
                <w:sz w:val="22"/>
              </w:rPr>
            </w:pPr>
            <w:r>
              <w:rPr>
                <w:spacing w:val="-2"/>
                <w:sz w:val="22"/>
              </w:rPr>
              <w:t>-0.235</w:t>
            </w:r>
          </w:p>
        </w:tc>
      </w:tr>
      <w:tr>
        <w:trPr>
          <w:trHeight w:val="270" w:hRule="atLeast"/>
        </w:trPr>
        <w:tc>
          <w:tcPr>
            <w:tcW w:w="2478" w:type="dxa"/>
          </w:tcPr>
          <w:p>
            <w:pPr>
              <w:pStyle w:val="TableParagraph"/>
              <w:spacing w:line="247" w:lineRule="exact"/>
              <w:ind w:left="69"/>
              <w:jc w:val="left"/>
              <w:rPr>
                <w:sz w:val="22"/>
              </w:rPr>
            </w:pPr>
            <w:r>
              <w:rPr>
                <w:sz w:val="22"/>
              </w:rPr>
              <w:t>Transfer</w:t>
            </w:r>
            <w:r>
              <w:rPr>
                <w:spacing w:val="-12"/>
                <w:sz w:val="22"/>
              </w:rPr>
              <w:t> </w:t>
            </w:r>
            <w:r>
              <w:rPr>
                <w:sz w:val="22"/>
              </w:rPr>
              <w:t>tenure</w:t>
            </w:r>
            <w:r>
              <w:rPr>
                <w:spacing w:val="-11"/>
                <w:sz w:val="22"/>
              </w:rPr>
              <w:t> </w:t>
            </w:r>
            <w:r>
              <w:rPr>
                <w:spacing w:val="-2"/>
                <w:sz w:val="22"/>
              </w:rPr>
              <w:t>(days)</w:t>
            </w:r>
          </w:p>
          <w:p>
            <w:pPr>
              <w:pStyle w:val="TableParagraph"/>
              <w:spacing w:line="247" w:lineRule="exact"/>
              <w:ind w:left="69"/>
              <w:jc w:val="left"/>
              <w:rPr>
                <w:sz w:val="22"/>
              </w:rPr>
            </w:pPr>
            <w:r>
              <w:rPr>
                <w:i/>
              </w:rPr>
              <w:t>이전 기간(일)</w:t>
            </w:r>
          </w:p>
        </w:tc>
        <w:tc>
          <w:tcPr>
            <w:tcW w:w="1179" w:type="dxa"/>
          </w:tcPr>
          <w:p>
            <w:pPr>
              <w:pStyle w:val="TableParagraph"/>
              <w:spacing w:line="247" w:lineRule="exact"/>
              <w:ind w:left="1" w:right="1"/>
              <w:rPr>
                <w:sz w:val="22"/>
              </w:rPr>
            </w:pPr>
            <w:r>
              <w:rPr>
                <w:spacing w:val="-2"/>
                <w:sz w:val="22"/>
              </w:rPr>
              <w:t>0.359</w:t>
            </w:r>
          </w:p>
        </w:tc>
        <w:tc>
          <w:tcPr>
            <w:tcW w:w="1005" w:type="dxa"/>
          </w:tcPr>
          <w:p>
            <w:pPr>
              <w:pStyle w:val="TableParagraph"/>
              <w:spacing w:line="247" w:lineRule="exact"/>
              <w:ind w:left="25" w:right="25"/>
              <w:rPr>
                <w:sz w:val="22"/>
              </w:rPr>
            </w:pPr>
            <w:r>
              <w:rPr>
                <w:spacing w:val="-2"/>
                <w:sz w:val="22"/>
              </w:rPr>
              <w:t>0.244</w:t>
            </w:r>
          </w:p>
        </w:tc>
      </w:tr>
      <w:tr>
        <w:trPr>
          <w:trHeight w:val="332" w:hRule="atLeast"/>
        </w:trPr>
        <w:tc>
          <w:tcPr>
            <w:tcW w:w="2478" w:type="dxa"/>
            <w:tcBorders>
              <w:bottom w:val="single" w:sz="8" w:space="0" w:color="000000"/>
            </w:tcBorders>
          </w:tcPr>
          <w:p>
            <w:pPr>
              <w:pStyle w:val="TableParagraph"/>
              <w:ind w:left="69"/>
              <w:jc w:val="left"/>
              <w:rPr>
                <w:sz w:val="22"/>
              </w:rPr>
            </w:pPr>
            <w:r>
              <w:rPr>
                <w:sz w:val="22"/>
              </w:rPr>
              <w:t>Active</w:t>
            </w:r>
            <w:r>
              <w:rPr>
                <w:spacing w:val="-7"/>
                <w:sz w:val="22"/>
              </w:rPr>
              <w:t> </w:t>
            </w:r>
            <w:r>
              <w:rPr>
                <w:spacing w:val="-2"/>
                <w:sz w:val="22"/>
              </w:rPr>
              <w:t>months</w:t>
            </w:r>
          </w:p>
          <w:p>
            <w:pPr>
              <w:pStyle w:val="TableParagraph"/>
              <w:ind w:left="69"/>
              <w:jc w:val="left"/>
              <w:rPr>
                <w:sz w:val="22"/>
              </w:rPr>
            </w:pPr>
            <w:r>
              <w:rPr>
                <w:i/>
              </w:rPr>
              <w:t>활성 월</w:t>
            </w:r>
          </w:p>
        </w:tc>
        <w:tc>
          <w:tcPr>
            <w:tcW w:w="1179" w:type="dxa"/>
            <w:tcBorders>
              <w:bottom w:val="single" w:sz="8" w:space="0" w:color="000000"/>
            </w:tcBorders>
          </w:tcPr>
          <w:p>
            <w:pPr>
              <w:pStyle w:val="TableParagraph"/>
              <w:ind w:left="1" w:right="1"/>
              <w:rPr>
                <w:sz w:val="22"/>
              </w:rPr>
            </w:pPr>
            <w:r>
              <w:rPr>
                <w:spacing w:val="-2"/>
                <w:sz w:val="22"/>
              </w:rPr>
              <w:t>0.372</w:t>
            </w:r>
          </w:p>
        </w:tc>
        <w:tc>
          <w:tcPr>
            <w:tcW w:w="1005" w:type="dxa"/>
            <w:tcBorders>
              <w:bottom w:val="single" w:sz="8" w:space="0" w:color="000000"/>
            </w:tcBorders>
          </w:tcPr>
          <w:p>
            <w:pPr>
              <w:pStyle w:val="TableParagraph"/>
              <w:ind w:left="25" w:right="25"/>
              <w:rPr>
                <w:sz w:val="22"/>
              </w:rPr>
            </w:pPr>
            <w:r>
              <w:rPr>
                <w:spacing w:val="-2"/>
                <w:sz w:val="22"/>
              </w:rPr>
              <w:t>0.270</w:t>
            </w:r>
          </w:p>
        </w:tc>
      </w:tr>
    </w:tbl>
    <w:p>
      <w:pPr>
        <w:pStyle w:val="BodyText"/>
        <w:spacing w:before="134"/>
      </w:pPr>
    </w:p>
    <w:p>
      <w:pPr>
        <w:pStyle w:val="BodyText"/>
        <w:spacing w:line="396" w:lineRule="auto"/>
        <w:ind w:left="282" w:right="558"/>
        <w:jc w:val="both"/>
      </w:pPr>
      <w:r>
        <w:rPr/>
        <w:t>porate logistic time-decay over transfer history, wallets with sustained transfer activity naturally receive higher scores, producing alignment with tenure and active-month summaries.</w:t>
      </w:r>
    </w:p>
    <w:p>
      <w:pPr>
        <w:pStyle w:val="BodyText"/>
        <w:spacing w:line="396" w:lineRule="auto"/>
        <w:ind w:left="282" w:right="558"/>
        <w:jc w:val="both"/>
      </w:pPr>
      <w:r>
        <w:rPr>
          <w:i/>
        </w:rPr>
        <w:t>전송 내역에 대한 물류 시간 감소를 살펴보고 지속적인 전송 활동을 하는 지갑은 자연스럽게 더 높은 점수를 받아 보유 기간 및 활성 월 요약과 일치합니다.</w:t>
      </w:r>
    </w:p>
    <w:p>
      <w:pPr>
        <w:pStyle w:val="BodyText"/>
        <w:spacing w:line="393" w:lineRule="auto" w:before="16"/>
        <w:ind w:left="282" w:right="564"/>
        <w:jc w:val="both"/>
      </w:pPr>
      <w:r>
        <w:rPr/>
        <w:t>Inbound counterparty ratio—a proxy intended to favor diverse counterparties over concentrated Sybil-like</w:t>
      </w:r>
      <w:r>
        <w:rPr>
          <w:spacing w:val="30"/>
        </w:rPr>
        <w:t> </w:t>
      </w:r>
      <w:r>
        <w:rPr/>
        <w:t>structures—is</w:t>
      </w:r>
      <w:r>
        <w:rPr>
          <w:spacing w:val="31"/>
        </w:rPr>
        <w:t> </w:t>
      </w:r>
      <w:r>
        <w:rPr/>
        <w:t>weak</w:t>
      </w:r>
      <w:r>
        <w:rPr>
          <w:spacing w:val="30"/>
        </w:rPr>
        <w:t> </w:t>
      </w:r>
      <w:r>
        <w:rPr/>
        <w:t>or</w:t>
      </w:r>
      <w:r>
        <w:rPr>
          <w:spacing w:val="31"/>
        </w:rPr>
        <w:t> </w:t>
      </w:r>
      <w:r>
        <w:rPr/>
        <w:t>negative</w:t>
      </w:r>
      <w:r>
        <w:rPr>
          <w:spacing w:val="30"/>
        </w:rPr>
        <w:t> </w:t>
      </w:r>
      <w:r>
        <w:rPr/>
        <w:t>for</w:t>
      </w:r>
      <w:r>
        <w:rPr>
          <w:spacing w:val="31"/>
        </w:rPr>
        <w:t> </w:t>
      </w:r>
      <w:r>
        <w:rPr/>
        <w:t>both</w:t>
      </w:r>
      <w:r>
        <w:rPr>
          <w:spacing w:val="30"/>
        </w:rPr>
        <w:t> </w:t>
      </w:r>
      <w:r>
        <w:rPr/>
        <w:t>methods</w:t>
      </w:r>
      <w:r>
        <w:rPr>
          <w:spacing w:val="31"/>
        </w:rPr>
        <w:t> </w:t>
      </w:r>
      <w:r>
        <w:rPr/>
        <w:t>(EndorseRank</w:t>
      </w:r>
      <w:r>
        <w:rPr>
          <w:spacing w:val="30"/>
        </w:rPr>
        <w:t> </w:t>
      </w:r>
      <w:r>
        <w:rPr>
          <w:rFonts w:ascii="Calibri" w:hAnsi="Calibri"/>
          <w:i/>
        </w:rPr>
        <w:t>τ</w:t>
      </w:r>
      <w:r>
        <w:rPr>
          <w:rFonts w:ascii="Calibri" w:hAnsi="Calibri"/>
          <w:i/>
          <w:spacing w:val="14"/>
          <w:w w:val="125"/>
        </w:rPr>
        <w:t>  </w:t>
      </w:r>
      <w:r>
        <w:rPr>
          <w:rFonts w:ascii="Calibri" w:hAnsi="Calibri"/>
          <w:w w:val="125"/>
        </w:rPr>
        <w:t>=</w:t>
      </w:r>
      <w:r>
        <w:rPr>
          <w:rFonts w:ascii="Calibri" w:hAnsi="Calibri"/>
          <w:spacing w:val="71"/>
          <w:w w:val="125"/>
        </w:rPr>
        <w:t> </w:t>
      </w:r>
      <w:r>
        <w:rPr>
          <w:rFonts w:ascii="Calibri" w:hAnsi="Calibri"/>
        </w:rPr>
        <w:t>0</w:t>
      </w:r>
      <w:r>
        <w:rPr>
          <w:rFonts w:ascii="Calibri" w:hAnsi="Calibri"/>
          <w:i/>
        </w:rPr>
        <w:t>.</w:t>
      </w:r>
      <w:r>
        <w:rPr>
          <w:rFonts w:ascii="Calibri" w:hAnsi="Calibri"/>
        </w:rPr>
        <w:t>073</w:t>
      </w:r>
      <w:r>
        <w:rPr/>
        <w:t>;</w:t>
      </w:r>
      <w:r>
        <w:rPr>
          <w:spacing w:val="48"/>
        </w:rPr>
        <w:t> </w:t>
      </w:r>
      <w:r>
        <w:rPr>
          <w:spacing w:val="-5"/>
        </w:rPr>
        <w:t>AWP</w:t>
      </w:r>
    </w:p>
    <w:p>
      <w:pPr>
        <w:pStyle w:val="BodyText"/>
        <w:spacing w:line="393" w:lineRule="auto" w:before="16"/>
        <w:ind w:left="282" w:right="564"/>
        <w:jc w:val="both"/>
      </w:pPr>
      <w:r>
        <w:rPr>
          <w:i/>
        </w:rPr>
        <w:t>인바운드 거래상대방 비율(집중된 Sybil 유사 구조보다 다양한 거래상대방을 선호하기 위한 프록시)은 두 방법 모두에서 약하거나 음수입니다(EndorseRank τ = 0.073; AWP).</w:t>
      </w:r>
    </w:p>
    <w:p>
      <w:pPr>
        <w:pStyle w:val="BodyText"/>
        <w:spacing w:line="310" w:lineRule="exact"/>
        <w:ind w:left="282"/>
        <w:jc w:val="both"/>
      </w:pPr>
      <w:r>
        <w:rPr>
          <w:rFonts w:ascii="Calibri" w:hAnsi="Calibri"/>
          <w:i/>
        </w:rPr>
        <w:t>τ</w:t>
      </w:r>
      <w:r>
        <w:rPr>
          <w:rFonts w:ascii="Calibri" w:hAnsi="Calibri"/>
          <w:i/>
          <w:spacing w:val="52"/>
          <w:w w:val="125"/>
        </w:rPr>
        <w:t> </w:t>
      </w:r>
      <w:r>
        <w:rPr>
          <w:rFonts w:ascii="Calibri" w:hAnsi="Calibri"/>
          <w:w w:val="125"/>
        </w:rPr>
        <w:t>=</w:t>
      </w:r>
      <w:r>
        <w:rPr>
          <w:rFonts w:ascii="Calibri" w:hAnsi="Calibri"/>
          <w:spacing w:val="29"/>
          <w:w w:val="125"/>
        </w:rPr>
        <w:t> </w:t>
      </w:r>
      <w:r>
        <w:rPr>
          <w:rFonts w:ascii="Lucida Sans Unicode" w:hAnsi="Lucida Sans Unicode"/>
        </w:rPr>
        <w:t>—</w:t>
      </w:r>
      <w:r>
        <w:rPr>
          <w:rFonts w:ascii="Calibri" w:hAnsi="Calibri"/>
        </w:rPr>
        <w:t>0</w:t>
      </w:r>
      <w:r>
        <w:rPr>
          <w:rFonts w:ascii="Calibri" w:hAnsi="Calibri"/>
          <w:i/>
        </w:rPr>
        <w:t>.</w:t>
      </w:r>
      <w:r>
        <w:rPr>
          <w:rFonts w:ascii="Calibri" w:hAnsi="Calibri"/>
        </w:rPr>
        <w:t>061</w:t>
      </w:r>
      <w:r>
        <w:rPr/>
        <w:t>).</w:t>
      </w:r>
      <w:r>
        <w:rPr>
          <w:spacing w:val="61"/>
        </w:rPr>
        <w:t> </w:t>
      </w:r>
      <w:r>
        <w:rPr/>
        <w:t>Neither</w:t>
      </w:r>
      <w:r>
        <w:rPr>
          <w:spacing w:val="10"/>
        </w:rPr>
        <w:t> </w:t>
      </w:r>
      <w:r>
        <w:rPr/>
        <w:t>social</w:t>
      </w:r>
      <w:r>
        <w:rPr>
          <w:spacing w:val="11"/>
        </w:rPr>
        <w:t> </w:t>
      </w:r>
      <w:r>
        <w:rPr/>
        <w:t>ranking</w:t>
      </w:r>
      <w:r>
        <w:rPr>
          <w:spacing w:val="10"/>
        </w:rPr>
        <w:t> </w:t>
      </w:r>
      <w:r>
        <w:rPr/>
        <w:t>strongly</w:t>
      </w:r>
      <w:r>
        <w:rPr>
          <w:spacing w:val="10"/>
        </w:rPr>
        <w:t> </w:t>
      </w:r>
      <w:r>
        <w:rPr/>
        <w:t>tracks</w:t>
      </w:r>
      <w:r>
        <w:rPr>
          <w:spacing w:val="10"/>
        </w:rPr>
        <w:t> </w:t>
      </w:r>
      <w:r>
        <w:rPr/>
        <w:t>counterparty</w:t>
      </w:r>
      <w:r>
        <w:rPr>
          <w:spacing w:val="10"/>
        </w:rPr>
        <w:t> </w:t>
      </w:r>
      <w:r>
        <w:rPr/>
        <w:t>diversity</w:t>
      </w:r>
      <w:r>
        <w:rPr>
          <w:spacing w:val="10"/>
        </w:rPr>
        <w:t> </w:t>
      </w:r>
      <w:r>
        <w:rPr/>
        <w:t>on</w:t>
      </w:r>
      <w:r>
        <w:rPr>
          <w:spacing w:val="10"/>
        </w:rPr>
        <w:t> </w:t>
      </w:r>
      <w:r>
        <w:rPr/>
        <w:t>this</w:t>
      </w:r>
      <w:r>
        <w:rPr>
          <w:spacing w:val="11"/>
        </w:rPr>
        <w:t> </w:t>
      </w:r>
      <w:r>
        <w:rPr/>
        <w:t>cohort.</w:t>
      </w:r>
      <w:r>
        <w:rPr>
          <w:spacing w:val="61"/>
        </w:rPr>
        <w:t> </w:t>
      </w:r>
      <w:r>
        <w:rPr>
          <w:spacing w:val="-5"/>
        </w:rPr>
        <w:t>GF-</w:t>
      </w:r>
    </w:p>
    <w:p>
      <w:pPr>
        <w:pStyle w:val="BodyText"/>
        <w:spacing w:line="310" w:lineRule="exact"/>
        <w:ind w:left="282"/>
        <w:jc w:val="both"/>
      </w:pPr>
      <w:r>
        <w:rPr>
          <w:i/>
        </w:rPr>
        <w:t>τ = -0.061). 어느 사회적 순위도 이 코호트에서 상대방의 다양성을 강력하게 추적하지 않습니다. GF-</w:t>
      </w:r>
    </w:p>
    <w:p>
      <w:pPr>
        <w:pStyle w:val="BodyText"/>
        <w:spacing w:before="123"/>
        <w:ind w:left="282"/>
        <w:jc w:val="both"/>
        <w:rPr>
          <w:rFonts w:ascii="Calibri" w:hAnsi="Calibri"/>
        </w:rPr>
      </w:pPr>
      <w:r>
        <w:rPr/>
        <w:t>PR</w:t>
      </w:r>
      <w:r>
        <w:rPr>
          <w:spacing w:val="-7"/>
        </w:rPr>
        <w:t> </w:t>
      </w:r>
      <w:r>
        <w:rPr/>
        <w:t>is</w:t>
      </w:r>
      <w:r>
        <w:rPr>
          <w:spacing w:val="-7"/>
        </w:rPr>
        <w:t> </w:t>
      </w:r>
      <w:r>
        <w:rPr/>
        <w:t>weak</w:t>
      </w:r>
      <w:r>
        <w:rPr>
          <w:spacing w:val="-6"/>
        </w:rPr>
        <w:t> </w:t>
      </w:r>
      <w:r>
        <w:rPr/>
        <w:t>overall</w:t>
      </w:r>
      <w:r>
        <w:rPr>
          <w:spacing w:val="-7"/>
        </w:rPr>
        <w:t> </w:t>
      </w:r>
      <w:r>
        <w:rPr/>
        <w:t>(family</w:t>
      </w:r>
      <w:r>
        <w:rPr>
          <w:spacing w:val="-6"/>
        </w:rPr>
        <w:t> </w:t>
      </w:r>
      <w:r>
        <w:rPr/>
        <w:t>mean</w:t>
      </w:r>
      <w:r>
        <w:rPr>
          <w:spacing w:val="-7"/>
        </w:rPr>
        <w:t> </w:t>
      </w:r>
      <w:r>
        <w:rPr>
          <w:rFonts w:ascii="Calibri" w:hAnsi="Calibri"/>
        </w:rPr>
        <w:t>0</w:t>
      </w:r>
      <w:r>
        <w:rPr>
          <w:rFonts w:ascii="Calibri" w:hAnsi="Calibri"/>
          <w:i/>
        </w:rPr>
        <w:t>.</w:t>
      </w:r>
      <w:r>
        <w:rPr>
          <w:rFonts w:ascii="Calibri" w:hAnsi="Calibri"/>
        </w:rPr>
        <w:t>093</w:t>
      </w:r>
      <w:r>
        <w:rPr/>
        <w:t>)</w:t>
      </w:r>
      <w:r>
        <w:rPr>
          <w:spacing w:val="-6"/>
        </w:rPr>
        <w:t> </w:t>
      </w:r>
      <w:r>
        <w:rPr/>
        <w:t>and</w:t>
      </w:r>
      <w:r>
        <w:rPr>
          <w:spacing w:val="-7"/>
        </w:rPr>
        <w:t> </w:t>
      </w:r>
      <w:r>
        <w:rPr/>
        <w:t>strongly</w:t>
      </w:r>
      <w:r>
        <w:rPr>
          <w:spacing w:val="-6"/>
        </w:rPr>
        <w:t> </w:t>
      </w:r>
      <w:r>
        <w:rPr/>
        <w:t>negative</w:t>
      </w:r>
      <w:r>
        <w:rPr>
          <w:spacing w:val="-7"/>
        </w:rPr>
        <w:t> </w:t>
      </w:r>
      <w:r>
        <w:rPr/>
        <w:t>on</w:t>
      </w:r>
      <w:r>
        <w:rPr>
          <w:spacing w:val="-6"/>
        </w:rPr>
        <w:t> </w:t>
      </w:r>
      <w:r>
        <w:rPr/>
        <w:t>inbound</w:t>
      </w:r>
      <w:r>
        <w:rPr>
          <w:spacing w:val="-7"/>
        </w:rPr>
        <w:t> </w:t>
      </w:r>
      <w:r>
        <w:rPr/>
        <w:t>counterparty</w:t>
      </w:r>
      <w:r>
        <w:rPr>
          <w:spacing w:val="-5"/>
        </w:rPr>
        <w:t> </w:t>
      </w:r>
      <w:r>
        <w:rPr/>
        <w:t>ratio</w:t>
      </w:r>
      <w:r>
        <w:rPr>
          <w:spacing w:val="-7"/>
        </w:rPr>
        <w:t> </w:t>
      </w:r>
      <w:r>
        <w:rPr/>
        <w:t>(</w:t>
      </w:r>
      <w:r>
        <w:rPr>
          <w:rFonts w:ascii="Calibri" w:hAnsi="Calibri"/>
          <w:i/>
        </w:rPr>
        <w:t>τ</w:t>
      </w:r>
      <w:r>
        <w:rPr>
          <w:rFonts w:ascii="Calibri" w:hAnsi="Calibri"/>
          <w:i/>
          <w:spacing w:val="30"/>
        </w:rPr>
        <w:t> </w:t>
      </w:r>
      <w:r>
        <w:rPr>
          <w:rFonts w:ascii="Calibri" w:hAnsi="Calibri"/>
          <w:spacing w:val="-10"/>
        </w:rPr>
        <w:t>=</w:t>
      </w:r>
    </w:p>
    <w:p>
      <w:pPr>
        <w:pStyle w:val="BodyText"/>
        <w:spacing w:before="123"/>
        <w:ind w:left="282"/>
        <w:jc w:val="both"/>
        <w:rPr>
          <w:rFonts w:ascii="Calibri" w:hAnsi="Calibri"/>
        </w:rPr>
      </w:pPr>
      <w:r>
        <w:rPr>
          <w:i/>
        </w:rPr>
        <w:t>PR은 전반적으로 약하고(가족 평균 0.093) 인바운드 상대방 비율(τ =)에서는 매우 부정적입니다.</w:t>
      </w:r>
    </w:p>
    <w:p>
      <w:pPr>
        <w:pStyle w:val="BodyText"/>
        <w:spacing w:before="129"/>
        <w:ind w:left="282"/>
        <w:jc w:val="both"/>
      </w:pPr>
      <w:r>
        <w:rPr>
          <w:rFonts w:ascii="Lucida Sans Unicode" w:hAnsi="Lucida Sans Unicode"/>
        </w:rPr>
        <w:t>—</w:t>
      </w:r>
      <w:r>
        <w:rPr>
          <w:rFonts w:ascii="Calibri" w:hAnsi="Calibri"/>
        </w:rPr>
        <w:t>0</w:t>
      </w:r>
      <w:r>
        <w:rPr>
          <w:rFonts w:ascii="Calibri" w:hAnsi="Calibri"/>
          <w:i/>
        </w:rPr>
        <w:t>.</w:t>
      </w:r>
      <w:r>
        <w:rPr>
          <w:rFonts w:ascii="Calibri" w:hAnsi="Calibri"/>
        </w:rPr>
        <w:t>235</w:t>
      </w:r>
      <w:r>
        <w:rPr/>
        <w:t>),</w:t>
      </w:r>
      <w:r>
        <w:rPr>
          <w:spacing w:val="-14"/>
        </w:rPr>
        <w:t> </w:t>
      </w:r>
      <w:r>
        <w:rPr/>
        <w:t>consistent</w:t>
      </w:r>
      <w:r>
        <w:rPr>
          <w:spacing w:val="-13"/>
        </w:rPr>
        <w:t> </w:t>
      </w:r>
      <w:r>
        <w:rPr/>
        <w:t>with</w:t>
      </w:r>
      <w:r>
        <w:rPr>
          <w:spacing w:val="-14"/>
        </w:rPr>
        <w:t> </w:t>
      </w:r>
      <w:r>
        <w:rPr/>
        <w:t>the</w:t>
      </w:r>
      <w:r>
        <w:rPr>
          <w:spacing w:val="-13"/>
        </w:rPr>
        <w:t> </w:t>
      </w:r>
      <w:r>
        <w:rPr/>
        <w:t>absence</w:t>
      </w:r>
      <w:r>
        <w:rPr>
          <w:spacing w:val="-14"/>
        </w:rPr>
        <w:t> </w:t>
      </w:r>
      <w:r>
        <w:rPr/>
        <w:t>of</w:t>
      </w:r>
      <w:r>
        <w:rPr>
          <w:spacing w:val="-13"/>
        </w:rPr>
        <w:t> </w:t>
      </w:r>
      <w:r>
        <w:rPr/>
        <w:t>transfer-activity</w:t>
      </w:r>
      <w:r>
        <w:rPr>
          <w:spacing w:val="-13"/>
        </w:rPr>
        <w:t> </w:t>
      </w:r>
      <w:r>
        <w:rPr/>
        <w:t>semantics</w:t>
      </w:r>
      <w:r>
        <w:rPr>
          <w:spacing w:val="-14"/>
        </w:rPr>
        <w:t> </w:t>
      </w:r>
      <w:r>
        <w:rPr/>
        <w:t>in</w:t>
      </w:r>
      <w:r>
        <w:rPr>
          <w:spacing w:val="-13"/>
        </w:rPr>
        <w:t> </w:t>
      </w:r>
      <w:r>
        <w:rPr/>
        <w:t>the</w:t>
      </w:r>
      <w:r>
        <w:rPr>
          <w:spacing w:val="-14"/>
        </w:rPr>
        <w:t> </w:t>
      </w:r>
      <w:r>
        <w:rPr/>
        <w:t>PnL</w:t>
      </w:r>
      <w:r>
        <w:rPr>
          <w:spacing w:val="-13"/>
        </w:rPr>
        <w:t> </w:t>
      </w:r>
      <w:r>
        <w:rPr/>
        <w:t>star</w:t>
      </w:r>
      <w:r>
        <w:rPr>
          <w:spacing w:val="-13"/>
        </w:rPr>
        <w:t> </w:t>
      </w:r>
      <w:r>
        <w:rPr>
          <w:spacing w:val="-2"/>
        </w:rPr>
        <w:t>graph.</w:t>
      </w:r>
    </w:p>
    <w:p>
      <w:pPr>
        <w:pStyle w:val="BodyText"/>
        <w:spacing w:before="129"/>
        <w:ind w:left="282"/>
        <w:jc w:val="both"/>
      </w:pPr>
      <w:r>
        <w:rPr>
          <w:i/>
        </w:rPr>
        <w:t>—0.235), 이는 PnL 별 그래프에 전송 활동 의미 체계가 없는 것과 일치합니다.</w:t>
      </w:r>
    </w:p>
    <w:p>
      <w:pPr>
        <w:pStyle w:val="BodyText"/>
        <w:spacing w:line="388" w:lineRule="auto" w:before="140"/>
        <w:ind w:left="282" w:right="522" w:hanging="8"/>
        <w:jc w:val="both"/>
      </w:pPr>
      <w:r>
        <w:rPr/>
        <w:t>The</w:t>
      </w:r>
      <w:r>
        <w:rPr>
          <w:spacing w:val="-4"/>
        </w:rPr>
        <w:t> </w:t>
      </w:r>
      <w:r>
        <w:rPr/>
        <w:t>Sybil-adjusted</w:t>
      </w:r>
      <w:r>
        <w:rPr>
          <w:spacing w:val="-4"/>
        </w:rPr>
        <w:t> </w:t>
      </w:r>
      <w:r>
        <w:rPr/>
        <w:t>family</w:t>
      </w:r>
      <w:r>
        <w:rPr>
          <w:spacing w:val="-4"/>
        </w:rPr>
        <w:t> </w:t>
      </w:r>
      <w:r>
        <w:rPr/>
        <w:t>therefore</w:t>
      </w:r>
      <w:r>
        <w:rPr>
          <w:spacing w:val="-4"/>
        </w:rPr>
        <w:t> </w:t>
      </w:r>
      <w:r>
        <w:rPr/>
        <w:t>reinforces</w:t>
      </w:r>
      <w:r>
        <w:rPr>
          <w:spacing w:val="-4"/>
        </w:rPr>
        <w:t> </w:t>
      </w:r>
      <w:r>
        <w:rPr/>
        <w:t>AWP’s</w:t>
      </w:r>
      <w:r>
        <w:rPr>
          <w:spacing w:val="-4"/>
        </w:rPr>
        <w:t> </w:t>
      </w:r>
      <w:r>
        <w:rPr/>
        <w:t>advantage</w:t>
      </w:r>
      <w:r>
        <w:rPr>
          <w:spacing w:val="-4"/>
        </w:rPr>
        <w:t> </w:t>
      </w:r>
      <w:r>
        <w:rPr/>
        <w:t>on</w:t>
      </w:r>
      <w:r>
        <w:rPr>
          <w:spacing w:val="-4"/>
        </w:rPr>
        <w:t> </w:t>
      </w:r>
      <w:r>
        <w:rPr/>
        <w:t>transfer-derived</w:t>
      </w:r>
      <w:r>
        <w:rPr>
          <w:spacing w:val="-4"/>
        </w:rPr>
        <w:t> </w:t>
      </w:r>
      <w:r>
        <w:rPr/>
        <w:t>activity</w:t>
      </w:r>
      <w:r>
        <w:rPr>
          <w:spacing w:val="-4"/>
        </w:rPr>
        <w:t> </w:t>
      </w:r>
      <w:r>
        <w:rPr/>
        <w:t>con-</w:t>
      </w:r>
      <w:r>
        <w:rPr>
          <w:spacing w:val="-2"/>
        </w:rPr>
        <w:t>structs, while</w:t>
      </w:r>
      <w:r>
        <w:rPr>
          <w:spacing w:val="-6"/>
        </w:rPr>
        <w:t> </w:t>
      </w:r>
      <w:r>
        <w:rPr>
          <w:spacing w:val="-2"/>
        </w:rPr>
        <w:t>showing</w:t>
      </w:r>
      <w:r>
        <w:rPr>
          <w:spacing w:val="-6"/>
        </w:rPr>
        <w:t> </w:t>
      </w:r>
      <w:r>
        <w:rPr>
          <w:spacing w:val="-2"/>
        </w:rPr>
        <w:t>that</w:t>
      </w:r>
      <w:r>
        <w:rPr>
          <w:spacing w:val="-6"/>
        </w:rPr>
        <w:t> </w:t>
      </w:r>
      <w:r>
        <w:rPr>
          <w:spacing w:val="-2"/>
        </w:rPr>
        <w:t>neither</w:t>
      </w:r>
      <w:r>
        <w:rPr>
          <w:spacing w:val="-6"/>
        </w:rPr>
        <w:t> </w:t>
      </w:r>
      <w:r>
        <w:rPr>
          <w:spacing w:val="-2"/>
        </w:rPr>
        <w:t>method</w:t>
      </w:r>
      <w:r>
        <w:rPr>
          <w:spacing w:val="-6"/>
        </w:rPr>
        <w:t> </w:t>
      </w:r>
      <w:r>
        <w:rPr>
          <w:spacing w:val="-2"/>
        </w:rPr>
        <w:t>currently</w:t>
      </w:r>
      <w:r>
        <w:rPr>
          <w:spacing w:val="-6"/>
        </w:rPr>
        <w:t> </w:t>
      </w:r>
      <w:r>
        <w:rPr>
          <w:spacing w:val="-2"/>
        </w:rPr>
        <w:t>provides</w:t>
      </w:r>
      <w:r>
        <w:rPr>
          <w:spacing w:val="-7"/>
        </w:rPr>
        <w:t> </w:t>
      </w:r>
      <w:r>
        <w:rPr>
          <w:spacing w:val="-2"/>
        </w:rPr>
        <w:t>a</w:t>
      </w:r>
      <w:r>
        <w:rPr>
          <w:spacing w:val="-6"/>
        </w:rPr>
        <w:t> </w:t>
      </w:r>
      <w:r>
        <w:rPr>
          <w:spacing w:val="-2"/>
        </w:rPr>
        <w:t>strong</w:t>
      </w:r>
      <w:r>
        <w:rPr>
          <w:spacing w:val="-6"/>
        </w:rPr>
        <w:t> </w:t>
      </w:r>
      <w:r>
        <w:rPr>
          <w:spacing w:val="-2"/>
        </w:rPr>
        <w:t>counterparty-diversity</w:t>
      </w:r>
      <w:r>
        <w:rPr>
          <w:spacing w:val="-6"/>
        </w:rPr>
        <w:t> </w:t>
      </w:r>
      <w:r>
        <w:rPr>
          <w:spacing w:val="-2"/>
        </w:rPr>
        <w:t>signal. </w:t>
      </w:r>
      <w:r>
        <w:rPr/>
        <w:t>Future</w:t>
      </w:r>
      <w:r>
        <w:rPr>
          <w:spacing w:val="-12"/>
        </w:rPr>
        <w:t> </w:t>
      </w:r>
      <w:r>
        <w:rPr/>
        <w:t>work</w:t>
      </w:r>
      <w:r>
        <w:rPr>
          <w:spacing w:val="-12"/>
        </w:rPr>
        <w:t> </w:t>
      </w:r>
      <w:r>
        <w:rPr/>
        <w:t>could</w:t>
      </w:r>
      <w:r>
        <w:rPr>
          <w:spacing w:val="-12"/>
        </w:rPr>
        <w:t> </w:t>
      </w:r>
      <w:r>
        <w:rPr/>
        <w:t>incorporate</w:t>
      </w:r>
      <w:r>
        <w:rPr>
          <w:spacing w:val="-12"/>
        </w:rPr>
        <w:t> </w:t>
      </w:r>
      <w:r>
        <w:rPr/>
        <w:t>explicit</w:t>
      </w:r>
      <w:r>
        <w:rPr>
          <w:spacing w:val="-12"/>
        </w:rPr>
        <w:t> </w:t>
      </w:r>
      <w:r>
        <w:rPr/>
        <w:t>diversity</w:t>
      </w:r>
      <w:r>
        <w:rPr>
          <w:spacing w:val="-12"/>
        </w:rPr>
        <w:t> </w:t>
      </w:r>
      <w:r>
        <w:rPr/>
        <w:t>penalties</w:t>
      </w:r>
      <w:r>
        <w:rPr>
          <w:spacing w:val="-12"/>
        </w:rPr>
        <w:t> </w:t>
      </w:r>
      <w:r>
        <w:rPr/>
        <w:t>into</w:t>
      </w:r>
      <w:r>
        <w:rPr>
          <w:spacing w:val="-13"/>
        </w:rPr>
        <w:t> </w:t>
      </w:r>
      <w:r>
        <w:rPr>
          <w:rFonts w:ascii="Calibri" w:hAnsi="Calibri"/>
          <w:i/>
        </w:rPr>
        <w:t>G</w:t>
      </w:r>
      <w:r>
        <w:rPr>
          <w:vertAlign w:val="subscript"/>
        </w:rPr>
        <w:t>approve</w:t>
      </w:r>
      <w:r>
        <w:rPr>
          <w:spacing w:val="-1"/>
          <w:vertAlign w:val="baseline"/>
        </w:rPr>
        <w:t> </w:t>
      </w:r>
      <w:r>
        <w:rPr>
          <w:vertAlign w:val="baseline"/>
        </w:rPr>
        <w:t>or</w:t>
      </w:r>
      <w:r>
        <w:rPr>
          <w:spacing w:val="-12"/>
          <w:vertAlign w:val="baseline"/>
        </w:rPr>
        <w:t> </w:t>
      </w:r>
      <w:r>
        <w:rPr>
          <w:rFonts w:ascii="Calibri" w:hAnsi="Calibri"/>
          <w:i/>
          <w:vertAlign w:val="baseline"/>
        </w:rPr>
        <w:t>G</w:t>
      </w:r>
      <w:r>
        <w:rPr>
          <w:vertAlign w:val="subscript"/>
        </w:rPr>
        <w:t>transfer</w:t>
      </w:r>
      <w:r>
        <w:rPr>
          <w:vertAlign w:val="baseline"/>
        </w:rPr>
        <w:t>;</w:t>
      </w:r>
      <w:r>
        <w:rPr>
          <w:spacing w:val="-6"/>
          <w:vertAlign w:val="baseline"/>
        </w:rPr>
        <w:t> </w:t>
      </w:r>
      <w:r>
        <w:rPr>
          <w:vertAlign w:val="baseline"/>
        </w:rPr>
        <w:t>the</w:t>
      </w:r>
      <w:r>
        <w:rPr>
          <w:spacing w:val="-12"/>
          <w:vertAlign w:val="baseline"/>
        </w:rPr>
        <w:t> </w:t>
      </w:r>
      <w:r>
        <w:rPr>
          <w:vertAlign w:val="baseline"/>
        </w:rPr>
        <w:t>present</w:t>
      </w:r>
      <w:r>
        <w:rPr>
          <w:spacing w:val="-12"/>
          <w:vertAlign w:val="baseline"/>
        </w:rPr>
        <w:t> </w:t>
      </w:r>
      <w:r>
        <w:rPr>
          <w:vertAlign w:val="baseline"/>
        </w:rPr>
        <w:t>results </w:t>
      </w:r>
      <w:bookmarkStart w:name="Trading-success family" w:id="193"/>
      <w:bookmarkEnd w:id="193"/>
      <w:r>
        <w:rPr>
          <w:vertAlign w:val="baseline"/>
        </w:rPr>
        <w:t>establish</w:t>
      </w:r>
      <w:r>
        <w:rPr>
          <w:vertAlign w:val="baseline"/>
        </w:rPr>
        <w:t> the baseline against which such extensions would be judged.</w:t>
      </w:r>
    </w:p>
    <w:p>
      <w:pPr>
        <w:pStyle w:val="BodyText"/>
        <w:spacing w:line="388" w:lineRule="auto" w:before="140"/>
        <w:ind w:left="282" w:right="522" w:hanging="8"/>
        <w:jc w:val="both"/>
      </w:pPr>
      <w:r>
        <w:rPr>
          <w:i/>
        </w:rPr>
        <w:t>따라서 Sybil 조정 계열은 이전 파생 활동 구성에 대한 AWP의 이점을 강화하는 동시에 두 방법 모두 현재 강력한 거래상대방 다양성 신호를 제공하지 않음을 보여줍니다. 향후 작업에서는 명시적인 다양성 처벌을 Gapprove 또는 Gtransfer에 통합할 수 있으며, 현재 결과는 그러한 확장을 판단할 기준을 설정합니다.</w:t>
      </w:r>
    </w:p>
    <w:p>
      <w:pPr>
        <w:pStyle w:val="BodyText"/>
        <w:spacing w:before="15"/>
      </w:pPr>
    </w:p>
    <w:p>
      <w:pPr>
        <w:pStyle w:val="Heading4"/>
        <w:numPr>
          <w:ilvl w:val="2"/>
          <w:numId w:val="8"/>
        </w:numPr>
        <w:tabs>
          <w:tab w:pos="879" w:val="left" w:leader="none"/>
        </w:tabs>
        <w:spacing w:line="240" w:lineRule="auto" w:before="0" w:after="0"/>
        <w:ind w:left="879" w:right="0" w:hanging="597"/>
        <w:jc w:val="left"/>
      </w:pPr>
      <w:r>
        <w:rPr>
          <w:spacing w:val="-4"/>
        </w:rPr>
        <w:t>Trading-success</w:t>
      </w:r>
      <w:r>
        <w:rPr>
          <w:spacing w:val="11"/>
        </w:rPr>
        <w:t> </w:t>
      </w:r>
      <w:r>
        <w:rPr>
          <w:spacing w:val="-4"/>
        </w:rPr>
        <w:t>family</w:t>
      </w:r>
    </w:p>
    <w:p>
      <w:pPr>
        <w:pStyle w:val="Heading4"/>
        <w:numPr>
          <w:ilvl w:val="2"/>
          <w:numId w:val="8"/>
        </w:numPr>
        <w:tabs>
          <w:tab w:pos="879" w:val="left" w:leader="none"/>
        </w:tabs>
        <w:spacing w:line="240" w:lineRule="auto" w:before="0" w:after="0"/>
        <w:ind w:left="879" w:right="0" w:hanging="597"/>
        <w:jc w:val="left"/>
      </w:pPr>
      <w:r>
        <w:rPr>
          <w:i/>
        </w:rPr>
        <w:t>거래성공가족</w:t>
      </w:r>
    </w:p>
    <w:p>
      <w:pPr>
        <w:pStyle w:val="BodyText"/>
        <w:spacing w:before="47"/>
        <w:rPr>
          <w:b/>
        </w:rPr>
      </w:pPr>
    </w:p>
    <w:p>
      <w:pPr>
        <w:pStyle w:val="BodyText"/>
        <w:spacing w:line="388" w:lineRule="auto"/>
        <w:ind w:left="273" w:right="539" w:firstLine="1"/>
        <w:jc w:val="both"/>
      </w:pPr>
      <w:r>
        <w:rPr/>
        <w:t>Table</w:t>
      </w:r>
      <w:r>
        <w:rPr>
          <w:spacing w:val="-8"/>
        </w:rPr>
        <w:t> </w:t>
      </w:r>
      <w:hyperlink w:history="true" w:anchor="_bookmark108">
        <w:r>
          <w:rPr/>
          <w:t>4.12</w:t>
        </w:r>
      </w:hyperlink>
      <w:r>
        <w:rPr>
          <w:spacing w:val="-8"/>
        </w:rPr>
        <w:t> </w:t>
      </w:r>
      <w:r>
        <w:rPr/>
        <w:t>reports</w:t>
      </w:r>
      <w:r>
        <w:rPr>
          <w:spacing w:val="-8"/>
        </w:rPr>
        <w:t> </w:t>
      </w:r>
      <w:r>
        <w:rPr/>
        <w:t>alignment</w:t>
      </w:r>
      <w:r>
        <w:rPr>
          <w:spacing w:val="-8"/>
        </w:rPr>
        <w:t> </w:t>
      </w:r>
      <w:r>
        <w:rPr/>
        <w:t>with</w:t>
      </w:r>
      <w:r>
        <w:rPr>
          <w:spacing w:val="-8"/>
        </w:rPr>
        <w:t> </w:t>
      </w:r>
      <w:r>
        <w:rPr/>
        <w:t>close-success</w:t>
      </w:r>
      <w:r>
        <w:rPr>
          <w:spacing w:val="-8"/>
        </w:rPr>
        <w:t> </w:t>
      </w:r>
      <w:r>
        <w:rPr/>
        <w:t>count,</w:t>
      </w:r>
      <w:r>
        <w:rPr>
          <w:spacing w:val="-8"/>
        </w:rPr>
        <w:t> </w:t>
      </w:r>
      <w:r>
        <w:rPr/>
        <w:t>realized</w:t>
      </w:r>
      <w:r>
        <w:rPr>
          <w:spacing w:val="-8"/>
        </w:rPr>
        <w:t> </w:t>
      </w:r>
      <w:r>
        <w:rPr/>
        <w:t>gain</w:t>
      </w:r>
      <w:r>
        <w:rPr>
          <w:spacing w:val="-8"/>
        </w:rPr>
        <w:t> </w:t>
      </w:r>
      <w:r>
        <w:rPr/>
        <w:t>proxy,</w:t>
      </w:r>
      <w:r>
        <w:rPr>
          <w:spacing w:val="-8"/>
        </w:rPr>
        <w:t> </w:t>
      </w:r>
      <w:r>
        <w:rPr/>
        <w:t>and</w:t>
      </w:r>
      <w:r>
        <w:rPr>
          <w:spacing w:val="-8"/>
        </w:rPr>
        <w:t> </w:t>
      </w:r>
      <w:r>
        <w:rPr/>
        <w:t>close</w:t>
      </w:r>
      <w:r>
        <w:rPr>
          <w:spacing w:val="-8"/>
        </w:rPr>
        <w:t> </w:t>
      </w:r>
      <w:r>
        <w:rPr/>
        <w:t>success</w:t>
      </w:r>
      <w:r>
        <w:rPr>
          <w:spacing w:val="-8"/>
        </w:rPr>
        <w:t> </w:t>
      </w:r>
      <w:r>
        <w:rPr/>
        <w:t>rate. Among social methods, AWP exceeds EndorseRank (family means </w:t>
      </w:r>
      <w:r>
        <w:rPr>
          <w:rFonts w:ascii="Calibri" w:hAnsi="Calibri"/>
        </w:rPr>
        <w:t>0</w:t>
      </w:r>
      <w:r>
        <w:rPr>
          <w:rFonts w:ascii="Calibri" w:hAnsi="Calibri"/>
          <w:i/>
        </w:rPr>
        <w:t>.</w:t>
      </w:r>
      <w:r>
        <w:rPr>
          <w:rFonts w:ascii="Calibri" w:hAnsi="Calibri"/>
        </w:rPr>
        <w:t>179 </w:t>
      </w:r>
      <w:r>
        <w:rPr/>
        <w:t>vs. </w:t>
      </w:r>
      <w:r>
        <w:rPr>
          <w:rFonts w:ascii="Calibri" w:hAnsi="Calibri"/>
        </w:rPr>
        <w:t>0</w:t>
      </w:r>
      <w:r>
        <w:rPr>
          <w:rFonts w:ascii="Calibri" w:hAnsi="Calibri"/>
          <w:i/>
        </w:rPr>
        <w:t>.</w:t>
      </w:r>
      <w:r>
        <w:rPr>
          <w:rFonts w:ascii="Calibri" w:hAnsi="Calibri"/>
        </w:rPr>
        <w:t>096</w:t>
      </w:r>
      <w:r>
        <w:rPr/>
        <w:t>).</w:t>
      </w:r>
      <w:r>
        <w:rPr>
          <w:spacing w:val="40"/>
        </w:rPr>
        <w:t> </w:t>
      </w:r>
      <w:r>
        <w:rPr/>
        <w:t>AWP’s strongest trading proxies are realized gain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239</w:t>
      </w:r>
      <w:r>
        <w:rPr/>
        <w:t>) and close-success count (</w:t>
      </w:r>
      <w:r>
        <w:rPr>
          <w:rFonts w:ascii="Calibri" w:hAnsi="Calibri"/>
          <w:i/>
        </w:rPr>
        <w:t>τ</w:t>
      </w:r>
      <w:r>
        <w:rPr>
          <w:rFonts w:ascii="Calibri" w:hAnsi="Calibri"/>
          <w:i/>
          <w:spacing w:val="28"/>
          <w:w w:val="125"/>
        </w:rPr>
        <w:t> </w:t>
      </w:r>
      <w:r>
        <w:rPr>
          <w:rFonts w:ascii="Calibri" w:hAnsi="Calibri"/>
          <w:w w:val="125"/>
        </w:rPr>
        <w:t>= </w:t>
      </w:r>
      <w:r>
        <w:rPr>
          <w:rFonts w:ascii="Calibri" w:hAnsi="Calibri"/>
        </w:rPr>
        <w:t>0</w:t>
      </w:r>
      <w:r>
        <w:rPr>
          <w:rFonts w:ascii="Calibri" w:hAnsi="Calibri"/>
          <w:i/>
        </w:rPr>
        <w:t>.</w:t>
      </w:r>
      <w:r>
        <w:rPr>
          <w:rFonts w:ascii="Calibri" w:hAnsi="Calibri"/>
        </w:rPr>
        <w:t>224</w:t>
      </w:r>
      <w:r>
        <w:rPr/>
        <w:t>); close</w:t>
      </w:r>
    </w:p>
    <w:p>
      <w:pPr>
        <w:pStyle w:val="BodyText"/>
        <w:spacing w:line="388" w:lineRule="auto"/>
        <w:ind w:left="273" w:right="539" w:firstLine="1"/>
        <w:jc w:val="both"/>
      </w:pPr>
      <w:r>
        <w:rPr>
          <w:i/>
        </w:rPr>
        <w:t>표 4.12는 최종 성공 횟수, 실현 이득 프록시 및 최종 성공률과의 정렬을 보고합니다. 사회적 방법 중 AWP는 EndorseRank를 초과합니다(가족은 0.179 대 0.096을 의미함). AWP의 가장 강력한 거래 프록시는 실현 이익(τ = 0.239)과 최종 성공 횟수(τ = 0.224)입니다.</w:t>
      </w:r>
    </w:p>
    <w:p>
      <w:pPr>
        <w:pStyle w:val="BodyText"/>
        <w:spacing w:after="0" w:line="388" w:lineRule="auto"/>
        <w:jc w:val="both"/>
        <w:sectPr>
          <w:pgSz w:w="11910" w:h="16840"/>
          <w:pgMar w:header="0" w:footer="2115" w:top="1800" w:bottom="2300" w:left="992" w:right="708"/>
        </w:sectPr>
      </w:pPr>
    </w:p>
    <w:p>
      <w:pPr>
        <w:pStyle w:val="BodyText"/>
        <w:spacing w:before="75"/>
        <w:ind w:left="362"/>
        <w:jc w:val="both"/>
      </w:pPr>
      <w:bookmarkStart w:name="_bookmark108" w:id="194"/>
      <w:bookmarkEnd w:id="194"/>
      <w:r>
        <w:rPr/>
      </w:r>
      <w:r>
        <w:rPr/>
        <w:t>Table</w:t>
      </w:r>
      <w:r>
        <w:rPr>
          <w:spacing w:val="-11"/>
        </w:rPr>
        <w:t> </w:t>
      </w:r>
      <w:r>
        <w:rPr/>
        <w:t>4.12:</w:t>
      </w:r>
      <w:r>
        <w:rPr>
          <w:spacing w:val="6"/>
        </w:rPr>
        <w:t> </w:t>
      </w:r>
      <w:r>
        <w:rPr/>
        <w:t>Domain</w:t>
      </w:r>
      <w:r>
        <w:rPr>
          <w:spacing w:val="-10"/>
        </w:rPr>
        <w:t> </w:t>
      </w:r>
      <w:r>
        <w:rPr/>
        <w:t>alignment</w:t>
      </w:r>
      <w:r>
        <w:rPr>
          <w:spacing w:val="-10"/>
        </w:rPr>
        <w:t> </w:t>
      </w:r>
      <w:r>
        <w:rPr/>
        <w:t>with</w:t>
      </w:r>
      <w:r>
        <w:rPr>
          <w:spacing w:val="-11"/>
        </w:rPr>
        <w:t> </w:t>
      </w:r>
      <w:r>
        <w:rPr/>
        <w:t>GMX</w:t>
      </w:r>
      <w:r>
        <w:rPr>
          <w:spacing w:val="-10"/>
        </w:rPr>
        <w:t> </w:t>
      </w:r>
      <w:r>
        <w:rPr/>
        <w:t>V2</w:t>
      </w:r>
      <w:r>
        <w:rPr>
          <w:spacing w:val="-11"/>
        </w:rPr>
        <w:t> </w:t>
      </w:r>
      <w:r>
        <w:rPr/>
        <w:t>margin-trading</w:t>
      </w:r>
      <w:r>
        <w:rPr>
          <w:spacing w:val="-10"/>
        </w:rPr>
        <w:t> </w:t>
      </w:r>
      <w:r>
        <w:rPr/>
        <w:t>success</w:t>
      </w:r>
      <w:r>
        <w:rPr>
          <w:spacing w:val="-11"/>
        </w:rPr>
        <w:t> </w:t>
      </w:r>
      <w:r>
        <w:rPr/>
        <w:t>proxies</w:t>
      </w:r>
      <w:r>
        <w:rPr>
          <w:spacing w:val="-10"/>
        </w:rPr>
        <w:t> </w:t>
      </w:r>
      <w:r>
        <w:rPr/>
        <w:t>on</w:t>
      </w:r>
      <w:r>
        <w:rPr>
          <w:spacing w:val="-11"/>
        </w:rPr>
        <w:t> </w:t>
      </w:r>
      <w:r>
        <w:rPr/>
        <w:t>Arbitrum</w:t>
      </w:r>
      <w:r>
        <w:rPr>
          <w:spacing w:val="-10"/>
        </w:rPr>
        <w:t> </w:t>
      </w:r>
      <w:r>
        <w:rPr>
          <w:spacing w:val="-4"/>
        </w:rPr>
        <w:t>One.</w:t>
      </w:r>
    </w:p>
    <w:p>
      <w:pPr>
        <w:pStyle w:val="BodyText"/>
        <w:spacing w:before="75"/>
        <w:ind w:left="362"/>
        <w:jc w:val="both"/>
      </w:pPr>
      <w:r>
        <w:rPr>
          <w:i/>
        </w:rPr>
        <w:t>표 4.12: Arbitrum One의 GMX V2 마진 거래 성공 프록시와 도메인 정렬.</w:t>
      </w:r>
    </w:p>
    <w:p>
      <w:pPr>
        <w:pStyle w:val="BodyText"/>
        <w:spacing w:before="14"/>
        <w:rPr>
          <w:sz w:val="20"/>
        </w:rPr>
      </w:pPr>
    </w:p>
    <w:tbl>
      <w:tblPr>
        <w:tblW w:w="0" w:type="auto"/>
        <w:jc w:val="left"/>
        <w:tblInd w:w="29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3"/>
        <w:gridCol w:w="1180"/>
        <w:gridCol w:w="1005"/>
      </w:tblGrid>
      <w:tr>
        <w:trPr>
          <w:trHeight w:val="381" w:hRule="atLeast"/>
        </w:trPr>
        <w:tc>
          <w:tcPr>
            <w:tcW w:w="1903" w:type="dxa"/>
            <w:tcBorders>
              <w:top w:val="single" w:sz="8" w:space="0" w:color="000000"/>
              <w:bottom w:val="single" w:sz="6" w:space="0" w:color="000000"/>
            </w:tcBorders>
          </w:tcPr>
          <w:p>
            <w:pPr>
              <w:pStyle w:val="TableParagraph"/>
              <w:spacing w:before="53"/>
              <w:ind w:left="69"/>
              <w:jc w:val="left"/>
              <w:rPr>
                <w:sz w:val="22"/>
              </w:rPr>
            </w:pPr>
            <w:r>
              <w:rPr>
                <w:spacing w:val="-2"/>
                <w:sz w:val="22"/>
              </w:rPr>
              <w:t>Proxy</w:t>
            </w:r>
          </w:p>
          <w:p>
            <w:pPr>
              <w:pStyle w:val="TableParagraph"/>
              <w:spacing w:before="53"/>
              <w:ind w:left="69"/>
              <w:jc w:val="left"/>
              <w:rPr>
                <w:sz w:val="22"/>
              </w:rPr>
            </w:pPr>
            <w:r>
              <w:rPr>
                <w:i/>
              </w:rPr>
              <w:t>대리</w:t>
            </w:r>
          </w:p>
        </w:tc>
        <w:tc>
          <w:tcPr>
            <w:tcW w:w="1180" w:type="dxa"/>
            <w:tcBorders>
              <w:top w:val="single" w:sz="8" w:space="0" w:color="000000"/>
              <w:bottom w:val="single" w:sz="6" w:space="0" w:color="000000"/>
            </w:tcBorders>
          </w:tcPr>
          <w:p>
            <w:pPr>
              <w:pStyle w:val="TableParagraph"/>
              <w:spacing w:before="49"/>
              <w:ind w:right="1"/>
              <w:rPr>
                <w:rFonts w:ascii="Calibri" w:hAnsi="Calibri"/>
                <w:i/>
                <w:sz w:val="22"/>
              </w:rPr>
            </w:pPr>
            <w:r>
              <w:rPr>
                <w:sz w:val="22"/>
              </w:rPr>
              <w:t>Spearman</w:t>
            </w:r>
            <w:r>
              <w:rPr>
                <w:spacing w:val="-10"/>
                <w:sz w:val="22"/>
              </w:rPr>
              <w:t> </w:t>
            </w:r>
            <w:r>
              <w:rPr>
                <w:rFonts w:ascii="Calibri" w:hAnsi="Calibri"/>
                <w:i/>
                <w:spacing w:val="-10"/>
                <w:sz w:val="22"/>
              </w:rPr>
              <w:t>ρ</w:t>
            </w:r>
          </w:p>
        </w:tc>
        <w:tc>
          <w:tcPr>
            <w:tcW w:w="1005" w:type="dxa"/>
            <w:tcBorders>
              <w:top w:val="single" w:sz="8" w:space="0" w:color="000000"/>
              <w:bottom w:val="single" w:sz="6" w:space="0" w:color="000000"/>
            </w:tcBorders>
          </w:tcPr>
          <w:p>
            <w:pPr>
              <w:pStyle w:val="TableParagraph"/>
              <w:spacing w:before="49"/>
              <w:ind w:left="1" w:right="26"/>
              <w:rPr>
                <w:rFonts w:ascii="Calibri" w:hAnsi="Calibri"/>
                <w:i/>
                <w:sz w:val="22"/>
              </w:rPr>
            </w:pPr>
            <w:r>
              <w:rPr>
                <w:sz w:val="22"/>
              </w:rPr>
              <w:t>Kendall</w:t>
            </w:r>
            <w:r>
              <w:rPr>
                <w:spacing w:val="-8"/>
                <w:sz w:val="22"/>
              </w:rPr>
              <w:t> </w:t>
            </w:r>
            <w:r>
              <w:rPr>
                <w:rFonts w:ascii="Calibri" w:hAnsi="Calibri"/>
                <w:i/>
                <w:spacing w:val="-10"/>
                <w:sz w:val="22"/>
              </w:rPr>
              <w:t>τ</w:t>
            </w:r>
          </w:p>
        </w:tc>
      </w:tr>
      <w:tr>
        <w:trPr>
          <w:trHeight w:val="590" w:hRule="atLeast"/>
        </w:trPr>
        <w:tc>
          <w:tcPr>
            <w:tcW w:w="1903" w:type="dxa"/>
            <w:tcBorders>
              <w:top w:val="single" w:sz="6" w:space="0" w:color="000000"/>
            </w:tcBorders>
          </w:tcPr>
          <w:p>
            <w:pPr>
              <w:pStyle w:val="TableParagraph"/>
              <w:spacing w:before="52"/>
              <w:ind w:left="69"/>
              <w:jc w:val="left"/>
              <w:rPr>
                <w:i/>
                <w:sz w:val="22"/>
              </w:rPr>
            </w:pPr>
            <w:r>
              <w:rPr>
                <w:i/>
                <w:spacing w:val="-2"/>
                <w:sz w:val="22"/>
              </w:rPr>
              <w:t>EndorseRank</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p>
            <w:pPr>
              <w:pStyle w:val="TableParagraph"/>
              <w:spacing w:line="247" w:lineRule="exact" w:before="18"/>
              <w:ind w:left="69"/>
              <w:jc w:val="left"/>
              <w:rPr>
                <w:sz w:val="22"/>
              </w:rPr>
            </w:pPr>
            <w:r>
              <w:rPr>
                <w:i/>
              </w:rPr>
              <w:t>근접 성공 횟수</w:t>
            </w:r>
          </w:p>
        </w:tc>
        <w:tc>
          <w:tcPr>
            <w:tcW w:w="1180" w:type="dxa"/>
            <w:tcBorders>
              <w:top w:val="single" w:sz="6" w:space="0" w:color="000000"/>
            </w:tcBorders>
          </w:tcPr>
          <w:p>
            <w:pPr>
              <w:pStyle w:val="TableParagraph"/>
              <w:spacing w:before="70"/>
              <w:jc w:val="left"/>
              <w:rPr>
                <w:sz w:val="22"/>
              </w:rPr>
            </w:pPr>
          </w:p>
          <w:p>
            <w:pPr>
              <w:pStyle w:val="TableParagraph"/>
              <w:spacing w:line="247" w:lineRule="exact" w:before="0"/>
              <w:ind w:left="1" w:right="1"/>
              <w:rPr>
                <w:sz w:val="22"/>
              </w:rPr>
            </w:pPr>
            <w:r>
              <w:rPr>
                <w:spacing w:val="-2"/>
                <w:sz w:val="22"/>
              </w:rPr>
              <w:t>0.180</w:t>
            </w:r>
          </w:p>
        </w:tc>
        <w:tc>
          <w:tcPr>
            <w:tcW w:w="1005" w:type="dxa"/>
            <w:tcBorders>
              <w:top w:val="single" w:sz="6" w:space="0" w:color="000000"/>
            </w:tcBorders>
          </w:tcPr>
          <w:p>
            <w:pPr>
              <w:pStyle w:val="TableParagraph"/>
              <w:spacing w:before="70"/>
              <w:jc w:val="left"/>
              <w:rPr>
                <w:sz w:val="22"/>
              </w:rPr>
            </w:pPr>
          </w:p>
          <w:p>
            <w:pPr>
              <w:pStyle w:val="TableParagraph"/>
              <w:spacing w:line="247" w:lineRule="exact" w:before="0"/>
              <w:ind w:left="24" w:right="25"/>
              <w:rPr>
                <w:sz w:val="22"/>
              </w:rPr>
            </w:pPr>
            <w:r>
              <w:rPr>
                <w:spacing w:val="-2"/>
                <w:sz w:val="22"/>
              </w:rPr>
              <w:t>0.149</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p>
            <w:pPr>
              <w:pStyle w:val="TableParagraph"/>
              <w:spacing w:line="247" w:lineRule="exact"/>
              <w:ind w:left="69"/>
              <w:jc w:val="left"/>
              <w:rPr>
                <w:sz w:val="22"/>
              </w:rPr>
            </w:pPr>
            <w:r>
              <w:rPr>
                <w:i/>
              </w:rPr>
              <w:t>실현된 이득 프록시</w:t>
            </w:r>
          </w:p>
        </w:tc>
        <w:tc>
          <w:tcPr>
            <w:tcW w:w="1180" w:type="dxa"/>
          </w:tcPr>
          <w:p>
            <w:pPr>
              <w:pStyle w:val="TableParagraph"/>
              <w:spacing w:line="247" w:lineRule="exact"/>
              <w:ind w:right="1"/>
              <w:rPr>
                <w:sz w:val="22"/>
              </w:rPr>
            </w:pPr>
            <w:r>
              <w:rPr>
                <w:spacing w:val="-2"/>
                <w:sz w:val="22"/>
              </w:rPr>
              <w:t>0.132</w:t>
            </w:r>
          </w:p>
        </w:tc>
        <w:tc>
          <w:tcPr>
            <w:tcW w:w="1005" w:type="dxa"/>
          </w:tcPr>
          <w:p>
            <w:pPr>
              <w:pStyle w:val="TableParagraph"/>
              <w:spacing w:line="247" w:lineRule="exact"/>
              <w:ind w:left="25" w:right="25"/>
              <w:rPr>
                <w:sz w:val="22"/>
              </w:rPr>
            </w:pPr>
            <w:r>
              <w:rPr>
                <w:spacing w:val="-2"/>
                <w:sz w:val="22"/>
              </w:rPr>
              <w:t>0.107</w:t>
            </w:r>
          </w:p>
        </w:tc>
      </w:tr>
      <w:tr>
        <w:trPr>
          <w:trHeight w:val="330" w:hRule="atLeast"/>
        </w:trPr>
        <w:tc>
          <w:tcPr>
            <w:tcW w:w="1903" w:type="dxa"/>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p>
            <w:pPr>
              <w:pStyle w:val="TableParagraph"/>
              <w:ind w:left="69"/>
              <w:jc w:val="left"/>
              <w:rPr>
                <w:sz w:val="22"/>
              </w:rPr>
            </w:pPr>
            <w:r>
              <w:rPr>
                <w:i/>
              </w:rPr>
              <w:t>마감 성공률</w:t>
            </w:r>
          </w:p>
        </w:tc>
        <w:tc>
          <w:tcPr>
            <w:tcW w:w="1180" w:type="dxa"/>
          </w:tcPr>
          <w:p>
            <w:pPr>
              <w:pStyle w:val="TableParagraph"/>
              <w:ind w:right="1"/>
              <w:rPr>
                <w:sz w:val="22"/>
              </w:rPr>
            </w:pPr>
            <w:r>
              <w:rPr>
                <w:spacing w:val="-2"/>
                <w:sz w:val="22"/>
              </w:rPr>
              <w:t>0.041</w:t>
            </w:r>
          </w:p>
        </w:tc>
        <w:tc>
          <w:tcPr>
            <w:tcW w:w="1005" w:type="dxa"/>
          </w:tcPr>
          <w:p>
            <w:pPr>
              <w:pStyle w:val="TableParagraph"/>
              <w:ind w:left="25" w:right="25"/>
              <w:rPr>
                <w:sz w:val="22"/>
              </w:rPr>
            </w:pPr>
            <w:r>
              <w:rPr>
                <w:spacing w:val="-2"/>
                <w:sz w:val="22"/>
              </w:rPr>
              <w:t>0.033</w:t>
            </w:r>
          </w:p>
        </w:tc>
      </w:tr>
      <w:tr>
        <w:trPr>
          <w:trHeight w:val="601" w:hRule="atLeast"/>
        </w:trPr>
        <w:tc>
          <w:tcPr>
            <w:tcW w:w="1903" w:type="dxa"/>
          </w:tcPr>
          <w:p>
            <w:pPr>
              <w:pStyle w:val="TableParagraph"/>
              <w:spacing w:before="63"/>
              <w:ind w:left="69"/>
              <w:jc w:val="left"/>
              <w:rPr>
                <w:i/>
                <w:sz w:val="22"/>
              </w:rPr>
            </w:pPr>
            <w:r>
              <w:rPr>
                <w:i/>
                <w:spacing w:val="-5"/>
                <w:sz w:val="22"/>
              </w:rPr>
              <w:t>AWP</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p>
            <w:pPr>
              <w:pStyle w:val="TableParagraph"/>
              <w:spacing w:line="247" w:lineRule="exact" w:before="18"/>
              <w:ind w:left="69"/>
              <w:jc w:val="left"/>
              <w:rPr>
                <w:sz w:val="22"/>
              </w:rPr>
            </w:pPr>
            <w:r>
              <w:rPr>
                <w:i/>
              </w:rPr>
              <w:t>근접 성공 횟수</w:t>
            </w:r>
          </w:p>
        </w:tc>
        <w:tc>
          <w:tcPr>
            <w:tcW w:w="1180" w:type="dxa"/>
          </w:tcPr>
          <w:p>
            <w:pPr>
              <w:pStyle w:val="TableParagraph"/>
              <w:spacing w:before="81"/>
              <w:jc w:val="left"/>
              <w:rPr>
                <w:sz w:val="22"/>
              </w:rPr>
            </w:pPr>
          </w:p>
          <w:p>
            <w:pPr>
              <w:pStyle w:val="TableParagraph"/>
              <w:spacing w:line="247" w:lineRule="exact" w:before="0"/>
              <w:ind w:left="1" w:right="1"/>
              <w:rPr>
                <w:sz w:val="22"/>
              </w:rPr>
            </w:pPr>
            <w:r>
              <w:rPr>
                <w:spacing w:val="-2"/>
                <w:sz w:val="22"/>
              </w:rPr>
              <w:t>0.319</w:t>
            </w:r>
          </w:p>
        </w:tc>
        <w:tc>
          <w:tcPr>
            <w:tcW w:w="1005" w:type="dxa"/>
          </w:tcPr>
          <w:p>
            <w:pPr>
              <w:pStyle w:val="TableParagraph"/>
              <w:spacing w:before="81"/>
              <w:jc w:val="left"/>
              <w:rPr>
                <w:sz w:val="22"/>
              </w:rPr>
            </w:pPr>
          </w:p>
          <w:p>
            <w:pPr>
              <w:pStyle w:val="TableParagraph"/>
              <w:spacing w:line="247" w:lineRule="exact" w:before="0"/>
              <w:ind w:left="24" w:right="25"/>
              <w:rPr>
                <w:sz w:val="22"/>
              </w:rPr>
            </w:pPr>
            <w:r>
              <w:rPr>
                <w:spacing w:val="-2"/>
                <w:sz w:val="22"/>
              </w:rPr>
              <w:t>0.224</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p>
            <w:pPr>
              <w:pStyle w:val="TableParagraph"/>
              <w:spacing w:line="247" w:lineRule="exact"/>
              <w:ind w:left="69"/>
              <w:jc w:val="left"/>
              <w:rPr>
                <w:sz w:val="22"/>
              </w:rPr>
            </w:pPr>
            <w:r>
              <w:rPr>
                <w:i/>
              </w:rPr>
              <w:t>실현된 이득 프록시</w:t>
            </w:r>
          </w:p>
        </w:tc>
        <w:tc>
          <w:tcPr>
            <w:tcW w:w="1180" w:type="dxa"/>
          </w:tcPr>
          <w:p>
            <w:pPr>
              <w:pStyle w:val="TableParagraph"/>
              <w:spacing w:line="247" w:lineRule="exact"/>
              <w:ind w:right="1"/>
              <w:rPr>
                <w:sz w:val="22"/>
              </w:rPr>
            </w:pPr>
            <w:r>
              <w:rPr>
                <w:spacing w:val="-2"/>
                <w:sz w:val="22"/>
              </w:rPr>
              <w:t>0.349</w:t>
            </w:r>
          </w:p>
        </w:tc>
        <w:tc>
          <w:tcPr>
            <w:tcW w:w="1005" w:type="dxa"/>
          </w:tcPr>
          <w:p>
            <w:pPr>
              <w:pStyle w:val="TableParagraph"/>
              <w:spacing w:line="247" w:lineRule="exact"/>
              <w:ind w:left="25" w:right="25"/>
              <w:rPr>
                <w:sz w:val="22"/>
              </w:rPr>
            </w:pPr>
            <w:r>
              <w:rPr>
                <w:spacing w:val="-2"/>
                <w:sz w:val="22"/>
              </w:rPr>
              <w:t>0.239</w:t>
            </w:r>
          </w:p>
        </w:tc>
      </w:tr>
      <w:tr>
        <w:trPr>
          <w:trHeight w:val="330" w:hRule="atLeast"/>
        </w:trPr>
        <w:tc>
          <w:tcPr>
            <w:tcW w:w="1903" w:type="dxa"/>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p>
            <w:pPr>
              <w:pStyle w:val="TableParagraph"/>
              <w:ind w:left="69"/>
              <w:jc w:val="left"/>
              <w:rPr>
                <w:sz w:val="22"/>
              </w:rPr>
            </w:pPr>
            <w:r>
              <w:rPr>
                <w:i/>
              </w:rPr>
              <w:t>마감 성공률</w:t>
            </w:r>
          </w:p>
        </w:tc>
        <w:tc>
          <w:tcPr>
            <w:tcW w:w="1180" w:type="dxa"/>
          </w:tcPr>
          <w:p>
            <w:pPr>
              <w:pStyle w:val="TableParagraph"/>
              <w:ind w:right="1"/>
              <w:rPr>
                <w:sz w:val="22"/>
              </w:rPr>
            </w:pPr>
            <w:r>
              <w:rPr>
                <w:spacing w:val="-2"/>
                <w:sz w:val="22"/>
              </w:rPr>
              <w:t>0.110</w:t>
            </w:r>
          </w:p>
        </w:tc>
        <w:tc>
          <w:tcPr>
            <w:tcW w:w="1005" w:type="dxa"/>
          </w:tcPr>
          <w:p>
            <w:pPr>
              <w:pStyle w:val="TableParagraph"/>
              <w:ind w:left="25" w:right="25"/>
              <w:rPr>
                <w:sz w:val="22"/>
              </w:rPr>
            </w:pPr>
            <w:r>
              <w:rPr>
                <w:spacing w:val="-2"/>
                <w:sz w:val="22"/>
              </w:rPr>
              <w:t>0.075</w:t>
            </w:r>
          </w:p>
        </w:tc>
      </w:tr>
      <w:tr>
        <w:trPr>
          <w:trHeight w:val="601" w:hRule="atLeast"/>
        </w:trPr>
        <w:tc>
          <w:tcPr>
            <w:tcW w:w="1903" w:type="dxa"/>
          </w:tcPr>
          <w:p>
            <w:pPr>
              <w:pStyle w:val="TableParagraph"/>
              <w:spacing w:before="63"/>
              <w:ind w:left="69"/>
              <w:jc w:val="left"/>
              <w:rPr>
                <w:i/>
                <w:sz w:val="22"/>
              </w:rPr>
            </w:pPr>
            <w:r>
              <w:rPr>
                <w:i/>
                <w:spacing w:val="-2"/>
                <w:sz w:val="22"/>
              </w:rPr>
              <w:t>GF-</w:t>
            </w:r>
            <w:r>
              <w:rPr>
                <w:i/>
                <w:spacing w:val="-5"/>
                <w:sz w:val="22"/>
              </w:rPr>
              <w:t>PR</w:t>
            </w:r>
          </w:p>
          <w:p>
            <w:pPr>
              <w:pStyle w:val="TableParagraph"/>
              <w:spacing w:line="247" w:lineRule="exact" w:before="18"/>
              <w:ind w:left="69"/>
              <w:jc w:val="left"/>
              <w:rPr>
                <w:sz w:val="22"/>
              </w:rPr>
            </w:pPr>
            <w:r>
              <w:rPr>
                <w:spacing w:val="-2"/>
                <w:sz w:val="22"/>
              </w:rPr>
              <w:t>Close-success</w:t>
            </w:r>
            <w:r>
              <w:rPr>
                <w:sz w:val="22"/>
              </w:rPr>
              <w:t> </w:t>
            </w:r>
            <w:r>
              <w:rPr>
                <w:spacing w:val="-2"/>
                <w:sz w:val="22"/>
              </w:rPr>
              <w:t>count</w:t>
            </w:r>
          </w:p>
          <w:p>
            <w:pPr>
              <w:pStyle w:val="TableParagraph"/>
              <w:spacing w:line="247" w:lineRule="exact" w:before="18"/>
              <w:ind w:left="69"/>
              <w:jc w:val="left"/>
              <w:rPr>
                <w:sz w:val="22"/>
              </w:rPr>
            </w:pPr>
            <w:r>
              <w:rPr>
                <w:i/>
              </w:rPr>
              <w:t>근접 성공 횟수</w:t>
            </w:r>
          </w:p>
        </w:tc>
        <w:tc>
          <w:tcPr>
            <w:tcW w:w="1180" w:type="dxa"/>
          </w:tcPr>
          <w:p>
            <w:pPr>
              <w:pStyle w:val="TableParagraph"/>
              <w:spacing w:before="81"/>
              <w:jc w:val="left"/>
              <w:rPr>
                <w:sz w:val="22"/>
              </w:rPr>
            </w:pPr>
          </w:p>
          <w:p>
            <w:pPr>
              <w:pStyle w:val="TableParagraph"/>
              <w:spacing w:line="247" w:lineRule="exact" w:before="0"/>
              <w:ind w:left="1" w:right="1"/>
              <w:rPr>
                <w:sz w:val="22"/>
              </w:rPr>
            </w:pPr>
            <w:r>
              <w:rPr>
                <w:spacing w:val="-2"/>
                <w:sz w:val="22"/>
              </w:rPr>
              <w:t>0.690</w:t>
            </w:r>
          </w:p>
        </w:tc>
        <w:tc>
          <w:tcPr>
            <w:tcW w:w="1005" w:type="dxa"/>
          </w:tcPr>
          <w:p>
            <w:pPr>
              <w:pStyle w:val="TableParagraph"/>
              <w:spacing w:before="81"/>
              <w:jc w:val="left"/>
              <w:rPr>
                <w:sz w:val="22"/>
              </w:rPr>
            </w:pPr>
          </w:p>
          <w:p>
            <w:pPr>
              <w:pStyle w:val="TableParagraph"/>
              <w:spacing w:line="247" w:lineRule="exact" w:before="0"/>
              <w:ind w:left="24" w:right="25"/>
              <w:rPr>
                <w:sz w:val="22"/>
              </w:rPr>
            </w:pPr>
            <w:r>
              <w:rPr>
                <w:spacing w:val="-2"/>
                <w:sz w:val="22"/>
              </w:rPr>
              <w:t>0.522</w:t>
            </w:r>
          </w:p>
        </w:tc>
      </w:tr>
      <w:tr>
        <w:trPr>
          <w:trHeight w:val="270" w:hRule="atLeast"/>
        </w:trPr>
        <w:tc>
          <w:tcPr>
            <w:tcW w:w="1903" w:type="dxa"/>
          </w:tcPr>
          <w:p>
            <w:pPr>
              <w:pStyle w:val="TableParagraph"/>
              <w:spacing w:line="247" w:lineRule="exact"/>
              <w:ind w:left="69"/>
              <w:jc w:val="left"/>
              <w:rPr>
                <w:sz w:val="22"/>
              </w:rPr>
            </w:pPr>
            <w:r>
              <w:rPr>
                <w:sz w:val="22"/>
              </w:rPr>
              <w:t>Realized</w:t>
            </w:r>
            <w:r>
              <w:rPr>
                <w:spacing w:val="-7"/>
                <w:sz w:val="22"/>
              </w:rPr>
              <w:t> </w:t>
            </w:r>
            <w:r>
              <w:rPr>
                <w:sz w:val="22"/>
              </w:rPr>
              <w:t>gain</w:t>
            </w:r>
            <w:r>
              <w:rPr>
                <w:spacing w:val="-7"/>
                <w:sz w:val="22"/>
              </w:rPr>
              <w:t> </w:t>
            </w:r>
            <w:r>
              <w:rPr>
                <w:spacing w:val="-2"/>
                <w:sz w:val="22"/>
              </w:rPr>
              <w:t>proxy</w:t>
            </w:r>
          </w:p>
          <w:p>
            <w:pPr>
              <w:pStyle w:val="TableParagraph"/>
              <w:spacing w:line="247" w:lineRule="exact"/>
              <w:ind w:left="69"/>
              <w:jc w:val="left"/>
              <w:rPr>
                <w:sz w:val="22"/>
              </w:rPr>
            </w:pPr>
            <w:r>
              <w:rPr>
                <w:i/>
              </w:rPr>
              <w:t>실현된 이득 프록시</w:t>
            </w:r>
          </w:p>
        </w:tc>
        <w:tc>
          <w:tcPr>
            <w:tcW w:w="1180" w:type="dxa"/>
          </w:tcPr>
          <w:p>
            <w:pPr>
              <w:pStyle w:val="TableParagraph"/>
              <w:spacing w:line="247" w:lineRule="exact"/>
              <w:ind w:right="1"/>
              <w:rPr>
                <w:sz w:val="22"/>
              </w:rPr>
            </w:pPr>
            <w:r>
              <w:rPr>
                <w:spacing w:val="-2"/>
                <w:sz w:val="22"/>
              </w:rPr>
              <w:t>1.000</w:t>
            </w:r>
          </w:p>
        </w:tc>
        <w:tc>
          <w:tcPr>
            <w:tcW w:w="1005" w:type="dxa"/>
          </w:tcPr>
          <w:p>
            <w:pPr>
              <w:pStyle w:val="TableParagraph"/>
              <w:spacing w:line="247" w:lineRule="exact"/>
              <w:ind w:left="25" w:right="25"/>
              <w:rPr>
                <w:sz w:val="22"/>
              </w:rPr>
            </w:pPr>
            <w:r>
              <w:rPr>
                <w:spacing w:val="-2"/>
                <w:sz w:val="22"/>
              </w:rPr>
              <w:t>0.999</w:t>
            </w:r>
          </w:p>
        </w:tc>
      </w:tr>
      <w:tr>
        <w:trPr>
          <w:trHeight w:val="332" w:hRule="atLeast"/>
        </w:trPr>
        <w:tc>
          <w:tcPr>
            <w:tcW w:w="1903" w:type="dxa"/>
            <w:tcBorders>
              <w:bottom w:val="single" w:sz="8" w:space="0" w:color="000000"/>
            </w:tcBorders>
          </w:tcPr>
          <w:p>
            <w:pPr>
              <w:pStyle w:val="TableParagraph"/>
              <w:ind w:left="69"/>
              <w:jc w:val="left"/>
              <w:rPr>
                <w:sz w:val="22"/>
              </w:rPr>
            </w:pPr>
            <w:r>
              <w:rPr>
                <w:sz w:val="22"/>
              </w:rPr>
              <w:t>Close</w:t>
            </w:r>
            <w:r>
              <w:rPr>
                <w:spacing w:val="-10"/>
                <w:sz w:val="22"/>
              </w:rPr>
              <w:t> </w:t>
            </w:r>
            <w:r>
              <w:rPr>
                <w:sz w:val="22"/>
              </w:rPr>
              <w:t>success</w:t>
            </w:r>
            <w:r>
              <w:rPr>
                <w:spacing w:val="-10"/>
                <w:sz w:val="22"/>
              </w:rPr>
              <w:t> </w:t>
            </w:r>
            <w:r>
              <w:rPr>
                <w:spacing w:val="-4"/>
                <w:sz w:val="22"/>
              </w:rPr>
              <w:t>rate</w:t>
            </w:r>
          </w:p>
          <w:p>
            <w:pPr>
              <w:pStyle w:val="TableParagraph"/>
              <w:ind w:left="69"/>
              <w:jc w:val="left"/>
              <w:rPr>
                <w:sz w:val="22"/>
              </w:rPr>
            </w:pPr>
            <w:r>
              <w:rPr>
                <w:i/>
              </w:rPr>
              <w:t>마감 성공률</w:t>
            </w:r>
          </w:p>
        </w:tc>
        <w:tc>
          <w:tcPr>
            <w:tcW w:w="1180" w:type="dxa"/>
            <w:tcBorders>
              <w:bottom w:val="single" w:sz="8" w:space="0" w:color="000000"/>
            </w:tcBorders>
          </w:tcPr>
          <w:p>
            <w:pPr>
              <w:pStyle w:val="TableParagraph"/>
              <w:ind w:right="1"/>
              <w:rPr>
                <w:sz w:val="22"/>
              </w:rPr>
            </w:pPr>
            <w:r>
              <w:rPr>
                <w:spacing w:val="-2"/>
                <w:sz w:val="22"/>
              </w:rPr>
              <w:t>0.329</w:t>
            </w:r>
          </w:p>
        </w:tc>
        <w:tc>
          <w:tcPr>
            <w:tcW w:w="1005" w:type="dxa"/>
            <w:tcBorders>
              <w:bottom w:val="single" w:sz="8" w:space="0" w:color="000000"/>
            </w:tcBorders>
          </w:tcPr>
          <w:p>
            <w:pPr>
              <w:pStyle w:val="TableParagraph"/>
              <w:ind w:left="25" w:right="25"/>
              <w:rPr>
                <w:sz w:val="22"/>
              </w:rPr>
            </w:pPr>
            <w:r>
              <w:rPr>
                <w:spacing w:val="-2"/>
                <w:sz w:val="22"/>
              </w:rPr>
              <w:t>0.229</w:t>
            </w:r>
          </w:p>
        </w:tc>
      </w:tr>
    </w:tbl>
    <w:p>
      <w:pPr>
        <w:pStyle w:val="BodyText"/>
        <w:spacing w:before="130"/>
      </w:pPr>
    </w:p>
    <w:p>
      <w:pPr>
        <w:pStyle w:val="BodyText"/>
        <w:spacing w:line="384" w:lineRule="auto"/>
        <w:ind w:left="274" w:right="563" w:firstLine="7"/>
        <w:jc w:val="both"/>
      </w:pPr>
      <w:r>
        <w:rPr/>
        <w:t>success</w:t>
      </w:r>
      <w:r>
        <w:rPr>
          <w:spacing w:val="-11"/>
        </w:rPr>
        <w:t> </w:t>
      </w:r>
      <w:r>
        <w:rPr/>
        <w:t>rate</w:t>
      </w:r>
      <w:r>
        <w:rPr>
          <w:spacing w:val="-11"/>
        </w:rPr>
        <w:t> </w:t>
      </w:r>
      <w:r>
        <w:rPr/>
        <w:t>remains</w:t>
      </w:r>
      <w:r>
        <w:rPr>
          <w:spacing w:val="-11"/>
        </w:rPr>
        <w:t> </w:t>
      </w:r>
      <w:r>
        <w:rPr/>
        <w:t>weak</w:t>
      </w:r>
      <w:r>
        <w:rPr>
          <w:spacing w:val="-11"/>
        </w:rPr>
        <w:t> </w:t>
      </w:r>
      <w:r>
        <w:rPr/>
        <w:t>(</w:t>
      </w:r>
      <w:r>
        <w:rPr>
          <w:rFonts w:ascii="Calibri" w:hAnsi="Calibri"/>
          <w:i/>
        </w:rPr>
        <w:t>τ</w:t>
      </w:r>
      <w:r>
        <w:rPr>
          <w:rFonts w:ascii="Calibri" w:hAnsi="Calibri"/>
          <w:i/>
          <w:spacing w:val="38"/>
        </w:rPr>
        <w:t> </w:t>
      </w:r>
      <w:r>
        <w:rPr>
          <w:rFonts w:ascii="Calibri" w:hAnsi="Calibri"/>
        </w:rPr>
        <w:t>= 0</w:t>
      </w:r>
      <w:r>
        <w:rPr>
          <w:rFonts w:ascii="Calibri" w:hAnsi="Calibri"/>
          <w:i/>
        </w:rPr>
        <w:t>.</w:t>
      </w:r>
      <w:r>
        <w:rPr>
          <w:rFonts w:ascii="Calibri" w:hAnsi="Calibri"/>
        </w:rPr>
        <w:t>075</w:t>
      </w:r>
      <w:r>
        <w:rPr/>
        <w:t>).</w:t>
      </w:r>
      <w:r>
        <w:rPr>
          <w:spacing w:val="16"/>
        </w:rPr>
        <w:t> </w:t>
      </w:r>
      <w:r>
        <w:rPr/>
        <w:t>EndorseRank</w:t>
      </w:r>
      <w:r>
        <w:rPr>
          <w:spacing w:val="-11"/>
        </w:rPr>
        <w:t> </w:t>
      </w:r>
      <w:r>
        <w:rPr/>
        <w:t>shows</w:t>
      </w:r>
      <w:r>
        <w:rPr>
          <w:spacing w:val="-11"/>
        </w:rPr>
        <w:t> </w:t>
      </w:r>
      <w:r>
        <w:rPr/>
        <w:t>the</w:t>
      </w:r>
      <w:r>
        <w:rPr>
          <w:spacing w:val="-11"/>
        </w:rPr>
        <w:t> </w:t>
      </w:r>
      <w:r>
        <w:rPr/>
        <w:t>same</w:t>
      </w:r>
      <w:r>
        <w:rPr>
          <w:spacing w:val="-11"/>
        </w:rPr>
        <w:t> </w:t>
      </w:r>
      <w:r>
        <w:rPr/>
        <w:t>ordering</w:t>
      </w:r>
      <w:r>
        <w:rPr>
          <w:spacing w:val="-11"/>
        </w:rPr>
        <w:t> </w:t>
      </w:r>
      <w:r>
        <w:rPr/>
        <w:t>at</w:t>
      </w:r>
      <w:r>
        <w:rPr>
          <w:spacing w:val="-11"/>
        </w:rPr>
        <w:t> </w:t>
      </w:r>
      <w:r>
        <w:rPr/>
        <w:t>lower</w:t>
      </w:r>
      <w:r>
        <w:rPr>
          <w:spacing w:val="-11"/>
        </w:rPr>
        <w:t> </w:t>
      </w:r>
      <w:r>
        <w:rPr/>
        <w:t>magnitude </w:t>
      </w:r>
      <w:r>
        <w:rPr>
          <w:w w:val="105"/>
        </w:rPr>
        <w:t>(count</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149</w:t>
      </w:r>
      <w:r>
        <w:rPr>
          <w:w w:val="105"/>
        </w:rPr>
        <w:t>;</w:t>
      </w:r>
      <w:r>
        <w:rPr>
          <w:spacing w:val="-4"/>
          <w:w w:val="105"/>
        </w:rPr>
        <w:t> </w:t>
      </w:r>
      <w:r>
        <w:rPr>
          <w:w w:val="105"/>
        </w:rPr>
        <w:t>realized</w:t>
      </w:r>
      <w:r>
        <w:rPr>
          <w:spacing w:val="-9"/>
          <w:w w:val="105"/>
        </w:rPr>
        <w:t> </w:t>
      </w:r>
      <w:r>
        <w:rPr>
          <w:w w:val="105"/>
        </w:rPr>
        <w:t>gain</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107</w:t>
      </w:r>
      <w:r>
        <w:rPr>
          <w:w w:val="105"/>
        </w:rPr>
        <w:t>;</w:t>
      </w:r>
      <w:r>
        <w:rPr>
          <w:spacing w:val="-4"/>
          <w:w w:val="105"/>
        </w:rPr>
        <w:t> </w:t>
      </w:r>
      <w:r>
        <w:rPr>
          <w:w w:val="105"/>
        </w:rPr>
        <w:t>rate</w:t>
      </w:r>
      <w:r>
        <w:rPr>
          <w:spacing w:val="-9"/>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w w:val="125"/>
        </w:rPr>
        <w:t> </w:t>
      </w:r>
      <w:r>
        <w:rPr>
          <w:rFonts w:ascii="Calibri" w:hAnsi="Calibri"/>
          <w:w w:val="105"/>
        </w:rPr>
        <w:t>0</w:t>
      </w:r>
      <w:r>
        <w:rPr>
          <w:rFonts w:ascii="Calibri" w:hAnsi="Calibri"/>
          <w:i/>
          <w:w w:val="105"/>
        </w:rPr>
        <w:t>.</w:t>
      </w:r>
      <w:r>
        <w:rPr>
          <w:rFonts w:ascii="Calibri" w:hAnsi="Calibri"/>
          <w:w w:val="105"/>
        </w:rPr>
        <w:t>033</w:t>
      </w:r>
      <w:r>
        <w:rPr>
          <w:w w:val="105"/>
        </w:rPr>
        <w:t>). Transfer-based</w:t>
      </w:r>
      <w:r>
        <w:rPr>
          <w:spacing w:val="-9"/>
          <w:w w:val="105"/>
        </w:rPr>
        <w:t> </w:t>
      </w:r>
      <w:r>
        <w:rPr>
          <w:w w:val="105"/>
        </w:rPr>
        <w:t>social</w:t>
      </w:r>
      <w:r>
        <w:rPr>
          <w:spacing w:val="-9"/>
          <w:w w:val="105"/>
        </w:rPr>
        <w:t> </w:t>
      </w:r>
      <w:r>
        <w:rPr>
          <w:w w:val="105"/>
        </w:rPr>
        <w:t>propagation </w:t>
      </w:r>
      <w:r>
        <w:rPr/>
        <w:t>therefore aligns more strongly with profitable perpetual closes than allowance-based propagation on this cohort, but both social-method means remain in the weak-to-moderate band.</w:t>
      </w:r>
    </w:p>
    <w:p>
      <w:pPr>
        <w:pStyle w:val="BodyText"/>
        <w:spacing w:line="384" w:lineRule="auto"/>
        <w:ind w:left="274" w:right="563" w:firstLine="7"/>
        <w:jc w:val="both"/>
      </w:pPr>
      <w:r>
        <w:rPr>
          <w:i/>
        </w:rPr>
        <w:t>성공률은 여전히 ​​약합니다(τ = 0.075). EndorseRank는 더 낮은 크기(카운트 τ = 0.149, 실현 이득 τ = 0.107, 속도 τ = 0.033)에서 동일한 순서를 보여줍니다. 따라서 이전 기반 사회적 전파는 이 집단의 수당 기반 전파보다 수익성 있는 영구 마감과 더 강력하게 일치하지만 두 사회적 방법 수단 모두 약함에서 중간 정도의 대역에 남아 있습니다.</w:t>
      </w:r>
    </w:p>
    <w:p>
      <w:pPr>
        <w:pStyle w:val="BodyText"/>
        <w:spacing w:line="384" w:lineRule="auto" w:before="19"/>
        <w:ind w:left="274" w:right="532" w:firstLine="7"/>
        <w:jc w:val="both"/>
      </w:pPr>
      <w:r>
        <w:rPr>
          <w:spacing w:val="-2"/>
        </w:rPr>
        <w:t>GF-PR</w:t>
      </w:r>
      <w:r>
        <w:rPr>
          <w:spacing w:val="-10"/>
        </w:rPr>
        <w:t> </w:t>
      </w:r>
      <w:r>
        <w:rPr>
          <w:spacing w:val="-2"/>
        </w:rPr>
        <w:t>achieves</w:t>
      </w:r>
      <w:r>
        <w:rPr>
          <w:spacing w:val="-10"/>
        </w:rPr>
        <w:t> </w:t>
      </w:r>
      <w:r>
        <w:rPr>
          <w:spacing w:val="-2"/>
        </w:rPr>
        <w:t>the</w:t>
      </w:r>
      <w:r>
        <w:rPr>
          <w:spacing w:val="-9"/>
        </w:rPr>
        <w:t> </w:t>
      </w:r>
      <w:r>
        <w:rPr>
          <w:spacing w:val="-2"/>
        </w:rPr>
        <w:t>highest</w:t>
      </w:r>
      <w:r>
        <w:rPr>
          <w:spacing w:val="-9"/>
        </w:rPr>
        <w:t> </w:t>
      </w:r>
      <w:r>
        <w:rPr>
          <w:spacing w:val="-2"/>
        </w:rPr>
        <w:t>family</w:t>
      </w:r>
      <w:r>
        <w:rPr>
          <w:spacing w:val="-10"/>
        </w:rPr>
        <w:t> </w:t>
      </w:r>
      <w:r>
        <w:rPr>
          <w:spacing w:val="-2"/>
        </w:rPr>
        <w:t>mean</w:t>
      </w:r>
      <w:r>
        <w:rPr>
          <w:spacing w:val="-9"/>
        </w:rPr>
        <w:t> </w:t>
      </w:r>
      <w:r>
        <w:rPr>
          <w:spacing w:val="-2"/>
        </w:rPr>
        <w:t>(</w:t>
      </w:r>
      <w:r>
        <w:rPr>
          <w:rFonts w:ascii="Calibri" w:hAnsi="Calibri"/>
          <w:spacing w:val="-2"/>
        </w:rPr>
        <w:t>0</w:t>
      </w:r>
      <w:r>
        <w:rPr>
          <w:rFonts w:ascii="Calibri" w:hAnsi="Calibri"/>
          <w:i/>
          <w:spacing w:val="-2"/>
        </w:rPr>
        <w:t>.</w:t>
      </w:r>
      <w:r>
        <w:rPr>
          <w:rFonts w:ascii="Calibri" w:hAnsi="Calibri"/>
          <w:spacing w:val="-2"/>
        </w:rPr>
        <w:t>583</w:t>
      </w:r>
      <w:r>
        <w:rPr>
          <w:spacing w:val="-2"/>
        </w:rPr>
        <w:t>),</w:t>
      </w:r>
      <w:r>
        <w:rPr>
          <w:spacing w:val="-5"/>
        </w:rPr>
        <w:t> </w:t>
      </w:r>
      <w:r>
        <w:rPr>
          <w:spacing w:val="-2"/>
        </w:rPr>
        <w:t>including</w:t>
      </w:r>
      <w:r>
        <w:rPr>
          <w:spacing w:val="-10"/>
        </w:rPr>
        <w:t> </w:t>
      </w:r>
      <w:r>
        <w:rPr>
          <w:spacing w:val="-2"/>
        </w:rPr>
        <w:t>near-perfect</w:t>
      </w:r>
      <w:r>
        <w:rPr>
          <w:spacing w:val="-10"/>
        </w:rPr>
        <w:t> </w:t>
      </w:r>
      <w:r>
        <w:rPr>
          <w:spacing w:val="-2"/>
        </w:rPr>
        <w:t>alignment</w:t>
      </w:r>
      <w:r>
        <w:rPr>
          <w:spacing w:val="-10"/>
        </w:rPr>
        <w:t> </w:t>
      </w:r>
      <w:r>
        <w:rPr>
          <w:spacing w:val="-2"/>
        </w:rPr>
        <w:t>with</w:t>
      </w:r>
      <w:r>
        <w:rPr>
          <w:spacing w:val="-9"/>
        </w:rPr>
        <w:t> </w:t>
      </w:r>
      <w:r>
        <w:rPr>
          <w:spacing w:val="-2"/>
        </w:rPr>
        <w:t>the</w:t>
      </w:r>
      <w:r>
        <w:rPr>
          <w:spacing w:val="-10"/>
        </w:rPr>
        <w:t> </w:t>
      </w:r>
      <w:r>
        <w:rPr>
          <w:spacing w:val="-2"/>
        </w:rPr>
        <w:t>realized </w:t>
      </w:r>
      <w:r>
        <w:rPr/>
        <w:t>gain proxy (</w:t>
      </w:r>
      <w:r>
        <w:rPr>
          <w:rFonts w:ascii="Calibri" w:hAnsi="Calibri"/>
          <w:i/>
        </w:rPr>
        <w:t>ρ </w:t>
      </w:r>
      <w:r>
        <w:rPr>
          <w:rFonts w:ascii="Calibri" w:hAnsi="Calibri"/>
          <w:w w:val="125"/>
        </w:rPr>
        <w:t>=</w:t>
      </w:r>
      <w:r>
        <w:rPr>
          <w:rFonts w:ascii="Calibri" w:hAnsi="Calibri"/>
          <w:w w:val="125"/>
        </w:rPr>
        <w:t> </w:t>
      </w:r>
      <w:r>
        <w:rPr>
          <w:rFonts w:ascii="Calibri" w:hAnsi="Calibri"/>
        </w:rPr>
        <w:t>1</w:t>
      </w:r>
      <w:r>
        <w:rPr>
          <w:rFonts w:ascii="Calibri" w:hAnsi="Calibri"/>
          <w:i/>
        </w:rPr>
        <w:t>.</w:t>
      </w:r>
      <w:r>
        <w:rPr>
          <w:rFonts w:ascii="Calibri" w:hAnsi="Calibri"/>
        </w:rPr>
        <w:t>000</w:t>
      </w:r>
      <w:r>
        <w:rPr/>
        <w:t>,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999</w:t>
      </w:r>
      <w:r>
        <w:rPr/>
        <w:t>).</w:t>
      </w:r>
      <w:r>
        <w:rPr>
          <w:spacing w:val="40"/>
        </w:rPr>
        <w:t> </w:t>
      </w:r>
      <w:r>
        <w:rPr/>
        <w:t>That near-identity is the clearest empirical demonstration of construct overlap:</w:t>
      </w:r>
      <w:r>
        <w:rPr>
          <w:spacing w:val="40"/>
        </w:rPr>
        <w:t> </w:t>
      </w:r>
      <w:r>
        <w:rPr/>
        <w:t>when the ranking input and the validation proxy share the same PnL stream, alignment</w:t>
      </w:r>
      <w:r>
        <w:rPr>
          <w:spacing w:val="22"/>
        </w:rPr>
        <w:t> </w:t>
      </w:r>
      <w:r>
        <w:rPr/>
        <w:t>ceases</w:t>
      </w:r>
      <w:r>
        <w:rPr>
          <w:spacing w:val="23"/>
        </w:rPr>
        <w:t> </w:t>
      </w:r>
      <w:r>
        <w:rPr/>
        <w:t>to</w:t>
      </w:r>
      <w:r>
        <w:rPr>
          <w:spacing w:val="23"/>
        </w:rPr>
        <w:t> </w:t>
      </w:r>
      <w:r>
        <w:rPr/>
        <w:t>be</w:t>
      </w:r>
      <w:r>
        <w:rPr>
          <w:spacing w:val="23"/>
        </w:rPr>
        <w:t> </w:t>
      </w:r>
      <w:r>
        <w:rPr/>
        <w:t>an</w:t>
      </w:r>
      <w:r>
        <w:rPr>
          <w:spacing w:val="23"/>
        </w:rPr>
        <w:t> </w:t>
      </w:r>
      <w:r>
        <w:rPr/>
        <w:t>independent</w:t>
      </w:r>
      <w:r>
        <w:rPr>
          <w:spacing w:val="23"/>
        </w:rPr>
        <w:t> </w:t>
      </w:r>
      <w:r>
        <w:rPr/>
        <w:t>test</w:t>
      </w:r>
      <w:r>
        <w:rPr>
          <w:spacing w:val="23"/>
        </w:rPr>
        <w:t> </w:t>
      </w:r>
      <w:r>
        <w:rPr/>
        <w:t>of</w:t>
      </w:r>
      <w:r>
        <w:rPr>
          <w:spacing w:val="23"/>
        </w:rPr>
        <w:t> </w:t>
      </w:r>
      <w:r>
        <w:rPr/>
        <w:t>reputation</w:t>
      </w:r>
      <w:r>
        <w:rPr>
          <w:spacing w:val="23"/>
        </w:rPr>
        <w:t> </w:t>
      </w:r>
      <w:r>
        <w:rPr/>
        <w:t>quality.</w:t>
      </w:r>
      <w:r>
        <w:rPr>
          <w:spacing w:val="80"/>
        </w:rPr>
        <w:t> </w:t>
      </w:r>
      <w:r>
        <w:rPr/>
        <w:t>GF-PR’s</w:t>
      </w:r>
      <w:r>
        <w:rPr>
          <w:spacing w:val="22"/>
        </w:rPr>
        <w:t> </w:t>
      </w:r>
      <w:r>
        <w:rPr/>
        <w:t>close-success</w:t>
      </w:r>
      <w:r>
        <w:rPr>
          <w:spacing w:val="23"/>
        </w:rPr>
        <w:t> </w:t>
      </w:r>
      <w:r>
        <w:rPr/>
        <w:t>count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522</w:t>
      </w:r>
      <w:r>
        <w:rPr/>
        <w:t>) and success rate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229</w:t>
      </w:r>
      <w:r>
        <w:rPr/>
        <w:t>) are also elevated relative to social methods, but the realized-gain cell is decisive for interpretation.</w:t>
      </w:r>
    </w:p>
    <w:p>
      <w:pPr>
        <w:pStyle w:val="BodyText"/>
        <w:spacing w:line="384" w:lineRule="auto" w:before="19"/>
        <w:ind w:left="274" w:right="532" w:firstLine="7"/>
        <w:jc w:val="both"/>
      </w:pPr>
      <w:r>
        <w:rPr>
          <w:i/>
        </w:rPr>
        <w:t>GF-PR은 실현된 이득 프록시(ρ = 1.000, τ = 0.999)와의 거의 완벽한 정렬을 포함하여 가장 높은 패밀리 평균(0.583)을 달성합니다. 이러한 동일성에 가까운 것은 구성 중복을 가장 명확하게 경험적으로 보여주는 것입니다. 순위 입력과 검증 프록시가 동일한 손익 흐름을 공유하는 경우 정렬은 더 이상 평판 품질에 대한 독립적인 테스트가 아닙니다. GF-PR의 근접 성공 횟수(τ = 0.522)와 성공률(τ = 0.229)도 사회적 방법에 비해 높지만 실현 이득 셀은 해석에 결정적입니다.</w:t>
      </w:r>
    </w:p>
    <w:p>
      <w:pPr>
        <w:pStyle w:val="BodyText"/>
        <w:spacing w:line="396" w:lineRule="auto" w:before="26"/>
        <w:ind w:left="282" w:right="523" w:hanging="8"/>
        <w:jc w:val="both"/>
      </w:pPr>
      <w:r>
        <w:rPr/>
        <w:t>The trading-success family thus plays a dual role.</w:t>
      </w:r>
      <w:r>
        <w:rPr>
          <w:spacing w:val="40"/>
        </w:rPr>
        <w:t> </w:t>
      </w:r>
      <w:r>
        <w:rPr/>
        <w:t>For Claims C2–C3, it shows that AWP is the stronger</w:t>
      </w:r>
      <w:r>
        <w:rPr>
          <w:spacing w:val="-4"/>
        </w:rPr>
        <w:t> </w:t>
      </w:r>
      <w:r>
        <w:rPr/>
        <w:t>social</w:t>
      </w:r>
      <w:r>
        <w:rPr>
          <w:spacing w:val="-4"/>
        </w:rPr>
        <w:t> </w:t>
      </w:r>
      <w:r>
        <w:rPr/>
        <w:t>method</w:t>
      </w:r>
      <w:r>
        <w:rPr>
          <w:spacing w:val="-3"/>
        </w:rPr>
        <w:t> </w:t>
      </w:r>
      <w:r>
        <w:rPr/>
        <w:t>on</w:t>
      </w:r>
      <w:r>
        <w:rPr>
          <w:spacing w:val="-4"/>
        </w:rPr>
        <w:t> </w:t>
      </w:r>
      <w:r>
        <w:rPr/>
        <w:t>outcome</w:t>
      </w:r>
      <w:r>
        <w:rPr>
          <w:spacing w:val="-4"/>
        </w:rPr>
        <w:t> </w:t>
      </w:r>
      <w:r>
        <w:rPr/>
        <w:t>proxies,</w:t>
      </w:r>
      <w:r>
        <w:rPr>
          <w:spacing w:val="-3"/>
        </w:rPr>
        <w:t> </w:t>
      </w:r>
      <w:r>
        <w:rPr/>
        <w:t>while</w:t>
      </w:r>
      <w:r>
        <w:rPr>
          <w:spacing w:val="-3"/>
        </w:rPr>
        <w:t> </w:t>
      </w:r>
      <w:r>
        <w:rPr/>
        <w:t>EndorseRank</w:t>
      </w:r>
      <w:r>
        <w:rPr>
          <w:spacing w:val="-4"/>
        </w:rPr>
        <w:t> </w:t>
      </w:r>
      <w:r>
        <w:rPr/>
        <w:t>retains</w:t>
      </w:r>
      <w:r>
        <w:rPr>
          <w:spacing w:val="-4"/>
        </w:rPr>
        <w:t> </w:t>
      </w:r>
      <w:r>
        <w:rPr/>
        <w:t>only</w:t>
      </w:r>
      <w:r>
        <w:rPr>
          <w:spacing w:val="-3"/>
        </w:rPr>
        <w:t> </w:t>
      </w:r>
      <w:r>
        <w:rPr/>
        <w:t>weak</w:t>
      </w:r>
      <w:r>
        <w:rPr>
          <w:spacing w:val="-4"/>
        </w:rPr>
        <w:t> </w:t>
      </w:r>
      <w:r>
        <w:rPr/>
        <w:t>outcome</w:t>
      </w:r>
      <w:r>
        <w:rPr>
          <w:spacing w:val="-4"/>
        </w:rPr>
        <w:t> </w:t>
      </w:r>
      <w:r>
        <w:rPr/>
        <w:t>align-ment.</w:t>
      </w:r>
      <w:r>
        <w:rPr>
          <w:spacing w:val="-4"/>
        </w:rPr>
        <w:t> </w:t>
      </w:r>
      <w:r>
        <w:rPr/>
        <w:t>For</w:t>
      </w:r>
      <w:r>
        <w:rPr>
          <w:spacing w:val="-15"/>
        </w:rPr>
        <w:t> </w:t>
      </w:r>
      <w:r>
        <w:rPr/>
        <w:t>SC1,</w:t>
      </w:r>
      <w:r>
        <w:rPr>
          <w:spacing w:val="-14"/>
        </w:rPr>
        <w:t> </w:t>
      </w:r>
      <w:r>
        <w:rPr/>
        <w:t>it</w:t>
      </w:r>
      <w:r>
        <w:rPr>
          <w:spacing w:val="-15"/>
        </w:rPr>
        <w:t> </w:t>
      </w:r>
      <w:r>
        <w:rPr/>
        <w:t>shows</w:t>
      </w:r>
      <w:r>
        <w:rPr>
          <w:spacing w:val="-15"/>
        </w:rPr>
        <w:t> </w:t>
      </w:r>
      <w:r>
        <w:rPr/>
        <w:t>that</w:t>
      </w:r>
      <w:r>
        <w:rPr>
          <w:spacing w:val="-15"/>
        </w:rPr>
        <w:t> </w:t>
      </w:r>
      <w:r>
        <w:rPr/>
        <w:t>GF-PR’s</w:t>
      </w:r>
      <w:r>
        <w:rPr>
          <w:spacing w:val="-15"/>
        </w:rPr>
        <w:t> </w:t>
      </w:r>
      <w:r>
        <w:rPr/>
        <w:t>ceiling</w:t>
      </w:r>
      <w:r>
        <w:rPr>
          <w:spacing w:val="-15"/>
        </w:rPr>
        <w:t> </w:t>
      </w:r>
      <w:r>
        <w:rPr/>
        <w:t>must</w:t>
      </w:r>
      <w:r>
        <w:rPr>
          <w:spacing w:val="-15"/>
        </w:rPr>
        <w:t> </w:t>
      </w:r>
      <w:r>
        <w:rPr/>
        <w:t>not</w:t>
      </w:r>
      <w:r>
        <w:rPr>
          <w:spacing w:val="-15"/>
        </w:rPr>
        <w:t> </w:t>
      </w:r>
      <w:r>
        <w:rPr/>
        <w:t>be</w:t>
      </w:r>
      <w:r>
        <w:rPr>
          <w:spacing w:val="-15"/>
        </w:rPr>
        <w:t> </w:t>
      </w:r>
      <w:r>
        <w:rPr/>
        <w:t>misread</w:t>
      </w:r>
      <w:r>
        <w:rPr>
          <w:spacing w:val="-15"/>
        </w:rPr>
        <w:t> </w:t>
      </w:r>
      <w:r>
        <w:rPr/>
        <w:t>as</w:t>
      </w:r>
      <w:r>
        <w:rPr>
          <w:spacing w:val="-15"/>
        </w:rPr>
        <w:t> </w:t>
      </w:r>
      <w:r>
        <w:rPr/>
        <w:t>a</w:t>
      </w:r>
      <w:r>
        <w:rPr>
          <w:spacing w:val="-15"/>
        </w:rPr>
        <w:t> </w:t>
      </w:r>
      <w:r>
        <w:rPr/>
        <w:t>deployable</w:t>
      </w:r>
      <w:r>
        <w:rPr>
          <w:spacing w:val="-15"/>
        </w:rPr>
        <w:t> </w:t>
      </w:r>
      <w:r>
        <w:rPr/>
        <w:t>reputation</w:t>
      </w:r>
      <w:r>
        <w:rPr>
          <w:spacing w:val="-15"/>
        </w:rPr>
        <w:t> </w:t>
      </w:r>
      <w:r>
        <w:rPr/>
        <w:t>result. Protocols</w:t>
      </w:r>
      <w:r>
        <w:rPr>
          <w:spacing w:val="-15"/>
        </w:rPr>
        <w:t> </w:t>
      </w:r>
      <w:r>
        <w:rPr/>
        <w:t>seeking</w:t>
      </w:r>
      <w:r>
        <w:rPr>
          <w:spacing w:val="-15"/>
        </w:rPr>
        <w:t> </w:t>
      </w:r>
      <w:r>
        <w:rPr/>
        <w:t>social</w:t>
      </w:r>
      <w:r>
        <w:rPr>
          <w:spacing w:val="-15"/>
        </w:rPr>
        <w:t> </w:t>
      </w:r>
      <w:r>
        <w:rPr/>
        <w:t>endorsement</w:t>
      </w:r>
      <w:r>
        <w:rPr>
          <w:spacing w:val="-15"/>
        </w:rPr>
        <w:t> </w:t>
      </w:r>
      <w:r>
        <w:rPr/>
        <w:t>signals</w:t>
      </w:r>
      <w:r>
        <w:rPr>
          <w:spacing w:val="-15"/>
        </w:rPr>
        <w:t> </w:t>
      </w:r>
      <w:r>
        <w:rPr/>
        <w:t>should</w:t>
      </w:r>
      <w:r>
        <w:rPr>
          <w:spacing w:val="-15"/>
        </w:rPr>
        <w:t> </w:t>
      </w:r>
      <w:r>
        <w:rPr/>
        <w:t>not</w:t>
      </w:r>
      <w:r>
        <w:rPr>
          <w:spacing w:val="-15"/>
        </w:rPr>
        <w:t> </w:t>
      </w:r>
      <w:r>
        <w:rPr/>
        <w:t>adopt</w:t>
      </w:r>
      <w:r>
        <w:rPr>
          <w:spacing w:val="-15"/>
        </w:rPr>
        <w:t> </w:t>
      </w:r>
      <w:r>
        <w:rPr/>
        <w:t>GF-PR</w:t>
      </w:r>
      <w:r>
        <w:rPr>
          <w:spacing w:val="-15"/>
        </w:rPr>
        <w:t> </w:t>
      </w:r>
      <w:r>
        <w:rPr/>
        <w:t>merely</w:t>
      </w:r>
      <w:r>
        <w:rPr>
          <w:spacing w:val="-15"/>
        </w:rPr>
        <w:t> </w:t>
      </w:r>
      <w:r>
        <w:rPr/>
        <w:t>because</w:t>
      </w:r>
      <w:r>
        <w:rPr>
          <w:spacing w:val="-15"/>
        </w:rPr>
        <w:t> </w:t>
      </w:r>
      <w:r>
        <w:rPr/>
        <w:t>it</w:t>
      </w:r>
      <w:r>
        <w:rPr>
          <w:spacing w:val="-15"/>
        </w:rPr>
        <w:t> </w:t>
      </w:r>
      <w:r>
        <w:rPr/>
        <w:t>maximizes trading-family </w:t>
      </w:r>
      <w:r>
        <w:rPr>
          <w:rFonts w:ascii="Calibri" w:hAnsi="Calibri"/>
          <w:i/>
        </w:rPr>
        <w:t>τ</w:t>
      </w:r>
      <w:r>
        <w:rPr>
          <w:rFonts w:ascii="Calibri" w:hAnsi="Calibri"/>
          <w:i/>
          <w:spacing w:val="-15"/>
        </w:rPr>
        <w:t> </w:t>
      </w:r>
      <w:r>
        <w:rPr/>
        <w:t>.</w:t>
      </w:r>
    </w:p>
    <w:p>
      <w:pPr>
        <w:pStyle w:val="BodyText"/>
        <w:spacing w:line="396" w:lineRule="auto" w:before="26"/>
        <w:ind w:left="282" w:right="523" w:hanging="8"/>
        <w:jc w:val="both"/>
      </w:pPr>
      <w:r>
        <w:rPr>
          <w:i/>
        </w:rPr>
        <w:t>따라서 거래 성공 가족은 이중 역할을 합니다. 주장 C2~C3의 경우 AWP이 결과 프록시에 대한 더 강력한 사회적 방법인 반면 EndorseRank는 약한 결과 정렬만 유지함을 보여줍니다. SC1의 경우 GF-PR의 상한선을 배포 가능한 평판 결과로 오해해서는 안 됨을 보여줍니다. 사회적 보증 신호를 추구하는 프로토콜은 단순히 거래 계열 τ를 최대화한다는 이유만으로 GF-PR을 채택해서는 안 됩니다.</w:t>
      </w:r>
    </w:p>
    <w:p>
      <w:pPr>
        <w:pStyle w:val="BodyText"/>
        <w:spacing w:line="267" w:lineRule="exact"/>
        <w:ind w:left="282"/>
        <w:jc w:val="both"/>
      </w:pPr>
      <w:r>
        <w:rPr/>
        <w:t>Comparing</w:t>
      </w:r>
      <w:r>
        <w:rPr>
          <w:spacing w:val="15"/>
        </w:rPr>
        <w:t> </w:t>
      </w:r>
      <w:r>
        <w:rPr/>
        <w:t>trading-success</w:t>
      </w:r>
      <w:r>
        <w:rPr>
          <w:spacing w:val="16"/>
        </w:rPr>
        <w:t> </w:t>
      </w:r>
      <w:r>
        <w:rPr/>
        <w:t>means</w:t>
      </w:r>
      <w:r>
        <w:rPr>
          <w:spacing w:val="15"/>
        </w:rPr>
        <w:t> </w:t>
      </w:r>
      <w:r>
        <w:rPr/>
        <w:t>to</w:t>
      </w:r>
      <w:r>
        <w:rPr>
          <w:spacing w:val="16"/>
        </w:rPr>
        <w:t> </w:t>
      </w:r>
      <w:r>
        <w:rPr/>
        <w:t>transfer</w:t>
      </w:r>
      <w:r>
        <w:rPr>
          <w:spacing w:val="15"/>
        </w:rPr>
        <w:t> </w:t>
      </w:r>
      <w:r>
        <w:rPr/>
        <w:t>means</w:t>
      </w:r>
      <w:r>
        <w:rPr>
          <w:spacing w:val="16"/>
        </w:rPr>
        <w:t> </w:t>
      </w:r>
      <w:r>
        <w:rPr/>
        <w:t>for</w:t>
      </w:r>
      <w:r>
        <w:rPr>
          <w:spacing w:val="15"/>
        </w:rPr>
        <w:t> </w:t>
      </w:r>
      <w:r>
        <w:rPr/>
        <w:t>the</w:t>
      </w:r>
      <w:r>
        <w:rPr>
          <w:spacing w:val="16"/>
        </w:rPr>
        <w:t> </w:t>
      </w:r>
      <w:r>
        <w:rPr/>
        <w:t>same</w:t>
      </w:r>
      <w:r>
        <w:rPr>
          <w:spacing w:val="16"/>
        </w:rPr>
        <w:t> </w:t>
      </w:r>
      <w:r>
        <w:rPr/>
        <w:t>social</w:t>
      </w:r>
      <w:r>
        <w:rPr>
          <w:spacing w:val="15"/>
        </w:rPr>
        <w:t> </w:t>
      </w:r>
      <w:r>
        <w:rPr/>
        <w:t>methods</w:t>
      </w:r>
      <w:r>
        <w:rPr>
          <w:spacing w:val="16"/>
        </w:rPr>
        <w:t> </w:t>
      </w:r>
      <w:r>
        <w:rPr/>
        <w:t>answers</w:t>
      </w:r>
      <w:r>
        <w:rPr>
          <w:spacing w:val="15"/>
        </w:rPr>
        <w:t> </w:t>
      </w:r>
      <w:r>
        <w:rPr>
          <w:spacing w:val="-5"/>
        </w:rPr>
        <w:t>RQ4</w:t>
      </w:r>
    </w:p>
    <w:p>
      <w:pPr>
        <w:pStyle w:val="BodyText"/>
        <w:spacing w:line="267" w:lineRule="exact"/>
        <w:ind w:left="282"/>
        <w:jc w:val="both"/>
      </w:pPr>
      <w:r>
        <w:rPr>
          <w:i/>
        </w:rPr>
        <w:t>거래 성공을 비교하는 것은 동일한 사회적 방법에 대한 수단을 이전하는 것을 의미합니다. RQ4 답변</w:t>
      </w:r>
    </w:p>
    <w:p>
      <w:pPr>
        <w:pStyle w:val="BodyText"/>
        <w:spacing w:after="0" w:line="267" w:lineRule="exact"/>
        <w:jc w:val="both"/>
        <w:sectPr>
          <w:pgSz w:w="11910" w:h="16840"/>
          <w:pgMar w:header="0" w:footer="2115" w:top="1800" w:bottom="2300" w:left="992" w:right="708"/>
        </w:sectPr>
      </w:pPr>
    </w:p>
    <w:p>
      <w:pPr>
        <w:pStyle w:val="BodyText"/>
        <w:spacing w:line="388" w:lineRule="auto" w:before="68"/>
        <w:ind w:left="273" w:right="559" w:firstLine="8"/>
        <w:jc w:val="both"/>
      </w:pPr>
      <w:r>
        <w:rPr/>
        <w:t>directly. Transfer</w:t>
      </w:r>
      <w:r>
        <w:rPr>
          <w:spacing w:val="-5"/>
        </w:rPr>
        <w:t> </w:t>
      </w:r>
      <w:r>
        <w:rPr/>
        <w:t>proxies</w:t>
      </w:r>
      <w:r>
        <w:rPr>
          <w:spacing w:val="-5"/>
        </w:rPr>
        <w:t> </w:t>
      </w:r>
      <w:r>
        <w:rPr/>
        <w:t>yield</w:t>
      </w:r>
      <w:r>
        <w:rPr>
          <w:spacing w:val="-5"/>
        </w:rPr>
        <w:t> </w:t>
      </w:r>
      <w:r>
        <w:rPr/>
        <w:t>higher</w:t>
      </w:r>
      <w:r>
        <w:rPr>
          <w:spacing w:val="-5"/>
        </w:rPr>
        <w:t> </w:t>
      </w:r>
      <w:r>
        <w:rPr/>
        <w:t>mean</w:t>
      </w:r>
      <w:r>
        <w:rPr>
          <w:spacing w:val="-4"/>
        </w:rPr>
        <w:t> </w:t>
      </w:r>
      <w:r>
        <w:rPr>
          <w:rFonts w:ascii="Calibri" w:hAnsi="Calibri"/>
          <w:i/>
        </w:rPr>
        <w:t>τ</w:t>
      </w:r>
      <w:r>
        <w:rPr>
          <w:rFonts w:ascii="Calibri" w:hAnsi="Calibri"/>
          <w:i/>
          <w:spacing w:val="25"/>
        </w:rPr>
        <w:t> </w:t>
      </w:r>
      <w:r>
        <w:rPr/>
        <w:t>than</w:t>
      </w:r>
      <w:r>
        <w:rPr>
          <w:spacing w:val="-5"/>
        </w:rPr>
        <w:t> </w:t>
      </w:r>
      <w:r>
        <w:rPr/>
        <w:t>trading-success</w:t>
      </w:r>
      <w:r>
        <w:rPr>
          <w:spacing w:val="-5"/>
        </w:rPr>
        <w:t> </w:t>
      </w:r>
      <w:r>
        <w:rPr/>
        <w:t>proxies</w:t>
      </w:r>
      <w:r>
        <w:rPr>
          <w:spacing w:val="-5"/>
        </w:rPr>
        <w:t> </w:t>
      </w:r>
      <w:r>
        <w:rPr/>
        <w:t>for</w:t>
      </w:r>
      <w:r>
        <w:rPr>
          <w:spacing w:val="-5"/>
        </w:rPr>
        <w:t> </w:t>
      </w:r>
      <w:r>
        <w:rPr/>
        <w:t>both</w:t>
      </w:r>
      <w:r>
        <w:rPr>
          <w:spacing w:val="-5"/>
        </w:rPr>
        <w:t> </w:t>
      </w:r>
      <w:r>
        <w:rPr/>
        <w:t>EndorseRank (</w:t>
      </w:r>
      <w:r>
        <w:rPr>
          <w:rFonts w:ascii="Calibri" w:hAnsi="Calibri"/>
        </w:rPr>
        <w:t>0</w:t>
      </w:r>
      <w:r>
        <w:rPr>
          <w:rFonts w:ascii="Calibri" w:hAnsi="Calibri"/>
          <w:i/>
        </w:rPr>
        <w:t>.</w:t>
      </w:r>
      <w:r>
        <w:rPr>
          <w:rFonts w:ascii="Calibri" w:hAnsi="Calibri"/>
        </w:rPr>
        <w:t>333 </w:t>
      </w:r>
      <w:r>
        <w:rPr/>
        <w:t>vs. </w:t>
      </w:r>
      <w:r>
        <w:rPr>
          <w:rFonts w:ascii="Calibri" w:hAnsi="Calibri"/>
        </w:rPr>
        <w:t>0</w:t>
      </w:r>
      <w:r>
        <w:rPr>
          <w:rFonts w:ascii="Calibri" w:hAnsi="Calibri"/>
          <w:i/>
        </w:rPr>
        <w:t>.</w:t>
      </w:r>
      <w:r>
        <w:rPr>
          <w:rFonts w:ascii="Calibri" w:hAnsi="Calibri"/>
        </w:rPr>
        <w:t>096</w:t>
      </w:r>
      <w:r>
        <w:rPr/>
        <w:t>) and AWP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179</w:t>
      </w:r>
      <w:r>
        <w:rPr/>
        <w:t>).</w:t>
      </w:r>
      <w:r>
        <w:rPr>
          <w:spacing w:val="40"/>
        </w:rPr>
        <w:t> </w:t>
      </w:r>
      <w:r>
        <w:rPr/>
        <w:t>On this chain and window, the Do et al. transfer validation</w:t>
      </w:r>
      <w:r>
        <w:rPr>
          <w:spacing w:val="-14"/>
        </w:rPr>
        <w:t> </w:t>
      </w:r>
      <w:r>
        <w:rPr/>
        <w:t>frame</w:t>
      </w:r>
      <w:r>
        <w:rPr>
          <w:spacing w:val="-14"/>
        </w:rPr>
        <w:t> </w:t>
      </w:r>
      <w:r>
        <w:rPr/>
        <w:t>is</w:t>
      </w:r>
      <w:r>
        <w:rPr>
          <w:spacing w:val="-14"/>
        </w:rPr>
        <w:t> </w:t>
      </w:r>
      <w:r>
        <w:rPr/>
        <w:t>the</w:t>
      </w:r>
      <w:r>
        <w:rPr>
          <w:spacing w:val="-14"/>
        </w:rPr>
        <w:t> </w:t>
      </w:r>
      <w:r>
        <w:rPr/>
        <w:t>stronger</w:t>
      </w:r>
      <w:r>
        <w:rPr>
          <w:spacing w:val="-14"/>
        </w:rPr>
        <w:t> </w:t>
      </w:r>
      <w:r>
        <w:rPr/>
        <w:t>external</w:t>
      </w:r>
      <w:r>
        <w:rPr>
          <w:spacing w:val="-14"/>
        </w:rPr>
        <w:t> </w:t>
      </w:r>
      <w:r>
        <w:rPr/>
        <w:t>check</w:t>
      </w:r>
      <w:r>
        <w:rPr>
          <w:spacing w:val="-14"/>
        </w:rPr>
        <w:t> </w:t>
      </w:r>
      <w:r>
        <w:rPr/>
        <w:t>for</w:t>
      </w:r>
      <w:r>
        <w:rPr>
          <w:spacing w:val="-14"/>
        </w:rPr>
        <w:t> </w:t>
      </w:r>
      <w:r>
        <w:rPr/>
        <w:t>social</w:t>
      </w:r>
      <w:r>
        <w:rPr>
          <w:spacing w:val="-14"/>
        </w:rPr>
        <w:t> </w:t>
      </w:r>
      <w:r>
        <w:rPr/>
        <w:t>reputation</w:t>
      </w:r>
      <w:r>
        <w:rPr>
          <w:spacing w:val="-14"/>
        </w:rPr>
        <w:t> </w:t>
      </w:r>
      <w:r>
        <w:rPr/>
        <w:t>methods.</w:t>
      </w:r>
      <w:r>
        <w:rPr>
          <w:spacing w:val="11"/>
        </w:rPr>
        <w:t> </w:t>
      </w:r>
      <w:r>
        <w:rPr/>
        <w:t>That</w:t>
      </w:r>
      <w:r>
        <w:rPr>
          <w:spacing w:val="-14"/>
        </w:rPr>
        <w:t> </w:t>
      </w:r>
      <w:r>
        <w:rPr/>
        <w:t>finding</w:t>
      </w:r>
      <w:r>
        <w:rPr>
          <w:spacing w:val="-14"/>
        </w:rPr>
        <w:t> </w:t>
      </w:r>
      <w:r>
        <w:rPr/>
        <w:t>does</w:t>
      </w:r>
      <w:r>
        <w:rPr>
          <w:spacing w:val="-14"/>
        </w:rPr>
        <w:t> </w:t>
      </w:r>
      <w:r>
        <w:rPr/>
        <w:t>not diminish</w:t>
      </w:r>
      <w:r>
        <w:rPr>
          <w:spacing w:val="-15"/>
        </w:rPr>
        <w:t> </w:t>
      </w:r>
      <w:r>
        <w:rPr/>
        <w:t>EndorseRank’s</w:t>
      </w:r>
      <w:r>
        <w:rPr>
          <w:spacing w:val="-15"/>
        </w:rPr>
        <w:t> </w:t>
      </w:r>
      <w:r>
        <w:rPr/>
        <w:t>allowance-specific</w:t>
      </w:r>
      <w:r>
        <w:rPr>
          <w:spacing w:val="-15"/>
        </w:rPr>
        <w:t> </w:t>
      </w:r>
      <w:r>
        <w:rPr/>
        <w:t>validity;</w:t>
      </w:r>
      <w:r>
        <w:rPr>
          <w:spacing w:val="-13"/>
        </w:rPr>
        <w:t> </w:t>
      </w:r>
      <w:r>
        <w:rPr/>
        <w:t>it</w:t>
      </w:r>
      <w:r>
        <w:rPr>
          <w:spacing w:val="-15"/>
        </w:rPr>
        <w:t> </w:t>
      </w:r>
      <w:r>
        <w:rPr/>
        <w:t>situates</w:t>
      </w:r>
      <w:r>
        <w:rPr>
          <w:spacing w:val="-15"/>
        </w:rPr>
        <w:t> </w:t>
      </w:r>
      <w:r>
        <w:rPr/>
        <w:t>trading</w:t>
      </w:r>
      <w:r>
        <w:rPr>
          <w:spacing w:val="-15"/>
        </w:rPr>
        <w:t> </w:t>
      </w:r>
      <w:r>
        <w:rPr/>
        <w:t>outcomes</w:t>
      </w:r>
      <w:r>
        <w:rPr>
          <w:spacing w:val="-15"/>
        </w:rPr>
        <w:t> </w:t>
      </w:r>
      <w:r>
        <w:rPr/>
        <w:t>as</w:t>
      </w:r>
      <w:r>
        <w:rPr>
          <w:spacing w:val="-15"/>
        </w:rPr>
        <w:t> </w:t>
      </w:r>
      <w:r>
        <w:rPr/>
        <w:t>a</w:t>
      </w:r>
      <w:r>
        <w:rPr>
          <w:spacing w:val="-15"/>
        </w:rPr>
        <w:t> </w:t>
      </w:r>
      <w:r>
        <w:rPr/>
        <w:t>harder,</w:t>
      </w:r>
      <w:r>
        <w:rPr>
          <w:spacing w:val="-14"/>
        </w:rPr>
        <w:t> </w:t>
      </w:r>
      <w:r>
        <w:rPr/>
        <w:t>more weakly related target for social-graph scores.</w:t>
      </w:r>
      <w:r>
        <w:rPr>
          <w:spacing w:val="40"/>
        </w:rPr>
        <w:t> </w:t>
      </w:r>
      <w:r>
        <w:rPr/>
        <w:t>Protocols that require trading-skill discrimination may need features beyond either social graph—or may need to accept that social reputation and </w:t>
      </w:r>
      <w:bookmarkStart w:name="Rank divergence (H1 / RQ1)" w:id="195"/>
      <w:bookmarkEnd w:id="195"/>
      <w:r>
        <w:rPr>
          <w:w w:val="99"/>
        </w:rPr>
      </w:r>
      <w:bookmarkStart w:name="_bookmark109" w:id="196"/>
      <w:bookmarkEnd w:id="196"/>
      <w:r>
        <w:rPr/>
        <w:t>trading</w:t>
      </w:r>
      <w:r>
        <w:rPr/>
        <w:t> performance are only loosely coupled in perpetual markets.</w:t>
      </w:r>
    </w:p>
    <w:p>
      <w:pPr>
        <w:pStyle w:val="BodyText"/>
        <w:spacing w:line="388" w:lineRule="auto" w:before="68"/>
        <w:ind w:left="273" w:right="559" w:firstLine="8"/>
        <w:jc w:val="both"/>
      </w:pPr>
      <w:r>
        <w:rPr>
          <w:i/>
        </w:rPr>
        <w:t>곧장. 전송 프록시는 EndorseRank(0.333 대 0.096) 및 AWP(0.534 대 0.179) 모두에 대해 거래 성공 프록시보다 더 높은 평균 τ를 산출합니다. 이 체인과 창에서는 Do et al. 전송 검증 프레임은 사회적 평판 방법에 대한 더 강력한 외부 확인입니다. 이러한 발견은 EndorseRank의 수당별 타당성을 감소시키지 않으며, 거래 결과를 소셜 그래프 점수에 대해 더 어렵고 더 약하게 관련된 목표로 설정합니다. 거래 기술 차별을 요구하는 프로토콜에는 소셜 그래프 이상의 기능이 필요할 수도 있고, 영구 시장에서는 사회적 평판과 거래 성과가 느슨하게 결합되어 있다는 사실을 받아들여야 할 수도 있습니다.</w:t>
      </w:r>
    </w:p>
    <w:p>
      <w:pPr>
        <w:pStyle w:val="BodyText"/>
        <w:spacing w:before="173"/>
      </w:pPr>
    </w:p>
    <w:p>
      <w:pPr>
        <w:pStyle w:val="Heading2"/>
        <w:numPr>
          <w:ilvl w:val="1"/>
          <w:numId w:val="8"/>
        </w:numPr>
        <w:tabs>
          <w:tab w:pos="783" w:val="left" w:leader="none"/>
        </w:tabs>
        <w:spacing w:line="240" w:lineRule="auto" w:before="0" w:after="0"/>
        <w:ind w:left="783" w:right="0" w:hanging="501"/>
        <w:jc w:val="left"/>
      </w:pPr>
      <w:r>
        <w:rPr/>
        <w:t>Rank</w:t>
      </w:r>
      <w:r>
        <w:rPr>
          <w:spacing w:val="12"/>
        </w:rPr>
        <w:t> </w:t>
      </w:r>
      <w:r>
        <w:rPr/>
        <w:t>divergence</w:t>
      </w:r>
      <w:r>
        <w:rPr>
          <w:spacing w:val="13"/>
        </w:rPr>
        <w:t> </w:t>
      </w:r>
      <w:r>
        <w:rPr/>
        <w:t>(H1</w:t>
      </w:r>
      <w:r>
        <w:rPr>
          <w:spacing w:val="12"/>
        </w:rPr>
        <w:t> </w:t>
      </w:r>
      <w:r>
        <w:rPr/>
        <w:t>/</w:t>
      </w:r>
      <w:r>
        <w:rPr>
          <w:spacing w:val="13"/>
        </w:rPr>
        <w:t> </w:t>
      </w:r>
      <w:r>
        <w:rPr>
          <w:spacing w:val="-4"/>
        </w:rPr>
        <w:t>RQ1)</w:t>
      </w:r>
    </w:p>
    <w:p>
      <w:pPr>
        <w:pStyle w:val="Heading2"/>
        <w:numPr>
          <w:ilvl w:val="1"/>
          <w:numId w:val="8"/>
        </w:numPr>
        <w:tabs>
          <w:tab w:pos="783" w:val="left" w:leader="none"/>
        </w:tabs>
        <w:spacing w:line="240" w:lineRule="auto" w:before="0" w:after="0"/>
        <w:ind w:left="783" w:right="0" w:hanging="501"/>
        <w:jc w:val="left"/>
      </w:pPr>
      <w:r>
        <w:rPr>
          <w:i/>
        </w:rPr>
        <w:t>순위 차이(H1/RQ1)</w:t>
      </w:r>
    </w:p>
    <w:p>
      <w:pPr>
        <w:pStyle w:val="BodyText"/>
        <w:spacing w:before="24"/>
        <w:rPr>
          <w:b/>
          <w:sz w:val="28"/>
        </w:rPr>
      </w:pPr>
    </w:p>
    <w:p>
      <w:pPr>
        <w:pStyle w:val="BodyText"/>
        <w:spacing w:line="388" w:lineRule="auto"/>
        <w:ind w:left="276" w:right="521" w:firstLine="5"/>
        <w:jc w:val="both"/>
      </w:pPr>
      <w:r>
        <w:rPr/>
        <w:t>Hypothesis</w:t>
      </w:r>
      <w:r>
        <w:rPr>
          <w:spacing w:val="-14"/>
        </w:rPr>
        <w:t> </w:t>
      </w:r>
      <w:r>
        <w:rPr/>
        <w:t>H1</w:t>
      </w:r>
      <w:r>
        <w:rPr>
          <w:spacing w:val="-14"/>
        </w:rPr>
        <w:t> </w:t>
      </w:r>
      <w:r>
        <w:rPr/>
        <w:t>and</w:t>
      </w:r>
      <w:r>
        <w:rPr>
          <w:spacing w:val="-14"/>
        </w:rPr>
        <w:t> </w:t>
      </w:r>
      <w:r>
        <w:rPr/>
        <w:t>research</w:t>
      </w:r>
      <w:r>
        <w:rPr>
          <w:spacing w:val="-14"/>
        </w:rPr>
        <w:t> </w:t>
      </w:r>
      <w:r>
        <w:rPr/>
        <w:t>question</w:t>
      </w:r>
      <w:r>
        <w:rPr>
          <w:spacing w:val="-14"/>
        </w:rPr>
        <w:t> </w:t>
      </w:r>
      <w:r>
        <w:rPr/>
        <w:t>RQ1</w:t>
      </w:r>
      <w:r>
        <w:rPr>
          <w:spacing w:val="-14"/>
        </w:rPr>
        <w:t> </w:t>
      </w:r>
      <w:r>
        <w:rPr/>
        <w:t>ask</w:t>
      </w:r>
      <w:r>
        <w:rPr>
          <w:spacing w:val="-14"/>
        </w:rPr>
        <w:t> </w:t>
      </w:r>
      <w:r>
        <w:rPr/>
        <w:t>whether</w:t>
      </w:r>
      <w:r>
        <w:rPr>
          <w:spacing w:val="-14"/>
        </w:rPr>
        <w:t> </w:t>
      </w:r>
      <w:r>
        <w:rPr/>
        <w:t>EndorseRank</w:t>
      </w:r>
      <w:r>
        <w:rPr>
          <w:spacing w:val="-14"/>
        </w:rPr>
        <w:t> </w:t>
      </w:r>
      <w:r>
        <w:rPr/>
        <w:t>and</w:t>
      </w:r>
      <w:r>
        <w:rPr>
          <w:spacing w:val="-14"/>
        </w:rPr>
        <w:t> </w:t>
      </w:r>
      <w:r>
        <w:rPr/>
        <w:t>AWP</w:t>
      </w:r>
      <w:r>
        <w:rPr>
          <w:spacing w:val="-15"/>
        </w:rPr>
        <w:t> </w:t>
      </w:r>
      <w:r>
        <w:rPr/>
        <w:t>yield</w:t>
      </w:r>
      <w:r>
        <w:rPr>
          <w:spacing w:val="-14"/>
        </w:rPr>
        <w:t> </w:t>
      </w:r>
      <w:r>
        <w:rPr/>
        <w:t>meaningfully different wallet orderings on an identical sample.</w:t>
      </w:r>
      <w:r>
        <w:rPr>
          <w:spacing w:val="40"/>
        </w:rPr>
        <w:t> </w:t>
      </w:r>
      <w:r>
        <w:rPr/>
        <w:t>Inter-method Kendall </w:t>
      </w:r>
      <w:r>
        <w:rPr>
          <w:rFonts w:ascii="Calibri" w:hAnsi="Calibri"/>
          <w:i/>
        </w:rPr>
        <w:t>τ</w:t>
      </w:r>
      <w:r>
        <w:rPr>
          <w:rFonts w:ascii="Calibri" w:hAnsi="Calibri"/>
          <w:i/>
          <w:spacing w:val="40"/>
        </w:rPr>
        <w:t> </w:t>
      </w:r>
      <w:r>
        <w:rPr/>
        <w:t>between the two score vectors is </w:t>
      </w:r>
      <w:r>
        <w:rPr>
          <w:rFonts w:ascii="Calibri" w:hAnsi="Calibri"/>
        </w:rPr>
        <w:t>0</w:t>
      </w:r>
      <w:r>
        <w:rPr>
          <w:rFonts w:ascii="Calibri" w:hAnsi="Calibri"/>
          <w:i/>
        </w:rPr>
        <w:t>.</w:t>
      </w:r>
      <w:r>
        <w:rPr>
          <w:rFonts w:ascii="Calibri" w:hAnsi="Calibri"/>
        </w:rPr>
        <w:t>316 </w:t>
      </w:r>
      <w:r>
        <w:rPr/>
        <w:t>on the matched cohort (</w:t>
      </w:r>
      <w:r>
        <w:rPr>
          <w:rFonts w:ascii="Calibri" w:hAnsi="Calibri"/>
          <w:i/>
        </w:rPr>
        <w:t>n</w:t>
      </w:r>
      <w:r>
        <w:rPr>
          <w:rFonts w:ascii="Calibri" w:hAnsi="Calibri"/>
          <w:i/>
          <w:w w:val="125"/>
        </w:rPr>
        <w:t> </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In the alignment bands of Chapter </w:t>
      </w:r>
      <w:hyperlink w:history="true" w:anchor="_bookmark17">
        <w:r>
          <w:rPr/>
          <w:t>2</w:t>
        </w:r>
      </w:hyperlink>
      <w:r>
        <w:rPr/>
        <w:t>, this value falls in the weak-to-moderate range:</w:t>
      </w:r>
      <w:r>
        <w:rPr>
          <w:spacing w:val="40"/>
        </w:rPr>
        <w:t> </w:t>
      </w:r>
      <w:r>
        <w:rPr/>
        <w:t>the rankings are related but far from interchangeable. Correlation is present because economically active wallets tend to participate in both transfer and approval markets, yet allowance and transfer graphs emphasize different relationships, so many pairwise orderings disagree.</w:t>
      </w:r>
    </w:p>
    <w:p>
      <w:pPr>
        <w:pStyle w:val="BodyText"/>
        <w:spacing w:line="388" w:lineRule="auto"/>
        <w:ind w:left="276" w:right="521" w:firstLine="5"/>
        <w:jc w:val="both"/>
      </w:pPr>
      <w:r>
        <w:rPr>
          <w:i/>
        </w:rPr>
        <w:t>가설 H1과 연구 질문 RQ1은 EndorseRank와 AWP가 동일한 표본에서 의미 있게 다른 지갑 주문을 산출하는지 여부를 묻습니다. 두 점수 벡터 간의 방법 간 Kendall τ는 일치하는 코호트(n = 5,521)에서 0.316입니다. 2장의 정렬 밴드에서 이 값은 약함에서 중간 범위에 속합니다. 순위는 서로 관련되어 있지만 상호 교환이 불가능합니다. 경제적으로 활동적인 지갑은 이체 및 승인 시장 모두에 참여하는 경향이 있기 때문에 상관 관계가 존재하지만 허용 및 이체 그래프는 서로 다른 관계를 강조하므로 많은 쌍별 주문이 일치하지 않습니다.</w:t>
      </w:r>
    </w:p>
    <w:p>
      <w:pPr>
        <w:pStyle w:val="BodyText"/>
        <w:spacing w:line="396" w:lineRule="auto" w:before="25"/>
        <w:ind w:left="273" w:right="522" w:firstLine="8"/>
      </w:pPr>
      <w:r>
        <w:rPr/>
        <w:t>Figure</w:t>
      </w:r>
      <w:r>
        <w:rPr>
          <w:spacing w:val="23"/>
        </w:rPr>
        <w:t> </w:t>
      </w:r>
      <w:hyperlink w:history="true" w:anchor="_bookmark110">
        <w:r>
          <w:rPr/>
          <w:t>4.7</w:t>
        </w:r>
      </w:hyperlink>
      <w:r>
        <w:rPr>
          <w:spacing w:val="24"/>
        </w:rPr>
        <w:t> </w:t>
      </w:r>
      <w:r>
        <w:rPr/>
        <w:t>shows</w:t>
      </w:r>
      <w:r>
        <w:rPr>
          <w:spacing w:val="23"/>
        </w:rPr>
        <w:t> </w:t>
      </w:r>
      <w:r>
        <w:rPr/>
        <w:t>the</w:t>
      </w:r>
      <w:r>
        <w:rPr>
          <w:spacing w:val="24"/>
        </w:rPr>
        <w:t> </w:t>
      </w:r>
      <w:r>
        <w:rPr/>
        <w:t>marginal</w:t>
      </w:r>
      <w:r>
        <w:rPr>
          <w:spacing w:val="23"/>
        </w:rPr>
        <w:t> </w:t>
      </w:r>
      <w:r>
        <w:rPr/>
        <w:t>distributions</w:t>
      </w:r>
      <w:r>
        <w:rPr>
          <w:spacing w:val="24"/>
        </w:rPr>
        <w:t> </w:t>
      </w:r>
      <w:r>
        <w:rPr/>
        <w:t>of</w:t>
      </w:r>
      <w:r>
        <w:rPr>
          <w:spacing w:val="24"/>
        </w:rPr>
        <w:t> </w:t>
      </w:r>
      <w:r>
        <w:rPr/>
        <w:t>EndorseRank</w:t>
      </w:r>
      <w:r>
        <w:rPr>
          <w:spacing w:val="24"/>
        </w:rPr>
        <w:t> </w:t>
      </w:r>
      <w:r>
        <w:rPr/>
        <w:t>and</w:t>
      </w:r>
      <w:r>
        <w:rPr>
          <w:spacing w:val="24"/>
        </w:rPr>
        <w:t> </w:t>
      </w:r>
      <w:r>
        <w:rPr/>
        <w:t>AWP</w:t>
      </w:r>
      <w:r>
        <w:rPr>
          <w:spacing w:val="23"/>
        </w:rPr>
        <w:t> </w:t>
      </w:r>
      <w:r>
        <w:rPr/>
        <w:t>scores.</w:t>
      </w:r>
      <w:r>
        <w:rPr>
          <w:spacing w:val="80"/>
        </w:rPr>
        <w:t> </w:t>
      </w:r>
      <w:r>
        <w:rPr/>
        <w:t>Both</w:t>
      </w:r>
      <w:r>
        <w:rPr>
          <w:spacing w:val="24"/>
        </w:rPr>
        <w:t> </w:t>
      </w:r>
      <w:r>
        <w:rPr/>
        <w:t>are</w:t>
      </w:r>
      <w:r>
        <w:rPr>
          <w:spacing w:val="24"/>
        </w:rPr>
        <w:t> </w:t>
      </w:r>
      <w:r>
        <w:rPr/>
        <w:t>right-skewed, as is typical for PageRank on sparse directed graphs, but they are not identically shaped. AWP’s</w:t>
      </w:r>
      <w:r>
        <w:rPr>
          <w:spacing w:val="-15"/>
        </w:rPr>
        <w:t> </w:t>
      </w:r>
      <w:r>
        <w:rPr/>
        <w:t>mass</w:t>
      </w:r>
      <w:r>
        <w:rPr>
          <w:spacing w:val="-15"/>
        </w:rPr>
        <w:t> </w:t>
      </w:r>
      <w:r>
        <w:rPr/>
        <w:t>reflects</w:t>
      </w:r>
      <w:r>
        <w:rPr>
          <w:spacing w:val="-15"/>
        </w:rPr>
        <w:t> </w:t>
      </w:r>
      <w:r>
        <w:rPr/>
        <w:t>the</w:t>
      </w:r>
      <w:r>
        <w:rPr>
          <w:spacing w:val="-15"/>
        </w:rPr>
        <w:t> </w:t>
      </w:r>
      <w:r>
        <w:rPr/>
        <w:t>denser</w:t>
      </w:r>
      <w:r>
        <w:rPr>
          <w:spacing w:val="-15"/>
        </w:rPr>
        <w:t> </w:t>
      </w:r>
      <w:r>
        <w:rPr/>
        <w:t>transfer</w:t>
      </w:r>
      <w:r>
        <w:rPr>
          <w:spacing w:val="-15"/>
        </w:rPr>
        <w:t> </w:t>
      </w:r>
      <w:r>
        <w:rPr/>
        <w:t>operator;</w:t>
      </w:r>
      <w:r>
        <w:rPr>
          <w:spacing w:val="-15"/>
        </w:rPr>
        <w:t> </w:t>
      </w:r>
      <w:r>
        <w:rPr/>
        <w:t>EndorseRank’s</w:t>
      </w:r>
      <w:r>
        <w:rPr>
          <w:spacing w:val="-15"/>
        </w:rPr>
        <w:t> </w:t>
      </w:r>
      <w:r>
        <w:rPr/>
        <w:t>mass</w:t>
      </w:r>
      <w:r>
        <w:rPr>
          <w:spacing w:val="-15"/>
        </w:rPr>
        <w:t> </w:t>
      </w:r>
      <w:r>
        <w:rPr/>
        <w:t>reflects</w:t>
      </w:r>
      <w:r>
        <w:rPr>
          <w:spacing w:val="-15"/>
        </w:rPr>
        <w:t> </w:t>
      </w:r>
      <w:r>
        <w:rPr/>
        <w:t>the</w:t>
      </w:r>
      <w:r>
        <w:rPr>
          <w:spacing w:val="-15"/>
        </w:rPr>
        <w:t> </w:t>
      </w:r>
      <w:r>
        <w:rPr/>
        <w:t>sparser</w:t>
      </w:r>
      <w:r>
        <w:rPr>
          <w:spacing w:val="-15"/>
        </w:rPr>
        <w:t> </w:t>
      </w:r>
      <w:r>
        <w:rPr/>
        <w:t>endorse-ment operator.</w:t>
      </w:r>
      <w:r>
        <w:rPr>
          <w:spacing w:val="40"/>
        </w:rPr>
        <w:t> </w:t>
      </w:r>
      <w:r>
        <w:rPr/>
        <w:t>Skewness alone does not prove divergence—two methods could share the same ordering with different score scales—but it motivates examining rank-rank relationships directly. Figure</w:t>
      </w:r>
      <w:r>
        <w:rPr>
          <w:spacing w:val="-3"/>
        </w:rPr>
        <w:t> </w:t>
      </w:r>
      <w:hyperlink w:history="true" w:anchor="_bookmark111">
        <w:r>
          <w:rPr/>
          <w:t>4.8</w:t>
        </w:r>
      </w:hyperlink>
      <w:r>
        <w:rPr>
          <w:spacing w:val="-3"/>
        </w:rPr>
        <w:t> </w:t>
      </w:r>
      <w:r>
        <w:rPr/>
        <w:t>plots</w:t>
      </w:r>
      <w:r>
        <w:rPr>
          <w:spacing w:val="-3"/>
        </w:rPr>
        <w:t> </w:t>
      </w:r>
      <w:r>
        <w:rPr/>
        <w:t>EndorseRank</w:t>
      </w:r>
      <w:r>
        <w:rPr>
          <w:spacing w:val="-3"/>
        </w:rPr>
        <w:t> </w:t>
      </w:r>
      <w:r>
        <w:rPr/>
        <w:t>ranks</w:t>
      </w:r>
      <w:r>
        <w:rPr>
          <w:spacing w:val="-3"/>
        </w:rPr>
        <w:t> </w:t>
      </w:r>
      <w:r>
        <w:rPr/>
        <w:t>against</w:t>
      </w:r>
      <w:r>
        <w:rPr>
          <w:spacing w:val="-3"/>
        </w:rPr>
        <w:t> </w:t>
      </w:r>
      <w:r>
        <w:rPr/>
        <w:t>AWP</w:t>
      </w:r>
      <w:r>
        <w:rPr>
          <w:spacing w:val="-3"/>
        </w:rPr>
        <w:t> </w:t>
      </w:r>
      <w:r>
        <w:rPr/>
        <w:t>ranks. Points</w:t>
      </w:r>
      <w:r>
        <w:rPr>
          <w:spacing w:val="-3"/>
        </w:rPr>
        <w:t> </w:t>
      </w:r>
      <w:r>
        <w:rPr/>
        <w:t>along</w:t>
      </w:r>
      <w:r>
        <w:rPr>
          <w:spacing w:val="-3"/>
        </w:rPr>
        <w:t> </w:t>
      </w:r>
      <w:r>
        <w:rPr/>
        <w:t>the</w:t>
      </w:r>
      <w:r>
        <w:rPr>
          <w:spacing w:val="-3"/>
        </w:rPr>
        <w:t> </w:t>
      </w:r>
      <w:r>
        <w:rPr/>
        <w:t>diagonal</w:t>
      </w:r>
      <w:r>
        <w:rPr>
          <w:spacing w:val="-3"/>
        </w:rPr>
        <w:t> </w:t>
      </w:r>
      <w:r>
        <w:rPr/>
        <w:t>would</w:t>
      </w:r>
      <w:r>
        <w:rPr>
          <w:spacing w:val="-3"/>
        </w:rPr>
        <w:t> </w:t>
      </w:r>
      <w:r>
        <w:rPr/>
        <w:t>indicate identical orderings;</w:t>
      </w:r>
      <w:r>
        <w:rPr>
          <w:spacing w:val="37"/>
        </w:rPr>
        <w:t> </w:t>
      </w:r>
      <w:r>
        <w:rPr/>
        <w:t>the observed cloud shows substantial off-diagonal mass.</w:t>
      </w:r>
      <w:r>
        <w:rPr>
          <w:spacing w:val="80"/>
        </w:rPr>
        <w:t> </w:t>
      </w:r>
      <w:r>
        <w:rPr/>
        <w:t>Wallets that rank highly under transfer centrality are not reliably the same wallets that rank highly under allowance endorsement,</w:t>
      </w:r>
      <w:r>
        <w:rPr>
          <w:spacing w:val="27"/>
        </w:rPr>
        <w:t> </w:t>
      </w:r>
      <w:r>
        <w:rPr/>
        <w:t>and vice versa.</w:t>
      </w:r>
      <w:r>
        <w:rPr>
          <w:spacing w:val="80"/>
        </w:rPr>
        <w:t> </w:t>
      </w:r>
      <w:r>
        <w:rPr/>
        <w:t>The inter-method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rPr>
        <w:t>0</w:t>
      </w:r>
      <w:r>
        <w:rPr>
          <w:rFonts w:ascii="Calibri" w:hAnsi="Calibri"/>
          <w:i/>
        </w:rPr>
        <w:t>.</w:t>
      </w:r>
      <w:r>
        <w:rPr>
          <w:rFonts w:ascii="Calibri" w:hAnsi="Calibri"/>
        </w:rPr>
        <w:t>316</w:t>
      </w:r>
      <w:r>
        <w:rPr>
          <w:rFonts w:ascii="Calibri" w:hAnsi="Calibri"/>
          <w:spacing w:val="28"/>
        </w:rPr>
        <w:t> </w:t>
      </w:r>
      <w:r>
        <w:rPr/>
        <w:t>summarizes this scatter:</w:t>
      </w:r>
      <w:r>
        <w:rPr>
          <w:spacing w:val="40"/>
        </w:rPr>
        <w:t> </w:t>
      </w:r>
      <w:r>
        <w:rPr/>
        <w:t>agreement exceeds chance, but a protocol that substitutes one ranking for the other would mis-order a large</w:t>
      </w:r>
    </w:p>
    <w:p>
      <w:pPr>
        <w:pStyle w:val="BodyText"/>
        <w:spacing w:line="396" w:lineRule="auto" w:before="25"/>
        <w:ind w:left="273" w:right="522" w:firstLine="8"/>
      </w:pPr>
      <w:r>
        <w:rPr>
          <w:i/>
        </w:rPr>
        <w:t>그림 4.7은 EndorseRank 및 AWP 점수의 한계 분포를 보여줍니다. 둘 다 희소 방향 그래프의 PageRank에서 일반적으로 나타나는 것처럼 오른쪽으로 치우쳐 있지만 모양이 동일하지는 않습니다. AWP의 질량은 밀도가 높은 전송 연산자를 반영하고, EndorseRank의 질량은 희박한 보증 연산자를 반영합니다. 왜도만으로는 발산을 증명할 수 없습니다. 두 가지 방법이 서로 다른 점수 척도에서 동일한 순서를 공유할 수 있지만 순위-순위 관계를 직접 조사하도록 동기를 부여합니다. 그림 4.8은 EndorseRank 순위와 AWP 순위를 보여줍니다. 대각선을 따라 있는 점들은 동일한 순서를 나타내며, 관측된 구름은 상당한 대각선을 벗어난 질량을 보여줍니다. 전송 중심성에서 높은 순위를 매긴 지갑은 수당 보증에서 높은 순위를 차지한 지갑과 동일하지 않으며 그 반대도 마찬가지입니다. 방법 간 τ = 0.316은 이러한 분산을 요약합니다. 일치는 우연을 초과하지만 하나의 순위를 다른 순위로 대체하는 프로토콜은 큰 순서를 잘못 지정할 것입니다.</w:t>
      </w:r>
    </w:p>
    <w:p>
      <w:pPr>
        <w:pStyle w:val="BodyText"/>
        <w:spacing w:after="0" w:line="396" w:lineRule="auto"/>
        <w:sectPr>
          <w:pgSz w:w="11910" w:h="16840"/>
          <w:pgMar w:header="0" w:footer="2115" w:top="1840" w:bottom="2300" w:left="992" w:right="708"/>
        </w:sectPr>
      </w:pPr>
    </w:p>
    <w:p>
      <w:pPr>
        <w:pStyle w:val="BodyText"/>
        <w:spacing w:before="5"/>
        <w:rPr>
          <w:sz w:val="16"/>
        </w:rPr>
      </w:pPr>
    </w:p>
    <w:p>
      <w:pPr>
        <w:pStyle w:val="BodyText"/>
        <w:spacing w:after="0"/>
        <w:rPr>
          <w:sz w:val="16"/>
        </w:rPr>
        <w:sectPr>
          <w:pgSz w:w="11910" w:h="16840"/>
          <w:pgMar w:header="0" w:footer="2115" w:top="1920" w:bottom="2300" w:left="992" w:right="708"/>
        </w:sectPr>
      </w:pPr>
    </w:p>
    <w:p>
      <w:pPr>
        <w:pStyle w:val="BodyText"/>
        <w:spacing w:before="65"/>
        <w:rPr>
          <w:sz w:val="16"/>
        </w:rPr>
      </w:pPr>
    </w:p>
    <w:p>
      <w:pPr>
        <w:spacing w:before="0"/>
        <w:ind w:left="0" w:right="39" w:firstLine="0"/>
        <w:jc w:val="right"/>
        <w:rPr>
          <w:rFonts w:ascii="Verdana"/>
          <w:sz w:val="18"/>
        </w:rPr>
      </w:pPr>
      <w:bookmarkStart w:name="_bookmark110" w:id="197"/>
      <w:bookmarkEnd w:id="197"/>
      <w:r>
        <w:rPr/>
      </w:r>
      <w:r>
        <w:rPr>
          <w:rFonts w:ascii="Verdana"/>
          <w:spacing w:val="-4"/>
          <w:sz w:val="18"/>
        </w:rPr>
        <w:t>4000</w:t>
      </w:r>
    </w:p>
    <w:p>
      <w:pPr>
        <w:spacing w:before="57"/>
        <w:ind w:left="1110" w:right="0" w:firstLine="0"/>
        <w:jc w:val="left"/>
        <w:rPr>
          <w:rFonts w:ascii="Verdana"/>
          <w:sz w:val="18"/>
        </w:rPr>
      </w:pPr>
      <w:r>
        <w:rPr/>
        <w:br w:type="column"/>
      </w:r>
      <w:r>
        <w:rPr>
          <w:rFonts w:ascii="Verdana"/>
          <w:spacing w:val="-4"/>
          <w:w w:val="95"/>
          <w:sz w:val="18"/>
        </w:rPr>
        <w:t>1750</w:t>
      </w:r>
    </w:p>
    <w:p>
      <w:pPr>
        <w:spacing w:before="190"/>
        <w:ind w:left="1110" w:right="0" w:firstLine="0"/>
        <w:jc w:val="left"/>
        <w:rPr>
          <w:rFonts w:ascii="Verdana"/>
          <w:sz w:val="18"/>
        </w:rPr>
      </w:pPr>
      <w:r>
        <w:rPr>
          <w:rFonts w:ascii="Verdana"/>
          <w:sz w:val="18"/>
        </w:rPr>
        <mc:AlternateContent>
          <mc:Choice Requires="wps">
            <w:drawing>
              <wp:anchor distT="0" distB="0" distL="0" distR="0" allowOverlap="1" layoutInCell="1" locked="0" behindDoc="0" simplePos="0" relativeHeight="15784448">
                <wp:simplePos x="0" y="0"/>
                <wp:positionH relativeFrom="page">
                  <wp:posOffset>1637673</wp:posOffset>
                </wp:positionH>
                <wp:positionV relativeFrom="paragraph">
                  <wp:posOffset>-238310</wp:posOffset>
                </wp:positionV>
                <wp:extent cx="2089785" cy="203073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089785" cy="2030730"/>
                          <a:chExt cx="2089785" cy="2030730"/>
                        </a:xfrm>
                      </wpg:grpSpPr>
                      <wps:wsp>
                        <wps:cNvPr id="734" name="Graphic 734"/>
                        <wps:cNvSpPr/>
                        <wps:spPr>
                          <a:xfrm>
                            <a:off x="129721" y="98924"/>
                            <a:ext cx="1862455" cy="1894839"/>
                          </a:xfrm>
                          <a:custGeom>
                            <a:avLst/>
                            <a:gdLst/>
                            <a:ahLst/>
                            <a:cxnLst/>
                            <a:rect l="l" t="t" r="r" b="b"/>
                            <a:pathLst>
                              <a:path w="1862455" h="1894839">
                                <a:moveTo>
                                  <a:pt x="325894" y="1892973"/>
                                </a:moveTo>
                                <a:lnTo>
                                  <a:pt x="279336" y="1892973"/>
                                </a:lnTo>
                                <a:lnTo>
                                  <a:pt x="279336" y="1893392"/>
                                </a:lnTo>
                                <a:lnTo>
                                  <a:pt x="232778" y="1893392"/>
                                </a:lnTo>
                                <a:lnTo>
                                  <a:pt x="232778" y="1892541"/>
                                </a:lnTo>
                                <a:lnTo>
                                  <a:pt x="186220" y="1892541"/>
                                </a:lnTo>
                                <a:lnTo>
                                  <a:pt x="186220" y="1892973"/>
                                </a:lnTo>
                                <a:lnTo>
                                  <a:pt x="139674" y="1892973"/>
                                </a:lnTo>
                                <a:lnTo>
                                  <a:pt x="139674" y="1890852"/>
                                </a:lnTo>
                                <a:lnTo>
                                  <a:pt x="93116" y="1890852"/>
                                </a:lnTo>
                                <a:lnTo>
                                  <a:pt x="93116" y="1891271"/>
                                </a:lnTo>
                                <a:lnTo>
                                  <a:pt x="46558" y="1891271"/>
                                </a:lnTo>
                                <a:lnTo>
                                  <a:pt x="46558" y="0"/>
                                </a:lnTo>
                                <a:lnTo>
                                  <a:pt x="0" y="0"/>
                                </a:lnTo>
                                <a:lnTo>
                                  <a:pt x="0" y="1894662"/>
                                </a:lnTo>
                                <a:lnTo>
                                  <a:pt x="46558" y="1894662"/>
                                </a:lnTo>
                                <a:lnTo>
                                  <a:pt x="93116" y="1894662"/>
                                </a:lnTo>
                                <a:lnTo>
                                  <a:pt x="325894" y="1894662"/>
                                </a:lnTo>
                                <a:lnTo>
                                  <a:pt x="325894" y="1892973"/>
                                </a:lnTo>
                                <a:close/>
                              </a:path>
                              <a:path w="1862455" h="1894839">
                                <a:moveTo>
                                  <a:pt x="605218" y="1894243"/>
                                </a:moveTo>
                                <a:lnTo>
                                  <a:pt x="558660" y="1894243"/>
                                </a:lnTo>
                                <a:lnTo>
                                  <a:pt x="512114" y="1894243"/>
                                </a:lnTo>
                                <a:lnTo>
                                  <a:pt x="512114" y="1893811"/>
                                </a:lnTo>
                                <a:lnTo>
                                  <a:pt x="465556" y="1893811"/>
                                </a:lnTo>
                                <a:lnTo>
                                  <a:pt x="465556" y="1893392"/>
                                </a:lnTo>
                                <a:lnTo>
                                  <a:pt x="418998" y="1893392"/>
                                </a:lnTo>
                                <a:lnTo>
                                  <a:pt x="372440" y="1893392"/>
                                </a:lnTo>
                                <a:lnTo>
                                  <a:pt x="372440" y="1894662"/>
                                </a:lnTo>
                                <a:lnTo>
                                  <a:pt x="418998" y="1894662"/>
                                </a:lnTo>
                                <a:lnTo>
                                  <a:pt x="465556" y="1894662"/>
                                </a:lnTo>
                                <a:lnTo>
                                  <a:pt x="512114" y="1894662"/>
                                </a:lnTo>
                                <a:lnTo>
                                  <a:pt x="558660" y="1894662"/>
                                </a:lnTo>
                                <a:lnTo>
                                  <a:pt x="605218" y="1894662"/>
                                </a:lnTo>
                                <a:lnTo>
                                  <a:pt x="605218" y="1894243"/>
                                </a:lnTo>
                                <a:close/>
                              </a:path>
                              <a:path w="1862455" h="1894839">
                                <a:moveTo>
                                  <a:pt x="837996" y="1893811"/>
                                </a:moveTo>
                                <a:lnTo>
                                  <a:pt x="791438" y="1893811"/>
                                </a:lnTo>
                                <a:lnTo>
                                  <a:pt x="791438" y="1877275"/>
                                </a:lnTo>
                                <a:lnTo>
                                  <a:pt x="744880" y="1877275"/>
                                </a:lnTo>
                                <a:lnTo>
                                  <a:pt x="744880" y="1894662"/>
                                </a:lnTo>
                                <a:lnTo>
                                  <a:pt x="791438" y="1894662"/>
                                </a:lnTo>
                                <a:lnTo>
                                  <a:pt x="837996" y="1894662"/>
                                </a:lnTo>
                                <a:lnTo>
                                  <a:pt x="837996" y="1893811"/>
                                </a:lnTo>
                                <a:close/>
                              </a:path>
                              <a:path w="1862455" h="1894839">
                                <a:moveTo>
                                  <a:pt x="931100" y="1894243"/>
                                </a:moveTo>
                                <a:lnTo>
                                  <a:pt x="884542" y="1894243"/>
                                </a:lnTo>
                                <a:lnTo>
                                  <a:pt x="884542" y="1894662"/>
                                </a:lnTo>
                                <a:lnTo>
                                  <a:pt x="931100" y="1894662"/>
                                </a:lnTo>
                                <a:lnTo>
                                  <a:pt x="931100" y="1894243"/>
                                </a:lnTo>
                                <a:close/>
                              </a:path>
                              <a:path w="1862455" h="1894839">
                                <a:moveTo>
                                  <a:pt x="1256982" y="1894243"/>
                                </a:moveTo>
                                <a:lnTo>
                                  <a:pt x="1210437" y="1894243"/>
                                </a:lnTo>
                                <a:lnTo>
                                  <a:pt x="1210437" y="1894662"/>
                                </a:lnTo>
                                <a:lnTo>
                                  <a:pt x="1256982" y="1894662"/>
                                </a:lnTo>
                                <a:lnTo>
                                  <a:pt x="1256982" y="1894243"/>
                                </a:lnTo>
                                <a:close/>
                              </a:path>
                              <a:path w="1862455" h="1894839">
                                <a:moveTo>
                                  <a:pt x="1862201" y="1894243"/>
                                </a:moveTo>
                                <a:lnTo>
                                  <a:pt x="1815642" y="1894243"/>
                                </a:lnTo>
                                <a:lnTo>
                                  <a:pt x="1815642" y="1894662"/>
                                </a:lnTo>
                                <a:lnTo>
                                  <a:pt x="1862201" y="1894662"/>
                                </a:lnTo>
                                <a:lnTo>
                                  <a:pt x="1862201" y="1894243"/>
                                </a:lnTo>
                                <a:close/>
                              </a:path>
                            </a:pathLst>
                          </a:custGeom>
                          <a:solidFill>
                            <a:srgbClr val="5A4979"/>
                          </a:solidFill>
                        </wps:spPr>
                        <wps:bodyPr wrap="square" lIns="0" tIns="0" rIns="0" bIns="0" rtlCol="0">
                          <a:prstTxWarp prst="textNoShape">
                            <a:avLst/>
                          </a:prstTxWarp>
                          <a:noAutofit/>
                        </wps:bodyPr>
                      </wps:wsp>
                      <wps:wsp>
                        <wps:cNvPr id="735" name="Graphic 735"/>
                        <wps:cNvSpPr/>
                        <wps:spPr>
                          <a:xfrm>
                            <a:off x="177252"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6" name="Graphic 736"/>
                        <wps:cNvSpPr/>
                        <wps:spPr>
                          <a:xfrm>
                            <a:off x="177252"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37" name="Graphic 737"/>
                        <wps:cNvSpPr/>
                        <wps:spPr>
                          <a:xfrm>
                            <a:off x="177252"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38" name="Graphic 738"/>
                        <wps:cNvSpPr/>
                        <wps:spPr>
                          <a:xfrm>
                            <a:off x="756065"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39" name="Graphic 739"/>
                        <wps:cNvSpPr/>
                        <wps:spPr>
                          <a:xfrm>
                            <a:off x="756065"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0" name="Graphic 740"/>
                        <wps:cNvSpPr/>
                        <wps:spPr>
                          <a:xfrm>
                            <a:off x="756065"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1" name="Graphic 741"/>
                        <wps:cNvSpPr/>
                        <wps:spPr>
                          <a:xfrm>
                            <a:off x="1334879"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2" name="Graphic 742"/>
                        <wps:cNvSpPr/>
                        <wps:spPr>
                          <a:xfrm>
                            <a:off x="1334879"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3" name="Graphic 743"/>
                        <wps:cNvSpPr/>
                        <wps:spPr>
                          <a:xfrm>
                            <a:off x="1334879"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4" name="Graphic 744"/>
                        <wps:cNvSpPr/>
                        <wps:spPr>
                          <a:xfrm>
                            <a:off x="1913692"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45" name="Graphic 745"/>
                        <wps:cNvSpPr/>
                        <wps:spPr>
                          <a:xfrm>
                            <a:off x="1913692"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46" name="Graphic 746"/>
                        <wps:cNvSpPr/>
                        <wps:spPr>
                          <a:xfrm>
                            <a:off x="1913692"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47" name="Graphic 747"/>
                        <wps:cNvSpPr/>
                        <wps:spPr>
                          <a:xfrm>
                            <a:off x="36623" y="199358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48" name="Graphic 748"/>
                        <wps:cNvSpPr/>
                        <wps:spPr>
                          <a:xfrm>
                            <a:off x="0" y="199358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49" name="Graphic 749"/>
                        <wps:cNvSpPr/>
                        <wps:spPr>
                          <a:xfrm>
                            <a:off x="0" y="199358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0" name="Graphic 750"/>
                        <wps:cNvSpPr/>
                        <wps:spPr>
                          <a:xfrm>
                            <a:off x="36623" y="1569342"/>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1" name="Graphic 751"/>
                        <wps:cNvSpPr/>
                        <wps:spPr>
                          <a:xfrm>
                            <a:off x="0" y="1569342"/>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2" name="Graphic 752"/>
                        <wps:cNvSpPr/>
                        <wps:spPr>
                          <a:xfrm>
                            <a:off x="0" y="1569342"/>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3" name="Graphic 753"/>
                        <wps:cNvSpPr/>
                        <wps:spPr>
                          <a:xfrm>
                            <a:off x="36623" y="1145100"/>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4" name="Graphic 754"/>
                        <wps:cNvSpPr/>
                        <wps:spPr>
                          <a:xfrm>
                            <a:off x="0" y="1145100"/>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5" name="Graphic 755"/>
                        <wps:cNvSpPr/>
                        <wps:spPr>
                          <a:xfrm>
                            <a:off x="0" y="1145100"/>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6" name="Graphic 756"/>
                        <wps:cNvSpPr/>
                        <wps:spPr>
                          <a:xfrm>
                            <a:off x="36623" y="720857"/>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57" name="Graphic 757"/>
                        <wps:cNvSpPr/>
                        <wps:spPr>
                          <a:xfrm>
                            <a:off x="0" y="720857"/>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58" name="Graphic 758"/>
                        <wps:cNvSpPr/>
                        <wps:spPr>
                          <a:xfrm>
                            <a:off x="0" y="720857"/>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59" name="Graphic 759"/>
                        <wps:cNvSpPr/>
                        <wps:spPr>
                          <a:xfrm>
                            <a:off x="36623" y="296615"/>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60" name="Graphic 760"/>
                        <wps:cNvSpPr/>
                        <wps:spPr>
                          <a:xfrm>
                            <a:off x="0" y="296615"/>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61" name="Graphic 761"/>
                        <wps:cNvSpPr/>
                        <wps:spPr>
                          <a:xfrm>
                            <a:off x="0" y="296615"/>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62" name="Graphic 762"/>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763" name="Textbox 763"/>
                        <wps:cNvSpPr txBox="1"/>
                        <wps:spPr>
                          <a:xfrm>
                            <a:off x="1329908" y="95637"/>
                            <a:ext cx="732155" cy="103505"/>
                          </a:xfrm>
                          <a:prstGeom prst="rect">
                            <a:avLst/>
                          </a:prstGeom>
                        </wps:spPr>
                        <wps:txbx>
                          <w:txbxContent>
                            <w:p>
                              <w:pPr>
                                <w:spacing w:line="162" w:lineRule="exact" w:before="0"/>
                                <w:ind w:left="0" w:right="0" w:firstLine="0"/>
                                <w:jc w:val="left"/>
                                <w:rPr>
                                  <w:rFonts w:ascii="Verdana"/>
                                  <w:sz w:val="18"/>
                                </w:rPr>
                              </w:pPr>
                              <w:r>
                                <w:rPr>
                                  <w:rFonts w:ascii="Verdana"/>
                                  <w:spacing w:val="-5"/>
                                  <w:sz w:val="18"/>
                                </w:rPr>
                                <w:t>EndorseRank</w:t>
                              </w:r>
                            </w:p>
                          </w:txbxContent>
                        </wps:txbx>
                        <wps:bodyPr wrap="square" lIns="0" tIns="0" rIns="0" bIns="0" rtlCol="0">
                          <a:noAutofit/>
                        </wps:bodyPr>
                      </wps:wsp>
                    </wpg:wgp>
                  </a:graphicData>
                </a:graphic>
              </wp:anchor>
            </w:drawing>
          </mc:Choice>
          <mc:Fallback>
            <w:pict>
              <v:group style="position:absolute;margin-left:128.950668pt;margin-top:-18.764597pt;width:164.55pt;height:159.9pt;mso-position-horizontal-relative:page;mso-position-vertical-relative:paragraph;z-index:15784448" id="docshapegroup500" coordorigin="2579,-375" coordsize="3291,3198">
                <v:shape style="position:absolute;left:2783;top:-220;width:2933;height:2984" id="docshape501" coordorigin="2783,-220" coordsize="2933,2984" path="m3297,2762l3223,2762,3223,2762,3150,2762,3150,2761,3077,2761,3077,2762,3003,2762,3003,2758,2930,2758,2930,2759,2857,2759,2857,-220,2783,-220,2783,2764,2857,2764,2930,2764,3003,2764,3077,2764,3150,2764,3223,2764,3297,2764,3297,2762xm3736,2764l3663,2764,3590,2764,3590,2763,3516,2763,3516,2762,3443,2762,3370,2762,3370,2764,3443,2764,3516,2764,3590,2764,3663,2764,3736,2764,3736,2764xm4103,2763l4030,2763,4030,2737,3956,2737,3956,2764,4030,2764,4103,2764,4103,2763xm4250,2764l4176,2764,4176,2764,4250,2764,4250,2764xm4763,2764l4690,2764,4690,2764,4763,2764,4763,2764xm5716,2764l5643,2764,5643,2764,5716,2764,5716,2764xe" filled="true" fillcolor="#5a4979" stroked="false">
                  <v:path arrowok="t"/>
                  <v:fill type="solid"/>
                </v:shape>
                <v:line style="position:absolute" from="2858,2764" to="2858,-369" stroked="true" strokeweight=".659144pt" strokecolor="#afafaf">
                  <v:stroke dashstyle="solid"/>
                </v:line>
                <v:shape style="position:absolute;left:2858;top:2764;width:2;height:58" id="docshape502" coordorigin="2858,2764" coordsize="0,58" path="m2858,2764l2858,2822e" filled="true" fillcolor="#000000" stroked="false">
                  <v:path arrowok="t"/>
                  <v:fill type="solid"/>
                </v:shape>
                <v:line style="position:absolute" from="2858,2764" to="2858,2822" stroked="true" strokeweight=".659144pt" strokecolor="#000000">
                  <v:stroke dashstyle="solid"/>
                </v:line>
                <v:line style="position:absolute" from="3770,2764" to="3770,-369" stroked="true" strokeweight=".659144pt" strokecolor="#afafaf">
                  <v:stroke dashstyle="solid"/>
                </v:line>
                <v:shape style="position:absolute;left:3769;top:2764;width:2;height:58" id="docshape503" coordorigin="3770,2764" coordsize="0,58" path="m3770,2764l3770,2822e" filled="true" fillcolor="#000000" stroked="false">
                  <v:path arrowok="t"/>
                  <v:fill type="solid"/>
                </v:shape>
                <v:line style="position:absolute" from="3770,2764" to="3770,2822" stroked="true" strokeweight=".659144pt" strokecolor="#000000">
                  <v:stroke dashstyle="solid"/>
                </v:line>
                <v:line style="position:absolute" from="4681,2764" to="4681,-369" stroked="true" strokeweight=".659144pt" strokecolor="#afafaf">
                  <v:stroke dashstyle="solid"/>
                </v:line>
                <v:shape style="position:absolute;left:4681;top:2764;width:2;height:58" id="docshape504" coordorigin="4681,2764" coordsize="0,58" path="m4681,2764l4681,2822e" filled="true" fillcolor="#000000" stroked="false">
                  <v:path arrowok="t"/>
                  <v:fill type="solid"/>
                </v:shape>
                <v:line style="position:absolute" from="4681,2764" to="4681,2822" stroked="true" strokeweight=".659144pt" strokecolor="#000000">
                  <v:stroke dashstyle="solid"/>
                </v:line>
                <v:line style="position:absolute" from="5593,2764" to="5593,-369" stroked="true" strokeweight=".659144pt" strokecolor="#afafaf">
                  <v:stroke dashstyle="solid"/>
                </v:line>
                <v:shape style="position:absolute;left:5592;top:2764;width:2;height:58" id="docshape505" coordorigin="5593,2764" coordsize="0,58" path="m5593,2764l5593,2822e" filled="true" fillcolor="#000000" stroked="false">
                  <v:path arrowok="t"/>
                  <v:fill type="solid"/>
                </v:shape>
                <v:line style="position:absolute" from="5593,2764" to="5593,2822" stroked="true" strokeweight=".659144pt" strokecolor="#000000">
                  <v:stroke dashstyle="solid"/>
                </v:line>
                <v:line style="position:absolute" from="2637,2764" to="5863,2764" stroked="true" strokeweight=".659144pt" strokecolor="#afafaf">
                  <v:stroke dashstyle="solid"/>
                </v:line>
                <v:shape style="position:absolute;left:2579;top:2764;width:58;height:2" id="docshape506" coordorigin="2579,2764" coordsize="58,0" path="m2637,2764l2579,2764e" filled="true" fillcolor="#000000" stroked="false">
                  <v:path arrowok="t"/>
                  <v:fill type="solid"/>
                </v:shape>
                <v:line style="position:absolute" from="2637,2764" to="2579,2764" stroked="true" strokeweight=".659144pt" strokecolor="#000000">
                  <v:stroke dashstyle="solid"/>
                </v:line>
                <v:line style="position:absolute" from="2637,2096" to="5863,2096" stroked="true" strokeweight=".659144pt" strokecolor="#afafaf">
                  <v:stroke dashstyle="solid"/>
                </v:line>
                <v:shape style="position:absolute;left:2579;top:2096;width:58;height:2" id="docshape507" coordorigin="2579,2096" coordsize="58,0" path="m2637,2096l2579,2096e" filled="true" fillcolor="#000000" stroked="false">
                  <v:path arrowok="t"/>
                  <v:fill type="solid"/>
                </v:shape>
                <v:line style="position:absolute" from="2637,2096" to="2579,2096" stroked="true" strokeweight=".659144pt" strokecolor="#000000">
                  <v:stroke dashstyle="solid"/>
                </v:line>
                <v:line style="position:absolute" from="2637,1428" to="5863,1428" stroked="true" strokeweight=".659144pt" strokecolor="#afafaf">
                  <v:stroke dashstyle="solid"/>
                </v:line>
                <v:shape style="position:absolute;left:2579;top:1428;width:58;height:2" id="docshape508" coordorigin="2579,1428" coordsize="58,0" path="m2637,1428l2579,1428e" filled="true" fillcolor="#000000" stroked="false">
                  <v:path arrowok="t"/>
                  <v:fill type="solid"/>
                </v:shape>
                <v:line style="position:absolute" from="2637,1428" to="2579,1428" stroked="true" strokeweight=".659144pt" strokecolor="#000000">
                  <v:stroke dashstyle="solid"/>
                </v:line>
                <v:line style="position:absolute" from="2637,760" to="5863,760" stroked="true" strokeweight=".659144pt" strokecolor="#afafaf">
                  <v:stroke dashstyle="solid"/>
                </v:line>
                <v:shape style="position:absolute;left:2579;top:759;width:58;height:2" id="docshape509" coordorigin="2579,760" coordsize="58,0" path="m2637,760l2579,760e" filled="true" fillcolor="#000000" stroked="false">
                  <v:path arrowok="t"/>
                  <v:fill type="solid"/>
                </v:shape>
                <v:line style="position:absolute" from="2637,760" to="2579,760" stroked="true" strokeweight=".659144pt" strokecolor="#000000">
                  <v:stroke dashstyle="solid"/>
                </v:line>
                <v:line style="position:absolute" from="2637,92" to="5863,92" stroked="true" strokeweight=".659144pt" strokecolor="#afafaf">
                  <v:stroke dashstyle="solid"/>
                </v:line>
                <v:shape style="position:absolute;left:2579;top:91;width:58;height:2" id="docshape510" coordorigin="2579,92" coordsize="58,0" path="m2637,92l2579,92e" filled="true" fillcolor="#000000" stroked="false">
                  <v:path arrowok="t"/>
                  <v:fill type="solid"/>
                </v:shape>
                <v:line style="position:absolute" from="2637,92" to="2579,92" stroked="true" strokeweight=".659144pt" strokecolor="#000000">
                  <v:stroke dashstyle="solid"/>
                </v:line>
                <v:shape style="position:absolute;left:2636;top:-369;width:3226;height:3133" id="docshape511" coordorigin="2637,-369" coordsize="3226,3133" path="m2637,2764l2637,-369m5863,2764l5863,-369m2637,2764l5863,2764m2637,-369l5863,-369e" filled="false" stroked="true" strokeweight=".659144pt" strokecolor="#000000">
                  <v:path arrowok="t"/>
                  <v:stroke dashstyle="solid"/>
                </v:shape>
                <v:shape style="position:absolute;left:4673;top:-225;width:1153;height:163" type="#_x0000_t202" id="docshape512" filled="false" stroked="false">
                  <v:textbox inset="0,0,0,0">
                    <w:txbxContent>
                      <w:p>
                        <w:pPr>
                          <w:spacing w:line="162" w:lineRule="exact" w:before="0"/>
                          <w:ind w:left="0" w:right="0" w:firstLine="0"/>
                          <w:jc w:val="left"/>
                          <w:rPr>
                            <w:rFonts w:ascii="Verdana"/>
                            <w:sz w:val="18"/>
                          </w:rPr>
                        </w:pPr>
                        <w:r>
                          <w:rPr>
                            <w:rFonts w:ascii="Verdana"/>
                            <w:spacing w:val="-5"/>
                            <w:sz w:val="18"/>
                          </w:rPr>
                          <w:t>EndorseRank</w:t>
                        </w:r>
                      </w:p>
                    </w:txbxContent>
                  </v:textbox>
                  <w10:wrap type="none"/>
                </v:shape>
                <w10:wrap type="none"/>
              </v:group>
            </w:pict>
          </mc:Fallback>
        </mc:AlternateContent>
      </w:r>
      <w:r>
        <w:rPr>
          <w:rFonts w:ascii="Verdana"/>
          <w:sz w:val="18"/>
        </w:rPr>
        <mc:AlternateContent>
          <mc:Choice Requires="wps">
            <w:drawing>
              <wp:anchor distT="0" distB="0" distL="0" distR="0" allowOverlap="1" layoutInCell="1" locked="0" behindDoc="0" simplePos="0" relativeHeight="15784960">
                <wp:simplePos x="0" y="0"/>
                <wp:positionH relativeFrom="page">
                  <wp:posOffset>4293414</wp:posOffset>
                </wp:positionH>
                <wp:positionV relativeFrom="paragraph">
                  <wp:posOffset>-238310</wp:posOffset>
                </wp:positionV>
                <wp:extent cx="2089785" cy="2030730"/>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2089785" cy="2030730"/>
                          <a:chExt cx="2089785" cy="2030730"/>
                        </a:xfrm>
                      </wpg:grpSpPr>
                      <wps:wsp>
                        <wps:cNvPr id="765" name="Graphic 765"/>
                        <wps:cNvSpPr/>
                        <wps:spPr>
                          <a:xfrm>
                            <a:off x="129729" y="98924"/>
                            <a:ext cx="1862455" cy="1894839"/>
                          </a:xfrm>
                          <a:custGeom>
                            <a:avLst/>
                            <a:gdLst/>
                            <a:ahLst/>
                            <a:cxnLst/>
                            <a:rect l="l" t="t" r="r" b="b"/>
                            <a:pathLst>
                              <a:path w="1862455" h="1894839">
                                <a:moveTo>
                                  <a:pt x="1396644" y="1891550"/>
                                </a:moveTo>
                                <a:lnTo>
                                  <a:pt x="1350086" y="1891550"/>
                                </a:lnTo>
                                <a:lnTo>
                                  <a:pt x="1350086" y="1890509"/>
                                </a:lnTo>
                                <a:lnTo>
                                  <a:pt x="1303540" y="1890509"/>
                                </a:lnTo>
                                <a:lnTo>
                                  <a:pt x="1256982" y="1890509"/>
                                </a:lnTo>
                                <a:lnTo>
                                  <a:pt x="1256982" y="1893620"/>
                                </a:lnTo>
                                <a:lnTo>
                                  <a:pt x="1210424" y="1893620"/>
                                </a:lnTo>
                                <a:lnTo>
                                  <a:pt x="1210424" y="1891550"/>
                                </a:lnTo>
                                <a:lnTo>
                                  <a:pt x="1163866" y="1891550"/>
                                </a:lnTo>
                                <a:lnTo>
                                  <a:pt x="1117320" y="1891550"/>
                                </a:lnTo>
                                <a:lnTo>
                                  <a:pt x="1117320" y="1890509"/>
                                </a:lnTo>
                                <a:lnTo>
                                  <a:pt x="1070762" y="1890509"/>
                                </a:lnTo>
                                <a:lnTo>
                                  <a:pt x="1070762" y="1881149"/>
                                </a:lnTo>
                                <a:lnTo>
                                  <a:pt x="1024204" y="1881149"/>
                                </a:lnTo>
                                <a:lnTo>
                                  <a:pt x="1024204" y="1887385"/>
                                </a:lnTo>
                                <a:lnTo>
                                  <a:pt x="977646" y="1887385"/>
                                </a:lnTo>
                                <a:lnTo>
                                  <a:pt x="931100" y="1887385"/>
                                </a:lnTo>
                                <a:lnTo>
                                  <a:pt x="931100" y="1872843"/>
                                </a:lnTo>
                                <a:lnTo>
                                  <a:pt x="884542" y="1872843"/>
                                </a:lnTo>
                                <a:lnTo>
                                  <a:pt x="884542" y="1867649"/>
                                </a:lnTo>
                                <a:lnTo>
                                  <a:pt x="837984" y="1867649"/>
                                </a:lnTo>
                                <a:lnTo>
                                  <a:pt x="837984" y="1864525"/>
                                </a:lnTo>
                                <a:lnTo>
                                  <a:pt x="791425" y="1864525"/>
                                </a:lnTo>
                                <a:lnTo>
                                  <a:pt x="791425" y="1851012"/>
                                </a:lnTo>
                                <a:lnTo>
                                  <a:pt x="744880" y="1851012"/>
                                </a:lnTo>
                                <a:lnTo>
                                  <a:pt x="744880" y="1846859"/>
                                </a:lnTo>
                                <a:lnTo>
                                  <a:pt x="698322" y="1846859"/>
                                </a:lnTo>
                                <a:lnTo>
                                  <a:pt x="698322" y="1831263"/>
                                </a:lnTo>
                                <a:lnTo>
                                  <a:pt x="651764" y="1831263"/>
                                </a:lnTo>
                                <a:lnTo>
                                  <a:pt x="651764" y="1813598"/>
                                </a:lnTo>
                                <a:lnTo>
                                  <a:pt x="605205" y="1813598"/>
                                </a:lnTo>
                                <a:lnTo>
                                  <a:pt x="605205" y="1781378"/>
                                </a:lnTo>
                                <a:lnTo>
                                  <a:pt x="558660" y="1781378"/>
                                </a:lnTo>
                                <a:lnTo>
                                  <a:pt x="558660" y="1775142"/>
                                </a:lnTo>
                                <a:lnTo>
                                  <a:pt x="512102" y="1775142"/>
                                </a:lnTo>
                                <a:lnTo>
                                  <a:pt x="512102" y="1755394"/>
                                </a:lnTo>
                                <a:lnTo>
                                  <a:pt x="465543" y="1755394"/>
                                </a:lnTo>
                                <a:lnTo>
                                  <a:pt x="465543" y="1733575"/>
                                </a:lnTo>
                                <a:lnTo>
                                  <a:pt x="418985" y="1733575"/>
                                </a:lnTo>
                                <a:lnTo>
                                  <a:pt x="418985" y="1682648"/>
                                </a:lnTo>
                                <a:lnTo>
                                  <a:pt x="372440" y="1682648"/>
                                </a:lnTo>
                                <a:lnTo>
                                  <a:pt x="372440" y="1683689"/>
                                </a:lnTo>
                                <a:lnTo>
                                  <a:pt x="325882" y="1683689"/>
                                </a:lnTo>
                                <a:lnTo>
                                  <a:pt x="325882" y="1620291"/>
                                </a:lnTo>
                                <a:lnTo>
                                  <a:pt x="279323" y="1620291"/>
                                </a:lnTo>
                                <a:lnTo>
                                  <a:pt x="279323" y="1595348"/>
                                </a:lnTo>
                                <a:lnTo>
                                  <a:pt x="232778" y="1595348"/>
                                </a:lnTo>
                                <a:lnTo>
                                  <a:pt x="232778" y="1512201"/>
                                </a:lnTo>
                                <a:lnTo>
                                  <a:pt x="186220" y="1512201"/>
                                </a:lnTo>
                                <a:lnTo>
                                  <a:pt x="186220" y="1585988"/>
                                </a:lnTo>
                                <a:lnTo>
                                  <a:pt x="139661" y="1585988"/>
                                </a:lnTo>
                                <a:lnTo>
                                  <a:pt x="139661" y="1358379"/>
                                </a:lnTo>
                                <a:lnTo>
                                  <a:pt x="93103" y="1358379"/>
                                </a:lnTo>
                                <a:lnTo>
                                  <a:pt x="93103" y="1575600"/>
                                </a:lnTo>
                                <a:lnTo>
                                  <a:pt x="46558" y="1575600"/>
                                </a:lnTo>
                                <a:lnTo>
                                  <a:pt x="46558" y="0"/>
                                </a:lnTo>
                                <a:lnTo>
                                  <a:pt x="0" y="0"/>
                                </a:lnTo>
                                <a:lnTo>
                                  <a:pt x="0" y="1894662"/>
                                </a:lnTo>
                                <a:lnTo>
                                  <a:pt x="46558" y="1894662"/>
                                </a:lnTo>
                                <a:lnTo>
                                  <a:pt x="93103" y="1894662"/>
                                </a:lnTo>
                                <a:lnTo>
                                  <a:pt x="1396644" y="1894662"/>
                                </a:lnTo>
                                <a:lnTo>
                                  <a:pt x="1396644" y="1891550"/>
                                </a:lnTo>
                                <a:close/>
                              </a:path>
                              <a:path w="1862455" h="1894839">
                                <a:moveTo>
                                  <a:pt x="1536306" y="1893620"/>
                                </a:moveTo>
                                <a:lnTo>
                                  <a:pt x="1489760" y="1893620"/>
                                </a:lnTo>
                                <a:lnTo>
                                  <a:pt x="1443202" y="1893620"/>
                                </a:lnTo>
                                <a:lnTo>
                                  <a:pt x="1443202" y="1894662"/>
                                </a:lnTo>
                                <a:lnTo>
                                  <a:pt x="1489760" y="1894662"/>
                                </a:lnTo>
                                <a:lnTo>
                                  <a:pt x="1536306" y="1894662"/>
                                </a:lnTo>
                                <a:lnTo>
                                  <a:pt x="1536306" y="1893620"/>
                                </a:lnTo>
                                <a:close/>
                              </a:path>
                              <a:path w="1862455" h="1894839">
                                <a:moveTo>
                                  <a:pt x="1675968" y="1893620"/>
                                </a:moveTo>
                                <a:lnTo>
                                  <a:pt x="1629422" y="1893620"/>
                                </a:lnTo>
                                <a:lnTo>
                                  <a:pt x="1582864" y="1893620"/>
                                </a:lnTo>
                                <a:lnTo>
                                  <a:pt x="1582864" y="1894662"/>
                                </a:lnTo>
                                <a:lnTo>
                                  <a:pt x="1629422" y="1894662"/>
                                </a:lnTo>
                                <a:lnTo>
                                  <a:pt x="1675968" y="1894662"/>
                                </a:lnTo>
                                <a:lnTo>
                                  <a:pt x="1675968" y="1893620"/>
                                </a:lnTo>
                                <a:close/>
                              </a:path>
                              <a:path w="1862455" h="1894839">
                                <a:moveTo>
                                  <a:pt x="1862188" y="1893620"/>
                                </a:moveTo>
                                <a:lnTo>
                                  <a:pt x="1815642" y="1893620"/>
                                </a:lnTo>
                                <a:lnTo>
                                  <a:pt x="1815642" y="1894662"/>
                                </a:lnTo>
                                <a:lnTo>
                                  <a:pt x="1862188" y="1894662"/>
                                </a:lnTo>
                                <a:lnTo>
                                  <a:pt x="1862188" y="1893620"/>
                                </a:lnTo>
                                <a:close/>
                              </a:path>
                            </a:pathLst>
                          </a:custGeom>
                          <a:solidFill>
                            <a:srgbClr val="5A4979"/>
                          </a:solidFill>
                        </wps:spPr>
                        <wps:bodyPr wrap="square" lIns="0" tIns="0" rIns="0" bIns="0" rtlCol="0">
                          <a:prstTxWarp prst="textNoShape">
                            <a:avLst/>
                          </a:prstTxWarp>
                          <a:noAutofit/>
                        </wps:bodyPr>
                      </wps:wsp>
                      <wps:wsp>
                        <wps:cNvPr id="766" name="Graphic 766"/>
                        <wps:cNvSpPr/>
                        <wps:spPr>
                          <a:xfrm>
                            <a:off x="179683"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67" name="Graphic 767"/>
                        <wps:cNvSpPr/>
                        <wps:spPr>
                          <a:xfrm>
                            <a:off x="179683"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68" name="Graphic 768"/>
                        <wps:cNvSpPr/>
                        <wps:spPr>
                          <a:xfrm>
                            <a:off x="179683"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69" name="Graphic 769"/>
                        <wps:cNvSpPr/>
                        <wps:spPr>
                          <a:xfrm>
                            <a:off x="657075"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0" name="Graphic 770"/>
                        <wps:cNvSpPr/>
                        <wps:spPr>
                          <a:xfrm>
                            <a:off x="657075"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1" name="Graphic 771"/>
                        <wps:cNvSpPr/>
                        <wps:spPr>
                          <a:xfrm>
                            <a:off x="657075"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2" name="Graphic 772"/>
                        <wps:cNvSpPr/>
                        <wps:spPr>
                          <a:xfrm>
                            <a:off x="1134466"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3" name="Graphic 773"/>
                        <wps:cNvSpPr/>
                        <wps:spPr>
                          <a:xfrm>
                            <a:off x="1134466"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4" name="Graphic 774"/>
                        <wps:cNvSpPr/>
                        <wps:spPr>
                          <a:xfrm>
                            <a:off x="1134466"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5" name="Graphic 775"/>
                        <wps:cNvSpPr/>
                        <wps:spPr>
                          <a:xfrm>
                            <a:off x="1611857" y="4185"/>
                            <a:ext cx="1270" cy="1989455"/>
                          </a:xfrm>
                          <a:custGeom>
                            <a:avLst/>
                            <a:gdLst/>
                            <a:ahLst/>
                            <a:cxnLst/>
                            <a:rect l="l" t="t" r="r" b="b"/>
                            <a:pathLst>
                              <a:path w="0" h="1989455">
                                <a:moveTo>
                                  <a:pt x="0" y="1989398"/>
                                </a:moveTo>
                                <a:lnTo>
                                  <a:pt x="0" y="0"/>
                                </a:lnTo>
                              </a:path>
                            </a:pathLst>
                          </a:custGeom>
                          <a:ln w="8371">
                            <a:solidFill>
                              <a:srgbClr val="AFAFAF"/>
                            </a:solidFill>
                            <a:prstDash val="solid"/>
                          </a:ln>
                        </wps:spPr>
                        <wps:bodyPr wrap="square" lIns="0" tIns="0" rIns="0" bIns="0" rtlCol="0">
                          <a:prstTxWarp prst="textNoShape">
                            <a:avLst/>
                          </a:prstTxWarp>
                          <a:noAutofit/>
                        </wps:bodyPr>
                      </wps:wsp>
                      <wps:wsp>
                        <wps:cNvPr id="776" name="Graphic 776"/>
                        <wps:cNvSpPr/>
                        <wps:spPr>
                          <a:xfrm>
                            <a:off x="1611857" y="1993584"/>
                            <a:ext cx="1270" cy="36830"/>
                          </a:xfrm>
                          <a:custGeom>
                            <a:avLst/>
                            <a:gdLst/>
                            <a:ahLst/>
                            <a:cxnLst/>
                            <a:rect l="l" t="t" r="r" b="b"/>
                            <a:pathLst>
                              <a:path w="0" h="36830">
                                <a:moveTo>
                                  <a:pt x="0" y="0"/>
                                </a:moveTo>
                                <a:lnTo>
                                  <a:pt x="0" y="36623"/>
                                </a:lnTo>
                              </a:path>
                            </a:pathLst>
                          </a:custGeom>
                          <a:solidFill>
                            <a:srgbClr val="000000"/>
                          </a:solidFill>
                        </wps:spPr>
                        <wps:bodyPr wrap="square" lIns="0" tIns="0" rIns="0" bIns="0" rtlCol="0">
                          <a:prstTxWarp prst="textNoShape">
                            <a:avLst/>
                          </a:prstTxWarp>
                          <a:noAutofit/>
                        </wps:bodyPr>
                      </wps:wsp>
                      <wps:wsp>
                        <wps:cNvPr id="777" name="Graphic 777"/>
                        <wps:cNvSpPr/>
                        <wps:spPr>
                          <a:xfrm>
                            <a:off x="1611857" y="1993584"/>
                            <a:ext cx="1270" cy="36830"/>
                          </a:xfrm>
                          <a:custGeom>
                            <a:avLst/>
                            <a:gdLst/>
                            <a:ahLst/>
                            <a:cxnLst/>
                            <a:rect l="l" t="t" r="r" b="b"/>
                            <a:pathLst>
                              <a:path w="0" h="36830">
                                <a:moveTo>
                                  <a:pt x="0" y="0"/>
                                </a:moveTo>
                                <a:lnTo>
                                  <a:pt x="0" y="36623"/>
                                </a:lnTo>
                              </a:path>
                            </a:pathLst>
                          </a:custGeom>
                          <a:ln w="8371">
                            <a:solidFill>
                              <a:srgbClr val="000000"/>
                            </a:solidFill>
                            <a:prstDash val="solid"/>
                          </a:ln>
                        </wps:spPr>
                        <wps:bodyPr wrap="square" lIns="0" tIns="0" rIns="0" bIns="0" rtlCol="0">
                          <a:prstTxWarp prst="textNoShape">
                            <a:avLst/>
                          </a:prstTxWarp>
                          <a:noAutofit/>
                        </wps:bodyPr>
                      </wps:wsp>
                      <wps:wsp>
                        <wps:cNvPr id="778" name="Graphic 778"/>
                        <wps:cNvSpPr/>
                        <wps:spPr>
                          <a:xfrm>
                            <a:off x="36623" y="199358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79" name="Graphic 779"/>
                        <wps:cNvSpPr/>
                        <wps:spPr>
                          <a:xfrm>
                            <a:off x="0" y="199358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0" name="Graphic 780"/>
                        <wps:cNvSpPr/>
                        <wps:spPr>
                          <a:xfrm>
                            <a:off x="0" y="199358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1" name="Graphic 781"/>
                        <wps:cNvSpPr/>
                        <wps:spPr>
                          <a:xfrm>
                            <a:off x="36623" y="1733756"/>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2" name="Graphic 782"/>
                        <wps:cNvSpPr/>
                        <wps:spPr>
                          <a:xfrm>
                            <a:off x="0" y="1733756"/>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3" name="Graphic 783"/>
                        <wps:cNvSpPr/>
                        <wps:spPr>
                          <a:xfrm>
                            <a:off x="0" y="1733756"/>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4" name="Graphic 784"/>
                        <wps:cNvSpPr/>
                        <wps:spPr>
                          <a:xfrm>
                            <a:off x="36623" y="1473928"/>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5" name="Graphic 785"/>
                        <wps:cNvSpPr/>
                        <wps:spPr>
                          <a:xfrm>
                            <a:off x="0" y="1473928"/>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6" name="Graphic 786"/>
                        <wps:cNvSpPr/>
                        <wps:spPr>
                          <a:xfrm>
                            <a:off x="0" y="1473928"/>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87" name="Graphic 787"/>
                        <wps:cNvSpPr/>
                        <wps:spPr>
                          <a:xfrm>
                            <a:off x="36623" y="1214100"/>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88" name="Graphic 788"/>
                        <wps:cNvSpPr/>
                        <wps:spPr>
                          <a:xfrm>
                            <a:off x="0" y="1214100"/>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89" name="Graphic 789"/>
                        <wps:cNvSpPr/>
                        <wps:spPr>
                          <a:xfrm>
                            <a:off x="0" y="1214100"/>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0" name="Graphic 790"/>
                        <wps:cNvSpPr/>
                        <wps:spPr>
                          <a:xfrm>
                            <a:off x="36623" y="954272"/>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1" name="Graphic 791"/>
                        <wps:cNvSpPr/>
                        <wps:spPr>
                          <a:xfrm>
                            <a:off x="0" y="954272"/>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2" name="Graphic 792"/>
                        <wps:cNvSpPr/>
                        <wps:spPr>
                          <a:xfrm>
                            <a:off x="0" y="954272"/>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3" name="Graphic 793"/>
                        <wps:cNvSpPr/>
                        <wps:spPr>
                          <a:xfrm>
                            <a:off x="36623" y="694444"/>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4" name="Graphic 794"/>
                        <wps:cNvSpPr/>
                        <wps:spPr>
                          <a:xfrm>
                            <a:off x="0" y="694444"/>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5" name="Graphic 795"/>
                        <wps:cNvSpPr/>
                        <wps:spPr>
                          <a:xfrm>
                            <a:off x="0" y="694444"/>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6" name="Graphic 796"/>
                        <wps:cNvSpPr/>
                        <wps:spPr>
                          <a:xfrm>
                            <a:off x="36623" y="434616"/>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797" name="Graphic 797"/>
                        <wps:cNvSpPr/>
                        <wps:spPr>
                          <a:xfrm>
                            <a:off x="0" y="434616"/>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798" name="Graphic 798"/>
                        <wps:cNvSpPr/>
                        <wps:spPr>
                          <a:xfrm>
                            <a:off x="0" y="434616"/>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799" name="Graphic 799"/>
                        <wps:cNvSpPr/>
                        <wps:spPr>
                          <a:xfrm>
                            <a:off x="36623" y="174788"/>
                            <a:ext cx="2048510" cy="1270"/>
                          </a:xfrm>
                          <a:custGeom>
                            <a:avLst/>
                            <a:gdLst/>
                            <a:ahLst/>
                            <a:cxnLst/>
                            <a:rect l="l" t="t" r="r" b="b"/>
                            <a:pathLst>
                              <a:path w="2048510" h="0">
                                <a:moveTo>
                                  <a:pt x="0" y="0"/>
                                </a:moveTo>
                                <a:lnTo>
                                  <a:pt x="2048415" y="0"/>
                                </a:lnTo>
                              </a:path>
                            </a:pathLst>
                          </a:custGeom>
                          <a:ln w="8371">
                            <a:solidFill>
                              <a:srgbClr val="AFAFAF"/>
                            </a:solidFill>
                            <a:prstDash val="solid"/>
                          </a:ln>
                        </wps:spPr>
                        <wps:bodyPr wrap="square" lIns="0" tIns="0" rIns="0" bIns="0" rtlCol="0">
                          <a:prstTxWarp prst="textNoShape">
                            <a:avLst/>
                          </a:prstTxWarp>
                          <a:noAutofit/>
                        </wps:bodyPr>
                      </wps:wsp>
                      <wps:wsp>
                        <wps:cNvPr id="800" name="Graphic 800"/>
                        <wps:cNvSpPr/>
                        <wps:spPr>
                          <a:xfrm>
                            <a:off x="0" y="174788"/>
                            <a:ext cx="36830" cy="1270"/>
                          </a:xfrm>
                          <a:custGeom>
                            <a:avLst/>
                            <a:gdLst/>
                            <a:ahLst/>
                            <a:cxnLst/>
                            <a:rect l="l" t="t" r="r" b="b"/>
                            <a:pathLst>
                              <a:path w="36830" h="0">
                                <a:moveTo>
                                  <a:pt x="36623" y="0"/>
                                </a:moveTo>
                                <a:lnTo>
                                  <a:pt x="0" y="0"/>
                                </a:lnTo>
                              </a:path>
                            </a:pathLst>
                          </a:custGeom>
                          <a:solidFill>
                            <a:srgbClr val="000000"/>
                          </a:solidFill>
                        </wps:spPr>
                        <wps:bodyPr wrap="square" lIns="0" tIns="0" rIns="0" bIns="0" rtlCol="0">
                          <a:prstTxWarp prst="textNoShape">
                            <a:avLst/>
                          </a:prstTxWarp>
                          <a:noAutofit/>
                        </wps:bodyPr>
                      </wps:wsp>
                      <wps:wsp>
                        <wps:cNvPr id="801" name="Graphic 801"/>
                        <wps:cNvSpPr/>
                        <wps:spPr>
                          <a:xfrm>
                            <a:off x="0" y="174788"/>
                            <a:ext cx="36830" cy="1270"/>
                          </a:xfrm>
                          <a:custGeom>
                            <a:avLst/>
                            <a:gdLst/>
                            <a:ahLst/>
                            <a:cxnLst/>
                            <a:rect l="l" t="t" r="r" b="b"/>
                            <a:pathLst>
                              <a:path w="36830" h="0">
                                <a:moveTo>
                                  <a:pt x="36623" y="0"/>
                                </a:moveTo>
                                <a:lnTo>
                                  <a:pt x="0" y="0"/>
                                </a:lnTo>
                              </a:path>
                            </a:pathLst>
                          </a:custGeom>
                          <a:ln w="8371">
                            <a:solidFill>
                              <a:srgbClr val="000000"/>
                            </a:solidFill>
                            <a:prstDash val="solid"/>
                          </a:ln>
                        </wps:spPr>
                        <wps:bodyPr wrap="square" lIns="0" tIns="0" rIns="0" bIns="0" rtlCol="0">
                          <a:prstTxWarp prst="textNoShape">
                            <a:avLst/>
                          </a:prstTxWarp>
                          <a:noAutofit/>
                        </wps:bodyPr>
                      </wps:wsp>
                      <wps:wsp>
                        <wps:cNvPr id="802" name="Graphic 802"/>
                        <wps:cNvSpPr/>
                        <wps:spPr>
                          <a:xfrm>
                            <a:off x="36623" y="4185"/>
                            <a:ext cx="2048510" cy="1989455"/>
                          </a:xfrm>
                          <a:custGeom>
                            <a:avLst/>
                            <a:gdLst/>
                            <a:ahLst/>
                            <a:cxnLst/>
                            <a:rect l="l" t="t" r="r" b="b"/>
                            <a:pathLst>
                              <a:path w="2048510" h="1989455">
                                <a:moveTo>
                                  <a:pt x="0" y="1989398"/>
                                </a:moveTo>
                                <a:lnTo>
                                  <a:pt x="0" y="0"/>
                                </a:lnTo>
                              </a:path>
                              <a:path w="2048510" h="1989455">
                                <a:moveTo>
                                  <a:pt x="2048415" y="1989398"/>
                                </a:moveTo>
                                <a:lnTo>
                                  <a:pt x="2048415" y="0"/>
                                </a:lnTo>
                              </a:path>
                              <a:path w="2048510" h="1989455">
                                <a:moveTo>
                                  <a:pt x="0" y="1989398"/>
                                </a:moveTo>
                                <a:lnTo>
                                  <a:pt x="2048415" y="1989398"/>
                                </a:lnTo>
                              </a:path>
                              <a:path w="2048510" h="1989455">
                                <a:moveTo>
                                  <a:pt x="0" y="0"/>
                                </a:moveTo>
                                <a:lnTo>
                                  <a:pt x="2048415" y="0"/>
                                </a:lnTo>
                              </a:path>
                            </a:pathLst>
                          </a:custGeom>
                          <a:ln w="8371">
                            <a:solidFill>
                              <a:srgbClr val="000000"/>
                            </a:solidFill>
                            <a:prstDash val="solid"/>
                          </a:ln>
                        </wps:spPr>
                        <wps:bodyPr wrap="square" lIns="0" tIns="0" rIns="0" bIns="0" rtlCol="0">
                          <a:prstTxWarp prst="textNoShape">
                            <a:avLst/>
                          </a:prstTxWarp>
                          <a:noAutofit/>
                        </wps:bodyPr>
                      </wps:wsp>
                      <wps:wsp>
                        <wps:cNvPr id="803" name="Textbox 803"/>
                        <wps:cNvSpPr txBox="1"/>
                        <wps:spPr>
                          <a:xfrm>
                            <a:off x="1794407" y="95637"/>
                            <a:ext cx="264795" cy="103505"/>
                          </a:xfrm>
                          <a:prstGeom prst="rect">
                            <a:avLst/>
                          </a:prstGeom>
                        </wps:spPr>
                        <wps:txbx>
                          <w:txbxContent>
                            <w:p>
                              <w:pPr>
                                <w:spacing w:line="162" w:lineRule="exact" w:before="0"/>
                                <w:ind w:left="0" w:right="0" w:firstLine="0"/>
                                <w:jc w:val="left"/>
                                <w:rPr>
                                  <w:rFonts w:ascii="Verdana"/>
                                  <w:sz w:val="18"/>
                                </w:rPr>
                              </w:pPr>
                              <w:r>
                                <w:rPr>
                                  <w:rFonts w:ascii="Verdana"/>
                                  <w:spacing w:val="-9"/>
                                  <w:w w:val="105"/>
                                  <w:sz w:val="18"/>
                                </w:rPr>
                                <w:t>AWP</w:t>
                              </w:r>
                            </w:p>
                          </w:txbxContent>
                        </wps:txbx>
                        <wps:bodyPr wrap="square" lIns="0" tIns="0" rIns="0" bIns="0" rtlCol="0">
                          <a:noAutofit/>
                        </wps:bodyPr>
                      </wps:wsp>
                    </wpg:wgp>
                  </a:graphicData>
                </a:graphic>
              </wp:anchor>
            </w:drawing>
          </mc:Choice>
          <mc:Fallback>
            <w:pict>
              <v:group style="position:absolute;margin-left:338.064117pt;margin-top:-18.764597pt;width:164.55pt;height:159.9pt;mso-position-horizontal-relative:page;mso-position-vertical-relative:paragraph;z-index:15784960" id="docshapegroup513" coordorigin="6761,-375" coordsize="3291,3198">
                <v:shape style="position:absolute;left:6965;top:-220;width:2933;height:2984" id="docshape514" coordorigin="6966,-220" coordsize="2933,2984" path="m9165,2759l9092,2759,9092,2758,9018,2758,8945,2758,8945,2763,8872,2763,8872,2759,8798,2759,8725,2759,8725,2758,8652,2758,8652,2743,8579,2743,8579,2753,8505,2753,8432,2753,8432,2730,8359,2730,8359,2722,8285,2722,8285,2717,8212,2717,8212,2695,8139,2695,8139,2689,8065,2689,8065,2664,7992,2664,7992,2637,7919,2637,7919,2586,7845,2586,7845,2576,7772,2576,7772,2545,7699,2545,7699,2511,7625,2511,7625,2430,7552,2430,7552,2432,7479,2432,7479,2332,7405,2332,7405,2293,7332,2293,7332,2162,7259,2162,7259,2278,7186,2278,7186,1920,7112,1920,7112,2262,7039,2262,7039,-220,6966,-220,6966,2764,7039,2764,7112,2764,7186,2764,7259,2764,7332,2764,7405,2764,7479,2764,7552,2764,7625,2764,7699,2764,7772,2764,7845,2764,7919,2764,7992,2764,8065,2764,8139,2764,8212,2764,8285,2764,8359,2764,8432,2764,8505,2764,8579,2764,8652,2764,8725,2764,8798,2764,8872,2764,8945,2764,9018,2764,9092,2764,9165,2764,9165,2759xm9385,2763l9312,2763,9238,2763,9238,2764,9312,2764,9385,2764,9385,2763xm9605,2763l9532,2763,9458,2763,9458,2764,9532,2764,9605,2764,9605,2763xm9898,2763l9825,2763,9825,2764,9898,2764,9898,2763xe" filled="true" fillcolor="#5a4979" stroked="false">
                  <v:path arrowok="t"/>
                  <v:fill type="solid"/>
                </v:shape>
                <v:line style="position:absolute" from="7044,2764" to="7044,-369" stroked="true" strokeweight=".659144pt" strokecolor="#afafaf">
                  <v:stroke dashstyle="solid"/>
                </v:line>
                <v:shape style="position:absolute;left:7044;top:2764;width:2;height:58" id="docshape515" coordorigin="7044,2764" coordsize="0,58" path="m7044,2764l7044,2822e" filled="true" fillcolor="#000000" stroked="false">
                  <v:path arrowok="t"/>
                  <v:fill type="solid"/>
                </v:shape>
                <v:line style="position:absolute" from="7044,2764" to="7044,2822" stroked="true" strokeweight=".659144pt" strokecolor="#000000">
                  <v:stroke dashstyle="solid"/>
                </v:line>
                <v:line style="position:absolute" from="7796,2764" to="7796,-369" stroked="true" strokeweight=".659144pt" strokecolor="#afafaf">
                  <v:stroke dashstyle="solid"/>
                </v:line>
                <v:shape style="position:absolute;left:7796;top:2764;width:2;height:58" id="docshape516" coordorigin="7796,2764" coordsize="0,58" path="m7796,2764l7796,2822e" filled="true" fillcolor="#000000" stroked="false">
                  <v:path arrowok="t"/>
                  <v:fill type="solid"/>
                </v:shape>
                <v:line style="position:absolute" from="7796,2764" to="7796,2822" stroked="true" strokeweight=".659144pt" strokecolor="#000000">
                  <v:stroke dashstyle="solid"/>
                </v:line>
                <v:line style="position:absolute" from="8548,2764" to="8548,-369" stroked="true" strokeweight=".659144pt" strokecolor="#afafaf">
                  <v:stroke dashstyle="solid"/>
                </v:line>
                <v:shape style="position:absolute;left:8547;top:2764;width:2;height:58" id="docshape517" coordorigin="8548,2764" coordsize="0,58" path="m8548,2764l8548,2822e" filled="true" fillcolor="#000000" stroked="false">
                  <v:path arrowok="t"/>
                  <v:fill type="solid"/>
                </v:shape>
                <v:line style="position:absolute" from="8548,2764" to="8548,2822" stroked="true" strokeweight=".659144pt" strokecolor="#000000">
                  <v:stroke dashstyle="solid"/>
                </v:line>
                <v:line style="position:absolute" from="9300,2764" to="9300,-369" stroked="true" strokeweight=".659144pt" strokecolor="#afafaf">
                  <v:stroke dashstyle="solid"/>
                </v:line>
                <v:shape style="position:absolute;left:9299;top:2764;width:2;height:58" id="docshape518" coordorigin="9300,2764" coordsize="0,58" path="m9300,2764l9300,2822e" filled="true" fillcolor="#000000" stroked="false">
                  <v:path arrowok="t"/>
                  <v:fill type="solid"/>
                </v:shape>
                <v:line style="position:absolute" from="9300,2764" to="9300,2822" stroked="true" strokeweight=".659144pt" strokecolor="#000000">
                  <v:stroke dashstyle="solid"/>
                </v:line>
                <v:line style="position:absolute" from="6819,2764" to="10045,2764" stroked="true" strokeweight=".659144pt" strokecolor="#afafaf">
                  <v:stroke dashstyle="solid"/>
                </v:line>
                <v:shape style="position:absolute;left:6761;top:2764;width:58;height:2" id="docshape519" coordorigin="6761,2764" coordsize="58,0" path="m6819,2764l6761,2764e" filled="true" fillcolor="#000000" stroked="false">
                  <v:path arrowok="t"/>
                  <v:fill type="solid"/>
                </v:shape>
                <v:line style="position:absolute" from="6819,2764" to="6761,2764" stroked="true" strokeweight=".659144pt" strokecolor="#000000">
                  <v:stroke dashstyle="solid"/>
                </v:line>
                <v:line style="position:absolute" from="6819,2355" to="10045,2355" stroked="true" strokeweight=".659144pt" strokecolor="#afafaf">
                  <v:stroke dashstyle="solid"/>
                </v:line>
                <v:shape style="position:absolute;left:6761;top:2355;width:58;height:2" id="docshape520" coordorigin="6761,2355" coordsize="58,0" path="m6819,2355l6761,2355e" filled="true" fillcolor="#000000" stroked="false">
                  <v:path arrowok="t"/>
                  <v:fill type="solid"/>
                </v:shape>
                <v:line style="position:absolute" from="6819,2355" to="6761,2355" stroked="true" strokeweight=".659144pt" strokecolor="#000000">
                  <v:stroke dashstyle="solid"/>
                </v:line>
                <v:line style="position:absolute" from="6819,1946" to="10045,1946" stroked="true" strokeweight=".659144pt" strokecolor="#afafaf">
                  <v:stroke dashstyle="solid"/>
                </v:line>
                <v:shape style="position:absolute;left:6761;top:1945;width:58;height:2" id="docshape521" coordorigin="6761,1946" coordsize="58,0" path="m6819,1946l6761,1946e" filled="true" fillcolor="#000000" stroked="false">
                  <v:path arrowok="t"/>
                  <v:fill type="solid"/>
                </v:shape>
                <v:line style="position:absolute" from="6819,1946" to="6761,1946" stroked="true" strokeweight=".659144pt" strokecolor="#000000">
                  <v:stroke dashstyle="solid"/>
                </v:line>
                <v:line style="position:absolute" from="6819,1537" to="10045,1537" stroked="true" strokeweight=".659144pt" strokecolor="#afafaf">
                  <v:stroke dashstyle="solid"/>
                </v:line>
                <v:shape style="position:absolute;left:6761;top:1536;width:58;height:2" id="docshape522" coordorigin="6761,1537" coordsize="58,0" path="m6819,1537l6761,1537e" filled="true" fillcolor="#000000" stroked="false">
                  <v:path arrowok="t"/>
                  <v:fill type="solid"/>
                </v:shape>
                <v:line style="position:absolute" from="6819,1537" to="6761,1537" stroked="true" strokeweight=".659144pt" strokecolor="#000000">
                  <v:stroke dashstyle="solid"/>
                </v:line>
                <v:line style="position:absolute" from="6819,1127" to="10045,1127" stroked="true" strokeweight=".659144pt" strokecolor="#afafaf">
                  <v:stroke dashstyle="solid"/>
                </v:line>
                <v:shape style="position:absolute;left:6761;top:1127;width:58;height:2" id="docshape523" coordorigin="6761,1127" coordsize="58,0" path="m6819,1127l6761,1127e" filled="true" fillcolor="#000000" stroked="false">
                  <v:path arrowok="t"/>
                  <v:fill type="solid"/>
                </v:shape>
                <v:line style="position:absolute" from="6819,1127" to="6761,1127" stroked="true" strokeweight=".659144pt" strokecolor="#000000">
                  <v:stroke dashstyle="solid"/>
                </v:line>
                <v:line style="position:absolute" from="6819,718" to="10045,718" stroked="true" strokeweight=".659144pt" strokecolor="#afafaf">
                  <v:stroke dashstyle="solid"/>
                </v:line>
                <v:shape style="position:absolute;left:6761;top:718;width:58;height:2" id="docshape524" coordorigin="6761,718" coordsize="58,0" path="m6819,718l6761,718e" filled="true" fillcolor="#000000" stroked="false">
                  <v:path arrowok="t"/>
                  <v:fill type="solid"/>
                </v:shape>
                <v:line style="position:absolute" from="6819,718" to="6761,718" stroked="true" strokeweight=".659144pt" strokecolor="#000000">
                  <v:stroke dashstyle="solid"/>
                </v:line>
                <v:line style="position:absolute" from="6819,309" to="10045,309" stroked="true" strokeweight=".659144pt" strokecolor="#afafaf">
                  <v:stroke dashstyle="solid"/>
                </v:line>
                <v:shape style="position:absolute;left:6761;top:309;width:58;height:2" id="docshape525" coordorigin="6761,309" coordsize="58,0" path="m6819,309l6761,309e" filled="true" fillcolor="#000000" stroked="false">
                  <v:path arrowok="t"/>
                  <v:fill type="solid"/>
                </v:shape>
                <v:line style="position:absolute" from="6819,309" to="6761,309" stroked="true" strokeweight=".659144pt" strokecolor="#000000">
                  <v:stroke dashstyle="solid"/>
                </v:line>
                <v:line style="position:absolute" from="6819,-100" to="10045,-100" stroked="true" strokeweight=".659144pt" strokecolor="#afafaf">
                  <v:stroke dashstyle="solid"/>
                </v:line>
                <v:shape style="position:absolute;left:6761;top:-101;width:58;height:2" id="docshape526" coordorigin="6761,-100" coordsize="58,0" path="m6819,-100l6761,-100e" filled="true" fillcolor="#000000" stroked="false">
                  <v:path arrowok="t"/>
                  <v:fill type="solid"/>
                </v:shape>
                <v:line style="position:absolute" from="6819,-100" to="6761,-100" stroked="true" strokeweight=".659144pt" strokecolor="#000000">
                  <v:stroke dashstyle="solid"/>
                </v:line>
                <v:shape style="position:absolute;left:6818;top:-369;width:3226;height:3133" id="docshape527" coordorigin="6819,-369" coordsize="3226,3133" path="m6819,2764l6819,-369m10045,2764l10045,-369m6819,2764l10045,2764m6819,-369l10045,-369e" filled="false" stroked="true" strokeweight=".659144pt" strokecolor="#000000">
                  <v:path arrowok="t"/>
                  <v:stroke dashstyle="solid"/>
                </v:shape>
                <v:shape style="position:absolute;left:9587;top:-225;width:417;height:163" type="#_x0000_t202" id="docshape528" filled="false" stroked="false">
                  <v:textbox inset="0,0,0,0">
                    <w:txbxContent>
                      <w:p>
                        <w:pPr>
                          <w:spacing w:line="162" w:lineRule="exact" w:before="0"/>
                          <w:ind w:left="0" w:right="0" w:firstLine="0"/>
                          <w:jc w:val="left"/>
                          <w:rPr>
                            <w:rFonts w:ascii="Verdana"/>
                            <w:sz w:val="18"/>
                          </w:rPr>
                        </w:pPr>
                        <w:r>
                          <w:rPr>
                            <w:rFonts w:ascii="Verdana"/>
                            <w:spacing w:val="-9"/>
                            <w:w w:val="105"/>
                            <w:sz w:val="18"/>
                          </w:rPr>
                          <w:t>AWP</w:t>
                        </w:r>
                      </w:p>
                    </w:txbxContent>
                  </v:textbox>
                  <w10:wrap type="none"/>
                </v:shape>
                <w10:wrap type="none"/>
              </v:group>
            </w:pict>
          </mc:Fallback>
        </mc:AlternateContent>
      </w:r>
      <w:r>
        <w:rPr>
          <w:rFonts w:ascii="Verdana"/>
          <w:spacing w:val="-4"/>
          <w:w w:val="95"/>
          <w:sz w:val="18"/>
        </w:rPr>
        <w:t>1500</w:t>
      </w:r>
    </w:p>
    <w:p>
      <w:pPr>
        <w:spacing w:after="0"/>
        <w:jc w:val="left"/>
        <w:rPr>
          <w:rFonts w:ascii="Verdana"/>
          <w:sz w:val="18"/>
        </w:rPr>
        <w:sectPr>
          <w:type w:val="continuous"/>
          <w:pgSz w:w="11910" w:h="16840"/>
          <w:pgMar w:header="0" w:footer="2115" w:top="1920" w:bottom="280" w:left="992" w:right="708"/>
          <w:cols w:num="2" w:equalWidth="0">
            <w:col w:w="1570" w:space="2612"/>
            <w:col w:w="6028"/>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spacing w:before="99"/>
        <w:ind w:left="0" w:right="38" w:firstLine="0"/>
        <w:jc w:val="right"/>
        <w:rPr>
          <w:rFonts w:ascii="Verdana"/>
          <w:sz w:val="18"/>
        </w:rPr>
      </w:pPr>
      <w:r>
        <w:rPr>
          <w:rFonts w:ascii="Verdana"/>
          <w:sz w:val="18"/>
        </w:rPr>
        <mc:AlternateContent>
          <mc:Choice Requires="wps">
            <w:drawing>
              <wp:anchor distT="0" distB="0" distL="0" distR="0" allowOverlap="1" layoutInCell="1" locked="0" behindDoc="0" simplePos="0" relativeHeight="15785472">
                <wp:simplePos x="0" y="0"/>
                <wp:positionH relativeFrom="page">
                  <wp:posOffset>1160221</wp:posOffset>
                </wp:positionH>
                <wp:positionV relativeFrom="paragraph">
                  <wp:posOffset>193064</wp:posOffset>
                </wp:positionV>
                <wp:extent cx="139065" cy="44767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139065" cy="447675"/>
                        </a:xfrm>
                        <a:prstGeom prst="rect">
                          <a:avLst/>
                        </a:prstGeom>
                      </wps:spPr>
                      <wps:txbx>
                        <w:txbxContent>
                          <w:p>
                            <w:pPr>
                              <w:spacing w:line="211" w:lineRule="exact" w:before="0"/>
                              <w:ind w:left="20" w:right="0" w:firstLine="0"/>
                              <w:jc w:val="left"/>
                              <w:rPr>
                                <w:rFonts w:ascii="Verdana"/>
                                <w:sz w:val="19"/>
                              </w:rPr>
                            </w:pPr>
                            <w:r>
                              <w:rPr>
                                <w:rFonts w:ascii="Verdana"/>
                                <w:spacing w:val="-4"/>
                                <w:sz w:val="19"/>
                              </w:rPr>
                              <w:t>Wallets</w:t>
                            </w:r>
                          </w:p>
                        </w:txbxContent>
                      </wps:txbx>
                      <wps:bodyPr wrap="square" lIns="0" tIns="0" rIns="0" bIns="0" rtlCol="0" vert="vert270">
                        <a:noAutofit/>
                      </wps:bodyPr>
                    </wps:wsp>
                  </a:graphicData>
                </a:graphic>
              </wp:anchor>
            </w:drawing>
          </mc:Choice>
          <mc:Fallback>
            <w:pict>
              <v:shape style="position:absolute;margin-left:91.356026pt;margin-top:15.201908pt;width:10.95pt;height:35.25pt;mso-position-horizontal-relative:page;mso-position-vertical-relative:paragraph;z-index:15785472" type="#_x0000_t202" id="docshape529" filled="false" stroked="false">
                <v:textbox inset="0,0,0,0" style="layout-flow:vertical;mso-layout-flow-alt:bottom-to-top">
                  <w:txbxContent>
                    <w:p>
                      <w:pPr>
                        <w:spacing w:line="211" w:lineRule="exact" w:before="0"/>
                        <w:ind w:left="20" w:right="0" w:firstLine="0"/>
                        <w:jc w:val="left"/>
                        <w:rPr>
                          <w:rFonts w:ascii="Verdana"/>
                          <w:sz w:val="19"/>
                        </w:rPr>
                      </w:pPr>
                      <w:r>
                        <w:rPr>
                          <w:rFonts w:ascii="Verdana"/>
                          <w:spacing w:val="-4"/>
                          <w:sz w:val="19"/>
                        </w:rPr>
                        <w:t>Wallets</w:t>
                      </w:r>
                    </w:p>
                  </w:txbxContent>
                </v:textbox>
                <w10:wrap type="none"/>
              </v:shape>
            </w:pict>
          </mc:Fallback>
        </mc:AlternateContent>
      </w:r>
      <w:r>
        <w:rPr>
          <w:rFonts w:ascii="Verdana"/>
          <w:spacing w:val="-4"/>
          <w:sz w:val="18"/>
        </w:rPr>
        <w:t>3000</w:t>
      </w:r>
    </w:p>
    <w:p>
      <w:pPr>
        <w:spacing w:before="57"/>
        <w:ind w:left="1110" w:right="0" w:firstLine="0"/>
        <w:jc w:val="left"/>
        <w:rPr>
          <w:rFonts w:ascii="Verdana"/>
          <w:sz w:val="18"/>
        </w:rPr>
      </w:pPr>
      <w:r>
        <w:rPr/>
        <w:br w:type="column"/>
      </w:r>
      <w:r>
        <w:rPr>
          <w:rFonts w:ascii="Verdana"/>
          <w:spacing w:val="-4"/>
          <w:w w:val="95"/>
          <w:sz w:val="18"/>
        </w:rPr>
        <w:t>1250</w:t>
      </w:r>
    </w:p>
    <w:p>
      <w:pPr>
        <w:spacing w:after="0"/>
        <w:jc w:val="left"/>
        <w:rPr>
          <w:rFonts w:ascii="Verdana"/>
          <w:sz w:val="18"/>
        </w:rPr>
        <w:sectPr>
          <w:type w:val="continuous"/>
          <w:pgSz w:w="11910" w:h="16840"/>
          <w:pgMar w:header="0" w:footer="2115" w:top="1920" w:bottom="280" w:left="992" w:right="708"/>
          <w:cols w:num="2" w:equalWidth="0">
            <w:col w:w="1568" w:space="2614"/>
            <w:col w:w="6028"/>
          </w:cols>
        </w:sectPr>
      </w:pPr>
    </w:p>
    <w:p>
      <w:pPr>
        <w:pStyle w:val="BodyText"/>
        <w:rPr>
          <w:rFonts w:ascii="Verdana"/>
          <w:sz w:val="16"/>
        </w:rPr>
      </w:pPr>
    </w:p>
    <w:p>
      <w:pPr>
        <w:pStyle w:val="BodyText"/>
        <w:spacing w:before="60"/>
        <w:rPr>
          <w:rFonts w:ascii="Verdana"/>
          <w:sz w:val="16"/>
        </w:rPr>
      </w:pPr>
    </w:p>
    <w:p>
      <w:pPr>
        <w:spacing w:before="0"/>
        <w:ind w:left="0" w:right="39" w:firstLine="0"/>
        <w:jc w:val="right"/>
        <w:rPr>
          <w:rFonts w:ascii="Verdana"/>
          <w:sz w:val="18"/>
        </w:rPr>
      </w:pPr>
      <w:r>
        <w:rPr>
          <w:rFonts w:ascii="Verdana"/>
          <w:spacing w:val="-4"/>
          <w:sz w:val="18"/>
        </w:rPr>
        <w:t>2000</w:t>
      </w:r>
    </w:p>
    <w:p>
      <w:pPr>
        <w:spacing w:before="149"/>
        <w:ind w:left="0" w:right="4491" w:firstLine="0"/>
        <w:jc w:val="right"/>
        <w:rPr>
          <w:rFonts w:ascii="Verdana"/>
          <w:sz w:val="18"/>
        </w:rPr>
      </w:pPr>
      <w:r>
        <w:rPr/>
        <w:br w:type="column"/>
      </w:r>
      <w:r>
        <w:rPr>
          <w:rFonts w:ascii="Verdana"/>
          <w:spacing w:val="-4"/>
          <w:w w:val="95"/>
          <w:sz w:val="18"/>
        </w:rPr>
        <w:t>1000</w:t>
      </w:r>
    </w:p>
    <w:p>
      <w:pPr>
        <w:spacing w:before="190"/>
        <w:ind w:left="0" w:right="4493" w:firstLine="0"/>
        <w:jc w:val="right"/>
        <w:rPr>
          <w:rFonts w:ascii="Verdana"/>
          <w:sz w:val="18"/>
        </w:rPr>
      </w:pPr>
      <w:r>
        <w:rPr>
          <w:rFonts w:ascii="Verdana"/>
          <w:sz w:val="18"/>
        </w:rPr>
        <mc:AlternateContent>
          <mc:Choice Requires="wps">
            <w:drawing>
              <wp:anchor distT="0" distB="0" distL="0" distR="0" allowOverlap="1" layoutInCell="1" locked="0" behindDoc="0" simplePos="0" relativeHeight="15785984">
                <wp:simplePos x="0" y="0"/>
                <wp:positionH relativeFrom="page">
                  <wp:posOffset>3815962</wp:posOffset>
                </wp:positionH>
                <wp:positionV relativeFrom="paragraph">
                  <wp:posOffset>-242240</wp:posOffset>
                </wp:positionV>
                <wp:extent cx="139065" cy="44767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139065" cy="447675"/>
                        </a:xfrm>
                        <a:prstGeom prst="rect">
                          <a:avLst/>
                        </a:prstGeom>
                      </wps:spPr>
                      <wps:txbx>
                        <w:txbxContent>
                          <w:p>
                            <w:pPr>
                              <w:spacing w:line="211" w:lineRule="exact" w:before="0"/>
                              <w:ind w:left="20" w:right="0" w:firstLine="0"/>
                              <w:jc w:val="left"/>
                              <w:rPr>
                                <w:rFonts w:ascii="Verdana"/>
                                <w:sz w:val="19"/>
                              </w:rPr>
                            </w:pPr>
                            <w:r>
                              <w:rPr>
                                <w:rFonts w:ascii="Verdana"/>
                                <w:spacing w:val="-4"/>
                                <w:sz w:val="19"/>
                              </w:rPr>
                              <w:t>Wallets</w:t>
                            </w:r>
                          </w:p>
                        </w:txbxContent>
                      </wps:txbx>
                      <wps:bodyPr wrap="square" lIns="0" tIns="0" rIns="0" bIns="0" rtlCol="0" vert="vert270">
                        <a:noAutofit/>
                      </wps:bodyPr>
                    </wps:wsp>
                  </a:graphicData>
                </a:graphic>
              </wp:anchor>
            </w:drawing>
          </mc:Choice>
          <mc:Fallback>
            <w:pict>
              <v:shape style="position:absolute;margin-left:300.469452pt;margin-top:-19.074068pt;width:10.95pt;height:35.25pt;mso-position-horizontal-relative:page;mso-position-vertical-relative:paragraph;z-index:15785984" type="#_x0000_t202" id="docshape530" filled="false" stroked="false">
                <v:textbox inset="0,0,0,0" style="layout-flow:vertical;mso-layout-flow-alt:bottom-to-top">
                  <w:txbxContent>
                    <w:p>
                      <w:pPr>
                        <w:spacing w:line="211" w:lineRule="exact" w:before="0"/>
                        <w:ind w:left="20" w:right="0" w:firstLine="0"/>
                        <w:jc w:val="left"/>
                        <w:rPr>
                          <w:rFonts w:ascii="Verdana"/>
                          <w:sz w:val="19"/>
                        </w:rPr>
                      </w:pPr>
                      <w:r>
                        <w:rPr>
                          <w:rFonts w:ascii="Verdana"/>
                          <w:spacing w:val="-4"/>
                          <w:sz w:val="19"/>
                        </w:rPr>
                        <w:t>Wallets</w:t>
                      </w:r>
                    </w:p>
                  </w:txbxContent>
                </v:textbox>
                <w10:wrap type="none"/>
              </v:shape>
            </w:pict>
          </mc:Fallback>
        </mc:AlternateContent>
      </w:r>
      <w:r>
        <w:rPr>
          <w:rFonts w:ascii="Verdana"/>
          <w:spacing w:val="-5"/>
          <w:sz w:val="18"/>
        </w:rPr>
        <w:t>750</w:t>
      </w:r>
    </w:p>
    <w:p>
      <w:pPr>
        <w:spacing w:after="0"/>
        <w:jc w:val="right"/>
        <w:rPr>
          <w:rFonts w:ascii="Verdana"/>
          <w:sz w:val="18"/>
        </w:rPr>
        <w:sectPr>
          <w:type w:val="continuous"/>
          <w:pgSz w:w="11910" w:h="16840"/>
          <w:pgMar w:header="0" w:footer="2115" w:top="1920" w:bottom="280" w:left="992" w:right="708"/>
          <w:cols w:num="2" w:equalWidth="0">
            <w:col w:w="1570" w:space="2612"/>
            <w:col w:w="6028"/>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pStyle w:val="BodyText"/>
        <w:spacing w:before="12"/>
        <w:rPr>
          <w:rFonts w:ascii="Verdana"/>
          <w:sz w:val="16"/>
        </w:rPr>
      </w:pPr>
    </w:p>
    <w:p>
      <w:pPr>
        <w:spacing w:before="1"/>
        <w:ind w:left="0" w:right="39" w:firstLine="0"/>
        <w:jc w:val="right"/>
        <w:rPr>
          <w:rFonts w:ascii="Verdana"/>
          <w:sz w:val="18"/>
        </w:rPr>
      </w:pPr>
      <w:r>
        <w:rPr>
          <w:rFonts w:ascii="Verdana"/>
          <w:spacing w:val="-4"/>
          <w:w w:val="95"/>
          <w:sz w:val="18"/>
        </w:rPr>
        <w:t>1000</w:t>
      </w:r>
    </w:p>
    <w:p>
      <w:pPr>
        <w:spacing w:before="57"/>
        <w:ind w:left="1110" w:right="0" w:firstLine="0"/>
        <w:jc w:val="left"/>
        <w:rPr>
          <w:rFonts w:ascii="Verdana"/>
          <w:sz w:val="18"/>
        </w:rPr>
      </w:pPr>
      <w:r>
        <w:rPr/>
        <w:br w:type="column"/>
      </w:r>
      <w:r>
        <w:rPr>
          <w:rFonts w:ascii="Verdana"/>
          <w:spacing w:val="-5"/>
          <w:sz w:val="18"/>
        </w:rPr>
        <w:t>500</w:t>
      </w:r>
    </w:p>
    <w:p>
      <w:pPr>
        <w:spacing w:before="190"/>
        <w:ind w:left="1110" w:right="0" w:firstLine="0"/>
        <w:jc w:val="left"/>
        <w:rPr>
          <w:rFonts w:ascii="Verdana"/>
          <w:sz w:val="18"/>
        </w:rPr>
      </w:pPr>
      <w:r>
        <w:rPr>
          <w:rFonts w:ascii="Verdana"/>
          <w:spacing w:val="-5"/>
          <w:w w:val="95"/>
          <w:sz w:val="18"/>
        </w:rPr>
        <w:t>250</w:t>
      </w:r>
    </w:p>
    <w:p>
      <w:pPr>
        <w:spacing w:after="0"/>
        <w:jc w:val="left"/>
        <w:rPr>
          <w:rFonts w:ascii="Verdana"/>
          <w:sz w:val="18"/>
        </w:rPr>
        <w:sectPr>
          <w:type w:val="continuous"/>
          <w:pgSz w:w="11910" w:h="16840"/>
          <w:pgMar w:header="0" w:footer="2115" w:top="1920" w:bottom="280" w:left="992" w:right="708"/>
          <w:cols w:num="2" w:equalWidth="0">
            <w:col w:w="1570" w:space="2717"/>
            <w:col w:w="5923"/>
          </w:cols>
        </w:sectPr>
      </w:pPr>
    </w:p>
    <w:p>
      <w:pPr>
        <w:pStyle w:val="BodyText"/>
        <w:rPr>
          <w:rFonts w:ascii="Verdana"/>
          <w:sz w:val="11"/>
        </w:rPr>
      </w:pPr>
    </w:p>
    <w:p>
      <w:pPr>
        <w:pStyle w:val="BodyText"/>
        <w:spacing w:after="0"/>
        <w:rPr>
          <w:rFonts w:ascii="Verdana"/>
          <w:sz w:val="11"/>
        </w:rPr>
        <w:sectPr>
          <w:type w:val="continuous"/>
          <w:pgSz w:w="11910" w:h="16840"/>
          <w:pgMar w:header="0" w:footer="2115" w:top="1920" w:bottom="280" w:left="992" w:right="708"/>
        </w:sectPr>
      </w:pPr>
    </w:p>
    <w:p>
      <w:pPr>
        <w:spacing w:line="198" w:lineRule="exact" w:before="57"/>
        <w:ind w:left="1424" w:right="0" w:firstLine="0"/>
        <w:jc w:val="left"/>
        <w:rPr>
          <w:rFonts w:ascii="Verdana"/>
          <w:sz w:val="18"/>
        </w:rPr>
      </w:pPr>
      <w:r>
        <w:rPr>
          <w:rFonts w:ascii="Verdana"/>
          <w:spacing w:val="-10"/>
          <w:sz w:val="18"/>
        </w:rPr>
        <w:t>0</w:t>
      </w:r>
    </w:p>
    <w:p>
      <w:pPr>
        <w:tabs>
          <w:tab w:pos="2594" w:val="left" w:leader="none"/>
          <w:tab w:pos="3506" w:val="left" w:leader="none"/>
          <w:tab w:pos="4418" w:val="left" w:leader="none"/>
        </w:tabs>
        <w:spacing w:line="194" w:lineRule="exact" w:before="0"/>
        <w:ind w:left="1683" w:right="0" w:firstLine="0"/>
        <w:jc w:val="left"/>
        <w:rPr>
          <w:rFonts w:ascii="Verdana"/>
          <w:sz w:val="18"/>
        </w:rPr>
      </w:pPr>
      <w:r>
        <w:rPr>
          <w:position w:val="5"/>
        </w:rPr>
        <w:drawing>
          <wp:inline distT="0" distB="0" distL="0" distR="0">
            <wp:extent cx="65504" cy="8266"/>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23" cstate="print"/>
                    <a:stretch>
                      <a:fillRect/>
                    </a:stretch>
                  </pic:blipFill>
                  <pic:spPr>
                    <a:xfrm>
                      <a:off x="0" y="0"/>
                      <a:ext cx="65504" cy="8266"/>
                    </a:xfrm>
                    <a:prstGeom prst="rect">
                      <a:avLst/>
                    </a:prstGeom>
                  </pic:spPr>
                </pic:pic>
              </a:graphicData>
            </a:graphic>
          </wp:inline>
        </w:drawing>
      </w:r>
      <w:r>
        <w:rPr>
          <w:position w:val="5"/>
        </w:rPr>
      </w:r>
      <w:r>
        <w:rPr>
          <w:rFonts w:ascii="Verdana"/>
          <w:spacing w:val="-5"/>
          <w:w w:val="90"/>
          <w:sz w:val="18"/>
        </w:rPr>
        <w:t>4.0</w:t>
      </w:r>
      <w:r>
        <w:rPr>
          <w:rFonts w:ascii="Verdana"/>
          <w:sz w:val="18"/>
        </w:rPr>
        <w:tab/>
      </w:r>
      <w:r>
        <w:rPr>
          <w:rFonts w:ascii="Verdana"/>
          <w:position w:val="5"/>
          <w:sz w:val="18"/>
        </w:rPr>
        <w:drawing>
          <wp:inline distT="0" distB="0" distL="0" distR="0">
            <wp:extent cx="65504" cy="8266"/>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90"/>
          <w:sz w:val="18"/>
        </w:rPr>
        <w:t>3.8</w:t>
      </w:r>
      <w:r>
        <w:rPr>
          <w:rFonts w:ascii="Verdana"/>
          <w:sz w:val="18"/>
        </w:rPr>
        <w:tab/>
      </w:r>
      <w:r>
        <w:rPr>
          <w:rFonts w:ascii="Verdana"/>
          <w:position w:val="5"/>
          <w:sz w:val="18"/>
        </w:rPr>
        <w:drawing>
          <wp:inline distT="0" distB="0" distL="0" distR="0">
            <wp:extent cx="65504" cy="8266"/>
            <wp:effectExtent l="0" t="0" r="0" b="0"/>
            <wp:docPr id="808" name="Image 808"/>
            <wp:cNvGraphicFramePr>
              <a:graphicFrameLocks/>
            </wp:cNvGraphicFramePr>
            <a:graphic>
              <a:graphicData uri="http://schemas.openxmlformats.org/drawingml/2006/picture">
                <pic:pic>
                  <pic:nvPicPr>
                    <pic:cNvPr id="808" name="Image 808"/>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90"/>
          <w:sz w:val="18"/>
        </w:rPr>
        <w:t>3.6</w:t>
      </w:r>
      <w:r>
        <w:rPr>
          <w:rFonts w:ascii="Verdana"/>
          <w:sz w:val="18"/>
        </w:rPr>
        <w:tab/>
      </w:r>
      <w:r>
        <w:rPr>
          <w:rFonts w:ascii="Verdana"/>
          <w:position w:val="5"/>
          <w:sz w:val="18"/>
        </w:rPr>
        <w:drawing>
          <wp:inline distT="0" distB="0" distL="0" distR="0">
            <wp:extent cx="65504" cy="8266"/>
            <wp:effectExtent l="0" t="0" r="0" b="0"/>
            <wp:docPr id="809" name="Image 809"/>
            <wp:cNvGraphicFramePr>
              <a:graphicFrameLocks/>
            </wp:cNvGraphicFramePr>
            <a:graphic>
              <a:graphicData uri="http://schemas.openxmlformats.org/drawingml/2006/picture">
                <pic:pic>
                  <pic:nvPicPr>
                    <pic:cNvPr id="809" name="Image 809"/>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position w:val="5"/>
          <w:sz w:val="18"/>
        </w:rPr>
      </w:r>
      <w:r>
        <w:rPr>
          <w:rFonts w:ascii="Verdana"/>
          <w:spacing w:val="-5"/>
          <w:w w:val="85"/>
          <w:sz w:val="18"/>
        </w:rPr>
        <w:t>3.4</w:t>
      </w:r>
    </w:p>
    <w:p>
      <w:pPr>
        <w:spacing w:line="288" w:lineRule="exact" w:before="0"/>
        <w:ind w:left="2697" w:right="0" w:firstLine="0"/>
        <w:jc w:val="left"/>
        <w:rPr>
          <w:rFonts w:ascii="Verdana"/>
          <w:sz w:val="19"/>
        </w:rPr>
      </w:pPr>
      <w:r>
        <w:rPr>
          <w:rFonts w:ascii="Lucida Sans Unicode"/>
          <w:spacing w:val="2"/>
          <w:w w:val="90"/>
          <w:sz w:val="19"/>
        </w:rPr>
        <w:t>log</w:t>
      </w:r>
      <w:r>
        <w:rPr>
          <w:rFonts w:ascii="Lucida Sans Unicode"/>
          <w:spacing w:val="2"/>
          <w:w w:val="90"/>
          <w:sz w:val="19"/>
          <w:vertAlign w:val="subscript"/>
        </w:rPr>
        <w:t>10</w:t>
      </w:r>
      <w:r>
        <w:rPr>
          <w:rFonts w:ascii="Lucida Sans Unicode"/>
          <w:spacing w:val="10"/>
          <w:sz w:val="19"/>
          <w:vertAlign w:val="baseline"/>
        </w:rPr>
        <w:t> </w:t>
      </w:r>
      <w:r>
        <w:rPr>
          <w:rFonts w:ascii="Verdana"/>
          <w:spacing w:val="-2"/>
          <w:sz w:val="19"/>
          <w:vertAlign w:val="baseline"/>
        </w:rPr>
        <w:t>(score)</w:t>
      </w:r>
    </w:p>
    <w:p>
      <w:pPr>
        <w:spacing w:line="288" w:lineRule="exact" w:before="0"/>
        <w:ind w:left="2697" w:right="0" w:firstLine="0"/>
        <w:jc w:val="left"/>
        <w:rPr>
          <w:rFonts w:ascii="Verdana"/>
          <w:sz w:val="19"/>
        </w:rPr>
      </w:pPr>
      <w:r>
        <w:rPr>
          <w:i/>
        </w:rPr>
        <w:t>log10(점수)</w:t>
      </w:r>
    </w:p>
    <w:p>
      <w:pPr>
        <w:spacing w:line="201" w:lineRule="exact" w:before="57"/>
        <w:ind w:left="765" w:right="0" w:firstLine="0"/>
        <w:jc w:val="left"/>
        <w:rPr>
          <w:rFonts w:ascii="Verdana"/>
          <w:sz w:val="18"/>
        </w:rPr>
      </w:pPr>
      <w:r>
        <w:rPr/>
        <w:br w:type="column"/>
      </w:r>
      <w:r>
        <w:rPr>
          <w:rFonts w:ascii="Verdana"/>
          <w:spacing w:val="-10"/>
          <w:sz w:val="18"/>
        </w:rPr>
        <w:t>0</w:t>
      </w:r>
    </w:p>
    <w:p>
      <w:pPr>
        <w:tabs>
          <w:tab w:pos="1858" w:val="left" w:leader="none"/>
          <w:tab w:pos="2610" w:val="left" w:leader="none"/>
          <w:tab w:pos="3361" w:val="left" w:leader="none"/>
        </w:tabs>
        <w:spacing w:line="194" w:lineRule="exact" w:before="0"/>
        <w:ind w:left="1106" w:right="0" w:firstLine="0"/>
        <w:jc w:val="left"/>
        <w:rPr>
          <w:rFonts w:ascii="Verdana"/>
          <w:position w:val="-4"/>
          <w:sz w:val="18"/>
        </w:rPr>
      </w:pPr>
      <w:r>
        <w:rPr/>
        <w:drawing>
          <wp:inline distT="0" distB="0" distL="0" distR="0">
            <wp:extent cx="65504" cy="8266"/>
            <wp:effectExtent l="0" t="0" r="0" b="0"/>
            <wp:docPr id="810" name="Image 810"/>
            <wp:cNvGraphicFramePr>
              <a:graphicFrameLocks/>
            </wp:cNvGraphicFramePr>
            <a:graphic>
              <a:graphicData uri="http://schemas.openxmlformats.org/drawingml/2006/picture">
                <pic:pic>
                  <pic:nvPicPr>
                    <pic:cNvPr id="810" name="Image 810"/>
                    <pic:cNvPicPr/>
                  </pic:nvPicPr>
                  <pic:blipFill>
                    <a:blip r:embed="rId24" cstate="print"/>
                    <a:stretch>
                      <a:fillRect/>
                    </a:stretch>
                  </pic:blipFill>
                  <pic:spPr>
                    <a:xfrm>
                      <a:off x="0" y="0"/>
                      <a:ext cx="65504" cy="8266"/>
                    </a:xfrm>
                    <a:prstGeom prst="rect">
                      <a:avLst/>
                    </a:prstGeom>
                  </pic:spPr>
                </pic:pic>
              </a:graphicData>
            </a:graphic>
          </wp:inline>
        </w:drawing>
      </w:r>
      <w:r>
        <w:rPr/>
      </w:r>
      <w:r>
        <w:rPr>
          <w:rFonts w:ascii="Verdana"/>
          <w:spacing w:val="-10"/>
          <w:w w:val="95"/>
          <w:position w:val="-4"/>
          <w:sz w:val="18"/>
        </w:rPr>
        <w:t>5</w:t>
      </w:r>
      <w:r>
        <w:rPr>
          <w:rFonts w:ascii="Verdana"/>
          <w:position w:val="-4"/>
          <w:sz w:val="18"/>
        </w:rPr>
        <w:tab/>
      </w:r>
      <w:r>
        <w:rPr>
          <w:rFonts w:ascii="Verdana"/>
          <w:sz w:val="18"/>
        </w:rPr>
        <w:drawing>
          <wp:inline distT="0" distB="0" distL="0" distR="0">
            <wp:extent cx="65504" cy="8266"/>
            <wp:effectExtent l="0" t="0" r="0" b="0"/>
            <wp:docPr id="811" name="Image 811"/>
            <wp:cNvGraphicFramePr>
              <a:graphicFrameLocks/>
            </wp:cNvGraphicFramePr>
            <a:graphic>
              <a:graphicData uri="http://schemas.openxmlformats.org/drawingml/2006/picture">
                <pic:pic>
                  <pic:nvPicPr>
                    <pic:cNvPr id="811" name="Image 811"/>
                    <pic:cNvPicPr/>
                  </pic:nvPicPr>
                  <pic:blipFill>
                    <a:blip r:embed="rId23"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4</w:t>
      </w:r>
      <w:r>
        <w:rPr>
          <w:rFonts w:ascii="Verdana"/>
          <w:position w:val="-4"/>
          <w:sz w:val="18"/>
        </w:rPr>
        <w:tab/>
      </w:r>
      <w:r>
        <w:rPr>
          <w:rFonts w:ascii="Verdana"/>
          <w:sz w:val="18"/>
        </w:rPr>
        <w:drawing>
          <wp:inline distT="0" distB="0" distL="0" distR="0">
            <wp:extent cx="65504" cy="8266"/>
            <wp:effectExtent l="0" t="0" r="0" b="0"/>
            <wp:docPr id="812" name="Image 812"/>
            <wp:cNvGraphicFramePr>
              <a:graphicFrameLocks/>
            </wp:cNvGraphicFramePr>
            <a:graphic>
              <a:graphicData uri="http://schemas.openxmlformats.org/drawingml/2006/picture">
                <pic:pic>
                  <pic:nvPicPr>
                    <pic:cNvPr id="812" name="Image 812"/>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3</w:t>
      </w:r>
      <w:r>
        <w:rPr>
          <w:rFonts w:ascii="Verdana"/>
          <w:position w:val="-4"/>
          <w:sz w:val="18"/>
        </w:rPr>
        <w:tab/>
      </w:r>
      <w:r>
        <w:rPr>
          <w:rFonts w:ascii="Verdana"/>
          <w:sz w:val="18"/>
        </w:rPr>
        <w:drawing>
          <wp:inline distT="0" distB="0" distL="0" distR="0">
            <wp:extent cx="65504" cy="8266"/>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24" cstate="print"/>
                    <a:stretch>
                      <a:fillRect/>
                    </a:stretch>
                  </pic:blipFill>
                  <pic:spPr>
                    <a:xfrm>
                      <a:off x="0" y="0"/>
                      <a:ext cx="65504" cy="8266"/>
                    </a:xfrm>
                    <a:prstGeom prst="rect">
                      <a:avLst/>
                    </a:prstGeom>
                  </pic:spPr>
                </pic:pic>
              </a:graphicData>
            </a:graphic>
          </wp:inline>
        </w:drawing>
      </w:r>
      <w:r>
        <w:rPr>
          <w:rFonts w:ascii="Verdana"/>
          <w:sz w:val="18"/>
        </w:rPr>
      </w:r>
      <w:r>
        <w:rPr>
          <w:rFonts w:ascii="Verdana"/>
          <w:spacing w:val="-10"/>
          <w:w w:val="95"/>
          <w:position w:val="-4"/>
          <w:sz w:val="18"/>
        </w:rPr>
        <w:t>2</w:t>
      </w:r>
    </w:p>
    <w:p>
      <w:pPr>
        <w:spacing w:line="285" w:lineRule="exact" w:before="0"/>
        <w:ind w:left="0" w:right="183" w:firstLine="0"/>
        <w:jc w:val="center"/>
        <w:rPr>
          <w:rFonts w:ascii="Verdana"/>
          <w:sz w:val="19"/>
        </w:rPr>
      </w:pPr>
      <w:r>
        <w:rPr>
          <w:rFonts w:ascii="Lucida Sans Unicode"/>
          <w:spacing w:val="2"/>
          <w:w w:val="90"/>
          <w:sz w:val="19"/>
        </w:rPr>
        <w:t>log</w:t>
      </w:r>
      <w:r>
        <w:rPr>
          <w:rFonts w:ascii="Lucida Sans Unicode"/>
          <w:spacing w:val="2"/>
          <w:w w:val="90"/>
          <w:sz w:val="19"/>
          <w:vertAlign w:val="subscript"/>
        </w:rPr>
        <w:t>10</w:t>
      </w:r>
      <w:r>
        <w:rPr>
          <w:rFonts w:ascii="Lucida Sans Unicode"/>
          <w:spacing w:val="10"/>
          <w:sz w:val="19"/>
          <w:vertAlign w:val="baseline"/>
        </w:rPr>
        <w:t> </w:t>
      </w:r>
      <w:r>
        <w:rPr>
          <w:rFonts w:ascii="Verdana"/>
          <w:spacing w:val="-2"/>
          <w:sz w:val="19"/>
          <w:vertAlign w:val="baseline"/>
        </w:rPr>
        <w:t>(score)</w:t>
      </w:r>
    </w:p>
    <w:p>
      <w:pPr>
        <w:spacing w:line="285" w:lineRule="exact" w:before="0"/>
        <w:ind w:left="0" w:right="183" w:firstLine="0"/>
        <w:jc w:val="center"/>
        <w:rPr>
          <w:rFonts w:ascii="Verdana"/>
          <w:sz w:val="19"/>
        </w:rPr>
      </w:pPr>
      <w:r>
        <w:rPr>
          <w:i/>
        </w:rPr>
        <w:t>log10(점수)</w:t>
      </w:r>
    </w:p>
    <w:p>
      <w:pPr>
        <w:spacing w:after="0" w:line="285" w:lineRule="exact"/>
        <w:jc w:val="center"/>
        <w:rPr>
          <w:rFonts w:ascii="Verdana"/>
          <w:sz w:val="19"/>
        </w:rPr>
        <w:sectPr>
          <w:type w:val="continuous"/>
          <w:pgSz w:w="11910" w:h="16840"/>
          <w:pgMar w:header="0" w:footer="2115" w:top="1920" w:bottom="280" w:left="992" w:right="708"/>
          <w:cols w:num="2" w:equalWidth="0">
            <w:col w:w="4802" w:space="40"/>
            <w:col w:w="5368"/>
          </w:cols>
        </w:sectPr>
      </w:pPr>
    </w:p>
    <w:p>
      <w:pPr>
        <w:pStyle w:val="BodyText"/>
        <w:spacing w:line="237" w:lineRule="auto" w:before="270"/>
        <w:ind w:left="282" w:right="524"/>
        <w:jc w:val="both"/>
      </w:pPr>
      <w:r>
        <w:rPr/>
        <w:t>Figure 4.7:</w:t>
      </w:r>
      <w:r>
        <w:rPr>
          <w:spacing w:val="36"/>
        </w:rPr>
        <w:t> </w:t>
      </w:r>
      <w:r>
        <w:rPr/>
        <w:t>Marginal distributions of EndorseRank and AWP scores on the matched cohort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w:t>
      </w:r>
      <w:r>
        <w:rPr/>
        <w:t>), shown on a log</w:t>
      </w:r>
      <w:r>
        <w:rPr>
          <w:rFonts w:ascii="Calibri" w:hAnsi="Calibri"/>
          <w:vertAlign w:val="subscript"/>
        </w:rPr>
        <w:t>10</w:t>
      </w:r>
      <w:r>
        <w:rPr>
          <w:rFonts w:ascii="Calibri" w:hAnsi="Calibri"/>
          <w:vertAlign w:val="baseline"/>
        </w:rPr>
        <w:t> </w:t>
      </w:r>
      <w:r>
        <w:rPr>
          <w:vertAlign w:val="baseline"/>
        </w:rPr>
        <w:t>scale for wallets with positive score (EndorseRank excludes </w:t>
      </w:r>
      <w:r>
        <w:rPr>
          <w:rFonts w:ascii="Calibri" w:hAnsi="Calibri"/>
          <w:vertAlign w:val="baseline"/>
        </w:rPr>
        <w:t>966 </w:t>
      </w:r>
      <w:r>
        <w:rPr>
          <w:vertAlign w:val="baseline"/>
        </w:rPr>
        <w:t>zero-score wallets; AWP excludes </w:t>
      </w:r>
      <w:r>
        <w:rPr>
          <w:rFonts w:ascii="Calibri" w:hAnsi="Calibri"/>
          <w:vertAlign w:val="baseline"/>
        </w:rPr>
        <w:t>381</w:t>
      </w:r>
      <w:r>
        <w:rPr>
          <w:vertAlign w:val="baseline"/>
        </w:rPr>
        <w:t>).</w:t>
      </w:r>
      <w:r>
        <w:rPr>
          <w:spacing w:val="36"/>
          <w:vertAlign w:val="baseline"/>
        </w:rPr>
        <w:t> </w:t>
      </w:r>
      <w:r>
        <w:rPr>
          <w:vertAlign w:val="baseline"/>
        </w:rPr>
        <w:t>Both are right-skewed PageRank distributions; differences in shape reflect the distinct endorsement and transfer operators.</w:t>
      </w:r>
    </w:p>
    <w:p>
      <w:pPr>
        <w:pStyle w:val="BodyText"/>
        <w:spacing w:line="237" w:lineRule="auto" w:before="270"/>
        <w:ind w:left="282" w:right="524"/>
        <w:jc w:val="both"/>
      </w:pPr>
      <w:r>
        <w:rPr>
          <w:i/>
        </w:rPr>
        <w:t>그림 4.7: 일치된 코호트(n = 5,521)에 대한 EndorseRank 및 AWP 점수의 한계 분포. 양수 점수를 가진 지갑에 대해 log10 척도로 표시됩니다(EndorseRank는 966개의 0점 지갑을 제외하고 AWP는 381을 제외). 둘 다 오른쪽으로 치우친 PageRank 분포입니다. 모양의 차이는 뚜렷한 보증 및 전송 연산자를 반영합니다.</w:t>
      </w:r>
    </w:p>
    <w:p>
      <w:pPr>
        <w:pStyle w:val="BodyText"/>
        <w:spacing w:before="174"/>
      </w:pPr>
    </w:p>
    <w:p>
      <w:pPr>
        <w:pStyle w:val="BodyText"/>
        <w:ind w:left="282"/>
        <w:jc w:val="both"/>
      </w:pPr>
      <w:r>
        <w:rPr/>
        <w:t>fraction</w:t>
      </w:r>
      <w:r>
        <w:rPr>
          <w:spacing w:val="-7"/>
        </w:rPr>
        <w:t> </w:t>
      </w:r>
      <w:r>
        <w:rPr/>
        <w:t>of</w:t>
      </w:r>
      <w:r>
        <w:rPr>
          <w:spacing w:val="-6"/>
        </w:rPr>
        <w:t> </w:t>
      </w:r>
      <w:r>
        <w:rPr/>
        <w:t>wallet</w:t>
      </w:r>
      <w:r>
        <w:rPr>
          <w:spacing w:val="-6"/>
        </w:rPr>
        <w:t> </w:t>
      </w:r>
      <w:r>
        <w:rPr>
          <w:spacing w:val="-2"/>
        </w:rPr>
        <w:t>pairs.</w:t>
      </w:r>
    </w:p>
    <w:p>
      <w:pPr>
        <w:pStyle w:val="BodyText"/>
        <w:ind w:left="282"/>
        <w:jc w:val="both"/>
      </w:pPr>
      <w:r>
        <w:rPr>
          <w:i/>
        </w:rPr>
        <w:t>지갑 쌍의 일부.</w:t>
      </w:r>
    </w:p>
    <w:p>
      <w:pPr>
        <w:pStyle w:val="BodyText"/>
        <w:spacing w:line="391" w:lineRule="auto" w:before="194"/>
        <w:ind w:left="282" w:right="524"/>
        <w:jc w:val="both"/>
      </w:pPr>
      <w:r>
        <w:rPr/>
        <w:t>Rank divergence is the structural counterpart of construct-specific alignment.</w:t>
      </w:r>
      <w:r>
        <w:rPr>
          <w:spacing w:val="36"/>
        </w:rPr>
        <w:t> </w:t>
      </w:r>
      <w:r>
        <w:rPr/>
        <w:t>If the two methods produced nearly identical orderings, family-level winners in Table </w:t>
      </w:r>
      <w:hyperlink w:history="true" w:anchor="_bookmark101">
        <w:r>
          <w:rPr/>
          <w:t>4.7</w:t>
        </w:r>
      </w:hyperlink>
      <w:r>
        <w:rPr/>
        <w:t> would be difficult to inter-pret as construct effects; they could be noise around a shared ranking.</w:t>
      </w:r>
      <w:r>
        <w:rPr>
          <w:spacing w:val="40"/>
        </w:rPr>
        <w:t> </w:t>
      </w:r>
      <w:r>
        <w:rPr/>
        <w:t>The observed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316</w:t>
      </w:r>
      <w:r>
        <w:rPr/>
        <w:t>, together</w:t>
      </w:r>
      <w:r>
        <w:rPr>
          <w:spacing w:val="-4"/>
        </w:rPr>
        <w:t> </w:t>
      </w:r>
      <w:r>
        <w:rPr/>
        <w:t>with</w:t>
      </w:r>
      <w:r>
        <w:rPr>
          <w:spacing w:val="-4"/>
        </w:rPr>
        <w:t> </w:t>
      </w:r>
      <w:r>
        <w:rPr/>
        <w:t>EndorseRank’s</w:t>
      </w:r>
      <w:r>
        <w:rPr>
          <w:spacing w:val="-4"/>
        </w:rPr>
        <w:t> </w:t>
      </w:r>
      <w:r>
        <w:rPr/>
        <w:t>allowance</w:t>
      </w:r>
      <w:r>
        <w:rPr>
          <w:spacing w:val="-4"/>
        </w:rPr>
        <w:t> </w:t>
      </w:r>
      <w:r>
        <w:rPr/>
        <w:t>lead</w:t>
      </w:r>
      <w:r>
        <w:rPr>
          <w:spacing w:val="-4"/>
        </w:rPr>
        <w:t> </w:t>
      </w:r>
      <w:r>
        <w:rPr/>
        <w:t>and</w:t>
      </w:r>
      <w:r>
        <w:rPr>
          <w:spacing w:val="-4"/>
        </w:rPr>
        <w:t> </w:t>
      </w:r>
      <w:r>
        <w:rPr/>
        <w:t>AWP’s</w:t>
      </w:r>
      <w:r>
        <w:rPr>
          <w:spacing w:val="-4"/>
        </w:rPr>
        <w:t> </w:t>
      </w:r>
      <w:r>
        <w:rPr/>
        <w:t>transfer</w:t>
      </w:r>
      <w:r>
        <w:rPr>
          <w:spacing w:val="-4"/>
        </w:rPr>
        <w:t> </w:t>
      </w:r>
      <w:r>
        <w:rPr/>
        <w:t>lead,</w:t>
      </w:r>
      <w:r>
        <w:rPr>
          <w:spacing w:val="-2"/>
        </w:rPr>
        <w:t> </w:t>
      </w:r>
      <w:r>
        <w:rPr/>
        <w:t>supports</w:t>
      </w:r>
      <w:r>
        <w:rPr>
          <w:spacing w:val="-4"/>
        </w:rPr>
        <w:t> </w:t>
      </w:r>
      <w:r>
        <w:rPr/>
        <w:t>reading</w:t>
      </w:r>
      <w:r>
        <w:rPr>
          <w:spacing w:val="-4"/>
        </w:rPr>
        <w:t> </w:t>
      </w:r>
      <w:r>
        <w:rPr/>
        <w:t>the</w:t>
      </w:r>
      <w:r>
        <w:rPr>
          <w:spacing w:val="-4"/>
        </w:rPr>
        <w:t> </w:t>
      </w:r>
      <w:r>
        <w:rPr/>
        <w:t>meth-ods as related but distinct reputation instruments.</w:t>
      </w:r>
      <w:r>
        <w:rPr>
          <w:spacing w:val="36"/>
        </w:rPr>
        <w:t> </w:t>
      </w:r>
      <w:r>
        <w:rPr/>
        <w:t>H1 is supported: EndorseRank and AWP yield partially overlapping yet construct-distinct orderings on the matched cohort.</w:t>
      </w:r>
    </w:p>
    <w:p>
      <w:pPr>
        <w:pStyle w:val="BodyText"/>
        <w:spacing w:line="391" w:lineRule="auto" w:before="194"/>
        <w:ind w:left="282" w:right="524"/>
        <w:jc w:val="both"/>
      </w:pPr>
      <w:r>
        <w:rPr>
          <w:i/>
        </w:rPr>
        <w:t>순위 발산은 구성별 정렬의 구조적 대응입니다. 두 가지 방법이 거의 동일한 순서를 생성하는 경우 표 4.7의 가족 수준 승자는 구성 효과로 해석하기 어려울 수 있으며 공유 순위에 대한 노이즈일 수 있습니다. 관찰된 τ = 0.316은 EndorseRank의 허용 리드 및 AWP의 전송 리드와 함께 이 방법을 관련이 있지만 별개의 평판 도구로 읽는 데 도움이 됩니다. H1이 지원됩니다. EndorseRank 및 AWP는 일치하는 코호트에서 부분적으로 겹치지만 구조적으로 구별되는 순서를 생성합니다.</w:t>
      </w:r>
    </w:p>
    <w:p>
      <w:pPr>
        <w:pStyle w:val="BodyText"/>
        <w:spacing w:line="393" w:lineRule="auto" w:before="22"/>
        <w:ind w:left="282" w:right="521" w:hanging="9"/>
        <w:jc w:val="both"/>
      </w:pPr>
      <w:r>
        <w:rPr/>
        <w:t>An operational reading of </w:t>
      </w:r>
      <w:r>
        <w:rPr>
          <w:rFonts w:ascii="Calibri" w:hAnsi="Calibri"/>
          <w:i/>
        </w:rPr>
        <w:t>τ</w:t>
      </w:r>
      <w:r>
        <w:rPr>
          <w:rFonts w:ascii="Calibri" w:hAnsi="Calibri"/>
          <w:i/>
          <w:spacing w:val="34"/>
          <w:w w:val="125"/>
        </w:rPr>
        <w:t> </w:t>
      </w:r>
      <w:r>
        <w:rPr>
          <w:rFonts w:ascii="Calibri" w:hAnsi="Calibri"/>
          <w:w w:val="125"/>
        </w:rPr>
        <w:t>= </w:t>
      </w:r>
      <w:r>
        <w:rPr>
          <w:rFonts w:ascii="Calibri" w:hAnsi="Calibri"/>
        </w:rPr>
        <w:t>0</w:t>
      </w:r>
      <w:r>
        <w:rPr>
          <w:rFonts w:ascii="Calibri" w:hAnsi="Calibri"/>
          <w:i/>
        </w:rPr>
        <w:t>.</w:t>
      </w:r>
      <w:r>
        <w:rPr>
          <w:rFonts w:ascii="Calibri" w:hAnsi="Calibri"/>
        </w:rPr>
        <w:t>316 </w:t>
      </w:r>
      <w:r>
        <w:rPr/>
        <w:t>is that for a randomly chosen pair of wallets, the probability that</w:t>
      </w:r>
      <w:r>
        <w:rPr>
          <w:spacing w:val="-3"/>
        </w:rPr>
        <w:t> </w:t>
      </w:r>
      <w:r>
        <w:rPr/>
        <w:t>EndorseRank</w:t>
      </w:r>
      <w:r>
        <w:rPr>
          <w:spacing w:val="-3"/>
        </w:rPr>
        <w:t> </w:t>
      </w:r>
      <w:r>
        <w:rPr/>
        <w:t>and</w:t>
      </w:r>
      <w:r>
        <w:rPr>
          <w:spacing w:val="-3"/>
        </w:rPr>
        <w:t> </w:t>
      </w:r>
      <w:r>
        <w:rPr/>
        <w:t>AWP</w:t>
      </w:r>
      <w:r>
        <w:rPr>
          <w:spacing w:val="-4"/>
        </w:rPr>
        <w:t> </w:t>
      </w:r>
      <w:r>
        <w:rPr/>
        <w:t>agree</w:t>
      </w:r>
      <w:r>
        <w:rPr>
          <w:spacing w:val="-3"/>
        </w:rPr>
        <w:t> </w:t>
      </w:r>
      <w:r>
        <w:rPr/>
        <w:t>on</w:t>
      </w:r>
      <w:r>
        <w:rPr>
          <w:spacing w:val="-3"/>
        </w:rPr>
        <w:t> </w:t>
      </w:r>
      <w:r>
        <w:rPr/>
        <w:t>which</w:t>
      </w:r>
      <w:r>
        <w:rPr>
          <w:spacing w:val="-3"/>
        </w:rPr>
        <w:t> </w:t>
      </w:r>
      <w:r>
        <w:rPr/>
        <w:t>wallet</w:t>
      </w:r>
      <w:r>
        <w:rPr>
          <w:spacing w:val="-3"/>
        </w:rPr>
        <w:t> </w:t>
      </w:r>
      <w:r>
        <w:rPr/>
        <w:t>ranks</w:t>
      </w:r>
      <w:r>
        <w:rPr>
          <w:spacing w:val="-3"/>
        </w:rPr>
        <w:t> </w:t>
      </w:r>
      <w:r>
        <w:rPr/>
        <w:t>higher</w:t>
      </w:r>
      <w:r>
        <w:rPr>
          <w:spacing w:val="-3"/>
        </w:rPr>
        <w:t> </w:t>
      </w:r>
      <w:r>
        <w:rPr/>
        <w:t>is</w:t>
      </w:r>
      <w:r>
        <w:rPr>
          <w:spacing w:val="-3"/>
        </w:rPr>
        <w:t> </w:t>
      </w:r>
      <w:r>
        <w:rPr/>
        <w:t>only</w:t>
      </w:r>
      <w:r>
        <w:rPr>
          <w:spacing w:val="-3"/>
        </w:rPr>
        <w:t> </w:t>
      </w:r>
      <w:r>
        <w:rPr/>
        <w:t>moderately</w:t>
      </w:r>
      <w:r>
        <w:rPr>
          <w:spacing w:val="-3"/>
        </w:rPr>
        <w:t> </w:t>
      </w:r>
      <w:r>
        <w:rPr/>
        <w:t>above</w:t>
      </w:r>
      <w:r>
        <w:rPr>
          <w:spacing w:val="-3"/>
        </w:rPr>
        <w:t> </w:t>
      </w:r>
      <w:r>
        <w:rPr/>
        <w:t>chance. Protocols</w:t>
      </w:r>
      <w:r>
        <w:rPr>
          <w:spacing w:val="-12"/>
        </w:rPr>
        <w:t> </w:t>
      </w:r>
      <w:r>
        <w:rPr/>
        <w:t>that</w:t>
      </w:r>
      <w:r>
        <w:rPr>
          <w:spacing w:val="-12"/>
        </w:rPr>
        <w:t> </w:t>
      </w:r>
      <w:r>
        <w:rPr/>
        <w:t>currently</w:t>
      </w:r>
      <w:r>
        <w:rPr>
          <w:spacing w:val="-12"/>
        </w:rPr>
        <w:t> </w:t>
      </w:r>
      <w:r>
        <w:rPr/>
        <w:t>use</w:t>
      </w:r>
      <w:r>
        <w:rPr>
          <w:spacing w:val="-12"/>
        </w:rPr>
        <w:t> </w:t>
      </w:r>
      <w:r>
        <w:rPr/>
        <w:t>transfer-based</w:t>
      </w:r>
      <w:r>
        <w:rPr>
          <w:spacing w:val="-12"/>
        </w:rPr>
        <w:t> </w:t>
      </w:r>
      <w:r>
        <w:rPr/>
        <w:t>scores</w:t>
      </w:r>
      <w:r>
        <w:rPr>
          <w:spacing w:val="-12"/>
        </w:rPr>
        <w:t> </w:t>
      </w:r>
      <w:r>
        <w:rPr/>
        <w:t>cannot</w:t>
      </w:r>
      <w:r>
        <w:rPr>
          <w:spacing w:val="-12"/>
        </w:rPr>
        <w:t> </w:t>
      </w:r>
      <w:r>
        <w:rPr/>
        <w:t>assume</w:t>
      </w:r>
      <w:r>
        <w:rPr>
          <w:spacing w:val="-12"/>
        </w:rPr>
        <w:t> </w:t>
      </w:r>
      <w:r>
        <w:rPr/>
        <w:t>that</w:t>
      </w:r>
      <w:r>
        <w:rPr>
          <w:spacing w:val="-12"/>
        </w:rPr>
        <w:t> </w:t>
      </w:r>
      <w:r>
        <w:rPr/>
        <w:t>switching</w:t>
      </w:r>
      <w:r>
        <w:rPr>
          <w:spacing w:val="-12"/>
        </w:rPr>
        <w:t> </w:t>
      </w:r>
      <w:r>
        <w:rPr/>
        <w:t>to</w:t>
      </w:r>
      <w:r>
        <w:rPr>
          <w:spacing w:val="-12"/>
        </w:rPr>
        <w:t> </w:t>
      </w:r>
      <w:r>
        <w:rPr/>
        <w:t>allowance-based scores—or</w:t>
      </w:r>
      <w:r>
        <w:rPr>
          <w:spacing w:val="18"/>
        </w:rPr>
        <w:t> </w:t>
      </w:r>
      <w:r>
        <w:rPr/>
        <w:t>blending</w:t>
      </w:r>
      <w:r>
        <w:rPr>
          <w:spacing w:val="18"/>
        </w:rPr>
        <w:t> </w:t>
      </w:r>
      <w:r>
        <w:rPr/>
        <w:t>the</w:t>
      </w:r>
      <w:r>
        <w:rPr>
          <w:spacing w:val="18"/>
        </w:rPr>
        <w:t> </w:t>
      </w:r>
      <w:r>
        <w:rPr/>
        <w:t>two—will</w:t>
      </w:r>
      <w:r>
        <w:rPr>
          <w:spacing w:val="18"/>
        </w:rPr>
        <w:t> </w:t>
      </w:r>
      <w:r>
        <w:rPr/>
        <w:t>preserve</w:t>
      </w:r>
      <w:r>
        <w:rPr>
          <w:spacing w:val="18"/>
        </w:rPr>
        <w:t> </w:t>
      </w:r>
      <w:r>
        <w:rPr/>
        <w:t>existing</w:t>
      </w:r>
      <w:r>
        <w:rPr>
          <w:spacing w:val="18"/>
        </w:rPr>
        <w:t> </w:t>
      </w:r>
      <w:r>
        <w:rPr/>
        <w:t>wallet</w:t>
      </w:r>
      <w:r>
        <w:rPr>
          <w:spacing w:val="18"/>
        </w:rPr>
        <w:t> </w:t>
      </w:r>
      <w:r>
        <w:rPr/>
        <w:t>orderings.</w:t>
      </w:r>
      <w:r>
        <w:rPr>
          <w:spacing w:val="78"/>
        </w:rPr>
        <w:t> </w:t>
      </w:r>
      <w:r>
        <w:rPr/>
        <w:t>Migration</w:t>
      </w:r>
      <w:r>
        <w:rPr>
          <w:spacing w:val="18"/>
        </w:rPr>
        <w:t> </w:t>
      </w:r>
      <w:r>
        <w:rPr/>
        <w:t>would</w:t>
      </w:r>
      <w:r>
        <w:rPr>
          <w:spacing w:val="18"/>
        </w:rPr>
        <w:t> </w:t>
      </w:r>
      <w:r>
        <w:rPr/>
        <w:t>re-rank a substantial fraction of pairs, with the largest disagreements likely concentrated among wallets that are transfer hubs but rarely endorsed as spenders, or endorsed spenders with limited transfer footprints.</w:t>
      </w:r>
      <w:r>
        <w:rPr>
          <w:spacing w:val="10"/>
        </w:rPr>
        <w:t> </w:t>
      </w:r>
      <w:r>
        <w:rPr/>
        <w:t>Figure</w:t>
      </w:r>
      <w:r>
        <w:rPr>
          <w:spacing w:val="-9"/>
        </w:rPr>
        <w:t> </w:t>
      </w:r>
      <w:hyperlink w:history="true" w:anchor="_bookmark111">
        <w:r>
          <w:rPr/>
          <w:t>4.8</w:t>
        </w:r>
      </w:hyperlink>
      <w:r>
        <w:rPr>
          <w:spacing w:val="-8"/>
        </w:rPr>
        <w:t> </w:t>
      </w:r>
      <w:r>
        <w:rPr/>
        <w:t>is</w:t>
      </w:r>
      <w:r>
        <w:rPr>
          <w:spacing w:val="-9"/>
        </w:rPr>
        <w:t> </w:t>
      </w:r>
      <w:r>
        <w:rPr/>
        <w:t>consistent</w:t>
      </w:r>
      <w:r>
        <w:rPr>
          <w:spacing w:val="-9"/>
        </w:rPr>
        <w:t> </w:t>
      </w:r>
      <w:r>
        <w:rPr/>
        <w:t>with</w:t>
      </w:r>
      <w:r>
        <w:rPr>
          <w:spacing w:val="-8"/>
        </w:rPr>
        <w:t> </w:t>
      </w:r>
      <w:r>
        <w:rPr/>
        <w:t>that</w:t>
      </w:r>
      <w:r>
        <w:rPr>
          <w:spacing w:val="-9"/>
        </w:rPr>
        <w:t> </w:t>
      </w:r>
      <w:r>
        <w:rPr/>
        <w:t>interpretation:</w:t>
      </w:r>
      <w:r>
        <w:rPr>
          <w:spacing w:val="11"/>
        </w:rPr>
        <w:t> </w:t>
      </w:r>
      <w:r>
        <w:rPr/>
        <w:t>the</w:t>
      </w:r>
      <w:r>
        <w:rPr>
          <w:spacing w:val="-9"/>
        </w:rPr>
        <w:t> </w:t>
      </w:r>
      <w:r>
        <w:rPr/>
        <w:t>cloud</w:t>
      </w:r>
      <w:r>
        <w:rPr>
          <w:spacing w:val="-9"/>
        </w:rPr>
        <w:t> </w:t>
      </w:r>
      <w:r>
        <w:rPr/>
        <w:t>is</w:t>
      </w:r>
      <w:r>
        <w:rPr>
          <w:spacing w:val="-8"/>
        </w:rPr>
        <w:t> </w:t>
      </w:r>
      <w:r>
        <w:rPr/>
        <w:t>positively</w:t>
      </w:r>
      <w:r>
        <w:rPr>
          <w:spacing w:val="-9"/>
        </w:rPr>
        <w:t> </w:t>
      </w:r>
      <w:r>
        <w:rPr/>
        <w:t>sloped</w:t>
      </w:r>
      <w:r>
        <w:rPr>
          <w:spacing w:val="-8"/>
        </w:rPr>
        <w:t> </w:t>
      </w:r>
      <w:r>
        <w:rPr/>
        <w:t>but</w:t>
      </w:r>
      <w:r>
        <w:rPr>
          <w:spacing w:val="-9"/>
        </w:rPr>
        <w:t> </w:t>
      </w:r>
      <w:r>
        <w:rPr>
          <w:spacing w:val="-4"/>
        </w:rPr>
        <w:t>wide.</w:t>
      </w:r>
    </w:p>
    <w:p>
      <w:pPr>
        <w:pStyle w:val="BodyText"/>
        <w:spacing w:line="393" w:lineRule="auto" w:before="22"/>
        <w:ind w:left="282" w:right="521" w:hanging="9"/>
        <w:jc w:val="both"/>
      </w:pPr>
      <w:r>
        <w:rPr>
          <w:i/>
        </w:rPr>
        <w:t>τ = 0.316의 연산 판독값은 무작위로 선택된 지갑 쌍의 경우 EndorseRank 및 AWP가 어느 지갑의 순위가 더 높은지에 동의할 확률이 확률보다 약간 높다는 것입니다. 현재 전송 기반 점수를 사용하는 프로토콜은 허용량 기반 점수로 전환하거나 두 가지를 혼합하면 기존 지갑 주문이 유지된다고 가정할 수 없습니다. 마이그레이션은 쌍의 상당 부분을 재평가할 것이며, 가장 큰 불일치는 전송 허브이지만 지출자로 거의 승인되지 않은 지갑이나 전송 공간이 제한된 승인된 지출자 사이에 집중되었을 가능성이 높습니다. 그림 4.8은 그 해석과 일치합니다. 구름은 양의 경사를 이루지만 넓습니다.</w:t>
      </w:r>
    </w:p>
    <w:p>
      <w:pPr>
        <w:pStyle w:val="BodyText"/>
        <w:spacing w:after="0" w:line="393" w:lineRule="auto"/>
        <w:jc w:val="both"/>
        <w:sectPr>
          <w:type w:val="continuous"/>
          <w:pgSz w:w="11910" w:h="16840"/>
          <w:pgMar w:header="0" w:footer="2115" w:top="1920" w:bottom="280" w:left="992" w:right="708"/>
        </w:sect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42"/>
        <w:rPr>
          <w:sz w:val="25"/>
        </w:rPr>
      </w:pPr>
    </w:p>
    <w:p>
      <w:pPr>
        <w:spacing w:before="0"/>
        <w:ind w:left="1301" w:right="0" w:firstLine="0"/>
        <w:jc w:val="left"/>
        <w:rPr>
          <w:rFonts w:ascii="Verdana"/>
          <w:sz w:val="27"/>
        </w:rPr>
      </w:pPr>
      <w:r>
        <w:rPr>
          <w:rFonts w:ascii="Verdana"/>
          <w:sz w:val="27"/>
        </w:rPr>
        <mc:AlternateContent>
          <mc:Choice Requires="wps">
            <w:drawing>
              <wp:anchor distT="0" distB="0" distL="0" distR="0" allowOverlap="1" layoutInCell="1" locked="0" behindDoc="0" simplePos="0" relativeHeight="15786496">
                <wp:simplePos x="0" y="0"/>
                <wp:positionH relativeFrom="page">
                  <wp:posOffset>1912974</wp:posOffset>
                </wp:positionH>
                <wp:positionV relativeFrom="paragraph">
                  <wp:posOffset>-467612</wp:posOffset>
                </wp:positionV>
                <wp:extent cx="4434205" cy="4434205"/>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4434205" cy="4434205"/>
                          <a:chExt cx="4434205" cy="4434205"/>
                        </a:xfrm>
                      </wpg:grpSpPr>
                      <wps:wsp>
                        <wps:cNvPr id="815" name="Graphic 815"/>
                        <wps:cNvSpPr/>
                        <wps:spPr>
                          <a:xfrm>
                            <a:off x="1496937" y="318231"/>
                            <a:ext cx="2712720" cy="3772535"/>
                          </a:xfrm>
                          <a:custGeom>
                            <a:avLst/>
                            <a:gdLst/>
                            <a:ahLst/>
                            <a:cxnLst/>
                            <a:rect l="l" t="t" r="r" b="b"/>
                            <a:pathLst>
                              <a:path w="2712720" h="3772535">
                                <a:moveTo>
                                  <a:pt x="38633" y="913587"/>
                                </a:moveTo>
                                <a:lnTo>
                                  <a:pt x="36601" y="908672"/>
                                </a:lnTo>
                                <a:lnTo>
                                  <a:pt x="29349" y="901420"/>
                                </a:lnTo>
                                <a:lnTo>
                                  <a:pt x="24434" y="899388"/>
                                </a:lnTo>
                                <a:lnTo>
                                  <a:pt x="14185" y="899388"/>
                                </a:lnTo>
                                <a:lnTo>
                                  <a:pt x="9271" y="901420"/>
                                </a:lnTo>
                                <a:lnTo>
                                  <a:pt x="2032" y="908672"/>
                                </a:lnTo>
                                <a:lnTo>
                                  <a:pt x="0" y="913587"/>
                                </a:lnTo>
                                <a:lnTo>
                                  <a:pt x="0" y="923836"/>
                                </a:lnTo>
                                <a:lnTo>
                                  <a:pt x="2032" y="928751"/>
                                </a:lnTo>
                                <a:lnTo>
                                  <a:pt x="9271" y="935990"/>
                                </a:lnTo>
                                <a:lnTo>
                                  <a:pt x="14185" y="938022"/>
                                </a:lnTo>
                                <a:lnTo>
                                  <a:pt x="19316" y="938022"/>
                                </a:lnTo>
                                <a:lnTo>
                                  <a:pt x="24434" y="938022"/>
                                </a:lnTo>
                                <a:lnTo>
                                  <a:pt x="29349" y="935990"/>
                                </a:lnTo>
                                <a:lnTo>
                                  <a:pt x="36601" y="928751"/>
                                </a:lnTo>
                                <a:lnTo>
                                  <a:pt x="38633" y="923836"/>
                                </a:lnTo>
                                <a:lnTo>
                                  <a:pt x="38633" y="913587"/>
                                </a:lnTo>
                                <a:close/>
                              </a:path>
                              <a:path w="2712720" h="3772535">
                                <a:moveTo>
                                  <a:pt x="485089" y="14198"/>
                                </a:moveTo>
                                <a:lnTo>
                                  <a:pt x="483044" y="9283"/>
                                </a:lnTo>
                                <a:lnTo>
                                  <a:pt x="475805" y="2044"/>
                                </a:lnTo>
                                <a:lnTo>
                                  <a:pt x="470890" y="0"/>
                                </a:lnTo>
                                <a:lnTo>
                                  <a:pt x="460641" y="0"/>
                                </a:lnTo>
                                <a:lnTo>
                                  <a:pt x="455726" y="2044"/>
                                </a:lnTo>
                                <a:lnTo>
                                  <a:pt x="448487" y="9283"/>
                                </a:lnTo>
                                <a:lnTo>
                                  <a:pt x="446443" y="14198"/>
                                </a:lnTo>
                                <a:lnTo>
                                  <a:pt x="446443" y="24447"/>
                                </a:lnTo>
                                <a:lnTo>
                                  <a:pt x="448487" y="29362"/>
                                </a:lnTo>
                                <a:lnTo>
                                  <a:pt x="455726" y="36601"/>
                                </a:lnTo>
                                <a:lnTo>
                                  <a:pt x="460641" y="38646"/>
                                </a:lnTo>
                                <a:lnTo>
                                  <a:pt x="465759" y="38646"/>
                                </a:lnTo>
                                <a:lnTo>
                                  <a:pt x="470890" y="38646"/>
                                </a:lnTo>
                                <a:lnTo>
                                  <a:pt x="475805" y="36601"/>
                                </a:lnTo>
                                <a:lnTo>
                                  <a:pt x="483044" y="29362"/>
                                </a:lnTo>
                                <a:lnTo>
                                  <a:pt x="485089" y="24447"/>
                                </a:lnTo>
                                <a:lnTo>
                                  <a:pt x="485089" y="14198"/>
                                </a:lnTo>
                                <a:close/>
                              </a:path>
                              <a:path w="2712720" h="3772535">
                                <a:moveTo>
                                  <a:pt x="2175840" y="3438194"/>
                                </a:moveTo>
                                <a:lnTo>
                                  <a:pt x="2173808" y="3433280"/>
                                </a:lnTo>
                                <a:lnTo>
                                  <a:pt x="2166556" y="3426041"/>
                                </a:lnTo>
                                <a:lnTo>
                                  <a:pt x="2161641" y="3424009"/>
                                </a:lnTo>
                                <a:lnTo>
                                  <a:pt x="2151405" y="3424009"/>
                                </a:lnTo>
                                <a:lnTo>
                                  <a:pt x="2146490" y="3426041"/>
                                </a:lnTo>
                                <a:lnTo>
                                  <a:pt x="2139238" y="3433280"/>
                                </a:lnTo>
                                <a:lnTo>
                                  <a:pt x="2137206" y="3438194"/>
                                </a:lnTo>
                                <a:lnTo>
                                  <a:pt x="2137206" y="3448443"/>
                                </a:lnTo>
                                <a:lnTo>
                                  <a:pt x="2139238" y="3453358"/>
                                </a:lnTo>
                                <a:lnTo>
                                  <a:pt x="2146490" y="3460610"/>
                                </a:lnTo>
                                <a:lnTo>
                                  <a:pt x="2151405" y="3462642"/>
                                </a:lnTo>
                                <a:lnTo>
                                  <a:pt x="2156523" y="3462642"/>
                                </a:lnTo>
                                <a:lnTo>
                                  <a:pt x="2161641" y="3462642"/>
                                </a:lnTo>
                                <a:lnTo>
                                  <a:pt x="2166556" y="3460610"/>
                                </a:lnTo>
                                <a:lnTo>
                                  <a:pt x="2173808" y="3453358"/>
                                </a:lnTo>
                                <a:lnTo>
                                  <a:pt x="2175840" y="3448443"/>
                                </a:lnTo>
                                <a:lnTo>
                                  <a:pt x="2175840" y="3438194"/>
                                </a:lnTo>
                                <a:close/>
                              </a:path>
                              <a:path w="2712720" h="3772535">
                                <a:moveTo>
                                  <a:pt x="2204643" y="2350147"/>
                                </a:moveTo>
                                <a:lnTo>
                                  <a:pt x="2202611" y="2345232"/>
                                </a:lnTo>
                                <a:lnTo>
                                  <a:pt x="2195360" y="2337993"/>
                                </a:lnTo>
                                <a:lnTo>
                                  <a:pt x="2190445" y="2335961"/>
                                </a:lnTo>
                                <a:lnTo>
                                  <a:pt x="2180209" y="2335961"/>
                                </a:lnTo>
                                <a:lnTo>
                                  <a:pt x="2175294" y="2337993"/>
                                </a:lnTo>
                                <a:lnTo>
                                  <a:pt x="2168042" y="2345232"/>
                                </a:lnTo>
                                <a:lnTo>
                                  <a:pt x="2167559" y="2346401"/>
                                </a:lnTo>
                                <a:lnTo>
                                  <a:pt x="2166683" y="2346033"/>
                                </a:lnTo>
                                <a:lnTo>
                                  <a:pt x="2156434" y="2346033"/>
                                </a:lnTo>
                                <a:lnTo>
                                  <a:pt x="2151532" y="2348077"/>
                                </a:lnTo>
                                <a:lnTo>
                                  <a:pt x="2144280" y="2355316"/>
                                </a:lnTo>
                                <a:lnTo>
                                  <a:pt x="2142248" y="2360231"/>
                                </a:lnTo>
                                <a:lnTo>
                                  <a:pt x="2142248" y="2370480"/>
                                </a:lnTo>
                                <a:lnTo>
                                  <a:pt x="2144280" y="2375395"/>
                                </a:lnTo>
                                <a:lnTo>
                                  <a:pt x="2151532" y="2382634"/>
                                </a:lnTo>
                                <a:lnTo>
                                  <a:pt x="2156434" y="2384679"/>
                                </a:lnTo>
                                <a:lnTo>
                                  <a:pt x="2161565" y="2384679"/>
                                </a:lnTo>
                                <a:lnTo>
                                  <a:pt x="2166683" y="2384679"/>
                                </a:lnTo>
                                <a:lnTo>
                                  <a:pt x="2171598" y="2382634"/>
                                </a:lnTo>
                                <a:lnTo>
                                  <a:pt x="2178850" y="2375395"/>
                                </a:lnTo>
                                <a:lnTo>
                                  <a:pt x="2179320" y="2374239"/>
                                </a:lnTo>
                                <a:lnTo>
                                  <a:pt x="2180209" y="2374595"/>
                                </a:lnTo>
                                <a:lnTo>
                                  <a:pt x="2185327" y="2374595"/>
                                </a:lnTo>
                                <a:lnTo>
                                  <a:pt x="2190445" y="2374595"/>
                                </a:lnTo>
                                <a:lnTo>
                                  <a:pt x="2195360" y="2372563"/>
                                </a:lnTo>
                                <a:lnTo>
                                  <a:pt x="2202611" y="2365311"/>
                                </a:lnTo>
                                <a:lnTo>
                                  <a:pt x="2204643" y="2360396"/>
                                </a:lnTo>
                                <a:lnTo>
                                  <a:pt x="2204643" y="2350147"/>
                                </a:lnTo>
                                <a:close/>
                              </a:path>
                              <a:path w="2712720" h="3772535">
                                <a:moveTo>
                                  <a:pt x="2262251" y="1564538"/>
                                </a:moveTo>
                                <a:lnTo>
                                  <a:pt x="2260219" y="1559623"/>
                                </a:lnTo>
                                <a:lnTo>
                                  <a:pt x="2252967" y="1552384"/>
                                </a:lnTo>
                                <a:lnTo>
                                  <a:pt x="2248052" y="1550339"/>
                                </a:lnTo>
                                <a:lnTo>
                                  <a:pt x="2237816" y="1550339"/>
                                </a:lnTo>
                                <a:lnTo>
                                  <a:pt x="2232901" y="1552384"/>
                                </a:lnTo>
                                <a:lnTo>
                                  <a:pt x="2225649" y="1559623"/>
                                </a:lnTo>
                                <a:lnTo>
                                  <a:pt x="2223617" y="1564538"/>
                                </a:lnTo>
                                <a:lnTo>
                                  <a:pt x="2223617" y="1574787"/>
                                </a:lnTo>
                                <a:lnTo>
                                  <a:pt x="2225649" y="1579702"/>
                                </a:lnTo>
                                <a:lnTo>
                                  <a:pt x="2232901" y="1586941"/>
                                </a:lnTo>
                                <a:lnTo>
                                  <a:pt x="2237816" y="1588985"/>
                                </a:lnTo>
                                <a:lnTo>
                                  <a:pt x="2242934" y="1588985"/>
                                </a:lnTo>
                                <a:lnTo>
                                  <a:pt x="2248052" y="1588985"/>
                                </a:lnTo>
                                <a:lnTo>
                                  <a:pt x="2252967" y="1586941"/>
                                </a:lnTo>
                                <a:lnTo>
                                  <a:pt x="2260219" y="1579702"/>
                                </a:lnTo>
                                <a:lnTo>
                                  <a:pt x="2262251" y="1574787"/>
                                </a:lnTo>
                                <a:lnTo>
                                  <a:pt x="2262251" y="1564538"/>
                                </a:lnTo>
                                <a:close/>
                              </a:path>
                              <a:path w="2712720" h="3772535">
                                <a:moveTo>
                                  <a:pt x="2457399" y="3130004"/>
                                </a:moveTo>
                                <a:lnTo>
                                  <a:pt x="2455354" y="3125089"/>
                                </a:lnTo>
                                <a:lnTo>
                                  <a:pt x="2448115" y="3117850"/>
                                </a:lnTo>
                                <a:lnTo>
                                  <a:pt x="2443200" y="3115805"/>
                                </a:lnTo>
                                <a:lnTo>
                                  <a:pt x="2432951" y="3115805"/>
                                </a:lnTo>
                                <a:lnTo>
                                  <a:pt x="2428036" y="3117850"/>
                                </a:lnTo>
                                <a:lnTo>
                                  <a:pt x="2420797" y="3125089"/>
                                </a:lnTo>
                                <a:lnTo>
                                  <a:pt x="2418753" y="3130004"/>
                                </a:lnTo>
                                <a:lnTo>
                                  <a:pt x="2418753" y="3140252"/>
                                </a:lnTo>
                                <a:lnTo>
                                  <a:pt x="2420797" y="3145167"/>
                                </a:lnTo>
                                <a:lnTo>
                                  <a:pt x="2428036" y="3152406"/>
                                </a:lnTo>
                                <a:lnTo>
                                  <a:pt x="2432951" y="3154438"/>
                                </a:lnTo>
                                <a:lnTo>
                                  <a:pt x="2438069" y="3154438"/>
                                </a:lnTo>
                                <a:lnTo>
                                  <a:pt x="2443200" y="3154438"/>
                                </a:lnTo>
                                <a:lnTo>
                                  <a:pt x="2448115" y="3152406"/>
                                </a:lnTo>
                                <a:lnTo>
                                  <a:pt x="2455354" y="3145167"/>
                                </a:lnTo>
                                <a:lnTo>
                                  <a:pt x="2457399" y="3140252"/>
                                </a:lnTo>
                                <a:lnTo>
                                  <a:pt x="2457399" y="3130004"/>
                                </a:lnTo>
                                <a:close/>
                              </a:path>
                              <a:path w="2712720" h="3772535">
                                <a:moveTo>
                                  <a:pt x="2464600" y="1581099"/>
                                </a:moveTo>
                                <a:lnTo>
                                  <a:pt x="2462555" y="1576184"/>
                                </a:lnTo>
                                <a:lnTo>
                                  <a:pt x="2455316" y="1568945"/>
                                </a:lnTo>
                                <a:lnTo>
                                  <a:pt x="2450401" y="1566913"/>
                                </a:lnTo>
                                <a:lnTo>
                                  <a:pt x="2440152" y="1566913"/>
                                </a:lnTo>
                                <a:lnTo>
                                  <a:pt x="2435237" y="1568945"/>
                                </a:lnTo>
                                <a:lnTo>
                                  <a:pt x="2427998" y="1576184"/>
                                </a:lnTo>
                                <a:lnTo>
                                  <a:pt x="2425954" y="1581099"/>
                                </a:lnTo>
                                <a:lnTo>
                                  <a:pt x="2425954" y="1591348"/>
                                </a:lnTo>
                                <a:lnTo>
                                  <a:pt x="2427998" y="1596263"/>
                                </a:lnTo>
                                <a:lnTo>
                                  <a:pt x="2435237" y="1603502"/>
                                </a:lnTo>
                                <a:lnTo>
                                  <a:pt x="2440152" y="1605546"/>
                                </a:lnTo>
                                <a:lnTo>
                                  <a:pt x="2445270" y="1605546"/>
                                </a:lnTo>
                                <a:lnTo>
                                  <a:pt x="2450401" y="1605546"/>
                                </a:lnTo>
                                <a:lnTo>
                                  <a:pt x="2455316" y="1603502"/>
                                </a:lnTo>
                                <a:lnTo>
                                  <a:pt x="2462555" y="1596263"/>
                                </a:lnTo>
                                <a:lnTo>
                                  <a:pt x="2464600" y="1591348"/>
                                </a:lnTo>
                                <a:lnTo>
                                  <a:pt x="2464600" y="1581099"/>
                                </a:lnTo>
                                <a:close/>
                              </a:path>
                              <a:path w="2712720" h="3772535">
                                <a:moveTo>
                                  <a:pt x="2499156" y="3747833"/>
                                </a:moveTo>
                                <a:lnTo>
                                  <a:pt x="2497124" y="3742918"/>
                                </a:lnTo>
                                <a:lnTo>
                                  <a:pt x="2489873" y="3735679"/>
                                </a:lnTo>
                                <a:lnTo>
                                  <a:pt x="2484958" y="3733635"/>
                                </a:lnTo>
                                <a:lnTo>
                                  <a:pt x="2474722" y="3733635"/>
                                </a:lnTo>
                                <a:lnTo>
                                  <a:pt x="2469807" y="3735679"/>
                                </a:lnTo>
                                <a:lnTo>
                                  <a:pt x="2462555" y="3742918"/>
                                </a:lnTo>
                                <a:lnTo>
                                  <a:pt x="2460523" y="3747833"/>
                                </a:lnTo>
                                <a:lnTo>
                                  <a:pt x="2460523" y="3758082"/>
                                </a:lnTo>
                                <a:lnTo>
                                  <a:pt x="2462555" y="3762997"/>
                                </a:lnTo>
                                <a:lnTo>
                                  <a:pt x="2469807" y="3770236"/>
                                </a:lnTo>
                                <a:lnTo>
                                  <a:pt x="2474722" y="3772281"/>
                                </a:lnTo>
                                <a:lnTo>
                                  <a:pt x="2479840" y="3772281"/>
                                </a:lnTo>
                                <a:lnTo>
                                  <a:pt x="2484958" y="3772281"/>
                                </a:lnTo>
                                <a:lnTo>
                                  <a:pt x="2489873" y="3770236"/>
                                </a:lnTo>
                                <a:lnTo>
                                  <a:pt x="2497124" y="3762997"/>
                                </a:lnTo>
                                <a:lnTo>
                                  <a:pt x="2499156" y="3758082"/>
                                </a:lnTo>
                                <a:lnTo>
                                  <a:pt x="2499156" y="3747833"/>
                                </a:lnTo>
                                <a:close/>
                              </a:path>
                              <a:path w="2712720" h="3772535">
                                <a:moveTo>
                                  <a:pt x="2689263" y="2902458"/>
                                </a:moveTo>
                                <a:lnTo>
                                  <a:pt x="2687231" y="2897543"/>
                                </a:lnTo>
                                <a:lnTo>
                                  <a:pt x="2679979" y="2890291"/>
                                </a:lnTo>
                                <a:lnTo>
                                  <a:pt x="2675064" y="2888259"/>
                                </a:lnTo>
                                <a:lnTo>
                                  <a:pt x="2664815" y="2888259"/>
                                </a:lnTo>
                                <a:lnTo>
                                  <a:pt x="2659900" y="2890291"/>
                                </a:lnTo>
                                <a:lnTo>
                                  <a:pt x="2652661" y="2897543"/>
                                </a:lnTo>
                                <a:lnTo>
                                  <a:pt x="2650629" y="2902458"/>
                                </a:lnTo>
                                <a:lnTo>
                                  <a:pt x="2650629" y="2912707"/>
                                </a:lnTo>
                                <a:lnTo>
                                  <a:pt x="2652661" y="2917621"/>
                                </a:lnTo>
                                <a:lnTo>
                                  <a:pt x="2659900" y="2924860"/>
                                </a:lnTo>
                                <a:lnTo>
                                  <a:pt x="2664815" y="2926892"/>
                                </a:lnTo>
                                <a:lnTo>
                                  <a:pt x="2669946" y="2926892"/>
                                </a:lnTo>
                                <a:lnTo>
                                  <a:pt x="2675064" y="2926892"/>
                                </a:lnTo>
                                <a:lnTo>
                                  <a:pt x="2679979" y="2924860"/>
                                </a:lnTo>
                                <a:lnTo>
                                  <a:pt x="2687231" y="2917621"/>
                                </a:lnTo>
                                <a:lnTo>
                                  <a:pt x="2689263" y="2912707"/>
                                </a:lnTo>
                                <a:lnTo>
                                  <a:pt x="2689263" y="2902458"/>
                                </a:lnTo>
                                <a:close/>
                              </a:path>
                              <a:path w="2712720" h="3772535">
                                <a:moveTo>
                                  <a:pt x="2695740" y="2986709"/>
                                </a:moveTo>
                                <a:lnTo>
                                  <a:pt x="2693708" y="2981795"/>
                                </a:lnTo>
                                <a:lnTo>
                                  <a:pt x="2686456" y="2974543"/>
                                </a:lnTo>
                                <a:lnTo>
                                  <a:pt x="2681541" y="2972511"/>
                                </a:lnTo>
                                <a:lnTo>
                                  <a:pt x="2671305" y="2972511"/>
                                </a:lnTo>
                                <a:lnTo>
                                  <a:pt x="2666390" y="2974543"/>
                                </a:lnTo>
                                <a:lnTo>
                                  <a:pt x="2659138" y="2981795"/>
                                </a:lnTo>
                                <a:lnTo>
                                  <a:pt x="2657106" y="2986709"/>
                                </a:lnTo>
                                <a:lnTo>
                                  <a:pt x="2657106" y="2996958"/>
                                </a:lnTo>
                                <a:lnTo>
                                  <a:pt x="2659138" y="3001873"/>
                                </a:lnTo>
                                <a:lnTo>
                                  <a:pt x="2666390" y="3009112"/>
                                </a:lnTo>
                                <a:lnTo>
                                  <a:pt x="2671305" y="3011144"/>
                                </a:lnTo>
                                <a:lnTo>
                                  <a:pt x="2676423" y="3011144"/>
                                </a:lnTo>
                                <a:lnTo>
                                  <a:pt x="2681541" y="3011144"/>
                                </a:lnTo>
                                <a:lnTo>
                                  <a:pt x="2686456" y="3009112"/>
                                </a:lnTo>
                                <a:lnTo>
                                  <a:pt x="2693708" y="3001873"/>
                                </a:lnTo>
                                <a:lnTo>
                                  <a:pt x="2695740" y="2996958"/>
                                </a:lnTo>
                                <a:lnTo>
                                  <a:pt x="2695740" y="2986709"/>
                                </a:lnTo>
                                <a:close/>
                              </a:path>
                              <a:path w="2712720" h="3772535">
                                <a:moveTo>
                                  <a:pt x="2712301" y="3217138"/>
                                </a:moveTo>
                                <a:lnTo>
                                  <a:pt x="2710269" y="3212223"/>
                                </a:lnTo>
                                <a:lnTo>
                                  <a:pt x="2703017" y="3204972"/>
                                </a:lnTo>
                                <a:lnTo>
                                  <a:pt x="2698115" y="3202940"/>
                                </a:lnTo>
                                <a:lnTo>
                                  <a:pt x="2687866" y="3202940"/>
                                </a:lnTo>
                                <a:lnTo>
                                  <a:pt x="2682951" y="3204972"/>
                                </a:lnTo>
                                <a:lnTo>
                                  <a:pt x="2675699" y="3212223"/>
                                </a:lnTo>
                                <a:lnTo>
                                  <a:pt x="2673667" y="3217138"/>
                                </a:lnTo>
                                <a:lnTo>
                                  <a:pt x="2673667" y="3227374"/>
                                </a:lnTo>
                                <a:lnTo>
                                  <a:pt x="2675699" y="3232289"/>
                                </a:lnTo>
                                <a:lnTo>
                                  <a:pt x="2682951" y="3239541"/>
                                </a:lnTo>
                                <a:lnTo>
                                  <a:pt x="2687866" y="3241573"/>
                                </a:lnTo>
                                <a:lnTo>
                                  <a:pt x="2692984" y="3241573"/>
                                </a:lnTo>
                                <a:lnTo>
                                  <a:pt x="2698115" y="3241573"/>
                                </a:lnTo>
                                <a:lnTo>
                                  <a:pt x="2703017" y="3239541"/>
                                </a:lnTo>
                                <a:lnTo>
                                  <a:pt x="2710269" y="3232289"/>
                                </a:lnTo>
                                <a:lnTo>
                                  <a:pt x="2712301" y="3227374"/>
                                </a:lnTo>
                                <a:lnTo>
                                  <a:pt x="2712301" y="3217138"/>
                                </a:lnTo>
                                <a:close/>
                              </a:path>
                            </a:pathLst>
                          </a:custGeom>
                          <a:solidFill>
                            <a:srgbClr val="2B5E8A">
                              <a:alpha val="34999"/>
                            </a:srgbClr>
                          </a:solidFill>
                        </wps:spPr>
                        <wps:bodyPr wrap="square" lIns="0" tIns="0" rIns="0" bIns="0" rtlCol="0">
                          <a:prstTxWarp prst="textNoShape">
                            <a:avLst/>
                          </a:prstTxWarp>
                          <a:noAutofit/>
                        </wps:bodyPr>
                      </wps:wsp>
                      <pic:pic>
                        <pic:nvPicPr>
                          <pic:cNvPr id="816" name="Image 816"/>
                          <pic:cNvPicPr/>
                        </pic:nvPicPr>
                        <pic:blipFill>
                          <a:blip r:embed="rId25" cstate="print"/>
                          <a:stretch>
                            <a:fillRect/>
                          </a:stretch>
                        </pic:blipFill>
                        <pic:spPr>
                          <a:xfrm>
                            <a:off x="237511" y="187174"/>
                            <a:ext cx="4009180" cy="4012061"/>
                          </a:xfrm>
                          <a:prstGeom prst="rect">
                            <a:avLst/>
                          </a:prstGeom>
                        </pic:spPr>
                      </pic:pic>
                      <wps:wsp>
                        <wps:cNvPr id="817" name="Graphic 817"/>
                        <wps:cNvSpPr/>
                        <wps:spPr>
                          <a:xfrm>
                            <a:off x="253229"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18" name="Graphic 818"/>
                        <wps:cNvSpPr/>
                        <wps:spPr>
                          <a:xfrm>
                            <a:off x="253229"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19" name="Graphic 819"/>
                        <wps:cNvSpPr/>
                        <wps:spPr>
                          <a:xfrm>
                            <a:off x="253229"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0" name="Graphic 820"/>
                        <wps:cNvSpPr/>
                        <wps:spPr>
                          <a:xfrm>
                            <a:off x="973313"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1" name="Graphic 821"/>
                        <wps:cNvSpPr/>
                        <wps:spPr>
                          <a:xfrm>
                            <a:off x="973313"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2" name="Graphic 822"/>
                        <wps:cNvSpPr/>
                        <wps:spPr>
                          <a:xfrm>
                            <a:off x="973313"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3" name="Graphic 823"/>
                        <wps:cNvSpPr/>
                        <wps:spPr>
                          <a:xfrm>
                            <a:off x="1693397"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4" name="Graphic 824"/>
                        <wps:cNvSpPr/>
                        <wps:spPr>
                          <a:xfrm>
                            <a:off x="1693397"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5" name="Graphic 825"/>
                        <wps:cNvSpPr/>
                        <wps:spPr>
                          <a:xfrm>
                            <a:off x="1693397"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6" name="Graphic 826"/>
                        <wps:cNvSpPr/>
                        <wps:spPr>
                          <a:xfrm>
                            <a:off x="2413482"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27" name="Graphic 827"/>
                        <wps:cNvSpPr/>
                        <wps:spPr>
                          <a:xfrm>
                            <a:off x="2413482"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28" name="Graphic 828"/>
                        <wps:cNvSpPr/>
                        <wps:spPr>
                          <a:xfrm>
                            <a:off x="2413482"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29" name="Graphic 829"/>
                        <wps:cNvSpPr/>
                        <wps:spPr>
                          <a:xfrm>
                            <a:off x="3133566"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30" name="Graphic 830"/>
                        <wps:cNvSpPr/>
                        <wps:spPr>
                          <a:xfrm>
                            <a:off x="3133566"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31" name="Graphic 831"/>
                        <wps:cNvSpPr/>
                        <wps:spPr>
                          <a:xfrm>
                            <a:off x="3133566"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2" name="Graphic 832"/>
                        <wps:cNvSpPr/>
                        <wps:spPr>
                          <a:xfrm>
                            <a:off x="3853650" y="6309"/>
                            <a:ext cx="1270" cy="4372610"/>
                          </a:xfrm>
                          <a:custGeom>
                            <a:avLst/>
                            <a:gdLst/>
                            <a:ahLst/>
                            <a:cxnLst/>
                            <a:rect l="l" t="t" r="r" b="b"/>
                            <a:pathLst>
                              <a:path w="0" h="4372610">
                                <a:moveTo>
                                  <a:pt x="0" y="4372351"/>
                                </a:moveTo>
                                <a:lnTo>
                                  <a:pt x="0" y="0"/>
                                </a:lnTo>
                              </a:path>
                            </a:pathLst>
                          </a:custGeom>
                          <a:ln w="12618">
                            <a:solidFill>
                              <a:srgbClr val="AFAFAF"/>
                            </a:solidFill>
                            <a:prstDash val="solid"/>
                          </a:ln>
                        </wps:spPr>
                        <wps:bodyPr wrap="square" lIns="0" tIns="0" rIns="0" bIns="0" rtlCol="0">
                          <a:prstTxWarp prst="textNoShape">
                            <a:avLst/>
                          </a:prstTxWarp>
                          <a:noAutofit/>
                        </wps:bodyPr>
                      </wps:wsp>
                      <wps:wsp>
                        <wps:cNvPr id="833" name="Graphic 833"/>
                        <wps:cNvSpPr/>
                        <wps:spPr>
                          <a:xfrm>
                            <a:off x="3853650" y="4378660"/>
                            <a:ext cx="1270" cy="55244"/>
                          </a:xfrm>
                          <a:custGeom>
                            <a:avLst/>
                            <a:gdLst/>
                            <a:ahLst/>
                            <a:cxnLst/>
                            <a:rect l="l" t="t" r="r" b="b"/>
                            <a:pathLst>
                              <a:path w="0" h="55244">
                                <a:moveTo>
                                  <a:pt x="0" y="0"/>
                                </a:moveTo>
                                <a:lnTo>
                                  <a:pt x="0" y="55206"/>
                                </a:lnTo>
                              </a:path>
                            </a:pathLst>
                          </a:custGeom>
                          <a:solidFill>
                            <a:srgbClr val="000000"/>
                          </a:solidFill>
                        </wps:spPr>
                        <wps:bodyPr wrap="square" lIns="0" tIns="0" rIns="0" bIns="0" rtlCol="0">
                          <a:prstTxWarp prst="textNoShape">
                            <a:avLst/>
                          </a:prstTxWarp>
                          <a:noAutofit/>
                        </wps:bodyPr>
                      </wps:wsp>
                      <wps:wsp>
                        <wps:cNvPr id="834" name="Graphic 834"/>
                        <wps:cNvSpPr/>
                        <wps:spPr>
                          <a:xfrm>
                            <a:off x="3853650" y="4378660"/>
                            <a:ext cx="1270" cy="55244"/>
                          </a:xfrm>
                          <a:custGeom>
                            <a:avLst/>
                            <a:gdLst/>
                            <a:ahLst/>
                            <a:cxnLst/>
                            <a:rect l="l" t="t" r="r" b="b"/>
                            <a:pathLst>
                              <a:path w="0" h="55244">
                                <a:moveTo>
                                  <a:pt x="0" y="0"/>
                                </a:moveTo>
                                <a:lnTo>
                                  <a:pt x="0" y="55206"/>
                                </a:lnTo>
                              </a:path>
                            </a:pathLst>
                          </a:custGeom>
                          <a:ln w="12618">
                            <a:solidFill>
                              <a:srgbClr val="000000"/>
                            </a:solidFill>
                            <a:prstDash val="solid"/>
                          </a:ln>
                        </wps:spPr>
                        <wps:bodyPr wrap="square" lIns="0" tIns="0" rIns="0" bIns="0" rtlCol="0">
                          <a:prstTxWarp prst="textNoShape">
                            <a:avLst/>
                          </a:prstTxWarp>
                          <a:noAutofit/>
                        </wps:bodyPr>
                      </wps:wsp>
                      <wps:wsp>
                        <wps:cNvPr id="835" name="Graphic 835"/>
                        <wps:cNvSpPr/>
                        <wps:spPr>
                          <a:xfrm>
                            <a:off x="55206" y="4180637"/>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6" name="Graphic 836"/>
                        <wps:cNvSpPr/>
                        <wps:spPr>
                          <a:xfrm>
                            <a:off x="0" y="4180637"/>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37" name="Graphic 837"/>
                        <wps:cNvSpPr/>
                        <wps:spPr>
                          <a:xfrm>
                            <a:off x="0" y="4180637"/>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38" name="Graphic 838"/>
                        <wps:cNvSpPr/>
                        <wps:spPr>
                          <a:xfrm>
                            <a:off x="55206" y="3460553"/>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39" name="Graphic 839"/>
                        <wps:cNvSpPr/>
                        <wps:spPr>
                          <a:xfrm>
                            <a:off x="0" y="3460553"/>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0" name="Graphic 840"/>
                        <wps:cNvSpPr/>
                        <wps:spPr>
                          <a:xfrm>
                            <a:off x="0" y="3460553"/>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1" name="Graphic 841"/>
                        <wps:cNvSpPr/>
                        <wps:spPr>
                          <a:xfrm>
                            <a:off x="55206" y="2740468"/>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2" name="Graphic 842"/>
                        <wps:cNvSpPr/>
                        <wps:spPr>
                          <a:xfrm>
                            <a:off x="0" y="2740468"/>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3" name="Graphic 843"/>
                        <wps:cNvSpPr/>
                        <wps:spPr>
                          <a:xfrm>
                            <a:off x="0" y="2740468"/>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4" name="Graphic 844"/>
                        <wps:cNvSpPr/>
                        <wps:spPr>
                          <a:xfrm>
                            <a:off x="55206" y="2020384"/>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5" name="Graphic 845"/>
                        <wps:cNvSpPr/>
                        <wps:spPr>
                          <a:xfrm>
                            <a:off x="0" y="2020384"/>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6" name="Graphic 846"/>
                        <wps:cNvSpPr/>
                        <wps:spPr>
                          <a:xfrm>
                            <a:off x="0" y="2020384"/>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47" name="Graphic 847"/>
                        <wps:cNvSpPr/>
                        <wps:spPr>
                          <a:xfrm>
                            <a:off x="55206" y="1300300"/>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48" name="Graphic 848"/>
                        <wps:cNvSpPr/>
                        <wps:spPr>
                          <a:xfrm>
                            <a:off x="0" y="1300300"/>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49" name="Graphic 849"/>
                        <wps:cNvSpPr/>
                        <wps:spPr>
                          <a:xfrm>
                            <a:off x="0" y="1300300"/>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50" name="Graphic 850"/>
                        <wps:cNvSpPr/>
                        <wps:spPr>
                          <a:xfrm>
                            <a:off x="55206" y="580216"/>
                            <a:ext cx="4372610" cy="1270"/>
                          </a:xfrm>
                          <a:custGeom>
                            <a:avLst/>
                            <a:gdLst/>
                            <a:ahLst/>
                            <a:cxnLst/>
                            <a:rect l="l" t="t" r="r" b="b"/>
                            <a:pathLst>
                              <a:path w="4372610" h="0">
                                <a:moveTo>
                                  <a:pt x="0" y="0"/>
                                </a:moveTo>
                                <a:lnTo>
                                  <a:pt x="4372351" y="0"/>
                                </a:lnTo>
                              </a:path>
                            </a:pathLst>
                          </a:custGeom>
                          <a:ln w="12618">
                            <a:solidFill>
                              <a:srgbClr val="AFAFAF"/>
                            </a:solidFill>
                            <a:prstDash val="solid"/>
                          </a:ln>
                        </wps:spPr>
                        <wps:bodyPr wrap="square" lIns="0" tIns="0" rIns="0" bIns="0" rtlCol="0">
                          <a:prstTxWarp prst="textNoShape">
                            <a:avLst/>
                          </a:prstTxWarp>
                          <a:noAutofit/>
                        </wps:bodyPr>
                      </wps:wsp>
                      <wps:wsp>
                        <wps:cNvPr id="851" name="Graphic 851"/>
                        <wps:cNvSpPr/>
                        <wps:spPr>
                          <a:xfrm>
                            <a:off x="0" y="580216"/>
                            <a:ext cx="55244" cy="1270"/>
                          </a:xfrm>
                          <a:custGeom>
                            <a:avLst/>
                            <a:gdLst/>
                            <a:ahLst/>
                            <a:cxnLst/>
                            <a:rect l="l" t="t" r="r" b="b"/>
                            <a:pathLst>
                              <a:path w="55244" h="0">
                                <a:moveTo>
                                  <a:pt x="55206" y="0"/>
                                </a:moveTo>
                                <a:lnTo>
                                  <a:pt x="0" y="0"/>
                                </a:lnTo>
                              </a:path>
                            </a:pathLst>
                          </a:custGeom>
                          <a:solidFill>
                            <a:srgbClr val="000000"/>
                          </a:solidFill>
                        </wps:spPr>
                        <wps:bodyPr wrap="square" lIns="0" tIns="0" rIns="0" bIns="0" rtlCol="0">
                          <a:prstTxWarp prst="textNoShape">
                            <a:avLst/>
                          </a:prstTxWarp>
                          <a:noAutofit/>
                        </wps:bodyPr>
                      </wps:wsp>
                      <wps:wsp>
                        <wps:cNvPr id="852" name="Graphic 852"/>
                        <wps:cNvSpPr/>
                        <wps:spPr>
                          <a:xfrm>
                            <a:off x="0" y="580216"/>
                            <a:ext cx="55244" cy="1270"/>
                          </a:xfrm>
                          <a:custGeom>
                            <a:avLst/>
                            <a:gdLst/>
                            <a:ahLst/>
                            <a:cxnLst/>
                            <a:rect l="l" t="t" r="r" b="b"/>
                            <a:pathLst>
                              <a:path w="55244" h="0">
                                <a:moveTo>
                                  <a:pt x="55206" y="0"/>
                                </a:moveTo>
                                <a:lnTo>
                                  <a:pt x="0" y="0"/>
                                </a:lnTo>
                              </a:path>
                            </a:pathLst>
                          </a:custGeom>
                          <a:ln w="12618">
                            <a:solidFill>
                              <a:srgbClr val="000000"/>
                            </a:solidFill>
                            <a:prstDash val="solid"/>
                          </a:ln>
                        </wps:spPr>
                        <wps:bodyPr wrap="square" lIns="0" tIns="0" rIns="0" bIns="0" rtlCol="0">
                          <a:prstTxWarp prst="textNoShape">
                            <a:avLst/>
                          </a:prstTxWarp>
                          <a:noAutofit/>
                        </wps:bodyPr>
                      </wps:wsp>
                      <wps:wsp>
                        <wps:cNvPr id="853" name="Graphic 853"/>
                        <wps:cNvSpPr/>
                        <wps:spPr>
                          <a:xfrm>
                            <a:off x="253949" y="205052"/>
                            <a:ext cx="3975100" cy="3975100"/>
                          </a:xfrm>
                          <a:custGeom>
                            <a:avLst/>
                            <a:gdLst/>
                            <a:ahLst/>
                            <a:cxnLst/>
                            <a:rect l="l" t="t" r="r" b="b"/>
                            <a:pathLst>
                              <a:path w="3975100" h="3975100">
                                <a:moveTo>
                                  <a:pt x="0" y="3974864"/>
                                </a:moveTo>
                                <a:lnTo>
                                  <a:pt x="3974864" y="0"/>
                                </a:lnTo>
                              </a:path>
                            </a:pathLst>
                          </a:custGeom>
                          <a:ln w="12618">
                            <a:solidFill>
                              <a:srgbClr val="000000"/>
                            </a:solidFill>
                            <a:prstDash val="sysDash"/>
                          </a:ln>
                        </wps:spPr>
                        <wps:bodyPr wrap="square" lIns="0" tIns="0" rIns="0" bIns="0" rtlCol="0">
                          <a:prstTxWarp prst="textNoShape">
                            <a:avLst/>
                          </a:prstTxWarp>
                          <a:noAutofit/>
                        </wps:bodyPr>
                      </wps:wsp>
                      <wps:wsp>
                        <wps:cNvPr id="854" name="Graphic 854"/>
                        <wps:cNvSpPr/>
                        <wps:spPr>
                          <a:xfrm>
                            <a:off x="55206" y="6309"/>
                            <a:ext cx="4372610" cy="4372610"/>
                          </a:xfrm>
                          <a:custGeom>
                            <a:avLst/>
                            <a:gdLst/>
                            <a:ahLst/>
                            <a:cxnLst/>
                            <a:rect l="l" t="t" r="r" b="b"/>
                            <a:pathLst>
                              <a:path w="4372610" h="4372610">
                                <a:moveTo>
                                  <a:pt x="0" y="4372351"/>
                                </a:moveTo>
                                <a:lnTo>
                                  <a:pt x="0" y="0"/>
                                </a:lnTo>
                              </a:path>
                              <a:path w="4372610" h="4372610">
                                <a:moveTo>
                                  <a:pt x="4372351" y="4372351"/>
                                </a:moveTo>
                                <a:lnTo>
                                  <a:pt x="4372351" y="0"/>
                                </a:lnTo>
                              </a:path>
                              <a:path w="4372610" h="4372610">
                                <a:moveTo>
                                  <a:pt x="0" y="4372351"/>
                                </a:moveTo>
                                <a:lnTo>
                                  <a:pt x="4372351" y="4372351"/>
                                </a:lnTo>
                              </a:path>
                              <a:path w="4372610" h="4372610">
                                <a:moveTo>
                                  <a:pt x="0" y="0"/>
                                </a:moveTo>
                                <a:lnTo>
                                  <a:pt x="4372351" y="0"/>
                                </a:lnTo>
                              </a:path>
                            </a:pathLst>
                          </a:custGeom>
                          <a:ln w="12618">
                            <a:solidFill>
                              <a:srgbClr val="000000"/>
                            </a:solidFill>
                            <a:prstDash val="solid"/>
                          </a:ln>
                        </wps:spPr>
                        <wps:bodyPr wrap="square" lIns="0" tIns="0" rIns="0" bIns="0" rtlCol="0">
                          <a:prstTxWarp prst="textNoShape">
                            <a:avLst/>
                          </a:prstTxWarp>
                          <a:noAutofit/>
                        </wps:bodyPr>
                      </wps:wsp>
                      <wps:wsp>
                        <wps:cNvPr id="855" name="Graphic 855"/>
                        <wps:cNvSpPr/>
                        <wps:spPr>
                          <a:xfrm>
                            <a:off x="395440" y="455847"/>
                            <a:ext cx="315595" cy="1270"/>
                          </a:xfrm>
                          <a:custGeom>
                            <a:avLst/>
                            <a:gdLst/>
                            <a:ahLst/>
                            <a:cxnLst/>
                            <a:rect l="l" t="t" r="r" b="b"/>
                            <a:pathLst>
                              <a:path w="315595" h="0">
                                <a:moveTo>
                                  <a:pt x="0" y="0"/>
                                </a:moveTo>
                                <a:lnTo>
                                  <a:pt x="157732" y="0"/>
                                </a:lnTo>
                                <a:lnTo>
                                  <a:pt x="315465" y="0"/>
                                </a:lnTo>
                              </a:path>
                            </a:pathLst>
                          </a:custGeom>
                          <a:ln w="12618">
                            <a:solidFill>
                              <a:srgbClr val="000000"/>
                            </a:solidFill>
                            <a:prstDash val="sysDash"/>
                          </a:ln>
                        </wps:spPr>
                        <wps:bodyPr wrap="square" lIns="0" tIns="0" rIns="0" bIns="0" rtlCol="0">
                          <a:prstTxWarp prst="textNoShape">
                            <a:avLst/>
                          </a:prstTxWarp>
                          <a:noAutofit/>
                        </wps:bodyPr>
                      </wps:wsp>
                      <wps:wsp>
                        <wps:cNvPr id="856" name="Textbox 856"/>
                        <wps:cNvSpPr txBox="1"/>
                        <wps:spPr>
                          <a:xfrm>
                            <a:off x="0" y="0"/>
                            <a:ext cx="4434205" cy="4434205"/>
                          </a:xfrm>
                          <a:prstGeom prst="rect">
                            <a:avLst/>
                          </a:prstGeom>
                        </wps:spPr>
                        <wps:txbx>
                          <w:txbxContent>
                            <w:p>
                              <w:pPr>
                                <w:spacing w:before="150"/>
                                <w:ind w:left="310" w:right="0" w:firstLine="0"/>
                                <w:jc w:val="left"/>
                                <w:rPr>
                                  <w:rFonts w:ascii="Verdana" w:hAnsi="Verdana"/>
                                  <w:sz w:val="27"/>
                                </w:rPr>
                              </w:pPr>
                              <w:r>
                                <w:rPr>
                                  <w:rFonts w:ascii="Verdana" w:hAnsi="Verdana"/>
                                  <w:spacing w:val="-5"/>
                                  <w:sz w:val="27"/>
                                </w:rPr>
                                <w:t>Kendall</w:t>
                              </w:r>
                              <w:r>
                                <w:rPr>
                                  <w:rFonts w:ascii="Verdana" w:hAnsi="Verdana"/>
                                  <w:spacing w:val="-19"/>
                                  <w:sz w:val="27"/>
                                </w:rPr>
                                <w:t> </w:t>
                              </w:r>
                              <w:r>
                                <w:rPr>
                                  <w:rFonts w:ascii="Trebuchet MS" w:hAnsi="Trebuchet MS"/>
                                  <w:i/>
                                  <w:spacing w:val="-5"/>
                                  <w:w w:val="170"/>
                                  <w:sz w:val="19"/>
                                </w:rPr>
                                <w:t>τ</w:t>
                              </w:r>
                              <w:r>
                                <w:rPr>
                                  <w:rFonts w:ascii="Trebuchet MS" w:hAnsi="Trebuchet MS"/>
                                  <w:i/>
                                  <w:spacing w:val="-33"/>
                                  <w:w w:val="170"/>
                                  <w:sz w:val="19"/>
                                </w:rPr>
                                <w:t> </w:t>
                              </w:r>
                              <w:r>
                                <w:rPr>
                                  <w:rFonts w:ascii="Verdana" w:hAnsi="Verdana"/>
                                  <w:spacing w:val="-5"/>
                                  <w:sz w:val="27"/>
                                </w:rPr>
                                <w:t>=</w:t>
                              </w:r>
                              <w:r>
                                <w:rPr>
                                  <w:rFonts w:ascii="Verdana" w:hAnsi="Verdana"/>
                                  <w:spacing w:val="-9"/>
                                  <w:sz w:val="27"/>
                                </w:rPr>
                                <w:t> </w:t>
                              </w:r>
                              <w:r>
                                <w:rPr>
                                  <w:rFonts w:ascii="Verdana" w:hAnsi="Verdana"/>
                                  <w:spacing w:val="-5"/>
                                  <w:sz w:val="27"/>
                                </w:rPr>
                                <w:t>0.316</w:t>
                              </w:r>
                            </w:p>
                            <w:p>
                              <w:pPr>
                                <w:spacing w:before="55"/>
                                <w:ind w:left="1318" w:right="0" w:firstLine="0"/>
                                <w:jc w:val="left"/>
                                <w:rPr>
                                  <w:rFonts w:ascii="Verdana"/>
                                  <w:sz w:val="27"/>
                                </w:rPr>
                              </w:pPr>
                              <w:r>
                                <w:rPr>
                                  <w:rFonts w:ascii="Verdana"/>
                                  <w:spacing w:val="-2"/>
                                  <w:sz w:val="27"/>
                                </w:rPr>
                                <w:t>identity</w:t>
                              </w:r>
                            </w:p>
                          </w:txbxContent>
                        </wps:txbx>
                        <wps:bodyPr wrap="square" lIns="0" tIns="0" rIns="0" bIns="0" rtlCol="0">
                          <a:noAutofit/>
                        </wps:bodyPr>
                      </wps:wsp>
                    </wpg:wgp>
                  </a:graphicData>
                </a:graphic>
              </wp:anchor>
            </w:drawing>
          </mc:Choice>
          <mc:Fallback>
            <w:pict>
              <v:group style="position:absolute;margin-left:150.627884pt;margin-top:-36.81987pt;width:349.15pt;height:349.15pt;mso-position-horizontal-relative:page;mso-position-vertical-relative:paragraph;z-index:15786496" id="docshapegroup531" coordorigin="3013,-736" coordsize="6983,6983">
                <v:shape style="position:absolute;left:5369;top:-236;width:4272;height:5941" id="docshape532" coordorigin="5370,-235" coordsize="4272,5941" path="m5431,1203l5428,1196,5416,1184,5408,1181,5392,1181,5385,1184,5373,1196,5370,1203,5370,1220,5373,1227,5385,1239,5392,1242,5400,1242,5408,1242,5416,1239,5428,1227,5431,1220,5431,1203xm6134,-213l6131,-221,6119,-232,6112,-235,6095,-235,6088,-232,6076,-221,6073,-213,6073,-197,6076,-189,6088,-178,6095,-174,6103,-174,6112,-174,6119,-178,6131,-189,6134,-197,6134,-213xm8796,5179l8793,5171,8782,5160,8774,5157,8758,5157,8750,5160,8739,5171,8736,5179,8736,5195,8739,5203,8750,5215,8758,5218,8766,5218,8774,5218,8782,5215,8793,5203,8796,5195,8796,5179xm8842,3466l8839,3458,8827,3447,8819,3443,8803,3443,8796,3447,8784,3458,8783,3460,8782,3459,8766,3459,8758,3463,8747,3474,8744,3482,8744,3498,8747,3506,8758,3517,8766,3520,8774,3520,8782,3520,8790,3517,8801,3506,8802,3504,8803,3504,8811,3504,8819,3504,8827,3501,8839,3490,8842,3482,8842,3466xm8933,2229l8929,2221,8918,2209,8910,2206,8894,2206,8886,2209,8875,2221,8872,2229,8872,2245,8875,2252,8886,2264,8894,2267,8902,2267,8910,2267,8918,2264,8929,2252,8933,2245,8933,2229xm9240,4694l9237,4686,9225,4675,9218,4672,9201,4672,9194,4675,9182,4686,9179,4694,9179,4710,9182,4718,9194,4729,9201,4732,9209,4732,9218,4732,9225,4729,9237,4718,9240,4710,9240,4694xm9251,2255l9248,2247,9237,2236,9229,2232,9213,2232,9205,2236,9194,2247,9190,2255,9190,2271,9194,2279,9205,2290,9213,2293,9221,2293,9229,2293,9237,2290,9248,2279,9251,2271,9251,2255xm9306,5667l9302,5659,9291,5648,9283,5644,9267,5644,9259,5648,9248,5659,9245,5667,9245,5683,9248,5691,9259,5702,9267,5705,9275,5705,9283,5705,9291,5702,9302,5691,9306,5683,9306,5667xm9605,4336l9602,4328,9590,4316,9583,4313,9567,4313,9559,4316,9547,4328,9544,4336,9544,4352,9547,4359,9559,4371,9567,4374,9575,4374,9583,4374,9590,4371,9602,4359,9605,4352,9605,4336xm9615,4468l9612,4460,9601,4449,9593,4446,9577,4446,9569,4449,9558,4460,9554,4468,9554,4484,9558,4492,9569,4504,9577,4507,9585,4507,9593,4507,9601,4504,9612,4492,9615,4484,9615,4468xm9641,4831l9638,4823,9627,4812,9619,4809,9603,4809,9595,4812,9584,4823,9580,4831,9580,4847,9584,4855,9595,4866,9603,4870,9611,4870,9619,4870,9627,4866,9638,4855,9641,4847,9641,4831xe" filled="true" fillcolor="#2b5e8a" stroked="false">
                  <v:path arrowok="t"/>
                  <v:fill opacity="22937f" type="solid"/>
                </v:shape>
                <v:shape style="position:absolute;left:3386;top:-442;width:6314;height:6319" type="#_x0000_t75" id="docshape533" stroked="false">
                  <v:imagedata r:id="rId25" o:title=""/>
                </v:shape>
                <v:line style="position:absolute" from="3411,6159" to="3411,-726" stroked="true" strokeweight=".993592pt" strokecolor="#afafaf">
                  <v:stroke dashstyle="solid"/>
                </v:line>
                <v:shape style="position:absolute;left:3411;top:6159;width:2;height:87" id="docshape534" coordorigin="3411,6159" coordsize="0,87" path="m3411,6159l3411,6246e" filled="true" fillcolor="#000000" stroked="false">
                  <v:path arrowok="t"/>
                  <v:fill type="solid"/>
                </v:shape>
                <v:line style="position:absolute" from="3411,6159" to="3411,6246" stroked="true" strokeweight=".993592pt" strokecolor="#000000">
                  <v:stroke dashstyle="solid"/>
                </v:line>
                <v:line style="position:absolute" from="4545,6159" to="4545,-726" stroked="true" strokeweight=".993592pt" strokecolor="#afafaf">
                  <v:stroke dashstyle="solid"/>
                </v:line>
                <v:shape style="position:absolute;left:4545;top:6159;width:2;height:87" id="docshape535" coordorigin="4545,6159" coordsize="0,87" path="m4545,6159l4545,6246e" filled="true" fillcolor="#000000" stroked="false">
                  <v:path arrowok="t"/>
                  <v:fill type="solid"/>
                </v:shape>
                <v:line style="position:absolute" from="4545,6159" to="4545,6246" stroked="true" strokeweight=".993592pt" strokecolor="#000000">
                  <v:stroke dashstyle="solid"/>
                </v:line>
                <v:line style="position:absolute" from="5679,6159" to="5679,-726" stroked="true" strokeweight=".993592pt" strokecolor="#afafaf">
                  <v:stroke dashstyle="solid"/>
                </v:line>
                <v:shape style="position:absolute;left:5679;top:6159;width:2;height:87" id="docshape536" coordorigin="5679,6159" coordsize="0,87" path="m5679,6159l5679,6246e" filled="true" fillcolor="#000000" stroked="false">
                  <v:path arrowok="t"/>
                  <v:fill type="solid"/>
                </v:shape>
                <v:line style="position:absolute" from="5679,6159" to="5679,6246" stroked="true" strokeweight=".993592pt" strokecolor="#000000">
                  <v:stroke dashstyle="solid"/>
                </v:line>
                <v:line style="position:absolute" from="6813,6159" to="6813,-726" stroked="true" strokeweight=".993592pt" strokecolor="#afafaf">
                  <v:stroke dashstyle="solid"/>
                </v:line>
                <v:shape style="position:absolute;left:6813;top:6159;width:2;height:87" id="docshape537" coordorigin="6813,6159" coordsize="0,87" path="m6813,6159l6813,6246e" filled="true" fillcolor="#000000" stroked="false">
                  <v:path arrowok="t"/>
                  <v:fill type="solid"/>
                </v:shape>
                <v:line style="position:absolute" from="6813,6159" to="6813,6246" stroked="true" strokeweight=".993592pt" strokecolor="#000000">
                  <v:stroke dashstyle="solid"/>
                </v:line>
                <v:line style="position:absolute" from="7947,6159" to="7947,-726" stroked="true" strokeweight=".993592pt" strokecolor="#afafaf">
                  <v:stroke dashstyle="solid"/>
                </v:line>
                <v:shape style="position:absolute;left:7947;top:6159;width:2;height:87" id="docshape538" coordorigin="7947,6159" coordsize="0,87" path="m7947,6159l7947,6246e" filled="true" fillcolor="#000000" stroked="false">
                  <v:path arrowok="t"/>
                  <v:fill type="solid"/>
                </v:shape>
                <v:line style="position:absolute" from="7947,6159" to="7947,6246" stroked="true" strokeweight=".993592pt" strokecolor="#000000">
                  <v:stroke dashstyle="solid"/>
                </v:line>
                <v:line style="position:absolute" from="9081,6159" to="9081,-726" stroked="true" strokeweight=".993592pt" strokecolor="#afafaf">
                  <v:stroke dashstyle="solid"/>
                </v:line>
                <v:shape style="position:absolute;left:9081;top:6159;width:2;height:87" id="docshape539" coordorigin="9081,6159" coordsize="0,87" path="m9081,6159l9081,6246e" filled="true" fillcolor="#000000" stroked="false">
                  <v:path arrowok="t"/>
                  <v:fill type="solid"/>
                </v:shape>
                <v:line style="position:absolute" from="9081,6159" to="9081,6246" stroked="true" strokeweight=".993592pt" strokecolor="#000000">
                  <v:stroke dashstyle="solid"/>
                </v:line>
                <v:line style="position:absolute" from="3099,5847" to="9985,5847" stroked="true" strokeweight=".993592pt" strokecolor="#afafaf">
                  <v:stroke dashstyle="solid"/>
                </v:line>
                <v:shape style="position:absolute;left:3012;top:5847;width:87;height:2" id="docshape540" coordorigin="3013,5847" coordsize="87,0" path="m3099,5847l3013,5847e" filled="true" fillcolor="#000000" stroked="false">
                  <v:path arrowok="t"/>
                  <v:fill type="solid"/>
                </v:shape>
                <v:line style="position:absolute" from="3099,5847" to="3013,5847" stroked="true" strokeweight=".993592pt" strokecolor="#000000">
                  <v:stroke dashstyle="solid"/>
                </v:line>
                <v:line style="position:absolute" from="3099,4713" to="9985,4713" stroked="true" strokeweight=".993592pt" strokecolor="#afafaf">
                  <v:stroke dashstyle="solid"/>
                </v:line>
                <v:shape style="position:absolute;left:3012;top:4713;width:87;height:2" id="docshape541" coordorigin="3013,4713" coordsize="87,0" path="m3099,4713l3013,4713e" filled="true" fillcolor="#000000" stroked="false">
                  <v:path arrowok="t"/>
                  <v:fill type="solid"/>
                </v:shape>
                <v:line style="position:absolute" from="3099,4713" to="3013,4713" stroked="true" strokeweight=".993592pt" strokecolor="#000000">
                  <v:stroke dashstyle="solid"/>
                </v:line>
                <v:line style="position:absolute" from="3099,3579" to="9985,3579" stroked="true" strokeweight=".993592pt" strokecolor="#afafaf">
                  <v:stroke dashstyle="solid"/>
                </v:line>
                <v:shape style="position:absolute;left:3012;top:3579;width:87;height:2" id="docshape542" coordorigin="3013,3579" coordsize="87,0" path="m3099,3579l3013,3579e" filled="true" fillcolor="#000000" stroked="false">
                  <v:path arrowok="t"/>
                  <v:fill type="solid"/>
                </v:shape>
                <v:line style="position:absolute" from="3099,3579" to="3013,3579" stroked="true" strokeweight=".993592pt" strokecolor="#000000">
                  <v:stroke dashstyle="solid"/>
                </v:line>
                <v:line style="position:absolute" from="3099,2445" to="9985,2445" stroked="true" strokeweight=".993592pt" strokecolor="#afafaf">
                  <v:stroke dashstyle="solid"/>
                </v:line>
                <v:shape style="position:absolute;left:3012;top:2445;width:87;height:2" id="docshape543" coordorigin="3013,2445" coordsize="87,0" path="m3099,2445l3013,2445e" filled="true" fillcolor="#000000" stroked="false">
                  <v:path arrowok="t"/>
                  <v:fill type="solid"/>
                </v:shape>
                <v:line style="position:absolute" from="3099,2445" to="3013,2445" stroked="true" strokeweight=".993592pt" strokecolor="#000000">
                  <v:stroke dashstyle="solid"/>
                </v:line>
                <v:line style="position:absolute" from="3099,1311" to="9985,1311" stroked="true" strokeweight=".993592pt" strokecolor="#afafaf">
                  <v:stroke dashstyle="solid"/>
                </v:line>
                <v:shape style="position:absolute;left:3012;top:1311;width:87;height:2" id="docshape544" coordorigin="3013,1311" coordsize="87,0" path="m3099,1311l3013,1311e" filled="true" fillcolor="#000000" stroked="false">
                  <v:path arrowok="t"/>
                  <v:fill type="solid"/>
                </v:shape>
                <v:line style="position:absolute" from="3099,1311" to="3013,1311" stroked="true" strokeweight=".993592pt" strokecolor="#000000">
                  <v:stroke dashstyle="solid"/>
                </v:line>
                <v:line style="position:absolute" from="3099,177" to="9985,177" stroked="true" strokeweight=".993592pt" strokecolor="#afafaf">
                  <v:stroke dashstyle="solid"/>
                </v:line>
                <v:shape style="position:absolute;left:3012;top:177;width:87;height:2" id="docshape545" coordorigin="3013,177" coordsize="87,0" path="m3099,177l3013,177e" filled="true" fillcolor="#000000" stroked="false">
                  <v:path arrowok="t"/>
                  <v:fill type="solid"/>
                </v:shape>
                <v:line style="position:absolute" from="3099,177" to="3013,177" stroked="true" strokeweight=".993592pt" strokecolor="#000000">
                  <v:stroke dashstyle="solid"/>
                </v:line>
                <v:line style="position:absolute" from="3412,5846" to="9672,-413" stroked="true" strokeweight=".993592pt" strokecolor="#000000">
                  <v:stroke dashstyle="shortdash"/>
                </v:line>
                <v:shape style="position:absolute;left:3099;top:-727;width:6886;height:6886" id="docshape546" coordorigin="3099,-726" coordsize="6886,6886" path="m3099,6159l3099,-726m9985,6159l9985,-726m3099,6159l9985,6159m3099,-726l9985,-726e" filled="false" stroked="true" strokeweight=".993592pt" strokecolor="#000000">
                  <v:path arrowok="t"/>
                  <v:stroke dashstyle="solid"/>
                </v:shape>
                <v:shape style="position:absolute;left:3635;top:-19;width:497;height:2" id="docshape547" coordorigin="3635,-19" coordsize="497,0" path="m3635,-19l3884,-19,4132,-19e" filled="false" stroked="true" strokeweight=".993592pt" strokecolor="#000000">
                  <v:path arrowok="t"/>
                  <v:stroke dashstyle="shortdash"/>
                </v:shape>
                <v:shape style="position:absolute;left:3012;top:-737;width:6983;height:6983" type="#_x0000_t202" id="docshape548" filled="false" stroked="false">
                  <v:textbox inset="0,0,0,0">
                    <w:txbxContent>
                      <w:p>
                        <w:pPr>
                          <w:spacing w:before="150"/>
                          <w:ind w:left="310" w:right="0" w:firstLine="0"/>
                          <w:jc w:val="left"/>
                          <w:rPr>
                            <w:rFonts w:ascii="Verdana" w:hAnsi="Verdana"/>
                            <w:sz w:val="27"/>
                          </w:rPr>
                        </w:pPr>
                        <w:r>
                          <w:rPr>
                            <w:rFonts w:ascii="Verdana" w:hAnsi="Verdana"/>
                            <w:spacing w:val="-5"/>
                            <w:sz w:val="27"/>
                          </w:rPr>
                          <w:t>Kendall</w:t>
                        </w:r>
                        <w:r>
                          <w:rPr>
                            <w:rFonts w:ascii="Verdana" w:hAnsi="Verdana"/>
                            <w:spacing w:val="-19"/>
                            <w:sz w:val="27"/>
                          </w:rPr>
                          <w:t> </w:t>
                        </w:r>
                        <w:r>
                          <w:rPr>
                            <w:rFonts w:ascii="Trebuchet MS" w:hAnsi="Trebuchet MS"/>
                            <w:i/>
                            <w:spacing w:val="-5"/>
                            <w:w w:val="170"/>
                            <w:sz w:val="19"/>
                          </w:rPr>
                          <w:t>τ</w:t>
                        </w:r>
                        <w:r>
                          <w:rPr>
                            <w:rFonts w:ascii="Trebuchet MS" w:hAnsi="Trebuchet MS"/>
                            <w:i/>
                            <w:spacing w:val="-33"/>
                            <w:w w:val="170"/>
                            <w:sz w:val="19"/>
                          </w:rPr>
                          <w:t> </w:t>
                        </w:r>
                        <w:r>
                          <w:rPr>
                            <w:rFonts w:ascii="Verdana" w:hAnsi="Verdana"/>
                            <w:spacing w:val="-5"/>
                            <w:sz w:val="27"/>
                          </w:rPr>
                          <w:t>=</w:t>
                        </w:r>
                        <w:r>
                          <w:rPr>
                            <w:rFonts w:ascii="Verdana" w:hAnsi="Verdana"/>
                            <w:spacing w:val="-9"/>
                            <w:sz w:val="27"/>
                          </w:rPr>
                          <w:t> </w:t>
                        </w:r>
                        <w:r>
                          <w:rPr>
                            <w:rFonts w:ascii="Verdana" w:hAnsi="Verdana"/>
                            <w:spacing w:val="-5"/>
                            <w:sz w:val="27"/>
                          </w:rPr>
                          <w:t>0.316</w:t>
                        </w:r>
                      </w:p>
                      <w:p>
                        <w:pPr>
                          <w:spacing w:before="55"/>
                          <w:ind w:left="1318" w:right="0" w:firstLine="0"/>
                          <w:jc w:val="left"/>
                          <w:rPr>
                            <w:rFonts w:ascii="Verdana"/>
                            <w:sz w:val="27"/>
                          </w:rPr>
                        </w:pPr>
                        <w:r>
                          <w:rPr>
                            <w:rFonts w:ascii="Verdana"/>
                            <w:spacing w:val="-2"/>
                            <w:sz w:val="27"/>
                          </w:rPr>
                          <w:t>identity</w:t>
                        </w:r>
                      </w:p>
                    </w:txbxContent>
                  </v:textbox>
                  <w10:wrap type="none"/>
                </v:shape>
                <w10:wrap type="none"/>
              </v:group>
            </w:pict>
          </mc:Fallback>
        </mc:AlternateContent>
      </w:r>
      <w:bookmarkStart w:name="_bookmark111" w:id="198"/>
      <w:bookmarkEnd w:id="198"/>
      <w:r>
        <w:rPr/>
      </w:r>
      <w:r>
        <w:rPr>
          <w:rFonts w:ascii="Verdana"/>
          <w:spacing w:val="-4"/>
          <w:sz w:val="27"/>
        </w:rPr>
        <w:t>5000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z w:val="27"/>
        </w:rPr>
        <mc:AlternateContent>
          <mc:Choice Requires="wps">
            <w:drawing>
              <wp:anchor distT="0" distB="0" distL="0" distR="0" allowOverlap="1" layoutInCell="1" locked="0" behindDoc="0" simplePos="0" relativeHeight="15787008">
                <wp:simplePos x="0" y="0"/>
                <wp:positionH relativeFrom="page">
                  <wp:posOffset>1194008</wp:posOffset>
                </wp:positionH>
                <wp:positionV relativeFrom="paragraph">
                  <wp:posOffset>-304175</wp:posOffset>
                </wp:positionV>
                <wp:extent cx="196850" cy="262826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196850" cy="2628265"/>
                        </a:xfrm>
                        <a:prstGeom prst="rect">
                          <a:avLst/>
                        </a:prstGeom>
                      </wps:spPr>
                      <wps:txbx>
                        <w:txbxContent>
                          <w:p>
                            <w:pPr>
                              <w:spacing w:line="309" w:lineRule="exact" w:before="0"/>
                              <w:ind w:left="20" w:right="0" w:firstLine="0"/>
                              <w:jc w:val="left"/>
                              <w:rPr>
                                <w:rFonts w:ascii="Verdana"/>
                                <w:sz w:val="29"/>
                              </w:rPr>
                            </w:pPr>
                            <w:r>
                              <w:rPr>
                                <w:rFonts w:ascii="Verdana"/>
                                <w:spacing w:val="-6"/>
                                <w:sz w:val="29"/>
                              </w:rPr>
                              <w:t>AWP</w:t>
                            </w:r>
                            <w:r>
                              <w:rPr>
                                <w:rFonts w:ascii="Verdana"/>
                                <w:spacing w:val="-21"/>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18"/>
                                <w:sz w:val="29"/>
                              </w:rPr>
                              <w:t> </w:t>
                            </w:r>
                            <w:r>
                              <w:rPr>
                                <w:rFonts w:ascii="Verdana"/>
                                <w:spacing w:val="-6"/>
                                <w:sz w:val="29"/>
                              </w:rPr>
                              <w:t>=</w:t>
                            </w:r>
                            <w:r>
                              <w:rPr>
                                <w:rFonts w:ascii="Verdana"/>
                                <w:spacing w:val="-12"/>
                                <w:sz w:val="29"/>
                              </w:rPr>
                              <w:t> </w:t>
                            </w:r>
                            <w:r>
                              <w:rPr>
                                <w:rFonts w:ascii="Verdana"/>
                                <w:spacing w:val="-6"/>
                                <w:sz w:val="29"/>
                              </w:rPr>
                              <w:t>highest</w:t>
                            </w:r>
                            <w:r>
                              <w:rPr>
                                <w:rFonts w:ascii="Verdana"/>
                                <w:spacing w:val="-23"/>
                                <w:sz w:val="29"/>
                              </w:rPr>
                              <w:t> </w:t>
                            </w:r>
                            <w:r>
                              <w:rPr>
                                <w:rFonts w:ascii="Verdana"/>
                                <w:spacing w:val="-7"/>
                                <w:sz w:val="29"/>
                              </w:rPr>
                              <w:t>score)</w:t>
                            </w:r>
                          </w:p>
                        </w:txbxContent>
                      </wps:txbx>
                      <wps:bodyPr wrap="square" lIns="0" tIns="0" rIns="0" bIns="0" rtlCol="0" vert="vert270">
                        <a:noAutofit/>
                      </wps:bodyPr>
                    </wps:wsp>
                  </a:graphicData>
                </a:graphic>
              </wp:anchor>
            </w:drawing>
          </mc:Choice>
          <mc:Fallback>
            <w:pict>
              <v:shape style="position:absolute;margin-left:94.016441pt;margin-top:-23.950853pt;width:15.5pt;height:206.95pt;mso-position-horizontal-relative:page;mso-position-vertical-relative:paragraph;z-index:15787008" type="#_x0000_t202" id="docshape549" filled="false" stroked="false">
                <v:textbox inset="0,0,0,0" style="layout-flow:vertical;mso-layout-flow-alt:bottom-to-top">
                  <w:txbxContent>
                    <w:p>
                      <w:pPr>
                        <w:spacing w:line="309" w:lineRule="exact" w:before="0"/>
                        <w:ind w:left="20" w:right="0" w:firstLine="0"/>
                        <w:jc w:val="left"/>
                        <w:rPr>
                          <w:rFonts w:ascii="Verdana"/>
                          <w:sz w:val="29"/>
                        </w:rPr>
                      </w:pPr>
                      <w:r>
                        <w:rPr>
                          <w:rFonts w:ascii="Verdana"/>
                          <w:spacing w:val="-6"/>
                          <w:sz w:val="29"/>
                        </w:rPr>
                        <w:t>AWP</w:t>
                      </w:r>
                      <w:r>
                        <w:rPr>
                          <w:rFonts w:ascii="Verdana"/>
                          <w:spacing w:val="-21"/>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18"/>
                          <w:sz w:val="29"/>
                        </w:rPr>
                        <w:t> </w:t>
                      </w:r>
                      <w:r>
                        <w:rPr>
                          <w:rFonts w:ascii="Verdana"/>
                          <w:spacing w:val="-6"/>
                          <w:sz w:val="29"/>
                        </w:rPr>
                        <w:t>=</w:t>
                      </w:r>
                      <w:r>
                        <w:rPr>
                          <w:rFonts w:ascii="Verdana"/>
                          <w:spacing w:val="-12"/>
                          <w:sz w:val="29"/>
                        </w:rPr>
                        <w:t> </w:t>
                      </w:r>
                      <w:r>
                        <w:rPr>
                          <w:rFonts w:ascii="Verdana"/>
                          <w:spacing w:val="-6"/>
                          <w:sz w:val="29"/>
                        </w:rPr>
                        <w:t>highest</w:t>
                      </w:r>
                      <w:r>
                        <w:rPr>
                          <w:rFonts w:ascii="Verdana"/>
                          <w:spacing w:val="-23"/>
                          <w:sz w:val="29"/>
                        </w:rPr>
                        <w:t> </w:t>
                      </w:r>
                      <w:r>
                        <w:rPr>
                          <w:rFonts w:ascii="Verdana"/>
                          <w:spacing w:val="-7"/>
                          <w:sz w:val="29"/>
                        </w:rPr>
                        <w:t>score)</w:t>
                      </w:r>
                    </w:p>
                  </w:txbxContent>
                </v:textbox>
                <w10:wrap type="none"/>
              </v:shape>
            </w:pict>
          </mc:Fallback>
        </mc:AlternateContent>
      </w:r>
      <w:r>
        <w:rPr>
          <w:rFonts w:ascii="Verdana"/>
          <w:spacing w:val="-4"/>
          <w:sz w:val="27"/>
        </w:rPr>
        <w:t>4000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pacing w:val="-4"/>
          <w:sz w:val="27"/>
        </w:rPr>
        <w:t>3000</w:t>
      </w:r>
    </w:p>
    <w:p>
      <w:pPr>
        <w:pStyle w:val="BodyText"/>
        <w:rPr>
          <w:rFonts w:ascii="Verdana"/>
          <w:sz w:val="25"/>
        </w:rPr>
      </w:pPr>
    </w:p>
    <w:p>
      <w:pPr>
        <w:pStyle w:val="BodyText"/>
        <w:spacing w:before="198"/>
        <w:rPr>
          <w:rFonts w:ascii="Verdana"/>
          <w:sz w:val="25"/>
        </w:rPr>
      </w:pPr>
    </w:p>
    <w:p>
      <w:pPr>
        <w:spacing w:before="0"/>
        <w:ind w:left="1301" w:right="0" w:firstLine="0"/>
        <w:jc w:val="left"/>
        <w:rPr>
          <w:rFonts w:ascii="Verdana"/>
          <w:sz w:val="27"/>
        </w:rPr>
      </w:pPr>
      <w:r>
        <w:rPr>
          <w:rFonts w:ascii="Verdana"/>
          <w:spacing w:val="-4"/>
          <w:sz w:val="27"/>
        </w:rPr>
        <w:t>2000</w:t>
      </w:r>
    </w:p>
    <w:p>
      <w:pPr>
        <w:pStyle w:val="BodyText"/>
        <w:rPr>
          <w:rFonts w:ascii="Verdana"/>
          <w:sz w:val="25"/>
        </w:rPr>
      </w:pPr>
    </w:p>
    <w:p>
      <w:pPr>
        <w:pStyle w:val="BodyText"/>
        <w:spacing w:before="198"/>
        <w:rPr>
          <w:rFonts w:ascii="Verdana"/>
          <w:sz w:val="25"/>
        </w:rPr>
      </w:pPr>
    </w:p>
    <w:p>
      <w:pPr>
        <w:spacing w:before="1"/>
        <w:ind w:left="1301" w:right="0" w:firstLine="0"/>
        <w:jc w:val="left"/>
        <w:rPr>
          <w:rFonts w:ascii="Verdana"/>
          <w:sz w:val="27"/>
        </w:rPr>
      </w:pPr>
      <w:r>
        <w:rPr>
          <w:rFonts w:ascii="Verdana"/>
          <w:spacing w:val="-4"/>
          <w:w w:val="95"/>
          <w:sz w:val="27"/>
        </w:rPr>
        <w:t>1000</w:t>
      </w:r>
    </w:p>
    <w:p>
      <w:pPr>
        <w:pStyle w:val="BodyText"/>
        <w:rPr>
          <w:rFonts w:ascii="Verdana"/>
          <w:sz w:val="25"/>
        </w:rPr>
      </w:pPr>
    </w:p>
    <w:p>
      <w:pPr>
        <w:pStyle w:val="BodyText"/>
        <w:spacing w:before="198"/>
        <w:rPr>
          <w:rFonts w:ascii="Verdana"/>
          <w:sz w:val="25"/>
        </w:rPr>
      </w:pPr>
    </w:p>
    <w:p>
      <w:pPr>
        <w:spacing w:before="0"/>
        <w:ind w:left="1775" w:right="0" w:firstLine="0"/>
        <w:jc w:val="left"/>
        <w:rPr>
          <w:rFonts w:ascii="Verdana"/>
          <w:sz w:val="27"/>
        </w:rPr>
      </w:pPr>
      <w:r>
        <w:rPr>
          <w:rFonts w:ascii="Verdana"/>
          <w:spacing w:val="-10"/>
          <w:sz w:val="27"/>
        </w:rPr>
        <w:t>0</w:t>
      </w:r>
    </w:p>
    <w:p>
      <w:pPr>
        <w:tabs>
          <w:tab w:pos="3237" w:val="left" w:leader="none"/>
          <w:tab w:pos="4371" w:val="left" w:leader="none"/>
          <w:tab w:pos="5505" w:val="left" w:leader="none"/>
          <w:tab w:pos="6639" w:val="left" w:leader="none"/>
          <w:tab w:pos="7773" w:val="left" w:leader="none"/>
        </w:tabs>
        <w:spacing w:before="252"/>
        <w:ind w:left="2340" w:right="0" w:firstLine="0"/>
        <w:jc w:val="left"/>
        <w:rPr>
          <w:rFonts w:ascii="Verdana"/>
          <w:sz w:val="27"/>
        </w:rPr>
      </w:pPr>
      <w:r>
        <w:rPr>
          <w:rFonts w:ascii="Verdana"/>
          <w:spacing w:val="-10"/>
          <w:sz w:val="27"/>
        </w:rPr>
        <w:t>0</w:t>
      </w:r>
      <w:r>
        <w:rPr>
          <w:rFonts w:ascii="Verdana"/>
          <w:sz w:val="27"/>
        </w:rPr>
        <w:tab/>
      </w:r>
      <w:r>
        <w:rPr>
          <w:rFonts w:ascii="Verdana"/>
          <w:spacing w:val="-4"/>
          <w:sz w:val="27"/>
        </w:rPr>
        <w:t>1000</w:t>
      </w:r>
      <w:r>
        <w:rPr>
          <w:rFonts w:ascii="Verdana"/>
          <w:sz w:val="27"/>
        </w:rPr>
        <w:tab/>
      </w:r>
      <w:r>
        <w:rPr>
          <w:rFonts w:ascii="Verdana"/>
          <w:spacing w:val="-4"/>
          <w:sz w:val="27"/>
        </w:rPr>
        <w:t>2000</w:t>
      </w:r>
      <w:r>
        <w:rPr>
          <w:rFonts w:ascii="Verdana"/>
          <w:sz w:val="27"/>
        </w:rPr>
        <w:tab/>
      </w:r>
      <w:r>
        <w:rPr>
          <w:rFonts w:ascii="Verdana"/>
          <w:spacing w:val="-4"/>
          <w:sz w:val="27"/>
        </w:rPr>
        <w:t>3000</w:t>
      </w:r>
      <w:r>
        <w:rPr>
          <w:rFonts w:ascii="Verdana"/>
          <w:sz w:val="27"/>
        </w:rPr>
        <w:tab/>
      </w:r>
      <w:r>
        <w:rPr>
          <w:rFonts w:ascii="Verdana"/>
          <w:spacing w:val="-4"/>
          <w:sz w:val="27"/>
        </w:rPr>
        <w:t>4000</w:t>
      </w:r>
      <w:r>
        <w:rPr>
          <w:rFonts w:ascii="Verdana"/>
          <w:sz w:val="27"/>
        </w:rPr>
        <w:tab/>
      </w:r>
      <w:r>
        <w:rPr>
          <w:rFonts w:ascii="Verdana"/>
          <w:spacing w:val="-4"/>
          <w:sz w:val="27"/>
        </w:rPr>
        <w:t>5000</w:t>
      </w:r>
    </w:p>
    <w:p>
      <w:pPr>
        <w:spacing w:before="18"/>
        <w:ind w:left="2887" w:right="0" w:firstLine="0"/>
        <w:jc w:val="left"/>
        <w:rPr>
          <w:rFonts w:ascii="Verdana"/>
          <w:sz w:val="29"/>
        </w:rPr>
      </w:pPr>
      <w:r>
        <w:rPr>
          <w:rFonts w:ascii="Verdana"/>
          <w:spacing w:val="-6"/>
          <w:sz w:val="29"/>
        </w:rPr>
        <w:t>EndorseRank</w:t>
      </w:r>
      <w:r>
        <w:rPr>
          <w:rFonts w:ascii="Verdana"/>
          <w:spacing w:val="-33"/>
          <w:sz w:val="29"/>
        </w:rPr>
        <w:t> </w:t>
      </w:r>
      <w:r>
        <w:rPr>
          <w:rFonts w:ascii="Verdana"/>
          <w:spacing w:val="-6"/>
          <w:sz w:val="29"/>
        </w:rPr>
        <w:t>rank</w:t>
      </w:r>
      <w:r>
        <w:rPr>
          <w:rFonts w:ascii="Verdana"/>
          <w:spacing w:val="-33"/>
          <w:sz w:val="29"/>
        </w:rPr>
        <w:t> </w:t>
      </w:r>
      <w:r>
        <w:rPr>
          <w:rFonts w:ascii="Verdana"/>
          <w:spacing w:val="-6"/>
          <w:sz w:val="29"/>
        </w:rPr>
        <w:t>(1</w:t>
      </w:r>
      <w:r>
        <w:rPr>
          <w:rFonts w:ascii="Verdana"/>
          <w:spacing w:val="-3"/>
          <w:sz w:val="29"/>
        </w:rPr>
        <w:t> </w:t>
      </w:r>
      <w:r>
        <w:rPr>
          <w:rFonts w:ascii="Verdana"/>
          <w:spacing w:val="-6"/>
          <w:sz w:val="29"/>
        </w:rPr>
        <w:t>=</w:t>
      </w:r>
      <w:r>
        <w:rPr>
          <w:rFonts w:ascii="Verdana"/>
          <w:spacing w:val="-8"/>
          <w:sz w:val="29"/>
        </w:rPr>
        <w:t> </w:t>
      </w:r>
      <w:r>
        <w:rPr>
          <w:rFonts w:ascii="Verdana"/>
          <w:spacing w:val="-6"/>
          <w:sz w:val="29"/>
        </w:rPr>
        <w:t>highest</w:t>
      </w:r>
      <w:r>
        <w:rPr>
          <w:rFonts w:ascii="Verdana"/>
          <w:spacing w:val="-23"/>
          <w:sz w:val="29"/>
        </w:rPr>
        <w:t> </w:t>
      </w:r>
      <w:r>
        <w:rPr>
          <w:rFonts w:ascii="Verdana"/>
          <w:spacing w:val="-6"/>
          <w:sz w:val="29"/>
        </w:rPr>
        <w:t>score)</w:t>
      </w:r>
    </w:p>
    <w:p>
      <w:pPr>
        <w:spacing w:before="18"/>
        <w:ind w:left="2887" w:right="0" w:firstLine="0"/>
        <w:jc w:val="left"/>
        <w:rPr>
          <w:rFonts w:ascii="Verdana"/>
          <w:sz w:val="29"/>
        </w:rPr>
      </w:pPr>
      <w:r>
        <w:rPr>
          <w:i/>
        </w:rPr>
        <w:t>EndorseRank 순위(1 = 최고 점수)</w:t>
      </w:r>
    </w:p>
    <w:p>
      <w:pPr>
        <w:pStyle w:val="BodyText"/>
        <w:spacing w:before="69"/>
        <w:rPr>
          <w:rFonts w:ascii="Verdana"/>
        </w:rPr>
      </w:pPr>
    </w:p>
    <w:p>
      <w:pPr>
        <w:pStyle w:val="BodyText"/>
        <w:spacing w:line="244" w:lineRule="auto" w:before="1"/>
        <w:ind w:left="282" w:right="564"/>
        <w:jc w:val="both"/>
      </w:pPr>
      <w:r>
        <w:rPr/>
        <w:t>Figure</w:t>
      </w:r>
      <w:r>
        <w:rPr>
          <w:spacing w:val="-3"/>
        </w:rPr>
        <w:t> </w:t>
      </w:r>
      <w:r>
        <w:rPr/>
        <w:t>4.8: Rank–rank</w:t>
      </w:r>
      <w:r>
        <w:rPr>
          <w:spacing w:val="-3"/>
        </w:rPr>
        <w:t> </w:t>
      </w:r>
      <w:r>
        <w:rPr/>
        <w:t>scatter</w:t>
      </w:r>
      <w:r>
        <w:rPr>
          <w:spacing w:val="-3"/>
        </w:rPr>
        <w:t> </w:t>
      </w:r>
      <w:r>
        <w:rPr/>
        <w:t>of</w:t>
      </w:r>
      <w:r>
        <w:rPr>
          <w:spacing w:val="-3"/>
        </w:rPr>
        <w:t> </w:t>
      </w:r>
      <w:r>
        <w:rPr/>
        <w:t>EndorseRank</w:t>
      </w:r>
      <w:r>
        <w:rPr>
          <w:spacing w:val="-3"/>
        </w:rPr>
        <w:t> </w:t>
      </w:r>
      <w:r>
        <w:rPr/>
        <w:t>versus</w:t>
      </w:r>
      <w:r>
        <w:rPr>
          <w:spacing w:val="-3"/>
        </w:rPr>
        <w:t> </w:t>
      </w:r>
      <w:r>
        <w:rPr/>
        <w:t>AWP</w:t>
      </w:r>
      <w:r>
        <w:rPr>
          <w:spacing w:val="-3"/>
        </w:rPr>
        <w:t> </w:t>
      </w:r>
      <w:r>
        <w:rPr/>
        <w:t>on</w:t>
      </w:r>
      <w:r>
        <w:rPr>
          <w:spacing w:val="-3"/>
        </w:rPr>
        <w:t> </w:t>
      </w:r>
      <w:r>
        <w:rPr/>
        <w:t>the</w:t>
      </w:r>
      <w:r>
        <w:rPr>
          <w:spacing w:val="-3"/>
        </w:rPr>
        <w:t> </w:t>
      </w:r>
      <w:r>
        <w:rPr/>
        <w:t>matched</w:t>
      </w:r>
      <w:r>
        <w:rPr>
          <w:spacing w:val="-3"/>
        </w:rPr>
        <w:t> </w:t>
      </w:r>
      <w:r>
        <w:rPr/>
        <w:t>cohort.</w:t>
      </w:r>
      <w:r>
        <w:rPr>
          <w:spacing w:val="23"/>
        </w:rPr>
        <w:t> </w:t>
      </w:r>
      <w:r>
        <w:rPr/>
        <w:t>Inter-method Kendall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316 </w:t>
      </w:r>
      <w:r>
        <w:rPr/>
        <w:t>indicates partial overlap with substantial pairwise disagreement, supporting H1/RQ1 (construct-distinct orderings).</w:t>
      </w:r>
    </w:p>
    <w:p>
      <w:pPr>
        <w:pStyle w:val="BodyText"/>
        <w:spacing w:line="244" w:lineRule="auto" w:before="1"/>
        <w:ind w:left="282" w:right="564"/>
        <w:jc w:val="both"/>
      </w:pPr>
      <w:r>
        <w:rPr>
          <w:i/>
        </w:rPr>
        <w:t>그림 4.8: 일치하는 코호트에서 EndorseRank 대 AWP의 순위-순위 분산. 방법 간 Kendall τ = 0.316은 H1/RQ1(구성 구별 순서)을 지원하는 상당한 쌍별 불일치가 있는 부분 중첩을 나타냅니다.</w:t>
      </w:r>
    </w:p>
    <w:p>
      <w:pPr>
        <w:pStyle w:val="BodyText"/>
        <w:spacing w:after="0" w:line="244" w:lineRule="auto"/>
        <w:jc w:val="both"/>
        <w:sectPr>
          <w:pgSz w:w="11910" w:h="16840"/>
          <w:pgMar w:header="0" w:footer="2115" w:top="1920" w:bottom="2300" w:left="992" w:right="708"/>
        </w:sectPr>
      </w:pPr>
    </w:p>
    <w:p>
      <w:pPr>
        <w:pStyle w:val="BodyText"/>
        <w:spacing w:line="396" w:lineRule="auto" w:before="72"/>
        <w:ind w:left="282" w:right="521" w:hanging="8"/>
        <w:jc w:val="both"/>
      </w:pPr>
      <w:r>
        <w:rPr/>
        <w:t>The divergence result also disciplines rhetoric about “on-chain reputation” as a singular object. On</w:t>
      </w:r>
      <w:r>
        <w:rPr>
          <w:spacing w:val="-9"/>
        </w:rPr>
        <w:t> </w:t>
      </w:r>
      <w:r>
        <w:rPr/>
        <w:t>this</w:t>
      </w:r>
      <w:r>
        <w:rPr>
          <w:spacing w:val="-9"/>
        </w:rPr>
        <w:t> </w:t>
      </w:r>
      <w:r>
        <w:rPr/>
        <w:t>cohort,</w:t>
      </w:r>
      <w:r>
        <w:rPr>
          <w:spacing w:val="-8"/>
        </w:rPr>
        <w:t> </w:t>
      </w:r>
      <w:r>
        <w:rPr/>
        <w:t>reputation-from-authorization</w:t>
      </w:r>
      <w:r>
        <w:rPr>
          <w:spacing w:val="-8"/>
        </w:rPr>
        <w:t> </w:t>
      </w:r>
      <w:r>
        <w:rPr/>
        <w:t>and</w:t>
      </w:r>
      <w:r>
        <w:rPr>
          <w:spacing w:val="-9"/>
        </w:rPr>
        <w:t> </w:t>
      </w:r>
      <w:r>
        <w:rPr/>
        <w:t>reputation-from-transfer</w:t>
      </w:r>
      <w:r>
        <w:rPr>
          <w:spacing w:val="-8"/>
        </w:rPr>
        <w:t> </w:t>
      </w:r>
      <w:r>
        <w:rPr/>
        <w:t>are</w:t>
      </w:r>
      <w:r>
        <w:rPr>
          <w:spacing w:val="-9"/>
        </w:rPr>
        <w:t> </w:t>
      </w:r>
      <w:r>
        <w:rPr/>
        <w:t>empirically</w:t>
      </w:r>
      <w:r>
        <w:rPr>
          <w:spacing w:val="-8"/>
        </w:rPr>
        <w:t> </w:t>
      </w:r>
      <w:r>
        <w:rPr/>
        <w:t>distinct enough that treating them as interchangeable would misstate the evidence.</w:t>
      </w:r>
      <w:r>
        <w:rPr>
          <w:spacing w:val="40"/>
        </w:rPr>
        <w:t> </w:t>
      </w:r>
      <w:r>
        <w:rPr/>
        <w:t>Chapter </w:t>
      </w:r>
      <w:hyperlink w:history="true" w:anchor="_bookmark114">
        <w:r>
          <w:rPr/>
          <w:t>5</w:t>
        </w:r>
      </w:hyperlink>
      <w:r>
        <w:rPr/>
        <w:t> returns to the practical implication:</w:t>
      </w:r>
      <w:r>
        <w:rPr>
          <w:spacing w:val="32"/>
        </w:rPr>
        <w:t> </w:t>
      </w:r>
      <w:r>
        <w:rPr/>
        <w:t>method choice should follow the trust construct a protocol needs, not a </w:t>
      </w:r>
      <w:bookmarkStart w:name="Supplementary GF-PR ceiling analysis (SR" w:id="199"/>
      <w:bookmarkEnd w:id="199"/>
      <w:r>
        <w:rPr>
          <w:w w:val="99"/>
        </w:rPr>
      </w:r>
      <w:bookmarkStart w:name="_bookmark112" w:id="200"/>
      <w:bookmarkEnd w:id="200"/>
      <w:r>
        <w:rPr/>
        <w:t>generic</w:t>
      </w:r>
      <w:r>
        <w:rPr/>
        <w:t> preference for any PageRank variant.</w:t>
      </w:r>
    </w:p>
    <w:p>
      <w:pPr>
        <w:pStyle w:val="BodyText"/>
        <w:spacing w:line="396" w:lineRule="auto" w:before="72"/>
        <w:ind w:left="282" w:right="521" w:hanging="8"/>
        <w:jc w:val="both"/>
      </w:pPr>
      <w:r>
        <w:rPr>
          <w:i/>
        </w:rPr>
        <w:t>또한 분기 결과는 단일 개체로서의 "체인 내 평판"에 대한 수사를 규율합니다. 이 코호트에서 승인으로 인한 평판과 이전으로 인한 평판은 상호 교환 가능한 것으로 취급하면 증거가 잘못 표시될 만큼 경험적으로 충분히 구별됩니다. 5장은 실용적인 의미로 돌아갑니다. 방법 선택은 PageRank 변형에 대한 일반적인 선호가 아니라 프로토콜에 필요한 신뢰 구성을 따라야 합니다.</w:t>
      </w:r>
    </w:p>
    <w:p>
      <w:pPr>
        <w:pStyle w:val="BodyText"/>
        <w:spacing w:before="164"/>
      </w:pPr>
    </w:p>
    <w:p>
      <w:pPr>
        <w:pStyle w:val="Heading2"/>
        <w:numPr>
          <w:ilvl w:val="1"/>
          <w:numId w:val="8"/>
        </w:numPr>
        <w:tabs>
          <w:tab w:pos="783" w:val="left" w:leader="none"/>
        </w:tabs>
        <w:spacing w:line="240" w:lineRule="auto" w:before="0" w:after="0"/>
        <w:ind w:left="783" w:right="0" w:hanging="501"/>
        <w:jc w:val="left"/>
      </w:pPr>
      <w:r>
        <w:rPr/>
        <w:t>Supplementary</w:t>
      </w:r>
      <w:r>
        <w:rPr>
          <w:spacing w:val="16"/>
        </w:rPr>
        <w:t> </w:t>
      </w:r>
      <w:r>
        <w:rPr/>
        <w:t>GF-PR</w:t>
      </w:r>
      <w:r>
        <w:rPr>
          <w:spacing w:val="17"/>
        </w:rPr>
        <w:t> </w:t>
      </w:r>
      <w:r>
        <w:rPr/>
        <w:t>ceiling</w:t>
      </w:r>
      <w:r>
        <w:rPr>
          <w:spacing w:val="17"/>
        </w:rPr>
        <w:t> </w:t>
      </w:r>
      <w:r>
        <w:rPr/>
        <w:t>analysis</w:t>
      </w:r>
      <w:r>
        <w:rPr>
          <w:spacing w:val="17"/>
        </w:rPr>
        <w:t> </w:t>
      </w:r>
      <w:r>
        <w:rPr/>
        <w:t>(SRQ1</w:t>
      </w:r>
      <w:r>
        <w:rPr>
          <w:spacing w:val="17"/>
        </w:rPr>
        <w:t> </w:t>
      </w:r>
      <w:r>
        <w:rPr/>
        <w:t>/</w:t>
      </w:r>
      <w:r>
        <w:rPr>
          <w:spacing w:val="17"/>
        </w:rPr>
        <w:t> </w:t>
      </w:r>
      <w:r>
        <w:rPr>
          <w:spacing w:val="-4"/>
        </w:rPr>
        <w:t>SC1)</w:t>
      </w:r>
    </w:p>
    <w:p>
      <w:pPr>
        <w:pStyle w:val="Heading2"/>
        <w:numPr>
          <w:ilvl w:val="1"/>
          <w:numId w:val="8"/>
        </w:numPr>
        <w:tabs>
          <w:tab w:pos="783" w:val="left" w:leader="none"/>
        </w:tabs>
        <w:spacing w:line="240" w:lineRule="auto" w:before="0" w:after="0"/>
        <w:ind w:left="783" w:right="0" w:hanging="501"/>
        <w:jc w:val="left"/>
      </w:pPr>
      <w:r>
        <w:rPr>
          <w:i/>
        </w:rPr>
        <w:t>보충 GF-PR 한도 분석(SRQ1/SC1)</w:t>
      </w:r>
    </w:p>
    <w:p>
      <w:pPr>
        <w:pStyle w:val="BodyText"/>
        <w:spacing w:before="24"/>
        <w:rPr>
          <w:b/>
          <w:sz w:val="28"/>
        </w:rPr>
      </w:pPr>
    </w:p>
    <w:p>
      <w:pPr>
        <w:pStyle w:val="BodyText"/>
        <w:spacing w:line="386" w:lineRule="auto"/>
        <w:ind w:left="282" w:right="523"/>
        <w:jc w:val="both"/>
      </w:pPr>
      <w:r>
        <w:rPr/>
        <w:t>GF-PR</w:t>
      </w:r>
      <w:r>
        <w:rPr>
          <w:spacing w:val="-13"/>
        </w:rPr>
        <w:t> </w:t>
      </w:r>
      <w:r>
        <w:rPr/>
        <w:t>was</w:t>
      </w:r>
      <w:r>
        <w:rPr>
          <w:spacing w:val="-13"/>
        </w:rPr>
        <w:t> </w:t>
      </w:r>
      <w:r>
        <w:rPr/>
        <w:t>added</w:t>
      </w:r>
      <w:r>
        <w:rPr>
          <w:spacing w:val="-13"/>
        </w:rPr>
        <w:t> </w:t>
      </w:r>
      <w:r>
        <w:rPr/>
        <w:t>during</w:t>
      </w:r>
      <w:r>
        <w:rPr>
          <w:spacing w:val="-13"/>
        </w:rPr>
        <w:t> </w:t>
      </w:r>
      <w:r>
        <w:rPr/>
        <w:t>empirical</w:t>
      </w:r>
      <w:r>
        <w:rPr>
          <w:spacing w:val="-13"/>
        </w:rPr>
        <w:t> </w:t>
      </w:r>
      <w:r>
        <w:rPr/>
        <w:t>work</w:t>
      </w:r>
      <w:r>
        <w:rPr>
          <w:spacing w:val="-13"/>
        </w:rPr>
        <w:t> </w:t>
      </w:r>
      <w:r>
        <w:rPr/>
        <w:t>to</w:t>
      </w:r>
      <w:r>
        <w:rPr>
          <w:spacing w:val="-13"/>
        </w:rPr>
        <w:t> </w:t>
      </w:r>
      <w:r>
        <w:rPr/>
        <w:t>bound</w:t>
      </w:r>
      <w:r>
        <w:rPr>
          <w:spacing w:val="-13"/>
        </w:rPr>
        <w:t> </w:t>
      </w:r>
      <w:r>
        <w:rPr/>
        <w:t>trading-outcome</w:t>
      </w:r>
      <w:r>
        <w:rPr>
          <w:spacing w:val="-13"/>
        </w:rPr>
        <w:t> </w:t>
      </w:r>
      <w:r>
        <w:rPr/>
        <w:t>proxy</w:t>
      </w:r>
      <w:r>
        <w:rPr>
          <w:spacing w:val="-13"/>
        </w:rPr>
        <w:t> </w:t>
      </w:r>
      <w:r>
        <w:rPr/>
        <w:t>alignment</w:t>
      </w:r>
      <w:r>
        <w:rPr>
          <w:spacing w:val="-13"/>
        </w:rPr>
        <w:t> </w:t>
      </w:r>
      <w:r>
        <w:rPr/>
        <w:t>when</w:t>
      </w:r>
      <w:r>
        <w:rPr>
          <w:spacing w:val="-13"/>
        </w:rPr>
        <w:t> </w:t>
      </w:r>
      <w:r>
        <w:rPr/>
        <w:t>ranking directly on outcome flow rather than social edges.</w:t>
      </w:r>
      <w:r>
        <w:rPr>
          <w:spacing w:val="34"/>
        </w:rPr>
        <w:t> </w:t>
      </w:r>
      <w:r>
        <w:rPr/>
        <w:t>Table </w:t>
      </w:r>
      <w:hyperlink w:history="true" w:anchor="_bookmark101">
        <w:r>
          <w:rPr/>
          <w:t>4.7</w:t>
        </w:r>
      </w:hyperlink>
      <w:r>
        <w:rPr/>
        <w:t> (row 3) shows GF-PR achieving the highest</w:t>
      </w:r>
      <w:r>
        <w:rPr>
          <w:spacing w:val="-14"/>
        </w:rPr>
        <w:t> </w:t>
      </w:r>
      <w:r>
        <w:rPr/>
        <w:t>mean</w:t>
      </w:r>
      <w:r>
        <w:rPr>
          <w:spacing w:val="-14"/>
        </w:rPr>
        <w:t> </w:t>
      </w:r>
      <w:r>
        <w:rPr>
          <w:rFonts w:ascii="Calibri" w:hAnsi="Calibri"/>
          <w:i/>
        </w:rPr>
        <w:t>τ</w:t>
      </w:r>
      <w:r>
        <w:rPr>
          <w:rFonts w:ascii="Calibri" w:hAnsi="Calibri"/>
          <w:i/>
          <w:spacing w:val="18"/>
        </w:rPr>
        <w:t> </w:t>
      </w:r>
      <w:r>
        <w:rPr/>
        <w:t>on</w:t>
      </w:r>
      <w:r>
        <w:rPr>
          <w:spacing w:val="-14"/>
        </w:rPr>
        <w:t> </w:t>
      </w:r>
      <w:r>
        <w:rPr/>
        <w:t>inverse</w:t>
      </w:r>
      <w:r>
        <w:rPr>
          <w:spacing w:val="-14"/>
        </w:rPr>
        <w:t> </w:t>
      </w:r>
      <w:r>
        <w:rPr/>
        <w:t>risk</w:t>
      </w:r>
      <w:r>
        <w:rPr>
          <w:spacing w:val="-14"/>
        </w:rPr>
        <w:t> </w:t>
      </w:r>
      <w:r>
        <w:rPr/>
        <w:t>(</w:t>
      </w:r>
      <w:r>
        <w:rPr>
          <w:rFonts w:ascii="Calibri" w:hAnsi="Calibri"/>
        </w:rPr>
        <w:t>0</w:t>
      </w:r>
      <w:r>
        <w:rPr>
          <w:rFonts w:ascii="Calibri" w:hAnsi="Calibri"/>
          <w:i/>
        </w:rPr>
        <w:t>.</w:t>
      </w:r>
      <w:r>
        <w:rPr>
          <w:rFonts w:ascii="Calibri" w:hAnsi="Calibri"/>
        </w:rPr>
        <w:t>376</w:t>
      </w:r>
      <w:r>
        <w:rPr/>
        <w:t>)</w:t>
      </w:r>
      <w:r>
        <w:rPr>
          <w:spacing w:val="-14"/>
        </w:rPr>
        <w:t> </w:t>
      </w:r>
      <w:r>
        <w:rPr/>
        <w:t>and</w:t>
      </w:r>
      <w:r>
        <w:rPr>
          <w:spacing w:val="-14"/>
        </w:rPr>
        <w:t> </w:t>
      </w:r>
      <w:r>
        <w:rPr/>
        <w:t>trading</w:t>
      </w:r>
      <w:r>
        <w:rPr>
          <w:spacing w:val="-14"/>
        </w:rPr>
        <w:t> </w:t>
      </w:r>
      <w:r>
        <w:rPr/>
        <w:t>success</w:t>
      </w:r>
      <w:r>
        <w:rPr>
          <w:spacing w:val="-14"/>
        </w:rPr>
        <w:t> </w:t>
      </w:r>
      <w:r>
        <w:rPr/>
        <w:t>(</w:t>
      </w:r>
      <w:r>
        <w:rPr>
          <w:rFonts w:ascii="Calibri" w:hAnsi="Calibri"/>
        </w:rPr>
        <w:t>0</w:t>
      </w:r>
      <w:r>
        <w:rPr>
          <w:rFonts w:ascii="Calibri" w:hAnsi="Calibri"/>
          <w:i/>
        </w:rPr>
        <w:t>.</w:t>
      </w:r>
      <w:r>
        <w:rPr>
          <w:rFonts w:ascii="Calibri" w:hAnsi="Calibri"/>
        </w:rPr>
        <w:t>583</w:t>
      </w:r>
      <w:r>
        <w:rPr/>
        <w:t>)</w:t>
      </w:r>
      <w:r>
        <w:rPr>
          <w:spacing w:val="-14"/>
        </w:rPr>
        <w:t> </w:t>
      </w:r>
      <w:r>
        <w:rPr/>
        <w:t>among</w:t>
      </w:r>
      <w:r>
        <w:rPr>
          <w:spacing w:val="-14"/>
        </w:rPr>
        <w:t> </w:t>
      </w:r>
      <w:r>
        <w:rPr/>
        <w:t>all</w:t>
      </w:r>
      <w:r>
        <w:rPr>
          <w:spacing w:val="-14"/>
        </w:rPr>
        <w:t> </w:t>
      </w:r>
      <w:r>
        <w:rPr/>
        <w:t>methods.</w:t>
      </w:r>
      <w:r>
        <w:rPr>
          <w:spacing w:val="13"/>
        </w:rPr>
        <w:t> </w:t>
      </w:r>
      <w:r>
        <w:rPr/>
        <w:t>This</w:t>
      </w:r>
      <w:r>
        <w:rPr>
          <w:spacing w:val="-14"/>
        </w:rPr>
        <w:t> </w:t>
      </w:r>
      <w:r>
        <w:rPr/>
        <w:t>pattern is expected by construction:</w:t>
      </w:r>
      <w:r>
        <w:rPr>
          <w:spacing w:val="40"/>
        </w:rPr>
        <w:t> </w:t>
      </w:r>
      <w:r>
        <w:rPr/>
        <w:t>GF-PR’s POOL/SINK star graph is built from the same GMX </w:t>
      </w:r>
      <w:r>
        <w:rPr>
          <w:rFonts w:ascii="Calibri" w:hAnsi="Calibri"/>
        </w:rPr>
        <w:t>Posi tionDecrease </w:t>
      </w:r>
      <w:r>
        <w:rPr/>
        <w:t>PnL stream used to define trading-success and inverse-risk proxies.</w:t>
      </w:r>
      <w:r>
        <w:rPr>
          <w:spacing w:val="40"/>
        </w:rPr>
        <w:t> </w:t>
      </w:r>
      <w:r>
        <w:rPr/>
        <w:t>The result illustrates</w:t>
      </w:r>
      <w:r>
        <w:rPr>
          <w:spacing w:val="-3"/>
        </w:rPr>
        <w:t> </w:t>
      </w:r>
      <w:r>
        <w:rPr>
          <w:i/>
        </w:rPr>
        <w:t>construct</w:t>
      </w:r>
      <w:r>
        <w:rPr>
          <w:i/>
          <w:spacing w:val="-3"/>
        </w:rPr>
        <w:t> </w:t>
      </w:r>
      <w:r>
        <w:rPr>
          <w:i/>
        </w:rPr>
        <w:t>overlap</w:t>
      </w:r>
      <w:r>
        <w:rPr/>
        <w:t>—shared</w:t>
      </w:r>
      <w:r>
        <w:rPr>
          <w:spacing w:val="-3"/>
        </w:rPr>
        <w:t> </w:t>
      </w:r>
      <w:r>
        <w:rPr/>
        <w:t>input</w:t>
      </w:r>
      <w:r>
        <w:rPr>
          <w:spacing w:val="-3"/>
        </w:rPr>
        <w:t> </w:t>
      </w:r>
      <w:r>
        <w:rPr/>
        <w:t>semantics</w:t>
      </w:r>
      <w:r>
        <w:rPr>
          <w:spacing w:val="-3"/>
        </w:rPr>
        <w:t> </w:t>
      </w:r>
      <w:r>
        <w:rPr/>
        <w:t>inflate</w:t>
      </w:r>
      <w:r>
        <w:rPr>
          <w:spacing w:val="-3"/>
        </w:rPr>
        <w:t> </w:t>
      </w:r>
      <w:r>
        <w:rPr/>
        <w:t>alignment</w:t>
      </w:r>
      <w:r>
        <w:rPr>
          <w:spacing w:val="-3"/>
        </w:rPr>
        <w:t> </w:t>
      </w:r>
      <w:r>
        <w:rPr/>
        <w:t>without</w:t>
      </w:r>
      <w:r>
        <w:rPr>
          <w:spacing w:val="-3"/>
        </w:rPr>
        <w:t> </w:t>
      </w:r>
      <w:r>
        <w:rPr/>
        <w:t>implying</w:t>
      </w:r>
      <w:r>
        <w:rPr>
          <w:spacing w:val="-3"/>
        </w:rPr>
        <w:t> </w:t>
      </w:r>
      <w:r>
        <w:rPr/>
        <w:t>that</w:t>
      </w:r>
      <w:r>
        <w:rPr>
          <w:spacing w:val="-3"/>
        </w:rPr>
        <w:t> </w:t>
      </w:r>
      <w:r>
        <w:rPr/>
        <w:t>GF-PR measures deployable social reputation.</w:t>
      </w:r>
    </w:p>
    <w:p>
      <w:pPr>
        <w:pStyle w:val="BodyText"/>
        <w:spacing w:line="386" w:lineRule="auto"/>
        <w:ind w:left="282" w:right="523"/>
        <w:jc w:val="both"/>
      </w:pPr>
      <w:r>
        <w:rPr>
          <w:i/>
        </w:rPr>
        <w:t>GF-PR은 사회적 우위보다는 결과 흐름에 직접적으로 순위를 매길 때 거래 결과 프록시 정렬을 제한하기 위해 실증적 작업 중에 추가되었습니다. 표 4.7(3행)은 GF-PR이 모든 방법 중에서 역위험(0.376)과 거래 성공(0.583)에 대해 가장 높은 평균 τ를 달성한 것을 보여줍니다. 이 패턴은 구성에 의해 예상됩니다. GF-PR의 POOL/SINK 스타 그래프는 거래 성공 및 역위험 프록시를 정의하는 데 사용된 것과 동일한 GMX PositionDecrease PnL 스트림에서 구축되었습니다. 결과는 구성 중복을 보여줍니다. 공유 입력 의미론은 GF-PR이 배포 가능한 사회적 평판을 측정한다는 것을 암시하지 않고 정렬을 부풀립니다.</w:t>
      </w:r>
    </w:p>
    <w:p>
      <w:pPr>
        <w:pStyle w:val="BodyText"/>
        <w:spacing w:line="388" w:lineRule="auto" w:before="17"/>
        <w:ind w:left="282" w:right="521" w:hanging="8"/>
        <w:jc w:val="both"/>
      </w:pPr>
      <w:r>
        <w:rPr/>
        <w:t>Two further observations clarify the ceiling’s role.</w:t>
      </w:r>
      <w:r>
        <w:rPr>
          <w:spacing w:val="40"/>
        </w:rPr>
        <w:t> </w:t>
      </w:r>
      <w:r>
        <w:rPr/>
        <w:t>First, GF-PR is weak on allowance and only modest</w:t>
      </w:r>
      <w:r>
        <w:rPr>
          <w:spacing w:val="-7"/>
        </w:rPr>
        <w:t> </w:t>
      </w:r>
      <w:r>
        <w:rPr/>
        <w:t>on</w:t>
      </w:r>
      <w:r>
        <w:rPr>
          <w:spacing w:val="-7"/>
        </w:rPr>
        <w:t> </w:t>
      </w:r>
      <w:r>
        <w:rPr/>
        <w:t>transfer,</w:t>
      </w:r>
      <w:r>
        <w:rPr>
          <w:spacing w:val="-7"/>
        </w:rPr>
        <w:t> </w:t>
      </w:r>
      <w:r>
        <w:rPr/>
        <w:t>confirming</w:t>
      </w:r>
      <w:r>
        <w:rPr>
          <w:spacing w:val="-7"/>
        </w:rPr>
        <w:t> </w:t>
      </w:r>
      <w:r>
        <w:rPr/>
        <w:t>that</w:t>
      </w:r>
      <w:r>
        <w:rPr>
          <w:spacing w:val="-6"/>
        </w:rPr>
        <w:t> </w:t>
      </w:r>
      <w:r>
        <w:rPr/>
        <w:t>outcome-native</w:t>
      </w:r>
      <w:r>
        <w:rPr>
          <w:spacing w:val="-6"/>
        </w:rPr>
        <w:t> </w:t>
      </w:r>
      <w:r>
        <w:rPr/>
        <w:t>flow</w:t>
      </w:r>
      <w:r>
        <w:rPr>
          <w:spacing w:val="-7"/>
        </w:rPr>
        <w:t> </w:t>
      </w:r>
      <w:r>
        <w:rPr/>
        <w:t>does</w:t>
      </w:r>
      <w:r>
        <w:rPr>
          <w:spacing w:val="-7"/>
        </w:rPr>
        <w:t> </w:t>
      </w:r>
      <w:r>
        <w:rPr/>
        <w:t>not</w:t>
      </w:r>
      <w:r>
        <w:rPr>
          <w:spacing w:val="-6"/>
        </w:rPr>
        <w:t> </w:t>
      </w:r>
      <w:r>
        <w:rPr/>
        <w:t>recover</w:t>
      </w:r>
      <w:r>
        <w:rPr>
          <w:spacing w:val="-7"/>
        </w:rPr>
        <w:t> </w:t>
      </w:r>
      <w:r>
        <w:rPr/>
        <w:t>social-graph</w:t>
      </w:r>
      <w:r>
        <w:rPr>
          <w:spacing w:val="-7"/>
        </w:rPr>
        <w:t> </w:t>
      </w:r>
      <w:r>
        <w:rPr/>
        <w:t>constructs. Second, among social methods on trading-success proxies, AWP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w:t>
      </w:r>
      <w:r>
        <w:rPr/>
        <w:t>) still exceeds En-dorseRank (</w:t>
      </w:r>
      <w:r>
        <w:rPr>
          <w:rFonts w:ascii="Calibri" w:hAnsi="Calibri"/>
        </w:rPr>
        <w:t>0</w:t>
      </w:r>
      <w:r>
        <w:rPr>
          <w:rFonts w:ascii="Calibri" w:hAnsi="Calibri"/>
          <w:i/>
        </w:rPr>
        <w:t>.</w:t>
      </w:r>
      <w:r>
        <w:rPr>
          <w:rFonts w:ascii="Calibri" w:hAnsi="Calibri"/>
        </w:rPr>
        <w:t>096</w:t>
      </w:r>
      <w:r>
        <w:rPr/>
        <w:t>), confirming that transfer-based social propagation aligns more strongly with trading</w:t>
      </w:r>
      <w:r>
        <w:rPr>
          <w:spacing w:val="-13"/>
        </w:rPr>
        <w:t> </w:t>
      </w:r>
      <w:r>
        <w:rPr/>
        <w:t>outcomes</w:t>
      </w:r>
      <w:r>
        <w:rPr>
          <w:spacing w:val="-13"/>
        </w:rPr>
        <w:t> </w:t>
      </w:r>
      <w:r>
        <w:rPr/>
        <w:t>on</w:t>
      </w:r>
      <w:r>
        <w:rPr>
          <w:spacing w:val="-13"/>
        </w:rPr>
        <w:t> </w:t>
      </w:r>
      <w:r>
        <w:rPr/>
        <w:t>this</w:t>
      </w:r>
      <w:r>
        <w:rPr>
          <w:spacing w:val="-13"/>
        </w:rPr>
        <w:t> </w:t>
      </w:r>
      <w:r>
        <w:rPr/>
        <w:t>cohort</w:t>
      </w:r>
      <w:r>
        <w:rPr>
          <w:spacing w:val="-13"/>
        </w:rPr>
        <w:t> </w:t>
      </w:r>
      <w:r>
        <w:rPr/>
        <w:t>than</w:t>
      </w:r>
      <w:r>
        <w:rPr>
          <w:spacing w:val="-13"/>
        </w:rPr>
        <w:t> </w:t>
      </w:r>
      <w:r>
        <w:rPr/>
        <w:t>allowance-based</w:t>
      </w:r>
      <w:r>
        <w:rPr>
          <w:spacing w:val="-13"/>
        </w:rPr>
        <w:t> </w:t>
      </w:r>
      <w:r>
        <w:rPr/>
        <w:t>propagation,</w:t>
      </w:r>
      <w:r>
        <w:rPr>
          <w:spacing w:val="-12"/>
        </w:rPr>
        <w:t> </w:t>
      </w:r>
      <w:r>
        <w:rPr/>
        <w:t>independent</w:t>
      </w:r>
      <w:r>
        <w:rPr>
          <w:spacing w:val="-13"/>
        </w:rPr>
        <w:t> </w:t>
      </w:r>
      <w:r>
        <w:rPr/>
        <w:t>of</w:t>
      </w:r>
      <w:r>
        <w:rPr>
          <w:spacing w:val="-13"/>
        </w:rPr>
        <w:t> </w:t>
      </w:r>
      <w:r>
        <w:rPr/>
        <w:t>the</w:t>
      </w:r>
      <w:r>
        <w:rPr>
          <w:spacing w:val="-13"/>
        </w:rPr>
        <w:t> </w:t>
      </w:r>
      <w:r>
        <w:rPr/>
        <w:t>GF-PR</w:t>
      </w:r>
      <w:r>
        <w:rPr>
          <w:spacing w:val="-13"/>
        </w:rPr>
        <w:t> </w:t>
      </w:r>
      <w:r>
        <w:rPr/>
        <w:t>ceil-</w:t>
      </w:r>
      <w:r>
        <w:rPr>
          <w:spacing w:val="-4"/>
        </w:rPr>
        <w:t>ing.</w:t>
      </w:r>
    </w:p>
    <w:p>
      <w:pPr>
        <w:pStyle w:val="BodyText"/>
        <w:spacing w:line="388" w:lineRule="auto" w:before="17"/>
        <w:ind w:left="282" w:right="521" w:hanging="8"/>
        <w:jc w:val="both"/>
      </w:pPr>
      <w:r>
        <w:rPr>
          <w:i/>
        </w:rPr>
        <w:t>두 가지 추가 관찰을 통해 천장의 역할이 명확해졌습니다. 첫째, GF-PR은 허용량이 약하고 전송 시에는 적당하지 않아 결과 기반 흐름이 소셜 그래프 구성을 복구하지 않음을 확인합니다. 둘째, 거래 성공 프록시에 대한 사회적 방법 중 AWP(τ = 0.179)는 여전히 En-dorseRank(0.096)를 초과하며, 이는 GF-PR 천장과 관계없이 이전 기반 사회적 전파가 허용량 기반 전파보다 이 집단의 거래 결과와 더 강력하게 일치한다는 것을 확인합니다.</w:t>
      </w:r>
    </w:p>
    <w:p>
      <w:pPr>
        <w:pStyle w:val="BodyText"/>
        <w:spacing w:line="384" w:lineRule="auto" w:before="15"/>
        <w:ind w:left="282" w:right="523" w:hanging="8"/>
        <w:jc w:val="both"/>
      </w:pPr>
      <w:r>
        <w:rPr/>
        <w:t>The</w:t>
      </w:r>
      <w:r>
        <w:rPr>
          <w:spacing w:val="-9"/>
        </w:rPr>
        <w:t> </w:t>
      </w:r>
      <w:r>
        <w:rPr/>
        <w:t>ceiling</w:t>
      </w:r>
      <w:r>
        <w:rPr>
          <w:spacing w:val="-9"/>
        </w:rPr>
        <w:t> </w:t>
      </w:r>
      <w:r>
        <w:rPr/>
        <w:t>is</w:t>
      </w:r>
      <w:r>
        <w:rPr>
          <w:spacing w:val="-9"/>
        </w:rPr>
        <w:t> </w:t>
      </w:r>
      <w:r>
        <w:rPr/>
        <w:t>therefore</w:t>
      </w:r>
      <w:r>
        <w:rPr>
          <w:spacing w:val="-9"/>
        </w:rPr>
        <w:t> </w:t>
      </w:r>
      <w:r>
        <w:rPr/>
        <w:t>a</w:t>
      </w:r>
      <w:r>
        <w:rPr>
          <w:spacing w:val="-9"/>
        </w:rPr>
        <w:t> </w:t>
      </w:r>
      <w:r>
        <w:rPr/>
        <w:t>diagnostic</w:t>
      </w:r>
      <w:r>
        <w:rPr>
          <w:spacing w:val="-9"/>
        </w:rPr>
        <w:t> </w:t>
      </w:r>
      <w:r>
        <w:rPr/>
        <w:t>for</w:t>
      </w:r>
      <w:r>
        <w:rPr>
          <w:spacing w:val="-9"/>
        </w:rPr>
        <w:t> </w:t>
      </w:r>
      <w:r>
        <w:rPr/>
        <w:t>evaluation</w:t>
      </w:r>
      <w:r>
        <w:rPr>
          <w:spacing w:val="-9"/>
        </w:rPr>
        <w:t> </w:t>
      </w:r>
      <w:r>
        <w:rPr/>
        <w:t>design,</w:t>
      </w:r>
      <w:r>
        <w:rPr>
          <w:spacing w:val="-8"/>
        </w:rPr>
        <w:t> </w:t>
      </w:r>
      <w:r>
        <w:rPr/>
        <w:t>not</w:t>
      </w:r>
      <w:r>
        <w:rPr>
          <w:spacing w:val="-9"/>
        </w:rPr>
        <w:t> </w:t>
      </w:r>
      <w:r>
        <w:rPr/>
        <w:t>a</w:t>
      </w:r>
      <w:r>
        <w:rPr>
          <w:spacing w:val="-9"/>
        </w:rPr>
        <w:t> </w:t>
      </w:r>
      <w:r>
        <w:rPr/>
        <w:t>competitor</w:t>
      </w:r>
      <w:r>
        <w:rPr>
          <w:spacing w:val="-9"/>
        </w:rPr>
        <w:t> </w:t>
      </w:r>
      <w:r>
        <w:rPr/>
        <w:t>in</w:t>
      </w:r>
      <w:r>
        <w:rPr>
          <w:spacing w:val="-9"/>
        </w:rPr>
        <w:t> </w:t>
      </w:r>
      <w:r>
        <w:rPr/>
        <w:t>the</w:t>
      </w:r>
      <w:r>
        <w:rPr>
          <w:spacing w:val="-9"/>
        </w:rPr>
        <w:t> </w:t>
      </w:r>
      <w:r>
        <w:rPr/>
        <w:t>primary</w:t>
      </w:r>
      <w:r>
        <w:rPr>
          <w:spacing w:val="-9"/>
        </w:rPr>
        <w:t> </w:t>
      </w:r>
      <w:r>
        <w:rPr/>
        <w:t>compar-ison. When</w:t>
      </w:r>
      <w:r>
        <w:rPr>
          <w:spacing w:val="-4"/>
        </w:rPr>
        <w:t> </w:t>
      </w:r>
      <w:r>
        <w:rPr/>
        <w:t>a</w:t>
      </w:r>
      <w:r>
        <w:rPr>
          <w:spacing w:val="-4"/>
        </w:rPr>
        <w:t> </w:t>
      </w:r>
      <w:r>
        <w:rPr/>
        <w:t>validation</w:t>
      </w:r>
      <w:r>
        <w:rPr>
          <w:spacing w:val="-4"/>
        </w:rPr>
        <w:t> </w:t>
      </w:r>
      <w:r>
        <w:rPr/>
        <w:t>proxy</w:t>
      </w:r>
      <w:r>
        <w:rPr>
          <w:spacing w:val="-4"/>
        </w:rPr>
        <w:t> </w:t>
      </w:r>
      <w:r>
        <w:rPr/>
        <w:t>shares</w:t>
      </w:r>
      <w:r>
        <w:rPr>
          <w:spacing w:val="-4"/>
        </w:rPr>
        <w:t> </w:t>
      </w:r>
      <w:r>
        <w:rPr/>
        <w:t>inputs</w:t>
      </w:r>
      <w:r>
        <w:rPr>
          <w:spacing w:val="-4"/>
        </w:rPr>
        <w:t> </w:t>
      </w:r>
      <w:r>
        <w:rPr/>
        <w:t>with</w:t>
      </w:r>
      <w:r>
        <w:rPr>
          <w:spacing w:val="-4"/>
        </w:rPr>
        <w:t> </w:t>
      </w:r>
      <w:r>
        <w:rPr/>
        <w:t>a</w:t>
      </w:r>
      <w:r>
        <w:rPr>
          <w:spacing w:val="-4"/>
        </w:rPr>
        <w:t> </w:t>
      </w:r>
      <w:r>
        <w:rPr/>
        <w:t>ranking</w:t>
      </w:r>
      <w:r>
        <w:rPr>
          <w:spacing w:val="-4"/>
        </w:rPr>
        <w:t> </w:t>
      </w:r>
      <w:r>
        <w:rPr/>
        <w:t>method,</w:t>
      </w:r>
      <w:r>
        <w:rPr>
          <w:spacing w:val="-3"/>
        </w:rPr>
        <w:t> </w:t>
      </w:r>
      <w:r>
        <w:rPr/>
        <w:t>high</w:t>
      </w:r>
      <w:r>
        <w:rPr>
          <w:spacing w:val="-3"/>
        </w:rPr>
        <w:t> </w:t>
      </w:r>
      <w:r>
        <w:rPr>
          <w:rFonts w:ascii="Calibri" w:hAnsi="Calibri"/>
          <w:i/>
        </w:rPr>
        <w:t>τ</w:t>
      </w:r>
      <w:r>
        <w:rPr>
          <w:rFonts w:ascii="Calibri" w:hAnsi="Calibri"/>
          <w:i/>
          <w:spacing w:val="29"/>
        </w:rPr>
        <w:t> </w:t>
      </w:r>
      <w:r>
        <w:rPr/>
        <w:t>is</w:t>
      </w:r>
      <w:r>
        <w:rPr>
          <w:spacing w:val="-4"/>
        </w:rPr>
        <w:t> </w:t>
      </w:r>
      <w:r>
        <w:rPr/>
        <w:t>uninformative</w:t>
      </w:r>
      <w:r>
        <w:rPr>
          <w:spacing w:val="-4"/>
        </w:rPr>
        <w:t> </w:t>
      </w:r>
      <w:r>
        <w:rPr/>
        <w:t>about social</w:t>
      </w:r>
      <w:r>
        <w:rPr>
          <w:spacing w:val="-15"/>
        </w:rPr>
        <w:t> </w:t>
      </w:r>
      <w:r>
        <w:rPr/>
        <w:t>reputation</w:t>
      </w:r>
      <w:r>
        <w:rPr>
          <w:spacing w:val="-15"/>
        </w:rPr>
        <w:t> </w:t>
      </w:r>
      <w:r>
        <w:rPr/>
        <w:t>quality.</w:t>
      </w:r>
      <w:r>
        <w:rPr>
          <w:spacing w:val="2"/>
        </w:rPr>
        <w:t> </w:t>
      </w:r>
      <w:r>
        <w:rPr/>
        <w:t>Researchers</w:t>
      </w:r>
      <w:r>
        <w:rPr>
          <w:spacing w:val="-15"/>
        </w:rPr>
        <w:t> </w:t>
      </w:r>
      <w:r>
        <w:rPr/>
        <w:t>comparing</w:t>
      </w:r>
      <w:r>
        <w:rPr>
          <w:spacing w:val="-15"/>
        </w:rPr>
        <w:t> </w:t>
      </w:r>
      <w:r>
        <w:rPr/>
        <w:t>EndorseRank</w:t>
      </w:r>
      <w:r>
        <w:rPr>
          <w:spacing w:val="-15"/>
        </w:rPr>
        <w:t> </w:t>
      </w:r>
      <w:r>
        <w:rPr/>
        <w:t>and</w:t>
      </w:r>
      <w:r>
        <w:rPr>
          <w:spacing w:val="-15"/>
        </w:rPr>
        <w:t> </w:t>
      </w:r>
      <w:r>
        <w:rPr/>
        <w:t>AWP</w:t>
      </w:r>
      <w:r>
        <w:rPr>
          <w:spacing w:val="-15"/>
        </w:rPr>
        <w:t> </w:t>
      </w:r>
      <w:r>
        <w:rPr/>
        <w:t>on</w:t>
      </w:r>
      <w:r>
        <w:rPr>
          <w:spacing w:val="-15"/>
        </w:rPr>
        <w:t> </w:t>
      </w:r>
      <w:r>
        <w:rPr/>
        <w:t>trading-outcome</w:t>
      </w:r>
      <w:r>
        <w:rPr>
          <w:spacing w:val="-15"/>
        </w:rPr>
        <w:t> </w:t>
      </w:r>
      <w:r>
        <w:rPr/>
        <w:t>fam-ilies</w:t>
      </w:r>
      <w:r>
        <w:rPr>
          <w:spacing w:val="-4"/>
        </w:rPr>
        <w:t> </w:t>
      </w:r>
      <w:r>
        <w:rPr/>
        <w:t>should</w:t>
      </w:r>
      <w:r>
        <w:rPr>
          <w:spacing w:val="-4"/>
        </w:rPr>
        <w:t> </w:t>
      </w:r>
      <w:r>
        <w:rPr/>
        <w:t>treat</w:t>
      </w:r>
      <w:r>
        <w:rPr>
          <w:spacing w:val="-4"/>
        </w:rPr>
        <w:t> </w:t>
      </w:r>
      <w:r>
        <w:rPr/>
        <w:t>GF-PR’s</w:t>
      </w:r>
      <w:r>
        <w:rPr>
          <w:spacing w:val="-4"/>
        </w:rPr>
        <w:t> </w:t>
      </w:r>
      <w:r>
        <w:rPr>
          <w:rFonts w:ascii="Calibri" w:hAnsi="Calibri"/>
          <w:i/>
        </w:rPr>
        <w:t>τ</w:t>
      </w:r>
      <w:r>
        <w:rPr>
          <w:rFonts w:ascii="Calibri" w:hAnsi="Calibri"/>
          <w:i/>
          <w:spacing w:val="27"/>
        </w:rPr>
        <w:t> </w:t>
      </w:r>
      <w:r>
        <w:rPr/>
        <w:t>as</w:t>
      </w:r>
      <w:r>
        <w:rPr>
          <w:spacing w:val="-4"/>
        </w:rPr>
        <w:t> </w:t>
      </w:r>
      <w:r>
        <w:rPr/>
        <w:t>an</w:t>
      </w:r>
      <w:r>
        <w:rPr>
          <w:spacing w:val="-4"/>
        </w:rPr>
        <w:t> </w:t>
      </w:r>
      <w:r>
        <w:rPr/>
        <w:t>upper</w:t>
      </w:r>
      <w:r>
        <w:rPr>
          <w:spacing w:val="-4"/>
        </w:rPr>
        <w:t> </w:t>
      </w:r>
      <w:r>
        <w:rPr/>
        <w:t>reference</w:t>
      </w:r>
      <w:r>
        <w:rPr>
          <w:spacing w:val="-4"/>
        </w:rPr>
        <w:t> </w:t>
      </w:r>
      <w:r>
        <w:rPr/>
        <w:t>that</w:t>
      </w:r>
      <w:r>
        <w:rPr>
          <w:spacing w:val="-4"/>
        </w:rPr>
        <w:t> </w:t>
      </w:r>
      <w:r>
        <w:rPr/>
        <w:t>flags</w:t>
      </w:r>
      <w:r>
        <w:rPr>
          <w:spacing w:val="-4"/>
        </w:rPr>
        <w:t> </w:t>
      </w:r>
      <w:r>
        <w:rPr/>
        <w:t>how</w:t>
      </w:r>
      <w:r>
        <w:rPr>
          <w:spacing w:val="-4"/>
        </w:rPr>
        <w:t> </w:t>
      </w:r>
      <w:r>
        <w:rPr/>
        <w:t>much</w:t>
      </w:r>
      <w:r>
        <w:rPr>
          <w:spacing w:val="-4"/>
        </w:rPr>
        <w:t> </w:t>
      </w:r>
      <w:r>
        <w:rPr/>
        <w:t>alignment</w:t>
      </w:r>
      <w:r>
        <w:rPr>
          <w:spacing w:val="-4"/>
        </w:rPr>
        <w:t> </w:t>
      </w:r>
      <w:r>
        <w:rPr/>
        <w:t>is</w:t>
      </w:r>
      <w:r>
        <w:rPr>
          <w:spacing w:val="-4"/>
        </w:rPr>
        <w:t> </w:t>
      </w:r>
      <w:r>
        <w:rPr/>
        <w:t>achievable</w:t>
      </w:r>
      <w:r>
        <w:rPr>
          <w:spacing w:val="-4"/>
        </w:rPr>
        <w:t> </w:t>
      </w:r>
      <w:r>
        <w:rPr/>
        <w:t>by construction, then interpret social-method </w:t>
      </w:r>
      <w:r>
        <w:rPr>
          <w:rFonts w:ascii="Calibri" w:hAnsi="Calibri"/>
          <w:i/>
        </w:rPr>
        <w:t>τ</w:t>
      </w:r>
      <w:r>
        <w:rPr>
          <w:rFonts w:ascii="Calibri" w:hAnsi="Calibri"/>
          <w:i/>
          <w:spacing w:val="40"/>
        </w:rPr>
        <w:t> </w:t>
      </w:r>
      <w:r>
        <w:rPr/>
        <w:t>values relative to that reference and to each other.</w:t>
      </w:r>
    </w:p>
    <w:p>
      <w:pPr>
        <w:pStyle w:val="BodyText"/>
        <w:spacing w:line="384" w:lineRule="auto" w:before="15"/>
        <w:ind w:left="282" w:right="523" w:hanging="8"/>
        <w:jc w:val="both"/>
      </w:pPr>
      <w:r>
        <w:rPr>
          <w:i/>
        </w:rPr>
        <w:t>따라서 상한선은 평가 설계를 위한 진단이지 기본 비교의 경쟁자가 아닙니다. 검증 프록시가 순위 방법과 입력을 공유할 때 높은 τ는 사회적 평판 품질에 대한 정보가 없습니다. 거래 결과 계열에 대해 EndorseRank 및 AWP를 비교하는 연구자는 GF-PR의 τ를 구성을 통해 얼마나 많은 정렬이 달성 가능한지를 표시하는 상위 참조로 처리한 다음 해당 참조 및 서로에 대한 사회적 방법 τ 값을 해석해야 합니다.</w:t>
      </w:r>
    </w:p>
    <w:p>
      <w:pPr>
        <w:pStyle w:val="BodyText"/>
        <w:spacing w:line="336" w:lineRule="exact"/>
        <w:ind w:left="274"/>
        <w:jc w:val="both"/>
      </w:pPr>
      <w:r>
        <w:rPr/>
        <w:t>The</w:t>
      </w:r>
      <w:r>
        <w:rPr>
          <w:spacing w:val="-7"/>
        </w:rPr>
        <w:t> </w:t>
      </w:r>
      <w:r>
        <w:rPr/>
        <w:t>near-perfect</w:t>
      </w:r>
      <w:r>
        <w:rPr>
          <w:spacing w:val="-7"/>
        </w:rPr>
        <w:t> </w:t>
      </w:r>
      <w:r>
        <w:rPr/>
        <w:t>GF-PR</w:t>
      </w:r>
      <w:r>
        <w:rPr>
          <w:spacing w:val="-7"/>
        </w:rPr>
        <w:t> </w:t>
      </w:r>
      <w:r>
        <w:rPr/>
        <w:t>alignment</w:t>
      </w:r>
      <w:r>
        <w:rPr>
          <w:spacing w:val="-7"/>
        </w:rPr>
        <w:t> </w:t>
      </w:r>
      <w:r>
        <w:rPr/>
        <w:t>with</w:t>
      </w:r>
      <w:r>
        <w:rPr>
          <w:spacing w:val="-7"/>
        </w:rPr>
        <w:t> </w:t>
      </w:r>
      <w:r>
        <w:rPr/>
        <w:t>the</w:t>
      </w:r>
      <w:r>
        <w:rPr>
          <w:spacing w:val="-7"/>
        </w:rPr>
        <w:t> </w:t>
      </w:r>
      <w:r>
        <w:rPr/>
        <w:t>realized-gain</w:t>
      </w:r>
      <w:r>
        <w:rPr>
          <w:spacing w:val="-7"/>
        </w:rPr>
        <w:t> </w:t>
      </w:r>
      <w:r>
        <w:rPr/>
        <w:t>proxy</w:t>
      </w:r>
      <w:r>
        <w:rPr>
          <w:spacing w:val="-7"/>
        </w:rPr>
        <w:t> </w:t>
      </w:r>
      <w:r>
        <w:rPr/>
        <w:t>(</w:t>
      </w:r>
      <w:r>
        <w:rPr>
          <w:rFonts w:ascii="Calibri" w:hAnsi="Calibri"/>
          <w:i/>
        </w:rPr>
        <w:t>τ</w:t>
      </w:r>
      <w:r>
        <w:rPr>
          <w:rFonts w:ascii="Calibri" w:hAnsi="Calibri"/>
          <w:i/>
          <w:spacing w:val="29"/>
        </w:rPr>
        <w:t> </w:t>
      </w:r>
      <w:r>
        <w:rPr>
          <w:rFonts w:ascii="Lucida Sans Unicode" w:hAnsi="Lucida Sans Unicode"/>
        </w:rPr>
        <w:t>≈</w:t>
      </w:r>
      <w:r>
        <w:rPr>
          <w:rFonts w:ascii="Lucida Sans Unicode" w:hAnsi="Lucida Sans Unicode"/>
          <w:spacing w:val="-16"/>
        </w:rPr>
        <w:t> </w:t>
      </w:r>
      <w:r>
        <w:rPr>
          <w:rFonts w:ascii="Calibri" w:hAnsi="Calibri"/>
        </w:rPr>
        <w:t>0</w:t>
      </w:r>
      <w:r>
        <w:rPr>
          <w:rFonts w:ascii="Calibri" w:hAnsi="Calibri"/>
          <w:i/>
        </w:rPr>
        <w:t>.</w:t>
      </w:r>
      <w:r>
        <w:rPr>
          <w:rFonts w:ascii="Calibri" w:hAnsi="Calibri"/>
        </w:rPr>
        <w:t>999</w:t>
      </w:r>
      <w:r>
        <w:rPr>
          <w:rFonts w:ascii="Calibri" w:hAnsi="Calibri"/>
          <w:spacing w:val="-1"/>
        </w:rPr>
        <w:t> </w:t>
      </w:r>
      <w:r>
        <w:rPr/>
        <w:t>in</w:t>
      </w:r>
      <w:r>
        <w:rPr>
          <w:spacing w:val="-7"/>
        </w:rPr>
        <w:t> </w:t>
      </w:r>
      <w:r>
        <w:rPr/>
        <w:t>Table</w:t>
      </w:r>
      <w:r>
        <w:rPr>
          <w:spacing w:val="-7"/>
        </w:rPr>
        <w:t> </w:t>
      </w:r>
      <w:hyperlink w:history="true" w:anchor="_bookmark108">
        <w:r>
          <w:rPr/>
          <w:t>4.12</w:t>
        </w:r>
      </w:hyperlink>
      <w:r>
        <w:rPr/>
        <w:t>)</w:t>
      </w:r>
      <w:r>
        <w:rPr>
          <w:spacing w:val="-7"/>
        </w:rPr>
        <w:t> </w:t>
      </w:r>
      <w:r>
        <w:rPr/>
        <w:t>is</w:t>
      </w:r>
      <w:r>
        <w:rPr>
          <w:spacing w:val="-6"/>
        </w:rPr>
        <w:t> </w:t>
      </w:r>
      <w:r>
        <w:rPr>
          <w:spacing w:val="-4"/>
        </w:rPr>
        <w:t>espe-</w:t>
      </w:r>
    </w:p>
    <w:p>
      <w:pPr>
        <w:pStyle w:val="BodyText"/>
        <w:spacing w:line="336" w:lineRule="exact"/>
        <w:ind w:left="274"/>
        <w:jc w:val="both"/>
      </w:pPr>
      <w:r>
        <w:rPr>
          <w:i/>
        </w:rPr>
        <w:t>실현 이득 프록시(표 4.12의 τ ≒ 0.999)와 거의 완벽한 GF-PR 정렬은 특히 다음과 같습니다.</w:t>
      </w:r>
    </w:p>
    <w:p>
      <w:pPr>
        <w:pStyle w:val="BodyText"/>
        <w:spacing w:after="0" w:line="336" w:lineRule="exact"/>
        <w:jc w:val="both"/>
        <w:sectPr>
          <w:pgSz w:w="11910" w:h="16840"/>
          <w:pgMar w:header="0" w:footer="2115" w:top="1840" w:bottom="2300" w:left="992" w:right="708"/>
        </w:sectPr>
      </w:pPr>
    </w:p>
    <w:p>
      <w:pPr>
        <w:pStyle w:val="BodyText"/>
        <w:spacing w:line="381" w:lineRule="auto" w:before="68"/>
        <w:ind w:left="282" w:right="524"/>
        <w:jc w:val="both"/>
      </w:pPr>
      <w:r>
        <w:rPr/>
        <w:t>cially instructive.</w:t>
      </w:r>
      <w:r>
        <w:rPr>
          <w:spacing w:val="33"/>
        </w:rPr>
        <w:t> </w:t>
      </w:r>
      <w:r>
        <w:rPr/>
        <w:t>It shows that the evaluation pipeline can recover extremely high </w:t>
      </w:r>
      <w:r>
        <w:rPr>
          <w:rFonts w:ascii="Calibri" w:hAnsi="Calibri"/>
          <w:i/>
        </w:rPr>
        <w:t>τ</w:t>
      </w:r>
      <w:r>
        <w:rPr>
          <w:rFonts w:ascii="Calibri" w:hAnsi="Calibri"/>
          <w:i/>
          <w:spacing w:val="35"/>
        </w:rPr>
        <w:t> </w:t>
      </w:r>
      <w:r>
        <w:rPr/>
        <w:t>when inputs and</w:t>
      </w:r>
      <w:r>
        <w:rPr>
          <w:spacing w:val="-4"/>
        </w:rPr>
        <w:t> </w:t>
      </w:r>
      <w:r>
        <w:rPr/>
        <w:t>proxies</w:t>
      </w:r>
      <w:r>
        <w:rPr>
          <w:spacing w:val="-4"/>
        </w:rPr>
        <w:t> </w:t>
      </w:r>
      <w:r>
        <w:rPr/>
        <w:t>coincide,</w:t>
      </w:r>
      <w:r>
        <w:rPr>
          <w:spacing w:val="-4"/>
        </w:rPr>
        <w:t> </w:t>
      </w:r>
      <w:r>
        <w:rPr/>
        <w:t>so</w:t>
      </w:r>
      <w:r>
        <w:rPr>
          <w:spacing w:val="-4"/>
        </w:rPr>
        <w:t> </w:t>
      </w:r>
      <w:r>
        <w:rPr/>
        <w:t>the</w:t>
      </w:r>
      <w:r>
        <w:rPr>
          <w:spacing w:val="-4"/>
        </w:rPr>
        <w:t> </w:t>
      </w:r>
      <w:r>
        <w:rPr/>
        <w:t>moderate</w:t>
      </w:r>
      <w:r>
        <w:rPr>
          <w:spacing w:val="-4"/>
        </w:rPr>
        <w:t> </w:t>
      </w:r>
      <w:r>
        <w:rPr/>
        <w:t>social-method</w:t>
      </w:r>
      <w:r>
        <w:rPr>
          <w:spacing w:val="-4"/>
        </w:rPr>
        <w:t> </w:t>
      </w:r>
      <w:r>
        <w:rPr/>
        <w:t>values</w:t>
      </w:r>
      <w:r>
        <w:rPr>
          <w:spacing w:val="-4"/>
        </w:rPr>
        <w:t> </w:t>
      </w:r>
      <w:r>
        <w:rPr/>
        <w:t>are</w:t>
      </w:r>
      <w:r>
        <w:rPr>
          <w:spacing w:val="-4"/>
        </w:rPr>
        <w:t> </w:t>
      </w:r>
      <w:r>
        <w:rPr/>
        <w:t>not</w:t>
      </w:r>
      <w:r>
        <w:rPr>
          <w:spacing w:val="-4"/>
        </w:rPr>
        <w:t> </w:t>
      </w:r>
      <w:r>
        <w:rPr/>
        <w:t>an</w:t>
      </w:r>
      <w:r>
        <w:rPr>
          <w:spacing w:val="-4"/>
        </w:rPr>
        <w:t> </w:t>
      </w:r>
      <w:r>
        <w:rPr/>
        <w:t>artifact</w:t>
      </w:r>
      <w:r>
        <w:rPr>
          <w:spacing w:val="-4"/>
        </w:rPr>
        <w:t> </w:t>
      </w:r>
      <w:r>
        <w:rPr/>
        <w:t>of</w:t>
      </w:r>
      <w:r>
        <w:rPr>
          <w:spacing w:val="-4"/>
        </w:rPr>
        <w:t> </w:t>
      </w:r>
      <w:r>
        <w:rPr/>
        <w:t>a</w:t>
      </w:r>
      <w:r>
        <w:rPr>
          <w:spacing w:val="-4"/>
        </w:rPr>
        <w:t> </w:t>
      </w:r>
      <w:r>
        <w:rPr/>
        <w:t>broken</w:t>
      </w:r>
      <w:r>
        <w:rPr>
          <w:spacing w:val="-4"/>
        </w:rPr>
        <w:t> </w:t>
      </w:r>
      <w:r>
        <w:rPr/>
        <w:t>correla-tion</w:t>
      </w:r>
      <w:r>
        <w:rPr>
          <w:spacing w:val="-7"/>
        </w:rPr>
        <w:t> </w:t>
      </w:r>
      <w:r>
        <w:rPr/>
        <w:t>implementation. Low-to-moderate</w:t>
      </w:r>
      <w:r>
        <w:rPr>
          <w:spacing w:val="-7"/>
        </w:rPr>
        <w:t> </w:t>
      </w:r>
      <w:r>
        <w:rPr/>
        <w:t>social-method</w:t>
      </w:r>
      <w:r>
        <w:rPr>
          <w:spacing w:val="-7"/>
        </w:rPr>
        <w:t> </w:t>
      </w:r>
      <w:r>
        <w:rPr>
          <w:rFonts w:ascii="Calibri" w:hAnsi="Calibri"/>
          <w:i/>
        </w:rPr>
        <w:t>τ</w:t>
      </w:r>
      <w:r>
        <w:rPr>
          <w:rFonts w:ascii="Calibri" w:hAnsi="Calibri"/>
          <w:i/>
          <w:spacing w:val="25"/>
        </w:rPr>
        <w:t> </w:t>
      </w:r>
      <w:r>
        <w:rPr/>
        <w:t>on</w:t>
      </w:r>
      <w:r>
        <w:rPr>
          <w:spacing w:val="-7"/>
        </w:rPr>
        <w:t> </w:t>
      </w:r>
      <w:r>
        <w:rPr/>
        <w:t>trading</w:t>
      </w:r>
      <w:r>
        <w:rPr>
          <w:spacing w:val="-7"/>
        </w:rPr>
        <w:t> </w:t>
      </w:r>
      <w:r>
        <w:rPr/>
        <w:t>families</w:t>
      </w:r>
      <w:r>
        <w:rPr>
          <w:spacing w:val="-7"/>
        </w:rPr>
        <w:t> </w:t>
      </w:r>
      <w:r>
        <w:rPr/>
        <w:t>reflects</w:t>
      </w:r>
      <w:r>
        <w:rPr>
          <w:spacing w:val="-7"/>
        </w:rPr>
        <w:t> </w:t>
      </w:r>
      <w:r>
        <w:rPr/>
        <w:t>limited</w:t>
      </w:r>
      <w:r>
        <w:rPr>
          <w:spacing w:val="-7"/>
        </w:rPr>
        <w:t> </w:t>
      </w:r>
      <w:r>
        <w:rPr/>
        <w:t>shared structure</w:t>
      </w:r>
      <w:r>
        <w:rPr>
          <w:spacing w:val="-3"/>
        </w:rPr>
        <w:t> </w:t>
      </w:r>
      <w:r>
        <w:rPr/>
        <w:t>between</w:t>
      </w:r>
      <w:r>
        <w:rPr>
          <w:spacing w:val="-3"/>
        </w:rPr>
        <w:t> </w:t>
      </w:r>
      <w:r>
        <w:rPr/>
        <w:t>social</w:t>
      </w:r>
      <w:r>
        <w:rPr>
          <w:spacing w:val="-3"/>
        </w:rPr>
        <w:t> </w:t>
      </w:r>
      <w:r>
        <w:rPr/>
        <w:t>graphs</w:t>
      </w:r>
      <w:r>
        <w:rPr>
          <w:spacing w:val="-3"/>
        </w:rPr>
        <w:t> </w:t>
      </w:r>
      <w:r>
        <w:rPr/>
        <w:t>and</w:t>
      </w:r>
      <w:r>
        <w:rPr>
          <w:spacing w:val="-3"/>
        </w:rPr>
        <w:t> </w:t>
      </w:r>
      <w:r>
        <w:rPr/>
        <w:t>GMX</w:t>
      </w:r>
      <w:r>
        <w:rPr>
          <w:spacing w:val="-3"/>
        </w:rPr>
        <w:t> </w:t>
      </w:r>
      <w:r>
        <w:rPr/>
        <w:t>outcomes,</w:t>
      </w:r>
      <w:r>
        <w:rPr>
          <w:spacing w:val="-3"/>
        </w:rPr>
        <w:t> </w:t>
      </w:r>
      <w:r>
        <w:rPr/>
        <w:t>not</w:t>
      </w:r>
      <w:r>
        <w:rPr>
          <w:spacing w:val="-3"/>
        </w:rPr>
        <w:t> </w:t>
      </w:r>
      <w:r>
        <w:rPr/>
        <w:t>an</w:t>
      </w:r>
      <w:r>
        <w:rPr>
          <w:spacing w:val="-3"/>
        </w:rPr>
        <w:t> </w:t>
      </w:r>
      <w:r>
        <w:rPr/>
        <w:t>inability</w:t>
      </w:r>
      <w:r>
        <w:rPr>
          <w:spacing w:val="-3"/>
        </w:rPr>
        <w:t> </w:t>
      </w:r>
      <w:r>
        <w:rPr/>
        <w:t>of</w:t>
      </w:r>
      <w:r>
        <w:rPr>
          <w:spacing w:val="-3"/>
        </w:rPr>
        <w:t> </w:t>
      </w:r>
      <w:r>
        <w:rPr/>
        <w:t>Kendall</w:t>
      </w:r>
      <w:r>
        <w:rPr>
          <w:spacing w:val="-3"/>
        </w:rPr>
        <w:t> </w:t>
      </w:r>
      <w:r>
        <w:rPr>
          <w:rFonts w:ascii="Calibri" w:hAnsi="Calibri"/>
          <w:i/>
        </w:rPr>
        <w:t>τ</w:t>
      </w:r>
      <w:r>
        <w:rPr>
          <w:rFonts w:ascii="Calibri" w:hAnsi="Calibri"/>
          <w:i/>
          <w:spacing w:val="30"/>
        </w:rPr>
        <w:t> </w:t>
      </w:r>
      <w:r>
        <w:rPr/>
        <w:t>to</w:t>
      </w:r>
      <w:r>
        <w:rPr>
          <w:spacing w:val="-3"/>
        </w:rPr>
        <w:t> </w:t>
      </w:r>
      <w:r>
        <w:rPr/>
        <w:t>detect</w:t>
      </w:r>
      <w:r>
        <w:rPr>
          <w:spacing w:val="-3"/>
        </w:rPr>
        <w:t> </w:t>
      </w:r>
      <w:r>
        <w:rPr/>
        <w:t>strong relationships when they exist.</w:t>
      </w:r>
    </w:p>
    <w:p>
      <w:pPr>
        <w:pStyle w:val="BodyText"/>
        <w:spacing w:line="381" w:lineRule="auto" w:before="68"/>
        <w:ind w:left="282" w:right="524"/>
        <w:jc w:val="both"/>
      </w:pPr>
      <w:r>
        <w:rPr>
          <w:i/>
        </w:rPr>
        <w:t>적으로 유익하다. 이는 입력과 프록시가 일치할 때 평가 파이프라인이 극도로 높은 τ를 복구할 수 있으므로 적당한 사회적 방법 값이 깨진 상관 관계 구현의 인공물이 아니라는 것을 보여줍니다. 거래 계열에 대한 낮거나 중간 정도의 사회적 방법 τ는 소셜 그래프와 GMX 결과 간의 제한된 공유 구조를 반영하며, Kendall τ가 존재하는 경우 강력한 관계를 감지할 수 없다는 것이 아닙니다.</w:t>
      </w:r>
    </w:p>
    <w:p>
      <w:pPr>
        <w:pStyle w:val="BodyText"/>
        <w:spacing w:line="388" w:lineRule="auto" w:before="25"/>
        <w:ind w:left="282" w:right="523"/>
        <w:jc w:val="both"/>
      </w:pPr>
      <w:r>
        <w:rPr>
          <w:b/>
        </w:rPr>
        <w:t>Supplementary claim SC1:</w:t>
      </w:r>
      <w:r>
        <w:rPr>
          <w:b/>
          <w:spacing w:val="40"/>
        </w:rPr>
        <w:t> </w:t>
      </w:r>
      <w:r>
        <w:rPr/>
        <w:t>GF-PR sets an outcome-native upper bound on trading-outcome proxy alignment; high GF-PR </w:t>
      </w:r>
      <w:r>
        <w:rPr>
          <w:rFonts w:ascii="Calibri" w:hAnsi="Calibri"/>
          <w:i/>
        </w:rPr>
        <w:t>τ</w:t>
      </w:r>
      <w:r>
        <w:rPr>
          <w:rFonts w:ascii="Calibri" w:hAnsi="Calibri"/>
          <w:i/>
          <w:spacing w:val="34"/>
        </w:rPr>
        <w:t> </w:t>
      </w:r>
      <w:r>
        <w:rPr/>
        <w:t>on the trading-success and inverse-risk families must not be read as</w:t>
      </w:r>
      <w:r>
        <w:rPr>
          <w:spacing w:val="-13"/>
        </w:rPr>
        <w:t> </w:t>
      </w:r>
      <w:r>
        <w:rPr/>
        <w:t>evidence</w:t>
      </w:r>
      <w:r>
        <w:rPr>
          <w:spacing w:val="-12"/>
        </w:rPr>
        <w:t> </w:t>
      </w:r>
      <w:r>
        <w:rPr/>
        <w:t>that</w:t>
      </w:r>
      <w:r>
        <w:rPr>
          <w:spacing w:val="-13"/>
        </w:rPr>
        <w:t> </w:t>
      </w:r>
      <w:r>
        <w:rPr/>
        <w:t>outcome-native</w:t>
      </w:r>
      <w:r>
        <w:rPr>
          <w:spacing w:val="-12"/>
        </w:rPr>
        <w:t> </w:t>
      </w:r>
      <w:r>
        <w:rPr/>
        <w:t>ranking</w:t>
      </w:r>
      <w:r>
        <w:rPr>
          <w:spacing w:val="-13"/>
        </w:rPr>
        <w:t> </w:t>
      </w:r>
      <w:r>
        <w:rPr/>
        <w:t>replaces</w:t>
      </w:r>
      <w:r>
        <w:rPr>
          <w:spacing w:val="-12"/>
        </w:rPr>
        <w:t> </w:t>
      </w:r>
      <w:r>
        <w:rPr/>
        <w:t>social</w:t>
      </w:r>
      <w:r>
        <w:rPr>
          <w:spacing w:val="-13"/>
        </w:rPr>
        <w:t> </w:t>
      </w:r>
      <w:r>
        <w:rPr/>
        <w:t>endorsement</w:t>
      </w:r>
      <w:r>
        <w:rPr>
          <w:spacing w:val="-12"/>
        </w:rPr>
        <w:t> </w:t>
      </w:r>
      <w:r>
        <w:rPr/>
        <w:t>graphs</w:t>
      </w:r>
      <w:r>
        <w:rPr>
          <w:spacing w:val="-12"/>
        </w:rPr>
        <w:t> </w:t>
      </w:r>
      <w:r>
        <w:rPr/>
        <w:t>for</w:t>
      </w:r>
      <w:r>
        <w:rPr>
          <w:spacing w:val="-13"/>
        </w:rPr>
        <w:t> </w:t>
      </w:r>
      <w:r>
        <w:rPr/>
        <w:t>reputation</w:t>
      </w:r>
      <w:r>
        <w:rPr>
          <w:spacing w:val="-12"/>
        </w:rPr>
        <w:t> </w:t>
      </w:r>
      <w:r>
        <w:rPr/>
        <w:t>deploy-</w:t>
      </w:r>
      <w:bookmarkStart w:name="Primary claims (C1–C4) and supplementary" w:id="201"/>
      <w:bookmarkEnd w:id="201"/>
      <w:r>
        <w:rPr>
          <w:w w:val="99"/>
        </w:rPr>
      </w:r>
      <w:bookmarkStart w:name="_bookmark113" w:id="202"/>
      <w:bookmarkEnd w:id="202"/>
      <w:r>
        <w:rPr>
          <w:spacing w:val="-2"/>
        </w:rPr>
        <w:t>ment.</w:t>
      </w:r>
    </w:p>
    <w:p>
      <w:pPr>
        <w:pStyle w:val="BodyText"/>
        <w:spacing w:line="388" w:lineRule="auto" w:before="25"/>
        <w:ind w:left="282" w:right="523"/>
        <w:jc w:val="both"/>
      </w:pPr>
      <w:r>
        <w:rPr>
          <w:i/>
        </w:rPr>
        <w:t>보충 주장 SC1: GF-PR은 거래 결과 프록시 정렬에 대한 결과 기본 상한을 설정합니다. 거래 성공 및 역위험 계열에 대한 높은 GF-PR τ는 결과 기본 순위가 평판 배포에 대한 사회적 보증 그래프를 대체한다는 증거로 읽어서는 안 됩니다.</w:t>
      </w:r>
    </w:p>
    <w:p>
      <w:pPr>
        <w:pStyle w:val="BodyText"/>
        <w:spacing w:before="168"/>
      </w:pPr>
    </w:p>
    <w:p>
      <w:pPr>
        <w:pStyle w:val="Heading2"/>
        <w:numPr>
          <w:ilvl w:val="1"/>
          <w:numId w:val="8"/>
        </w:numPr>
        <w:tabs>
          <w:tab w:pos="783" w:val="left" w:leader="none"/>
        </w:tabs>
        <w:spacing w:line="240" w:lineRule="auto" w:before="0" w:after="0"/>
        <w:ind w:left="783" w:right="0" w:hanging="501"/>
        <w:jc w:val="left"/>
      </w:pPr>
      <w:r>
        <w:rPr/>
        <w:t>Primary</w:t>
      </w:r>
      <w:r>
        <w:rPr>
          <w:spacing w:val="18"/>
        </w:rPr>
        <w:t> </w:t>
      </w:r>
      <w:r>
        <w:rPr/>
        <w:t>claims</w:t>
      </w:r>
      <w:r>
        <w:rPr>
          <w:spacing w:val="19"/>
        </w:rPr>
        <w:t> </w:t>
      </w:r>
      <w:r>
        <w:rPr/>
        <w:t>(C1–C4)</w:t>
      </w:r>
      <w:r>
        <w:rPr>
          <w:spacing w:val="19"/>
        </w:rPr>
        <w:t> </w:t>
      </w:r>
      <w:r>
        <w:rPr/>
        <w:t>and</w:t>
      </w:r>
      <w:r>
        <w:rPr>
          <w:spacing w:val="19"/>
        </w:rPr>
        <w:t> </w:t>
      </w:r>
      <w:r>
        <w:rPr/>
        <w:t>supplementary</w:t>
      </w:r>
      <w:r>
        <w:rPr>
          <w:spacing w:val="18"/>
        </w:rPr>
        <w:t> </w:t>
      </w:r>
      <w:r>
        <w:rPr/>
        <w:t>claim</w:t>
      </w:r>
      <w:r>
        <w:rPr>
          <w:spacing w:val="19"/>
        </w:rPr>
        <w:t> </w:t>
      </w:r>
      <w:r>
        <w:rPr>
          <w:spacing w:val="-2"/>
        </w:rPr>
        <w:t>(SC1)</w:t>
      </w:r>
    </w:p>
    <w:p>
      <w:pPr>
        <w:pStyle w:val="Heading2"/>
        <w:numPr>
          <w:ilvl w:val="1"/>
          <w:numId w:val="8"/>
        </w:numPr>
        <w:tabs>
          <w:tab w:pos="783" w:val="left" w:leader="none"/>
        </w:tabs>
        <w:spacing w:line="240" w:lineRule="auto" w:before="0" w:after="0"/>
        <w:ind w:left="783" w:right="0" w:hanging="501"/>
        <w:jc w:val="left"/>
      </w:pPr>
      <w:r>
        <w:rPr>
          <w:i/>
        </w:rPr>
        <w:t>기본 청구항(C1~C4) 및 보조 청구항(SC1)</w:t>
      </w:r>
    </w:p>
    <w:p>
      <w:pPr>
        <w:pStyle w:val="BodyText"/>
        <w:spacing w:before="24"/>
        <w:rPr>
          <w:b/>
          <w:sz w:val="28"/>
        </w:rPr>
      </w:pPr>
    </w:p>
    <w:p>
      <w:pPr>
        <w:pStyle w:val="BodyText"/>
        <w:ind w:left="282"/>
        <w:jc w:val="both"/>
      </w:pPr>
      <w:r>
        <w:rPr/>
        <w:t>Chapter</w:t>
      </w:r>
      <w:r>
        <w:rPr>
          <w:spacing w:val="-10"/>
        </w:rPr>
        <w:t> </w:t>
      </w:r>
      <w:r>
        <w:rPr/>
        <w:t>4</w:t>
      </w:r>
      <w:r>
        <w:rPr>
          <w:spacing w:val="-9"/>
        </w:rPr>
        <w:t> </w:t>
      </w:r>
      <w:r>
        <w:rPr/>
        <w:t>empirical</w:t>
      </w:r>
      <w:r>
        <w:rPr>
          <w:spacing w:val="-9"/>
        </w:rPr>
        <w:t> </w:t>
      </w:r>
      <w:r>
        <w:rPr/>
        <w:t>results</w:t>
      </w:r>
      <w:r>
        <w:rPr>
          <w:spacing w:val="-9"/>
        </w:rPr>
        <w:t> </w:t>
      </w:r>
      <w:r>
        <w:rPr/>
        <w:t>support</w:t>
      </w:r>
      <w:r>
        <w:rPr>
          <w:spacing w:val="-10"/>
        </w:rPr>
        <w:t> </w:t>
      </w:r>
      <w:r>
        <w:rPr/>
        <w:t>the</w:t>
      </w:r>
      <w:r>
        <w:rPr>
          <w:spacing w:val="-9"/>
        </w:rPr>
        <w:t> </w:t>
      </w:r>
      <w:r>
        <w:rPr/>
        <w:t>following</w:t>
      </w:r>
      <w:r>
        <w:rPr>
          <w:spacing w:val="-9"/>
        </w:rPr>
        <w:t> </w:t>
      </w:r>
      <w:r>
        <w:rPr/>
        <w:t>claims,</w:t>
      </w:r>
      <w:r>
        <w:rPr>
          <w:spacing w:val="-9"/>
        </w:rPr>
        <w:t> </w:t>
      </w:r>
      <w:r>
        <w:rPr/>
        <w:t>aligned</w:t>
      </w:r>
      <w:r>
        <w:rPr>
          <w:spacing w:val="-9"/>
        </w:rPr>
        <w:t> </w:t>
      </w:r>
      <w:r>
        <w:rPr/>
        <w:t>with</w:t>
      </w:r>
      <w:r>
        <w:rPr>
          <w:spacing w:val="-10"/>
        </w:rPr>
        <w:t> </w:t>
      </w:r>
      <w:r>
        <w:rPr/>
        <w:t>Table</w:t>
      </w:r>
      <w:r>
        <w:rPr>
          <w:spacing w:val="-10"/>
        </w:rPr>
        <w:t> </w:t>
      </w:r>
      <w:hyperlink w:history="true" w:anchor="_bookmark13">
        <w:r>
          <w:rPr>
            <w:spacing w:val="-4"/>
          </w:rPr>
          <w:t>1.3</w:t>
        </w:r>
      </w:hyperlink>
      <w:r>
        <w:rPr>
          <w:spacing w:val="-4"/>
        </w:rPr>
        <w:t>.</w:t>
      </w:r>
    </w:p>
    <w:p>
      <w:pPr>
        <w:pStyle w:val="BodyText"/>
        <w:ind w:left="282"/>
        <w:jc w:val="both"/>
      </w:pPr>
      <w:r>
        <w:rPr>
          <w:i/>
        </w:rPr>
        <w:t>4장의 경험적 결과는 표 1.3과 일치하는 다음 주장을 뒷받침합니다.</w:t>
      </w:r>
    </w:p>
    <w:p>
      <w:pPr>
        <w:pStyle w:val="Heading4"/>
        <w:spacing w:before="195"/>
        <w:ind w:left="282" w:firstLine="0"/>
        <w:jc w:val="both"/>
      </w:pPr>
      <w:r>
        <w:rPr/>
        <w:t>Primary</w:t>
      </w:r>
      <w:r>
        <w:rPr>
          <w:spacing w:val="-14"/>
        </w:rPr>
        <w:t> </w:t>
      </w:r>
      <w:r>
        <w:rPr/>
        <w:t>claims</w:t>
      </w:r>
      <w:r>
        <w:rPr>
          <w:spacing w:val="-13"/>
        </w:rPr>
        <w:t> </w:t>
      </w:r>
      <w:r>
        <w:rPr/>
        <w:t>(EndorseRank</w:t>
      </w:r>
      <w:r>
        <w:rPr>
          <w:spacing w:val="-13"/>
        </w:rPr>
        <w:t> </w:t>
      </w:r>
      <w:r>
        <w:rPr/>
        <w:t>vs.</w:t>
      </w:r>
      <w:r>
        <w:rPr>
          <w:spacing w:val="-13"/>
        </w:rPr>
        <w:t> </w:t>
      </w:r>
      <w:r>
        <w:rPr>
          <w:spacing w:val="-2"/>
        </w:rPr>
        <w:t>AWP):</w:t>
      </w:r>
    </w:p>
    <w:p>
      <w:pPr>
        <w:pStyle w:val="Heading4"/>
        <w:spacing w:before="195"/>
        <w:ind w:left="282" w:firstLine="0"/>
        <w:jc w:val="both"/>
      </w:pPr>
      <w:r>
        <w:rPr>
          <w:i/>
        </w:rPr>
        <w:t>기본 소유권 주장(EndorseRank 대 AWP):</w:t>
      </w:r>
    </w:p>
    <w:p>
      <w:pPr>
        <w:pStyle w:val="BodyText"/>
        <w:spacing w:before="19"/>
        <w:rPr>
          <w:b/>
        </w:rPr>
      </w:pPr>
    </w:p>
    <w:p>
      <w:pPr>
        <w:pStyle w:val="BodyText"/>
        <w:spacing w:line="374" w:lineRule="auto"/>
        <w:ind w:left="848" w:right="564" w:hanging="476"/>
        <w:jc w:val="right"/>
      </w:pPr>
      <w:r>
        <w:rPr>
          <w:b/>
        </w:rPr>
        <w:t>C1.</w:t>
      </w:r>
      <w:r>
        <w:rPr>
          <w:b/>
          <w:spacing w:val="40"/>
        </w:rPr>
        <w:t> </w:t>
      </w:r>
      <w:r>
        <w:rPr/>
        <w:t>EndorseRank runtime is lower than AWP runtime on identical </w:t>
      </w:r>
      <w:r>
        <w:rPr>
          <w:rFonts w:ascii="Calibri"/>
          <w:i/>
        </w:rPr>
        <w:t>n</w:t>
      </w:r>
      <w:r>
        <w:rPr/>
        <w:t>.</w:t>
      </w:r>
      <w:r>
        <w:rPr>
          <w:spacing w:val="75"/>
        </w:rPr>
        <w:t> </w:t>
      </w:r>
      <w:r>
        <w:rPr/>
        <w:t>On the matched cohort</w:t>
      </w:r>
      <w:r>
        <w:rPr>
          <w:spacing w:val="80"/>
        </w:rPr>
        <w:t> </w:t>
      </w:r>
      <w:r>
        <w:rPr>
          <w:spacing w:val="-2"/>
        </w:rPr>
        <w:t>(</w:t>
      </w:r>
      <w:r>
        <w:rPr>
          <w:rFonts w:ascii="Calibri"/>
          <w:i/>
          <w:spacing w:val="-2"/>
        </w:rPr>
        <w:t>n</w:t>
      </w:r>
      <w:r>
        <w:rPr>
          <w:rFonts w:ascii="Calibri"/>
          <w:i/>
          <w:spacing w:val="4"/>
          <w:w w:val="125"/>
        </w:rPr>
        <w:t> </w:t>
      </w:r>
      <w:r>
        <w:rPr>
          <w:rFonts w:ascii="Calibri"/>
          <w:spacing w:val="-2"/>
          <w:w w:val="125"/>
        </w:rPr>
        <w:t>=</w:t>
      </w:r>
      <w:r>
        <w:rPr>
          <w:rFonts w:ascii="Calibri"/>
          <w:spacing w:val="3"/>
          <w:w w:val="125"/>
        </w:rPr>
        <w:t> </w:t>
      </w:r>
      <w:r>
        <w:rPr>
          <w:rFonts w:ascii="Calibri"/>
          <w:spacing w:val="-2"/>
        </w:rPr>
        <w:t>5</w:t>
      </w:r>
      <w:r>
        <w:rPr>
          <w:rFonts w:ascii="Calibri"/>
          <w:i/>
          <w:spacing w:val="-2"/>
        </w:rPr>
        <w:t>,</w:t>
      </w:r>
      <w:r>
        <w:rPr>
          <w:rFonts w:ascii="Calibri"/>
          <w:spacing w:val="-2"/>
        </w:rPr>
        <w:t>521</w:t>
      </w:r>
      <w:r>
        <w:rPr>
          <w:spacing w:val="-2"/>
        </w:rPr>
        <w:t>),</w:t>
      </w:r>
      <w:r>
        <w:rPr>
          <w:spacing w:val="-9"/>
        </w:rPr>
        <w:t> </w:t>
      </w:r>
      <w:r>
        <w:rPr>
          <w:spacing w:val="-2"/>
        </w:rPr>
        <w:t>EndorseRank</w:t>
      </w:r>
      <w:r>
        <w:rPr>
          <w:spacing w:val="-12"/>
        </w:rPr>
        <w:t> </w:t>
      </w:r>
      <w:r>
        <w:rPr>
          <w:spacing w:val="-2"/>
        </w:rPr>
        <w:t>completes</w:t>
      </w:r>
      <w:r>
        <w:rPr>
          <w:spacing w:val="-11"/>
        </w:rPr>
        <w:t> </w:t>
      </w:r>
      <w:r>
        <w:rPr>
          <w:spacing w:val="-2"/>
        </w:rPr>
        <w:t>PageRank</w:t>
      </w:r>
      <w:r>
        <w:rPr>
          <w:spacing w:val="-13"/>
        </w:rPr>
        <w:t> </w:t>
      </w:r>
      <w:r>
        <w:rPr>
          <w:spacing w:val="-2"/>
        </w:rPr>
        <w:t>in</w:t>
      </w:r>
      <w:r>
        <w:rPr>
          <w:spacing w:val="-12"/>
        </w:rPr>
        <w:t> </w:t>
      </w:r>
      <w:r>
        <w:rPr>
          <w:spacing w:val="-2"/>
        </w:rPr>
        <w:t>2.105</w:t>
      </w:r>
      <w:r>
        <w:rPr>
          <w:spacing w:val="-17"/>
        </w:rPr>
        <w:t> </w:t>
      </w:r>
      <w:r>
        <w:rPr>
          <w:spacing w:val="-2"/>
        </w:rPr>
        <w:t>s</w:t>
      </w:r>
      <w:r>
        <w:rPr>
          <w:spacing w:val="-12"/>
        </w:rPr>
        <w:t> </w:t>
      </w:r>
      <w:r>
        <w:rPr>
          <w:spacing w:val="-2"/>
        </w:rPr>
        <w:t>versus</w:t>
      </w:r>
      <w:r>
        <w:rPr>
          <w:spacing w:val="-12"/>
        </w:rPr>
        <w:t> </w:t>
      </w:r>
      <w:r>
        <w:rPr>
          <w:spacing w:val="-2"/>
        </w:rPr>
        <w:t>18.711</w:t>
      </w:r>
      <w:r>
        <w:rPr>
          <w:spacing w:val="-17"/>
        </w:rPr>
        <w:t> </w:t>
      </w:r>
      <w:r>
        <w:rPr>
          <w:spacing w:val="-2"/>
        </w:rPr>
        <w:t>s</w:t>
      </w:r>
      <w:r>
        <w:rPr>
          <w:spacing w:val="-11"/>
        </w:rPr>
        <w:t> </w:t>
      </w:r>
      <w:r>
        <w:rPr>
          <w:spacing w:val="-2"/>
        </w:rPr>
        <w:t>for</w:t>
      </w:r>
      <w:r>
        <w:rPr>
          <w:spacing w:val="-12"/>
        </w:rPr>
        <w:t> </w:t>
      </w:r>
      <w:r>
        <w:rPr>
          <w:spacing w:val="-2"/>
        </w:rPr>
        <w:t>AWP</w:t>
      </w:r>
      <w:r>
        <w:rPr>
          <w:spacing w:val="-13"/>
        </w:rPr>
        <w:t> </w:t>
      </w:r>
      <w:r>
        <w:rPr>
          <w:spacing w:val="-2"/>
        </w:rPr>
        <w:t>(speedup</w:t>
      </w:r>
    </w:p>
    <w:p>
      <w:pPr>
        <w:pStyle w:val="BodyText"/>
        <w:spacing w:line="374" w:lineRule="auto"/>
        <w:ind w:left="848" w:right="564" w:hanging="476"/>
        <w:jc w:val="right"/>
      </w:pPr>
      <w:r>
        <w:rPr>
          <w:i/>
        </w:rPr>
        <w:t>C1. EndorseRank 런타임은 동일한 n에서 AWP 런타임보다 낮습니다. 일치하는 코호트(n = 5,521)에서 EndorseRank는 2.105초 만에 PageRank를 완료하고 AWP는 18.711초 만에 완료합니다(속도 향상).</w:t>
      </w:r>
    </w:p>
    <w:p>
      <w:pPr>
        <w:pStyle w:val="BodyText"/>
        <w:spacing w:line="333" w:lineRule="exact"/>
        <w:ind w:right="564"/>
        <w:jc w:val="right"/>
      </w:pPr>
      <w:r>
        <w:rPr>
          <w:rFonts w:ascii="Lucida Sans Unicode" w:hAnsi="Lucida Sans Unicode"/>
        </w:rPr>
        <w:t>≈</w:t>
      </w:r>
      <w:r>
        <w:rPr>
          <w:rFonts w:ascii="Lucida Sans Unicode" w:hAnsi="Lucida Sans Unicode"/>
          <w:spacing w:val="-1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12"/>
        </w:rPr>
        <w:t> </w:t>
      </w:r>
      <w:r>
        <w:rPr/>
        <w:t>with</w:t>
      </w:r>
      <w:r>
        <w:rPr>
          <w:spacing w:val="-13"/>
        </w:rPr>
        <w:t> </w:t>
      </w:r>
      <w:r>
        <w:rPr/>
        <w:t>14,727</w:t>
      </w:r>
      <w:r>
        <w:rPr>
          <w:spacing w:val="-12"/>
        </w:rPr>
        <w:t> </w:t>
      </w:r>
      <w:r>
        <w:rPr/>
        <w:t>vs.</w:t>
      </w:r>
      <w:r>
        <w:rPr>
          <w:spacing w:val="-13"/>
        </w:rPr>
        <w:t> </w:t>
      </w:r>
      <w:r>
        <w:rPr/>
        <w:t>137,087</w:t>
      </w:r>
      <w:r>
        <w:rPr>
          <w:spacing w:val="-13"/>
        </w:rPr>
        <w:t> </w:t>
      </w:r>
      <w:r>
        <w:rPr/>
        <w:t>edges</w:t>
      </w:r>
      <w:r>
        <w:rPr>
          <w:spacing w:val="-13"/>
        </w:rPr>
        <w:t> </w:t>
      </w:r>
      <w:r>
        <w:rPr/>
        <w:t>(Table</w:t>
      </w:r>
      <w:r>
        <w:rPr>
          <w:spacing w:val="-13"/>
        </w:rPr>
        <w:t> </w:t>
      </w:r>
      <w:hyperlink w:history="true" w:anchor="_bookmark91">
        <w:r>
          <w:rPr/>
          <w:t>4.2</w:t>
        </w:r>
      </w:hyperlink>
      <w:r>
        <w:rPr/>
        <w:t>).</w:t>
      </w:r>
      <w:r>
        <w:rPr>
          <w:spacing w:val="7"/>
        </w:rPr>
        <w:t> </w:t>
      </w:r>
      <w:r>
        <w:rPr/>
        <w:t>On</w:t>
      </w:r>
      <w:r>
        <w:rPr>
          <w:spacing w:val="-13"/>
        </w:rPr>
        <w:t> </w:t>
      </w:r>
      <w:r>
        <w:rPr/>
        <w:t>the</w:t>
      </w:r>
      <w:r>
        <w:rPr>
          <w:spacing w:val="-13"/>
        </w:rPr>
        <w:t> </w:t>
      </w:r>
      <w:r>
        <w:rPr/>
        <w:t>expanded</w:t>
      </w:r>
      <w:r>
        <w:rPr>
          <w:spacing w:val="-13"/>
        </w:rPr>
        <w:t> </w:t>
      </w:r>
      <w:r>
        <w:rPr/>
        <w:t>wallet</w:t>
      </w:r>
      <w:r>
        <w:rPr>
          <w:spacing w:val="-13"/>
        </w:rPr>
        <w:t> </w:t>
      </w:r>
      <w:r>
        <w:rPr/>
        <w:t>pool,</w:t>
      </w:r>
      <w:r>
        <w:rPr>
          <w:spacing w:val="-12"/>
        </w:rPr>
        <w:t> </w:t>
      </w:r>
      <w:r>
        <w:rPr>
          <w:spacing w:val="-2"/>
        </w:rPr>
        <w:t>speedups</w:t>
      </w:r>
    </w:p>
    <w:p>
      <w:pPr>
        <w:pStyle w:val="BodyText"/>
        <w:spacing w:line="333" w:lineRule="exact"/>
        <w:ind w:right="564"/>
        <w:jc w:val="right"/>
      </w:pPr>
      <w:r>
        <w:rPr>
          <w:i/>
        </w:rPr>
        <w:t>≒ 8.9×), 14,727개 대 137,087개의 모서리가 있습니다(표 4.2). 확장된 지갑 풀에서 속도 향상</w:t>
      </w:r>
    </w:p>
    <w:p>
      <w:pPr>
        <w:pStyle w:val="BodyText"/>
        <w:spacing w:before="88"/>
        <w:ind w:right="522"/>
        <w:jc w:val="right"/>
      </w:pPr>
      <w:r>
        <w:rPr>
          <w:w w:val="105"/>
        </w:rPr>
        <w:t>remain</w:t>
      </w:r>
      <w:r>
        <w:rPr>
          <w:spacing w:val="-16"/>
          <w:w w:val="105"/>
        </w:rPr>
        <w:t> </w:t>
      </w:r>
      <w:r>
        <w:rPr>
          <w:rFonts w:ascii="Lucida Sans Unicode" w:hAnsi="Lucida Sans Unicode"/>
          <w:w w:val="105"/>
        </w:rPr>
        <w:t>≈</w:t>
      </w:r>
      <w:r>
        <w:rPr>
          <w:rFonts w:ascii="Lucida Sans Unicode" w:hAnsi="Lucida Sans Unicode"/>
          <w:spacing w:val="-19"/>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w:t>
      </w:r>
      <w:r>
        <w:rPr>
          <w:rFonts w:ascii="Calibri" w:hAnsi="Calibri"/>
          <w:i/>
          <w:spacing w:val="7"/>
          <w:w w:val="125"/>
        </w:rPr>
        <w:t> </w:t>
      </w:r>
      <w:r>
        <w:rPr>
          <w:rFonts w:ascii="Calibri" w:hAnsi="Calibri"/>
          <w:w w:val="125"/>
        </w:rPr>
        <w:t>=</w:t>
      </w:r>
      <w:r>
        <w:rPr>
          <w:rFonts w:ascii="Calibri" w:hAnsi="Calibri"/>
          <w:spacing w:val="5"/>
          <w:w w:val="125"/>
        </w:rPr>
        <w:t> </w:t>
      </w:r>
      <w:r>
        <w:rPr>
          <w:rFonts w:ascii="Calibri" w:hAnsi="Calibri"/>
          <w:w w:val="105"/>
        </w:rPr>
        <w:t>10</w:t>
      </w:r>
      <w:r>
        <w:rPr>
          <w:rFonts w:ascii="Calibri" w:hAnsi="Calibri"/>
          <w:i/>
          <w:w w:val="105"/>
        </w:rPr>
        <w:t>,</w:t>
      </w:r>
      <w:r>
        <w:rPr>
          <w:rFonts w:ascii="Calibri" w:hAnsi="Calibri"/>
          <w:w w:val="105"/>
        </w:rPr>
        <w:t>000 </w:t>
      </w:r>
      <w:r>
        <w:rPr>
          <w:w w:val="105"/>
        </w:rPr>
        <w:t>(1.18</w:t>
      </w:r>
      <w:r>
        <w:rPr>
          <w:spacing w:val="-24"/>
          <w:w w:val="105"/>
        </w:rPr>
        <w:t> </w:t>
      </w:r>
      <w:r>
        <w:rPr>
          <w:w w:val="105"/>
        </w:rPr>
        <w:t>s</w:t>
      </w:r>
      <w:r>
        <w:rPr>
          <w:spacing w:val="-6"/>
          <w:w w:val="105"/>
        </w:rPr>
        <w:t> </w:t>
      </w:r>
      <w:r>
        <w:rPr>
          <w:w w:val="105"/>
        </w:rPr>
        <w:t>vs.</w:t>
      </w:r>
      <w:r>
        <w:rPr>
          <w:spacing w:val="-6"/>
          <w:w w:val="105"/>
        </w:rPr>
        <w:t> </w:t>
      </w:r>
      <w:r>
        <w:rPr>
          <w:w w:val="105"/>
        </w:rPr>
        <w:t>12.28</w:t>
      </w:r>
      <w:r>
        <w:rPr>
          <w:spacing w:val="-24"/>
          <w:w w:val="105"/>
        </w:rPr>
        <w:t> </w:t>
      </w:r>
      <w:r>
        <w:rPr>
          <w:w w:val="105"/>
        </w:rPr>
        <w:t>s)</w:t>
      </w:r>
      <w:r>
        <w:rPr>
          <w:spacing w:val="-7"/>
          <w:w w:val="105"/>
        </w:rPr>
        <w:t> </w:t>
      </w:r>
      <w:r>
        <w:rPr>
          <w:w w:val="105"/>
        </w:rPr>
        <w:t>and</w:t>
      </w:r>
      <w:r>
        <w:rPr>
          <w:spacing w:val="-6"/>
          <w:w w:val="105"/>
        </w:rPr>
        <w:t> </w:t>
      </w:r>
      <w:r>
        <w:rPr>
          <w:rFonts w:ascii="Lucida Sans Unicode" w:hAnsi="Lucida Sans Unicode"/>
          <w:w w:val="105"/>
        </w:rPr>
        <w:t>≈</w:t>
      </w:r>
      <w:r>
        <w:rPr>
          <w:rFonts w:ascii="Lucida Sans Unicode" w:hAnsi="Lucida Sans Unicode"/>
          <w:spacing w:val="-6"/>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6"/>
          <w:w w:val="105"/>
        </w:rPr>
        <w:t> </w:t>
      </w:r>
      <w:r>
        <w:rPr>
          <w:rFonts w:ascii="Calibri" w:hAnsi="Calibri"/>
          <w:i/>
          <w:w w:val="105"/>
        </w:rPr>
        <w:t>N</w:t>
      </w:r>
      <w:r>
        <w:rPr>
          <w:rFonts w:ascii="Calibri" w:hAnsi="Calibri"/>
          <w:i/>
          <w:spacing w:val="26"/>
          <w:w w:val="125"/>
        </w:rPr>
        <w:t> </w:t>
      </w:r>
      <w:r>
        <w:rPr>
          <w:rFonts w:ascii="Calibri" w:hAnsi="Calibri"/>
          <w:w w:val="125"/>
        </w:rPr>
        <w:t>=</w:t>
      </w:r>
      <w:r>
        <w:rPr>
          <w:rFonts w:ascii="Calibri" w:hAnsi="Calibri"/>
          <w:spacing w:val="6"/>
          <w:w w:val="125"/>
        </w:rPr>
        <w:t> </w:t>
      </w:r>
      <w:r>
        <w:rPr>
          <w:rFonts w:ascii="Calibri" w:hAnsi="Calibri"/>
          <w:w w:val="105"/>
        </w:rPr>
        <w:t>31</w:t>
      </w:r>
      <w:r>
        <w:rPr>
          <w:rFonts w:ascii="Calibri" w:hAnsi="Calibri"/>
          <w:i/>
          <w:w w:val="105"/>
        </w:rPr>
        <w:t>,</w:t>
      </w:r>
      <w:r>
        <w:rPr>
          <w:rFonts w:ascii="Calibri" w:hAnsi="Calibri"/>
          <w:w w:val="105"/>
        </w:rPr>
        <w:t>612 </w:t>
      </w:r>
      <w:r>
        <w:rPr>
          <w:w w:val="105"/>
        </w:rPr>
        <w:t>(2.29</w:t>
      </w:r>
      <w:r>
        <w:rPr>
          <w:spacing w:val="-24"/>
          <w:w w:val="105"/>
        </w:rPr>
        <w:t> </w:t>
      </w:r>
      <w:r>
        <w:rPr>
          <w:w w:val="105"/>
        </w:rPr>
        <w:t>s</w:t>
      </w:r>
      <w:r>
        <w:rPr>
          <w:spacing w:val="-7"/>
          <w:w w:val="105"/>
        </w:rPr>
        <w:t> </w:t>
      </w:r>
      <w:r>
        <w:rPr>
          <w:spacing w:val="-5"/>
          <w:w w:val="105"/>
        </w:rPr>
        <w:t>vs.</w:t>
      </w:r>
    </w:p>
    <w:p>
      <w:pPr>
        <w:pStyle w:val="BodyText"/>
        <w:spacing w:before="88"/>
        <w:ind w:right="522"/>
        <w:jc w:val="right"/>
      </w:pPr>
      <w:r>
        <w:rPr>
          <w:i/>
        </w:rPr>
        <w:t>n = 10,000(1.18초 대 12.28초)에서 약 10.4×로 유지되고 N = 31,612(2.29초 대 12.28초)에서 약 9.4×로 유지됩니다.</w:t>
      </w:r>
    </w:p>
    <w:p>
      <w:pPr>
        <w:pStyle w:val="BodyText"/>
        <w:spacing w:before="126"/>
        <w:ind w:left="856"/>
        <w:jc w:val="both"/>
      </w:pPr>
      <w:r>
        <w:rPr>
          <w:spacing w:val="-2"/>
        </w:rPr>
        <w:t>21.40</w:t>
      </w:r>
      <w:r>
        <w:rPr>
          <w:spacing w:val="-21"/>
        </w:rPr>
        <w:t> </w:t>
      </w:r>
      <w:r>
        <w:rPr>
          <w:spacing w:val="-2"/>
        </w:rPr>
        <w:t>s)</w:t>
      </w:r>
      <w:r>
        <w:rPr>
          <w:spacing w:val="-4"/>
        </w:rPr>
        <w:t> </w:t>
      </w:r>
      <w:r>
        <w:rPr>
          <w:spacing w:val="-2"/>
        </w:rPr>
        <w:t>(Table</w:t>
      </w:r>
      <w:r>
        <w:rPr>
          <w:spacing w:val="-3"/>
        </w:rPr>
        <w:t> </w:t>
      </w:r>
      <w:hyperlink w:history="true" w:anchor="_bookmark93">
        <w:r>
          <w:rPr>
            <w:spacing w:val="-2"/>
          </w:rPr>
          <w:t>4.3</w:t>
        </w:r>
      </w:hyperlink>
      <w:r>
        <w:rPr>
          <w:spacing w:val="-2"/>
        </w:rPr>
        <w:t>).</w:t>
      </w:r>
    </w:p>
    <w:p>
      <w:pPr>
        <w:pStyle w:val="BodyText"/>
        <w:spacing w:before="126"/>
        <w:ind w:left="856"/>
        <w:jc w:val="both"/>
      </w:pPr>
      <w:r>
        <w:rPr>
          <w:i/>
        </w:rPr>
        <w:t>21.40초)(표 4.3).</w:t>
      </w:r>
    </w:p>
    <w:p>
      <w:pPr>
        <w:pStyle w:val="BodyText"/>
        <w:spacing w:line="381" w:lineRule="auto" w:before="213"/>
        <w:ind w:left="856" w:right="524" w:hanging="484"/>
        <w:jc w:val="both"/>
      </w:pPr>
      <w:r>
        <w:rPr>
          <w:b/>
        </w:rPr>
        <w:t>C2.</w:t>
      </w:r>
      <w:r>
        <w:rPr>
          <w:b/>
          <w:spacing w:val="56"/>
        </w:rPr>
        <w:t> </w:t>
      </w:r>
      <w:r>
        <w:rPr/>
        <w:t>EndorseRank</w:t>
      </w:r>
      <w:r>
        <w:rPr>
          <w:spacing w:val="-15"/>
        </w:rPr>
        <w:t> </w:t>
      </w:r>
      <w:r>
        <w:rPr/>
        <w:t>and</w:t>
      </w:r>
      <w:r>
        <w:rPr>
          <w:spacing w:val="-15"/>
        </w:rPr>
        <w:t> </w:t>
      </w:r>
      <w:r>
        <w:rPr/>
        <w:t>AWP</w:t>
      </w:r>
      <w:r>
        <w:rPr>
          <w:spacing w:val="-15"/>
        </w:rPr>
        <w:t> </w:t>
      </w:r>
      <w:r>
        <w:rPr/>
        <w:t>achieve</w:t>
      </w:r>
      <w:r>
        <w:rPr>
          <w:spacing w:val="-15"/>
        </w:rPr>
        <w:t> </w:t>
      </w:r>
      <w:r>
        <w:rPr/>
        <w:t>credible</w:t>
      </w:r>
      <w:r>
        <w:rPr>
          <w:spacing w:val="-15"/>
        </w:rPr>
        <w:t> </w:t>
      </w:r>
      <w:r>
        <w:rPr/>
        <w:t>Spearman</w:t>
      </w:r>
      <w:r>
        <w:rPr>
          <w:spacing w:val="-15"/>
        </w:rPr>
        <w:t> </w:t>
      </w:r>
      <w:r>
        <w:rPr>
          <w:rFonts w:ascii="Calibri" w:hAnsi="Calibri"/>
          <w:i/>
        </w:rPr>
        <w:t>ρ</w:t>
      </w:r>
      <w:r>
        <w:rPr/>
        <w:t>/Kendall</w:t>
      </w:r>
      <w:r>
        <w:rPr>
          <w:spacing w:val="-15"/>
        </w:rPr>
        <w:t> </w:t>
      </w:r>
      <w:r>
        <w:rPr>
          <w:rFonts w:ascii="Calibri" w:hAnsi="Calibri"/>
          <w:i/>
        </w:rPr>
        <w:t>τ</w:t>
      </w:r>
      <w:r>
        <w:rPr>
          <w:rFonts w:ascii="Calibri" w:hAnsi="Calibri"/>
          <w:i/>
          <w:spacing w:val="16"/>
        </w:rPr>
        <w:t> </w:t>
      </w:r>
      <w:r>
        <w:rPr/>
        <w:t>on</w:t>
      </w:r>
      <w:r>
        <w:rPr>
          <w:spacing w:val="-15"/>
        </w:rPr>
        <w:t> </w:t>
      </w:r>
      <w:r>
        <w:rPr/>
        <w:t>selected</w:t>
      </w:r>
      <w:r>
        <w:rPr>
          <w:spacing w:val="-15"/>
        </w:rPr>
        <w:t> </w:t>
      </w:r>
      <w:r>
        <w:rPr/>
        <w:t>proxies</w:t>
      </w:r>
      <w:r>
        <w:rPr>
          <w:spacing w:val="-15"/>
        </w:rPr>
        <w:t> </w:t>
      </w:r>
      <w:r>
        <w:rPr/>
        <w:t>under</w:t>
      </w:r>
      <w:r>
        <w:rPr>
          <w:spacing w:val="-15"/>
        </w:rPr>
        <w:t> </w:t>
      </w:r>
      <w:r>
        <w:rPr/>
        <w:t>Do et</w:t>
      </w:r>
      <w:r>
        <w:rPr>
          <w:spacing w:val="-8"/>
        </w:rPr>
        <w:t> </w:t>
      </w:r>
      <w:r>
        <w:rPr/>
        <w:t>al.’s</w:t>
      </w:r>
      <w:r>
        <w:rPr>
          <w:spacing w:val="-9"/>
        </w:rPr>
        <w:t> </w:t>
      </w:r>
      <w:r>
        <w:rPr/>
        <w:t>framework;</w:t>
      </w:r>
      <w:r>
        <w:rPr>
          <w:spacing w:val="-8"/>
        </w:rPr>
        <w:t> </w:t>
      </w:r>
      <w:r>
        <w:rPr/>
        <w:t>family-level</w:t>
      </w:r>
      <w:r>
        <w:rPr>
          <w:spacing w:val="-8"/>
        </w:rPr>
        <w:t> </w:t>
      </w:r>
      <w:r>
        <w:rPr/>
        <w:t>alignment</w:t>
      </w:r>
      <w:r>
        <w:rPr>
          <w:spacing w:val="-8"/>
        </w:rPr>
        <w:t> </w:t>
      </w:r>
      <w:r>
        <w:rPr/>
        <w:t>varies</w:t>
      </w:r>
      <w:r>
        <w:rPr>
          <w:spacing w:val="-9"/>
        </w:rPr>
        <w:t> </w:t>
      </w:r>
      <w:r>
        <w:rPr/>
        <w:t>by</w:t>
      </w:r>
      <w:r>
        <w:rPr>
          <w:spacing w:val="-8"/>
        </w:rPr>
        <w:t> </w:t>
      </w:r>
      <w:r>
        <w:rPr/>
        <w:t>construct</w:t>
      </w:r>
      <w:r>
        <w:rPr>
          <w:spacing w:val="-8"/>
        </w:rPr>
        <w:t> </w:t>
      </w:r>
      <w:r>
        <w:rPr/>
        <w:t>(Tables</w:t>
      </w:r>
      <w:r>
        <w:rPr>
          <w:spacing w:val="-10"/>
        </w:rPr>
        <w:t> </w:t>
      </w:r>
      <w:hyperlink w:history="true" w:anchor="_bookmark104">
        <w:r>
          <w:rPr/>
          <w:t>4.8</w:t>
        </w:r>
      </w:hyperlink>
      <w:r>
        <w:rPr/>
        <w:t>–</w:t>
      </w:r>
      <w:hyperlink w:history="true" w:anchor="_bookmark108">
        <w:r>
          <w:rPr/>
          <w:t>4.12</w:t>
        </w:r>
      </w:hyperlink>
      <w:r>
        <w:rPr/>
        <w:t>). EndorseR-ank’s allowance mean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355 </w:t>
      </w:r>
      <w:r>
        <w:rPr/>
        <w:t>and AWP’s transfer mean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are the primary-construct anchors; secondary axes are weaker but non-negligible where reported.</w:t>
      </w:r>
    </w:p>
    <w:p>
      <w:pPr>
        <w:pStyle w:val="BodyText"/>
        <w:spacing w:line="381" w:lineRule="auto" w:before="213"/>
        <w:ind w:left="856" w:right="524" w:hanging="484"/>
        <w:jc w:val="both"/>
      </w:pPr>
      <w:r>
        <w:rPr>
          <w:i/>
        </w:rPr>
        <w:t>C2. EndorseRank 및 AWP는 Do et al.의 프레임워크에 따라 선택된 프록시에서 신뢰할 수 있는 Spearman ρ/Kendall τ를 달성합니다. 가족 수준 정렬은 구조에 따라 다릅니다(표 4.8–4.12). EndorseR-ank의 허용 평균 τ = 0.355 및 AWP의 전달 평균 τ = 0.534는 기본 구성 앵커입니다. 보조 축은 더 약하지만 보고된 경우 무시할 수 없습니다.</w:t>
      </w:r>
    </w:p>
    <w:p>
      <w:pPr>
        <w:pStyle w:val="BodyText"/>
        <w:spacing w:line="333" w:lineRule="auto" w:before="53"/>
        <w:ind w:left="856" w:right="522" w:hanging="484"/>
        <w:jc w:val="both"/>
      </w:pPr>
      <w:r>
        <w:rPr>
          <w:b/>
        </w:rPr>
        <w:t>C3. Construct-specific alignment:</w:t>
      </w:r>
      <w:r>
        <w:rPr>
          <w:b/>
          <w:spacing w:val="40"/>
        </w:rPr>
        <w:t> </w:t>
      </w:r>
      <w:r>
        <w:rPr/>
        <w:t>EndorseRank exceeds AWP on allowance proxies (</w:t>
      </w:r>
      <w:r>
        <w:rPr>
          <w:rFonts w:ascii="Calibri" w:hAnsi="Calibri"/>
          <w:i/>
        </w:rPr>
        <w:t>τ</w:t>
      </w:r>
      <w:r>
        <w:rPr>
          <w:rFonts w:ascii="Calibri" w:hAnsi="Calibri"/>
          <w:i/>
          <w:spacing w:val="40"/>
          <w:w w:val="125"/>
        </w:rPr>
        <w:t> </w:t>
      </w:r>
      <w:r>
        <w:rPr>
          <w:rFonts w:ascii="Calibri" w:hAnsi="Calibri"/>
          <w:w w:val="125"/>
        </w:rPr>
        <w:t>= </w:t>
      </w:r>
      <w:r>
        <w:rPr>
          <w:rFonts w:ascii="Calibri" w:hAnsi="Calibri"/>
        </w:rPr>
        <w:t>0</w:t>
      </w:r>
      <w:r>
        <w:rPr>
          <w:rFonts w:ascii="Calibri" w:hAnsi="Calibri"/>
          <w:i/>
        </w:rPr>
        <w:t>.</w:t>
      </w:r>
      <w:r>
        <w:rPr>
          <w:rFonts w:ascii="Calibri" w:hAnsi="Calibri"/>
        </w:rPr>
        <w:t>355 </w:t>
      </w:r>
      <w:r>
        <w:rPr/>
        <w:t>vs. </w:t>
      </w:r>
      <w:r>
        <w:rPr>
          <w:rFonts w:ascii="Lucida Sans Unicode" w:hAnsi="Lucida Sans Unicode"/>
        </w:rPr>
        <w:t>—</w:t>
      </w:r>
      <w:r>
        <w:rPr>
          <w:rFonts w:ascii="Calibri" w:hAnsi="Calibri"/>
        </w:rPr>
        <w:t>0</w:t>
      </w:r>
      <w:r>
        <w:rPr>
          <w:rFonts w:ascii="Calibri" w:hAnsi="Calibri"/>
          <w:i/>
        </w:rPr>
        <w:t>.</w:t>
      </w:r>
      <w:r>
        <w:rPr>
          <w:rFonts w:ascii="Calibri" w:hAnsi="Calibri"/>
        </w:rPr>
        <w:t>030</w:t>
      </w:r>
      <w:r>
        <w:rPr/>
        <w:t>); AWP exceeds EndorseRank on transfer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333</w:t>
      </w:r>
      <w:r>
        <w:rPr/>
        <w:t>) and on most</w:t>
      </w:r>
      <w:r>
        <w:rPr>
          <w:spacing w:val="17"/>
        </w:rPr>
        <w:t> </w:t>
      </w:r>
      <w:r>
        <w:rPr/>
        <w:t>outcome-based</w:t>
      </w:r>
      <w:r>
        <w:rPr>
          <w:spacing w:val="17"/>
        </w:rPr>
        <w:t> </w:t>
      </w:r>
      <w:r>
        <w:rPr/>
        <w:t>families</w:t>
      </w:r>
      <w:r>
        <w:rPr>
          <w:spacing w:val="17"/>
        </w:rPr>
        <w:t> </w:t>
      </w:r>
      <w:r>
        <w:rPr/>
        <w:t>among</w:t>
      </w:r>
      <w:r>
        <w:rPr>
          <w:spacing w:val="17"/>
        </w:rPr>
        <w:t> </w:t>
      </w:r>
      <w:r>
        <w:rPr/>
        <w:t>social</w:t>
      </w:r>
      <w:r>
        <w:rPr>
          <w:spacing w:val="17"/>
        </w:rPr>
        <w:t> </w:t>
      </w:r>
      <w:r>
        <w:rPr/>
        <w:t>methods,</w:t>
      </w:r>
      <w:r>
        <w:rPr>
          <w:spacing w:val="23"/>
        </w:rPr>
        <w:t> </w:t>
      </w:r>
      <w:r>
        <w:rPr/>
        <w:t>including</w:t>
      </w:r>
      <w:r>
        <w:rPr>
          <w:spacing w:val="17"/>
        </w:rPr>
        <w:t> </w:t>
      </w:r>
      <w:r>
        <w:rPr/>
        <w:t>trading</w:t>
      </w:r>
      <w:r>
        <w:rPr>
          <w:spacing w:val="17"/>
        </w:rPr>
        <w:t> </w:t>
      </w:r>
      <w:r>
        <w:rPr/>
        <w:t>success</w:t>
      </w:r>
      <w:r>
        <w:rPr>
          <w:spacing w:val="17"/>
        </w:rPr>
        <w:t> </w:t>
      </w:r>
      <w:r>
        <w:rPr/>
        <w:t>(</w:t>
      </w:r>
      <w:r>
        <w:rPr>
          <w:rFonts w:ascii="Calibri" w:hAnsi="Calibri"/>
        </w:rPr>
        <w:t>0</w:t>
      </w:r>
      <w:r>
        <w:rPr>
          <w:rFonts w:ascii="Calibri" w:hAnsi="Calibri"/>
          <w:i/>
        </w:rPr>
        <w:t>.</w:t>
      </w:r>
      <w:r>
        <w:rPr>
          <w:rFonts w:ascii="Calibri" w:hAnsi="Calibri"/>
        </w:rPr>
        <w:t>179</w:t>
      </w:r>
      <w:r>
        <w:rPr>
          <w:rFonts w:ascii="Calibri" w:hAnsi="Calibri"/>
          <w:spacing w:val="23"/>
        </w:rPr>
        <w:t> </w:t>
      </w:r>
      <w:r>
        <w:rPr>
          <w:spacing w:val="-5"/>
        </w:rPr>
        <w:t>vs.</w:t>
      </w:r>
    </w:p>
    <w:p>
      <w:pPr>
        <w:pStyle w:val="BodyText"/>
        <w:spacing w:line="333" w:lineRule="auto" w:before="53"/>
        <w:ind w:left="856" w:right="522" w:hanging="484"/>
        <w:jc w:val="both"/>
      </w:pPr>
      <w:r>
        <w:rPr>
          <w:i/>
        </w:rPr>
        <w:t>C3. 구성별 정렬: EndorseRank는 허용 프록시(τ = 0.355 vs. -0.030)에서 AWP를 초과하고, AWP는 전송(τ = 0.534 vs. 0.333)에서 EndorseRank를 초과하고 거래 성공(0.179 vs.</w:t>
      </w:r>
    </w:p>
    <w:p>
      <w:pPr>
        <w:pStyle w:val="BodyText"/>
        <w:spacing w:before="43"/>
        <w:ind w:left="856"/>
        <w:jc w:val="both"/>
      </w:pPr>
      <w:r>
        <w:rPr>
          <w:rFonts w:ascii="Calibri" w:hAnsi="Calibri"/>
        </w:rPr>
        <w:t>0</w:t>
      </w:r>
      <w:r>
        <w:rPr>
          <w:rFonts w:ascii="Calibri" w:hAnsi="Calibri"/>
          <w:i/>
        </w:rPr>
        <w:t>.</w:t>
      </w:r>
      <w:r>
        <w:rPr>
          <w:rFonts w:ascii="Calibri" w:hAnsi="Calibri"/>
        </w:rPr>
        <w:t>096</w:t>
      </w:r>
      <w:r>
        <w:rPr/>
        <w:t>)</w:t>
      </w:r>
      <w:r>
        <w:rPr>
          <w:spacing w:val="9"/>
        </w:rPr>
        <w:t> </w:t>
      </w:r>
      <w:r>
        <w:rPr/>
        <w:t>(Table</w:t>
      </w:r>
      <w:r>
        <w:rPr>
          <w:spacing w:val="9"/>
        </w:rPr>
        <w:t> </w:t>
      </w:r>
      <w:hyperlink w:history="true" w:anchor="_bookmark101">
        <w:r>
          <w:rPr/>
          <w:t>4.7</w:t>
        </w:r>
      </w:hyperlink>
      <w:r>
        <w:rPr/>
        <w:t>).</w:t>
      </w:r>
      <w:r>
        <w:rPr>
          <w:spacing w:val="53"/>
        </w:rPr>
        <w:t> </w:t>
      </w:r>
      <w:r>
        <w:rPr/>
        <w:t>Inter-method</w:t>
      </w:r>
      <w:r>
        <w:rPr>
          <w:spacing w:val="9"/>
        </w:rPr>
        <w:t> </w:t>
      </w:r>
      <w:r>
        <w:rPr/>
        <w:t>rank</w:t>
      </w:r>
      <w:r>
        <w:rPr>
          <w:spacing w:val="9"/>
        </w:rPr>
        <w:t> </w:t>
      </w:r>
      <w:r>
        <w:rPr/>
        <w:t>agreement</w:t>
      </w:r>
      <w:r>
        <w:rPr>
          <w:spacing w:val="9"/>
        </w:rPr>
        <w:t> </w:t>
      </w:r>
      <w:r>
        <w:rPr/>
        <w:t>is</w:t>
      </w:r>
      <w:r>
        <w:rPr>
          <w:spacing w:val="9"/>
        </w:rPr>
        <w:t> </w:t>
      </w:r>
      <w:r>
        <w:rPr/>
        <w:t>only</w:t>
      </w:r>
      <w:r>
        <w:rPr>
          <w:spacing w:val="9"/>
        </w:rPr>
        <w:t> </w:t>
      </w:r>
      <w:r>
        <w:rPr/>
        <w:t>moderate</w:t>
      </w:r>
      <w:r>
        <w:rPr>
          <w:spacing w:val="9"/>
        </w:rPr>
        <w:t> </w:t>
      </w:r>
      <w:r>
        <w:rPr/>
        <w:t>(</w:t>
      </w:r>
      <w:r>
        <w:rPr>
          <w:rFonts w:ascii="Calibri" w:hAnsi="Calibri"/>
          <w:i/>
        </w:rPr>
        <w:t>τ</w:t>
      </w:r>
      <w:r>
        <w:rPr>
          <w:rFonts w:ascii="Calibri" w:hAnsi="Calibri"/>
          <w:i/>
          <w:spacing w:val="62"/>
        </w:rPr>
        <w:t> </w:t>
      </w:r>
      <w:r>
        <w:rPr>
          <w:rFonts w:ascii="Calibri" w:hAnsi="Calibri"/>
        </w:rPr>
        <w:t>=</w:t>
      </w:r>
      <w:r>
        <w:rPr>
          <w:rFonts w:ascii="Calibri" w:hAnsi="Calibri"/>
          <w:spacing w:val="36"/>
        </w:rPr>
        <w:t> </w:t>
      </w:r>
      <w:r>
        <w:rPr>
          <w:rFonts w:ascii="Calibri" w:hAnsi="Calibri"/>
        </w:rPr>
        <w:t>0</w:t>
      </w:r>
      <w:r>
        <w:rPr>
          <w:rFonts w:ascii="Calibri" w:hAnsi="Calibri"/>
          <w:i/>
        </w:rPr>
        <w:t>.</w:t>
      </w:r>
      <w:r>
        <w:rPr>
          <w:rFonts w:ascii="Calibri" w:hAnsi="Calibri"/>
        </w:rPr>
        <w:t>316</w:t>
      </w:r>
      <w:r>
        <w:rPr/>
        <w:t>),</w:t>
      </w:r>
      <w:r>
        <w:rPr>
          <w:spacing w:val="12"/>
        </w:rPr>
        <w:t> </w:t>
      </w:r>
      <w:r>
        <w:rPr>
          <w:spacing w:val="-2"/>
        </w:rPr>
        <w:t>consistent</w:t>
      </w:r>
    </w:p>
    <w:p>
      <w:pPr>
        <w:pStyle w:val="BodyText"/>
        <w:spacing w:before="43"/>
        <w:ind w:left="856"/>
        <w:jc w:val="both"/>
      </w:pPr>
      <w:r>
        <w:rPr>
          <w:i/>
        </w:rPr>
        <w:t>0.096)(표 4.7). 방법 간 순위 일치는 보통 수준(τ = 0.316)이며 일관됩니다.</w:t>
      </w:r>
    </w:p>
    <w:p>
      <w:pPr>
        <w:pStyle w:val="BodyText"/>
        <w:spacing w:after="0"/>
        <w:jc w:val="both"/>
        <w:sectPr>
          <w:pgSz w:w="11910" w:h="16840"/>
          <w:pgMar w:header="0" w:footer="2115" w:top="1840" w:bottom="2300" w:left="992" w:right="708"/>
        </w:sectPr>
      </w:pPr>
    </w:p>
    <w:p>
      <w:pPr>
        <w:pStyle w:val="BodyText"/>
        <w:spacing w:before="72"/>
        <w:ind w:left="847"/>
        <w:jc w:val="both"/>
      </w:pPr>
      <w:r>
        <w:rPr/>
        <w:t>with</w:t>
      </w:r>
      <w:r>
        <w:rPr>
          <w:spacing w:val="-13"/>
        </w:rPr>
        <w:t> </w:t>
      </w:r>
      <w:r>
        <w:rPr/>
        <w:t>construct-distinct</w:t>
      </w:r>
      <w:r>
        <w:rPr>
          <w:spacing w:val="-12"/>
        </w:rPr>
        <w:t> </w:t>
      </w:r>
      <w:r>
        <w:rPr/>
        <w:t>orderings</w:t>
      </w:r>
      <w:r>
        <w:rPr>
          <w:spacing w:val="-13"/>
        </w:rPr>
        <w:t> </w:t>
      </w:r>
      <w:r>
        <w:rPr/>
        <w:t>(Section</w:t>
      </w:r>
      <w:r>
        <w:rPr>
          <w:spacing w:val="-12"/>
        </w:rPr>
        <w:t> </w:t>
      </w:r>
      <w:hyperlink w:history="true" w:anchor="_bookmark109">
        <w:r>
          <w:rPr>
            <w:spacing w:val="-2"/>
          </w:rPr>
          <w:t>4.6</w:t>
        </w:r>
      </w:hyperlink>
      <w:r>
        <w:rPr>
          <w:spacing w:val="-2"/>
        </w:rPr>
        <w:t>).</w:t>
      </w:r>
    </w:p>
    <w:p>
      <w:pPr>
        <w:pStyle w:val="BodyText"/>
        <w:spacing w:before="72"/>
        <w:ind w:left="847"/>
        <w:jc w:val="both"/>
      </w:pPr>
      <w:r>
        <w:rPr>
          <w:i/>
        </w:rPr>
        <w:t>구조별로 순서가 다릅니다(4.6절).</w:t>
      </w:r>
    </w:p>
    <w:p>
      <w:pPr>
        <w:pStyle w:val="BodyText"/>
        <w:spacing w:line="302" w:lineRule="auto" w:before="178"/>
        <w:ind w:left="847" w:right="524" w:hanging="475"/>
        <w:jc w:val="both"/>
      </w:pPr>
      <w:r>
        <w:rPr>
          <w:b/>
        </w:rPr>
        <w:t>C4.</w:t>
      </w:r>
      <w:r>
        <w:rPr>
          <w:b/>
          <w:spacing w:val="40"/>
        </w:rPr>
        <w:t> </w:t>
      </w:r>
      <w:r>
        <w:rPr>
          <w:b/>
        </w:rPr>
        <w:t>Efficiency–alignment trade-off:</w:t>
      </w:r>
      <w:r>
        <w:rPr>
          <w:b/>
          <w:spacing w:val="40"/>
        </w:rPr>
        <w:t> </w:t>
      </w:r>
      <w:r>
        <w:rPr/>
        <w:t>EndorseRank offers </w:t>
      </w:r>
      <w:r>
        <w:rPr>
          <w:rFonts w:ascii="Lucida Sans Unicode" w:hAnsi="Lucida Sans Unicode"/>
        </w:rPr>
        <w:t>≈ </w:t>
      </w:r>
      <w:r>
        <w:rPr>
          <w:rFonts w:ascii="Calibri" w:hAnsi="Calibri"/>
        </w:rPr>
        <w:t>8</w:t>
      </w:r>
      <w:r>
        <w:rPr>
          <w:rFonts w:ascii="Calibri" w:hAnsi="Calibri"/>
          <w:i/>
        </w:rPr>
        <w:t>.</w:t>
      </w:r>
      <w:r>
        <w:rPr>
          <w:rFonts w:ascii="Calibri" w:hAnsi="Calibri"/>
        </w:rPr>
        <w:t>9</w:t>
      </w:r>
      <w:r>
        <w:rPr>
          <w:rFonts w:ascii="Lucida Sans Unicode" w:hAnsi="Lucida Sans Unicode"/>
        </w:rPr>
        <w:t>× </w:t>
      </w:r>
      <w:r>
        <w:rPr/>
        <w:t>lower PageRank runtime than AWP on the matched cohort and </w:t>
      </w:r>
      <w:r>
        <w:rPr>
          <w:rFonts w:ascii="Lucida Sans Unicode" w:hAnsi="Lucida Sans Unicode"/>
        </w:rPr>
        <w:t>≈ </w:t>
      </w:r>
      <w:r>
        <w:rPr>
          <w:rFonts w:ascii="Calibri" w:hAnsi="Calibri"/>
        </w:rPr>
        <w:t>9</w:t>
      </w:r>
      <w:r>
        <w:rPr/>
        <w:t>–</w:t>
      </w:r>
      <w:r>
        <w:rPr>
          <w:rFonts w:ascii="Calibri" w:hAnsi="Calibri"/>
        </w:rPr>
        <w:t>10</w:t>
      </w:r>
      <w:r>
        <w:rPr>
          <w:rFonts w:ascii="Lucida Sans Unicode" w:hAnsi="Lucida Sans Unicode"/>
        </w:rPr>
        <w:t>×</w:t>
      </w:r>
      <w:r>
        <w:rPr>
          <w:rFonts w:ascii="Lucida Sans Unicode" w:hAnsi="Lucida Sans Unicode"/>
          <w:spacing w:val="-15"/>
        </w:rPr>
        <w:t> </w:t>
      </w:r>
      <w:r>
        <w:rPr/>
        <w:t>on expanded-pool scaling (Tables </w:t>
      </w:r>
      <w:hyperlink w:history="true" w:anchor="_bookmark91">
        <w:r>
          <w:rPr/>
          <w:t>4.2</w:t>
        </w:r>
      </w:hyperlink>
      <w:r>
        <w:rPr/>
        <w:t>, </w:t>
      </w:r>
      <w:hyperlink w:history="true" w:anchor="_bookmark93">
        <w:r>
          <w:rPr/>
          <w:t>4.3</w:t>
        </w:r>
      </w:hyperlink>
      <w:r>
        <w:rPr/>
        <w:t>) while maintaining moderate transfer alignment (</w:t>
      </w:r>
      <w:r>
        <w:rPr>
          <w:rFonts w:ascii="Calibri" w:hAnsi="Calibri"/>
          <w:i/>
        </w:rPr>
        <w:t>τ</w:t>
      </w:r>
      <w:r>
        <w:rPr>
          <w:rFonts w:ascii="Calibri" w:hAnsi="Calibri"/>
          <w:i/>
          <w:spacing w:val="40"/>
        </w:rPr>
        <w:t> </w:t>
      </w:r>
      <w:r>
        <w:rPr>
          <w:rFonts w:ascii="Lucida Sans Unicode" w:hAnsi="Lucida Sans Unicode"/>
        </w:rPr>
        <w:t>≈ </w:t>
      </w:r>
      <w:r>
        <w:rPr>
          <w:rFonts w:ascii="Calibri" w:hAnsi="Calibri"/>
        </w:rPr>
        <w:t>0</w:t>
      </w:r>
      <w:r>
        <w:rPr>
          <w:rFonts w:ascii="Calibri" w:hAnsi="Calibri"/>
          <w:i/>
        </w:rPr>
        <w:t>.</w:t>
      </w:r>
      <w:r>
        <w:rPr>
          <w:rFonts w:ascii="Calibri" w:hAnsi="Calibri"/>
        </w:rPr>
        <w:t>33</w:t>
      </w:r>
      <w:r>
        <w:rPr/>
        <w:t>) and stronger allowance </w:t>
      </w:r>
      <w:r>
        <w:rPr/>
        <w:t>align-ment</w:t>
      </w:r>
      <w:r>
        <w:rPr>
          <w:spacing w:val="16"/>
        </w:rPr>
        <w:t> </w:t>
      </w:r>
      <w:r>
        <w:rPr/>
        <w:t>(</w:t>
      </w:r>
      <w:r>
        <w:rPr>
          <w:rFonts w:ascii="Calibri" w:hAnsi="Calibri"/>
          <w:i/>
        </w:rPr>
        <w:t>τ</w:t>
      </w:r>
      <w:r>
        <w:rPr>
          <w:rFonts w:ascii="Calibri" w:hAnsi="Calibri"/>
          <w:i/>
          <w:spacing w:val="75"/>
        </w:rPr>
        <w:t> </w:t>
      </w:r>
      <w:r>
        <w:rPr>
          <w:rFonts w:ascii="Lucida Sans Unicode" w:hAnsi="Lucida Sans Unicode"/>
        </w:rPr>
        <w:t>≈</w:t>
      </w:r>
      <w:r>
        <w:rPr>
          <w:rFonts w:ascii="Lucida Sans Unicode" w:hAnsi="Lucida Sans Unicode"/>
          <w:spacing w:val="28"/>
        </w:rPr>
        <w:t> </w:t>
      </w:r>
      <w:r>
        <w:rPr>
          <w:rFonts w:ascii="Calibri" w:hAnsi="Calibri"/>
        </w:rPr>
        <w:t>0</w:t>
      </w:r>
      <w:r>
        <w:rPr>
          <w:rFonts w:ascii="Calibri" w:hAnsi="Calibri"/>
          <w:i/>
        </w:rPr>
        <w:t>.</w:t>
      </w:r>
      <w:r>
        <w:rPr>
          <w:rFonts w:ascii="Calibri" w:hAnsi="Calibri"/>
        </w:rPr>
        <w:t>35</w:t>
      </w:r>
      <w:r>
        <w:rPr/>
        <w:t>).</w:t>
      </w:r>
      <w:r>
        <w:rPr>
          <w:spacing w:val="71"/>
        </w:rPr>
        <w:t> </w:t>
      </w:r>
      <w:r>
        <w:rPr/>
        <w:t>Damping</w:t>
      </w:r>
      <w:r>
        <w:rPr>
          <w:spacing w:val="16"/>
        </w:rPr>
        <w:t> </w:t>
      </w:r>
      <w:r>
        <w:rPr/>
        <w:t>sweeps</w:t>
      </w:r>
      <w:r>
        <w:rPr>
          <w:spacing w:val="16"/>
        </w:rPr>
        <w:t> </w:t>
      </w:r>
      <w:r>
        <w:rPr/>
        <w:t>confirm</w:t>
      </w:r>
      <w:r>
        <w:rPr>
          <w:spacing w:val="16"/>
        </w:rPr>
        <w:t> </w:t>
      </w:r>
      <w:r>
        <w:rPr/>
        <w:t>allowance-family</w:t>
      </w:r>
      <w:r>
        <w:rPr>
          <w:spacing w:val="16"/>
        </w:rPr>
        <w:t> </w:t>
      </w:r>
      <w:r>
        <w:rPr/>
        <w:t>stability</w:t>
      </w:r>
      <w:r>
        <w:rPr>
          <w:spacing w:val="16"/>
        </w:rPr>
        <w:t> </w:t>
      </w:r>
      <w:r>
        <w:rPr/>
        <w:t>at</w:t>
      </w:r>
      <w:r>
        <w:rPr>
          <w:spacing w:val="16"/>
        </w:rPr>
        <w:t> </w:t>
      </w:r>
      <w:r>
        <w:rPr>
          <w:rFonts w:ascii="Lucida Sans Unicode" w:hAnsi="Lucida Sans Unicode"/>
        </w:rPr>
        <w:t>≈</w:t>
      </w:r>
      <w:r>
        <w:rPr>
          <w:rFonts w:ascii="Lucida Sans Unicode" w:hAnsi="Lucida Sans Unicode"/>
          <w:spacing w:val="28"/>
        </w:rPr>
        <w:t> </w:t>
      </w:r>
      <w:r>
        <w:rPr>
          <w:rFonts w:ascii="Calibri" w:hAnsi="Calibri"/>
        </w:rPr>
        <w:t>0</w:t>
      </w:r>
      <w:r>
        <w:rPr>
          <w:rFonts w:ascii="Calibri" w:hAnsi="Calibri"/>
          <w:i/>
        </w:rPr>
        <w:t>.</w:t>
      </w:r>
      <w:r>
        <w:rPr>
          <w:rFonts w:ascii="Calibri" w:hAnsi="Calibri"/>
        </w:rPr>
        <w:t>355</w:t>
      </w:r>
      <w:r>
        <w:rPr>
          <w:rFonts w:ascii="Calibri" w:hAnsi="Calibri"/>
          <w:spacing w:val="22"/>
        </w:rPr>
        <w:t> </w:t>
      </w:r>
      <w:r>
        <w:rPr/>
        <w:t>across </w:t>
      </w:r>
      <w:r>
        <w:rPr>
          <w:rFonts w:ascii="Calibri" w:hAnsi="Calibri"/>
          <w:i/>
        </w:rPr>
        <w:t>d </w:t>
      </w:r>
      <w:r>
        <w:rPr>
          <w:rFonts w:ascii="Lucida Sans Unicode" w:hAnsi="Lucida Sans Unicode"/>
        </w:rPr>
        <w:t>∈</w:t>
      </w:r>
      <w:r>
        <w:rPr>
          <w:rFonts w:ascii="Lucida Sans Unicode" w:hAnsi="Lucida Sans Unicode"/>
          <w:spacing w:val="-10"/>
        </w:rPr>
        <w:t> </w:t>
      </w:r>
      <w:r>
        <w:rPr>
          <w:rFonts w:ascii="Lucida Sans Unicode" w:hAnsi="Lucida Sans Unicode"/>
        </w:rPr>
        <w:t>{</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rFonts w:ascii="Lucida Sans Unicode" w:hAnsi="Lucida Sans Unicode"/>
          <w:spacing w:val="-17"/>
        </w:rPr>
        <w:t> </w:t>
      </w:r>
      <w:r>
        <w:rPr/>
        <w:t>(Table</w:t>
      </w:r>
      <w:r>
        <w:rPr>
          <w:spacing w:val="-1"/>
        </w:rPr>
        <w:t> </w:t>
      </w:r>
      <w:hyperlink w:history="true" w:anchor="_bookmark96">
        <w:r>
          <w:rPr/>
          <w:t>4.4</w:t>
        </w:r>
      </w:hyperlink>
      <w:r>
        <w:rPr/>
        <w:t>);</w:t>
      </w:r>
      <w:r>
        <w:rPr>
          <w:spacing w:val="-1"/>
        </w:rPr>
        <w:t> </w:t>
      </w:r>
      <w:r>
        <w:rPr/>
        <w:t>top-token</w:t>
      </w:r>
      <w:r>
        <w:rPr>
          <w:spacing w:val="-1"/>
        </w:rPr>
        <w:t> </w:t>
      </w:r>
      <w:r>
        <w:rPr/>
        <w:t>and</w:t>
      </w:r>
      <w:r>
        <w:rPr>
          <w:spacing w:val="-1"/>
        </w:rPr>
        <w:t> </w:t>
      </w:r>
      <w:r>
        <w:rPr/>
        <w:t>sample-size</w:t>
      </w:r>
      <w:r>
        <w:rPr>
          <w:spacing w:val="-1"/>
        </w:rPr>
        <w:t> </w:t>
      </w:r>
      <w:r>
        <w:rPr/>
        <w:t>checks</w:t>
      </w:r>
      <w:r>
        <w:rPr>
          <w:spacing w:val="-1"/>
        </w:rPr>
        <w:t> </w:t>
      </w:r>
      <w:r>
        <w:rPr/>
        <w:t>preserve</w:t>
      </w:r>
      <w:r>
        <w:rPr>
          <w:spacing w:val="-1"/>
        </w:rPr>
        <w:t> </w:t>
      </w:r>
      <w:r>
        <w:rPr/>
        <w:t>the</w:t>
      </w:r>
      <w:r>
        <w:rPr>
          <w:spacing w:val="-1"/>
        </w:rPr>
        <w:t> </w:t>
      </w:r>
      <w:r>
        <w:rPr/>
        <w:t>construct-specific pattern (Tables </w:t>
      </w:r>
      <w:hyperlink w:history="true" w:anchor="_bookmark98">
        <w:r>
          <w:rPr/>
          <w:t>4.5</w:t>
        </w:r>
      </w:hyperlink>
      <w:r>
        <w:rPr/>
        <w:t>, </w:t>
      </w:r>
      <w:hyperlink w:history="true" w:anchor="_bookmark99">
        <w:r>
          <w:rPr/>
          <w:t>4.6</w:t>
        </w:r>
      </w:hyperlink>
      <w:r>
        <w:rPr/>
        <w:t>).</w:t>
      </w:r>
    </w:p>
    <w:p>
      <w:pPr>
        <w:pStyle w:val="BodyText"/>
        <w:spacing w:line="302" w:lineRule="auto" w:before="178"/>
        <w:ind w:left="847" w:right="524" w:hanging="475"/>
        <w:jc w:val="both"/>
      </w:pPr>
      <w:r>
        <w:rPr>
          <w:i/>
        </w:rPr>
        <w:t>C4. 효율성-정렬 절충: EndorseRank는 일치하는 코호트에서 AWP보다 PageRank 실행 시간이 PageRank보다 ⟦8.9배 낮고, 적당한 이동 정렬(τ ≒ 0.33)과 더 강력한 허용 정렬(τ ≒ 0.35)을 유지하면서 확장 풀 확장(표 4.2, 4.3)에서 PageRank 실행 시간을 ⟦9–10× 제공합니다. 감쇠 스윕은 d ∈ {0.75, 0.85, 0.95}(표 4.4)에 걸쳐 ≒ 0.355에서 허용군 안정성을 확인하며, 최상위 토큰 및 표본 크기 확인은 구성별 패턴을 보존합니다(표 4.5, 4.6).</w:t>
      </w:r>
    </w:p>
    <w:p>
      <w:pPr>
        <w:pStyle w:val="Heading4"/>
        <w:spacing w:before="226"/>
        <w:ind w:left="282" w:firstLine="0"/>
        <w:jc w:val="both"/>
      </w:pPr>
      <w:r>
        <w:rPr>
          <w:spacing w:val="-2"/>
        </w:rPr>
        <w:t>Supplementary</w:t>
      </w:r>
      <w:r>
        <w:rPr>
          <w:spacing w:val="9"/>
        </w:rPr>
        <w:t> </w:t>
      </w:r>
      <w:r>
        <w:rPr>
          <w:spacing w:val="-2"/>
        </w:rPr>
        <w:t>claim:</w:t>
      </w:r>
    </w:p>
    <w:p>
      <w:pPr>
        <w:pStyle w:val="Heading4"/>
        <w:spacing w:before="226"/>
        <w:ind w:left="282" w:firstLine="0"/>
        <w:jc w:val="both"/>
      </w:pPr>
      <w:r>
        <w:rPr>
          <w:i/>
        </w:rPr>
        <w:t>보충 주장:</w:t>
      </w:r>
    </w:p>
    <w:p>
      <w:pPr>
        <w:pStyle w:val="BodyText"/>
        <w:spacing w:before="19"/>
        <w:rPr>
          <w:b/>
        </w:rPr>
      </w:pPr>
    </w:p>
    <w:p>
      <w:pPr>
        <w:pStyle w:val="BodyText"/>
        <w:spacing w:line="391" w:lineRule="auto"/>
        <w:ind w:left="856" w:right="521" w:hanging="617"/>
        <w:jc w:val="both"/>
      </w:pPr>
      <w:r>
        <w:rPr>
          <w:b/>
        </w:rPr>
        <w:t>SC1.</w:t>
      </w:r>
      <w:r>
        <w:rPr>
          <w:b/>
          <w:spacing w:val="40"/>
        </w:rPr>
        <w:t> </w:t>
      </w:r>
      <w:r>
        <w:rPr/>
        <w:t>GF-PR’s</w:t>
      </w:r>
      <w:r>
        <w:rPr>
          <w:spacing w:val="-9"/>
        </w:rPr>
        <w:t> </w:t>
      </w:r>
      <w:r>
        <w:rPr/>
        <w:t>highest</w:t>
      </w:r>
      <w:r>
        <w:rPr>
          <w:spacing w:val="-9"/>
        </w:rPr>
        <w:t> </w:t>
      </w:r>
      <w:r>
        <w:rPr/>
        <w:t>trading-success</w:t>
      </w:r>
      <w:r>
        <w:rPr>
          <w:spacing w:val="-9"/>
        </w:rPr>
        <w:t> </w:t>
      </w:r>
      <w:r>
        <w:rPr/>
        <w:t>mean</w:t>
      </w:r>
      <w:r>
        <w:rPr>
          <w:spacing w:val="-8"/>
        </w:rPr>
        <w:t> </w:t>
      </w:r>
      <w:r>
        <w:rPr>
          <w:rFonts w:ascii="Calibri" w:hAnsi="Calibri"/>
          <w:i/>
        </w:rPr>
        <w:t>τ</w:t>
      </w:r>
      <w:r>
        <w:rPr>
          <w:rFonts w:ascii="Calibri" w:hAnsi="Calibri"/>
          <w:i/>
          <w:spacing w:val="22"/>
        </w:rPr>
        <w:t> </w:t>
      </w:r>
      <w:r>
        <w:rPr/>
        <w:t>(</w:t>
      </w:r>
      <w:r>
        <w:rPr>
          <w:rFonts w:ascii="Calibri" w:hAnsi="Calibri"/>
        </w:rPr>
        <w:t>0</w:t>
      </w:r>
      <w:r>
        <w:rPr>
          <w:rFonts w:ascii="Calibri" w:hAnsi="Calibri"/>
          <w:i/>
        </w:rPr>
        <w:t>.</w:t>
      </w:r>
      <w:r>
        <w:rPr>
          <w:rFonts w:ascii="Calibri" w:hAnsi="Calibri"/>
        </w:rPr>
        <w:t>583</w:t>
      </w:r>
      <w:r>
        <w:rPr/>
        <w:t>)</w:t>
      </w:r>
      <w:r>
        <w:rPr>
          <w:spacing w:val="-9"/>
        </w:rPr>
        <w:t> </w:t>
      </w:r>
      <w:r>
        <w:rPr/>
        <w:t>and</w:t>
      </w:r>
      <w:r>
        <w:rPr>
          <w:spacing w:val="-9"/>
        </w:rPr>
        <w:t> </w:t>
      </w:r>
      <w:r>
        <w:rPr/>
        <w:t>inverse-risk</w:t>
      </w:r>
      <w:r>
        <w:rPr>
          <w:spacing w:val="-9"/>
        </w:rPr>
        <w:t> </w:t>
      </w:r>
      <w:r>
        <w:rPr/>
        <w:t>mean</w:t>
      </w:r>
      <w:r>
        <w:rPr>
          <w:spacing w:val="-9"/>
        </w:rPr>
        <w:t> </w:t>
      </w:r>
      <w:r>
        <w:rPr>
          <w:rFonts w:ascii="Calibri" w:hAnsi="Calibri"/>
          <w:i/>
        </w:rPr>
        <w:t>τ</w:t>
      </w:r>
      <w:r>
        <w:rPr>
          <w:rFonts w:ascii="Calibri" w:hAnsi="Calibri"/>
          <w:i/>
          <w:spacing w:val="22"/>
        </w:rPr>
        <w:t> </w:t>
      </w:r>
      <w:r>
        <w:rPr/>
        <w:t>(</w:t>
      </w:r>
      <w:r>
        <w:rPr>
          <w:rFonts w:ascii="Calibri" w:hAnsi="Calibri"/>
        </w:rPr>
        <w:t>0</w:t>
      </w:r>
      <w:r>
        <w:rPr>
          <w:rFonts w:ascii="Calibri" w:hAnsi="Calibri"/>
          <w:i/>
        </w:rPr>
        <w:t>.</w:t>
      </w:r>
      <w:r>
        <w:rPr>
          <w:rFonts w:ascii="Calibri" w:hAnsi="Calibri"/>
        </w:rPr>
        <w:t>376</w:t>
      </w:r>
      <w:r>
        <w:rPr/>
        <w:t>)</w:t>
      </w:r>
      <w:r>
        <w:rPr>
          <w:spacing w:val="-9"/>
        </w:rPr>
        <w:t> </w:t>
      </w:r>
      <w:r>
        <w:rPr/>
        <w:t>(Table</w:t>
      </w:r>
      <w:r>
        <w:rPr>
          <w:spacing w:val="-9"/>
        </w:rPr>
        <w:t> </w:t>
      </w:r>
      <w:hyperlink w:history="true" w:anchor="_bookmark101">
        <w:r>
          <w:rPr/>
          <w:t>4.7</w:t>
        </w:r>
      </w:hyperlink>
      <w:r>
        <w:rPr/>
        <w:t>, Section </w:t>
      </w:r>
      <w:hyperlink w:history="true" w:anchor="_bookmark112">
        <w:r>
          <w:rPr/>
          <w:t>4.7</w:t>
        </w:r>
      </w:hyperlink>
      <w:r>
        <w:rPr/>
        <w:t>) reflect construct overlap with outcome proxies, not superior social reputation. GF-PR</w:t>
      </w:r>
      <w:r>
        <w:rPr>
          <w:spacing w:val="-15"/>
        </w:rPr>
        <w:t> </w:t>
      </w:r>
      <w:r>
        <w:rPr/>
        <w:t>bounds</w:t>
      </w:r>
      <w:r>
        <w:rPr>
          <w:spacing w:val="-15"/>
        </w:rPr>
        <w:t> </w:t>
      </w:r>
      <w:r>
        <w:rPr/>
        <w:t>interpretable</w:t>
      </w:r>
      <w:r>
        <w:rPr>
          <w:spacing w:val="-15"/>
        </w:rPr>
        <w:t> </w:t>
      </w:r>
      <w:r>
        <w:rPr/>
        <w:t>alignment</w:t>
      </w:r>
      <w:r>
        <w:rPr>
          <w:spacing w:val="-15"/>
        </w:rPr>
        <w:t> </w:t>
      </w:r>
      <w:r>
        <w:rPr/>
        <w:t>for</w:t>
      </w:r>
      <w:r>
        <w:rPr>
          <w:spacing w:val="-15"/>
        </w:rPr>
        <w:t> </w:t>
      </w:r>
      <w:r>
        <w:rPr/>
        <w:t>EndorseRank</w:t>
      </w:r>
      <w:r>
        <w:rPr>
          <w:spacing w:val="-15"/>
        </w:rPr>
        <w:t> </w:t>
      </w:r>
      <w:r>
        <w:rPr/>
        <w:t>and</w:t>
      </w:r>
      <w:r>
        <w:rPr>
          <w:spacing w:val="-15"/>
        </w:rPr>
        <w:t> </w:t>
      </w:r>
      <w:r>
        <w:rPr/>
        <w:t>AWP</w:t>
      </w:r>
      <w:r>
        <w:rPr>
          <w:spacing w:val="-15"/>
        </w:rPr>
        <w:t> </w:t>
      </w:r>
      <w:r>
        <w:rPr/>
        <w:t>on</w:t>
      </w:r>
      <w:r>
        <w:rPr>
          <w:spacing w:val="-15"/>
        </w:rPr>
        <w:t> </w:t>
      </w:r>
      <w:r>
        <w:rPr/>
        <w:t>trading-outcome</w:t>
      </w:r>
      <w:r>
        <w:rPr>
          <w:spacing w:val="-15"/>
        </w:rPr>
        <w:t> </w:t>
      </w:r>
      <w:r>
        <w:rPr/>
        <w:t>fami-lies</w:t>
      </w:r>
      <w:r>
        <w:rPr>
          <w:spacing w:val="-14"/>
        </w:rPr>
        <w:t> </w:t>
      </w:r>
      <w:r>
        <w:rPr/>
        <w:t>(SRQ1)</w:t>
      </w:r>
      <w:r>
        <w:rPr>
          <w:spacing w:val="-14"/>
        </w:rPr>
        <w:t> </w:t>
      </w:r>
      <w:r>
        <w:rPr/>
        <w:t>and</w:t>
      </w:r>
      <w:r>
        <w:rPr>
          <w:spacing w:val="-13"/>
        </w:rPr>
        <w:t> </w:t>
      </w:r>
      <w:r>
        <w:rPr/>
        <w:t>must</w:t>
      </w:r>
      <w:r>
        <w:rPr>
          <w:spacing w:val="-14"/>
        </w:rPr>
        <w:t> </w:t>
      </w:r>
      <w:r>
        <w:rPr/>
        <w:t>not</w:t>
      </w:r>
      <w:r>
        <w:rPr>
          <w:spacing w:val="-13"/>
        </w:rPr>
        <w:t> </w:t>
      </w:r>
      <w:r>
        <w:rPr/>
        <w:t>be</w:t>
      </w:r>
      <w:r>
        <w:rPr>
          <w:spacing w:val="-14"/>
        </w:rPr>
        <w:t> </w:t>
      </w:r>
      <w:r>
        <w:rPr/>
        <w:t>treated</w:t>
      </w:r>
      <w:r>
        <w:rPr>
          <w:spacing w:val="-14"/>
        </w:rPr>
        <w:t> </w:t>
      </w:r>
      <w:r>
        <w:rPr/>
        <w:t>as</w:t>
      </w:r>
      <w:r>
        <w:rPr>
          <w:spacing w:val="-13"/>
        </w:rPr>
        <w:t> </w:t>
      </w:r>
      <w:r>
        <w:rPr/>
        <w:t>a</w:t>
      </w:r>
      <w:r>
        <w:rPr>
          <w:spacing w:val="-14"/>
        </w:rPr>
        <w:t> </w:t>
      </w:r>
      <w:r>
        <w:rPr/>
        <w:t>deployable</w:t>
      </w:r>
      <w:r>
        <w:rPr>
          <w:spacing w:val="-13"/>
        </w:rPr>
        <w:t> </w:t>
      </w:r>
      <w:r>
        <w:rPr/>
        <w:t>substitute</w:t>
      </w:r>
      <w:r>
        <w:rPr>
          <w:spacing w:val="-14"/>
        </w:rPr>
        <w:t> </w:t>
      </w:r>
      <w:r>
        <w:rPr/>
        <w:t>for</w:t>
      </w:r>
      <w:r>
        <w:rPr>
          <w:spacing w:val="-14"/>
        </w:rPr>
        <w:t> </w:t>
      </w:r>
      <w:r>
        <w:rPr/>
        <w:t>social</w:t>
      </w:r>
      <w:r>
        <w:rPr>
          <w:spacing w:val="-13"/>
        </w:rPr>
        <w:t> </w:t>
      </w:r>
      <w:r>
        <w:rPr/>
        <w:t>endorsement</w:t>
      </w:r>
      <w:r>
        <w:rPr>
          <w:spacing w:val="-14"/>
        </w:rPr>
        <w:t> </w:t>
      </w:r>
      <w:r>
        <w:rPr>
          <w:spacing w:val="-2"/>
        </w:rPr>
        <w:t>graphs.</w:t>
      </w:r>
    </w:p>
    <w:p>
      <w:pPr>
        <w:pStyle w:val="BodyText"/>
        <w:spacing w:line="391" w:lineRule="auto"/>
        <w:ind w:left="856" w:right="521" w:hanging="617"/>
        <w:jc w:val="both"/>
      </w:pPr>
      <w:r>
        <w:rPr>
          <w:i/>
        </w:rPr>
        <w:t>SC1. GF-PR의 최고 거래 성공 평균 τ(0.583)와 역위험 평균 τ(0.376)(표 4.7, 섹션 4.7)은 우수한 사회적 평판이 아닌 결과 프록시와의 구성 중복을 반영합니다. GF-PR은 거래 결과 계열(SRQ1)의 EndorseRank 및 AWP에 대한 해석 가능한 정렬을 제한하며 소셜 보증 그래프에 대한 배포 가능한 대체물로 취급되어서는 안 됩니다.</w:t>
      </w:r>
    </w:p>
    <w:p>
      <w:pPr>
        <w:pStyle w:val="BodyText"/>
        <w:spacing w:line="388" w:lineRule="auto" w:before="123"/>
        <w:ind w:left="282" w:right="521"/>
        <w:jc w:val="both"/>
      </w:pPr>
      <w:r>
        <w:rPr/>
        <w:t>In</w:t>
      </w:r>
      <w:r>
        <w:rPr>
          <w:spacing w:val="-7"/>
        </w:rPr>
        <w:t> </w:t>
      </w:r>
      <w:r>
        <w:rPr/>
        <w:t>summary,</w:t>
      </w:r>
      <w:r>
        <w:rPr>
          <w:spacing w:val="-6"/>
        </w:rPr>
        <w:t> </w:t>
      </w:r>
      <w:r>
        <w:rPr/>
        <w:t>the</w:t>
      </w:r>
      <w:r>
        <w:rPr>
          <w:spacing w:val="-7"/>
        </w:rPr>
        <w:t> </w:t>
      </w:r>
      <w:r>
        <w:rPr/>
        <w:t>matched-cohort</w:t>
      </w:r>
      <w:r>
        <w:rPr>
          <w:spacing w:val="-6"/>
        </w:rPr>
        <w:t> </w:t>
      </w:r>
      <w:r>
        <w:rPr/>
        <w:t>evaluation</w:t>
      </w:r>
      <w:r>
        <w:rPr>
          <w:spacing w:val="-7"/>
        </w:rPr>
        <w:t> </w:t>
      </w:r>
      <w:r>
        <w:rPr/>
        <w:t>supports</w:t>
      </w:r>
      <w:r>
        <w:rPr>
          <w:spacing w:val="-6"/>
        </w:rPr>
        <w:t> </w:t>
      </w:r>
      <w:r>
        <w:rPr/>
        <w:t>a</w:t>
      </w:r>
      <w:r>
        <w:rPr>
          <w:spacing w:val="-7"/>
        </w:rPr>
        <w:t> </w:t>
      </w:r>
      <w:r>
        <w:rPr/>
        <w:t>coherent</w:t>
      </w:r>
      <w:r>
        <w:rPr>
          <w:spacing w:val="-7"/>
        </w:rPr>
        <w:t> </w:t>
      </w:r>
      <w:r>
        <w:rPr/>
        <w:t>empirical</w:t>
      </w:r>
      <w:r>
        <w:rPr>
          <w:spacing w:val="-6"/>
        </w:rPr>
        <w:t> </w:t>
      </w:r>
      <w:r>
        <w:rPr/>
        <w:t>narrative. EndorseRank is</w:t>
      </w:r>
      <w:r>
        <w:rPr>
          <w:spacing w:val="-9"/>
        </w:rPr>
        <w:t> </w:t>
      </w:r>
      <w:r>
        <w:rPr/>
        <w:t>substantially</w:t>
      </w:r>
      <w:r>
        <w:rPr>
          <w:spacing w:val="-9"/>
        </w:rPr>
        <w:t> </w:t>
      </w:r>
      <w:r>
        <w:rPr/>
        <w:t>faster</w:t>
      </w:r>
      <w:r>
        <w:rPr>
          <w:spacing w:val="-9"/>
        </w:rPr>
        <w:t> </w:t>
      </w:r>
      <w:r>
        <w:rPr/>
        <w:t>than</w:t>
      </w:r>
      <w:r>
        <w:rPr>
          <w:spacing w:val="-9"/>
        </w:rPr>
        <w:t> </w:t>
      </w:r>
      <w:r>
        <w:rPr/>
        <w:t>AWP</w:t>
      </w:r>
      <w:r>
        <w:rPr>
          <w:spacing w:val="-9"/>
        </w:rPr>
        <w:t> </w:t>
      </w:r>
      <w:r>
        <w:rPr/>
        <w:t>because</w:t>
      </w:r>
      <w:r>
        <w:rPr>
          <w:spacing w:val="-9"/>
        </w:rPr>
        <w:t> </w:t>
      </w:r>
      <w:r>
        <w:rPr>
          <w:rFonts w:ascii="Calibri" w:hAnsi="Calibri"/>
          <w:i/>
        </w:rPr>
        <w:t>G</w:t>
      </w:r>
      <w:r>
        <w:rPr>
          <w:vertAlign w:val="subscript"/>
        </w:rPr>
        <w:t>approve</w:t>
      </w:r>
      <w:r>
        <w:rPr>
          <w:vertAlign w:val="baseline"/>
        </w:rPr>
        <w:t> is</w:t>
      </w:r>
      <w:r>
        <w:rPr>
          <w:spacing w:val="-9"/>
          <w:vertAlign w:val="baseline"/>
        </w:rPr>
        <w:t> </w:t>
      </w:r>
      <w:r>
        <w:rPr>
          <w:vertAlign w:val="baseline"/>
        </w:rPr>
        <w:t>an</w:t>
      </w:r>
      <w:r>
        <w:rPr>
          <w:spacing w:val="-9"/>
          <w:vertAlign w:val="baseline"/>
        </w:rPr>
        <w:t> </w:t>
      </w:r>
      <w:r>
        <w:rPr>
          <w:vertAlign w:val="baseline"/>
        </w:rPr>
        <w:t>order</w:t>
      </w:r>
      <w:r>
        <w:rPr>
          <w:spacing w:val="-9"/>
          <w:vertAlign w:val="baseline"/>
        </w:rPr>
        <w:t> </w:t>
      </w:r>
      <w:r>
        <w:rPr>
          <w:vertAlign w:val="baseline"/>
        </w:rPr>
        <w:t>of</w:t>
      </w:r>
      <w:r>
        <w:rPr>
          <w:spacing w:val="-9"/>
          <w:vertAlign w:val="baseline"/>
        </w:rPr>
        <w:t> </w:t>
      </w:r>
      <w:r>
        <w:rPr>
          <w:vertAlign w:val="baseline"/>
        </w:rPr>
        <w:t>magnitude</w:t>
      </w:r>
      <w:r>
        <w:rPr>
          <w:spacing w:val="-9"/>
          <w:vertAlign w:val="baseline"/>
        </w:rPr>
        <w:t> </w:t>
      </w:r>
      <w:r>
        <w:rPr>
          <w:vertAlign w:val="baseline"/>
        </w:rPr>
        <w:t>sparser</w:t>
      </w:r>
      <w:r>
        <w:rPr>
          <w:spacing w:val="-9"/>
          <w:vertAlign w:val="baseline"/>
        </w:rPr>
        <w:t> </w:t>
      </w:r>
      <w:r>
        <w:rPr>
          <w:vertAlign w:val="baseline"/>
        </w:rPr>
        <w:t>than</w:t>
      </w:r>
      <w:r>
        <w:rPr>
          <w:spacing w:val="-9"/>
          <w:vertAlign w:val="baseline"/>
        </w:rPr>
        <w:t> </w:t>
      </w:r>
      <w:r>
        <w:rPr>
          <w:rFonts w:ascii="Calibri" w:hAnsi="Calibri"/>
          <w:i/>
          <w:vertAlign w:val="baseline"/>
        </w:rPr>
        <w:t>G</w:t>
      </w:r>
      <w:r>
        <w:rPr>
          <w:vertAlign w:val="subscript"/>
        </w:rPr>
        <w:t>transfer</w:t>
      </w:r>
      <w:r>
        <w:rPr>
          <w:vertAlign w:val="baseline"/>
        </w:rPr>
        <w:t>.</w:t>
      </w:r>
      <w:r>
        <w:rPr>
          <w:spacing w:val="20"/>
          <w:vertAlign w:val="baseline"/>
        </w:rPr>
        <w:t> </w:t>
      </w:r>
      <w:r>
        <w:rPr>
          <w:vertAlign w:val="baseline"/>
        </w:rPr>
        <w:t>The two methods produce related but distinct rankings (inter-method </w:t>
      </w:r>
      <w:r>
        <w:rPr>
          <w:rFonts w:ascii="Calibri" w:hAnsi="Calibri"/>
          <w:i/>
          <w:vertAlign w:val="baseline"/>
        </w:rPr>
        <w:t>τ</w:t>
      </w:r>
      <w:r>
        <w:rPr>
          <w:rFonts w:ascii="Calibri" w:hAnsi="Calibri"/>
          <w:i/>
          <w:spacing w:val="36"/>
          <w:w w:val="125"/>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316</w:t>
      </w:r>
      <w:r>
        <w:rPr>
          <w:vertAlign w:val="baseline"/>
        </w:rPr>
        <w:t>) and win on different proxy families:</w:t>
      </w:r>
      <w:r>
        <w:rPr>
          <w:spacing w:val="40"/>
          <w:vertAlign w:val="baseline"/>
        </w:rPr>
        <w:t> </w:t>
      </w:r>
      <w:r>
        <w:rPr>
          <w:vertAlign w:val="baseline"/>
        </w:rPr>
        <w:t>EndorseRank on allowance, AWP on transfer and several social-outcome </w:t>
      </w:r>
      <w:r>
        <w:rPr>
          <w:vertAlign w:val="baseline"/>
        </w:rPr>
        <w:t>axes. Robustness</w:t>
      </w:r>
      <w:r>
        <w:rPr>
          <w:spacing w:val="-2"/>
          <w:vertAlign w:val="baseline"/>
        </w:rPr>
        <w:t> </w:t>
      </w:r>
      <w:r>
        <w:rPr>
          <w:vertAlign w:val="baseline"/>
        </w:rPr>
        <w:t>checks</w:t>
      </w:r>
      <w:r>
        <w:rPr>
          <w:spacing w:val="-2"/>
          <w:vertAlign w:val="baseline"/>
        </w:rPr>
        <w:t> </w:t>
      </w:r>
      <w:r>
        <w:rPr>
          <w:vertAlign w:val="baseline"/>
        </w:rPr>
        <w:t>do</w:t>
      </w:r>
      <w:r>
        <w:rPr>
          <w:spacing w:val="-2"/>
          <w:vertAlign w:val="baseline"/>
        </w:rPr>
        <w:t> </w:t>
      </w:r>
      <w:r>
        <w:rPr>
          <w:vertAlign w:val="baseline"/>
        </w:rPr>
        <w:t>not</w:t>
      </w:r>
      <w:r>
        <w:rPr>
          <w:spacing w:val="-2"/>
          <w:vertAlign w:val="baseline"/>
        </w:rPr>
        <w:t> </w:t>
      </w:r>
      <w:r>
        <w:rPr>
          <w:vertAlign w:val="baseline"/>
        </w:rPr>
        <w:t>overturn</w:t>
      </w:r>
      <w:r>
        <w:rPr>
          <w:spacing w:val="-2"/>
          <w:vertAlign w:val="baseline"/>
        </w:rPr>
        <w:t> </w:t>
      </w:r>
      <w:r>
        <w:rPr>
          <w:vertAlign w:val="baseline"/>
        </w:rPr>
        <w:t>these</w:t>
      </w:r>
      <w:r>
        <w:rPr>
          <w:spacing w:val="-2"/>
          <w:vertAlign w:val="baseline"/>
        </w:rPr>
        <w:t> </w:t>
      </w:r>
      <w:r>
        <w:rPr>
          <w:vertAlign w:val="baseline"/>
        </w:rPr>
        <w:t>patterns. GF-PR</w:t>
      </w:r>
      <w:r>
        <w:rPr>
          <w:spacing w:val="-2"/>
          <w:vertAlign w:val="baseline"/>
        </w:rPr>
        <w:t> </w:t>
      </w:r>
      <w:r>
        <w:rPr>
          <w:vertAlign w:val="baseline"/>
        </w:rPr>
        <w:t>clarifies</w:t>
      </w:r>
      <w:r>
        <w:rPr>
          <w:spacing w:val="-2"/>
          <w:vertAlign w:val="baseline"/>
        </w:rPr>
        <w:t> </w:t>
      </w:r>
      <w:r>
        <w:rPr>
          <w:vertAlign w:val="baseline"/>
        </w:rPr>
        <w:t>the</w:t>
      </w:r>
      <w:r>
        <w:rPr>
          <w:spacing w:val="-2"/>
          <w:vertAlign w:val="baseline"/>
        </w:rPr>
        <w:t> </w:t>
      </w:r>
      <w:r>
        <w:rPr>
          <w:vertAlign w:val="baseline"/>
        </w:rPr>
        <w:t>ceiling</w:t>
      </w:r>
      <w:r>
        <w:rPr>
          <w:spacing w:val="-2"/>
          <w:vertAlign w:val="baseline"/>
        </w:rPr>
        <w:t> </w:t>
      </w:r>
      <w:r>
        <w:rPr>
          <w:vertAlign w:val="baseline"/>
        </w:rPr>
        <w:t>on</w:t>
      </w:r>
      <w:r>
        <w:rPr>
          <w:spacing w:val="-2"/>
          <w:vertAlign w:val="baseline"/>
        </w:rPr>
        <w:t> </w:t>
      </w:r>
      <w:r>
        <w:rPr>
          <w:vertAlign w:val="baseline"/>
        </w:rPr>
        <w:t>trading-outcome alignment under construct overlap, protecting the primary comparison from misinterpretation.</w:t>
      </w:r>
    </w:p>
    <w:p>
      <w:pPr>
        <w:pStyle w:val="BodyText"/>
        <w:spacing w:line="388" w:lineRule="auto" w:before="123"/>
        <w:ind w:left="282" w:right="521"/>
        <w:jc w:val="both"/>
      </w:pPr>
      <w:r>
        <w:rPr>
          <w:i/>
        </w:rPr>
        <w:t>요약하면, 일치 코호트 평가는 일관된 경험적 서술을 지원합니다. EndorseRank는 AWP보다 훨씬 빠릅니다. 왜냐하면 Gapprove가 Gtransfer보다 훨씬 더 희박하기 때문입니다. 두 가지 방법은 관련이 있지만 별개의 순위(방법 간 τ = 0.316)를 생성하고 서로 다른 프록시 계열(수당 EndorseRank, 전송 AWP 및 여러 사회적 결과 축)에서 승리합니다. 견고성 검사는 이러한 패턴을 뒤집지 않습니다. GF-PR은 구성 중복 하에서 거래 결과 정렬의 한도를 명확히 하여 일차 비교가 잘못 해석되는 것을 방지합니다.</w:t>
      </w:r>
    </w:p>
    <w:p>
      <w:pPr>
        <w:pStyle w:val="BodyText"/>
        <w:spacing w:line="386" w:lineRule="auto" w:before="15"/>
        <w:ind w:left="282" w:right="522" w:hanging="8"/>
        <w:jc w:val="both"/>
      </w:pPr>
      <w:r>
        <w:rPr>
          <w:spacing w:val="-2"/>
        </w:rPr>
        <w:t>The</w:t>
      </w:r>
      <w:r>
        <w:rPr>
          <w:spacing w:val="-11"/>
        </w:rPr>
        <w:t> </w:t>
      </w:r>
      <w:r>
        <w:rPr>
          <w:spacing w:val="-2"/>
        </w:rPr>
        <w:t>claims</w:t>
      </w:r>
      <w:r>
        <w:rPr>
          <w:spacing w:val="-11"/>
        </w:rPr>
        <w:t> </w:t>
      </w:r>
      <w:r>
        <w:rPr>
          <w:spacing w:val="-2"/>
        </w:rPr>
        <w:t>can</w:t>
      </w:r>
      <w:r>
        <w:rPr>
          <w:spacing w:val="-11"/>
        </w:rPr>
        <w:t> </w:t>
      </w:r>
      <w:r>
        <w:rPr>
          <w:spacing w:val="-2"/>
        </w:rPr>
        <w:t>also</w:t>
      </w:r>
      <w:r>
        <w:rPr>
          <w:spacing w:val="-11"/>
        </w:rPr>
        <w:t> </w:t>
      </w:r>
      <w:r>
        <w:rPr>
          <w:spacing w:val="-2"/>
        </w:rPr>
        <w:t>be</w:t>
      </w:r>
      <w:r>
        <w:rPr>
          <w:spacing w:val="-11"/>
        </w:rPr>
        <w:t> </w:t>
      </w:r>
      <w:r>
        <w:rPr>
          <w:spacing w:val="-2"/>
        </w:rPr>
        <w:t>read</w:t>
      </w:r>
      <w:r>
        <w:rPr>
          <w:spacing w:val="-11"/>
        </w:rPr>
        <w:t> </w:t>
      </w:r>
      <w:r>
        <w:rPr>
          <w:spacing w:val="-2"/>
        </w:rPr>
        <w:t>as</w:t>
      </w:r>
      <w:r>
        <w:rPr>
          <w:spacing w:val="-11"/>
        </w:rPr>
        <w:t> </w:t>
      </w:r>
      <w:r>
        <w:rPr>
          <w:spacing w:val="-2"/>
        </w:rPr>
        <w:t>answers</w:t>
      </w:r>
      <w:r>
        <w:rPr>
          <w:spacing w:val="-11"/>
        </w:rPr>
        <w:t> </w:t>
      </w:r>
      <w:r>
        <w:rPr>
          <w:spacing w:val="-2"/>
        </w:rPr>
        <w:t>to</w:t>
      </w:r>
      <w:r>
        <w:rPr>
          <w:spacing w:val="-11"/>
        </w:rPr>
        <w:t> </w:t>
      </w:r>
      <w:r>
        <w:rPr>
          <w:spacing w:val="-2"/>
        </w:rPr>
        <w:t>the</w:t>
      </w:r>
      <w:r>
        <w:rPr>
          <w:spacing w:val="-11"/>
        </w:rPr>
        <w:t> </w:t>
      </w:r>
      <w:r>
        <w:rPr>
          <w:spacing w:val="-2"/>
        </w:rPr>
        <w:t>primary</w:t>
      </w:r>
      <w:r>
        <w:rPr>
          <w:spacing w:val="-11"/>
        </w:rPr>
        <w:t> </w:t>
      </w:r>
      <w:r>
        <w:rPr>
          <w:spacing w:val="-2"/>
        </w:rPr>
        <w:t>research</w:t>
      </w:r>
      <w:r>
        <w:rPr>
          <w:spacing w:val="-11"/>
        </w:rPr>
        <w:t> </w:t>
      </w:r>
      <w:r>
        <w:rPr>
          <w:spacing w:val="-2"/>
        </w:rPr>
        <w:t>questions.</w:t>
      </w:r>
      <w:r>
        <w:rPr>
          <w:spacing w:val="23"/>
        </w:rPr>
        <w:t> </w:t>
      </w:r>
      <w:r>
        <w:rPr>
          <w:spacing w:val="-2"/>
        </w:rPr>
        <w:t>RQ1</w:t>
      </w:r>
      <w:r>
        <w:rPr>
          <w:spacing w:val="-11"/>
        </w:rPr>
        <w:t> </w:t>
      </w:r>
      <w:r>
        <w:rPr>
          <w:spacing w:val="-2"/>
        </w:rPr>
        <w:t>is</w:t>
      </w:r>
      <w:r>
        <w:rPr>
          <w:spacing w:val="-11"/>
        </w:rPr>
        <w:t> </w:t>
      </w:r>
      <w:r>
        <w:rPr>
          <w:spacing w:val="-2"/>
        </w:rPr>
        <w:t>addressed</w:t>
      </w:r>
      <w:r>
        <w:rPr>
          <w:spacing w:val="-11"/>
        </w:rPr>
        <w:t> </w:t>
      </w:r>
      <w:r>
        <w:rPr>
          <w:spacing w:val="-2"/>
        </w:rPr>
        <w:t>by</w:t>
      </w:r>
      <w:r>
        <w:rPr>
          <w:spacing w:val="-11"/>
        </w:rPr>
        <w:t> </w:t>
      </w:r>
      <w:r>
        <w:rPr>
          <w:spacing w:val="-2"/>
        </w:rPr>
        <w:t>inter-</w:t>
      </w:r>
      <w:r>
        <w:rPr/>
        <w:t>method</w:t>
      </w:r>
      <w:r>
        <w:rPr>
          <w:spacing w:val="-15"/>
        </w:rPr>
        <w:t> </w:t>
      </w:r>
      <w:r>
        <w:rPr>
          <w:rFonts w:ascii="Calibri" w:hAnsi="Calibri"/>
          <w:i/>
        </w:rPr>
        <w:t>τ</w:t>
      </w:r>
      <w:r>
        <w:rPr>
          <w:rFonts w:ascii="Calibri" w:hAnsi="Calibri"/>
          <w:i/>
          <w:spacing w:val="-7"/>
          <w:w w:val="125"/>
        </w:rPr>
        <w:t> </w:t>
      </w:r>
      <w:r>
        <w:rPr>
          <w:rFonts w:ascii="Calibri" w:hAnsi="Calibri"/>
          <w:w w:val="125"/>
        </w:rPr>
        <w:t>=</w:t>
      </w:r>
      <w:r>
        <w:rPr>
          <w:rFonts w:ascii="Calibri" w:hAnsi="Calibri"/>
          <w:spacing w:val="-5"/>
          <w:w w:val="125"/>
        </w:rPr>
        <w:t> </w:t>
      </w:r>
      <w:r>
        <w:rPr>
          <w:rFonts w:ascii="Calibri" w:hAnsi="Calibri"/>
        </w:rPr>
        <w:t>0</w:t>
      </w:r>
      <w:r>
        <w:rPr>
          <w:rFonts w:ascii="Calibri" w:hAnsi="Calibri"/>
          <w:i/>
        </w:rPr>
        <w:t>.</w:t>
      </w:r>
      <w:r>
        <w:rPr>
          <w:rFonts w:ascii="Calibri" w:hAnsi="Calibri"/>
        </w:rPr>
        <w:t>316</w:t>
      </w:r>
      <w:r>
        <w:rPr>
          <w:rFonts w:ascii="Calibri" w:hAnsi="Calibri"/>
          <w:spacing w:val="-11"/>
        </w:rPr>
        <w:t> </w:t>
      </w:r>
      <w:r>
        <w:rPr/>
        <w:t>and</w:t>
      </w:r>
      <w:r>
        <w:rPr>
          <w:spacing w:val="-15"/>
        </w:rPr>
        <w:t> </w:t>
      </w:r>
      <w:r>
        <w:rPr/>
        <w:t>Figures</w:t>
      </w:r>
      <w:r>
        <w:rPr>
          <w:spacing w:val="-15"/>
        </w:rPr>
        <w:t> </w:t>
      </w:r>
      <w:hyperlink w:history="true" w:anchor="_bookmark110">
        <w:r>
          <w:rPr/>
          <w:t>4.7</w:t>
        </w:r>
      </w:hyperlink>
      <w:r>
        <w:rPr/>
        <w:t>–</w:t>
      </w:r>
      <w:hyperlink w:history="true" w:anchor="_bookmark111">
        <w:r>
          <w:rPr/>
          <w:t>4.8</w:t>
        </w:r>
      </w:hyperlink>
      <w:r>
        <w:rPr/>
        <w:t>:</w:t>
      </w:r>
      <w:r>
        <w:rPr>
          <w:spacing w:val="9"/>
        </w:rPr>
        <w:t> </w:t>
      </w:r>
      <w:r>
        <w:rPr/>
        <w:t>orderings</w:t>
      </w:r>
      <w:r>
        <w:rPr>
          <w:spacing w:val="-15"/>
        </w:rPr>
        <w:t> </w:t>
      </w:r>
      <w:r>
        <w:rPr/>
        <w:t>diverge</w:t>
      </w:r>
      <w:r>
        <w:rPr>
          <w:spacing w:val="-15"/>
        </w:rPr>
        <w:t> </w:t>
      </w:r>
      <w:r>
        <w:rPr/>
        <w:t>enough</w:t>
      </w:r>
      <w:r>
        <w:rPr>
          <w:spacing w:val="-15"/>
        </w:rPr>
        <w:t> </w:t>
      </w:r>
      <w:r>
        <w:rPr/>
        <w:t>to</w:t>
      </w:r>
      <w:r>
        <w:rPr>
          <w:spacing w:val="-15"/>
        </w:rPr>
        <w:t> </w:t>
      </w:r>
      <w:r>
        <w:rPr/>
        <w:t>treat</w:t>
      </w:r>
      <w:r>
        <w:rPr>
          <w:spacing w:val="-15"/>
        </w:rPr>
        <w:t> </w:t>
      </w:r>
      <w:r>
        <w:rPr/>
        <w:t>the</w:t>
      </w:r>
      <w:r>
        <w:rPr>
          <w:spacing w:val="-15"/>
        </w:rPr>
        <w:t> </w:t>
      </w:r>
      <w:r>
        <w:rPr/>
        <w:t>methods</w:t>
      </w:r>
      <w:r>
        <w:rPr>
          <w:spacing w:val="-15"/>
        </w:rPr>
        <w:t> </w:t>
      </w:r>
      <w:r>
        <w:rPr/>
        <w:t>as</w:t>
      </w:r>
      <w:r>
        <w:rPr>
          <w:spacing w:val="-15"/>
        </w:rPr>
        <w:t> </w:t>
      </w:r>
      <w:r>
        <w:rPr/>
        <w:t>distinct</w:t>
      </w:r>
      <w:r>
        <w:rPr>
          <w:spacing w:val="-15"/>
        </w:rPr>
        <w:t> </w:t>
      </w:r>
      <w:r>
        <w:rPr/>
        <w:t>in-struments.</w:t>
      </w:r>
      <w:r>
        <w:rPr>
          <w:spacing w:val="-11"/>
        </w:rPr>
        <w:t> </w:t>
      </w:r>
      <w:r>
        <w:rPr/>
        <w:t>RQ2</w:t>
      </w:r>
      <w:r>
        <w:rPr>
          <w:spacing w:val="-15"/>
        </w:rPr>
        <w:t> </w:t>
      </w:r>
      <w:r>
        <w:rPr/>
        <w:t>is</w:t>
      </w:r>
      <w:r>
        <w:rPr>
          <w:spacing w:val="-15"/>
        </w:rPr>
        <w:t> </w:t>
      </w:r>
      <w:r>
        <w:rPr/>
        <w:t>addressed</w:t>
      </w:r>
      <w:r>
        <w:rPr>
          <w:spacing w:val="-15"/>
        </w:rPr>
        <w:t> </w:t>
      </w:r>
      <w:r>
        <w:rPr/>
        <w:t>by</w:t>
      </w:r>
      <w:r>
        <w:rPr>
          <w:spacing w:val="-15"/>
        </w:rPr>
        <w:t> </w:t>
      </w:r>
      <w:r>
        <w:rPr/>
        <w:t>Table</w:t>
      </w:r>
      <w:r>
        <w:rPr>
          <w:spacing w:val="-15"/>
        </w:rPr>
        <w:t> </w:t>
      </w:r>
      <w:hyperlink w:history="true" w:anchor="_bookmark101">
        <w:r>
          <w:rPr/>
          <w:t>4.7</w:t>
        </w:r>
      </w:hyperlink>
      <w:r>
        <w:rPr>
          <w:spacing w:val="-15"/>
        </w:rPr>
        <w:t> </w:t>
      </w:r>
      <w:r>
        <w:rPr/>
        <w:t>and</w:t>
      </w:r>
      <w:r>
        <w:rPr>
          <w:spacing w:val="-15"/>
        </w:rPr>
        <w:t> </w:t>
      </w:r>
      <w:r>
        <w:rPr/>
        <w:t>the</w:t>
      </w:r>
      <w:r>
        <w:rPr>
          <w:spacing w:val="-15"/>
        </w:rPr>
        <w:t> </w:t>
      </w:r>
      <w:r>
        <w:rPr/>
        <w:t>per-family</w:t>
      </w:r>
      <w:r>
        <w:rPr>
          <w:spacing w:val="-15"/>
        </w:rPr>
        <w:t> </w:t>
      </w:r>
      <w:r>
        <w:rPr/>
        <w:t>tables:</w:t>
      </w:r>
      <w:r>
        <w:rPr>
          <w:spacing w:val="-3"/>
        </w:rPr>
        <w:t> </w:t>
      </w:r>
      <w:r>
        <w:rPr/>
        <w:t>winners</w:t>
      </w:r>
      <w:r>
        <w:rPr>
          <w:spacing w:val="-15"/>
        </w:rPr>
        <w:t> </w:t>
      </w:r>
      <w:r>
        <w:rPr/>
        <w:t>are</w:t>
      </w:r>
      <w:r>
        <w:rPr>
          <w:spacing w:val="-15"/>
        </w:rPr>
        <w:t> </w:t>
      </w:r>
      <w:r>
        <w:rPr/>
        <w:t>construct-</w:t>
      </w:r>
      <w:r>
        <w:rPr>
          <w:spacing w:val="-2"/>
        </w:rPr>
        <w:t>specific.</w:t>
      </w:r>
    </w:p>
    <w:p>
      <w:pPr>
        <w:pStyle w:val="BodyText"/>
        <w:spacing w:line="386" w:lineRule="auto" w:before="15"/>
        <w:ind w:left="282" w:right="522" w:hanging="8"/>
        <w:jc w:val="both"/>
      </w:pPr>
      <w:r>
        <w:rPr>
          <w:i/>
        </w:rPr>
        <w:t>주장은 주요 연구 질문에 대한 답변으로도 읽을 수 있습니다. RQ1은 방법 간 τ = 0.316 및 그림 4.7-4.8에 의해 처리됩니다. 순서는 방법을 별개의 도구로 처리할 수 있을 만큼 충분히 다양합니다. RQ2는 표 4.7과 패밀리별 테이블로 해결됩니다. 승자는 구성별로 다릅니다.</w:t>
      </w:r>
    </w:p>
    <w:p>
      <w:pPr>
        <w:pStyle w:val="BodyText"/>
        <w:spacing w:line="339" w:lineRule="exact"/>
        <w:ind w:left="282"/>
        <w:jc w:val="both"/>
        <w:rPr>
          <w:rFonts w:ascii="Lucida Sans Unicode" w:hAnsi="Lucida Sans Unicode"/>
        </w:rPr>
      </w:pPr>
      <w:r>
        <w:rPr/>
        <w:t>RQ3</w:t>
      </w:r>
      <w:r>
        <w:rPr>
          <w:spacing w:val="-1"/>
        </w:rPr>
        <w:t> </w:t>
      </w:r>
      <w:r>
        <w:rPr/>
        <w:t>is</w:t>
      </w:r>
      <w:r>
        <w:rPr>
          <w:spacing w:val="-1"/>
        </w:rPr>
        <w:t> </w:t>
      </w:r>
      <w:r>
        <w:rPr/>
        <w:t>addressed</w:t>
      </w:r>
      <w:r>
        <w:rPr>
          <w:spacing w:val="-1"/>
        </w:rPr>
        <w:t> </w:t>
      </w:r>
      <w:r>
        <w:rPr/>
        <w:t>by</w:t>
      </w:r>
      <w:r>
        <w:rPr>
          <w:spacing w:val="-1"/>
        </w:rPr>
        <w:t> </w:t>
      </w:r>
      <w:r>
        <w:rPr/>
        <w:t>Tables</w:t>
      </w:r>
      <w:r>
        <w:rPr>
          <w:spacing w:val="-1"/>
        </w:rPr>
        <w:t> </w:t>
      </w:r>
      <w:hyperlink w:history="true" w:anchor="_bookmark91">
        <w:r>
          <w:rPr/>
          <w:t>4.2</w:t>
        </w:r>
      </w:hyperlink>
      <w:r>
        <w:rPr/>
        <w:t>–</w:t>
      </w:r>
      <w:hyperlink w:history="true" w:anchor="_bookmark93">
        <w:r>
          <w:rPr/>
          <w:t>4.3</w:t>
        </w:r>
      </w:hyperlink>
      <w:r>
        <w:rPr/>
        <w:t> and</w:t>
      </w:r>
      <w:r>
        <w:rPr>
          <w:spacing w:val="-1"/>
        </w:rPr>
        <w:t> </w:t>
      </w:r>
      <w:r>
        <w:rPr/>
        <w:t>Figure</w:t>
      </w:r>
      <w:r>
        <w:rPr>
          <w:spacing w:val="-1"/>
        </w:rPr>
        <w:t> </w:t>
      </w:r>
      <w:hyperlink w:history="true" w:anchor="_bookmark94">
        <w:r>
          <w:rPr/>
          <w:t>4.4</w:t>
        </w:r>
      </w:hyperlink>
      <w:r>
        <w:rPr/>
        <w:t>:</w:t>
      </w:r>
      <w:r>
        <w:rPr>
          <w:spacing w:val="25"/>
        </w:rPr>
        <w:t> </w:t>
      </w:r>
      <w:r>
        <w:rPr/>
        <w:t>EndorseRank</w:t>
      </w:r>
      <w:r>
        <w:rPr>
          <w:spacing w:val="-1"/>
        </w:rPr>
        <w:t> </w:t>
      </w:r>
      <w:r>
        <w:rPr/>
        <w:t>is</w:t>
      </w:r>
      <w:r>
        <w:rPr>
          <w:spacing w:val="-1"/>
        </w:rPr>
        <w:t> </w:t>
      </w:r>
      <w:r>
        <w:rPr/>
        <w:t>approximately</w:t>
      </w:r>
      <w:r>
        <w:rPr>
          <w:spacing w:val="-1"/>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rFonts w:ascii="Calibri" w:hAnsi="Calibri"/>
          <w:spacing w:val="-2"/>
        </w:rPr>
        <w:t>10</w:t>
      </w:r>
      <w:r>
        <w:rPr>
          <w:rFonts w:ascii="Calibri" w:hAnsi="Calibri"/>
          <w:i/>
          <w:spacing w:val="-2"/>
        </w:rPr>
        <w:t>.</w:t>
      </w:r>
      <w:r>
        <w:rPr>
          <w:rFonts w:ascii="Calibri" w:hAnsi="Calibri"/>
          <w:spacing w:val="-2"/>
        </w:rPr>
        <w:t>4</w:t>
      </w:r>
      <w:r>
        <w:rPr>
          <w:rFonts w:ascii="Lucida Sans Unicode" w:hAnsi="Lucida Sans Unicode"/>
          <w:spacing w:val="-2"/>
        </w:rPr>
        <w:t>×</w:t>
      </w:r>
    </w:p>
    <w:p>
      <w:pPr>
        <w:pStyle w:val="BodyText"/>
        <w:spacing w:line="339" w:lineRule="exact"/>
        <w:ind w:left="282"/>
        <w:jc w:val="both"/>
        <w:rPr>
          <w:rFonts w:ascii="Lucida Sans Unicode" w:hAnsi="Lucida Sans Unicode"/>
        </w:rPr>
      </w:pPr>
      <w:r>
        <w:rPr>
          <w:i/>
        </w:rPr>
        <w:t>RQ3은 표 4.2–4.3 및 그림 4.4에 의해 처리됩니다. EndorseRank는 대략 8.9×–10.4×입니다.</w:t>
      </w:r>
    </w:p>
    <w:p>
      <w:pPr>
        <w:pStyle w:val="BodyText"/>
        <w:spacing w:line="388" w:lineRule="auto" w:before="127"/>
        <w:ind w:left="282" w:right="524"/>
        <w:jc w:val="both"/>
      </w:pPr>
      <w:r>
        <w:rPr/>
        <w:t>faster depending on sample definition.</w:t>
      </w:r>
      <w:r>
        <w:rPr>
          <w:spacing w:val="40"/>
        </w:rPr>
        <w:t> </w:t>
      </w:r>
      <w:r>
        <w:rPr/>
        <w:t>RQ4 is addressed by comparing transfer-family means to trading-success means for social methods:</w:t>
      </w:r>
      <w:r>
        <w:rPr>
          <w:spacing w:val="28"/>
        </w:rPr>
        <w:t> </w:t>
      </w:r>
      <w:r>
        <w:rPr/>
        <w:t>transfer proxies yield stronger alignment than trading-success proxies on this cohort (AWP </w:t>
      </w:r>
      <w:r>
        <w:rPr>
          <w:rFonts w:ascii="Calibri" w:hAnsi="Calibri"/>
        </w:rPr>
        <w:t>0</w:t>
      </w:r>
      <w:r>
        <w:rPr>
          <w:rFonts w:ascii="Calibri" w:hAnsi="Calibri"/>
          <w:i/>
        </w:rPr>
        <w:t>.</w:t>
      </w:r>
      <w:r>
        <w:rPr>
          <w:rFonts w:ascii="Calibri" w:hAnsi="Calibri"/>
        </w:rPr>
        <w:t>534 </w:t>
      </w:r>
      <w:r>
        <w:rPr/>
        <w:t>vs. </w:t>
      </w:r>
      <w:r>
        <w:rPr>
          <w:rFonts w:ascii="Calibri" w:hAnsi="Calibri"/>
        </w:rPr>
        <w:t>0</w:t>
      </w:r>
      <w:r>
        <w:rPr>
          <w:rFonts w:ascii="Calibri" w:hAnsi="Calibri"/>
          <w:i/>
        </w:rPr>
        <w:t>.</w:t>
      </w:r>
      <w:r>
        <w:rPr>
          <w:rFonts w:ascii="Calibri" w:hAnsi="Calibri"/>
        </w:rPr>
        <w:t>179</w:t>
      </w:r>
      <w:r>
        <w:rPr/>
        <w:t>; EndorseRank </w:t>
      </w:r>
      <w:r>
        <w:rPr>
          <w:rFonts w:ascii="Calibri" w:hAnsi="Calibri"/>
        </w:rPr>
        <w:t>0</w:t>
      </w:r>
      <w:r>
        <w:rPr>
          <w:rFonts w:ascii="Calibri" w:hAnsi="Calibri"/>
          <w:i/>
        </w:rPr>
        <w:t>.</w:t>
      </w:r>
      <w:r>
        <w:rPr>
          <w:rFonts w:ascii="Calibri" w:hAnsi="Calibri"/>
        </w:rPr>
        <w:t>333 </w:t>
      </w:r>
      <w:r>
        <w:rPr/>
        <w:t>vs. </w:t>
      </w:r>
      <w:r>
        <w:rPr>
          <w:rFonts w:ascii="Calibri" w:hAnsi="Calibri"/>
        </w:rPr>
        <w:t>0</w:t>
      </w:r>
      <w:r>
        <w:rPr>
          <w:rFonts w:ascii="Calibri" w:hAnsi="Calibri"/>
          <w:i/>
        </w:rPr>
        <w:t>.</w:t>
      </w:r>
      <w:r>
        <w:rPr>
          <w:rFonts w:ascii="Calibri" w:hAnsi="Calibri"/>
        </w:rPr>
        <w:t>096</w:t>
      </w:r>
      <w:r>
        <w:rPr/>
        <w:t>).</w:t>
      </w:r>
      <w:r>
        <w:rPr>
          <w:spacing w:val="40"/>
        </w:rPr>
        <w:t> </w:t>
      </w:r>
      <w:r>
        <w:rPr/>
        <w:t>SRQ1 is addressed by the GF-PR ceiling and SC1.</w:t>
      </w:r>
    </w:p>
    <w:p>
      <w:pPr>
        <w:pStyle w:val="BodyText"/>
        <w:spacing w:line="388" w:lineRule="auto" w:before="127"/>
        <w:ind w:left="282" w:right="524"/>
        <w:jc w:val="both"/>
      </w:pPr>
      <w:r>
        <w:rPr>
          <w:i/>
        </w:rPr>
        <w:t>샘플 정의에 따라 더 빠릅니다. RQ4는 이전 가족 수단을 사회적 방법의 거래 성공 수단과 비교하여 해결됩니다. 이전 프록시는 이 코호트에서 거래 성공 프록시보다 더 강력한 정렬을 생성합니다(AWP 0.534 대 0.179; EndorseRank 0.333 대 0.096). SRQ1은 GF-PR 한도 및 SC1에 의해 처리됩니다.</w:t>
      </w:r>
    </w:p>
    <w:p>
      <w:pPr>
        <w:pStyle w:val="BodyText"/>
        <w:spacing w:after="0" w:line="388" w:lineRule="auto"/>
        <w:jc w:val="both"/>
        <w:sectPr>
          <w:pgSz w:w="11910" w:h="16840"/>
          <w:pgMar w:header="0" w:footer="2115" w:top="1840" w:bottom="2300" w:left="992" w:right="708"/>
        </w:sectPr>
      </w:pPr>
    </w:p>
    <w:p>
      <w:pPr>
        <w:pStyle w:val="BodyText"/>
        <w:spacing w:line="393" w:lineRule="auto" w:before="72"/>
        <w:ind w:left="282" w:right="524" w:hanging="12"/>
        <w:jc w:val="both"/>
      </w:pPr>
      <w:r>
        <w:rPr/>
        <w:t>What</w:t>
      </w:r>
      <w:r>
        <w:rPr>
          <w:spacing w:val="-4"/>
        </w:rPr>
        <w:t> </w:t>
      </w:r>
      <w:r>
        <w:rPr/>
        <w:t>the</w:t>
      </w:r>
      <w:r>
        <w:rPr>
          <w:spacing w:val="-4"/>
        </w:rPr>
        <w:t> </w:t>
      </w:r>
      <w:r>
        <w:rPr/>
        <w:t>chapter</w:t>
      </w:r>
      <w:r>
        <w:rPr>
          <w:spacing w:val="-4"/>
        </w:rPr>
        <w:t> </w:t>
      </w:r>
      <w:r>
        <w:rPr/>
        <w:t>does</w:t>
      </w:r>
      <w:r>
        <w:rPr>
          <w:spacing w:val="-4"/>
        </w:rPr>
        <w:t> </w:t>
      </w:r>
      <w:r>
        <w:rPr>
          <w:i/>
        </w:rPr>
        <w:t>not </w:t>
      </w:r>
      <w:r>
        <w:rPr/>
        <w:t>claim</w:t>
      </w:r>
      <w:r>
        <w:rPr>
          <w:spacing w:val="-4"/>
        </w:rPr>
        <w:t> </w:t>
      </w:r>
      <w:r>
        <w:rPr/>
        <w:t>is</w:t>
      </w:r>
      <w:r>
        <w:rPr>
          <w:spacing w:val="-4"/>
        </w:rPr>
        <w:t> </w:t>
      </w:r>
      <w:r>
        <w:rPr/>
        <w:t>equally</w:t>
      </w:r>
      <w:r>
        <w:rPr>
          <w:spacing w:val="-4"/>
        </w:rPr>
        <w:t> </w:t>
      </w:r>
      <w:r>
        <w:rPr/>
        <w:t>important. It</w:t>
      </w:r>
      <w:r>
        <w:rPr>
          <w:spacing w:val="-4"/>
        </w:rPr>
        <w:t> </w:t>
      </w:r>
      <w:r>
        <w:rPr/>
        <w:t>does</w:t>
      </w:r>
      <w:r>
        <w:rPr>
          <w:spacing w:val="-4"/>
        </w:rPr>
        <w:t> </w:t>
      </w:r>
      <w:r>
        <w:rPr/>
        <w:t>not</w:t>
      </w:r>
      <w:r>
        <w:rPr>
          <w:spacing w:val="-4"/>
        </w:rPr>
        <w:t> </w:t>
      </w:r>
      <w:r>
        <w:rPr/>
        <w:t>claim</w:t>
      </w:r>
      <w:r>
        <w:rPr>
          <w:spacing w:val="-4"/>
        </w:rPr>
        <w:t> </w:t>
      </w:r>
      <w:r>
        <w:rPr/>
        <w:t>that</w:t>
      </w:r>
      <w:r>
        <w:rPr>
          <w:spacing w:val="-4"/>
        </w:rPr>
        <w:t> </w:t>
      </w:r>
      <w:r>
        <w:rPr/>
        <w:t>EndorseRank</w:t>
      </w:r>
      <w:r>
        <w:rPr>
          <w:spacing w:val="-4"/>
        </w:rPr>
        <w:t> </w:t>
      </w:r>
      <w:r>
        <w:rPr/>
        <w:t>predicts </w:t>
      </w:r>
      <w:r>
        <w:rPr>
          <w:spacing w:val="-2"/>
        </w:rPr>
        <w:t>leveraged</w:t>
      </w:r>
      <w:r>
        <w:rPr>
          <w:spacing w:val="-9"/>
        </w:rPr>
        <w:t> </w:t>
      </w:r>
      <w:r>
        <w:rPr>
          <w:spacing w:val="-2"/>
        </w:rPr>
        <w:t>trading</w:t>
      </w:r>
      <w:r>
        <w:rPr>
          <w:spacing w:val="-8"/>
        </w:rPr>
        <w:t> </w:t>
      </w:r>
      <w:r>
        <w:rPr>
          <w:spacing w:val="-2"/>
        </w:rPr>
        <w:t>profits</w:t>
      </w:r>
      <w:r>
        <w:rPr>
          <w:spacing w:val="-9"/>
        </w:rPr>
        <w:t> </w:t>
      </w:r>
      <w:r>
        <w:rPr>
          <w:spacing w:val="-2"/>
        </w:rPr>
        <w:t>better</w:t>
      </w:r>
      <w:r>
        <w:rPr>
          <w:spacing w:val="-8"/>
        </w:rPr>
        <w:t> </w:t>
      </w:r>
      <w:r>
        <w:rPr>
          <w:spacing w:val="-2"/>
        </w:rPr>
        <w:t>than</w:t>
      </w:r>
      <w:r>
        <w:rPr>
          <w:spacing w:val="-8"/>
        </w:rPr>
        <w:t> </w:t>
      </w:r>
      <w:r>
        <w:rPr>
          <w:spacing w:val="-2"/>
        </w:rPr>
        <w:t>AWP;</w:t>
      </w:r>
      <w:r>
        <w:rPr>
          <w:spacing w:val="-9"/>
        </w:rPr>
        <w:t> </w:t>
      </w:r>
      <w:r>
        <w:rPr>
          <w:spacing w:val="-2"/>
        </w:rPr>
        <w:t>the</w:t>
      </w:r>
      <w:r>
        <w:rPr>
          <w:spacing w:val="-8"/>
        </w:rPr>
        <w:t> </w:t>
      </w:r>
      <w:r>
        <w:rPr>
          <w:spacing w:val="-2"/>
        </w:rPr>
        <w:t>opposite</w:t>
      </w:r>
      <w:r>
        <w:rPr>
          <w:spacing w:val="-8"/>
        </w:rPr>
        <w:t> </w:t>
      </w:r>
      <w:r>
        <w:rPr>
          <w:spacing w:val="-2"/>
        </w:rPr>
        <w:t>is</w:t>
      </w:r>
      <w:r>
        <w:rPr>
          <w:spacing w:val="-9"/>
        </w:rPr>
        <w:t> </w:t>
      </w:r>
      <w:r>
        <w:rPr>
          <w:spacing w:val="-2"/>
        </w:rPr>
        <w:t>true</w:t>
      </w:r>
      <w:r>
        <w:rPr>
          <w:spacing w:val="-8"/>
        </w:rPr>
        <w:t> </w:t>
      </w:r>
      <w:r>
        <w:rPr>
          <w:spacing w:val="-2"/>
        </w:rPr>
        <w:t>among</w:t>
      </w:r>
      <w:r>
        <w:rPr>
          <w:spacing w:val="-8"/>
        </w:rPr>
        <w:t> </w:t>
      </w:r>
      <w:r>
        <w:rPr>
          <w:spacing w:val="-2"/>
        </w:rPr>
        <w:t>social</w:t>
      </w:r>
      <w:r>
        <w:rPr>
          <w:spacing w:val="-9"/>
        </w:rPr>
        <w:t> </w:t>
      </w:r>
      <w:r>
        <w:rPr>
          <w:spacing w:val="-2"/>
        </w:rPr>
        <w:t>methods</w:t>
      </w:r>
      <w:r>
        <w:rPr>
          <w:spacing w:val="-8"/>
        </w:rPr>
        <w:t> </w:t>
      </w:r>
      <w:r>
        <w:rPr>
          <w:spacing w:val="-2"/>
        </w:rPr>
        <w:t>on</w:t>
      </w:r>
      <w:r>
        <w:rPr>
          <w:spacing w:val="-8"/>
        </w:rPr>
        <w:t> </w:t>
      </w:r>
      <w:r>
        <w:rPr>
          <w:spacing w:val="-2"/>
        </w:rPr>
        <w:t>the</w:t>
      </w:r>
      <w:r>
        <w:rPr>
          <w:spacing w:val="-9"/>
        </w:rPr>
        <w:t> </w:t>
      </w:r>
      <w:r>
        <w:rPr>
          <w:spacing w:val="-2"/>
        </w:rPr>
        <w:t>trading-</w:t>
      </w:r>
      <w:r>
        <w:rPr/>
        <w:t>success family.</w:t>
      </w:r>
      <w:r>
        <w:rPr>
          <w:spacing w:val="40"/>
        </w:rPr>
        <w:t> </w:t>
      </w:r>
      <w:r>
        <w:rPr/>
        <w:t>It does not claim that AWP is obsolete; AWP remains the stronger method for transfer-hub</w:t>
      </w:r>
      <w:r>
        <w:rPr>
          <w:spacing w:val="-15"/>
        </w:rPr>
        <w:t> </w:t>
      </w:r>
      <w:r>
        <w:rPr/>
        <w:t>detection</w:t>
      </w:r>
      <w:r>
        <w:rPr>
          <w:spacing w:val="-15"/>
        </w:rPr>
        <w:t> </w:t>
      </w:r>
      <w:r>
        <w:rPr/>
        <w:t>and</w:t>
      </w:r>
      <w:r>
        <w:rPr>
          <w:spacing w:val="-15"/>
        </w:rPr>
        <w:t> </w:t>
      </w:r>
      <w:r>
        <w:rPr/>
        <w:t>for</w:t>
      </w:r>
      <w:r>
        <w:rPr>
          <w:spacing w:val="-15"/>
        </w:rPr>
        <w:t> </w:t>
      </w:r>
      <w:r>
        <w:rPr/>
        <w:t>several</w:t>
      </w:r>
      <w:r>
        <w:rPr>
          <w:spacing w:val="-15"/>
        </w:rPr>
        <w:t> </w:t>
      </w:r>
      <w:r>
        <w:rPr/>
        <w:t>activity-</w:t>
      </w:r>
      <w:r>
        <w:rPr>
          <w:spacing w:val="-15"/>
        </w:rPr>
        <w:t> </w:t>
      </w:r>
      <w:r>
        <w:rPr/>
        <w:t>and</w:t>
      </w:r>
      <w:r>
        <w:rPr>
          <w:spacing w:val="-15"/>
        </w:rPr>
        <w:t> </w:t>
      </w:r>
      <w:r>
        <w:rPr/>
        <w:t>outcome-adjacent</w:t>
      </w:r>
      <w:r>
        <w:rPr>
          <w:spacing w:val="-15"/>
        </w:rPr>
        <w:t> </w:t>
      </w:r>
      <w:r>
        <w:rPr/>
        <w:t>proxies. It</w:t>
      </w:r>
      <w:r>
        <w:rPr>
          <w:spacing w:val="-15"/>
        </w:rPr>
        <w:t> </w:t>
      </w:r>
      <w:r>
        <w:rPr/>
        <w:t>does</w:t>
      </w:r>
      <w:r>
        <w:rPr>
          <w:spacing w:val="-15"/>
        </w:rPr>
        <w:t> </w:t>
      </w:r>
      <w:r>
        <w:rPr/>
        <w:t>not</w:t>
      </w:r>
      <w:r>
        <w:rPr>
          <w:spacing w:val="-15"/>
        </w:rPr>
        <w:t> </w:t>
      </w:r>
      <w:r>
        <w:rPr/>
        <w:t>claim</w:t>
      </w:r>
      <w:r>
        <w:rPr>
          <w:spacing w:val="-15"/>
        </w:rPr>
        <w:t> </w:t>
      </w:r>
      <w:r>
        <w:rPr/>
        <w:t>that GF-PR</w:t>
      </w:r>
      <w:r>
        <w:rPr>
          <w:spacing w:val="-15"/>
        </w:rPr>
        <w:t> </w:t>
      </w:r>
      <w:r>
        <w:rPr/>
        <w:t>is</w:t>
      </w:r>
      <w:r>
        <w:rPr>
          <w:spacing w:val="-15"/>
        </w:rPr>
        <w:t> </w:t>
      </w:r>
      <w:r>
        <w:rPr/>
        <w:t>a</w:t>
      </w:r>
      <w:r>
        <w:rPr>
          <w:spacing w:val="-15"/>
        </w:rPr>
        <w:t> </w:t>
      </w:r>
      <w:r>
        <w:rPr/>
        <w:t>production</w:t>
      </w:r>
      <w:r>
        <w:rPr>
          <w:spacing w:val="-15"/>
        </w:rPr>
        <w:t> </w:t>
      </w:r>
      <w:r>
        <w:rPr/>
        <w:t>reputation</w:t>
      </w:r>
      <w:r>
        <w:rPr>
          <w:spacing w:val="-15"/>
        </w:rPr>
        <w:t> </w:t>
      </w:r>
      <w:r>
        <w:rPr/>
        <w:t>score.</w:t>
      </w:r>
      <w:r>
        <w:rPr>
          <w:spacing w:val="9"/>
        </w:rPr>
        <w:t> </w:t>
      </w:r>
      <w:r>
        <w:rPr/>
        <w:t>The</w:t>
      </w:r>
      <w:r>
        <w:rPr>
          <w:spacing w:val="-15"/>
        </w:rPr>
        <w:t> </w:t>
      </w:r>
      <w:r>
        <w:rPr/>
        <w:t>contribution</w:t>
      </w:r>
      <w:r>
        <w:rPr>
          <w:spacing w:val="-15"/>
        </w:rPr>
        <w:t> </w:t>
      </w:r>
      <w:r>
        <w:rPr/>
        <w:t>is</w:t>
      </w:r>
      <w:r>
        <w:rPr>
          <w:spacing w:val="-15"/>
        </w:rPr>
        <w:t> </w:t>
      </w:r>
      <w:r>
        <w:rPr/>
        <w:t>a</w:t>
      </w:r>
      <w:r>
        <w:rPr>
          <w:spacing w:val="-15"/>
        </w:rPr>
        <w:t> </w:t>
      </w:r>
      <w:r>
        <w:rPr/>
        <w:t>precise,</w:t>
      </w:r>
      <w:r>
        <w:rPr>
          <w:spacing w:val="-14"/>
        </w:rPr>
        <w:t> </w:t>
      </w:r>
      <w:r>
        <w:rPr/>
        <w:t>construct-aware</w:t>
      </w:r>
      <w:r>
        <w:rPr>
          <w:spacing w:val="-15"/>
        </w:rPr>
        <w:t> </w:t>
      </w:r>
      <w:r>
        <w:rPr/>
        <w:t>comparison: EndorseRank</w:t>
      </w:r>
      <w:r>
        <w:rPr>
          <w:spacing w:val="-8"/>
        </w:rPr>
        <w:t> </w:t>
      </w:r>
      <w:r>
        <w:rPr/>
        <w:t>offers</w:t>
      </w:r>
      <w:r>
        <w:rPr>
          <w:spacing w:val="-9"/>
        </w:rPr>
        <w:t> </w:t>
      </w:r>
      <w:r>
        <w:rPr/>
        <w:t>a</w:t>
      </w:r>
      <w:r>
        <w:rPr>
          <w:spacing w:val="-8"/>
        </w:rPr>
        <w:t> </w:t>
      </w:r>
      <w:r>
        <w:rPr/>
        <w:t>sparse,</w:t>
      </w:r>
      <w:r>
        <w:rPr>
          <w:spacing w:val="-7"/>
        </w:rPr>
        <w:t> </w:t>
      </w:r>
      <w:r>
        <w:rPr/>
        <w:t>authorization-native</w:t>
      </w:r>
      <w:r>
        <w:rPr>
          <w:spacing w:val="-8"/>
        </w:rPr>
        <w:t> </w:t>
      </w:r>
      <w:r>
        <w:rPr/>
        <w:t>ranking</w:t>
      </w:r>
      <w:r>
        <w:rPr>
          <w:spacing w:val="-8"/>
        </w:rPr>
        <w:t> </w:t>
      </w:r>
      <w:r>
        <w:rPr/>
        <w:t>that</w:t>
      </w:r>
      <w:r>
        <w:rPr>
          <w:spacing w:val="-8"/>
        </w:rPr>
        <w:t> </w:t>
      </w:r>
      <w:r>
        <w:rPr/>
        <w:t>is</w:t>
      </w:r>
      <w:r>
        <w:rPr>
          <w:spacing w:val="-8"/>
        </w:rPr>
        <w:t> </w:t>
      </w:r>
      <w:r>
        <w:rPr/>
        <w:t>much</w:t>
      </w:r>
      <w:r>
        <w:rPr>
          <w:spacing w:val="-8"/>
        </w:rPr>
        <w:t> </w:t>
      </w:r>
      <w:r>
        <w:rPr/>
        <w:t>cheaper</w:t>
      </w:r>
      <w:r>
        <w:rPr>
          <w:spacing w:val="-8"/>
        </w:rPr>
        <w:t> </w:t>
      </w:r>
      <w:r>
        <w:rPr/>
        <w:t>to</w:t>
      </w:r>
      <w:r>
        <w:rPr>
          <w:spacing w:val="-8"/>
        </w:rPr>
        <w:t> </w:t>
      </w:r>
      <w:r>
        <w:rPr/>
        <w:t>compute,</w:t>
      </w:r>
      <w:r>
        <w:rPr>
          <w:spacing w:val="-8"/>
        </w:rPr>
        <w:t> </w:t>
      </w:r>
      <w:r>
        <w:rPr/>
        <w:t>aligns credibly with allowance proxies (</w:t>
      </w:r>
      <w:r>
        <w:rPr>
          <w:rFonts w:ascii="Calibri" w:hAnsi="Calibri"/>
          <w:i/>
        </w:rPr>
        <w:t>τ</w:t>
      </w:r>
      <w:r>
        <w:rPr>
          <w:rFonts w:ascii="Calibri" w:hAnsi="Calibri"/>
          <w:i/>
          <w:spacing w:val="29"/>
          <w:w w:val="125"/>
        </w:rPr>
        <w:t> </w:t>
      </w:r>
      <w:r>
        <w:rPr>
          <w:rFonts w:ascii="Calibri" w:hAnsi="Calibri"/>
          <w:w w:val="125"/>
        </w:rPr>
        <w:t>= </w:t>
      </w:r>
      <w:r>
        <w:rPr>
          <w:rFonts w:ascii="Calibri" w:hAnsi="Calibri"/>
        </w:rPr>
        <w:t>0</w:t>
      </w:r>
      <w:r>
        <w:rPr>
          <w:rFonts w:ascii="Calibri" w:hAnsi="Calibri"/>
          <w:i/>
        </w:rPr>
        <w:t>.</w:t>
      </w:r>
      <w:r>
        <w:rPr>
          <w:rFonts w:ascii="Calibri" w:hAnsi="Calibri"/>
        </w:rPr>
        <w:t>355</w:t>
      </w:r>
      <w:r>
        <w:rPr/>
        <w:t>), diverges moderately from AWP, and remains stable under the reported robustness checks.</w:t>
      </w:r>
    </w:p>
    <w:p>
      <w:pPr>
        <w:pStyle w:val="BodyText"/>
        <w:spacing w:line="393" w:lineRule="auto" w:before="72"/>
        <w:ind w:left="282" w:right="524" w:hanging="12"/>
        <w:jc w:val="both"/>
      </w:pPr>
      <w:r>
        <w:rPr>
          <w:i/>
        </w:rPr>
        <w:t>이 장이 주장하지 않는 것도 똑같이 중요합니다. EndorseRank가 AWP보다 레버리지 거래 수익을 더 잘 예측한다고 주장하지 않으며, 거래 성공 계열에 대한 사회적 방법에서는 그 반대가 사실입니다. AWP가 더 이상 사용되지 않는다고 주장하지 않습니다. AWP는 전송 허브 감지와 여러 활동 및 결과 인접 프록시에 대한 더 강력한 방법으로 남아 있습니다. GF-PR이 제작 평판 점수라고 주장하지 않습니다. 기여는 정확하고 구성을 인식하는 비교입니다. EndorseRank는 계산하기 훨씬 저렴하고 허용 프록시(τ = 0.355)와 확실하게 일치하며 AWP에서 적당히 분기되고 보고된 견고성 검사에서 안정적으로 유지되는 희박하고 인증 기반 순위를 제공합니다.</w:t>
      </w:r>
    </w:p>
    <w:p>
      <w:pPr>
        <w:pStyle w:val="BodyText"/>
        <w:spacing w:line="396" w:lineRule="auto" w:before="17"/>
        <w:ind w:left="282" w:right="565"/>
        <w:jc w:val="both"/>
      </w:pPr>
      <w:r>
        <w:rPr/>
        <w:t>Chapter </w:t>
      </w:r>
      <w:hyperlink w:history="true" w:anchor="_bookmark114">
        <w:r>
          <w:rPr/>
          <w:t>5</w:t>
        </w:r>
      </w:hyperlink>
      <w:r>
        <w:rPr/>
        <w:t> interprets these findings against RQ1–RQ4 and SRQ1 in greater depth and discusses implications, threats to validity, and limitations.</w:t>
      </w:r>
    </w:p>
    <w:p>
      <w:pPr>
        <w:pStyle w:val="BodyText"/>
        <w:spacing w:line="396" w:lineRule="auto" w:before="17"/>
        <w:ind w:left="282" w:right="565"/>
        <w:jc w:val="both"/>
      </w:pPr>
      <w:r>
        <w:rPr>
          <w:i/>
        </w:rPr>
        <w:t>5장에서는 RQ1–RQ4 및 SRQ1에 대한 이러한 조사 결과를 더 깊이 해석하고 의미, 타당성에 대한 위협 및 한계에 대해 논의합니다.</w:t>
      </w:r>
    </w:p>
    <w:p>
      <w:pPr>
        <w:pStyle w:val="BodyText"/>
        <w:spacing w:after="0" w:line="39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Discussion" w:id="203"/>
      <w:bookmarkEnd w:id="203"/>
      <w:r>
        <w:rPr>
          <w:b w:val="0"/>
        </w:rPr>
      </w:r>
      <w:bookmarkStart w:name="_bookmark114" w:id="204"/>
      <w:bookmarkEnd w:id="204"/>
      <w:r>
        <w:rPr>
          <w:b w:val="0"/>
        </w:rPr>
      </w:r>
      <w:r>
        <w:rPr>
          <w:spacing w:val="-2"/>
        </w:rPr>
        <w:t>Discussion</w:t>
      </w:r>
    </w:p>
    <w:p>
      <w:pPr>
        <w:pStyle w:val="Heading1"/>
        <w:numPr>
          <w:ilvl w:val="0"/>
          <w:numId w:val="8"/>
        </w:numPr>
        <w:tabs>
          <w:tab w:pos="625" w:val="left" w:leader="none"/>
        </w:tabs>
        <w:spacing w:line="240" w:lineRule="auto" w:before="0" w:after="0"/>
        <w:ind w:left="625" w:right="0" w:hanging="343"/>
        <w:jc w:val="both"/>
      </w:pPr>
      <w:r>
        <w:rPr>
          <w:i/>
        </w:rPr>
        <w:t>논의</w:t>
      </w:r>
    </w:p>
    <w:p>
      <w:pPr>
        <w:pStyle w:val="BodyText"/>
        <w:spacing w:line="456" w:lineRule="exact" w:before="278"/>
        <w:ind w:left="282" w:right="524" w:hanging="8"/>
        <w:jc w:val="both"/>
      </w:pPr>
      <w:r>
        <w:rPr/>
        <w:t>This chapter interprets the Chapter </w:t>
      </w:r>
      <w:hyperlink w:history="true" w:anchor="_bookmark84">
        <w:r>
          <w:rPr/>
          <w:t>4</w:t>
        </w:r>
      </w:hyperlink>
      <w:r>
        <w:rPr/>
        <w:t> findings against RQ1–RQ4 and SRQ1, discusses theoretical </w:t>
      </w:r>
      <w:r>
        <w:rPr>
          <w:w w:val="105"/>
        </w:rPr>
        <w:t>and</w:t>
      </w:r>
      <w:r>
        <w:rPr>
          <w:spacing w:val="-16"/>
          <w:w w:val="105"/>
        </w:rPr>
        <w:t> </w:t>
      </w:r>
      <w:r>
        <w:rPr>
          <w:w w:val="105"/>
        </w:rPr>
        <w:t>practical</w:t>
      </w:r>
      <w:r>
        <w:rPr>
          <w:spacing w:val="-16"/>
          <w:w w:val="105"/>
        </w:rPr>
        <w:t> </w:t>
      </w:r>
      <w:r>
        <w:rPr>
          <w:w w:val="105"/>
        </w:rPr>
        <w:t>implications</w:t>
      </w:r>
      <w:r>
        <w:rPr>
          <w:spacing w:val="-16"/>
          <w:w w:val="105"/>
        </w:rPr>
        <w:t> </w:t>
      </w:r>
      <w:r>
        <w:rPr>
          <w:w w:val="105"/>
        </w:rPr>
        <w:t>for</w:t>
      </w:r>
      <w:r>
        <w:rPr>
          <w:spacing w:val="-15"/>
          <w:w w:val="105"/>
        </w:rPr>
        <w:t> </w:t>
      </w:r>
      <w:r>
        <w:rPr>
          <w:w w:val="105"/>
        </w:rPr>
        <w:t>DeFi</w:t>
      </w:r>
      <w:r>
        <w:rPr>
          <w:spacing w:val="-16"/>
          <w:w w:val="105"/>
        </w:rPr>
        <w:t> </w:t>
      </w:r>
      <w:r>
        <w:rPr>
          <w:w w:val="105"/>
        </w:rPr>
        <w:t>risk</w:t>
      </w:r>
      <w:r>
        <w:rPr>
          <w:spacing w:val="-16"/>
          <w:w w:val="105"/>
        </w:rPr>
        <w:t> </w:t>
      </w:r>
      <w:r>
        <w:rPr>
          <w:w w:val="105"/>
        </w:rPr>
        <w:t>assessment,</w:t>
      </w:r>
      <w:r>
        <w:rPr>
          <w:spacing w:val="-16"/>
          <w:w w:val="105"/>
        </w:rPr>
        <w:t> </w:t>
      </w:r>
      <w:r>
        <w:rPr>
          <w:w w:val="105"/>
        </w:rPr>
        <w:t>formulates</w:t>
      </w:r>
      <w:r>
        <w:rPr>
          <w:spacing w:val="-15"/>
          <w:w w:val="105"/>
        </w:rPr>
        <w:t> </w:t>
      </w:r>
      <w:r>
        <w:rPr>
          <w:w w:val="105"/>
        </w:rPr>
        <w:t>a</w:t>
      </w:r>
      <w:r>
        <w:rPr>
          <w:spacing w:val="-16"/>
          <w:w w:val="105"/>
        </w:rPr>
        <w:t> </w:t>
      </w:r>
      <w:r>
        <w:rPr>
          <w:w w:val="105"/>
        </w:rPr>
        <w:t>Sybil</w:t>
      </w:r>
      <w:r>
        <w:rPr>
          <w:spacing w:val="-16"/>
          <w:w w:val="105"/>
        </w:rPr>
        <w:t> </w:t>
      </w:r>
      <w:r>
        <w:rPr>
          <w:w w:val="105"/>
        </w:rPr>
        <w:t>attack</w:t>
      </w:r>
      <w:r>
        <w:rPr>
          <w:spacing w:val="-16"/>
          <w:w w:val="105"/>
        </w:rPr>
        <w:t> </w:t>
      </w:r>
      <w:r>
        <w:rPr>
          <w:w w:val="105"/>
        </w:rPr>
        <w:t>cost</w:t>
      </w:r>
      <w:r>
        <w:rPr>
          <w:spacing w:val="-15"/>
          <w:w w:val="105"/>
        </w:rPr>
        <w:t> </w:t>
      </w:r>
      <w:r>
        <w:rPr>
          <w:w w:val="105"/>
        </w:rPr>
        <w:t>model</w:t>
      </w:r>
      <w:r>
        <w:rPr>
          <w:spacing w:val="-16"/>
          <w:w w:val="105"/>
        </w:rPr>
        <w:t> </w:t>
      </w:r>
      <w:r>
        <w:rPr>
          <w:w w:val="105"/>
        </w:rPr>
        <w:t>on</w:t>
      </w:r>
      <w:r>
        <w:rPr>
          <w:spacing w:val="-16"/>
          <w:w w:val="105"/>
        </w:rPr>
        <w:t> </w:t>
      </w:r>
      <w:r>
        <w:rPr>
          <w:w w:val="105"/>
        </w:rPr>
        <w:t>al-</w:t>
      </w:r>
      <w:r>
        <w:rPr/>
        <w:t>lowance</w:t>
      </w:r>
      <w:r>
        <w:rPr>
          <w:spacing w:val="-1"/>
        </w:rPr>
        <w:t> </w:t>
      </w:r>
      <w:r>
        <w:rPr/>
        <w:t>graphs, addresses regulatory and ethical considerations, evaluates threats to validity, and states</w:t>
      </w:r>
      <w:r>
        <w:rPr>
          <w:spacing w:val="-15"/>
        </w:rPr>
        <w:t> </w:t>
      </w:r>
      <w:r>
        <w:rPr/>
        <w:t>limitations</w:t>
      </w:r>
      <w:r>
        <w:rPr>
          <w:spacing w:val="-15"/>
        </w:rPr>
        <w:t> </w:t>
      </w:r>
      <w:r>
        <w:rPr/>
        <w:t>of</w:t>
      </w:r>
      <w:r>
        <w:rPr>
          <w:spacing w:val="-15"/>
        </w:rPr>
        <w:t> </w:t>
      </w:r>
      <w:r>
        <w:rPr/>
        <w:t>the</w:t>
      </w:r>
      <w:r>
        <w:rPr>
          <w:spacing w:val="-15"/>
        </w:rPr>
        <w:t> </w:t>
      </w:r>
      <w:r>
        <w:rPr/>
        <w:t>primary</w:t>
      </w:r>
      <w:r>
        <w:rPr>
          <w:spacing w:val="-15"/>
        </w:rPr>
        <w:t> </w:t>
      </w:r>
      <w:r>
        <w:rPr/>
        <w:t>EndorseRank–AWP</w:t>
      </w:r>
      <w:r>
        <w:rPr>
          <w:spacing w:val="-15"/>
        </w:rPr>
        <w:t> </w:t>
      </w:r>
      <w:r>
        <w:rPr/>
        <w:t>comparison.</w:t>
      </w:r>
      <w:r>
        <w:rPr>
          <w:spacing w:val="-15"/>
        </w:rPr>
        <w:t> </w:t>
      </w:r>
      <w:r>
        <w:rPr/>
        <w:t>Throughout,</w:t>
      </w:r>
      <w:r>
        <w:rPr>
          <w:spacing w:val="-15"/>
        </w:rPr>
        <w:t> </w:t>
      </w:r>
      <w:r>
        <w:rPr/>
        <w:t>empirical</w:t>
      </w:r>
      <w:r>
        <w:rPr>
          <w:spacing w:val="-15"/>
        </w:rPr>
        <w:t> </w:t>
      </w:r>
      <w:r>
        <w:rPr/>
        <w:t>quantities are</w:t>
      </w:r>
      <w:r>
        <w:rPr>
          <w:spacing w:val="-3"/>
        </w:rPr>
        <w:t> </w:t>
      </w:r>
      <w:r>
        <w:rPr/>
        <w:t>those</w:t>
      </w:r>
      <w:r>
        <w:rPr>
          <w:spacing w:val="-3"/>
        </w:rPr>
        <w:t> </w:t>
      </w:r>
      <w:r>
        <w:rPr/>
        <w:t>reported</w:t>
      </w:r>
      <w:r>
        <w:rPr>
          <w:spacing w:val="-3"/>
        </w:rPr>
        <w:t> </w:t>
      </w:r>
      <w:r>
        <w:rPr/>
        <w:t>for</w:t>
      </w:r>
      <w:r>
        <w:rPr>
          <w:spacing w:val="-3"/>
        </w:rPr>
        <w:t> </w:t>
      </w:r>
      <w:r>
        <w:rPr/>
        <w:t>the</w:t>
      </w:r>
      <w:r>
        <w:rPr>
          <w:spacing w:val="-3"/>
        </w:rPr>
        <w:t> </w:t>
      </w:r>
      <w:r>
        <w:rPr/>
        <w:t>matched</w:t>
      </w:r>
      <w:r>
        <w:rPr>
          <w:spacing w:val="-3"/>
        </w:rPr>
        <w:t> </w:t>
      </w:r>
      <w:r>
        <w:rPr/>
        <w:t>wallet</w:t>
      </w:r>
      <w:r>
        <w:rPr>
          <w:spacing w:val="-3"/>
        </w:rPr>
        <w:t> </w:t>
      </w:r>
      <w:r>
        <w:rPr/>
        <w:t>cohort</w:t>
      </w:r>
      <w:r>
        <w:rPr>
          <w:spacing w:val="-3"/>
        </w:rPr>
        <w:t> </w:t>
      </w:r>
      <w:r>
        <w:rPr/>
        <w:t>(</w:t>
      </w:r>
      <w:r>
        <w:rPr>
          <w:rFonts w:ascii="Calibri" w:hAnsi="Calibri"/>
          <w:i/>
        </w:rPr>
        <w:t>n </w:t>
      </w:r>
      <w:r>
        <w:rPr>
          <w:rFonts w:ascii="Calibri" w:hAnsi="Calibri"/>
        </w:rPr>
        <w:t>= 5</w:t>
      </w:r>
      <w:r>
        <w:rPr>
          <w:rFonts w:ascii="Calibri" w:hAnsi="Calibri"/>
          <w:i/>
        </w:rPr>
        <w:t>,</w:t>
      </w:r>
      <w:r>
        <w:rPr>
          <w:rFonts w:ascii="Calibri" w:hAnsi="Calibri"/>
        </w:rPr>
        <w:t>521</w:t>
      </w:r>
      <w:r>
        <w:rPr/>
        <w:t>)</w:t>
      </w:r>
      <w:r>
        <w:rPr>
          <w:spacing w:val="-3"/>
        </w:rPr>
        <w:t> </w:t>
      </w:r>
      <w:r>
        <w:rPr/>
        <w:t>unless</w:t>
      </w:r>
      <w:r>
        <w:rPr>
          <w:spacing w:val="-3"/>
        </w:rPr>
        <w:t> </w:t>
      </w:r>
      <w:r>
        <w:rPr/>
        <w:t>otherwise</w:t>
      </w:r>
      <w:r>
        <w:rPr>
          <w:spacing w:val="-3"/>
        </w:rPr>
        <w:t> </w:t>
      </w:r>
      <w:r>
        <w:rPr/>
        <w:t>noted: inter-method </w:t>
      </w:r>
      <w:r>
        <w:rPr>
          <w:w w:val="105"/>
        </w:rPr>
        <w:t>Kendall</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316</w:t>
      </w:r>
      <w:r>
        <w:rPr>
          <w:w w:val="105"/>
        </w:rPr>
        <w:t>,</w:t>
      </w:r>
      <w:r>
        <w:rPr>
          <w:spacing w:val="-16"/>
          <w:w w:val="105"/>
        </w:rPr>
        <w:t> </w:t>
      </w:r>
      <w:r>
        <w:rPr>
          <w:w w:val="105"/>
        </w:rPr>
        <w:t>EndorseRank</w:t>
      </w:r>
      <w:r>
        <w:rPr>
          <w:spacing w:val="-16"/>
          <w:w w:val="105"/>
        </w:rPr>
        <w:t> </w:t>
      </w:r>
      <w:r>
        <w:rPr>
          <w:w w:val="105"/>
        </w:rPr>
        <w:t>allowance</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w:t>
      </w:r>
      <w:r>
        <w:rPr>
          <w:w w:val="105"/>
        </w:rPr>
        <w:t>,</w:t>
      </w:r>
      <w:r>
        <w:rPr>
          <w:spacing w:val="-16"/>
          <w:w w:val="105"/>
        </w:rPr>
        <w:t> </w:t>
      </w:r>
      <w:r>
        <w:rPr>
          <w:w w:val="105"/>
        </w:rPr>
        <w:t>AWP</w:t>
      </w:r>
      <w:r>
        <w:rPr>
          <w:spacing w:val="-15"/>
          <w:w w:val="105"/>
        </w:rPr>
        <w:t> </w:t>
      </w:r>
      <w:r>
        <w:rPr>
          <w:w w:val="105"/>
        </w:rPr>
        <w:t>transfer</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534</w:t>
      </w:r>
      <w:r>
        <w:rPr>
          <w:w w:val="105"/>
        </w:rPr>
        <w:t>,</w:t>
      </w:r>
      <w:r>
        <w:rPr>
          <w:spacing w:val="-16"/>
          <w:w w:val="105"/>
        </w:rPr>
        <w:t> </w:t>
      </w:r>
      <w:r>
        <w:rPr>
          <w:w w:val="105"/>
        </w:rPr>
        <w:t>trading-success </w:t>
      </w:r>
      <w:r>
        <w:rPr>
          <w:rFonts w:ascii="Calibri" w:hAnsi="Calibri"/>
          <w:i/>
          <w:w w:val="105"/>
        </w:rPr>
        <w:t>τ</w:t>
      </w:r>
      <w:r>
        <w:rPr>
          <w:rFonts w:ascii="Calibri" w:hAnsi="Calibri"/>
          <w:i/>
          <w:spacing w:val="-9"/>
          <w:w w:val="105"/>
        </w:rPr>
        <w:t> </w:t>
      </w:r>
      <w:r>
        <w:rPr>
          <w:rFonts w:ascii="Calibri" w:hAnsi="Calibri"/>
          <w:w w:val="125"/>
        </w:rPr>
        <w:t>=</w:t>
      </w:r>
      <w:r>
        <w:rPr>
          <w:rFonts w:ascii="Calibri" w:hAnsi="Calibri"/>
          <w:spacing w:val="-13"/>
          <w:w w:val="125"/>
        </w:rPr>
        <w:t> </w:t>
      </w:r>
      <w:r>
        <w:rPr>
          <w:rFonts w:ascii="Calibri" w:hAnsi="Calibri"/>
          <w:w w:val="105"/>
        </w:rPr>
        <w:t>0</w:t>
      </w:r>
      <w:r>
        <w:rPr>
          <w:rFonts w:ascii="Calibri" w:hAnsi="Calibri"/>
          <w:i/>
          <w:w w:val="105"/>
        </w:rPr>
        <w:t>.</w:t>
      </w:r>
      <w:r>
        <w:rPr>
          <w:rFonts w:ascii="Calibri" w:hAnsi="Calibri"/>
          <w:w w:val="105"/>
        </w:rPr>
        <w:t>096</w:t>
      </w:r>
      <w:r>
        <w:rPr>
          <w:rFonts w:ascii="Calibri" w:hAnsi="Calibri"/>
          <w:spacing w:val="-14"/>
          <w:w w:val="105"/>
        </w:rPr>
        <w:t> </w:t>
      </w:r>
      <w:r>
        <w:rPr>
          <w:w w:val="105"/>
        </w:rPr>
        <w:t>(EndorseRank)</w:t>
      </w:r>
      <w:r>
        <w:rPr>
          <w:spacing w:val="-16"/>
          <w:w w:val="105"/>
        </w:rPr>
        <w:t> </w:t>
      </w:r>
      <w:r>
        <w:rPr>
          <w:w w:val="105"/>
        </w:rPr>
        <w:t>and</w:t>
      </w:r>
      <w:r>
        <w:rPr>
          <w:spacing w:val="-16"/>
          <w:w w:val="105"/>
        </w:rPr>
        <w:t> </w:t>
      </w:r>
      <w:r>
        <w:rPr>
          <w:rFonts w:ascii="Calibri" w:hAnsi="Calibri"/>
          <w:w w:val="105"/>
        </w:rPr>
        <w:t>0</w:t>
      </w:r>
      <w:r>
        <w:rPr>
          <w:rFonts w:ascii="Calibri" w:hAnsi="Calibri"/>
          <w:i/>
          <w:w w:val="105"/>
        </w:rPr>
        <w:t>.</w:t>
      </w:r>
      <w:r>
        <w:rPr>
          <w:rFonts w:ascii="Calibri" w:hAnsi="Calibri"/>
          <w:w w:val="105"/>
        </w:rPr>
        <w:t>179</w:t>
      </w:r>
      <w:r>
        <w:rPr>
          <w:rFonts w:ascii="Calibri" w:hAnsi="Calibri"/>
          <w:spacing w:val="-13"/>
          <w:w w:val="105"/>
        </w:rPr>
        <w:t> </w:t>
      </w:r>
      <w:r>
        <w:rPr>
          <w:w w:val="105"/>
        </w:rPr>
        <w:t>(AWP),</w:t>
      </w:r>
      <w:r>
        <w:rPr>
          <w:spacing w:val="-16"/>
          <w:w w:val="105"/>
        </w:rPr>
        <w:t> </w:t>
      </w:r>
      <w:r>
        <w:rPr>
          <w:w w:val="105"/>
        </w:rPr>
        <w:t>GF-PR</w:t>
      </w:r>
      <w:r>
        <w:rPr>
          <w:spacing w:val="-16"/>
          <w:w w:val="105"/>
        </w:rPr>
        <w:t> </w:t>
      </w:r>
      <w:r>
        <w:rPr>
          <w:w w:val="105"/>
        </w:rPr>
        <w:t>trading-success</w:t>
      </w:r>
      <w:r>
        <w:rPr>
          <w:spacing w:val="-16"/>
          <w:w w:val="105"/>
        </w:rPr>
        <w:t> </w:t>
      </w:r>
      <w:r>
        <w:rPr>
          <w:rFonts w:ascii="Calibri" w:hAnsi="Calibri"/>
          <w:i/>
          <w:w w:val="105"/>
        </w:rPr>
        <w:t>τ</w:t>
      </w:r>
      <w:r>
        <w:rPr>
          <w:rFonts w:ascii="Calibri" w:hAnsi="Calibri"/>
          <w:i/>
          <w:w w:val="125"/>
        </w:rPr>
        <w:t> </w:t>
      </w:r>
      <w:r>
        <w:rPr>
          <w:rFonts w:ascii="Calibri" w:hAnsi="Calibri"/>
          <w:w w:val="125"/>
        </w:rPr>
        <w:t>=</w:t>
      </w:r>
      <w:r>
        <w:rPr>
          <w:rFonts w:ascii="Calibri" w:hAnsi="Calibri"/>
          <w:spacing w:val="-13"/>
          <w:w w:val="125"/>
        </w:rPr>
        <w:t> </w:t>
      </w:r>
      <w:r>
        <w:rPr>
          <w:rFonts w:ascii="Calibri" w:hAnsi="Calibri"/>
          <w:w w:val="105"/>
        </w:rPr>
        <w:t>0</w:t>
      </w:r>
      <w:r>
        <w:rPr>
          <w:rFonts w:ascii="Calibri" w:hAnsi="Calibri"/>
          <w:i/>
          <w:w w:val="105"/>
        </w:rPr>
        <w:t>.</w:t>
      </w:r>
      <w:r>
        <w:rPr>
          <w:rFonts w:ascii="Calibri" w:hAnsi="Calibri"/>
          <w:w w:val="105"/>
        </w:rPr>
        <w:t>583</w:t>
      </w:r>
      <w:r>
        <w:rPr>
          <w:rFonts w:ascii="Calibri" w:hAnsi="Calibri"/>
          <w:spacing w:val="-14"/>
          <w:w w:val="105"/>
        </w:rPr>
        <w:t> </w:t>
      </w:r>
      <w:r>
        <w:rPr>
          <w:w w:val="105"/>
        </w:rPr>
        <w:t>and</w:t>
      </w:r>
      <w:r>
        <w:rPr>
          <w:spacing w:val="-16"/>
          <w:w w:val="105"/>
        </w:rPr>
        <w:t> </w:t>
      </w:r>
      <w:r>
        <w:rPr>
          <w:w w:val="105"/>
        </w:rPr>
        <w:t>inverse-risk </w:t>
      </w:r>
      <w:r>
        <w:rPr>
          <w:rFonts w:ascii="Calibri" w:hAnsi="Calibri"/>
          <w:i/>
          <w:w w:val="105"/>
        </w:rPr>
        <w:t>τ</w:t>
      </w:r>
      <w:r>
        <w:rPr>
          <w:rFonts w:ascii="Calibri" w:hAnsi="Calibri"/>
          <w:i/>
          <w:spacing w:val="30"/>
          <w:w w:val="125"/>
        </w:rPr>
        <w:t> </w:t>
      </w:r>
      <w:r>
        <w:rPr>
          <w:rFonts w:ascii="Calibri" w:hAnsi="Calibri"/>
          <w:w w:val="125"/>
        </w:rPr>
        <w:t>=</w:t>
      </w:r>
      <w:r>
        <w:rPr>
          <w:rFonts w:ascii="Calibri" w:hAnsi="Calibri"/>
          <w:spacing w:val="14"/>
          <w:w w:val="125"/>
        </w:rPr>
        <w:t> </w:t>
      </w:r>
      <w:r>
        <w:rPr>
          <w:rFonts w:ascii="Calibri" w:hAnsi="Calibri"/>
          <w:w w:val="105"/>
        </w:rPr>
        <w:t>0</w:t>
      </w:r>
      <w:r>
        <w:rPr>
          <w:rFonts w:ascii="Calibri" w:hAnsi="Calibri"/>
          <w:i/>
          <w:w w:val="105"/>
        </w:rPr>
        <w:t>.</w:t>
      </w:r>
      <w:r>
        <w:rPr>
          <w:rFonts w:ascii="Calibri" w:hAnsi="Calibri"/>
          <w:w w:val="105"/>
        </w:rPr>
        <w:t>376</w:t>
      </w:r>
      <w:r>
        <w:rPr>
          <w:w w:val="105"/>
        </w:rPr>
        <w:t>,</w:t>
      </w:r>
      <w:r>
        <w:rPr>
          <w:w w:val="105"/>
        </w:rPr>
        <w:t> and</w:t>
      </w:r>
      <w:r>
        <w:rPr>
          <w:spacing w:val="-1"/>
          <w:w w:val="105"/>
        </w:rPr>
        <w:t> </w:t>
      </w:r>
      <w:r>
        <w:rPr>
          <w:w w:val="105"/>
        </w:rPr>
        <w:t>PageRank</w:t>
      </w:r>
      <w:r>
        <w:rPr>
          <w:spacing w:val="-1"/>
          <w:w w:val="105"/>
        </w:rPr>
        <w:t> </w:t>
      </w:r>
      <w:r>
        <w:rPr>
          <w:w w:val="105"/>
        </w:rPr>
        <w:t>runtimes</w:t>
      </w:r>
      <w:r>
        <w:rPr>
          <w:spacing w:val="-1"/>
          <w:w w:val="105"/>
        </w:rPr>
        <w:t> </w:t>
      </w:r>
      <w:r>
        <w:rPr>
          <w:w w:val="105"/>
        </w:rPr>
        <w:t>of</w:t>
      </w:r>
      <w:r>
        <w:rPr>
          <w:spacing w:val="-1"/>
          <w:w w:val="105"/>
        </w:rPr>
        <w:t> </w:t>
      </w:r>
      <w:r>
        <w:rPr>
          <w:rFonts w:ascii="Calibri" w:hAnsi="Calibri"/>
          <w:w w:val="105"/>
        </w:rPr>
        <w:t>2</w:t>
      </w:r>
      <w:r>
        <w:rPr>
          <w:rFonts w:ascii="Calibri" w:hAnsi="Calibri"/>
          <w:i/>
          <w:w w:val="105"/>
        </w:rPr>
        <w:t>.</w:t>
      </w:r>
      <w:r>
        <w:rPr>
          <w:rFonts w:ascii="Calibri" w:hAnsi="Calibri"/>
          <w:w w:val="105"/>
        </w:rPr>
        <w:t>105</w:t>
      </w:r>
      <w:r>
        <w:rPr>
          <w:rFonts w:ascii="Calibri" w:hAnsi="Calibri"/>
          <w:spacing w:val="-17"/>
          <w:w w:val="105"/>
        </w:rPr>
        <w:t> </w:t>
      </w:r>
      <w:r>
        <w:rPr>
          <w:w w:val="105"/>
        </w:rPr>
        <w:t>s versus</w:t>
      </w:r>
      <w:r>
        <w:rPr>
          <w:spacing w:val="-1"/>
          <w:w w:val="105"/>
        </w:rPr>
        <w:t> </w:t>
      </w:r>
      <w:r>
        <w:rPr>
          <w:rFonts w:ascii="Calibri" w:hAnsi="Calibri"/>
          <w:w w:val="105"/>
        </w:rPr>
        <w:t>18</w:t>
      </w:r>
      <w:r>
        <w:rPr>
          <w:rFonts w:ascii="Calibri" w:hAnsi="Calibri"/>
          <w:i/>
          <w:w w:val="105"/>
        </w:rPr>
        <w:t>.</w:t>
      </w:r>
      <w:r>
        <w:rPr>
          <w:rFonts w:ascii="Calibri" w:hAnsi="Calibri"/>
          <w:w w:val="105"/>
        </w:rPr>
        <w:t>711</w:t>
      </w:r>
      <w:r>
        <w:rPr>
          <w:rFonts w:ascii="Calibri" w:hAnsi="Calibri"/>
          <w:spacing w:val="-17"/>
          <w:w w:val="105"/>
        </w:rPr>
        <w:t> </w:t>
      </w:r>
      <w:r>
        <w:rPr>
          <w:w w:val="105"/>
        </w:rPr>
        <w:t>s (</w:t>
      </w:r>
      <w:r>
        <w:rPr>
          <w:rFonts w:ascii="Lucida Sans Unicode" w:hAnsi="Lucida Sans Unicode"/>
          <w:w w:val="105"/>
        </w:rPr>
        <w:t>≈</w:t>
      </w:r>
      <w:r>
        <w:rPr>
          <w:rFonts w:ascii="Lucida Sans Unicode" w:hAnsi="Lucida Sans Unicode"/>
          <w:spacing w:val="10"/>
          <w:w w:val="105"/>
        </w:rPr>
        <w:t> </w:t>
      </w:r>
      <w:r>
        <w:rPr>
          <w:rFonts w:ascii="Calibri" w:hAnsi="Calibri"/>
          <w:w w:val="105"/>
        </w:rPr>
        <w:t>8</w:t>
      </w:r>
      <w:r>
        <w:rPr>
          <w:rFonts w:ascii="Calibri" w:hAnsi="Calibri"/>
          <w:i/>
          <w:w w:val="105"/>
        </w:rPr>
        <w:t>.</w:t>
      </w:r>
      <w:r>
        <w:rPr>
          <w:rFonts w:ascii="Calibri" w:hAnsi="Calibri"/>
          <w:w w:val="105"/>
        </w:rPr>
        <w:t>9</w:t>
      </w:r>
      <w:r>
        <w:rPr>
          <w:rFonts w:ascii="Lucida Sans Unicode" w:hAnsi="Lucida Sans Unicode"/>
          <w:w w:val="105"/>
        </w:rPr>
        <w:t>×</w:t>
      </w:r>
      <w:r>
        <w:rPr>
          <w:w w:val="105"/>
        </w:rPr>
        <w:t>),</w:t>
      </w:r>
      <w:r>
        <w:rPr>
          <w:w w:val="105"/>
        </w:rPr>
        <w:t> with</w:t>
      </w:r>
      <w:r>
        <w:rPr>
          <w:spacing w:val="-1"/>
          <w:w w:val="105"/>
        </w:rPr>
        <w:t> </w:t>
      </w:r>
      <w:r>
        <w:rPr>
          <w:w w:val="105"/>
        </w:rPr>
        <w:t>pool</w:t>
      </w:r>
      <w:r>
        <w:rPr>
          <w:spacing w:val="-1"/>
          <w:w w:val="105"/>
        </w:rPr>
        <w:t> </w:t>
      </w:r>
      <w:r>
        <w:rPr>
          <w:w w:val="105"/>
        </w:rPr>
        <w:t>scaling</w:t>
      </w:r>
      <w:r>
        <w:rPr>
          <w:spacing w:val="-1"/>
          <w:w w:val="105"/>
        </w:rPr>
        <w:t> </w:t>
      </w:r>
      <w:r>
        <w:rPr>
          <w:w w:val="105"/>
        </w:rPr>
        <w:t>of</w:t>
      </w:r>
    </w:p>
    <w:p>
      <w:pPr>
        <w:pStyle w:val="BodyText"/>
        <w:spacing w:line="456" w:lineRule="exact" w:before="278"/>
        <w:ind w:left="282" w:right="524" w:hanging="8"/>
        <w:jc w:val="both"/>
      </w:pPr>
      <w:r>
        <w:rPr>
          <w:i/>
        </w:rPr>
        <w:t>이 장에서는 RQ1–RQ4 및 SRQ1에 대한 4장 조사 결과를 해석하고, DeFi 위험 평가에 대한 이론적 및 실제적 의미를 논의하고, 허용 그래프에 대한 Sybil 공격 비용 모델을 공식화하고, 규제 및 윤리적 고려 사항을 다루고, 타당성에 대한 위협을 평가하고, 기본 EndorseRank–AWP 비교의 제한 사항을 설명합니다. 전체적으로 경험적 수량은 달리 명시되지 않는 한 일치하는 지갑 코호트(n = 5,521)에 대해 보고된 수량입니다. 방법 간 Kendall τ = 0.316, EndorseRank 허용량 τ = 0.355, AWP 이체 τ = 0.534, 거래 성공 τ = 0.096 (EndorseRank) 및 0.179(AWP), GF-PR 거래 성공 τ = 0.583 및 역위험 τ = 0.376, 그리고 PageRank 런타임은 2.105초 대 18.711초(약 8.9×)이며 풀 스케일링은 다음과 같습니다.</w:t>
      </w:r>
    </w:p>
    <w:p>
      <w:pPr>
        <w:pStyle w:val="BodyText"/>
        <w:spacing w:before="106"/>
        <w:ind w:left="282"/>
        <w:jc w:val="both"/>
      </w:pPr>
      <w:bookmarkStart w:name="Findings by research question" w:id="205"/>
      <w:bookmarkEnd w:id="205"/>
      <w:r>
        <w:rPr/>
      </w:r>
      <w:bookmarkStart w:name="_bookmark115" w:id="206"/>
      <w:bookmarkEnd w:id="206"/>
      <w:r>
        <w:rPr/>
      </w:r>
      <w:r>
        <w:rPr>
          <w:rFonts w:ascii="Lucida Sans Unicode" w:hAnsi="Lucida Sans Unicode"/>
        </w:rPr>
        <w:t>≈</w:t>
      </w:r>
      <w:r>
        <w:rPr>
          <w:rFonts w:ascii="Lucida Sans Unicode" w:hAnsi="Lucida Sans Unicode"/>
          <w:spacing w:val="-1"/>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8"/>
        </w:rPr>
        <w:t> </w:t>
      </w:r>
      <w:r>
        <w:rPr/>
        <w:t>at</w:t>
      </w:r>
      <w:r>
        <w:rPr>
          <w:spacing w:val="7"/>
        </w:rPr>
        <w:t> </w:t>
      </w:r>
      <w:r>
        <w:rPr>
          <w:rFonts w:ascii="Calibri" w:hAnsi="Calibri"/>
          <w:i/>
        </w:rPr>
        <w:t>n</w:t>
      </w:r>
      <w:r>
        <w:rPr>
          <w:rFonts w:ascii="Calibri" w:hAnsi="Calibri"/>
          <w:i/>
          <w:spacing w:val="21"/>
        </w:rPr>
        <w:t> </w:t>
      </w:r>
      <w:r>
        <w:rPr>
          <w:rFonts w:ascii="Calibri" w:hAnsi="Calibri"/>
        </w:rPr>
        <w:t>=</w:t>
      </w:r>
      <w:r>
        <w:rPr>
          <w:rFonts w:ascii="Calibri" w:hAnsi="Calibri"/>
          <w:spacing w:val="20"/>
        </w:rPr>
        <w:t> </w:t>
      </w:r>
      <w:r>
        <w:rPr>
          <w:rFonts w:ascii="Calibri" w:hAnsi="Calibri"/>
        </w:rPr>
        <w:t>10</w:t>
      </w:r>
      <w:r>
        <w:rPr>
          <w:rFonts w:ascii="Calibri" w:hAnsi="Calibri"/>
          <w:i/>
        </w:rPr>
        <w:t>,</w:t>
      </w:r>
      <w:r>
        <w:rPr>
          <w:rFonts w:ascii="Calibri" w:hAnsi="Calibri"/>
        </w:rPr>
        <w:t>000</w:t>
      </w:r>
      <w:r>
        <w:rPr>
          <w:rFonts w:ascii="Calibri" w:hAnsi="Calibri"/>
          <w:spacing w:val="13"/>
        </w:rPr>
        <w:t> </w:t>
      </w:r>
      <w:r>
        <w:rPr/>
        <w:t>and</w:t>
      </w:r>
      <w:r>
        <w:rPr>
          <w:spacing w:val="7"/>
        </w:rPr>
        <w:t> </w:t>
      </w:r>
      <w:r>
        <w:rPr>
          <w:rFonts w:ascii="Lucida Sans Unicode" w:hAnsi="Lucida Sans Unicode"/>
        </w:rPr>
        <w:t>≈</w:t>
      </w:r>
      <w:r>
        <w:rPr>
          <w:rFonts w:ascii="Lucida Sans Unicode" w:hAnsi="Lucida Sans Unicode"/>
          <w:spacing w:val="-1"/>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8"/>
        </w:rPr>
        <w:t> </w:t>
      </w:r>
      <w:r>
        <w:rPr/>
        <w:t>at</w:t>
      </w:r>
      <w:r>
        <w:rPr>
          <w:spacing w:val="8"/>
        </w:rPr>
        <w:t> </w:t>
      </w:r>
      <w:r>
        <w:rPr>
          <w:rFonts w:ascii="Calibri" w:hAnsi="Calibri"/>
          <w:i/>
        </w:rPr>
        <w:t>N</w:t>
      </w:r>
      <w:r>
        <w:rPr>
          <w:rFonts w:ascii="Calibri" w:hAnsi="Calibri"/>
          <w:i/>
          <w:spacing w:val="48"/>
        </w:rPr>
        <w:t> </w:t>
      </w:r>
      <w:r>
        <w:rPr>
          <w:rFonts w:ascii="Calibri" w:hAnsi="Calibri"/>
        </w:rPr>
        <w:t>=</w:t>
      </w:r>
      <w:r>
        <w:rPr>
          <w:rFonts w:ascii="Calibri" w:hAnsi="Calibri"/>
          <w:spacing w:val="20"/>
        </w:rPr>
        <w:t> </w:t>
      </w:r>
      <w:r>
        <w:rPr>
          <w:rFonts w:ascii="Calibri" w:hAnsi="Calibri"/>
          <w:spacing w:val="-2"/>
        </w:rPr>
        <w:t>31</w:t>
      </w:r>
      <w:r>
        <w:rPr>
          <w:rFonts w:ascii="Calibri" w:hAnsi="Calibri"/>
          <w:i/>
          <w:spacing w:val="-2"/>
        </w:rPr>
        <w:t>,</w:t>
      </w:r>
      <w:r>
        <w:rPr>
          <w:rFonts w:ascii="Calibri" w:hAnsi="Calibri"/>
          <w:spacing w:val="-2"/>
        </w:rPr>
        <w:t>612</w:t>
      </w:r>
      <w:r>
        <w:rPr>
          <w:spacing w:val="-2"/>
        </w:rPr>
        <w:t>.</w:t>
      </w:r>
    </w:p>
    <w:p>
      <w:pPr>
        <w:pStyle w:val="BodyText"/>
        <w:spacing w:before="106"/>
        <w:ind w:left="282"/>
        <w:jc w:val="both"/>
      </w:pPr>
      <w:r>
        <w:rPr>
          <w:i/>
        </w:rPr>
        <w:t>n = 10,000에서 ≒ 10.4×, N = 31,612에서 ≒ 9.4×.</w:t>
      </w:r>
    </w:p>
    <w:p>
      <w:pPr>
        <w:pStyle w:val="BodyText"/>
      </w:pPr>
    </w:p>
    <w:p>
      <w:pPr>
        <w:pStyle w:val="BodyText"/>
        <w:spacing w:before="9"/>
      </w:pPr>
    </w:p>
    <w:p>
      <w:pPr>
        <w:pStyle w:val="Heading2"/>
        <w:numPr>
          <w:ilvl w:val="1"/>
          <w:numId w:val="8"/>
        </w:numPr>
        <w:tabs>
          <w:tab w:pos="783" w:val="left" w:leader="none"/>
        </w:tabs>
        <w:spacing w:line="240" w:lineRule="auto" w:before="0" w:after="0"/>
        <w:ind w:left="783" w:right="0" w:hanging="501"/>
        <w:jc w:val="left"/>
      </w:pPr>
      <w:r>
        <w:rPr/>
        <w:t>Findings</w:t>
      </w:r>
      <w:r>
        <w:rPr>
          <w:spacing w:val="10"/>
        </w:rPr>
        <w:t> </w:t>
      </w:r>
      <w:r>
        <w:rPr/>
        <w:t>by</w:t>
      </w:r>
      <w:r>
        <w:rPr>
          <w:spacing w:val="10"/>
        </w:rPr>
        <w:t> </w:t>
      </w:r>
      <w:r>
        <w:rPr/>
        <w:t>research</w:t>
      </w:r>
      <w:r>
        <w:rPr>
          <w:spacing w:val="10"/>
        </w:rPr>
        <w:t> </w:t>
      </w:r>
      <w:r>
        <w:rPr>
          <w:spacing w:val="-2"/>
        </w:rPr>
        <w:t>question</w:t>
      </w:r>
    </w:p>
    <w:p>
      <w:pPr>
        <w:pStyle w:val="Heading2"/>
        <w:numPr>
          <w:ilvl w:val="1"/>
          <w:numId w:val="8"/>
        </w:numPr>
        <w:tabs>
          <w:tab w:pos="783" w:val="left" w:leader="none"/>
        </w:tabs>
        <w:spacing w:line="240" w:lineRule="auto" w:before="0" w:after="0"/>
        <w:ind w:left="783" w:right="0" w:hanging="501"/>
        <w:jc w:val="left"/>
      </w:pPr>
      <w:r>
        <w:rPr>
          <w:i/>
        </w:rPr>
        <w:t>연구 질문별 결과</w:t>
      </w:r>
    </w:p>
    <w:p>
      <w:pPr>
        <w:pStyle w:val="BodyText"/>
        <w:spacing w:before="24"/>
        <w:rPr>
          <w:b/>
          <w:sz w:val="28"/>
        </w:rPr>
      </w:pPr>
    </w:p>
    <w:p>
      <w:pPr>
        <w:pStyle w:val="BodyText"/>
        <w:spacing w:line="396" w:lineRule="auto"/>
        <w:ind w:left="282" w:right="563" w:hanging="8"/>
        <w:jc w:val="both"/>
      </w:pPr>
      <w:r>
        <w:rPr/>
        <w:t>The</w:t>
      </w:r>
      <w:r>
        <w:rPr>
          <w:spacing w:val="-6"/>
        </w:rPr>
        <w:t> </w:t>
      </w:r>
      <w:r>
        <w:rPr/>
        <w:t>primary</w:t>
      </w:r>
      <w:r>
        <w:rPr>
          <w:spacing w:val="-6"/>
        </w:rPr>
        <w:t> </w:t>
      </w:r>
      <w:r>
        <w:rPr/>
        <w:t>empirical</w:t>
      </w:r>
      <w:r>
        <w:rPr>
          <w:spacing w:val="-6"/>
        </w:rPr>
        <w:t> </w:t>
      </w:r>
      <w:r>
        <w:rPr/>
        <w:t>comparison</w:t>
      </w:r>
      <w:r>
        <w:rPr>
          <w:spacing w:val="-6"/>
        </w:rPr>
        <w:t> </w:t>
      </w:r>
      <w:r>
        <w:rPr/>
        <w:t>concerns</w:t>
      </w:r>
      <w:r>
        <w:rPr>
          <w:spacing w:val="-6"/>
        </w:rPr>
        <w:t> </w:t>
      </w:r>
      <w:r>
        <w:rPr/>
        <w:t>EndorseRank</w:t>
      </w:r>
      <w:r>
        <w:rPr>
          <w:spacing w:val="-6"/>
        </w:rPr>
        <w:t> </w:t>
      </w:r>
      <w:r>
        <w:rPr/>
        <w:t>and</w:t>
      </w:r>
      <w:r>
        <w:rPr>
          <w:spacing w:val="-6"/>
        </w:rPr>
        <w:t> </w:t>
      </w:r>
      <w:r>
        <w:rPr/>
        <w:t>AWP</w:t>
      </w:r>
      <w:r>
        <w:rPr>
          <w:spacing w:val="-6"/>
        </w:rPr>
        <w:t> </w:t>
      </w:r>
      <w:r>
        <w:rPr/>
        <w:t>as</w:t>
      </w:r>
      <w:r>
        <w:rPr>
          <w:spacing w:val="-6"/>
        </w:rPr>
        <w:t> </w:t>
      </w:r>
      <w:r>
        <w:rPr/>
        <w:t>social</w:t>
      </w:r>
      <w:r>
        <w:rPr>
          <w:spacing w:val="-6"/>
        </w:rPr>
        <w:t> </w:t>
      </w:r>
      <w:r>
        <w:rPr/>
        <w:t>reputation</w:t>
      </w:r>
      <w:r>
        <w:rPr>
          <w:spacing w:val="-6"/>
        </w:rPr>
        <w:t> </w:t>
      </w:r>
      <w:r>
        <w:rPr/>
        <w:t>methods on wallet-to-wallet graphs.</w:t>
      </w:r>
      <w:r>
        <w:rPr>
          <w:spacing w:val="30"/>
        </w:rPr>
        <w:t> </w:t>
      </w:r>
      <w:r>
        <w:rPr/>
        <w:t>The following subsections interpret each research question in light of </w:t>
      </w:r>
      <w:bookmarkStart w:name="RQ1: Reputation structure and rank diver" w:id="207"/>
      <w:bookmarkEnd w:id="207"/>
      <w:r>
        <w:rPr/>
        <w:t>the</w:t>
      </w:r>
      <w:r>
        <w:rPr/>
        <w:t> five-proxy alignment design and the computational benchmarks.</w:t>
      </w:r>
    </w:p>
    <w:p>
      <w:pPr>
        <w:pStyle w:val="BodyText"/>
        <w:spacing w:line="396" w:lineRule="auto"/>
        <w:ind w:left="282" w:right="563" w:hanging="8"/>
        <w:jc w:val="both"/>
      </w:pPr>
      <w:r>
        <w:rPr>
          <w:i/>
        </w:rPr>
        <w:t>일차적인 실증적 비교는 지갑 대 지갑 그래프의 사회적 평판 방법인 EndorseRank 및 AWP에 관한 것입니다. 다음 하위 섹션에서는 5-프록시 정렬 설계 및 계산 벤치마크를 고려하여 각 연구 질문을 해석합니다.</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r>
        <w:rPr/>
        <w:t>RQ1:</w:t>
      </w:r>
      <w:r>
        <w:rPr>
          <w:spacing w:val="5"/>
        </w:rPr>
        <w:t> </w:t>
      </w:r>
      <w:r>
        <w:rPr/>
        <w:t>Reputation</w:t>
      </w:r>
      <w:r>
        <w:rPr>
          <w:spacing w:val="-11"/>
        </w:rPr>
        <w:t> </w:t>
      </w:r>
      <w:r>
        <w:rPr/>
        <w:t>structure</w:t>
      </w:r>
      <w:r>
        <w:rPr>
          <w:spacing w:val="-11"/>
        </w:rPr>
        <w:t> </w:t>
      </w:r>
      <w:r>
        <w:rPr/>
        <w:t>and</w:t>
      </w:r>
      <w:r>
        <w:rPr>
          <w:spacing w:val="-12"/>
        </w:rPr>
        <w:t> </w:t>
      </w:r>
      <w:r>
        <w:rPr/>
        <w:t>rank</w:t>
      </w:r>
      <w:r>
        <w:rPr>
          <w:spacing w:val="-11"/>
        </w:rPr>
        <w:t> </w:t>
      </w:r>
      <w:r>
        <w:rPr>
          <w:spacing w:val="-2"/>
        </w:rPr>
        <w:t>divergence</w:t>
      </w:r>
    </w:p>
    <w:p>
      <w:pPr>
        <w:pStyle w:val="Heading4"/>
        <w:numPr>
          <w:ilvl w:val="2"/>
          <w:numId w:val="8"/>
        </w:numPr>
        <w:tabs>
          <w:tab w:pos="879" w:val="left" w:leader="none"/>
        </w:tabs>
        <w:spacing w:line="240" w:lineRule="auto" w:before="0" w:after="0"/>
        <w:ind w:left="879" w:right="0" w:hanging="597"/>
        <w:jc w:val="left"/>
      </w:pPr>
      <w:r>
        <w:rPr>
          <w:i/>
        </w:rPr>
        <w:t>RQ1: 평판 구조 및 순위 차이</w:t>
      </w:r>
    </w:p>
    <w:p>
      <w:pPr>
        <w:pStyle w:val="BodyText"/>
        <w:spacing w:before="47"/>
        <w:rPr>
          <w:b/>
        </w:rPr>
      </w:pPr>
    </w:p>
    <w:p>
      <w:pPr>
        <w:pStyle w:val="BodyText"/>
        <w:spacing w:line="388" w:lineRule="auto"/>
        <w:ind w:left="276" w:right="522" w:firstLine="5"/>
        <w:jc w:val="both"/>
      </w:pPr>
      <w:r>
        <w:rPr/>
        <w:t>RQ1</w:t>
      </w:r>
      <w:r>
        <w:rPr>
          <w:spacing w:val="-1"/>
        </w:rPr>
        <w:t> </w:t>
      </w:r>
      <w:r>
        <w:rPr/>
        <w:t>asks</w:t>
      </w:r>
      <w:r>
        <w:rPr>
          <w:spacing w:val="-1"/>
        </w:rPr>
        <w:t> </w:t>
      </w:r>
      <w:r>
        <w:rPr/>
        <w:t>whether</w:t>
      </w:r>
      <w:r>
        <w:rPr>
          <w:spacing w:val="-1"/>
        </w:rPr>
        <w:t> </w:t>
      </w:r>
      <w:r>
        <w:rPr/>
        <w:t>EndorseRank</w:t>
      </w:r>
      <w:r>
        <w:rPr>
          <w:spacing w:val="-1"/>
        </w:rPr>
        <w:t> </w:t>
      </w:r>
      <w:r>
        <w:rPr/>
        <w:t>and</w:t>
      </w:r>
      <w:r>
        <w:rPr>
          <w:spacing w:val="-1"/>
        </w:rPr>
        <w:t> </w:t>
      </w:r>
      <w:r>
        <w:rPr/>
        <w:t>AWP</w:t>
      </w:r>
      <w:r>
        <w:rPr>
          <w:spacing w:val="-1"/>
        </w:rPr>
        <w:t> </w:t>
      </w:r>
      <w:r>
        <w:rPr/>
        <w:t>produce</w:t>
      </w:r>
      <w:r>
        <w:rPr>
          <w:spacing w:val="-1"/>
        </w:rPr>
        <w:t> </w:t>
      </w:r>
      <w:r>
        <w:rPr/>
        <w:t>meaningfully</w:t>
      </w:r>
      <w:r>
        <w:rPr>
          <w:spacing w:val="-1"/>
        </w:rPr>
        <w:t> </w:t>
      </w:r>
      <w:r>
        <w:rPr/>
        <w:t>different</w:t>
      </w:r>
      <w:r>
        <w:rPr>
          <w:spacing w:val="-1"/>
        </w:rPr>
        <w:t> </w:t>
      </w:r>
      <w:r>
        <w:rPr/>
        <w:t>wallet</w:t>
      </w:r>
      <w:r>
        <w:rPr>
          <w:spacing w:val="-1"/>
        </w:rPr>
        <w:t> </w:t>
      </w:r>
      <w:r>
        <w:rPr/>
        <w:t>orderings</w:t>
      </w:r>
      <w:r>
        <w:rPr>
          <w:spacing w:val="-1"/>
        </w:rPr>
        <w:t> </w:t>
      </w:r>
      <w:r>
        <w:rPr/>
        <w:t>on</w:t>
      </w:r>
      <w:r>
        <w:rPr>
          <w:spacing w:val="-1"/>
        </w:rPr>
        <w:t> </w:t>
      </w:r>
      <w:r>
        <w:rPr/>
        <w:t>an identical Arbitrum sample. Inter-method Kendall </w:t>
      </w:r>
      <w:r>
        <w:rPr>
          <w:rFonts w:ascii="Calibri" w:hAnsi="Calibri"/>
          <w:i/>
        </w:rPr>
        <w:t>τ</w:t>
      </w:r>
      <w:r>
        <w:rPr>
          <w:rFonts w:ascii="Calibri" w:hAnsi="Calibri"/>
          <w:i/>
          <w:spacing w:val="33"/>
        </w:rPr>
        <w:t> </w:t>
      </w:r>
      <w:r>
        <w:rPr/>
        <w:t>between the two score vectors is </w:t>
      </w:r>
      <w:r>
        <w:rPr>
          <w:rFonts w:ascii="Calibri" w:hAnsi="Calibri"/>
        </w:rPr>
        <w:t>0</w:t>
      </w:r>
      <w:r>
        <w:rPr>
          <w:rFonts w:ascii="Calibri" w:hAnsi="Calibri"/>
          <w:i/>
        </w:rPr>
        <w:t>.</w:t>
      </w:r>
      <w:r>
        <w:rPr>
          <w:rFonts w:ascii="Calibri" w:hAnsi="Calibri"/>
        </w:rPr>
        <w:t>316 </w:t>
      </w:r>
      <w:r>
        <w:rPr/>
        <w:t>on the matched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within the weak-to-moderate alignment band defined in Chapter </w:t>
      </w:r>
      <w:hyperlink w:history="true" w:anchor="_bookmark17">
        <w:r>
          <w:rPr/>
          <w:t>2</w:t>
        </w:r>
      </w:hyperlink>
      <w:r>
        <w:rPr/>
        <w:t>. Correlation is present—both methods operate on overlapping wallet activity in the same obser-vation window—but the magnitude is far from unity.</w:t>
      </w:r>
      <w:r>
        <w:rPr>
          <w:spacing w:val="40"/>
        </w:rPr>
        <w:t> </w:t>
      </w:r>
      <w:r>
        <w:rPr/>
        <w:t>Allowance and transfer graphs therefore emphasize different wallet relationships.</w:t>
      </w:r>
    </w:p>
    <w:p>
      <w:pPr>
        <w:pStyle w:val="BodyText"/>
        <w:spacing w:line="388" w:lineRule="auto"/>
        <w:ind w:left="276" w:right="522" w:firstLine="5"/>
        <w:jc w:val="both"/>
      </w:pPr>
      <w:r>
        <w:rPr>
          <w:i/>
        </w:rPr>
        <w:t>RQ1은 EndorseRank 및 AWP가 동일한 Arbitrum 샘플에서 의미 있게 다른 지갑 주문을 생성하는지 여부를 묻습니다. 두 점수 벡터 사이의 방법 간 Kendall τ는 2장에서 정의한 약한 정렬 밴드 내에서 일치하는 코호트(n = 5,521)에서 0.316입니다. 상관 관계가 존재합니다. 두 방법 모두 동일한 관찰 창에서 겹치는 지갑 활동에 대해 작동하지만 크기는 1이 아닙니다. 따라서 허용량 및 이체 그래프는 다양한 지갑 관계를 강조합니다.</w:t>
      </w:r>
    </w:p>
    <w:p>
      <w:pPr>
        <w:pStyle w:val="BodyText"/>
        <w:spacing w:after="0" w:line="388" w:lineRule="auto"/>
        <w:jc w:val="both"/>
        <w:sectPr>
          <w:pgSz w:w="11910" w:h="16840"/>
          <w:pgMar w:header="0" w:footer="2115" w:top="1920" w:bottom="2300" w:left="992" w:right="708"/>
        </w:sectPr>
      </w:pPr>
    </w:p>
    <w:p>
      <w:pPr>
        <w:pStyle w:val="BodyText"/>
        <w:spacing w:line="391" w:lineRule="auto" w:before="68"/>
        <w:ind w:left="273" w:right="524" w:firstLine="1"/>
        <w:jc w:val="both"/>
      </w:pPr>
      <w:r>
        <w:rPr/>
        <w:t>This divergence is structurally expected.</w:t>
      </w:r>
      <w:r>
        <w:rPr>
          <w:spacing w:val="40"/>
        </w:rPr>
        <w:t> </w:t>
      </w:r>
      <w:r>
        <w:rPr/>
        <w:t>The endorsement graph </w:t>
      </w:r>
      <w:r>
        <w:rPr>
          <w:rFonts w:ascii="Calibri" w:hAnsi="Calibri"/>
          <w:i/>
        </w:rPr>
        <w:t>G</w:t>
      </w:r>
      <w:r>
        <w:rPr>
          <w:vertAlign w:val="subscript"/>
        </w:rPr>
        <w:t>approve</w:t>
      </w:r>
      <w:r>
        <w:rPr>
          <w:vertAlign w:val="baseline"/>
        </w:rPr>
        <w:t> contains </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edges encoding</w:t>
      </w:r>
      <w:r>
        <w:rPr>
          <w:spacing w:val="-6"/>
          <w:vertAlign w:val="baseline"/>
        </w:rPr>
        <w:t> </w:t>
      </w:r>
      <w:r>
        <w:rPr>
          <w:vertAlign w:val="baseline"/>
        </w:rPr>
        <w:t>current</w:t>
      </w:r>
      <w:r>
        <w:rPr>
          <w:spacing w:val="-6"/>
          <w:vertAlign w:val="baseline"/>
        </w:rPr>
        <w:t> </w:t>
      </w:r>
      <w:r>
        <w:rPr>
          <w:vertAlign w:val="baseline"/>
        </w:rPr>
        <w:t>spending</w:t>
      </w:r>
      <w:r>
        <w:rPr>
          <w:spacing w:val="-6"/>
          <w:vertAlign w:val="baseline"/>
        </w:rPr>
        <w:t> </w:t>
      </w:r>
      <w:r>
        <w:rPr>
          <w:vertAlign w:val="baseline"/>
        </w:rPr>
        <w:t>authorization;</w:t>
      </w:r>
      <w:r>
        <w:rPr>
          <w:spacing w:val="-5"/>
          <w:vertAlign w:val="baseline"/>
        </w:rPr>
        <w:t> </w:t>
      </w:r>
      <w:r>
        <w:rPr>
          <w:vertAlign w:val="baseline"/>
        </w:rPr>
        <w:t>the</w:t>
      </w:r>
      <w:r>
        <w:rPr>
          <w:spacing w:val="-6"/>
          <w:vertAlign w:val="baseline"/>
        </w:rPr>
        <w:t> </w:t>
      </w:r>
      <w:r>
        <w:rPr>
          <w:vertAlign w:val="baseline"/>
        </w:rPr>
        <w:t>transfer</w:t>
      </w:r>
      <w:r>
        <w:rPr>
          <w:spacing w:val="-6"/>
          <w:vertAlign w:val="baseline"/>
        </w:rPr>
        <w:t> </w:t>
      </w:r>
      <w:r>
        <w:rPr>
          <w:vertAlign w:val="baseline"/>
        </w:rPr>
        <w:t>graph</w:t>
      </w:r>
      <w:r>
        <w:rPr>
          <w:spacing w:val="-7"/>
          <w:vertAlign w:val="baseline"/>
        </w:rPr>
        <w:t> </w:t>
      </w:r>
      <w:r>
        <w:rPr>
          <w:rFonts w:ascii="Calibri" w:hAnsi="Calibri"/>
          <w:i/>
          <w:vertAlign w:val="baseline"/>
        </w:rPr>
        <w:t>G</w:t>
      </w:r>
      <w:r>
        <w:rPr>
          <w:vertAlign w:val="subscript"/>
        </w:rPr>
        <w:t>transfer</w:t>
      </w:r>
      <w:r>
        <w:rPr>
          <w:vertAlign w:val="baseline"/>
        </w:rPr>
        <w:t> contains</w:t>
      </w:r>
      <w:r>
        <w:rPr>
          <w:spacing w:val="-6"/>
          <w:vertAlign w:val="baseline"/>
        </w:rPr>
        <w:t> </w:t>
      </w:r>
      <w:r>
        <w:rPr>
          <w:rFonts w:ascii="Calibri" w:hAnsi="Calibri"/>
          <w:vertAlign w:val="baseline"/>
        </w:rPr>
        <w:t>137</w:t>
      </w:r>
      <w:r>
        <w:rPr>
          <w:rFonts w:ascii="Calibri" w:hAnsi="Calibri"/>
          <w:i/>
          <w:vertAlign w:val="baseline"/>
        </w:rPr>
        <w:t>,</w:t>
      </w:r>
      <w:r>
        <w:rPr>
          <w:rFonts w:ascii="Calibri" w:hAnsi="Calibri"/>
          <w:vertAlign w:val="baseline"/>
        </w:rPr>
        <w:t>087 </w:t>
      </w:r>
      <w:r>
        <w:rPr>
          <w:vertAlign w:val="baseline"/>
        </w:rPr>
        <w:t>edges</w:t>
      </w:r>
      <w:r>
        <w:rPr>
          <w:spacing w:val="-6"/>
          <w:vertAlign w:val="baseline"/>
        </w:rPr>
        <w:t> </w:t>
      </w:r>
      <w:r>
        <w:rPr>
          <w:vertAlign w:val="baseline"/>
        </w:rPr>
        <w:t>encod-ing time-decayed economic flow </w:t>
      </w:r>
      <w:hyperlink w:history="true" w:anchor="_bookmark149">
        <w:r>
          <w:rPr>
            <w:vertAlign w:val="superscript"/>
          </w:rPr>
          <w:t>[16]</w:t>
        </w:r>
      </w:hyperlink>
      <w:r>
        <w:rPr>
          <w:vertAlign w:val="baseline"/>
        </w:rPr>
        <w:t>.</w:t>
      </w:r>
      <w:r>
        <w:rPr>
          <w:spacing w:val="24"/>
          <w:vertAlign w:val="baseline"/>
        </w:rPr>
        <w:t> </w:t>
      </w:r>
      <w:r>
        <w:rPr>
          <w:vertAlign w:val="baseline"/>
        </w:rPr>
        <w:t>PageRank propagates influence along these edges under the same damping convention </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baseline"/>
        </w:rPr>
        <w:t>, so differences in edge sets and weights produce differences in stationary mass. Allowances encode authorization intent; transfers encode movement of value. A wallet that receives large transfers without granting allowances can rank highly under AWP and modestly under EndorseRank, and conversely for a wallet that authorizes spenders without being a transfer hub.</w:t>
      </w:r>
    </w:p>
    <w:p>
      <w:pPr>
        <w:pStyle w:val="BodyText"/>
        <w:spacing w:line="391" w:lineRule="auto" w:before="68"/>
        <w:ind w:left="273" w:right="524" w:firstLine="1"/>
        <w:jc w:val="both"/>
      </w:pPr>
      <w:r>
        <w:rPr>
          <w:i/>
        </w:rPr>
        <w:t>이러한 차이는 구조적으로 예상됩니다. 보증 그래프 Gapprove에는 현재 지출 승인을 인코딩하는 14,727개의 에지가 포함되어 있으며 전송 그래프 Gtransfer에는 시간이 지남에 따라 경제 흐름을 인코딩하는 137,087개의 에지가 포함되어 있습니다[16]. PageRank는 동일한 감쇠 규칙에 따라 이러한 모서리를 따라 영향을 전파하므로[40],[49], 모서리 세트와 무게의 차이로 인해 고정 질량의 차이가 발생합니다. 허용량은 승인 의도를 인코딩하고 전송은 가치 이동을 인코딩합니다. 수당을 부여하지 않고 대규모 이체를 받는 지갑은 AWP 아래에서 높은 순위를, EndorseRank 아래에서는 약간 순위를 매길 수 있으며, 반대로 전송 허브가 되지 않고 지출자를 승인하는 지갑의 경우입니다.</w:t>
      </w:r>
    </w:p>
    <w:p>
      <w:pPr>
        <w:pStyle w:val="BodyText"/>
        <w:spacing w:line="396" w:lineRule="auto" w:before="16"/>
        <w:ind w:left="282" w:right="523"/>
        <w:jc w:val="both"/>
      </w:pPr>
      <w:r>
        <w:rPr/>
        <w:t>H1</w:t>
      </w:r>
      <w:r>
        <w:rPr>
          <w:spacing w:val="-15"/>
        </w:rPr>
        <w:t> </w:t>
      </w:r>
      <w:r>
        <w:rPr/>
        <w:t>is</w:t>
      </w:r>
      <w:r>
        <w:rPr>
          <w:spacing w:val="-15"/>
        </w:rPr>
        <w:t> </w:t>
      </w:r>
      <w:r>
        <w:rPr/>
        <w:t>therefore</w:t>
      </w:r>
      <w:r>
        <w:rPr>
          <w:spacing w:val="-15"/>
        </w:rPr>
        <w:t> </w:t>
      </w:r>
      <w:r>
        <w:rPr/>
        <w:t>supported:</w:t>
      </w:r>
      <w:r>
        <w:rPr>
          <w:spacing w:val="-15"/>
        </w:rPr>
        <w:t> </w:t>
      </w:r>
      <w:r>
        <w:rPr/>
        <w:t>EndorseRank</w:t>
      </w:r>
      <w:r>
        <w:rPr>
          <w:spacing w:val="-15"/>
        </w:rPr>
        <w:t> </w:t>
      </w:r>
      <w:r>
        <w:rPr/>
        <w:t>and</w:t>
      </w:r>
      <w:r>
        <w:rPr>
          <w:spacing w:val="-15"/>
        </w:rPr>
        <w:t> </w:t>
      </w:r>
      <w:r>
        <w:rPr/>
        <w:t>AWP</w:t>
      </w:r>
      <w:r>
        <w:rPr>
          <w:spacing w:val="-15"/>
        </w:rPr>
        <w:t> </w:t>
      </w:r>
      <w:r>
        <w:rPr/>
        <w:t>yield</w:t>
      </w:r>
      <w:r>
        <w:rPr>
          <w:spacing w:val="-15"/>
        </w:rPr>
        <w:t> </w:t>
      </w:r>
      <w:r>
        <w:rPr/>
        <w:t>partially</w:t>
      </w:r>
      <w:r>
        <w:rPr>
          <w:spacing w:val="-15"/>
        </w:rPr>
        <w:t> </w:t>
      </w:r>
      <w:r>
        <w:rPr/>
        <w:t>overlapping</w:t>
      </w:r>
      <w:r>
        <w:rPr>
          <w:spacing w:val="-15"/>
        </w:rPr>
        <w:t> </w:t>
      </w:r>
      <w:r>
        <w:rPr/>
        <w:t>yet</w:t>
      </w:r>
      <w:r>
        <w:rPr>
          <w:spacing w:val="-15"/>
        </w:rPr>
        <w:t> </w:t>
      </w:r>
      <w:r>
        <w:rPr/>
        <w:t>construct-distinct orderings. The</w:t>
      </w:r>
      <w:r>
        <w:rPr>
          <w:spacing w:val="-4"/>
        </w:rPr>
        <w:t> </w:t>
      </w:r>
      <w:r>
        <w:rPr/>
        <w:t>practical</w:t>
      </w:r>
      <w:r>
        <w:rPr>
          <w:spacing w:val="-4"/>
        </w:rPr>
        <w:t> </w:t>
      </w:r>
      <w:r>
        <w:rPr/>
        <w:t>implication</w:t>
      </w:r>
      <w:r>
        <w:rPr>
          <w:spacing w:val="-4"/>
        </w:rPr>
        <w:t> </w:t>
      </w:r>
      <w:r>
        <w:rPr/>
        <w:t>is</w:t>
      </w:r>
      <w:r>
        <w:rPr>
          <w:spacing w:val="-4"/>
        </w:rPr>
        <w:t> </w:t>
      </w:r>
      <w:r>
        <w:rPr/>
        <w:t>that</w:t>
      </w:r>
      <w:r>
        <w:rPr>
          <w:spacing w:val="-4"/>
        </w:rPr>
        <w:t> </w:t>
      </w:r>
      <w:r>
        <w:rPr/>
        <w:t>the</w:t>
      </w:r>
      <w:r>
        <w:rPr>
          <w:spacing w:val="-4"/>
        </w:rPr>
        <w:t> </w:t>
      </w:r>
      <w:r>
        <w:rPr/>
        <w:t>two</w:t>
      </w:r>
      <w:r>
        <w:rPr>
          <w:spacing w:val="-4"/>
        </w:rPr>
        <w:t> </w:t>
      </w:r>
      <w:r>
        <w:rPr/>
        <w:t>scores</w:t>
      </w:r>
      <w:r>
        <w:rPr>
          <w:spacing w:val="-4"/>
        </w:rPr>
        <w:t> </w:t>
      </w:r>
      <w:r>
        <w:rPr/>
        <w:t>are</w:t>
      </w:r>
      <w:r>
        <w:rPr>
          <w:spacing w:val="-4"/>
        </w:rPr>
        <w:t> </w:t>
      </w:r>
      <w:r>
        <w:rPr/>
        <w:t>not</w:t>
      </w:r>
      <w:r>
        <w:rPr>
          <w:spacing w:val="-4"/>
        </w:rPr>
        <w:t> </w:t>
      </w:r>
      <w:r>
        <w:rPr/>
        <w:t>interchangeable</w:t>
      </w:r>
      <w:r>
        <w:rPr>
          <w:spacing w:val="-4"/>
        </w:rPr>
        <w:t> </w:t>
      </w:r>
      <w:r>
        <w:rPr/>
        <w:t>substitutes. De-ployments that adopt EndorseRank for efficiency must accept a different ranking geometry, not </w:t>
      </w:r>
      <w:bookmarkStart w:name="RQ2: Construct-specific social-method al" w:id="208"/>
      <w:bookmarkEnd w:id="208"/>
      <w:r>
        <w:rPr/>
        <w:t>merely</w:t>
      </w:r>
      <w:r>
        <w:rPr/>
        <w:t> a faster approximation of AWP.</w:t>
      </w:r>
    </w:p>
    <w:p>
      <w:pPr>
        <w:pStyle w:val="BodyText"/>
        <w:spacing w:line="396" w:lineRule="auto" w:before="16"/>
        <w:ind w:left="282" w:right="523"/>
        <w:jc w:val="both"/>
      </w:pPr>
      <w:r>
        <w:rPr>
          <w:i/>
        </w:rPr>
        <w:t>따라서 H1이 지원됩니다. EndorseRank 및 AWP는 부분적으로 겹치지만 구조적으로 구별되는 순서를 생성합니다. 실질적인 의미는 두 점수가 상호 교환 가능한 대체물이 아니라는 것입니다. 효율성을 위해 EndorseRank를 채택하는 배포는 단순히 AWP의 더 빠른 근사치가 아닌 다른 순위 구조를 허용해야 합니다.</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RQ2:</w:t>
      </w:r>
      <w:r>
        <w:rPr>
          <w:spacing w:val="-4"/>
        </w:rPr>
        <w:t> </w:t>
      </w:r>
      <w:r>
        <w:rPr/>
        <w:t>Construct-specific</w:t>
      </w:r>
      <w:r>
        <w:rPr>
          <w:spacing w:val="-15"/>
        </w:rPr>
        <w:t> </w:t>
      </w:r>
      <w:r>
        <w:rPr/>
        <w:t>social-method</w:t>
      </w:r>
      <w:r>
        <w:rPr>
          <w:spacing w:val="-15"/>
        </w:rPr>
        <w:t> </w:t>
      </w:r>
      <w:r>
        <w:rPr>
          <w:spacing w:val="-2"/>
        </w:rPr>
        <w:t>alignment</w:t>
      </w:r>
    </w:p>
    <w:p>
      <w:pPr>
        <w:pStyle w:val="Heading4"/>
        <w:numPr>
          <w:ilvl w:val="2"/>
          <w:numId w:val="8"/>
        </w:numPr>
        <w:tabs>
          <w:tab w:pos="879" w:val="left" w:leader="none"/>
        </w:tabs>
        <w:spacing w:line="240" w:lineRule="auto" w:before="0" w:after="0"/>
        <w:ind w:left="879" w:right="0" w:hanging="597"/>
        <w:jc w:val="left"/>
      </w:pPr>
      <w:r>
        <w:rPr>
          <w:i/>
        </w:rPr>
        <w:t>RQ2: 구성별 사회적 방법 정렬</w:t>
      </w:r>
    </w:p>
    <w:p>
      <w:pPr>
        <w:pStyle w:val="BodyText"/>
        <w:spacing w:before="47"/>
        <w:rPr>
          <w:b/>
        </w:rPr>
      </w:pPr>
    </w:p>
    <w:p>
      <w:pPr>
        <w:pStyle w:val="BodyText"/>
        <w:spacing w:line="396" w:lineRule="auto"/>
        <w:ind w:left="282" w:right="564"/>
        <w:jc w:val="both"/>
      </w:pPr>
      <w:r>
        <w:rPr/>
        <w:t>RQ2</w:t>
      </w:r>
      <w:r>
        <w:rPr>
          <w:spacing w:val="-14"/>
        </w:rPr>
        <w:t> </w:t>
      </w:r>
      <w:r>
        <w:rPr/>
        <w:t>asks</w:t>
      </w:r>
      <w:r>
        <w:rPr>
          <w:spacing w:val="-14"/>
        </w:rPr>
        <w:t> </w:t>
      </w:r>
      <w:r>
        <w:rPr/>
        <w:t>which</w:t>
      </w:r>
      <w:r>
        <w:rPr>
          <w:spacing w:val="-14"/>
        </w:rPr>
        <w:t> </w:t>
      </w:r>
      <w:r>
        <w:rPr/>
        <w:t>social</w:t>
      </w:r>
      <w:r>
        <w:rPr>
          <w:spacing w:val="-14"/>
        </w:rPr>
        <w:t> </w:t>
      </w:r>
      <w:r>
        <w:rPr/>
        <w:t>method</w:t>
      </w:r>
      <w:r>
        <w:rPr>
          <w:spacing w:val="-14"/>
        </w:rPr>
        <w:t> </w:t>
      </w:r>
      <w:r>
        <w:rPr/>
        <w:t>aligns</w:t>
      </w:r>
      <w:r>
        <w:rPr>
          <w:spacing w:val="-14"/>
        </w:rPr>
        <w:t> </w:t>
      </w:r>
      <w:r>
        <w:rPr/>
        <w:t>more</w:t>
      </w:r>
      <w:r>
        <w:rPr>
          <w:spacing w:val="-14"/>
        </w:rPr>
        <w:t> </w:t>
      </w:r>
      <w:r>
        <w:rPr/>
        <w:t>strongly</w:t>
      </w:r>
      <w:r>
        <w:rPr>
          <w:spacing w:val="-14"/>
        </w:rPr>
        <w:t> </w:t>
      </w:r>
      <w:r>
        <w:rPr/>
        <w:t>with</w:t>
      </w:r>
      <w:r>
        <w:rPr>
          <w:spacing w:val="-14"/>
        </w:rPr>
        <w:t> </w:t>
      </w:r>
      <w:r>
        <w:rPr/>
        <w:t>each</w:t>
      </w:r>
      <w:r>
        <w:rPr>
          <w:spacing w:val="-14"/>
        </w:rPr>
        <w:t> </w:t>
      </w:r>
      <w:r>
        <w:rPr/>
        <w:t>of</w:t>
      </w:r>
      <w:r>
        <w:rPr>
          <w:spacing w:val="-14"/>
        </w:rPr>
        <w:t> </w:t>
      </w:r>
      <w:r>
        <w:rPr/>
        <w:t>the</w:t>
      </w:r>
      <w:r>
        <w:rPr>
          <w:spacing w:val="-14"/>
        </w:rPr>
        <w:t> </w:t>
      </w:r>
      <w:r>
        <w:rPr/>
        <w:t>five</w:t>
      </w:r>
      <w:r>
        <w:rPr>
          <w:spacing w:val="-14"/>
        </w:rPr>
        <w:t> </w:t>
      </w:r>
      <w:r>
        <w:rPr/>
        <w:t>proxy</w:t>
      </w:r>
      <w:r>
        <w:rPr>
          <w:spacing w:val="-14"/>
        </w:rPr>
        <w:t> </w:t>
      </w:r>
      <w:r>
        <w:rPr/>
        <w:t>families.</w:t>
      </w:r>
      <w:r>
        <w:rPr>
          <w:spacing w:val="9"/>
        </w:rPr>
        <w:t> </w:t>
      </w:r>
      <w:r>
        <w:rPr/>
        <w:t>Table</w:t>
      </w:r>
      <w:r>
        <w:rPr>
          <w:spacing w:val="-15"/>
        </w:rPr>
        <w:t> </w:t>
      </w:r>
      <w:hyperlink w:history="true" w:anchor="_bookmark101">
        <w:r>
          <w:rPr/>
          <w:t>4.7</w:t>
        </w:r>
      </w:hyperlink>
      <w:r>
        <w:rPr/>
        <w:t> and the per-family tables (Tables </w:t>
      </w:r>
      <w:hyperlink w:history="true" w:anchor="_bookmark104">
        <w:r>
          <w:rPr/>
          <w:t>4.8</w:t>
        </w:r>
      </w:hyperlink>
      <w:r>
        <w:rPr/>
        <w:t>–</w:t>
      </w:r>
      <w:hyperlink w:history="true" w:anchor="_bookmark108">
        <w:r>
          <w:rPr/>
          <w:t>4.12</w:t>
        </w:r>
      </w:hyperlink>
      <w:r>
        <w:rPr/>
        <w:t>) show clear construct-specific winners rather than a universal ranking.</w:t>
      </w:r>
    </w:p>
    <w:p>
      <w:pPr>
        <w:pStyle w:val="BodyText"/>
        <w:spacing w:line="396" w:lineRule="auto"/>
        <w:ind w:left="282" w:right="564"/>
        <w:jc w:val="both"/>
      </w:pPr>
      <w:r>
        <w:rPr>
          <w:i/>
        </w:rPr>
        <w:t>RQ2는 다섯 가지 프록시 계열 각각에 더 강력하게 부합하는 사회적 방법을 묻습니다. 표 4.7과 패밀리별 표(표 4.8~4.12)는 보편적인 순위가 아닌 명확한 구성별 승자를 보여줍니다.</w:t>
      </w:r>
    </w:p>
    <w:p>
      <w:pPr>
        <w:pStyle w:val="BodyText"/>
        <w:spacing w:line="333" w:lineRule="auto" w:before="12"/>
        <w:ind w:left="282" w:right="523"/>
        <w:jc w:val="both"/>
      </w:pPr>
      <w:r>
        <w:rPr/>
        <w:t>On the </w:t>
      </w:r>
      <w:r>
        <w:rPr>
          <w:b/>
        </w:rPr>
        <w:t>allowance </w:t>
      </w:r>
      <w:r>
        <w:rPr/>
        <w:t>family, EndorseRank achieves mean Kendall </w:t>
      </w:r>
      <w:r>
        <w:rPr>
          <w:rFonts w:ascii="Calibri" w:hAnsi="Calibri"/>
          <w:i/>
        </w:rPr>
        <w:t>τ</w:t>
      </w:r>
      <w:r>
        <w:rPr>
          <w:rFonts w:ascii="Calibri" w:hAnsi="Calibri"/>
          <w:i/>
          <w:spacing w:val="33"/>
          <w:w w:val="125"/>
        </w:rPr>
        <w:t> </w:t>
      </w:r>
      <w:r>
        <w:rPr>
          <w:rFonts w:ascii="Calibri" w:hAnsi="Calibri"/>
          <w:w w:val="125"/>
        </w:rPr>
        <w:t>= </w:t>
      </w:r>
      <w:r>
        <w:rPr>
          <w:rFonts w:ascii="Calibri" w:hAnsi="Calibri"/>
        </w:rPr>
        <w:t>0</w:t>
      </w:r>
      <w:r>
        <w:rPr>
          <w:rFonts w:ascii="Calibri" w:hAnsi="Calibri"/>
          <w:i/>
        </w:rPr>
        <w:t>.</w:t>
      </w:r>
      <w:r>
        <w:rPr>
          <w:rFonts w:ascii="Calibri" w:hAnsi="Calibri"/>
        </w:rPr>
        <w:t>355</w:t>
      </w:r>
      <w:r>
        <w:rPr/>
        <w:t>, whereas AWP is near zero</w:t>
      </w:r>
      <w:r>
        <w:rPr>
          <w:spacing w:val="-12"/>
        </w:rPr>
        <w:t> </w:t>
      </w:r>
      <w:r>
        <w:rPr/>
        <w:t>(</w:t>
      </w:r>
      <w:r>
        <w:rPr>
          <w:rFonts w:ascii="Lucida Sans Unicode" w:hAnsi="Lucida Sans Unicode"/>
        </w:rPr>
        <w:t>—</w:t>
      </w:r>
      <w:r>
        <w:rPr>
          <w:rFonts w:ascii="Calibri" w:hAnsi="Calibri"/>
        </w:rPr>
        <w:t>0</w:t>
      </w:r>
      <w:r>
        <w:rPr>
          <w:rFonts w:ascii="Calibri" w:hAnsi="Calibri"/>
          <w:i/>
        </w:rPr>
        <w:t>.</w:t>
      </w:r>
      <w:r>
        <w:rPr>
          <w:rFonts w:ascii="Calibri" w:hAnsi="Calibri"/>
        </w:rPr>
        <w:t>030</w:t>
      </w:r>
      <w:r>
        <w:rPr/>
        <w:t>). This</w:t>
      </w:r>
      <w:r>
        <w:rPr>
          <w:spacing w:val="-12"/>
        </w:rPr>
        <w:t> </w:t>
      </w:r>
      <w:r>
        <w:rPr/>
        <w:t>pattern</w:t>
      </w:r>
      <w:r>
        <w:rPr>
          <w:spacing w:val="-12"/>
        </w:rPr>
        <w:t> </w:t>
      </w:r>
      <w:r>
        <w:rPr/>
        <w:t>is</w:t>
      </w:r>
      <w:r>
        <w:rPr>
          <w:spacing w:val="-12"/>
        </w:rPr>
        <w:t> </w:t>
      </w:r>
      <w:r>
        <w:rPr/>
        <w:t>the</w:t>
      </w:r>
      <w:r>
        <w:rPr>
          <w:spacing w:val="-12"/>
        </w:rPr>
        <w:t> </w:t>
      </w:r>
      <w:r>
        <w:rPr/>
        <w:t>strongest</w:t>
      </w:r>
      <w:r>
        <w:rPr>
          <w:spacing w:val="-12"/>
        </w:rPr>
        <w:t> </w:t>
      </w:r>
      <w:r>
        <w:rPr/>
        <w:t>evidence</w:t>
      </w:r>
      <w:r>
        <w:rPr>
          <w:spacing w:val="-12"/>
        </w:rPr>
        <w:t> </w:t>
      </w:r>
      <w:r>
        <w:rPr/>
        <w:t>that</w:t>
      </w:r>
      <w:r>
        <w:rPr>
          <w:spacing w:val="-12"/>
        </w:rPr>
        <w:t> </w:t>
      </w:r>
      <w:r>
        <w:rPr/>
        <w:t>EndorseRank</w:t>
      </w:r>
      <w:r>
        <w:rPr>
          <w:spacing w:val="-12"/>
        </w:rPr>
        <w:t> </w:t>
      </w:r>
      <w:r>
        <w:rPr/>
        <w:t>measures</w:t>
      </w:r>
      <w:r>
        <w:rPr>
          <w:spacing w:val="-12"/>
        </w:rPr>
        <w:t> </w:t>
      </w:r>
      <w:r>
        <w:rPr/>
        <w:t>its</w:t>
      </w:r>
      <w:r>
        <w:rPr>
          <w:spacing w:val="-12"/>
        </w:rPr>
        <w:t> </w:t>
      </w:r>
      <w:r>
        <w:rPr/>
        <w:t>intended</w:t>
      </w:r>
      <w:r>
        <w:rPr>
          <w:spacing w:val="-12"/>
        </w:rPr>
        <w:t> </w:t>
      </w:r>
      <w:r>
        <w:rPr/>
        <w:t>con-</w:t>
      </w:r>
      <w:r>
        <w:rPr>
          <w:spacing w:val="-2"/>
        </w:rPr>
        <w:t>struct:</w:t>
      </w:r>
      <w:r>
        <w:rPr>
          <w:spacing w:val="23"/>
        </w:rPr>
        <w:t> </w:t>
      </w:r>
      <w:r>
        <w:rPr>
          <w:spacing w:val="-2"/>
        </w:rPr>
        <w:t>latest-allowance</w:t>
      </w:r>
      <w:r>
        <w:rPr>
          <w:spacing w:val="-11"/>
        </w:rPr>
        <w:t> </w:t>
      </w:r>
      <w:r>
        <w:rPr>
          <w:spacing w:val="-2"/>
        </w:rPr>
        <w:t>centrality</w:t>
      </w:r>
      <w:r>
        <w:rPr>
          <w:spacing w:val="-11"/>
        </w:rPr>
        <w:t> </w:t>
      </w:r>
      <w:r>
        <w:rPr>
          <w:spacing w:val="-2"/>
        </w:rPr>
        <w:t>aligns</w:t>
      </w:r>
      <w:r>
        <w:rPr>
          <w:spacing w:val="-12"/>
        </w:rPr>
        <w:t> </w:t>
      </w:r>
      <w:r>
        <w:rPr>
          <w:spacing w:val="-2"/>
        </w:rPr>
        <w:t>with</w:t>
      </w:r>
      <w:r>
        <w:rPr>
          <w:spacing w:val="-11"/>
        </w:rPr>
        <w:t> </w:t>
      </w:r>
      <w:r>
        <w:rPr>
          <w:spacing w:val="-2"/>
        </w:rPr>
        <w:t>allowance-based</w:t>
      </w:r>
      <w:r>
        <w:rPr>
          <w:spacing w:val="-11"/>
        </w:rPr>
        <w:t> </w:t>
      </w:r>
      <w:r>
        <w:rPr>
          <w:spacing w:val="-2"/>
        </w:rPr>
        <w:t>proxies,</w:t>
      </w:r>
      <w:r>
        <w:rPr>
          <w:spacing w:val="-7"/>
        </w:rPr>
        <w:t> </w:t>
      </w:r>
      <w:r>
        <w:rPr>
          <w:spacing w:val="-2"/>
        </w:rPr>
        <w:t>while</w:t>
      </w:r>
      <w:r>
        <w:rPr>
          <w:spacing w:val="-12"/>
        </w:rPr>
        <w:t> </w:t>
      </w:r>
      <w:r>
        <w:rPr>
          <w:spacing w:val="-2"/>
        </w:rPr>
        <w:t>transfer-graph</w:t>
      </w:r>
      <w:r>
        <w:rPr>
          <w:spacing w:val="-11"/>
        </w:rPr>
        <w:t> </w:t>
      </w:r>
      <w:r>
        <w:rPr>
          <w:spacing w:val="-2"/>
        </w:rPr>
        <w:t>PageR-</w:t>
      </w:r>
    </w:p>
    <w:p>
      <w:pPr>
        <w:pStyle w:val="BodyText"/>
        <w:spacing w:line="333" w:lineRule="auto" w:before="12"/>
        <w:ind w:left="282" w:right="523"/>
        <w:jc w:val="both"/>
      </w:pPr>
      <w:r>
        <w:rPr>
          <w:i/>
        </w:rPr>
        <w:t>수당군에서 EndorseRank는 평균 Kendall τ = 0.355를 달성하는 반면, AWP는 0에 가깝습니다(-0.030). 이 패턴은 EndorseRank가 의도한 구성을 측정한다는 가장 강력한 증거입니다. 최신 허용 중심성은 허용 기반 프록시와 일치하는 반면 전송 그래프 PageR-</w:t>
      </w:r>
    </w:p>
    <w:p>
      <w:pPr>
        <w:pStyle w:val="BodyText"/>
        <w:spacing w:before="71"/>
        <w:ind w:left="282"/>
        <w:jc w:val="both"/>
      </w:pPr>
      <w:r>
        <w:rPr/>
        <w:t>ank</w:t>
      </w:r>
      <w:r>
        <w:rPr>
          <w:spacing w:val="-12"/>
        </w:rPr>
        <w:t> </w:t>
      </w:r>
      <w:r>
        <w:rPr/>
        <w:t>does</w:t>
      </w:r>
      <w:r>
        <w:rPr>
          <w:spacing w:val="-12"/>
        </w:rPr>
        <w:t> </w:t>
      </w:r>
      <w:r>
        <w:rPr/>
        <w:t>not.</w:t>
      </w:r>
      <w:r>
        <w:rPr>
          <w:spacing w:val="9"/>
        </w:rPr>
        <w:t> </w:t>
      </w:r>
      <w:r>
        <w:rPr/>
        <w:t>In</w:t>
      </w:r>
      <w:r>
        <w:rPr>
          <w:spacing w:val="-11"/>
        </w:rPr>
        <w:t> </w:t>
      </w:r>
      <w:r>
        <w:rPr/>
        <w:t>measurement</w:t>
      </w:r>
      <w:r>
        <w:rPr>
          <w:spacing w:val="-12"/>
        </w:rPr>
        <w:t> </w:t>
      </w:r>
      <w:r>
        <w:rPr/>
        <w:t>terms,</w:t>
      </w:r>
      <w:r>
        <w:rPr>
          <w:spacing w:val="-11"/>
        </w:rPr>
        <w:t> </w:t>
      </w:r>
      <w:r>
        <w:rPr/>
        <w:t>the</w:t>
      </w:r>
      <w:r>
        <w:rPr>
          <w:spacing w:val="-11"/>
        </w:rPr>
        <w:t> </w:t>
      </w:r>
      <w:r>
        <w:rPr/>
        <w:t>indicator</w:t>
      </w:r>
      <w:r>
        <w:rPr>
          <w:spacing w:val="-12"/>
        </w:rPr>
        <w:t> </w:t>
      </w:r>
      <w:r>
        <w:rPr/>
        <w:t>tracks</w:t>
      </w:r>
      <w:r>
        <w:rPr>
          <w:spacing w:val="-11"/>
        </w:rPr>
        <w:t> </w:t>
      </w:r>
      <w:r>
        <w:rPr/>
        <w:t>the</w:t>
      </w:r>
      <w:r>
        <w:rPr>
          <w:spacing w:val="-12"/>
        </w:rPr>
        <w:t> </w:t>
      </w:r>
      <w:r>
        <w:rPr/>
        <w:t>construct</w:t>
      </w:r>
      <w:r>
        <w:rPr>
          <w:spacing w:val="-12"/>
        </w:rPr>
        <w:t> </w:t>
      </w:r>
      <w:r>
        <w:rPr/>
        <w:t>it</w:t>
      </w:r>
      <w:r>
        <w:rPr>
          <w:spacing w:val="-11"/>
        </w:rPr>
        <w:t> </w:t>
      </w:r>
      <w:r>
        <w:rPr/>
        <w:t>was</w:t>
      </w:r>
      <w:r>
        <w:rPr>
          <w:spacing w:val="-12"/>
        </w:rPr>
        <w:t> </w:t>
      </w:r>
      <w:r>
        <w:rPr/>
        <w:t>designed</w:t>
      </w:r>
      <w:r>
        <w:rPr>
          <w:spacing w:val="-12"/>
        </w:rPr>
        <w:t> </w:t>
      </w:r>
      <w:r>
        <w:rPr/>
        <w:t>to</w:t>
      </w:r>
      <w:r>
        <w:rPr>
          <w:spacing w:val="-11"/>
        </w:rPr>
        <w:t> </w:t>
      </w:r>
      <w:r>
        <w:rPr>
          <w:spacing w:val="-2"/>
        </w:rPr>
        <w:t>represent</w:t>
      </w:r>
    </w:p>
    <w:p>
      <w:pPr>
        <w:pStyle w:val="BodyText"/>
        <w:spacing w:before="71"/>
        <w:ind w:left="282"/>
        <w:jc w:val="both"/>
      </w:pPr>
      <w:r>
        <w:rPr>
          <w:i/>
        </w:rPr>
        <w:t>앙크는 그렇지 않습니다. 측정 측면에서 지표는 표시하도록 설계된 구성을 추적합니다.</w:t>
      </w:r>
    </w:p>
    <w:p>
      <w:pPr>
        <w:spacing w:before="168"/>
        <w:ind w:left="282" w:right="0" w:firstLine="0"/>
        <w:jc w:val="left"/>
        <w:rPr>
          <w:position w:val="-8"/>
          <w:sz w:val="24"/>
        </w:rPr>
      </w:pPr>
      <w:hyperlink w:history="true" w:anchor="_bookmark147">
        <w:r>
          <w:rPr>
            <w:spacing w:val="-2"/>
            <w:sz w:val="16"/>
          </w:rPr>
          <w:t>[14]</w:t>
        </w:r>
      </w:hyperlink>
      <w:r>
        <w:rPr>
          <w:spacing w:val="-2"/>
          <w:position w:val="-8"/>
          <w:sz w:val="24"/>
        </w:rPr>
        <w:t>.</w:t>
      </w:r>
    </w:p>
    <w:p>
      <w:pPr>
        <w:pStyle w:val="BodyText"/>
        <w:spacing w:before="3"/>
        <w:rPr>
          <w:sz w:val="16"/>
        </w:rPr>
      </w:pPr>
    </w:p>
    <w:p>
      <w:pPr>
        <w:pStyle w:val="BodyText"/>
        <w:spacing w:line="381" w:lineRule="auto"/>
        <w:ind w:left="282" w:right="524"/>
        <w:jc w:val="both"/>
      </w:pPr>
      <w:r>
        <w:rPr/>
        <w:t>On</w:t>
      </w:r>
      <w:r>
        <w:rPr>
          <w:spacing w:val="13"/>
        </w:rPr>
        <w:t> </w:t>
      </w:r>
      <w:r>
        <w:rPr/>
        <w:t>the</w:t>
      </w:r>
      <w:r>
        <w:rPr>
          <w:spacing w:val="13"/>
        </w:rPr>
        <w:t> </w:t>
      </w:r>
      <w:r>
        <w:rPr>
          <w:b/>
        </w:rPr>
        <w:t>transfer</w:t>
      </w:r>
      <w:r>
        <w:rPr>
          <w:b/>
          <w:spacing w:val="13"/>
        </w:rPr>
        <w:t> </w:t>
      </w:r>
      <w:r>
        <w:rPr/>
        <w:t>family,</w:t>
      </w:r>
      <w:r>
        <w:rPr>
          <w:spacing w:val="17"/>
        </w:rPr>
        <w:t> </w:t>
      </w:r>
      <w:r>
        <w:rPr/>
        <w:t>AWP</w:t>
      </w:r>
      <w:r>
        <w:rPr>
          <w:spacing w:val="13"/>
        </w:rPr>
        <w:t> </w:t>
      </w:r>
      <w:r>
        <w:rPr/>
        <w:t>achieves</w:t>
      </w:r>
      <w:r>
        <w:rPr>
          <w:spacing w:val="14"/>
        </w:rPr>
        <w:t>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30"/>
          <w:w w:val="125"/>
        </w:rPr>
        <w:t> </w:t>
      </w:r>
      <w:r>
        <w:rPr>
          <w:rFonts w:ascii="Calibri" w:hAnsi="Calibri"/>
        </w:rPr>
        <w:t>0</w:t>
      </w:r>
      <w:r>
        <w:rPr>
          <w:rFonts w:ascii="Calibri" w:hAnsi="Calibri"/>
          <w:i/>
        </w:rPr>
        <w:t>.</w:t>
      </w:r>
      <w:r>
        <w:rPr>
          <w:rFonts w:ascii="Calibri" w:hAnsi="Calibri"/>
        </w:rPr>
        <w:t>534</w:t>
      </w:r>
      <w:r>
        <w:rPr>
          <w:rFonts w:ascii="Calibri" w:hAnsi="Calibri"/>
          <w:spacing w:val="19"/>
        </w:rPr>
        <w:t> </w:t>
      </w:r>
      <w:r>
        <w:rPr/>
        <w:t>and</w:t>
      </w:r>
      <w:r>
        <w:rPr>
          <w:spacing w:val="13"/>
        </w:rPr>
        <w:t> </w:t>
      </w:r>
      <w:r>
        <w:rPr/>
        <w:t>EndorseRank</w:t>
      </w:r>
      <w:r>
        <w:rPr>
          <w:spacing w:val="13"/>
        </w:rPr>
        <w:t> </w:t>
      </w:r>
      <w:r>
        <w:rPr/>
        <w:t>a</w:t>
      </w:r>
      <w:r>
        <w:rPr>
          <w:spacing w:val="13"/>
        </w:rPr>
        <w:t> </w:t>
      </w:r>
      <w:r>
        <w:rPr/>
        <w:t>moderate</w:t>
      </w:r>
      <w:r>
        <w:rPr>
          <w:spacing w:val="13"/>
        </w:rPr>
        <w:t> </w:t>
      </w:r>
      <w:r>
        <w:rPr/>
        <w:t>secondary-axis </w:t>
      </w:r>
      <w:r>
        <w:rPr>
          <w:rFonts w:ascii="Calibri" w:hAnsi="Calibri"/>
          <w:i/>
        </w:rPr>
        <w:t>τ</w:t>
      </w:r>
      <w:r>
        <w:rPr>
          <w:rFonts w:ascii="Calibri" w:hAnsi="Calibri"/>
          <w:i/>
          <w:spacing w:val="40"/>
          <w:w w:val="125"/>
        </w:rPr>
        <w:t> </w:t>
      </w:r>
      <w:r>
        <w:rPr>
          <w:rFonts w:ascii="Calibri" w:hAnsi="Calibri"/>
          <w:w w:val="125"/>
        </w:rPr>
        <w:t>=</w:t>
      </w:r>
      <w:r>
        <w:rPr>
          <w:rFonts w:ascii="Calibri" w:hAnsi="Calibri"/>
          <w:spacing w:val="36"/>
          <w:w w:val="125"/>
        </w:rPr>
        <w:t> </w:t>
      </w:r>
      <w:r>
        <w:rPr>
          <w:rFonts w:ascii="Calibri" w:hAnsi="Calibri"/>
        </w:rPr>
        <w:t>0</w:t>
      </w:r>
      <w:r>
        <w:rPr>
          <w:rFonts w:ascii="Calibri" w:hAnsi="Calibri"/>
          <w:i/>
        </w:rPr>
        <w:t>.</w:t>
      </w:r>
      <w:r>
        <w:rPr>
          <w:rFonts w:ascii="Calibri" w:hAnsi="Calibri"/>
        </w:rPr>
        <w:t>333</w:t>
      </w:r>
      <w:r>
        <w:rPr/>
        <w:t>.</w:t>
      </w:r>
      <w:r>
        <w:rPr>
          <w:spacing w:val="40"/>
        </w:rPr>
        <w:t> </w:t>
      </w:r>
      <w:r>
        <w:rPr/>
        <w:t>AWP’s advantage is expected because transfer proxies (in-degree and in-value) are the validation frame of Do et al.</w:t>
      </w:r>
      <w:hyperlink w:history="true" w:anchor="_bookmark149">
        <w:r>
          <w:rPr>
            <w:vertAlign w:val="superscript"/>
          </w:rPr>
          <w:t>[16]</w:t>
        </w:r>
      </w:hyperlink>
      <w:r>
        <w:rPr>
          <w:vertAlign w:val="baseline"/>
        </w:rPr>
        <w:t> and share input semantics with </w:t>
      </w:r>
      <w:r>
        <w:rPr>
          <w:rFonts w:ascii="Calibri" w:hAnsi="Calibri"/>
          <w:i/>
          <w:vertAlign w:val="baseline"/>
        </w:rPr>
        <w:t>G</w:t>
      </w:r>
      <w:r>
        <w:rPr>
          <w:vertAlign w:val="subscript"/>
        </w:rPr>
        <w:t>transfer</w:t>
      </w:r>
      <w:r>
        <w:rPr>
          <w:vertAlign w:val="baseline"/>
        </w:rPr>
        <w:t>.</w:t>
      </w:r>
      <w:r>
        <w:rPr>
          <w:spacing w:val="40"/>
          <w:vertAlign w:val="baseline"/>
        </w:rPr>
        <w:t> </w:t>
      </w:r>
      <w:r>
        <w:rPr>
          <w:vertAlign w:val="baseline"/>
        </w:rPr>
        <w:t>EndorseRank’s mod-erate transfer alignment indicates partial overlap—wallets active in approvals often participate in transfers—but not equivalence.</w:t>
      </w:r>
    </w:p>
    <w:p>
      <w:pPr>
        <w:pStyle w:val="BodyText"/>
        <w:spacing w:line="381" w:lineRule="auto"/>
        <w:ind w:left="282" w:right="524"/>
        <w:jc w:val="both"/>
      </w:pPr>
      <w:r>
        <w:rPr>
          <w:i/>
        </w:rPr>
        <w:t>전이 패밀리에서 AWP는 τ = 0.534를 달성하고 EndorseRank는 적당한 보조 축 τ = 0.333을 달성합니다. AWP의 장점은 전송 프록시(in-degree 및 in-value)가 Do 등의 검증 프레임이기 때문에 예상됩니다.[16] Gtransfer와 입력 의미를 공유합니다. EndorseRank의 중간 전송 정렬은 부분적인 중복을 나타냅니다. 승인 중인 지갑은 종종 전송에 참여하지만 동등하지는 않습니다.</w:t>
      </w:r>
    </w:p>
    <w:p>
      <w:pPr>
        <w:pStyle w:val="BodyText"/>
        <w:spacing w:after="0" w:line="381" w:lineRule="auto"/>
        <w:jc w:val="both"/>
        <w:sectPr>
          <w:pgSz w:w="11910" w:h="16840"/>
          <w:pgMar w:header="0" w:footer="2115" w:top="1840" w:bottom="2300" w:left="992" w:right="708"/>
        </w:sectPr>
      </w:pPr>
    </w:p>
    <w:p>
      <w:pPr>
        <w:pStyle w:val="BodyText"/>
        <w:spacing w:line="384" w:lineRule="auto" w:before="72"/>
        <w:ind w:left="282" w:right="558"/>
        <w:jc w:val="both"/>
        <w:rPr>
          <w:rFonts w:ascii="Calibri" w:hAnsi="Calibri"/>
        </w:rPr>
      </w:pPr>
      <w:r>
        <w:rPr/>
        <w:t>On</w:t>
      </w:r>
      <w:r>
        <w:rPr>
          <w:spacing w:val="-7"/>
        </w:rPr>
        <w:t> </w:t>
      </w:r>
      <w:r>
        <w:rPr>
          <w:b/>
        </w:rPr>
        <w:t>trading-success</w:t>
      </w:r>
      <w:r>
        <w:rPr>
          <w:b/>
          <w:spacing w:val="-6"/>
        </w:rPr>
        <w:t> </w:t>
      </w:r>
      <w:r>
        <w:rPr/>
        <w:t>proxies</w:t>
      </w:r>
      <w:r>
        <w:rPr>
          <w:spacing w:val="-7"/>
        </w:rPr>
        <w:t> </w:t>
      </w:r>
      <w:r>
        <w:rPr/>
        <w:t>derived</w:t>
      </w:r>
      <w:r>
        <w:rPr>
          <w:spacing w:val="-7"/>
        </w:rPr>
        <w:t> </w:t>
      </w:r>
      <w:r>
        <w:rPr/>
        <w:t>from</w:t>
      </w:r>
      <w:r>
        <w:rPr>
          <w:spacing w:val="-7"/>
        </w:rPr>
        <w:t> </w:t>
      </w:r>
      <w:r>
        <w:rPr/>
        <w:t>GMX</w:t>
      </w:r>
      <w:r>
        <w:rPr>
          <w:spacing w:val="-7"/>
        </w:rPr>
        <w:t> </w:t>
      </w:r>
      <w:r>
        <w:rPr/>
        <w:t>V2</w:t>
      </w:r>
      <w:r>
        <w:rPr>
          <w:spacing w:val="-7"/>
        </w:rPr>
        <w:t> </w:t>
      </w:r>
      <w:r>
        <w:rPr/>
        <w:t>perpetual</w:t>
      </w:r>
      <w:r>
        <w:rPr>
          <w:spacing w:val="-7"/>
        </w:rPr>
        <w:t> </w:t>
      </w:r>
      <w:r>
        <w:rPr/>
        <w:t>closes,</w:t>
      </w:r>
      <w:r>
        <w:rPr>
          <w:spacing w:val="-7"/>
        </w:rPr>
        <w:t> </w:t>
      </w:r>
      <w:r>
        <w:rPr/>
        <w:t>AWP</w:t>
      </w:r>
      <w:r>
        <w:rPr>
          <w:spacing w:val="-7"/>
        </w:rPr>
        <w:t> </w:t>
      </w:r>
      <w:r>
        <w:rPr/>
        <w:t>exceeds</w:t>
      </w:r>
      <w:r>
        <w:rPr>
          <w:spacing w:val="-7"/>
        </w:rPr>
        <w:t> </w:t>
      </w:r>
      <w:r>
        <w:rPr/>
        <w:t>EndorseRank among social methods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vs. </w:t>
      </w:r>
      <w:r>
        <w:rPr>
          <w:rFonts w:ascii="Calibri" w:hAnsi="Calibri"/>
        </w:rPr>
        <w:t>0</w:t>
      </w:r>
      <w:r>
        <w:rPr>
          <w:rFonts w:ascii="Calibri" w:hAnsi="Calibri"/>
          <w:i/>
        </w:rPr>
        <w:t>.</w:t>
      </w:r>
      <w:r>
        <w:rPr>
          <w:rFonts w:ascii="Calibri" w:hAnsi="Calibri"/>
        </w:rPr>
        <w:t>096</w:t>
      </w:r>
      <w:r>
        <w:rPr/>
        <w:t>).</w:t>
      </w:r>
      <w:r>
        <w:rPr>
          <w:spacing w:val="40"/>
        </w:rPr>
        <w:t> </w:t>
      </w:r>
      <w:r>
        <w:rPr/>
        <w:t>Allowance-based propagation does not align more strongly</w:t>
      </w:r>
      <w:r>
        <w:rPr>
          <w:spacing w:val="-11"/>
        </w:rPr>
        <w:t> </w:t>
      </w:r>
      <w:r>
        <w:rPr/>
        <w:t>with</w:t>
      </w:r>
      <w:r>
        <w:rPr>
          <w:spacing w:val="-10"/>
        </w:rPr>
        <w:t> </w:t>
      </w:r>
      <w:r>
        <w:rPr/>
        <w:t>trading-success</w:t>
      </w:r>
      <w:r>
        <w:rPr>
          <w:spacing w:val="-11"/>
        </w:rPr>
        <w:t> </w:t>
      </w:r>
      <w:r>
        <w:rPr/>
        <w:t>proxies</w:t>
      </w:r>
      <w:r>
        <w:rPr>
          <w:spacing w:val="-10"/>
        </w:rPr>
        <w:t> </w:t>
      </w:r>
      <w:r>
        <w:rPr/>
        <w:t>than</w:t>
      </w:r>
      <w:r>
        <w:rPr>
          <w:spacing w:val="-11"/>
        </w:rPr>
        <w:t> </w:t>
      </w:r>
      <w:r>
        <w:rPr/>
        <w:t>transfer-based</w:t>
      </w:r>
      <w:r>
        <w:rPr>
          <w:spacing w:val="-11"/>
        </w:rPr>
        <w:t> </w:t>
      </w:r>
      <w:r>
        <w:rPr/>
        <w:t>AWP</w:t>
      </w:r>
      <w:r>
        <w:rPr>
          <w:spacing w:val="-11"/>
        </w:rPr>
        <w:t> </w:t>
      </w:r>
      <w:r>
        <w:rPr/>
        <w:t>on</w:t>
      </w:r>
      <w:r>
        <w:rPr>
          <w:spacing w:val="-10"/>
        </w:rPr>
        <w:t> </w:t>
      </w:r>
      <w:r>
        <w:rPr/>
        <w:t>this</w:t>
      </w:r>
      <w:r>
        <w:rPr>
          <w:spacing w:val="-11"/>
        </w:rPr>
        <w:t> </w:t>
      </w:r>
      <w:r>
        <w:rPr/>
        <w:t>cohort.</w:t>
      </w:r>
      <w:r>
        <w:rPr>
          <w:spacing w:val="11"/>
        </w:rPr>
        <w:t> </w:t>
      </w:r>
      <w:r>
        <w:rPr/>
        <w:t>EndorseRank’s</w:t>
      </w:r>
      <w:r>
        <w:rPr>
          <w:spacing w:val="-9"/>
        </w:rPr>
        <w:t> </w:t>
      </w:r>
      <w:r>
        <w:rPr>
          <w:rFonts w:ascii="Calibri" w:hAnsi="Calibri"/>
          <w:i/>
        </w:rPr>
        <w:t>τ</w:t>
      </w:r>
      <w:r>
        <w:rPr>
          <w:rFonts w:ascii="Calibri" w:hAnsi="Calibri"/>
          <w:i/>
          <w:spacing w:val="18"/>
          <w:w w:val="125"/>
        </w:rPr>
        <w:t> </w:t>
      </w:r>
      <w:r>
        <w:rPr>
          <w:rFonts w:ascii="Calibri" w:hAnsi="Calibri"/>
          <w:w w:val="125"/>
        </w:rPr>
        <w:t>=</w:t>
      </w:r>
    </w:p>
    <w:p>
      <w:pPr>
        <w:pStyle w:val="BodyText"/>
        <w:spacing w:line="384" w:lineRule="auto" w:before="72"/>
        <w:ind w:left="282" w:right="558"/>
        <w:jc w:val="both"/>
        <w:rPr>
          <w:rFonts w:ascii="Calibri" w:hAnsi="Calibri"/>
        </w:rPr>
      </w:pPr>
      <w:r>
        <w:rPr>
          <w:i/>
        </w:rPr>
        <w:t>GMX V2 영구 청산에서 파생된 거래 성공 프록시에서 AWP는 소셜 방법 중 EndorseRank를 초과합니다(τ = 0.179 대 0.096). 이 코호트에서 허용량 기반 전파는 전송 기반 AWP보다 거래 성공 프록시와 더 강력하게 일치하지 않습니다. EndorseRank의 τ =</w:t>
      </w:r>
    </w:p>
    <w:p>
      <w:pPr>
        <w:pStyle w:val="BodyText"/>
        <w:spacing w:line="393" w:lineRule="auto"/>
        <w:ind w:left="282" w:right="543"/>
        <w:jc w:val="both"/>
      </w:pPr>
      <w:r>
        <w:rPr>
          <w:rFonts w:ascii="Calibri" w:hAnsi="Calibri"/>
        </w:rPr>
        <w:t>0</w:t>
      </w:r>
      <w:r>
        <w:rPr>
          <w:rFonts w:ascii="Calibri" w:hAnsi="Calibri"/>
          <w:i/>
        </w:rPr>
        <w:t>.</w:t>
      </w:r>
      <w:r>
        <w:rPr>
          <w:rFonts w:ascii="Calibri" w:hAnsi="Calibri"/>
        </w:rPr>
        <w:t>096 </w:t>
      </w:r>
      <w:r>
        <w:rPr/>
        <w:t>falls in the negligible-noise band and AWP’s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in the weak-to-moderate band; overall, social-method trading-success alignment remains weak, and neither method approaches the outcome-native GF-PR ceiling discussed under SRQ1.</w:t>
      </w:r>
      <w:r>
        <w:rPr>
          <w:spacing w:val="40"/>
        </w:rPr>
        <w:t> </w:t>
      </w:r>
      <w:r>
        <w:rPr/>
        <w:t>On </w:t>
      </w:r>
      <w:r>
        <w:rPr>
          <w:b/>
        </w:rPr>
        <w:t>inverse-risk </w:t>
      </w:r>
      <w:r>
        <w:rPr/>
        <w:t>and </w:t>
      </w:r>
      <w:r>
        <w:rPr>
          <w:b/>
        </w:rPr>
        <w:t>Sybil-adjusted stability </w:t>
      </w:r>
      <w:r>
        <w:rPr/>
        <w:t>families, AWP likewise leads among social methods, consistent with transfer activity </w:t>
      </w:r>
      <w:r>
        <w:rPr>
          <w:spacing w:val="-2"/>
        </w:rPr>
        <w:t>capturing</w:t>
      </w:r>
      <w:r>
        <w:rPr>
          <w:spacing w:val="-5"/>
        </w:rPr>
        <w:t> </w:t>
      </w:r>
      <w:r>
        <w:rPr>
          <w:spacing w:val="-2"/>
        </w:rPr>
        <w:t>more</w:t>
      </w:r>
      <w:r>
        <w:rPr>
          <w:spacing w:val="-5"/>
        </w:rPr>
        <w:t> </w:t>
      </w:r>
      <w:r>
        <w:rPr>
          <w:spacing w:val="-2"/>
        </w:rPr>
        <w:t>of</w:t>
      </w:r>
      <w:r>
        <w:rPr>
          <w:spacing w:val="-5"/>
        </w:rPr>
        <w:t> </w:t>
      </w:r>
      <w:r>
        <w:rPr>
          <w:spacing w:val="-2"/>
        </w:rPr>
        <w:t>the</w:t>
      </w:r>
      <w:r>
        <w:rPr>
          <w:spacing w:val="-5"/>
        </w:rPr>
        <w:t> </w:t>
      </w:r>
      <w:r>
        <w:rPr>
          <w:spacing w:val="-2"/>
        </w:rPr>
        <w:t>variance</w:t>
      </w:r>
      <w:r>
        <w:rPr>
          <w:spacing w:val="-4"/>
        </w:rPr>
        <w:t> </w:t>
      </w:r>
      <w:r>
        <w:rPr>
          <w:spacing w:val="-2"/>
        </w:rPr>
        <w:t>in</w:t>
      </w:r>
      <w:r>
        <w:rPr>
          <w:spacing w:val="-5"/>
        </w:rPr>
        <w:t> </w:t>
      </w:r>
      <w:r>
        <w:rPr>
          <w:spacing w:val="-2"/>
        </w:rPr>
        <w:t>leveraged</w:t>
      </w:r>
      <w:r>
        <w:rPr>
          <w:spacing w:val="-5"/>
        </w:rPr>
        <w:t> </w:t>
      </w:r>
      <w:r>
        <w:rPr>
          <w:spacing w:val="-2"/>
        </w:rPr>
        <w:t>outcomes</w:t>
      </w:r>
      <w:r>
        <w:rPr>
          <w:spacing w:val="-5"/>
        </w:rPr>
        <w:t> </w:t>
      </w:r>
      <w:r>
        <w:rPr>
          <w:spacing w:val="-2"/>
        </w:rPr>
        <w:t>and</w:t>
      </w:r>
      <w:r>
        <w:rPr>
          <w:spacing w:val="-5"/>
        </w:rPr>
        <w:t> </w:t>
      </w:r>
      <w:r>
        <w:rPr>
          <w:spacing w:val="-2"/>
        </w:rPr>
        <w:t>activity-adjusted</w:t>
      </w:r>
      <w:r>
        <w:rPr>
          <w:spacing w:val="-4"/>
        </w:rPr>
        <w:t> </w:t>
      </w:r>
      <w:r>
        <w:rPr>
          <w:spacing w:val="-2"/>
        </w:rPr>
        <w:t>stability</w:t>
      </w:r>
      <w:r>
        <w:rPr>
          <w:spacing w:val="-5"/>
        </w:rPr>
        <w:t> </w:t>
      </w:r>
      <w:r>
        <w:rPr>
          <w:spacing w:val="-2"/>
        </w:rPr>
        <w:t>than</w:t>
      </w:r>
      <w:r>
        <w:rPr>
          <w:spacing w:val="-5"/>
        </w:rPr>
        <w:t> </w:t>
      </w:r>
      <w:r>
        <w:rPr>
          <w:spacing w:val="-2"/>
        </w:rPr>
        <w:t>allowance </w:t>
      </w:r>
      <w:r>
        <w:rPr/>
        <w:t>snapshots alone.</w:t>
      </w:r>
    </w:p>
    <w:p>
      <w:pPr>
        <w:pStyle w:val="BodyText"/>
        <w:spacing w:line="393" w:lineRule="auto"/>
        <w:ind w:left="282" w:right="543"/>
        <w:jc w:val="both"/>
      </w:pPr>
      <w:r>
        <w:rPr>
          <w:i/>
        </w:rPr>
        <w:t>0.096은 무시할 수 있는 노이즈 대역에 속하고 AWP의 τ = 0.179는 약한-보통 대역에 속합니다. 전반적으로 사회적 방법 거래 성공 정렬은 여전히 ​​약하며 두 방법 모두 SRQ1에서 논의된 결과 기반 GF-PR 상한선에 접근하지 않습니다. 역위험 및 Sybil 조정 안정성 계열에서 AWP는 마찬가지로 사회적 방법 중에서 선두에 있으며, 이는 허용량 스냅샷만 사용할 때보다 레버리지 결과 및 활동 조정 안정성의 차이를 더 많이 포착하는 이전 활동과 일치합니다.</w:t>
      </w:r>
    </w:p>
    <w:p>
      <w:pPr>
        <w:pStyle w:val="BodyText"/>
        <w:spacing w:line="396" w:lineRule="auto"/>
        <w:ind w:left="282" w:right="563"/>
        <w:jc w:val="both"/>
      </w:pPr>
      <w:r>
        <w:rPr/>
        <w:t>H2 is supported in its construct-specific form:</w:t>
      </w:r>
      <w:r>
        <w:rPr>
          <w:spacing w:val="40"/>
        </w:rPr>
        <w:t> </w:t>
      </w:r>
      <w:r>
        <w:rPr/>
        <w:t>EndorseRank wins on allowance; AWP wins on transfer</w:t>
      </w:r>
      <w:r>
        <w:rPr>
          <w:spacing w:val="-10"/>
        </w:rPr>
        <w:t> </w:t>
      </w:r>
      <w:r>
        <w:rPr/>
        <w:t>and</w:t>
      </w:r>
      <w:r>
        <w:rPr>
          <w:spacing w:val="-10"/>
        </w:rPr>
        <w:t> </w:t>
      </w:r>
      <w:r>
        <w:rPr/>
        <w:t>most</w:t>
      </w:r>
      <w:r>
        <w:rPr>
          <w:spacing w:val="-9"/>
        </w:rPr>
        <w:t> </w:t>
      </w:r>
      <w:r>
        <w:rPr/>
        <w:t>social-outcome</w:t>
      </w:r>
      <w:r>
        <w:rPr>
          <w:spacing w:val="-10"/>
        </w:rPr>
        <w:t> </w:t>
      </w:r>
      <w:r>
        <w:rPr/>
        <w:t>families.</w:t>
      </w:r>
      <w:r>
        <w:rPr>
          <w:spacing w:val="11"/>
        </w:rPr>
        <w:t> </w:t>
      </w:r>
      <w:r>
        <w:rPr/>
        <w:t>The</w:t>
      </w:r>
      <w:r>
        <w:rPr>
          <w:spacing w:val="-10"/>
        </w:rPr>
        <w:t> </w:t>
      </w:r>
      <w:r>
        <w:rPr/>
        <w:t>result</w:t>
      </w:r>
      <w:r>
        <w:rPr>
          <w:spacing w:val="-9"/>
        </w:rPr>
        <w:t> </w:t>
      </w:r>
      <w:r>
        <w:rPr/>
        <w:t>argues</w:t>
      </w:r>
      <w:r>
        <w:rPr>
          <w:spacing w:val="-10"/>
        </w:rPr>
        <w:t> </w:t>
      </w:r>
      <w:r>
        <w:rPr/>
        <w:t>against</w:t>
      </w:r>
      <w:r>
        <w:rPr>
          <w:spacing w:val="-9"/>
        </w:rPr>
        <w:t> </w:t>
      </w:r>
      <w:r>
        <w:rPr/>
        <w:t>treating</w:t>
      </w:r>
      <w:r>
        <w:rPr>
          <w:spacing w:val="-10"/>
        </w:rPr>
        <w:t> </w:t>
      </w:r>
      <w:r>
        <w:rPr/>
        <w:t>reputation</w:t>
      </w:r>
      <w:r>
        <w:rPr>
          <w:spacing w:val="-10"/>
        </w:rPr>
        <w:t> </w:t>
      </w:r>
      <w:r>
        <w:rPr/>
        <w:t>as</w:t>
      </w:r>
      <w:r>
        <w:rPr>
          <w:spacing w:val="-10"/>
        </w:rPr>
        <w:t> </w:t>
      </w:r>
      <w:r>
        <w:rPr/>
        <w:t>a</w:t>
      </w:r>
      <w:r>
        <w:rPr>
          <w:spacing w:val="-10"/>
        </w:rPr>
        <w:t> </w:t>
      </w:r>
      <w:r>
        <w:rPr/>
        <w:t>single latent</w:t>
      </w:r>
      <w:r>
        <w:rPr>
          <w:spacing w:val="-15"/>
        </w:rPr>
        <w:t> </w:t>
      </w:r>
      <w:r>
        <w:rPr/>
        <w:t>trait</w:t>
      </w:r>
      <w:r>
        <w:rPr>
          <w:spacing w:val="-15"/>
        </w:rPr>
        <w:t> </w:t>
      </w:r>
      <w:r>
        <w:rPr/>
        <w:t>measured</w:t>
      </w:r>
      <w:r>
        <w:rPr>
          <w:spacing w:val="-15"/>
        </w:rPr>
        <w:t> </w:t>
      </w:r>
      <w:r>
        <w:rPr/>
        <w:t>equally</w:t>
      </w:r>
      <w:r>
        <w:rPr>
          <w:spacing w:val="-15"/>
        </w:rPr>
        <w:t> </w:t>
      </w:r>
      <w:r>
        <w:rPr/>
        <w:t>well</w:t>
      </w:r>
      <w:r>
        <w:rPr>
          <w:spacing w:val="-15"/>
        </w:rPr>
        <w:t> </w:t>
      </w:r>
      <w:r>
        <w:rPr/>
        <w:t>by</w:t>
      </w:r>
      <w:r>
        <w:rPr>
          <w:spacing w:val="-15"/>
        </w:rPr>
        <w:t> </w:t>
      </w:r>
      <w:r>
        <w:rPr/>
        <w:t>any</w:t>
      </w:r>
      <w:r>
        <w:rPr>
          <w:spacing w:val="-15"/>
        </w:rPr>
        <w:t> </w:t>
      </w:r>
      <w:r>
        <w:rPr/>
        <w:t>graph.</w:t>
      </w:r>
      <w:r>
        <w:rPr>
          <w:spacing w:val="6"/>
        </w:rPr>
        <w:t> </w:t>
      </w:r>
      <w:r>
        <w:rPr/>
        <w:t>Instead,</w:t>
      </w:r>
      <w:r>
        <w:rPr>
          <w:spacing w:val="-13"/>
        </w:rPr>
        <w:t> </w:t>
      </w:r>
      <w:r>
        <w:rPr/>
        <w:t>graph</w:t>
      </w:r>
      <w:r>
        <w:rPr>
          <w:spacing w:val="-15"/>
        </w:rPr>
        <w:t> </w:t>
      </w:r>
      <w:r>
        <w:rPr/>
        <w:t>semantics</w:t>
      </w:r>
      <w:r>
        <w:rPr>
          <w:spacing w:val="-15"/>
        </w:rPr>
        <w:t> </w:t>
      </w:r>
      <w:r>
        <w:rPr/>
        <w:t>determine</w:t>
      </w:r>
      <w:r>
        <w:rPr>
          <w:spacing w:val="-15"/>
        </w:rPr>
        <w:t> </w:t>
      </w:r>
      <w:r>
        <w:rPr/>
        <w:t>which</w:t>
      </w:r>
      <w:r>
        <w:rPr>
          <w:spacing w:val="-15"/>
        </w:rPr>
        <w:t> </w:t>
      </w:r>
      <w:r>
        <w:rPr/>
        <w:t>external </w:t>
      </w:r>
      <w:bookmarkStart w:name="RQ3: Computational efficiency" w:id="209"/>
      <w:bookmarkEnd w:id="209"/>
      <w:r>
        <w:rPr/>
        <w:t>proxie</w:t>
      </w:r>
      <w:r>
        <w:rPr/>
        <w:t>s a score can credibly track.</w:t>
      </w:r>
    </w:p>
    <w:p>
      <w:pPr>
        <w:pStyle w:val="BodyText"/>
        <w:spacing w:line="396" w:lineRule="auto"/>
        <w:ind w:left="282" w:right="563"/>
        <w:jc w:val="both"/>
      </w:pPr>
      <w:r>
        <w:rPr>
          <w:i/>
        </w:rPr>
        <w:t>H2는 구성별 형태로 지원됩니다: EndorseRank 수당 승리, AWP 전근 및 대부분의 사회적 성과 가족 승리. 그 결과는 평판을 어떤 그래프로든 동일하게 측정되는 단일 잠재 특성으로 취급하는 것에 반대합니다. 대신, 그래프 의미론은 점수가 신뢰할 수 있게 추적할 수 있는 외부 프록시를 결정합니다.</w:t>
      </w:r>
    </w:p>
    <w:p>
      <w:pPr>
        <w:pStyle w:val="BodyText"/>
        <w:spacing w:before="9"/>
      </w:pPr>
    </w:p>
    <w:p>
      <w:pPr>
        <w:pStyle w:val="Heading4"/>
        <w:numPr>
          <w:ilvl w:val="2"/>
          <w:numId w:val="8"/>
        </w:numPr>
        <w:tabs>
          <w:tab w:pos="879" w:val="left" w:leader="none"/>
        </w:tabs>
        <w:spacing w:line="240" w:lineRule="auto" w:before="0" w:after="0"/>
        <w:ind w:left="879" w:right="0" w:hanging="597"/>
        <w:jc w:val="both"/>
      </w:pPr>
      <w:r>
        <w:rPr/>
        <w:t>RQ3:</w:t>
      </w:r>
      <w:r>
        <w:rPr>
          <w:spacing w:val="6"/>
        </w:rPr>
        <w:t> </w:t>
      </w:r>
      <w:r>
        <w:rPr/>
        <w:t>Computational</w:t>
      </w:r>
      <w:r>
        <w:rPr>
          <w:spacing w:val="-10"/>
        </w:rPr>
        <w:t> </w:t>
      </w:r>
      <w:r>
        <w:rPr>
          <w:spacing w:val="-2"/>
        </w:rPr>
        <w:t>efficiency</w:t>
      </w:r>
    </w:p>
    <w:p>
      <w:pPr>
        <w:pStyle w:val="Heading4"/>
        <w:numPr>
          <w:ilvl w:val="2"/>
          <w:numId w:val="8"/>
        </w:numPr>
        <w:tabs>
          <w:tab w:pos="879" w:val="left" w:leader="none"/>
        </w:tabs>
        <w:spacing w:line="240" w:lineRule="auto" w:before="0" w:after="0"/>
        <w:ind w:left="879" w:right="0" w:hanging="597"/>
        <w:jc w:val="both"/>
      </w:pPr>
      <w:r>
        <w:rPr>
          <w:i/>
        </w:rPr>
        <w:t>RQ3: 계산 효율성</w:t>
      </w:r>
    </w:p>
    <w:p>
      <w:pPr>
        <w:pStyle w:val="BodyText"/>
        <w:spacing w:line="456" w:lineRule="exact" w:before="182"/>
        <w:ind w:left="270" w:right="522" w:firstLine="11"/>
        <w:jc w:val="both"/>
      </w:pPr>
      <w:r>
        <w:rPr/>
        <w:t>RQ3</w:t>
      </w:r>
      <w:r>
        <w:rPr>
          <w:spacing w:val="-12"/>
        </w:rPr>
        <w:t> </w:t>
      </w:r>
      <w:r>
        <w:rPr/>
        <w:t>asks</w:t>
      </w:r>
      <w:r>
        <w:rPr>
          <w:spacing w:val="-12"/>
        </w:rPr>
        <w:t> </w:t>
      </w:r>
      <w:r>
        <w:rPr/>
        <w:t>whether</w:t>
      </w:r>
      <w:r>
        <w:rPr>
          <w:spacing w:val="-12"/>
        </w:rPr>
        <w:t> </w:t>
      </w:r>
      <w:r>
        <w:rPr/>
        <w:t>EndorseRank</w:t>
      </w:r>
      <w:r>
        <w:rPr>
          <w:spacing w:val="-12"/>
        </w:rPr>
        <w:t> </w:t>
      </w:r>
      <w:r>
        <w:rPr/>
        <w:t>is</w:t>
      </w:r>
      <w:r>
        <w:rPr>
          <w:spacing w:val="-12"/>
        </w:rPr>
        <w:t> </w:t>
      </w:r>
      <w:r>
        <w:rPr/>
        <w:t>computationally</w:t>
      </w:r>
      <w:r>
        <w:rPr>
          <w:spacing w:val="-12"/>
        </w:rPr>
        <w:t> </w:t>
      </w:r>
      <w:r>
        <w:rPr/>
        <w:t>more</w:t>
      </w:r>
      <w:r>
        <w:rPr>
          <w:spacing w:val="-12"/>
        </w:rPr>
        <w:t> </w:t>
      </w:r>
      <w:r>
        <w:rPr/>
        <w:t>efficient</w:t>
      </w:r>
      <w:r>
        <w:rPr>
          <w:spacing w:val="-12"/>
        </w:rPr>
        <w:t> </w:t>
      </w:r>
      <w:r>
        <w:rPr/>
        <w:t>than</w:t>
      </w:r>
      <w:r>
        <w:rPr>
          <w:spacing w:val="-12"/>
        </w:rPr>
        <w:t> </w:t>
      </w:r>
      <w:r>
        <w:rPr/>
        <w:t>AWP</w:t>
      </w:r>
      <w:r>
        <w:rPr>
          <w:spacing w:val="-12"/>
        </w:rPr>
        <w:t> </w:t>
      </w:r>
      <w:r>
        <w:rPr/>
        <w:t>on</w:t>
      </w:r>
      <w:r>
        <w:rPr>
          <w:spacing w:val="-12"/>
        </w:rPr>
        <w:t> </w:t>
      </w:r>
      <w:r>
        <w:rPr/>
        <w:t>the</w:t>
      </w:r>
      <w:r>
        <w:rPr>
          <w:spacing w:val="-12"/>
        </w:rPr>
        <w:t> </w:t>
      </w:r>
      <w:r>
        <w:rPr/>
        <w:t>same</w:t>
      </w:r>
      <w:r>
        <w:rPr>
          <w:spacing w:val="-12"/>
        </w:rPr>
        <w:t> </w:t>
      </w:r>
      <w:r>
        <w:rPr/>
        <w:t>matched sample.</w:t>
      </w:r>
      <w:r>
        <w:rPr>
          <w:spacing w:val="40"/>
        </w:rPr>
        <w:t> </w:t>
      </w:r>
      <w:r>
        <w:rPr/>
        <w:t>On the full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 EndorseRank completes PageRank in </w:t>
      </w:r>
      <w:r>
        <w:rPr>
          <w:rFonts w:ascii="Calibri" w:hAnsi="Calibri"/>
        </w:rPr>
        <w:t>2</w:t>
      </w:r>
      <w:r>
        <w:rPr>
          <w:rFonts w:ascii="Calibri" w:hAnsi="Calibri"/>
          <w:i/>
        </w:rPr>
        <w:t>.</w:t>
      </w:r>
      <w:r>
        <w:rPr>
          <w:rFonts w:ascii="Calibri" w:hAnsi="Calibri"/>
        </w:rPr>
        <w:t>105</w:t>
      </w:r>
      <w:r>
        <w:rPr>
          <w:rFonts w:ascii="Calibri" w:hAnsi="Calibri"/>
          <w:spacing w:val="-14"/>
        </w:rPr>
        <w:t> </w:t>
      </w:r>
      <w:r>
        <w:rPr/>
        <w:t>s versus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12"/>
        </w:rPr>
        <w:t> </w:t>
      </w:r>
      <w:r>
        <w:rPr/>
        <w:t>for</w:t>
      </w:r>
      <w:r>
        <w:rPr>
          <w:spacing w:val="-4"/>
        </w:rPr>
        <w:t> </w:t>
      </w:r>
      <w:r>
        <w:rPr/>
        <w:t>AWP—approximately</w:t>
      </w:r>
      <w:r>
        <w:rPr>
          <w:spacing w:val="-4"/>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19"/>
        </w:rPr>
        <w:t> </w:t>
      </w:r>
      <w:r>
        <w:rPr/>
        <w:t>faster—with</w:t>
      </w:r>
      <w:r>
        <w:rPr>
          <w:spacing w:val="-4"/>
        </w:rPr>
        <w:t> </w:t>
      </w:r>
      <w:r>
        <w:rPr/>
        <w:t>a</w:t>
      </w:r>
      <w:r>
        <w:rPr>
          <w:spacing w:val="-4"/>
        </w:rPr>
        <w:t> </w:t>
      </w:r>
      <w:r>
        <w:rPr/>
        <w:t>sparser</w:t>
      </w:r>
      <w:r>
        <w:rPr>
          <w:spacing w:val="-4"/>
        </w:rPr>
        <w:t> </w:t>
      </w:r>
      <w:r>
        <w:rPr/>
        <w:t>graph</w:t>
      </w:r>
      <w:r>
        <w:rPr>
          <w:spacing w:val="-4"/>
        </w:rPr>
        <w:t> </w:t>
      </w:r>
      <w:r>
        <w:rPr/>
        <w:t>(</w:t>
      </w:r>
      <w:r>
        <w:rPr>
          <w:rFonts w:ascii="Calibri" w:hAnsi="Calibri"/>
        </w:rPr>
        <w:t>14</w:t>
      </w:r>
      <w:r>
        <w:rPr>
          <w:rFonts w:ascii="Calibri" w:hAnsi="Calibri"/>
          <w:i/>
        </w:rPr>
        <w:t>,</w:t>
      </w:r>
      <w:r>
        <w:rPr>
          <w:rFonts w:ascii="Calibri" w:hAnsi="Calibri"/>
        </w:rPr>
        <w:t>727 </w:t>
      </w:r>
      <w:r>
        <w:rPr/>
        <w:t>vs.</w:t>
      </w:r>
      <w:r>
        <w:rPr>
          <w:spacing w:val="-4"/>
        </w:rPr>
        <w:t> </w:t>
      </w:r>
      <w:r>
        <w:rPr>
          <w:rFonts w:ascii="Calibri" w:hAnsi="Calibri"/>
        </w:rPr>
        <w:t>137</w:t>
      </w:r>
      <w:r>
        <w:rPr>
          <w:rFonts w:ascii="Calibri" w:hAnsi="Calibri"/>
          <w:i/>
        </w:rPr>
        <w:t>,</w:t>
      </w:r>
      <w:r>
        <w:rPr>
          <w:rFonts w:ascii="Calibri" w:hAnsi="Calibri"/>
        </w:rPr>
        <w:t>087 </w:t>
      </w:r>
      <w:r>
        <w:rPr/>
        <w:t>edges). Both methods converge within tolerance </w:t>
      </w:r>
      <w:r>
        <w:rPr>
          <w:rFonts w:ascii="Calibri" w:hAnsi="Calibri"/>
        </w:rPr>
        <w:t>10</w:t>
      </w:r>
      <w:r>
        <w:rPr>
          <w:rFonts w:ascii="Cambria" w:hAnsi="Cambria"/>
          <w:vertAlign w:val="superscript"/>
        </w:rPr>
        <w:t>−</w:t>
      </w:r>
      <w:r>
        <w:rPr>
          <w:rFonts w:ascii="Calibri" w:hAnsi="Calibri"/>
          <w:vertAlign w:val="superscript"/>
        </w:rPr>
        <w:t>8</w:t>
      </w:r>
      <w:r>
        <w:rPr>
          <w:vertAlign w:val="baseline"/>
        </w:rPr>
        <w:t>; EndorseRank requires fewer iterations on average, consistent with a smaller effective edge set </w:t>
      </w:r>
      <w:hyperlink w:history="true" w:anchor="_bookmark182">
        <w:r>
          <w:rPr>
            <w:vertAlign w:val="superscript"/>
          </w:rPr>
          <w:t>[49]</w:t>
        </w:r>
      </w:hyperlink>
      <w:r>
        <w:rPr>
          <w:vertAlign w:val="baseline"/>
        </w:rPr>
        <w:t>.</w:t>
      </w:r>
    </w:p>
    <w:p>
      <w:pPr>
        <w:pStyle w:val="BodyText"/>
        <w:spacing w:line="456" w:lineRule="exact" w:before="182"/>
        <w:ind w:left="270" w:right="522" w:firstLine="11"/>
        <w:jc w:val="both"/>
      </w:pPr>
      <w:r>
        <w:rPr>
          <w:i/>
        </w:rPr>
        <w:t>RQ3은 동일한 일치 샘플에서 EndorseRank가 AWP보다 계산적으로 더 효율적인지 여부를 묻습니다. 전체 코호트(n = 5,521)에서 EndorseRank는 2.105초 만에 PageRank를 완료하는데 비해 AWP의 경우 18.711초가 소요됩니다. 이는 희박한 그래프(14,727 대 137,087개의 가장자리)로 약 8.9배 더 빠릅니다. 두 방법 모두 공차 10−8 내에서 수렴합니다. EndorseRank는 평균적으로 더 적은 반복을 필요로 하며 더 작은 유효 에지 세트와 일치합니다[49].</w:t>
      </w:r>
    </w:p>
    <w:p>
      <w:pPr>
        <w:pStyle w:val="BodyText"/>
        <w:spacing w:line="307" w:lineRule="auto" w:before="118"/>
        <w:ind w:left="270" w:right="560" w:firstLine="11"/>
        <w:jc w:val="both"/>
      </w:pPr>
      <w:r>
        <w:rPr/>
        <w:t>Scaling on the expanded wallet pool (</w:t>
      </w:r>
      <w:r>
        <w:rPr>
          <w:rFonts w:ascii="Calibri" w:hAnsi="Calibri"/>
          <w:i/>
        </w:rPr>
        <w:t>N</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31</w:t>
      </w:r>
      <w:r>
        <w:rPr>
          <w:rFonts w:ascii="Calibri" w:hAnsi="Calibri"/>
          <w:i/>
        </w:rPr>
        <w:t>,</w:t>
      </w:r>
      <w:r>
        <w:rPr>
          <w:rFonts w:ascii="Calibri" w:hAnsi="Calibri"/>
        </w:rPr>
        <w:t>612</w:t>
      </w:r>
      <w:r>
        <w:rPr/>
        <w:t>) preserves the advantage:</w:t>
      </w:r>
      <w:r>
        <w:rPr>
          <w:spacing w:val="40"/>
        </w:rPr>
        <w:t> </w:t>
      </w:r>
      <w:r>
        <w:rPr>
          <w:rFonts w:ascii="Lucida Sans Unicode" w:hAnsi="Lucida Sans Unicode"/>
        </w:rPr>
        <w:t>≈ </w:t>
      </w:r>
      <w:r>
        <w:rPr>
          <w:rFonts w:ascii="Calibri" w:hAnsi="Calibri"/>
        </w:rPr>
        <w:t>10</w:t>
      </w:r>
      <w:r>
        <w:rPr>
          <w:rFonts w:ascii="Calibri" w:hAnsi="Calibri"/>
          <w:i/>
        </w:rPr>
        <w:t>.</w:t>
      </w:r>
      <w:r>
        <w:rPr>
          <w:rFonts w:ascii="Calibri" w:hAnsi="Calibri"/>
        </w:rPr>
        <w:t>4</w:t>
      </w:r>
      <w:r>
        <w:rPr>
          <w:rFonts w:ascii="Lucida Sans Unicode" w:hAnsi="Lucida Sans Unicode"/>
        </w:rPr>
        <w:t>× </w:t>
      </w:r>
      <w:r>
        <w:rPr/>
        <w:t>at </w:t>
      </w:r>
      <w:r>
        <w:rPr>
          <w:rFonts w:ascii="Calibri" w:hAnsi="Calibri"/>
          <w:i/>
        </w:rPr>
        <w:t>n</w:t>
      </w:r>
      <w:r>
        <w:rPr>
          <w:rFonts w:ascii="Calibri" w:hAnsi="Calibri"/>
          <w:i/>
          <w:w w:val="125"/>
        </w:rPr>
        <w:t> </w:t>
      </w:r>
      <w:r>
        <w:rPr>
          <w:rFonts w:ascii="Calibri" w:hAnsi="Calibri"/>
          <w:w w:val="125"/>
        </w:rPr>
        <w:t>= </w:t>
      </w:r>
      <w:r>
        <w:rPr>
          <w:rFonts w:ascii="Calibri" w:hAnsi="Calibri"/>
        </w:rPr>
        <w:t>10</w:t>
      </w:r>
      <w:r>
        <w:rPr>
          <w:rFonts w:ascii="Calibri" w:hAnsi="Calibri"/>
          <w:i/>
        </w:rPr>
        <w:t>,</w:t>
      </w:r>
      <w:r>
        <w:rPr>
          <w:rFonts w:ascii="Calibri" w:hAnsi="Calibri"/>
        </w:rPr>
        <w:t>000 </w:t>
      </w:r>
      <w:r>
        <w:rPr/>
        <w:t>and </w:t>
      </w:r>
      <w:r>
        <w:rPr>
          <w:rFonts w:ascii="Lucida Sans Unicode" w:hAnsi="Lucida Sans Unicode"/>
        </w:rPr>
        <w:t>≈</w:t>
      </w:r>
      <w:r>
        <w:rPr>
          <w:rFonts w:ascii="Lucida Sans Unicode" w:hAnsi="Lucida Sans Unicode"/>
          <w:spacing w:val="-1"/>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4"/>
        </w:rPr>
        <w:t> </w:t>
      </w:r>
      <w:r>
        <w:rPr/>
        <w:t>at full pool size.</w:t>
      </w:r>
      <w:r>
        <w:rPr>
          <w:spacing w:val="33"/>
        </w:rPr>
        <w:t> </w:t>
      </w:r>
      <w:r>
        <w:rPr/>
        <w:t>Robustness checks on damping and top-token subgraphs do not</w:t>
      </w:r>
      <w:r>
        <w:rPr>
          <w:spacing w:val="-9"/>
        </w:rPr>
        <w:t> </w:t>
      </w:r>
      <w:r>
        <w:rPr/>
        <w:t>alter</w:t>
      </w:r>
      <w:r>
        <w:rPr>
          <w:spacing w:val="-8"/>
        </w:rPr>
        <w:t> </w:t>
      </w:r>
      <w:r>
        <w:rPr/>
        <w:t>the</w:t>
      </w:r>
      <w:r>
        <w:rPr>
          <w:spacing w:val="-8"/>
        </w:rPr>
        <w:t> </w:t>
      </w:r>
      <w:r>
        <w:rPr/>
        <w:t>allowance–transfer</w:t>
      </w:r>
      <w:r>
        <w:rPr>
          <w:spacing w:val="-9"/>
        </w:rPr>
        <w:t> </w:t>
      </w:r>
      <w:r>
        <w:rPr/>
        <w:t>trade-off</w:t>
      </w:r>
      <w:r>
        <w:rPr>
          <w:spacing w:val="-8"/>
        </w:rPr>
        <w:t> </w:t>
      </w:r>
      <w:r>
        <w:rPr/>
        <w:t>pattern:</w:t>
      </w:r>
      <w:r>
        <w:rPr>
          <w:spacing w:val="10"/>
        </w:rPr>
        <w:t> </w:t>
      </w:r>
      <w:r>
        <w:rPr/>
        <w:t>EndorseRank’s</w:t>
      </w:r>
      <w:r>
        <w:rPr>
          <w:spacing w:val="-8"/>
        </w:rPr>
        <w:t> </w:t>
      </w:r>
      <w:r>
        <w:rPr/>
        <w:t>allowance</w:t>
      </w:r>
      <w:r>
        <w:rPr>
          <w:spacing w:val="-9"/>
        </w:rPr>
        <w:t> </w:t>
      </w:r>
      <w:r>
        <w:rPr>
          <w:rFonts w:ascii="Calibri" w:hAnsi="Calibri"/>
          <w:i/>
        </w:rPr>
        <w:t>τ</w:t>
      </w:r>
      <w:r>
        <w:rPr>
          <w:rFonts w:ascii="Calibri" w:hAnsi="Calibri"/>
          <w:i/>
          <w:spacing w:val="20"/>
        </w:rPr>
        <w:t> </w:t>
      </w:r>
      <w:r>
        <w:rPr/>
        <w:t>remains</w:t>
      </w:r>
      <w:r>
        <w:rPr>
          <w:spacing w:val="-9"/>
        </w:rPr>
        <w:t> </w:t>
      </w:r>
      <w:r>
        <w:rPr/>
        <w:t>stable</w:t>
      </w:r>
      <w:r>
        <w:rPr>
          <w:spacing w:val="-8"/>
        </w:rPr>
        <w:t> </w:t>
      </w:r>
      <w:r>
        <w:rPr>
          <w:spacing w:val="-4"/>
        </w:rPr>
        <w:t>near</w:t>
      </w:r>
    </w:p>
    <w:p>
      <w:pPr>
        <w:pStyle w:val="BodyText"/>
        <w:spacing w:line="307" w:lineRule="auto" w:before="118"/>
        <w:ind w:left="270" w:right="560" w:firstLine="11"/>
        <w:jc w:val="both"/>
      </w:pPr>
      <w:r>
        <w:rPr>
          <w:i/>
        </w:rPr>
        <w:t>확장된 지갑 풀(N = 31,612)을 확장하면 이점이 유지됩니다. 즉 n = 10,000에서 10.4×, 전체 풀 크기에서 9.4×입니다. 댐핑 및 상위 토큰 하위 그래프에 대한 견고성 검사는 허용량-이전 트레이드오프 패턴을 변경하지 않습니다. EndorseRank의 허용량 τ는 거의 안정적으로 유지됩니다.</w:t>
      </w:r>
    </w:p>
    <w:p>
      <w:pPr>
        <w:pStyle w:val="BodyText"/>
        <w:spacing w:line="319" w:lineRule="auto" w:before="50"/>
        <w:ind w:left="282" w:right="559"/>
        <w:jc w:val="both"/>
      </w:pPr>
      <w:r>
        <w:rPr>
          <w:rFonts w:ascii="Calibri" w:hAnsi="Calibri"/>
        </w:rPr>
        <w:t>0</w:t>
      </w:r>
      <w:r>
        <w:rPr>
          <w:rFonts w:ascii="Calibri" w:hAnsi="Calibri"/>
          <w:i/>
        </w:rPr>
        <w:t>.</w:t>
      </w:r>
      <w:r>
        <w:rPr>
          <w:rFonts w:ascii="Calibri" w:hAnsi="Calibri"/>
        </w:rPr>
        <w:t>355 </w:t>
      </w:r>
      <w:r>
        <w:rPr/>
        <w:t>across damping </w:t>
      </w:r>
      <w:r>
        <w:rPr>
          <w:rFonts w:ascii="Calibri" w:hAnsi="Calibri"/>
          <w:i/>
        </w:rPr>
        <w:t>d</w:t>
      </w:r>
      <w:r>
        <w:rPr>
          <w:rFonts w:ascii="Calibri" w:hAnsi="Calibri"/>
          <w:i/>
          <w:spacing w:val="30"/>
        </w:rPr>
        <w:t> </w:t>
      </w:r>
      <w:r>
        <w:rPr>
          <w:rFonts w:ascii="Lucida Sans Unicode" w:hAnsi="Lucida Sans Unicode"/>
        </w:rPr>
        <w:t>∈ {</w:t>
      </w:r>
      <w:r>
        <w:rPr>
          <w:rFonts w:ascii="Calibri" w:hAnsi="Calibri"/>
        </w:rPr>
        <w:t>0</w:t>
      </w:r>
      <w:r>
        <w:rPr>
          <w:rFonts w:ascii="Calibri" w:hAnsi="Calibri"/>
          <w:i/>
        </w:rPr>
        <w:t>.</w:t>
      </w:r>
      <w:r>
        <w:rPr>
          <w:rFonts w:ascii="Calibri" w:hAnsi="Calibri"/>
        </w:rPr>
        <w:t>75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85</w:t>
      </w:r>
      <w:r>
        <w:rPr>
          <w:rFonts w:ascii="Calibri" w:hAnsi="Calibri"/>
          <w:i/>
        </w:rPr>
        <w:t>,</w:t>
      </w:r>
      <w:r>
        <w:rPr>
          <w:rFonts w:ascii="Calibri" w:hAnsi="Calibri"/>
          <w:i/>
          <w:spacing w:val="-14"/>
        </w:rPr>
        <w:t> </w:t>
      </w:r>
      <w:r>
        <w:rPr>
          <w:rFonts w:ascii="Calibri" w:hAnsi="Calibri"/>
        </w:rPr>
        <w:t>0</w:t>
      </w:r>
      <w:r>
        <w:rPr>
          <w:rFonts w:ascii="Calibri" w:hAnsi="Calibri"/>
          <w:i/>
        </w:rPr>
        <w:t>.</w:t>
      </w:r>
      <w:r>
        <w:rPr>
          <w:rFonts w:ascii="Calibri" w:hAnsi="Calibri"/>
        </w:rPr>
        <w:t>95</w:t>
      </w:r>
      <w:r>
        <w:rPr>
          <w:rFonts w:ascii="Lucida Sans Unicode" w:hAnsi="Lucida Sans Unicode"/>
        </w:rPr>
        <w:t>}</w:t>
      </w:r>
      <w:r>
        <w:rPr/>
        <w:t>, while transfer-family </w:t>
      </w:r>
      <w:r>
        <w:rPr>
          <w:rFonts w:ascii="Calibri" w:hAnsi="Calibri"/>
          <w:i/>
        </w:rPr>
        <w:t>τ</w:t>
      </w:r>
      <w:r>
        <w:rPr>
          <w:rFonts w:ascii="Calibri" w:hAnsi="Calibri"/>
          <w:i/>
          <w:spacing w:val="38"/>
        </w:rPr>
        <w:t> </w:t>
      </w:r>
      <w:r>
        <w:rPr/>
        <w:t>for both methods varies by at most approximately </w:t>
      </w:r>
      <w:r>
        <w:rPr>
          <w:rFonts w:ascii="Calibri" w:hAnsi="Calibri"/>
        </w:rPr>
        <w:t>0</w:t>
      </w:r>
      <w:r>
        <w:rPr>
          <w:rFonts w:ascii="Calibri" w:hAnsi="Calibri"/>
          <w:i/>
        </w:rPr>
        <w:t>.</w:t>
      </w:r>
      <w:r>
        <w:rPr>
          <w:rFonts w:ascii="Calibri" w:hAnsi="Calibri"/>
        </w:rPr>
        <w:t>005</w:t>
      </w:r>
      <w:r>
        <w:rPr/>
        <w:t>.</w:t>
      </w:r>
    </w:p>
    <w:p>
      <w:pPr>
        <w:pStyle w:val="BodyText"/>
        <w:spacing w:line="319" w:lineRule="auto" w:before="50"/>
        <w:ind w:left="282" w:right="559"/>
        <w:jc w:val="both"/>
      </w:pPr>
      <w:r>
        <w:rPr>
          <w:i/>
        </w:rPr>
        <w:t>감쇠 d ∈ {0.75, 0.85, 0.95}에 걸쳐 0.355인 반면, 두 방법 모두에 대한 전달 계열 τ는 최대 약 0.005만큼 다양합니다.</w:t>
      </w:r>
    </w:p>
    <w:p>
      <w:pPr>
        <w:pStyle w:val="BodyText"/>
        <w:spacing w:line="396" w:lineRule="auto" w:before="86"/>
        <w:ind w:left="282" w:right="524"/>
        <w:jc w:val="both"/>
      </w:pPr>
      <w:r>
        <w:rPr/>
        <w:t>H3</w:t>
      </w:r>
      <w:r>
        <w:rPr>
          <w:spacing w:val="-5"/>
        </w:rPr>
        <w:t> </w:t>
      </w:r>
      <w:r>
        <w:rPr/>
        <w:t>is</w:t>
      </w:r>
      <w:r>
        <w:rPr>
          <w:spacing w:val="-5"/>
        </w:rPr>
        <w:t> </w:t>
      </w:r>
      <w:r>
        <w:rPr/>
        <w:t>supported.</w:t>
      </w:r>
      <w:r>
        <w:rPr>
          <w:spacing w:val="17"/>
        </w:rPr>
        <w:t> </w:t>
      </w:r>
      <w:r>
        <w:rPr/>
        <w:t>The</w:t>
      </w:r>
      <w:r>
        <w:rPr>
          <w:spacing w:val="-5"/>
        </w:rPr>
        <w:t> </w:t>
      </w:r>
      <w:r>
        <w:rPr/>
        <w:t>efficiency</w:t>
      </w:r>
      <w:r>
        <w:rPr>
          <w:spacing w:val="-5"/>
        </w:rPr>
        <w:t> </w:t>
      </w:r>
      <w:r>
        <w:rPr/>
        <w:t>gain</w:t>
      </w:r>
      <w:r>
        <w:rPr>
          <w:spacing w:val="-5"/>
        </w:rPr>
        <w:t> </w:t>
      </w:r>
      <w:r>
        <w:rPr/>
        <w:t>follows</w:t>
      </w:r>
      <w:r>
        <w:rPr>
          <w:spacing w:val="-5"/>
        </w:rPr>
        <w:t> </w:t>
      </w:r>
      <w:r>
        <w:rPr/>
        <w:t>from</w:t>
      </w:r>
      <w:r>
        <w:rPr>
          <w:spacing w:val="-5"/>
        </w:rPr>
        <w:t> </w:t>
      </w:r>
      <w:r>
        <w:rPr/>
        <w:t>latest-allowance</w:t>
      </w:r>
      <w:r>
        <w:rPr>
          <w:spacing w:val="-5"/>
        </w:rPr>
        <w:t> </w:t>
      </w:r>
      <w:r>
        <w:rPr/>
        <w:t>snapshots</w:t>
      </w:r>
      <w:r>
        <w:rPr>
          <w:spacing w:val="-5"/>
        </w:rPr>
        <w:t> </w:t>
      </w:r>
      <w:r>
        <w:rPr/>
        <w:t>instead</w:t>
      </w:r>
      <w:r>
        <w:rPr>
          <w:spacing w:val="-5"/>
        </w:rPr>
        <w:t> </w:t>
      </w:r>
      <w:r>
        <w:rPr/>
        <w:t>of</w:t>
      </w:r>
      <w:r>
        <w:rPr>
          <w:spacing w:val="-5"/>
        </w:rPr>
        <w:t> </w:t>
      </w:r>
      <w:r>
        <w:rPr/>
        <w:t>aggregat-</w:t>
      </w:r>
      <w:r>
        <w:rPr>
          <w:spacing w:val="-2"/>
        </w:rPr>
        <w:t>ing</w:t>
      </w:r>
      <w:r>
        <w:rPr>
          <w:spacing w:val="-13"/>
        </w:rPr>
        <w:t> </w:t>
      </w:r>
      <w:r>
        <w:rPr>
          <w:spacing w:val="-2"/>
        </w:rPr>
        <w:t>full</w:t>
      </w:r>
      <w:r>
        <w:rPr>
          <w:spacing w:val="-12"/>
        </w:rPr>
        <w:t> </w:t>
      </w:r>
      <w:r>
        <w:rPr>
          <w:spacing w:val="-2"/>
        </w:rPr>
        <w:t>transfer</w:t>
      </w:r>
      <w:r>
        <w:rPr>
          <w:spacing w:val="-12"/>
        </w:rPr>
        <w:t> </w:t>
      </w:r>
      <w:r>
        <w:rPr>
          <w:spacing w:val="-2"/>
        </w:rPr>
        <w:t>history</w:t>
      </w:r>
      <w:r>
        <w:rPr>
          <w:spacing w:val="-12"/>
        </w:rPr>
        <w:t> </w:t>
      </w:r>
      <w:r>
        <w:rPr>
          <w:spacing w:val="-2"/>
        </w:rPr>
        <w:t>with</w:t>
      </w:r>
      <w:r>
        <w:rPr>
          <w:spacing w:val="-12"/>
        </w:rPr>
        <w:t> </w:t>
      </w:r>
      <w:r>
        <w:rPr>
          <w:spacing w:val="-2"/>
        </w:rPr>
        <w:t>logistic</w:t>
      </w:r>
      <w:r>
        <w:rPr>
          <w:spacing w:val="-13"/>
        </w:rPr>
        <w:t> </w:t>
      </w:r>
      <w:r>
        <w:rPr>
          <w:spacing w:val="-2"/>
        </w:rPr>
        <w:t>decay</w:t>
      </w:r>
      <w:r>
        <w:rPr>
          <w:spacing w:val="-12"/>
        </w:rPr>
        <w:t> </w:t>
      </w:r>
      <w:hyperlink w:history="true" w:anchor="_bookmark149">
        <w:r>
          <w:rPr>
            <w:spacing w:val="-2"/>
            <w:vertAlign w:val="superscript"/>
          </w:rPr>
          <w:t>[16]</w:t>
        </w:r>
      </w:hyperlink>
      <w:r>
        <w:rPr>
          <w:spacing w:val="-2"/>
          <w:vertAlign w:val="baseline"/>
        </w:rPr>
        <w:t>.</w:t>
      </w:r>
      <w:r>
        <w:rPr>
          <w:spacing w:val="23"/>
          <w:vertAlign w:val="baseline"/>
        </w:rPr>
        <w:t> </w:t>
      </w:r>
      <w:r>
        <w:rPr>
          <w:spacing w:val="-2"/>
          <w:vertAlign w:val="baseline"/>
        </w:rPr>
        <w:t>For</w:t>
      </w:r>
      <w:r>
        <w:rPr>
          <w:spacing w:val="-12"/>
          <w:vertAlign w:val="baseline"/>
        </w:rPr>
        <w:t> </w:t>
      </w:r>
      <w:r>
        <w:rPr>
          <w:spacing w:val="-2"/>
          <w:vertAlign w:val="baseline"/>
        </w:rPr>
        <w:t>protocols</w:t>
      </w:r>
      <w:r>
        <w:rPr>
          <w:spacing w:val="-12"/>
          <w:vertAlign w:val="baseline"/>
        </w:rPr>
        <w:t> </w:t>
      </w:r>
      <w:r>
        <w:rPr>
          <w:spacing w:val="-2"/>
          <w:vertAlign w:val="baseline"/>
        </w:rPr>
        <w:t>that</w:t>
      </w:r>
      <w:r>
        <w:rPr>
          <w:spacing w:val="-12"/>
          <w:vertAlign w:val="baseline"/>
        </w:rPr>
        <w:t> </w:t>
      </w:r>
      <w:r>
        <w:rPr>
          <w:spacing w:val="-2"/>
          <w:vertAlign w:val="baseline"/>
        </w:rPr>
        <w:t>must</w:t>
      </w:r>
      <w:r>
        <w:rPr>
          <w:spacing w:val="-13"/>
          <w:vertAlign w:val="baseline"/>
        </w:rPr>
        <w:t> </w:t>
      </w:r>
      <w:r>
        <w:rPr>
          <w:spacing w:val="-2"/>
          <w:vertAlign w:val="baseline"/>
        </w:rPr>
        <w:t>refresh</w:t>
      </w:r>
      <w:r>
        <w:rPr>
          <w:spacing w:val="-12"/>
          <w:vertAlign w:val="baseline"/>
        </w:rPr>
        <w:t> </w:t>
      </w:r>
      <w:r>
        <w:rPr>
          <w:spacing w:val="-2"/>
          <w:vertAlign w:val="baseline"/>
        </w:rPr>
        <w:t>reputation</w:t>
      </w:r>
      <w:r>
        <w:rPr>
          <w:spacing w:val="-12"/>
          <w:vertAlign w:val="baseline"/>
        </w:rPr>
        <w:t> </w:t>
      </w:r>
      <w:r>
        <w:rPr>
          <w:spacing w:val="-2"/>
          <w:vertAlign w:val="baseline"/>
        </w:rPr>
        <w:t>frequently,</w:t>
      </w:r>
    </w:p>
    <w:p>
      <w:pPr>
        <w:pStyle w:val="BodyText"/>
        <w:spacing w:line="396" w:lineRule="auto" w:before="86"/>
        <w:ind w:left="282" w:right="524"/>
        <w:jc w:val="both"/>
      </w:pPr>
      <w:r>
        <w:rPr>
          <w:i/>
        </w:rPr>
        <w:t>H3가 지원됩니다. 효율성 향상은 로지스틱 붕괴를 통해 전체 전송 내역을 집계하는 대신 최신 허용량 스냅샷에서 비롯됩니다[16]. 평판을 자주 새로 고쳐야 하는 프로토콜의 경우</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63"/>
        <w:jc w:val="both"/>
      </w:pPr>
      <w:r>
        <w:rPr/>
        <w:t>this difference is operationally material:</w:t>
      </w:r>
      <w:r>
        <w:rPr>
          <w:spacing w:val="29"/>
        </w:rPr>
        <w:t> </w:t>
      </w:r>
      <w:r>
        <w:rPr/>
        <w:t>an order-of-magnitude reduction in PageRank wall time </w:t>
      </w:r>
      <w:bookmarkStart w:name="RQ4: Transfer versus trading-success val" w:id="210"/>
      <w:bookmarkEnd w:id="210"/>
      <w:r>
        <w:rPr/>
        <w:t>enable</w:t>
      </w:r>
      <w:r>
        <w:rPr/>
        <w:t>s tighter update loops without proportional infrastructure cost.</w:t>
      </w:r>
    </w:p>
    <w:p>
      <w:pPr>
        <w:pStyle w:val="BodyText"/>
        <w:spacing w:line="396" w:lineRule="auto" w:before="72"/>
        <w:ind w:left="282" w:right="563"/>
        <w:jc w:val="both"/>
      </w:pPr>
      <w:r>
        <w:rPr>
          <w:i/>
        </w:rPr>
        <w:t>이 차이는 운영상 중요합니다. PageRank 벽 시간이 대폭 감소하면 비례적인 인프라 비용 없이 업데이트 루프를 더욱 긴밀하게 만들 수 있습니다.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spacing w:val="-2"/>
        </w:rPr>
        <w:t>RQ4:</w:t>
      </w:r>
      <w:r>
        <w:rPr>
          <w:spacing w:val="17"/>
        </w:rPr>
        <w:t> </w:t>
      </w:r>
      <w:r>
        <w:rPr>
          <w:spacing w:val="-2"/>
        </w:rPr>
        <w:t>Transfer</w:t>
      </w:r>
      <w:r>
        <w:rPr>
          <w:spacing w:val="-3"/>
        </w:rPr>
        <w:t> </w:t>
      </w:r>
      <w:r>
        <w:rPr>
          <w:spacing w:val="-2"/>
        </w:rPr>
        <w:t>versus trading-success validation</w:t>
      </w:r>
      <w:r>
        <w:rPr>
          <w:spacing w:val="-3"/>
        </w:rPr>
        <w:t> </w:t>
      </w:r>
      <w:r>
        <w:rPr>
          <w:spacing w:val="-2"/>
        </w:rPr>
        <w:t>frames</w:t>
      </w:r>
    </w:p>
    <w:p>
      <w:pPr>
        <w:pStyle w:val="Heading4"/>
        <w:numPr>
          <w:ilvl w:val="2"/>
          <w:numId w:val="8"/>
        </w:numPr>
        <w:tabs>
          <w:tab w:pos="879" w:val="left" w:leader="none"/>
        </w:tabs>
        <w:spacing w:line="240" w:lineRule="auto" w:before="0" w:after="0"/>
        <w:ind w:left="879" w:right="0" w:hanging="597"/>
        <w:jc w:val="left"/>
      </w:pPr>
      <w:r>
        <w:rPr>
          <w:i/>
        </w:rPr>
        <w:t>RQ4: 전송 대 거래 성공 검증 프레임</w:t>
      </w:r>
    </w:p>
    <w:p>
      <w:pPr>
        <w:pStyle w:val="BodyText"/>
        <w:spacing w:before="47"/>
        <w:rPr>
          <w:b/>
        </w:rPr>
      </w:pPr>
    </w:p>
    <w:p>
      <w:pPr>
        <w:pStyle w:val="BodyText"/>
        <w:spacing w:line="384" w:lineRule="auto"/>
        <w:ind w:left="282" w:right="559"/>
        <w:jc w:val="both"/>
      </w:pPr>
      <w:r>
        <w:rPr/>
        <w:t>RQ4</w:t>
      </w:r>
      <w:r>
        <w:rPr>
          <w:spacing w:val="-3"/>
        </w:rPr>
        <w:t> </w:t>
      </w:r>
      <w:r>
        <w:rPr/>
        <w:t>asks</w:t>
      </w:r>
      <w:r>
        <w:rPr>
          <w:spacing w:val="-3"/>
        </w:rPr>
        <w:t> </w:t>
      </w:r>
      <w:r>
        <w:rPr/>
        <w:t>which</w:t>
      </w:r>
      <w:r>
        <w:rPr>
          <w:spacing w:val="-3"/>
        </w:rPr>
        <w:t> </w:t>
      </w:r>
      <w:r>
        <w:rPr/>
        <w:t>validation</w:t>
      </w:r>
      <w:r>
        <w:rPr>
          <w:spacing w:val="-3"/>
        </w:rPr>
        <w:t> </w:t>
      </w:r>
      <w:r>
        <w:rPr/>
        <w:t>frame</w:t>
      </w:r>
      <w:r>
        <w:rPr>
          <w:spacing w:val="-3"/>
        </w:rPr>
        <w:t> </w:t>
      </w:r>
      <w:r>
        <w:rPr/>
        <w:t>yields</w:t>
      </w:r>
      <w:r>
        <w:rPr>
          <w:spacing w:val="-3"/>
        </w:rPr>
        <w:t> </w:t>
      </w:r>
      <w:r>
        <w:rPr/>
        <w:t>stronger</w:t>
      </w:r>
      <w:r>
        <w:rPr>
          <w:spacing w:val="-3"/>
        </w:rPr>
        <w:t> </w:t>
      </w:r>
      <w:r>
        <w:rPr/>
        <w:t>rank</w:t>
      </w:r>
      <w:r>
        <w:rPr>
          <w:spacing w:val="-3"/>
        </w:rPr>
        <w:t> </w:t>
      </w:r>
      <w:r>
        <w:rPr/>
        <w:t>alignment</w:t>
      </w:r>
      <w:r>
        <w:rPr>
          <w:spacing w:val="-3"/>
        </w:rPr>
        <w:t> </w:t>
      </w:r>
      <w:r>
        <w:rPr/>
        <w:t>for</w:t>
      </w:r>
      <w:r>
        <w:rPr>
          <w:spacing w:val="-3"/>
        </w:rPr>
        <w:t> </w:t>
      </w:r>
      <w:r>
        <w:rPr/>
        <w:t>social</w:t>
      </w:r>
      <w:r>
        <w:rPr>
          <w:spacing w:val="-3"/>
        </w:rPr>
        <w:t> </w:t>
      </w:r>
      <w:r>
        <w:rPr/>
        <w:t>reputation</w:t>
      </w:r>
      <w:r>
        <w:rPr>
          <w:spacing w:val="-3"/>
        </w:rPr>
        <w:t> </w:t>
      </w:r>
      <w:r>
        <w:rPr/>
        <w:t>methods</w:t>
      </w:r>
      <w:r>
        <w:rPr>
          <w:spacing w:val="-3"/>
        </w:rPr>
        <w:t> </w:t>
      </w:r>
      <w:r>
        <w:rPr/>
        <w:t>on this chain: Do et al. transfer proxies or GMX V2 trading-success proxies.</w:t>
      </w:r>
      <w:r>
        <w:rPr>
          <w:spacing w:val="39"/>
        </w:rPr>
        <w:t> </w:t>
      </w:r>
      <w:r>
        <w:rPr/>
        <w:t>Transfer proxies yield higher mean </w:t>
      </w:r>
      <w:r>
        <w:rPr>
          <w:rFonts w:ascii="Calibri" w:hAnsi="Calibri"/>
          <w:i/>
        </w:rPr>
        <w:t>τ</w:t>
      </w:r>
      <w:r>
        <w:rPr>
          <w:rFonts w:ascii="Calibri" w:hAnsi="Calibri"/>
          <w:i/>
          <w:spacing w:val="30"/>
        </w:rPr>
        <w:t> </w:t>
      </w:r>
      <w:r>
        <w:rPr/>
        <w:t>than trading success for both EndorseRank and AWP (Table </w:t>
      </w:r>
      <w:hyperlink w:history="true" w:anchor="_bookmark101">
        <w:r>
          <w:rPr/>
          <w:t>4.7</w:t>
        </w:r>
      </w:hyperlink>
      <w:r>
        <w:rPr/>
        <w:t>).</w:t>
      </w:r>
      <w:r>
        <w:rPr>
          <w:spacing w:val="34"/>
        </w:rPr>
        <w:t> </w:t>
      </w:r>
      <w:r>
        <w:rPr/>
        <w:t>AWP’s transfer </w:t>
      </w:r>
      <w:r>
        <w:rPr>
          <w:rFonts w:ascii="Calibri" w:hAnsi="Calibri"/>
          <w:i/>
          <w:spacing w:val="-2"/>
          <w:w w:val="105"/>
        </w:rPr>
        <w:t>τ</w:t>
      </w:r>
      <w:r>
        <w:rPr>
          <w:rFonts w:ascii="Calibri" w:hAnsi="Calibri"/>
          <w:i/>
          <w:spacing w:val="2"/>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534</w:t>
      </w:r>
      <w:r>
        <w:rPr>
          <w:rFonts w:ascii="Calibri" w:hAnsi="Calibri"/>
          <w:spacing w:val="-8"/>
          <w:w w:val="105"/>
        </w:rPr>
        <w:t> </w:t>
      </w:r>
      <w:r>
        <w:rPr>
          <w:spacing w:val="-2"/>
          <w:w w:val="105"/>
        </w:rPr>
        <w:t>substantially</w:t>
      </w:r>
      <w:r>
        <w:rPr>
          <w:spacing w:val="-14"/>
          <w:w w:val="105"/>
        </w:rPr>
        <w:t> </w:t>
      </w:r>
      <w:r>
        <w:rPr>
          <w:spacing w:val="-2"/>
          <w:w w:val="105"/>
        </w:rPr>
        <w:t>exceeds</w:t>
      </w:r>
      <w:r>
        <w:rPr>
          <w:spacing w:val="-14"/>
          <w:w w:val="105"/>
        </w:rPr>
        <w:t> </w:t>
      </w:r>
      <w:r>
        <w:rPr>
          <w:spacing w:val="-2"/>
          <w:w w:val="105"/>
        </w:rPr>
        <w:t>its</w:t>
      </w:r>
      <w:r>
        <w:rPr>
          <w:spacing w:val="-14"/>
          <w:w w:val="105"/>
        </w:rPr>
        <w:t> </w:t>
      </w:r>
      <w:r>
        <w:rPr>
          <w:spacing w:val="-2"/>
          <w:w w:val="105"/>
        </w:rPr>
        <w:t>trading-success</w:t>
      </w:r>
      <w:r>
        <w:rPr>
          <w:spacing w:val="-13"/>
          <w:w w:val="105"/>
        </w:rPr>
        <w:t> </w:t>
      </w:r>
      <w:r>
        <w:rPr>
          <w:rFonts w:ascii="Calibri" w:hAnsi="Calibri"/>
          <w:i/>
          <w:spacing w:val="-2"/>
          <w:w w:val="105"/>
        </w:rPr>
        <w:t>τ</w:t>
      </w:r>
      <w:r>
        <w:rPr>
          <w:rFonts w:ascii="Calibri" w:hAnsi="Calibri"/>
          <w:i/>
          <w:spacing w:val="8"/>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179</w:t>
      </w:r>
      <w:r>
        <w:rPr>
          <w:spacing w:val="-2"/>
          <w:w w:val="105"/>
        </w:rPr>
        <w:t>;</w:t>
      </w:r>
      <w:r>
        <w:rPr>
          <w:spacing w:val="-14"/>
          <w:w w:val="105"/>
        </w:rPr>
        <w:t> </w:t>
      </w:r>
      <w:r>
        <w:rPr>
          <w:spacing w:val="-2"/>
          <w:w w:val="105"/>
        </w:rPr>
        <w:t>EndorseRank’s</w:t>
      </w:r>
      <w:r>
        <w:rPr>
          <w:spacing w:val="-14"/>
          <w:w w:val="105"/>
        </w:rPr>
        <w:t> </w:t>
      </w:r>
      <w:r>
        <w:rPr>
          <w:spacing w:val="-2"/>
          <w:w w:val="105"/>
        </w:rPr>
        <w:t>transfer</w:t>
      </w:r>
      <w:r>
        <w:rPr>
          <w:spacing w:val="-14"/>
          <w:w w:val="105"/>
        </w:rPr>
        <w:t> </w:t>
      </w:r>
      <w:r>
        <w:rPr>
          <w:rFonts w:ascii="Calibri" w:hAnsi="Calibri"/>
          <w:i/>
          <w:spacing w:val="-2"/>
          <w:w w:val="105"/>
        </w:rPr>
        <w:t>τ</w:t>
      </w:r>
      <w:r>
        <w:rPr>
          <w:rFonts w:ascii="Calibri" w:hAnsi="Calibri"/>
          <w:i/>
          <w:spacing w:val="9"/>
          <w:w w:val="125"/>
        </w:rPr>
        <w:t> </w:t>
      </w:r>
      <w:r>
        <w:rPr>
          <w:rFonts w:ascii="Calibri" w:hAnsi="Calibri"/>
          <w:spacing w:val="-2"/>
          <w:w w:val="125"/>
        </w:rPr>
        <w:t>=</w:t>
      </w:r>
      <w:r>
        <w:rPr>
          <w:rFonts w:ascii="Calibri" w:hAnsi="Calibri"/>
          <w:spacing w:val="-13"/>
          <w:w w:val="125"/>
        </w:rPr>
        <w:t> </w:t>
      </w:r>
      <w:r>
        <w:rPr>
          <w:rFonts w:ascii="Calibri" w:hAnsi="Calibri"/>
          <w:spacing w:val="-2"/>
          <w:w w:val="105"/>
        </w:rPr>
        <w:t>0</w:t>
      </w:r>
      <w:r>
        <w:rPr>
          <w:rFonts w:ascii="Calibri" w:hAnsi="Calibri"/>
          <w:i/>
          <w:spacing w:val="-2"/>
          <w:w w:val="105"/>
        </w:rPr>
        <w:t>.</w:t>
      </w:r>
      <w:r>
        <w:rPr>
          <w:rFonts w:ascii="Calibri" w:hAnsi="Calibri"/>
          <w:spacing w:val="-2"/>
          <w:w w:val="105"/>
        </w:rPr>
        <w:t>333 </w:t>
      </w:r>
      <w:r>
        <w:rPr>
          <w:w w:val="105"/>
        </w:rPr>
        <w:t>exceeds</w:t>
      </w:r>
      <w:r>
        <w:rPr>
          <w:spacing w:val="-5"/>
          <w:w w:val="105"/>
        </w:rPr>
        <w:t> </w:t>
      </w:r>
      <w:r>
        <w:rPr>
          <w:w w:val="105"/>
        </w:rPr>
        <w:t>its</w:t>
      </w:r>
      <w:r>
        <w:rPr>
          <w:spacing w:val="-5"/>
          <w:w w:val="105"/>
        </w:rPr>
        <w:t> </w:t>
      </w:r>
      <w:r>
        <w:rPr>
          <w:w w:val="105"/>
        </w:rPr>
        <w:t>trading-success</w:t>
      </w:r>
      <w:r>
        <w:rPr>
          <w:spacing w:val="-4"/>
          <w:w w:val="105"/>
        </w:rPr>
        <w:t> </w:t>
      </w:r>
      <w:r>
        <w:rPr>
          <w:rFonts w:ascii="Calibri" w:hAnsi="Calibri"/>
          <w:i/>
          <w:w w:val="105"/>
        </w:rPr>
        <w:t>τ</w:t>
      </w:r>
      <w:r>
        <w:rPr>
          <w:rFonts w:ascii="Calibri" w:hAnsi="Calibri"/>
          <w:i/>
          <w:spacing w:val="23"/>
          <w:w w:val="125"/>
        </w:rPr>
        <w:t> </w:t>
      </w:r>
      <w:r>
        <w:rPr>
          <w:rFonts w:ascii="Calibri" w:hAnsi="Calibri"/>
          <w:w w:val="125"/>
        </w:rPr>
        <w:t>=</w:t>
      </w:r>
      <w:r>
        <w:rPr>
          <w:rFonts w:ascii="Calibri" w:hAnsi="Calibri"/>
          <w:spacing w:val="-4"/>
          <w:w w:val="125"/>
        </w:rPr>
        <w:t> </w:t>
      </w:r>
      <w:r>
        <w:rPr>
          <w:rFonts w:ascii="Calibri" w:hAnsi="Calibri"/>
          <w:w w:val="105"/>
        </w:rPr>
        <w:t>0</w:t>
      </w:r>
      <w:r>
        <w:rPr>
          <w:rFonts w:ascii="Calibri" w:hAnsi="Calibri"/>
          <w:i/>
          <w:w w:val="105"/>
        </w:rPr>
        <w:t>.</w:t>
      </w:r>
      <w:r>
        <w:rPr>
          <w:rFonts w:ascii="Calibri" w:hAnsi="Calibri"/>
          <w:w w:val="105"/>
        </w:rPr>
        <w:t>096</w:t>
      </w:r>
      <w:r>
        <w:rPr>
          <w:w w:val="105"/>
        </w:rPr>
        <w:t>.</w:t>
      </w:r>
    </w:p>
    <w:p>
      <w:pPr>
        <w:pStyle w:val="BodyText"/>
        <w:spacing w:line="384" w:lineRule="auto"/>
        <w:ind w:left="282" w:right="559"/>
        <w:jc w:val="both"/>
      </w:pPr>
      <w:r>
        <w:rPr>
          <w:i/>
        </w:rPr>
        <w:t>RQ4는 어떤 검증 프레임이 이 체인의 사회적 평판 방법에 대해 더 강력한 순위 정렬을 생성하는지 묻습니다. Do et al. 전송 프록시 또는 GMX V2 거래 성공 프록시. 전송 프록시는 EndorseRank 및 AWP 모두에 대해 거래 성공보다 더 높은 평균 τ를 산출합니다(표 4.7). AWP의 이체 τ = 0.534는 거래 성공 τ = 0.179를 크게 초과하고, EndorseRank의 이체 τ = 0.333은 거래 성공 τ = 0.096을 초과합니다.</w:t>
      </w:r>
    </w:p>
    <w:p>
      <w:pPr>
        <w:pStyle w:val="BodyText"/>
        <w:spacing w:line="396" w:lineRule="auto" w:before="7"/>
        <w:ind w:left="282" w:right="524" w:hanging="8"/>
        <w:jc w:val="both"/>
      </w:pPr>
      <w:r>
        <w:rPr/>
        <w:t>Two</w:t>
      </w:r>
      <w:r>
        <w:rPr>
          <w:spacing w:val="-5"/>
        </w:rPr>
        <w:t> </w:t>
      </w:r>
      <w:r>
        <w:rPr/>
        <w:t>interpretations</w:t>
      </w:r>
      <w:r>
        <w:rPr>
          <w:spacing w:val="-5"/>
        </w:rPr>
        <w:t> </w:t>
      </w:r>
      <w:r>
        <w:rPr/>
        <w:t>follow. First,</w:t>
      </w:r>
      <w:r>
        <w:rPr>
          <w:spacing w:val="-5"/>
        </w:rPr>
        <w:t> </w:t>
      </w:r>
      <w:r>
        <w:rPr/>
        <w:t>social</w:t>
      </w:r>
      <w:r>
        <w:rPr>
          <w:spacing w:val="-5"/>
        </w:rPr>
        <w:t> </w:t>
      </w:r>
      <w:r>
        <w:rPr/>
        <w:t>graphs</w:t>
      </w:r>
      <w:r>
        <w:rPr>
          <w:spacing w:val="-5"/>
        </w:rPr>
        <w:t> </w:t>
      </w:r>
      <w:r>
        <w:rPr/>
        <w:t>built</w:t>
      </w:r>
      <w:r>
        <w:rPr>
          <w:spacing w:val="-5"/>
        </w:rPr>
        <w:t> </w:t>
      </w:r>
      <w:r>
        <w:rPr/>
        <w:t>from</w:t>
      </w:r>
      <w:r>
        <w:rPr>
          <w:spacing w:val="-5"/>
        </w:rPr>
        <w:t> </w:t>
      </w:r>
      <w:r>
        <w:rPr/>
        <w:t>wallet-to-wallet</w:t>
      </w:r>
      <w:r>
        <w:rPr>
          <w:spacing w:val="-5"/>
        </w:rPr>
        <w:t> </w:t>
      </w:r>
      <w:r>
        <w:rPr/>
        <w:t>economic</w:t>
      </w:r>
      <w:r>
        <w:rPr>
          <w:spacing w:val="-5"/>
        </w:rPr>
        <w:t> </w:t>
      </w:r>
      <w:r>
        <w:rPr/>
        <w:t>relationships are more tightly coupled to transfer centrality than to perpetual trading profitability.</w:t>
      </w:r>
      <w:r>
        <w:rPr>
          <w:spacing w:val="33"/>
        </w:rPr>
        <w:t> </w:t>
      </w:r>
      <w:r>
        <w:rPr/>
        <w:t>Trading suc-cess depends on market timing, leverage choice, and liquidation dynamics that are only partially reflected</w:t>
      </w:r>
      <w:r>
        <w:rPr>
          <w:spacing w:val="28"/>
        </w:rPr>
        <w:t> </w:t>
      </w:r>
      <w:r>
        <w:rPr/>
        <w:t>in</w:t>
      </w:r>
      <w:r>
        <w:rPr>
          <w:spacing w:val="28"/>
        </w:rPr>
        <w:t> </w:t>
      </w:r>
      <w:r>
        <w:rPr/>
        <w:t>approval</w:t>
      </w:r>
      <w:r>
        <w:rPr>
          <w:spacing w:val="28"/>
        </w:rPr>
        <w:t> </w:t>
      </w:r>
      <w:r>
        <w:rPr/>
        <w:t>or</w:t>
      </w:r>
      <w:r>
        <w:rPr>
          <w:spacing w:val="28"/>
        </w:rPr>
        <w:t> </w:t>
      </w:r>
      <w:r>
        <w:rPr/>
        <w:t>transfer</w:t>
      </w:r>
      <w:r>
        <w:rPr>
          <w:spacing w:val="28"/>
        </w:rPr>
        <w:t> </w:t>
      </w:r>
      <w:r>
        <w:rPr/>
        <w:t>topology</w:t>
      </w:r>
      <w:r>
        <w:rPr>
          <w:spacing w:val="28"/>
        </w:rPr>
        <w:t> </w:t>
      </w:r>
      <w:hyperlink w:history="true" w:anchor="_bookmark156">
        <w:r>
          <w:rPr>
            <w:vertAlign w:val="superscript"/>
          </w:rPr>
          <w:t>[23]</w:t>
        </w:r>
      </w:hyperlink>
      <w:r>
        <w:rPr>
          <w:vertAlign w:val="superscript"/>
        </w:rPr>
        <w:t>,</w:t>
      </w:r>
      <w:hyperlink w:history="true" w:anchor="_bookmark177">
        <w:r>
          <w:rPr>
            <w:vertAlign w:val="superscript"/>
          </w:rPr>
          <w:t>[44]</w:t>
        </w:r>
      </w:hyperlink>
      <w:r>
        <w:rPr>
          <w:vertAlign w:val="baseline"/>
        </w:rPr>
        <w:t>.</w:t>
      </w:r>
      <w:r>
        <w:rPr>
          <w:spacing w:val="80"/>
          <w:vertAlign w:val="baseline"/>
        </w:rPr>
        <w:t> </w:t>
      </w:r>
      <w:r>
        <w:rPr>
          <w:vertAlign w:val="baseline"/>
        </w:rPr>
        <w:t>Second,</w:t>
      </w:r>
      <w:r>
        <w:rPr>
          <w:spacing w:val="36"/>
          <w:vertAlign w:val="baseline"/>
        </w:rPr>
        <w:t> </w:t>
      </w:r>
      <w:r>
        <w:rPr>
          <w:vertAlign w:val="baseline"/>
        </w:rPr>
        <w:t>outcome-based</w:t>
      </w:r>
      <w:r>
        <w:rPr>
          <w:spacing w:val="28"/>
          <w:vertAlign w:val="baseline"/>
        </w:rPr>
        <w:t> </w:t>
      </w:r>
      <w:r>
        <w:rPr>
          <w:vertAlign w:val="baseline"/>
        </w:rPr>
        <w:t>proxies</w:t>
      </w:r>
      <w:r>
        <w:rPr>
          <w:spacing w:val="28"/>
          <w:vertAlign w:val="baseline"/>
        </w:rPr>
        <w:t> </w:t>
      </w:r>
      <w:r>
        <w:rPr>
          <w:vertAlign w:val="baseline"/>
        </w:rPr>
        <w:t>show</w:t>
      </w:r>
      <w:r>
        <w:rPr>
          <w:spacing w:val="28"/>
          <w:vertAlign w:val="baseline"/>
        </w:rPr>
        <w:t> </w:t>
      </w:r>
      <w:r>
        <w:rPr>
          <w:vertAlign w:val="baseline"/>
        </w:rPr>
        <w:t>weak-to-modest alignment overall for social graphs, suggesting that no single proxy family fully </w:t>
      </w:r>
      <w:r>
        <w:rPr>
          <w:vertAlign w:val="baseline"/>
        </w:rPr>
        <w:t>cap-tures “reputation” on this sample.</w:t>
      </w:r>
      <w:r>
        <w:rPr>
          <w:spacing w:val="39"/>
          <w:vertAlign w:val="baseline"/>
        </w:rPr>
        <w:t> </w:t>
      </w:r>
      <w:r>
        <w:rPr>
          <w:vertAlign w:val="baseline"/>
        </w:rPr>
        <w:t>Domain alignment remains a relative, multi-construct exercise </w:t>
      </w:r>
      <w:hyperlink w:history="true" w:anchor="_bookmark147">
        <w:r>
          <w:rPr>
            <w:vertAlign w:val="superscript"/>
          </w:rPr>
          <w:t>[14]</w:t>
        </w:r>
      </w:hyperlink>
      <w:r>
        <w:rPr>
          <w:vertAlign w:val="superscript"/>
        </w:rPr>
        <w:t>,</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 not a search for one ground-truth ranking.</w:t>
      </w:r>
    </w:p>
    <w:p>
      <w:pPr>
        <w:pStyle w:val="BodyText"/>
        <w:spacing w:line="396" w:lineRule="auto" w:before="7"/>
        <w:ind w:left="282" w:right="524" w:hanging="8"/>
        <w:jc w:val="both"/>
      </w:pPr>
      <w:r>
        <w:rPr>
          <w:i/>
        </w:rPr>
        <w:t>두 가지 해석이 이어집니다. 첫째, 지갑 간 경제 관계로 구축된 소셜 그래프는 영구 거래 수익성보다 전송 중심성과 더 밀접하게 연결되어 있습니다. 거래 성공은 승인 또는 이전 토폴로지에 부분적으로만 반영되는 시장 타이밍, 레버리지 선택 및 청산 역학에 따라 달라집니다[23],[44]. 둘째, 결과 기반 프록시는 소셜 그래프에 대해 전반적으로 약하거나 보통 수준의 정렬을 보여줍니다. 이는 단일 프록시 제품군이 이 샘플에서 "평판"을 완전히 포착하지 못한다는 것을 의미합니다. 도메인 정렬은 하나의 실제 순위를 검색하는 것이 아니라 상대적인 다중 구성 연습으로 남아 있습니다[14],[36],[54].</w:t>
      </w:r>
    </w:p>
    <w:p>
      <w:pPr>
        <w:pStyle w:val="BodyText"/>
        <w:spacing w:line="396" w:lineRule="auto" w:before="21"/>
        <w:ind w:left="282" w:right="524"/>
        <w:jc w:val="both"/>
      </w:pPr>
      <w:r>
        <w:rPr/>
        <w:t>RQ4</w:t>
      </w:r>
      <w:r>
        <w:rPr>
          <w:spacing w:val="-4"/>
        </w:rPr>
        <w:t> </w:t>
      </w:r>
      <w:r>
        <w:rPr/>
        <w:t>therefore</w:t>
      </w:r>
      <w:r>
        <w:rPr>
          <w:spacing w:val="-4"/>
        </w:rPr>
        <w:t> </w:t>
      </w:r>
      <w:r>
        <w:rPr/>
        <w:t>favors</w:t>
      </w:r>
      <w:r>
        <w:rPr>
          <w:spacing w:val="-4"/>
        </w:rPr>
        <w:t> </w:t>
      </w:r>
      <w:r>
        <w:rPr/>
        <w:t>transfer</w:t>
      </w:r>
      <w:r>
        <w:rPr>
          <w:spacing w:val="-4"/>
        </w:rPr>
        <w:t> </w:t>
      </w:r>
      <w:r>
        <w:rPr/>
        <w:t>proxies</w:t>
      </w:r>
      <w:r>
        <w:rPr>
          <w:spacing w:val="-4"/>
        </w:rPr>
        <w:t> </w:t>
      </w:r>
      <w:r>
        <w:rPr/>
        <w:t>as</w:t>
      </w:r>
      <w:r>
        <w:rPr>
          <w:spacing w:val="-4"/>
        </w:rPr>
        <w:t> </w:t>
      </w:r>
      <w:r>
        <w:rPr/>
        <w:t>the</w:t>
      </w:r>
      <w:r>
        <w:rPr>
          <w:spacing w:val="-4"/>
        </w:rPr>
        <w:t> </w:t>
      </w:r>
      <w:r>
        <w:rPr/>
        <w:t>stronger</w:t>
      </w:r>
      <w:r>
        <w:rPr>
          <w:spacing w:val="-4"/>
        </w:rPr>
        <w:t> </w:t>
      </w:r>
      <w:r>
        <w:rPr/>
        <w:t>validation</w:t>
      </w:r>
      <w:r>
        <w:rPr>
          <w:spacing w:val="-4"/>
        </w:rPr>
        <w:t> </w:t>
      </w:r>
      <w:r>
        <w:rPr/>
        <w:t>frame</w:t>
      </w:r>
      <w:r>
        <w:rPr>
          <w:spacing w:val="-4"/>
        </w:rPr>
        <w:t> </w:t>
      </w:r>
      <w:r>
        <w:rPr/>
        <w:t>for</w:t>
      </w:r>
      <w:r>
        <w:rPr>
          <w:spacing w:val="-4"/>
        </w:rPr>
        <w:t> </w:t>
      </w:r>
      <w:r>
        <w:rPr/>
        <w:t>social</w:t>
      </w:r>
      <w:r>
        <w:rPr>
          <w:spacing w:val="-4"/>
        </w:rPr>
        <w:t> </w:t>
      </w:r>
      <w:r>
        <w:rPr/>
        <w:t>methods</w:t>
      </w:r>
      <w:r>
        <w:rPr>
          <w:spacing w:val="-4"/>
        </w:rPr>
        <w:t> </w:t>
      </w:r>
      <w:r>
        <w:rPr/>
        <w:t>on</w:t>
      </w:r>
      <w:r>
        <w:rPr>
          <w:spacing w:val="-4"/>
        </w:rPr>
        <w:t> </w:t>
      </w:r>
      <w:r>
        <w:rPr/>
        <w:t>Arbi-trum</w:t>
      </w:r>
      <w:r>
        <w:rPr>
          <w:spacing w:val="-12"/>
        </w:rPr>
        <w:t> </w:t>
      </w:r>
      <w:r>
        <w:rPr/>
        <w:t>One</w:t>
      </w:r>
      <w:r>
        <w:rPr>
          <w:spacing w:val="-12"/>
        </w:rPr>
        <w:t> </w:t>
      </w:r>
      <w:r>
        <w:rPr/>
        <w:t>in</w:t>
      </w:r>
      <w:r>
        <w:rPr>
          <w:spacing w:val="-12"/>
        </w:rPr>
        <w:t> </w:t>
      </w:r>
      <w:r>
        <w:rPr/>
        <w:t>this</w:t>
      </w:r>
      <w:r>
        <w:rPr>
          <w:spacing w:val="-12"/>
        </w:rPr>
        <w:t> </w:t>
      </w:r>
      <w:r>
        <w:rPr/>
        <w:t>window,</w:t>
      </w:r>
      <w:r>
        <w:rPr>
          <w:spacing w:val="-11"/>
        </w:rPr>
        <w:t> </w:t>
      </w:r>
      <w:r>
        <w:rPr/>
        <w:t>while</w:t>
      </w:r>
      <w:r>
        <w:rPr>
          <w:spacing w:val="-12"/>
        </w:rPr>
        <w:t> </w:t>
      </w:r>
      <w:r>
        <w:rPr/>
        <w:t>leaving</w:t>
      </w:r>
      <w:r>
        <w:rPr>
          <w:spacing w:val="-12"/>
        </w:rPr>
        <w:t> </w:t>
      </w:r>
      <w:r>
        <w:rPr/>
        <w:t>room</w:t>
      </w:r>
      <w:r>
        <w:rPr>
          <w:spacing w:val="-12"/>
        </w:rPr>
        <w:t> </w:t>
      </w:r>
      <w:r>
        <w:rPr/>
        <w:t>for</w:t>
      </w:r>
      <w:r>
        <w:rPr>
          <w:spacing w:val="-12"/>
        </w:rPr>
        <w:t> </w:t>
      </w:r>
      <w:r>
        <w:rPr/>
        <w:t>trading-success</w:t>
      </w:r>
      <w:r>
        <w:rPr>
          <w:spacing w:val="-12"/>
        </w:rPr>
        <w:t> </w:t>
      </w:r>
      <w:r>
        <w:rPr/>
        <w:t>proxies</w:t>
      </w:r>
      <w:r>
        <w:rPr>
          <w:spacing w:val="-12"/>
        </w:rPr>
        <w:t> </w:t>
      </w:r>
      <w:r>
        <w:rPr/>
        <w:t>as</w:t>
      </w:r>
      <w:r>
        <w:rPr>
          <w:spacing w:val="-12"/>
        </w:rPr>
        <w:t> </w:t>
      </w:r>
      <w:r>
        <w:rPr/>
        <w:t>a</w:t>
      </w:r>
      <w:r>
        <w:rPr>
          <w:spacing w:val="-12"/>
        </w:rPr>
        <w:t> </w:t>
      </w:r>
      <w:r>
        <w:rPr/>
        <w:t>secondary,</w:t>
      </w:r>
      <w:r>
        <w:rPr>
          <w:spacing w:val="-11"/>
        </w:rPr>
        <w:t> </w:t>
      </w:r>
      <w:r>
        <w:rPr/>
        <w:t>economi-cally</w:t>
      </w:r>
      <w:r>
        <w:rPr>
          <w:spacing w:val="-4"/>
        </w:rPr>
        <w:t> </w:t>
      </w:r>
      <w:r>
        <w:rPr/>
        <w:t>motivated</w:t>
      </w:r>
      <w:r>
        <w:rPr>
          <w:spacing w:val="-4"/>
        </w:rPr>
        <w:t> </w:t>
      </w:r>
      <w:r>
        <w:rPr/>
        <w:t>axis—especially</w:t>
      </w:r>
      <w:r>
        <w:rPr>
          <w:spacing w:val="-4"/>
        </w:rPr>
        <w:t> </w:t>
      </w:r>
      <w:r>
        <w:rPr/>
        <w:t>for</w:t>
      </w:r>
      <w:r>
        <w:rPr>
          <w:spacing w:val="-4"/>
        </w:rPr>
        <w:t> </w:t>
      </w:r>
      <w:r>
        <w:rPr/>
        <w:t>protocols</w:t>
      </w:r>
      <w:r>
        <w:rPr>
          <w:spacing w:val="-4"/>
        </w:rPr>
        <w:t> </w:t>
      </w:r>
      <w:r>
        <w:rPr/>
        <w:t>whose</w:t>
      </w:r>
      <w:r>
        <w:rPr>
          <w:spacing w:val="-4"/>
        </w:rPr>
        <w:t> </w:t>
      </w:r>
      <w:r>
        <w:rPr/>
        <w:t>risk</w:t>
      </w:r>
      <w:r>
        <w:rPr>
          <w:spacing w:val="-4"/>
        </w:rPr>
        <w:t> </w:t>
      </w:r>
      <w:r>
        <w:rPr/>
        <w:t>is</w:t>
      </w:r>
      <w:r>
        <w:rPr>
          <w:spacing w:val="-4"/>
        </w:rPr>
        <w:t> </w:t>
      </w:r>
      <w:r>
        <w:rPr/>
        <w:t>defined</w:t>
      </w:r>
      <w:r>
        <w:rPr>
          <w:spacing w:val="-4"/>
        </w:rPr>
        <w:t> </w:t>
      </w:r>
      <w:r>
        <w:rPr/>
        <w:t>by</w:t>
      </w:r>
      <w:r>
        <w:rPr>
          <w:spacing w:val="-4"/>
        </w:rPr>
        <w:t> </w:t>
      </w:r>
      <w:r>
        <w:rPr/>
        <w:t>leveraged</w:t>
      </w:r>
      <w:r>
        <w:rPr>
          <w:spacing w:val="-4"/>
        </w:rPr>
        <w:t> </w:t>
      </w:r>
      <w:r>
        <w:rPr/>
        <w:t>outcomes</w:t>
      </w:r>
      <w:r>
        <w:rPr>
          <w:spacing w:val="-4"/>
        </w:rPr>
        <w:t> </w:t>
      </w:r>
      <w:r>
        <w:rPr/>
        <w:t>rather </w:t>
      </w:r>
      <w:bookmarkStart w:name="Supplementary finding (SRQ1)" w:id="211"/>
      <w:bookmarkEnd w:id="211"/>
      <w:r>
        <w:rPr>
          <w:w w:val="99"/>
        </w:rPr>
      </w:r>
      <w:bookmarkStart w:name="_bookmark116" w:id="212"/>
      <w:bookmarkEnd w:id="212"/>
      <w:r>
        <w:rPr/>
        <w:t>than</w:t>
      </w:r>
      <w:r>
        <w:rPr/>
        <w:t> transfer hubs.</w:t>
      </w:r>
    </w:p>
    <w:p>
      <w:pPr>
        <w:pStyle w:val="BodyText"/>
        <w:spacing w:line="396" w:lineRule="auto" w:before="21"/>
        <w:ind w:left="282" w:right="524"/>
        <w:jc w:val="both"/>
      </w:pPr>
      <w:r>
        <w:rPr>
          <w:i/>
        </w:rPr>
        <w:t>따라서 RQ4는 이 창에서 Arbi-trum One의 소셜 방법에 대한 강력한 검증 프레임으로 전송 프록시를 선호하는 동시에 거래 성공 프록시를 보조적이고 경제적으로 동기 부여된 축으로 위한 여지를 남겨 둡니다. 특히 위험이 전송 허브가 아닌 레버리지 결과로 정의되는 프로토콜의 경우 더욱 그렇습니다.</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Supplementary</w:t>
      </w:r>
      <w:r>
        <w:rPr>
          <w:spacing w:val="27"/>
        </w:rPr>
        <w:t> </w:t>
      </w:r>
      <w:r>
        <w:rPr/>
        <w:t>finding</w:t>
      </w:r>
      <w:r>
        <w:rPr>
          <w:spacing w:val="28"/>
        </w:rPr>
        <w:t> </w:t>
      </w:r>
      <w:r>
        <w:rPr>
          <w:spacing w:val="-2"/>
        </w:rPr>
        <w:t>(SRQ1)</w:t>
      </w:r>
    </w:p>
    <w:p>
      <w:pPr>
        <w:pStyle w:val="Heading2"/>
        <w:numPr>
          <w:ilvl w:val="1"/>
          <w:numId w:val="8"/>
        </w:numPr>
        <w:tabs>
          <w:tab w:pos="783" w:val="left" w:leader="none"/>
        </w:tabs>
        <w:spacing w:line="240" w:lineRule="auto" w:before="0" w:after="0"/>
        <w:ind w:left="783" w:right="0" w:hanging="501"/>
        <w:jc w:val="left"/>
      </w:pPr>
      <w:r>
        <w:rPr>
          <w:i/>
        </w:rPr>
        <w:t>보충 조사 결과(SRQ1)</w:t>
      </w:r>
    </w:p>
    <w:p>
      <w:pPr>
        <w:pStyle w:val="BodyText"/>
        <w:spacing w:before="19"/>
        <w:rPr>
          <w:b/>
          <w:sz w:val="28"/>
        </w:rPr>
      </w:pPr>
    </w:p>
    <w:p>
      <w:pPr>
        <w:pStyle w:val="BodyText"/>
        <w:spacing w:line="391" w:lineRule="auto" w:before="1"/>
        <w:ind w:left="282" w:right="524"/>
        <w:jc w:val="both"/>
      </w:pPr>
      <w:r>
        <w:rPr/>
        <w:t>GF-PR achieves the highest trading-success mean </w:t>
      </w:r>
      <w:r>
        <w:rPr>
          <w:rFonts w:ascii="Calibri" w:hAnsi="Calibri"/>
          <w:i/>
        </w:rPr>
        <w:t>τ</w:t>
      </w:r>
      <w:r>
        <w:rPr>
          <w:rFonts w:ascii="Calibri" w:hAnsi="Calibri"/>
          <w:i/>
          <w:spacing w:val="38"/>
        </w:rPr>
        <w:t> </w:t>
      </w:r>
      <w:r>
        <w:rPr/>
        <w:t>(</w:t>
      </w:r>
      <w:r>
        <w:rPr>
          <w:rFonts w:ascii="Calibri" w:hAnsi="Calibri"/>
        </w:rPr>
        <w:t>0</w:t>
      </w:r>
      <w:r>
        <w:rPr>
          <w:rFonts w:ascii="Calibri" w:hAnsi="Calibri"/>
          <w:i/>
        </w:rPr>
        <w:t>.</w:t>
      </w:r>
      <w:r>
        <w:rPr>
          <w:rFonts w:ascii="Calibri" w:hAnsi="Calibri"/>
        </w:rPr>
        <w:t>583</w:t>
      </w:r>
      <w:r>
        <w:rPr/>
        <w:t>) and inverse-risk mean </w:t>
      </w:r>
      <w:r>
        <w:rPr>
          <w:rFonts w:ascii="Calibri" w:hAnsi="Calibri"/>
          <w:i/>
        </w:rPr>
        <w:t>τ</w:t>
      </w:r>
      <w:r>
        <w:rPr>
          <w:rFonts w:ascii="Calibri" w:hAnsi="Calibri"/>
          <w:i/>
          <w:spacing w:val="38"/>
        </w:rPr>
        <w:t> </w:t>
      </w:r>
      <w:r>
        <w:rPr/>
        <w:t>(</w:t>
      </w:r>
      <w:r>
        <w:rPr>
          <w:rFonts w:ascii="Calibri" w:hAnsi="Calibri"/>
        </w:rPr>
        <w:t>0</w:t>
      </w:r>
      <w:r>
        <w:rPr>
          <w:rFonts w:ascii="Calibri" w:hAnsi="Calibri"/>
          <w:i/>
        </w:rPr>
        <w:t>.</w:t>
      </w:r>
      <w:r>
        <w:rPr>
          <w:rFonts w:ascii="Calibri" w:hAnsi="Calibri"/>
        </w:rPr>
        <w:t>376</w:t>
      </w:r>
      <w:r>
        <w:rPr/>
        <w:t>; Ta-ble </w:t>
      </w:r>
      <w:hyperlink w:history="true" w:anchor="_bookmark101">
        <w:r>
          <w:rPr/>
          <w:t>4.7</w:t>
        </w:r>
      </w:hyperlink>
      <w:r>
        <w:rPr/>
        <w:t>), as expected for an outcome-native graph built from the same PnL stream used to define those</w:t>
      </w:r>
      <w:r>
        <w:rPr>
          <w:spacing w:val="-7"/>
        </w:rPr>
        <w:t> </w:t>
      </w:r>
      <w:r>
        <w:rPr/>
        <w:t>proxies.</w:t>
      </w:r>
      <w:r>
        <w:rPr>
          <w:spacing w:val="16"/>
        </w:rPr>
        <w:t> </w:t>
      </w:r>
      <w:r>
        <w:rPr/>
        <w:t>The</w:t>
      </w:r>
      <w:r>
        <w:rPr>
          <w:spacing w:val="-7"/>
        </w:rPr>
        <w:t> </w:t>
      </w:r>
      <w:r>
        <w:rPr/>
        <w:t>POOL/SINK</w:t>
      </w:r>
      <w:r>
        <w:rPr>
          <w:spacing w:val="-7"/>
        </w:rPr>
        <w:t> </w:t>
      </w:r>
      <w:r>
        <w:rPr/>
        <w:t>star</w:t>
      </w:r>
      <w:r>
        <w:rPr>
          <w:spacing w:val="-7"/>
        </w:rPr>
        <w:t> </w:t>
      </w:r>
      <w:r>
        <w:rPr/>
        <w:t>construction</w:t>
      </w:r>
      <w:r>
        <w:rPr>
          <w:spacing w:val="-7"/>
        </w:rPr>
        <w:t> </w:t>
      </w:r>
      <w:r>
        <w:rPr/>
        <w:t>ranks</w:t>
      </w:r>
      <w:r>
        <w:rPr>
          <w:spacing w:val="-7"/>
        </w:rPr>
        <w:t> </w:t>
      </w:r>
      <w:r>
        <w:rPr/>
        <w:t>wallets</w:t>
      </w:r>
      <w:r>
        <w:rPr>
          <w:spacing w:val="-7"/>
        </w:rPr>
        <w:t> </w:t>
      </w:r>
      <w:r>
        <w:rPr/>
        <w:t>by</w:t>
      </w:r>
      <w:r>
        <w:rPr>
          <w:spacing w:val="-7"/>
        </w:rPr>
        <w:t> </w:t>
      </w:r>
      <w:r>
        <w:rPr/>
        <w:t>synthetic</w:t>
      </w:r>
      <w:r>
        <w:rPr>
          <w:spacing w:val="-7"/>
        </w:rPr>
        <w:t> </w:t>
      </w:r>
      <w:r>
        <w:rPr/>
        <w:t>flow</w:t>
      </w:r>
      <w:r>
        <w:rPr>
          <w:spacing w:val="-7"/>
        </w:rPr>
        <w:t> </w:t>
      </w:r>
      <w:r>
        <w:rPr/>
        <w:t>of</w:t>
      </w:r>
      <w:r>
        <w:rPr>
          <w:spacing w:val="-7"/>
        </w:rPr>
        <w:t> </w:t>
      </w:r>
      <w:r>
        <w:rPr/>
        <w:t>realized</w:t>
      </w:r>
      <w:r>
        <w:rPr>
          <w:spacing w:val="-7"/>
        </w:rPr>
        <w:t> </w:t>
      </w:r>
      <w:r>
        <w:rPr/>
        <w:t>gains and</w:t>
      </w:r>
      <w:r>
        <w:rPr>
          <w:spacing w:val="-8"/>
        </w:rPr>
        <w:t> </w:t>
      </w:r>
      <w:r>
        <w:rPr/>
        <w:t>losses;</w:t>
      </w:r>
      <w:r>
        <w:rPr>
          <w:spacing w:val="-6"/>
        </w:rPr>
        <w:t> </w:t>
      </w:r>
      <w:r>
        <w:rPr/>
        <w:t>it</w:t>
      </w:r>
      <w:r>
        <w:rPr>
          <w:spacing w:val="-8"/>
        </w:rPr>
        <w:t> </w:t>
      </w:r>
      <w:r>
        <w:rPr/>
        <w:t>shares</w:t>
      </w:r>
      <w:r>
        <w:rPr>
          <w:spacing w:val="-8"/>
        </w:rPr>
        <w:t> </w:t>
      </w:r>
      <w:r>
        <w:rPr/>
        <w:t>input</w:t>
      </w:r>
      <w:r>
        <w:rPr>
          <w:spacing w:val="-8"/>
        </w:rPr>
        <w:t> </w:t>
      </w:r>
      <w:r>
        <w:rPr/>
        <w:t>semantics</w:t>
      </w:r>
      <w:r>
        <w:rPr>
          <w:spacing w:val="-8"/>
        </w:rPr>
        <w:t> </w:t>
      </w:r>
      <w:r>
        <w:rPr/>
        <w:t>with</w:t>
      </w:r>
      <w:r>
        <w:rPr>
          <w:spacing w:val="-8"/>
        </w:rPr>
        <w:t> </w:t>
      </w:r>
      <w:r>
        <w:rPr/>
        <w:t>trading-success</w:t>
      </w:r>
      <w:r>
        <w:rPr>
          <w:spacing w:val="-8"/>
        </w:rPr>
        <w:t> </w:t>
      </w:r>
      <w:r>
        <w:rPr/>
        <w:t>and</w:t>
      </w:r>
      <w:r>
        <w:rPr>
          <w:spacing w:val="-8"/>
        </w:rPr>
        <w:t> </w:t>
      </w:r>
      <w:r>
        <w:rPr/>
        <w:t>inverse-risk</w:t>
      </w:r>
      <w:r>
        <w:rPr>
          <w:spacing w:val="-8"/>
        </w:rPr>
        <w:t> </w:t>
      </w:r>
      <w:r>
        <w:rPr/>
        <w:t>proxies</w:t>
      </w:r>
      <w:r>
        <w:rPr>
          <w:spacing w:val="-8"/>
        </w:rPr>
        <w:t> </w:t>
      </w:r>
      <w:r>
        <w:rPr/>
        <w:t>by</w:t>
      </w:r>
      <w:r>
        <w:rPr>
          <w:spacing w:val="-8"/>
        </w:rPr>
        <w:t> </w:t>
      </w:r>
      <w:r>
        <w:rPr/>
        <w:t>design.</w:t>
      </w:r>
      <w:r>
        <w:rPr>
          <w:spacing w:val="14"/>
        </w:rPr>
        <w:t> </w:t>
      </w:r>
      <w:r>
        <w:rPr/>
        <w:t>High</w:t>
      </w:r>
    </w:p>
    <w:p>
      <w:pPr>
        <w:pStyle w:val="BodyText"/>
        <w:spacing w:line="391" w:lineRule="auto" w:before="1"/>
        <w:ind w:left="282" w:right="524"/>
        <w:jc w:val="both"/>
      </w:pPr>
      <w:r>
        <w:rPr>
          <w:i/>
        </w:rPr>
        <w:t>GF-PR은 해당 프록시를 정의하는 데 사용된 동일한 PnL 스트림에서 구축된 결과 기본 그래프에 대해 예상된 대로 가장 높은 거래 성공 평균 τ(0.583) 및 역위험 평균 τ(0.376, 표 4.7)를 달성합니다. POOL/SINK 스타 구성은 실현 이익과 손실의 종합적인 흐름에 따라 지갑의 순위를 매기고 설계에 따라 거래 성공 및 역위험 프록시와 입력 의미를 공유합니다. 높은</w:t>
      </w:r>
    </w:p>
    <w:p>
      <w:pPr>
        <w:pStyle w:val="BodyText"/>
        <w:spacing w:after="0" w:line="391" w:lineRule="auto"/>
        <w:jc w:val="both"/>
        <w:sectPr>
          <w:pgSz w:w="11910" w:h="16840"/>
          <w:pgMar w:header="0" w:footer="2115" w:top="1840" w:bottom="2300" w:left="992" w:right="708"/>
        </w:sectPr>
      </w:pPr>
    </w:p>
    <w:p>
      <w:pPr>
        <w:pStyle w:val="BodyText"/>
        <w:spacing w:line="405" w:lineRule="auto" w:before="92"/>
        <w:ind w:left="274" w:right="564" w:firstLine="7"/>
        <w:jc w:val="both"/>
        <w:rPr>
          <w:rFonts w:ascii="Calibri" w:hAnsi="Calibri"/>
        </w:rPr>
      </w:pPr>
      <w:r>
        <w:rPr/>
        <w:t>alignment is therefore evidence of </w:t>
      </w:r>
      <w:r>
        <w:rPr>
          <w:i/>
        </w:rPr>
        <w:t>construct overlap</w:t>
      </w:r>
      <w:r>
        <w:rPr/>
        <w:t>, not of superior social-graph semantics </w:t>
      </w:r>
      <w:hyperlink w:history="true" w:anchor="_bookmark147">
        <w:r>
          <w:rPr>
            <w:vertAlign w:val="superscript"/>
          </w:rPr>
          <w:t>[14]</w:t>
        </w:r>
      </w:hyperlink>
      <w:r>
        <w:rPr>
          <w:vertAlign w:val="baseline"/>
        </w:rPr>
        <w:t>. This</w:t>
      </w:r>
      <w:r>
        <w:rPr>
          <w:spacing w:val="-1"/>
          <w:vertAlign w:val="baseline"/>
        </w:rPr>
        <w:t> </w:t>
      </w:r>
      <w:r>
        <w:rPr>
          <w:vertAlign w:val="baseline"/>
        </w:rPr>
        <w:t>ceiling clarifies interpretation of social-method results.</w:t>
      </w:r>
      <w:r>
        <w:rPr>
          <w:spacing w:val="34"/>
          <w:vertAlign w:val="baseline"/>
        </w:rPr>
        <w:t> </w:t>
      </w:r>
      <w:r>
        <w:rPr>
          <w:vertAlign w:val="baseline"/>
        </w:rPr>
        <w:t>EndorseRank’s</w:t>
      </w:r>
      <w:r>
        <w:rPr>
          <w:spacing w:val="-1"/>
          <w:vertAlign w:val="baseline"/>
        </w:rPr>
        <w:t> </w:t>
      </w:r>
      <w:r>
        <w:rPr>
          <w:vertAlign w:val="baseline"/>
        </w:rPr>
        <w:t>trading-success</w:t>
      </w:r>
      <w:r>
        <w:rPr>
          <w:spacing w:val="1"/>
          <w:vertAlign w:val="baseline"/>
        </w:rPr>
        <w:t> </w:t>
      </w:r>
      <w:r>
        <w:rPr>
          <w:rFonts w:ascii="Calibri" w:hAnsi="Calibri"/>
          <w:i/>
          <w:vertAlign w:val="baseline"/>
        </w:rPr>
        <w:t>τ</w:t>
      </w:r>
      <w:r>
        <w:rPr>
          <w:rFonts w:ascii="Calibri" w:hAnsi="Calibri"/>
          <w:i/>
          <w:spacing w:val="31"/>
          <w:w w:val="125"/>
          <w:vertAlign w:val="baseline"/>
        </w:rPr>
        <w:t> </w:t>
      </w:r>
      <w:r>
        <w:rPr>
          <w:rFonts w:ascii="Calibri" w:hAnsi="Calibri"/>
          <w:spacing w:val="-10"/>
          <w:w w:val="125"/>
          <w:vertAlign w:val="baseline"/>
        </w:rPr>
        <w:t>=</w:t>
      </w:r>
    </w:p>
    <w:p>
      <w:pPr>
        <w:pStyle w:val="BodyText"/>
        <w:spacing w:line="405" w:lineRule="auto" w:before="92"/>
        <w:ind w:left="274" w:right="564" w:firstLine="7"/>
        <w:jc w:val="both"/>
        <w:rPr>
          <w:rFonts w:ascii="Calibri" w:hAnsi="Calibri"/>
        </w:rPr>
      </w:pPr>
      <w:r>
        <w:rPr>
          <w:i/>
        </w:rPr>
        <w:t>따라서 정렬은 우수한 소셜 그래프 의미론이 아닌 구조 중복의 증거입니다[14]. 이 상한선은 사회적 방법 결과의 해석을 명확하게 합니다. EndorseRank의 거래 성공 τ =</w:t>
      </w:r>
    </w:p>
    <w:p>
      <w:pPr>
        <w:pStyle w:val="BodyText"/>
        <w:spacing w:line="254" w:lineRule="exact"/>
        <w:ind w:left="282"/>
        <w:jc w:val="both"/>
      </w:pPr>
      <w:r>
        <w:rPr>
          <w:rFonts w:ascii="Calibri" w:hAnsi="Calibri"/>
        </w:rPr>
        <w:t>0</w:t>
      </w:r>
      <w:r>
        <w:rPr>
          <w:rFonts w:ascii="Calibri" w:hAnsi="Calibri"/>
          <w:i/>
        </w:rPr>
        <w:t>.</w:t>
      </w:r>
      <w:r>
        <w:rPr>
          <w:rFonts w:ascii="Calibri" w:hAnsi="Calibri"/>
        </w:rPr>
        <w:t>096</w:t>
      </w:r>
      <w:r>
        <w:rPr>
          <w:rFonts w:ascii="Calibri" w:hAnsi="Calibri"/>
          <w:spacing w:val="5"/>
        </w:rPr>
        <w:t> </w:t>
      </w:r>
      <w:r>
        <w:rPr/>
        <w:t>and AWP’s </w:t>
      </w:r>
      <w:r>
        <w:rPr>
          <w:rFonts w:ascii="Calibri" w:hAnsi="Calibri"/>
          <w:i/>
        </w:rPr>
        <w:t>τ</w:t>
      </w:r>
      <w:r>
        <w:rPr>
          <w:rFonts w:ascii="Calibri" w:hAnsi="Calibri"/>
          <w:i/>
          <w:spacing w:val="42"/>
        </w:rPr>
        <w:t> </w:t>
      </w:r>
      <w:r>
        <w:rPr>
          <w:rFonts w:ascii="Calibri" w:hAnsi="Calibri"/>
        </w:rPr>
        <w:t>=</w:t>
      </w:r>
      <w:r>
        <w:rPr>
          <w:rFonts w:ascii="Calibri" w:hAnsi="Calibri"/>
          <w:spacing w:val="17"/>
        </w:rPr>
        <w:t> </w:t>
      </w:r>
      <w:r>
        <w:rPr>
          <w:rFonts w:ascii="Calibri" w:hAnsi="Calibri"/>
        </w:rPr>
        <w:t>0</w:t>
      </w:r>
      <w:r>
        <w:rPr>
          <w:rFonts w:ascii="Calibri" w:hAnsi="Calibri"/>
          <w:i/>
        </w:rPr>
        <w:t>.</w:t>
      </w:r>
      <w:r>
        <w:rPr>
          <w:rFonts w:ascii="Calibri" w:hAnsi="Calibri"/>
        </w:rPr>
        <w:t>179</w:t>
      </w:r>
      <w:r>
        <w:rPr>
          <w:rFonts w:ascii="Calibri" w:hAnsi="Calibri"/>
          <w:spacing w:val="6"/>
        </w:rPr>
        <w:t> </w:t>
      </w:r>
      <w:r>
        <w:rPr/>
        <w:t>should</w:t>
      </w:r>
      <w:r>
        <w:rPr>
          <w:spacing w:val="-1"/>
        </w:rPr>
        <w:t> </w:t>
      </w:r>
      <w:r>
        <w:rPr/>
        <w:t>be read against an</w:t>
      </w:r>
      <w:r>
        <w:rPr>
          <w:spacing w:val="-1"/>
        </w:rPr>
        <w:t> </w:t>
      </w:r>
      <w:r>
        <w:rPr/>
        <w:t>outcome-native upper bound of</w:t>
      </w:r>
      <w:r>
        <w:rPr>
          <w:spacing w:val="-2"/>
        </w:rPr>
        <w:t> </w:t>
      </w:r>
      <w:r>
        <w:rPr>
          <w:rFonts w:ascii="Calibri" w:hAnsi="Calibri"/>
        </w:rPr>
        <w:t>0</w:t>
      </w:r>
      <w:r>
        <w:rPr>
          <w:rFonts w:ascii="Calibri" w:hAnsi="Calibri"/>
          <w:i/>
        </w:rPr>
        <w:t>.</w:t>
      </w:r>
      <w:r>
        <w:rPr>
          <w:rFonts w:ascii="Calibri" w:hAnsi="Calibri"/>
        </w:rPr>
        <w:t>583</w:t>
      </w:r>
      <w:r>
        <w:rPr/>
        <w:t>,</w:t>
      </w:r>
      <w:r>
        <w:rPr>
          <w:spacing w:val="1"/>
        </w:rPr>
        <w:t> </w:t>
      </w:r>
      <w:r>
        <w:rPr>
          <w:spacing w:val="-5"/>
        </w:rPr>
        <w:t>not</w:t>
      </w:r>
    </w:p>
    <w:p>
      <w:pPr>
        <w:pStyle w:val="BodyText"/>
        <w:spacing w:line="254" w:lineRule="exact"/>
        <w:ind w:left="282"/>
        <w:jc w:val="both"/>
      </w:pPr>
      <w:r>
        <w:rPr>
          <w:i/>
        </w:rPr>
        <w:t>0.096 및 AWP의 τ = 0.179는 결과 기본 상한인 0.583에 대해 읽어야 합니다.</w:t>
      </w:r>
    </w:p>
    <w:p>
      <w:pPr>
        <w:pStyle w:val="BodyText"/>
        <w:spacing w:line="396" w:lineRule="auto" w:before="168"/>
        <w:ind w:left="282" w:right="525"/>
        <w:jc w:val="both"/>
      </w:pPr>
      <w:r>
        <w:rPr/>
        <w:t>against</w:t>
      </w:r>
      <w:r>
        <w:rPr>
          <w:spacing w:val="-15"/>
        </w:rPr>
        <w:t> </w:t>
      </w:r>
      <w:r>
        <w:rPr/>
        <w:t>an</w:t>
      </w:r>
      <w:r>
        <w:rPr>
          <w:spacing w:val="-15"/>
        </w:rPr>
        <w:t> </w:t>
      </w:r>
      <w:r>
        <w:rPr/>
        <w:t>implicit</w:t>
      </w:r>
      <w:r>
        <w:rPr>
          <w:spacing w:val="-15"/>
        </w:rPr>
        <w:t> </w:t>
      </w:r>
      <w:r>
        <w:rPr/>
        <w:t>expectation</w:t>
      </w:r>
      <w:r>
        <w:rPr>
          <w:spacing w:val="-15"/>
        </w:rPr>
        <w:t> </w:t>
      </w:r>
      <w:r>
        <w:rPr/>
        <w:t>of</w:t>
      </w:r>
      <w:r>
        <w:rPr>
          <w:spacing w:val="-15"/>
        </w:rPr>
        <w:t> </w:t>
      </w:r>
      <w:r>
        <w:rPr/>
        <w:t>near-perfect</w:t>
      </w:r>
      <w:r>
        <w:rPr>
          <w:spacing w:val="-15"/>
        </w:rPr>
        <w:t> </w:t>
      </w:r>
      <w:r>
        <w:rPr/>
        <w:t>prediction.</w:t>
      </w:r>
      <w:r>
        <w:rPr>
          <w:spacing w:val="-15"/>
        </w:rPr>
        <w:t> </w:t>
      </w:r>
      <w:r>
        <w:rPr/>
        <w:t>Among</w:t>
      </w:r>
      <w:r>
        <w:rPr>
          <w:spacing w:val="-15"/>
        </w:rPr>
        <w:t> </w:t>
      </w:r>
      <w:r>
        <w:rPr/>
        <w:t>deployable</w:t>
      </w:r>
      <w:r>
        <w:rPr>
          <w:spacing w:val="-15"/>
        </w:rPr>
        <w:t> </w:t>
      </w:r>
      <w:r>
        <w:rPr/>
        <w:t>social</w:t>
      </w:r>
      <w:r>
        <w:rPr>
          <w:spacing w:val="-15"/>
        </w:rPr>
        <w:t> </w:t>
      </w:r>
      <w:r>
        <w:rPr/>
        <w:t>methods,</w:t>
      </w:r>
      <w:r>
        <w:rPr>
          <w:spacing w:val="-15"/>
        </w:rPr>
        <w:t> </w:t>
      </w:r>
      <w:r>
        <w:rPr/>
        <w:t>AWP still</w:t>
      </w:r>
      <w:r>
        <w:rPr>
          <w:spacing w:val="-1"/>
        </w:rPr>
        <w:t> </w:t>
      </w:r>
      <w:r>
        <w:rPr/>
        <w:t>exceeds</w:t>
      </w:r>
      <w:r>
        <w:rPr>
          <w:spacing w:val="-1"/>
        </w:rPr>
        <w:t> </w:t>
      </w:r>
      <w:r>
        <w:rPr/>
        <w:t>EndorseRank</w:t>
      </w:r>
      <w:r>
        <w:rPr>
          <w:spacing w:val="-1"/>
        </w:rPr>
        <w:t> </w:t>
      </w:r>
      <w:r>
        <w:rPr/>
        <w:t>on</w:t>
      </w:r>
      <w:r>
        <w:rPr>
          <w:spacing w:val="-1"/>
        </w:rPr>
        <w:t> </w:t>
      </w:r>
      <w:r>
        <w:rPr/>
        <w:t>trading-success</w:t>
      </w:r>
      <w:r>
        <w:rPr>
          <w:spacing w:val="-1"/>
        </w:rPr>
        <w:t> </w:t>
      </w:r>
      <w:r>
        <w:rPr/>
        <w:t>proxies,</w:t>
      </w:r>
      <w:r>
        <w:rPr>
          <w:spacing w:val="-1"/>
        </w:rPr>
        <w:t> </w:t>
      </w:r>
      <w:r>
        <w:rPr/>
        <w:t>confirming</w:t>
      </w:r>
      <w:r>
        <w:rPr>
          <w:spacing w:val="-1"/>
        </w:rPr>
        <w:t> </w:t>
      </w:r>
      <w:r>
        <w:rPr/>
        <w:t>that</w:t>
      </w:r>
      <w:r>
        <w:rPr>
          <w:spacing w:val="-1"/>
        </w:rPr>
        <w:t> </w:t>
      </w:r>
      <w:r>
        <w:rPr/>
        <w:t>transfer-based</w:t>
      </w:r>
      <w:r>
        <w:rPr>
          <w:spacing w:val="-1"/>
        </w:rPr>
        <w:t> </w:t>
      </w:r>
      <w:r>
        <w:rPr/>
        <w:t>propagation aligns more strongly with trading outcomes on this cohort than allowance-based propagation, in-dependent of the GF-PR ceiling.</w:t>
      </w:r>
      <w:r>
        <w:rPr>
          <w:spacing w:val="31"/>
        </w:rPr>
        <w:t> </w:t>
      </w:r>
      <w:r>
        <w:rPr/>
        <w:t>EndorseRank and AWP remain the deployable social reputation </w:t>
      </w:r>
      <w:bookmarkStart w:name="Theoretical implications" w:id="213"/>
      <w:bookmarkEnd w:id="213"/>
      <w:r>
        <w:rPr>
          <w:w w:val="99"/>
        </w:rPr>
      </w:r>
      <w:bookmarkStart w:name="_bookmark117" w:id="214"/>
      <w:bookmarkEnd w:id="214"/>
      <w:r>
        <w:rPr/>
        <w:t>methods;</w:t>
      </w:r>
      <w:r>
        <w:rPr/>
        <w:t> GF-PR is a diagnostic reference only (Claim SC1).</w:t>
      </w:r>
    </w:p>
    <w:p>
      <w:pPr>
        <w:pStyle w:val="BodyText"/>
        <w:spacing w:line="396" w:lineRule="auto" w:before="168"/>
        <w:ind w:left="282" w:right="525"/>
        <w:jc w:val="both"/>
      </w:pPr>
      <w:r>
        <w:rPr>
          <w:i/>
        </w:rPr>
        <w:t>거의 완벽에 가까운 예측에 대한 암묵적인 기대에 반합니다. 배포 가능한 소셜 방법 중 AWP는 여전히 거래 성공 프록시에서 EndorseRank를 초과하며, 이는 GF-PR 한도와 관계없이 이전 기반 전파가 허용량 기반 전파보다 이 코호트의 거래 결과와 더 강력하게 일치한다는 것을 확인합니다. EndorseRank 및 AWP는 배포 가능한 사회적 평판 방법으로 남아 있으며 GF-PR은 진단 참조일 뿐입니다(청구 SC1).</w:t>
      </w:r>
    </w:p>
    <w:p>
      <w:pPr>
        <w:pStyle w:val="BodyText"/>
        <w:spacing w:before="164"/>
      </w:pPr>
    </w:p>
    <w:p>
      <w:pPr>
        <w:pStyle w:val="Heading2"/>
        <w:numPr>
          <w:ilvl w:val="1"/>
          <w:numId w:val="8"/>
        </w:numPr>
        <w:tabs>
          <w:tab w:pos="783" w:val="left" w:leader="none"/>
        </w:tabs>
        <w:spacing w:line="240" w:lineRule="auto" w:before="0" w:after="0"/>
        <w:ind w:left="783" w:right="0" w:hanging="501"/>
        <w:jc w:val="both"/>
      </w:pPr>
      <w:r>
        <w:rPr/>
        <w:t>Theoretical</w:t>
      </w:r>
      <w:r>
        <w:rPr>
          <w:spacing w:val="22"/>
        </w:rPr>
        <w:t> </w:t>
      </w:r>
      <w:r>
        <w:rPr>
          <w:spacing w:val="-2"/>
        </w:rPr>
        <w:t>implications</w:t>
      </w:r>
    </w:p>
    <w:p>
      <w:pPr>
        <w:pStyle w:val="Heading2"/>
        <w:numPr>
          <w:ilvl w:val="1"/>
          <w:numId w:val="8"/>
        </w:numPr>
        <w:tabs>
          <w:tab w:pos="783" w:val="left" w:leader="none"/>
        </w:tabs>
        <w:spacing w:line="240" w:lineRule="auto" w:before="0" w:after="0"/>
        <w:ind w:left="783" w:right="0" w:hanging="501"/>
        <w:jc w:val="both"/>
      </w:pPr>
      <w:r>
        <w:rPr>
          <w:i/>
        </w:rPr>
        <w:t>이론적 의미</w:t>
      </w:r>
    </w:p>
    <w:p>
      <w:pPr>
        <w:pStyle w:val="BodyText"/>
        <w:spacing w:before="24"/>
        <w:rPr>
          <w:b/>
          <w:sz w:val="28"/>
        </w:rPr>
      </w:pPr>
    </w:p>
    <w:p>
      <w:pPr>
        <w:pStyle w:val="BodyText"/>
        <w:spacing w:line="396" w:lineRule="auto"/>
        <w:ind w:left="282" w:right="523" w:hanging="8"/>
        <w:jc w:val="both"/>
      </w:pPr>
      <w:r>
        <w:rPr/>
        <w:t>The</w:t>
      </w:r>
      <w:r>
        <w:rPr>
          <w:spacing w:val="-2"/>
        </w:rPr>
        <w:t> </w:t>
      </w:r>
      <w:r>
        <w:rPr/>
        <w:t>findings</w:t>
      </w:r>
      <w:r>
        <w:rPr>
          <w:spacing w:val="-2"/>
        </w:rPr>
        <w:t> </w:t>
      </w:r>
      <w:r>
        <w:rPr/>
        <w:t>extend</w:t>
      </w:r>
      <w:r>
        <w:rPr>
          <w:spacing w:val="-1"/>
        </w:rPr>
        <w:t> </w:t>
      </w:r>
      <w:r>
        <w:rPr/>
        <w:t>three</w:t>
      </w:r>
      <w:r>
        <w:rPr>
          <w:spacing w:val="-2"/>
        </w:rPr>
        <w:t> </w:t>
      </w:r>
      <w:r>
        <w:rPr/>
        <w:t>strands</w:t>
      </w:r>
      <w:r>
        <w:rPr>
          <w:spacing w:val="-1"/>
        </w:rPr>
        <w:t> </w:t>
      </w:r>
      <w:r>
        <w:rPr/>
        <w:t>of</w:t>
      </w:r>
      <w:r>
        <w:rPr>
          <w:spacing w:val="-2"/>
        </w:rPr>
        <w:t> </w:t>
      </w:r>
      <w:r>
        <w:rPr/>
        <w:t>theory:</w:t>
      </w:r>
      <w:r>
        <w:rPr>
          <w:spacing w:val="21"/>
        </w:rPr>
        <w:t> </w:t>
      </w:r>
      <w:r>
        <w:rPr/>
        <w:t>hyperlink-style</w:t>
      </w:r>
      <w:r>
        <w:rPr>
          <w:spacing w:val="-2"/>
        </w:rPr>
        <w:t> </w:t>
      </w:r>
      <w:r>
        <w:rPr/>
        <w:t>propagation</w:t>
      </w:r>
      <w:r>
        <w:rPr>
          <w:spacing w:val="-1"/>
        </w:rPr>
        <w:t> </w:t>
      </w:r>
      <w:r>
        <w:rPr/>
        <w:t>on</w:t>
      </w:r>
      <w:r>
        <w:rPr>
          <w:spacing w:val="-2"/>
        </w:rPr>
        <w:t> </w:t>
      </w:r>
      <w:r>
        <w:rPr/>
        <w:t>financial</w:t>
      </w:r>
      <w:r>
        <w:rPr>
          <w:spacing w:val="-1"/>
        </w:rPr>
        <w:t> </w:t>
      </w:r>
      <w:r>
        <w:rPr/>
        <w:t>graphs,</w:t>
      </w:r>
      <w:r>
        <w:rPr>
          <w:spacing w:val="-1"/>
        </w:rPr>
        <w:t> </w:t>
      </w:r>
      <w:r>
        <w:rPr/>
        <w:t>con-</w:t>
      </w:r>
      <w:bookmarkStart w:name="Propagation semantics beyond transfers" w:id="215"/>
      <w:bookmarkEnd w:id="215"/>
      <w:r>
        <w:rPr/>
        <w:t>struct</w:t>
      </w:r>
      <w:r>
        <w:rPr/>
        <w:t> validity for on-chain scores, and the economics of trust under pseudonymity.</w:t>
      </w:r>
    </w:p>
    <w:p>
      <w:pPr>
        <w:pStyle w:val="BodyText"/>
        <w:spacing w:line="396" w:lineRule="auto"/>
        <w:ind w:left="282" w:right="523" w:hanging="8"/>
        <w:jc w:val="both"/>
      </w:pPr>
      <w:r>
        <w:rPr>
          <w:i/>
        </w:rPr>
        <w:t>이번 연구 결과는 금융 그래프의 하이퍼링크 스타일 전파, 온체인 점수에 대한 타당성 구성, 가명 하에서의 신뢰 경제학이라는 세 가지 이론을 확장합니다.</w:t>
      </w:r>
    </w:p>
    <w:p>
      <w:pPr>
        <w:pStyle w:val="BodyText"/>
        <w:spacing w:before="7"/>
      </w:pPr>
    </w:p>
    <w:p>
      <w:pPr>
        <w:pStyle w:val="Heading4"/>
        <w:numPr>
          <w:ilvl w:val="2"/>
          <w:numId w:val="8"/>
        </w:numPr>
        <w:tabs>
          <w:tab w:pos="879" w:val="left" w:leader="none"/>
        </w:tabs>
        <w:spacing w:line="240" w:lineRule="auto" w:before="0" w:after="0"/>
        <w:ind w:left="879" w:right="0" w:hanging="597"/>
        <w:jc w:val="both"/>
      </w:pPr>
      <w:r>
        <w:rPr>
          <w:spacing w:val="-2"/>
        </w:rPr>
        <w:t>Propagation</w:t>
      </w:r>
      <w:r>
        <w:rPr>
          <w:spacing w:val="-3"/>
        </w:rPr>
        <w:t> </w:t>
      </w:r>
      <w:r>
        <w:rPr>
          <w:spacing w:val="-2"/>
        </w:rPr>
        <w:t>semantics beyond</w:t>
      </w:r>
      <w:r>
        <w:rPr>
          <w:spacing w:val="-3"/>
        </w:rPr>
        <w:t> </w:t>
      </w:r>
      <w:r>
        <w:rPr>
          <w:spacing w:val="-2"/>
        </w:rPr>
        <w:t>transfers</w:t>
      </w:r>
    </w:p>
    <w:p>
      <w:pPr>
        <w:pStyle w:val="Heading4"/>
        <w:numPr>
          <w:ilvl w:val="2"/>
          <w:numId w:val="8"/>
        </w:numPr>
        <w:tabs>
          <w:tab w:pos="879" w:val="left" w:leader="none"/>
        </w:tabs>
        <w:spacing w:line="240" w:lineRule="auto" w:before="0" w:after="0"/>
        <w:ind w:left="879" w:right="0" w:hanging="597"/>
        <w:jc w:val="both"/>
      </w:pPr>
      <w:r>
        <w:rPr>
          <w:i/>
        </w:rPr>
        <w:t>전송 이상의 전파 의미론</w:t>
      </w:r>
    </w:p>
    <w:p>
      <w:pPr>
        <w:pStyle w:val="BodyText"/>
        <w:spacing w:before="47"/>
        <w:rPr>
          <w:b/>
        </w:rPr>
      </w:pPr>
    </w:p>
    <w:p>
      <w:pPr>
        <w:pStyle w:val="BodyText"/>
        <w:spacing w:line="393" w:lineRule="auto"/>
        <w:ind w:left="273" w:right="563" w:firstLine="8"/>
        <w:jc w:val="both"/>
      </w:pPr>
      <w:r>
        <w:rPr/>
        <w:t>PageRank’s original formulation treats inbound hyperlinks as citations </w:t>
      </w:r>
      <w:hyperlink w:history="true" w:anchor="_bookmark141">
        <w:r>
          <w:rPr>
            <w:vertAlign w:val="superscript"/>
          </w:rPr>
          <w:t>[8]</w:t>
        </w:r>
      </w:hyperlink>
      <w:r>
        <w:rPr>
          <w:vertAlign w:val="superscript"/>
        </w:rPr>
        <w:t>,</w:t>
      </w:r>
      <w:hyperlink w:history="true" w:anchor="_bookmark182">
        <w:r>
          <w:rPr>
            <w:vertAlign w:val="superscript"/>
          </w:rPr>
          <w:t>[49]</w:t>
        </w:r>
      </w:hyperlink>
      <w:r>
        <w:rPr>
          <w:vertAlign w:val="baseline"/>
        </w:rPr>
        <w:t>.</w:t>
      </w:r>
      <w:r>
        <w:rPr>
          <w:spacing w:val="40"/>
          <w:vertAlign w:val="baseline"/>
        </w:rPr>
        <w:t> </w:t>
      </w:r>
      <w:r>
        <w:rPr>
          <w:vertAlign w:val="baseline"/>
        </w:rPr>
        <w:t>Do et al.</w:t>
      </w:r>
      <w:hyperlink w:history="true" w:anchor="_bookmark149">
        <w:r>
          <w:rPr>
            <w:vertAlign w:val="superscript"/>
          </w:rPr>
          <w:t>[16]</w:t>
        </w:r>
      </w:hyperlink>
      <w:r>
        <w:rPr>
          <w:vertAlign w:val="baseline"/>
        </w:rPr>
        <w:t> map that</w:t>
      </w:r>
      <w:r>
        <w:rPr>
          <w:spacing w:val="-3"/>
          <w:vertAlign w:val="baseline"/>
        </w:rPr>
        <w:t> </w:t>
      </w:r>
      <w:r>
        <w:rPr>
          <w:vertAlign w:val="baseline"/>
        </w:rPr>
        <w:t>metaphor</w:t>
      </w:r>
      <w:r>
        <w:rPr>
          <w:spacing w:val="-4"/>
          <w:vertAlign w:val="baseline"/>
        </w:rPr>
        <w:t> </w:t>
      </w:r>
      <w:r>
        <w:rPr>
          <w:vertAlign w:val="baseline"/>
        </w:rPr>
        <w:t>to</w:t>
      </w:r>
      <w:r>
        <w:rPr>
          <w:spacing w:val="-3"/>
          <w:vertAlign w:val="baseline"/>
        </w:rPr>
        <w:t> </w:t>
      </w:r>
      <w:r>
        <w:rPr>
          <w:vertAlign w:val="baseline"/>
        </w:rPr>
        <w:t>Ethereum</w:t>
      </w:r>
      <w:r>
        <w:rPr>
          <w:spacing w:val="-3"/>
          <w:vertAlign w:val="baseline"/>
        </w:rPr>
        <w:t> </w:t>
      </w:r>
      <w:r>
        <w:rPr>
          <w:vertAlign w:val="baseline"/>
        </w:rPr>
        <w:t>transfers. EndorseRank</w:t>
      </w:r>
      <w:r>
        <w:rPr>
          <w:spacing w:val="-4"/>
          <w:vertAlign w:val="baseline"/>
        </w:rPr>
        <w:t> </w:t>
      </w:r>
      <w:r>
        <w:rPr>
          <w:vertAlign w:val="baseline"/>
        </w:rPr>
        <w:t>maps</w:t>
      </w:r>
      <w:r>
        <w:rPr>
          <w:spacing w:val="-3"/>
          <w:vertAlign w:val="baseline"/>
        </w:rPr>
        <w:t> </w:t>
      </w:r>
      <w:r>
        <w:rPr>
          <w:vertAlign w:val="baseline"/>
        </w:rPr>
        <w:t>it</w:t>
      </w:r>
      <w:r>
        <w:rPr>
          <w:spacing w:val="-3"/>
          <w:vertAlign w:val="baseline"/>
        </w:rPr>
        <w:t> </w:t>
      </w:r>
      <w:r>
        <w:rPr>
          <w:vertAlign w:val="baseline"/>
        </w:rPr>
        <w:t>to</w:t>
      </w:r>
      <w:r>
        <w:rPr>
          <w:spacing w:val="-3"/>
          <w:vertAlign w:val="baseline"/>
        </w:rPr>
        <w:t> </w:t>
      </w:r>
      <w:r>
        <w:rPr>
          <w:vertAlign w:val="baseline"/>
        </w:rPr>
        <w:t>ERC-20</w:t>
      </w:r>
      <w:r>
        <w:rPr>
          <w:spacing w:val="-4"/>
          <w:vertAlign w:val="baseline"/>
        </w:rPr>
        <w:t> </w:t>
      </w:r>
      <w:r>
        <w:rPr>
          <w:vertAlign w:val="baseline"/>
        </w:rPr>
        <w:t>allowances: an</w:t>
      </w:r>
      <w:r>
        <w:rPr>
          <w:spacing w:val="-3"/>
          <w:vertAlign w:val="baseline"/>
        </w:rPr>
        <w:t> </w:t>
      </w:r>
      <w:r>
        <w:rPr>
          <w:vertAlign w:val="baseline"/>
        </w:rPr>
        <w:t>owner</w:t>
      </w:r>
      <w:r>
        <w:rPr>
          <w:spacing w:val="-4"/>
          <w:vertAlign w:val="baseline"/>
        </w:rPr>
        <w:t> </w:t>
      </w:r>
      <w:r>
        <w:rPr>
          <w:vertAlign w:val="baseline"/>
        </w:rPr>
        <w:t>who authorizes</w:t>
      </w:r>
      <w:r>
        <w:rPr>
          <w:spacing w:val="-9"/>
          <w:vertAlign w:val="baseline"/>
        </w:rPr>
        <w:t> </w:t>
      </w:r>
      <w:r>
        <w:rPr>
          <w:vertAlign w:val="baseline"/>
        </w:rPr>
        <w:t>a</w:t>
      </w:r>
      <w:r>
        <w:rPr>
          <w:spacing w:val="-9"/>
          <w:vertAlign w:val="baseline"/>
        </w:rPr>
        <w:t> </w:t>
      </w:r>
      <w:r>
        <w:rPr>
          <w:vertAlign w:val="baseline"/>
        </w:rPr>
        <w:t>spender</w:t>
      </w:r>
      <w:r>
        <w:rPr>
          <w:spacing w:val="-9"/>
          <w:vertAlign w:val="baseline"/>
        </w:rPr>
        <w:t> </w:t>
      </w:r>
      <w:r>
        <w:rPr>
          <w:vertAlign w:val="baseline"/>
        </w:rPr>
        <w:t>issues</w:t>
      </w:r>
      <w:r>
        <w:rPr>
          <w:spacing w:val="-9"/>
          <w:vertAlign w:val="baseline"/>
        </w:rPr>
        <w:t> </w:t>
      </w:r>
      <w:r>
        <w:rPr>
          <w:vertAlign w:val="baseline"/>
        </w:rPr>
        <w:t>a</w:t>
      </w:r>
      <w:r>
        <w:rPr>
          <w:spacing w:val="-9"/>
          <w:vertAlign w:val="baseline"/>
        </w:rPr>
        <w:t> </w:t>
      </w:r>
      <w:r>
        <w:rPr>
          <w:vertAlign w:val="baseline"/>
        </w:rPr>
        <w:t>directed</w:t>
      </w:r>
      <w:r>
        <w:rPr>
          <w:spacing w:val="-9"/>
          <w:vertAlign w:val="baseline"/>
        </w:rPr>
        <w:t> </w:t>
      </w:r>
      <w:r>
        <w:rPr>
          <w:vertAlign w:val="baseline"/>
        </w:rPr>
        <w:t>endorsement</w:t>
      </w:r>
      <w:r>
        <w:rPr>
          <w:spacing w:val="-9"/>
          <w:vertAlign w:val="baseline"/>
        </w:rPr>
        <w:t> </w:t>
      </w:r>
      <w:r>
        <w:rPr>
          <w:vertAlign w:val="baseline"/>
        </w:rPr>
        <w:t>of</w:t>
      </w:r>
      <w:r>
        <w:rPr>
          <w:spacing w:val="-9"/>
          <w:vertAlign w:val="baseline"/>
        </w:rPr>
        <w:t> </w:t>
      </w:r>
      <w:r>
        <w:rPr>
          <w:vertAlign w:val="baseline"/>
        </w:rPr>
        <w:t>spending</w:t>
      </w:r>
      <w:r>
        <w:rPr>
          <w:spacing w:val="-9"/>
          <w:vertAlign w:val="baseline"/>
        </w:rPr>
        <w:t> </w:t>
      </w:r>
      <w:r>
        <w:rPr>
          <w:vertAlign w:val="baseline"/>
        </w:rPr>
        <w:t>authority</w:t>
      </w:r>
      <w:r>
        <w:rPr>
          <w:spacing w:val="-9"/>
          <w:vertAlign w:val="baseline"/>
        </w:rPr>
        <w:t>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14"/>
          <w:vertAlign w:val="baseline"/>
        </w:rPr>
        <w:t> </w:t>
      </w:r>
      <w:r>
        <w:rPr>
          <w:vertAlign w:val="baseline"/>
        </w:rPr>
        <w:t>The</w:t>
      </w:r>
      <w:r>
        <w:rPr>
          <w:spacing w:val="-9"/>
          <w:vertAlign w:val="baseline"/>
        </w:rPr>
        <w:t> </w:t>
      </w:r>
      <w:r>
        <w:rPr>
          <w:vertAlign w:val="baseline"/>
        </w:rPr>
        <w:t>inter-method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316 </w:t>
      </w:r>
      <w:r>
        <w:rPr>
          <w:vertAlign w:val="baseline"/>
        </w:rPr>
        <w:t>demonstrates that changing the edge semantics changes the ranking geometry even when</w:t>
      </w:r>
      <w:r>
        <w:rPr>
          <w:spacing w:val="-8"/>
          <w:vertAlign w:val="baseline"/>
        </w:rPr>
        <w:t> </w:t>
      </w:r>
      <w:r>
        <w:rPr>
          <w:vertAlign w:val="baseline"/>
        </w:rPr>
        <w:t>the</w:t>
      </w:r>
      <w:r>
        <w:rPr>
          <w:spacing w:val="-8"/>
          <w:vertAlign w:val="baseline"/>
        </w:rPr>
        <w:t> </w:t>
      </w:r>
      <w:r>
        <w:rPr>
          <w:vertAlign w:val="baseline"/>
        </w:rPr>
        <w:t>node</w:t>
      </w:r>
      <w:r>
        <w:rPr>
          <w:spacing w:val="-8"/>
          <w:vertAlign w:val="baseline"/>
        </w:rPr>
        <w:t> </w:t>
      </w:r>
      <w:r>
        <w:rPr>
          <w:vertAlign w:val="baseline"/>
        </w:rPr>
        <w:t>set</w:t>
      </w:r>
      <w:r>
        <w:rPr>
          <w:spacing w:val="-8"/>
          <w:vertAlign w:val="baseline"/>
        </w:rPr>
        <w:t> </w:t>
      </w:r>
      <w:r>
        <w:rPr>
          <w:vertAlign w:val="baseline"/>
        </w:rPr>
        <w:t>is</w:t>
      </w:r>
      <w:r>
        <w:rPr>
          <w:spacing w:val="-8"/>
          <w:vertAlign w:val="baseline"/>
        </w:rPr>
        <w:t> </w:t>
      </w:r>
      <w:r>
        <w:rPr>
          <w:vertAlign w:val="baseline"/>
        </w:rPr>
        <w:t>held</w:t>
      </w:r>
      <w:r>
        <w:rPr>
          <w:spacing w:val="-8"/>
          <w:vertAlign w:val="baseline"/>
        </w:rPr>
        <w:t> </w:t>
      </w:r>
      <w:r>
        <w:rPr>
          <w:vertAlign w:val="baseline"/>
        </w:rPr>
        <w:t>fixed.</w:t>
      </w:r>
      <w:r>
        <w:rPr>
          <w:spacing w:val="13"/>
          <w:vertAlign w:val="baseline"/>
        </w:rPr>
        <w:t> </w:t>
      </w:r>
      <w:r>
        <w:rPr>
          <w:vertAlign w:val="baseline"/>
        </w:rPr>
        <w:t>Graph-based</w:t>
      </w:r>
      <w:r>
        <w:rPr>
          <w:spacing w:val="-8"/>
          <w:vertAlign w:val="baseline"/>
        </w:rPr>
        <w:t> </w:t>
      </w:r>
      <w:r>
        <w:rPr>
          <w:vertAlign w:val="baseline"/>
        </w:rPr>
        <w:t>reputation</w:t>
      </w:r>
      <w:r>
        <w:rPr>
          <w:spacing w:val="-8"/>
          <w:vertAlign w:val="baseline"/>
        </w:rPr>
        <w:t> </w:t>
      </w:r>
      <w:r>
        <w:rPr>
          <w:vertAlign w:val="baseline"/>
        </w:rPr>
        <w:t>is</w:t>
      </w:r>
      <w:r>
        <w:rPr>
          <w:spacing w:val="-8"/>
          <w:vertAlign w:val="baseline"/>
        </w:rPr>
        <w:t> </w:t>
      </w:r>
      <w:r>
        <w:rPr>
          <w:vertAlign w:val="baseline"/>
        </w:rPr>
        <w:t>therefore</w:t>
      </w:r>
      <w:r>
        <w:rPr>
          <w:spacing w:val="-8"/>
          <w:vertAlign w:val="baseline"/>
        </w:rPr>
        <w:t> </w:t>
      </w:r>
      <w:r>
        <w:rPr>
          <w:vertAlign w:val="baseline"/>
        </w:rPr>
        <w:t>not</w:t>
      </w:r>
      <w:r>
        <w:rPr>
          <w:spacing w:val="-8"/>
          <w:vertAlign w:val="baseline"/>
        </w:rPr>
        <w:t> </w:t>
      </w:r>
      <w:r>
        <w:rPr>
          <w:vertAlign w:val="baseline"/>
        </w:rPr>
        <w:t>a</w:t>
      </w:r>
      <w:r>
        <w:rPr>
          <w:spacing w:val="-8"/>
          <w:vertAlign w:val="baseline"/>
        </w:rPr>
        <w:t> </w:t>
      </w:r>
      <w:r>
        <w:rPr>
          <w:vertAlign w:val="baseline"/>
        </w:rPr>
        <w:t>single</w:t>
      </w:r>
      <w:r>
        <w:rPr>
          <w:spacing w:val="-8"/>
          <w:vertAlign w:val="baseline"/>
        </w:rPr>
        <w:t> </w:t>
      </w:r>
      <w:r>
        <w:rPr>
          <w:vertAlign w:val="baseline"/>
        </w:rPr>
        <w:t>algorithm</w:t>
      </w:r>
      <w:r>
        <w:rPr>
          <w:spacing w:val="-8"/>
          <w:vertAlign w:val="baseline"/>
        </w:rPr>
        <w:t> </w:t>
      </w:r>
      <w:r>
        <w:rPr>
          <w:vertAlign w:val="baseline"/>
        </w:rPr>
        <w:t>applied to</w:t>
      </w:r>
      <w:r>
        <w:rPr>
          <w:spacing w:val="-11"/>
          <w:vertAlign w:val="baseline"/>
        </w:rPr>
        <w:t> </w:t>
      </w:r>
      <w:r>
        <w:rPr>
          <w:vertAlign w:val="baseline"/>
        </w:rPr>
        <w:t>“the”</w:t>
      </w:r>
      <w:r>
        <w:rPr>
          <w:spacing w:val="-11"/>
          <w:vertAlign w:val="baseline"/>
        </w:rPr>
        <w:t> </w:t>
      </w:r>
      <w:r>
        <w:rPr>
          <w:vertAlign w:val="baseline"/>
        </w:rPr>
        <w:t>transaction</w:t>
      </w:r>
      <w:r>
        <w:rPr>
          <w:spacing w:val="-11"/>
          <w:vertAlign w:val="baseline"/>
        </w:rPr>
        <w:t> </w:t>
      </w:r>
      <w:r>
        <w:rPr>
          <w:vertAlign w:val="baseline"/>
        </w:rPr>
        <w:t>graph;</w:t>
      </w:r>
      <w:r>
        <w:rPr>
          <w:spacing w:val="-9"/>
          <w:vertAlign w:val="baseline"/>
        </w:rPr>
        <w:t> </w:t>
      </w:r>
      <w:r>
        <w:rPr>
          <w:vertAlign w:val="baseline"/>
        </w:rPr>
        <w:t>it</w:t>
      </w:r>
      <w:r>
        <w:rPr>
          <w:spacing w:val="-11"/>
          <w:vertAlign w:val="baseline"/>
        </w:rPr>
        <w:t> </w:t>
      </w:r>
      <w:r>
        <w:rPr>
          <w:vertAlign w:val="baseline"/>
        </w:rPr>
        <w:t>is</w:t>
      </w:r>
      <w:r>
        <w:rPr>
          <w:spacing w:val="-11"/>
          <w:vertAlign w:val="baseline"/>
        </w:rPr>
        <w:t> </w:t>
      </w:r>
      <w:r>
        <w:rPr>
          <w:vertAlign w:val="baseline"/>
        </w:rPr>
        <w:t>a</w:t>
      </w:r>
      <w:r>
        <w:rPr>
          <w:spacing w:val="-11"/>
          <w:vertAlign w:val="baseline"/>
        </w:rPr>
        <w:t> </w:t>
      </w:r>
      <w:r>
        <w:rPr>
          <w:vertAlign w:val="baseline"/>
        </w:rPr>
        <w:t>family</w:t>
      </w:r>
      <w:r>
        <w:rPr>
          <w:spacing w:val="-11"/>
          <w:vertAlign w:val="baseline"/>
        </w:rPr>
        <w:t> </w:t>
      </w:r>
      <w:r>
        <w:rPr>
          <w:vertAlign w:val="baseline"/>
        </w:rPr>
        <w:t>of</w:t>
      </w:r>
      <w:r>
        <w:rPr>
          <w:spacing w:val="-11"/>
          <w:vertAlign w:val="baseline"/>
        </w:rPr>
        <w:t> </w:t>
      </w:r>
      <w:r>
        <w:rPr>
          <w:vertAlign w:val="baseline"/>
        </w:rPr>
        <w:t>methods</w:t>
      </w:r>
      <w:r>
        <w:rPr>
          <w:spacing w:val="-11"/>
          <w:vertAlign w:val="baseline"/>
        </w:rPr>
        <w:t> </w:t>
      </w:r>
      <w:r>
        <w:rPr>
          <w:vertAlign w:val="baseline"/>
        </w:rPr>
        <w:t>whose</w:t>
      </w:r>
      <w:r>
        <w:rPr>
          <w:spacing w:val="-11"/>
          <w:vertAlign w:val="baseline"/>
        </w:rPr>
        <w:t> </w:t>
      </w:r>
      <w:r>
        <w:rPr>
          <w:vertAlign w:val="baseline"/>
        </w:rPr>
        <w:t>validity</w:t>
      </w:r>
      <w:r>
        <w:rPr>
          <w:spacing w:val="-11"/>
          <w:vertAlign w:val="baseline"/>
        </w:rPr>
        <w:t> </w:t>
      </w:r>
      <w:r>
        <w:rPr>
          <w:vertAlign w:val="baseline"/>
        </w:rPr>
        <w:t>depends</w:t>
      </w:r>
      <w:r>
        <w:rPr>
          <w:spacing w:val="-11"/>
          <w:vertAlign w:val="baseline"/>
        </w:rPr>
        <w:t> </w:t>
      </w:r>
      <w:r>
        <w:rPr>
          <w:vertAlign w:val="baseline"/>
        </w:rPr>
        <w:t>on</w:t>
      </w:r>
      <w:r>
        <w:rPr>
          <w:spacing w:val="-11"/>
          <w:vertAlign w:val="baseline"/>
        </w:rPr>
        <w:t> </w:t>
      </w:r>
      <w:r>
        <w:rPr>
          <w:vertAlign w:val="baseline"/>
        </w:rPr>
        <w:t>which</w:t>
      </w:r>
      <w:r>
        <w:rPr>
          <w:spacing w:val="-11"/>
          <w:vertAlign w:val="baseline"/>
        </w:rPr>
        <w:t> </w:t>
      </w:r>
      <w:r>
        <w:rPr>
          <w:vertAlign w:val="baseline"/>
        </w:rPr>
        <w:t>relationships are encoded as edges </w:t>
      </w:r>
      <w:hyperlink w:history="true" w:anchor="_bookmark173">
        <w:r>
          <w:rPr>
            <w:vertAlign w:val="superscript"/>
          </w:rPr>
          <w:t>[40]</w:t>
        </w:r>
      </w:hyperlink>
      <w:r>
        <w:rPr>
          <w:vertAlign w:val="superscript"/>
        </w:rPr>
        <w:t>,</w:t>
      </w:r>
      <w:hyperlink w:history="true" w:anchor="_bookmark177">
        <w:r>
          <w:rPr>
            <w:vertAlign w:val="superscript"/>
          </w:rPr>
          <w:t>[44]</w:t>
        </w:r>
      </w:hyperlink>
      <w:r>
        <w:rPr>
          <w:vertAlign w:val="baseline"/>
        </w:rPr>
        <w:t>.</w:t>
      </w:r>
    </w:p>
    <w:p>
      <w:pPr>
        <w:pStyle w:val="BodyText"/>
        <w:spacing w:line="393" w:lineRule="auto"/>
        <w:ind w:left="273" w:right="563" w:firstLine="8"/>
        <w:jc w:val="both"/>
      </w:pPr>
      <w:r>
        <w:rPr>
          <w:i/>
        </w:rPr>
        <w:t>PageRank의 원래 공식은 인바운드 하이퍼링크를 인용으로 처리합니다[8],[49]. Do 등[16] 이 비유를 이더리움 전송에 매핑합니다. EndorseRank는 이를 ERC-20 허용량에 매핑합니다. 지출자에게 권한을 부여한 소유자는 지출 권한에 대한 직접 승인을 발행합니다[18],[19]. 방법 간 τ = 0.316은 노드 집합이 고정되어 있는 경우에도 가장자리 의미론을 변경하면 순위 기하구조가 변경된다는 것을 보여줍니다. 따라서 그래프 기반 평판은 "the" 트랜잭션 그래프에 적용되는 단일 알고리즘이 아니라 어떤 관계가 가장자리로 인코딩되는지에 따라 유효성이 달라지는 일련의 방법입니다[40],[44].</w:t>
      </w:r>
    </w:p>
    <w:p>
      <w:pPr>
        <w:pStyle w:val="BodyText"/>
        <w:spacing w:line="396" w:lineRule="auto" w:before="13"/>
        <w:ind w:left="282" w:right="524"/>
        <w:jc w:val="both"/>
      </w:pPr>
      <w:r>
        <w:rPr/>
        <w:t>Related</w:t>
      </w:r>
      <w:r>
        <w:rPr>
          <w:spacing w:val="-8"/>
        </w:rPr>
        <w:t> </w:t>
      </w:r>
      <w:r>
        <w:rPr/>
        <w:t>trust-propagation</w:t>
      </w:r>
      <w:r>
        <w:rPr>
          <w:spacing w:val="-8"/>
        </w:rPr>
        <w:t> </w:t>
      </w:r>
      <w:r>
        <w:rPr/>
        <w:t>systems</w:t>
      </w:r>
      <w:r>
        <w:rPr>
          <w:spacing w:val="-8"/>
        </w:rPr>
        <w:t> </w:t>
      </w:r>
      <w:r>
        <w:rPr/>
        <w:t>in</w:t>
      </w:r>
      <w:r>
        <w:rPr>
          <w:spacing w:val="-8"/>
        </w:rPr>
        <w:t> </w:t>
      </w:r>
      <w:r>
        <w:rPr/>
        <w:t>peer-to-peer</w:t>
      </w:r>
      <w:r>
        <w:rPr>
          <w:spacing w:val="-8"/>
        </w:rPr>
        <w:t> </w:t>
      </w:r>
      <w:r>
        <w:rPr/>
        <w:t>and</w:t>
      </w:r>
      <w:r>
        <w:rPr>
          <w:spacing w:val="-8"/>
        </w:rPr>
        <w:t> </w:t>
      </w:r>
      <w:r>
        <w:rPr/>
        <w:t>web</w:t>
      </w:r>
      <w:r>
        <w:rPr>
          <w:spacing w:val="-8"/>
        </w:rPr>
        <w:t> </w:t>
      </w:r>
      <w:r>
        <w:rPr/>
        <w:t>settings—EigenTrust</w:t>
      </w:r>
      <w:r>
        <w:rPr>
          <w:spacing w:val="-8"/>
        </w:rPr>
        <w:t> </w:t>
      </w:r>
      <w:r>
        <w:rPr/>
        <w:t>and</w:t>
      </w:r>
      <w:r>
        <w:rPr>
          <w:spacing w:val="-8"/>
        </w:rPr>
        <w:t> </w:t>
      </w:r>
      <w:r>
        <w:rPr/>
        <w:t>TrustRank—similarly show that seed sets and edge definitions dominate outcomes </w:t>
      </w:r>
      <w:hyperlink w:history="true" w:anchor="_bookmark160">
        <w:r>
          <w:rPr>
            <w:vertAlign w:val="superscript"/>
          </w:rPr>
          <w:t>[27]</w:t>
        </w:r>
      </w:hyperlink>
      <w:r>
        <w:rPr>
          <w:vertAlign w:val="superscript"/>
        </w:rPr>
        <w:t>,</w:t>
      </w:r>
      <w:hyperlink w:history="true" w:anchor="_bookmark168">
        <w:r>
          <w:rPr>
            <w:vertAlign w:val="superscript"/>
          </w:rPr>
          <w:t>[35]</w:t>
        </w:r>
      </w:hyperlink>
      <w:r>
        <w:rPr>
          <w:vertAlign w:val="baseline"/>
        </w:rPr>
        <w:t>.</w:t>
      </w:r>
      <w:r>
        <w:rPr>
          <w:spacing w:val="40"/>
          <w:vertAlign w:val="baseline"/>
        </w:rPr>
        <w:t> </w:t>
      </w:r>
      <w:r>
        <w:rPr>
          <w:vertAlign w:val="baseline"/>
        </w:rPr>
        <w:t>EndorseRank con-tributes an edge definition native to token standards rather than to message-passing overlays or </w:t>
      </w:r>
      <w:bookmarkStart w:name="Multi-construct domain alignment" w:id="216"/>
      <w:bookmarkEnd w:id="216"/>
      <w:r>
        <w:rPr>
          <w:vertAlign w:val="baseline"/>
        </w:rPr>
        <w:t>hyperlink</w:t>
      </w:r>
      <w:r>
        <w:rPr>
          <w:vertAlign w:val="baseline"/>
        </w:rPr>
        <w:t> graphs.</w:t>
      </w:r>
    </w:p>
    <w:p>
      <w:pPr>
        <w:pStyle w:val="BodyText"/>
        <w:spacing w:line="396" w:lineRule="auto" w:before="13"/>
        <w:ind w:left="282" w:right="524"/>
        <w:jc w:val="both"/>
      </w:pPr>
      <w:r>
        <w:rPr>
          <w:i/>
        </w:rPr>
        <w:t>P2P 및 웹 설정의 관련 신뢰 전파 시스템(EigenTrust 및 TrustRank)은 마찬가지로 시드 세트와 에지 정의가 결과를 지배한다는 것을 보여줍니다[27],[35]. EndorseRank는 메시지 전달 오버레이 또는 하이퍼링크 그래프가 아닌 토큰 표준 고유의 에지 정의에 기여합니다.</w:t>
      </w:r>
    </w:p>
    <w:p>
      <w:pPr>
        <w:pStyle w:val="BodyText"/>
        <w:spacing w:after="0" w:line="396" w:lineRule="auto"/>
        <w:jc w:val="both"/>
        <w:sectPr>
          <w:pgSz w:w="11910" w:h="16840"/>
          <w:pgMar w:header="0" w:footer="2115" w:top="182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Multi-construct</w:t>
      </w:r>
      <w:r>
        <w:rPr>
          <w:spacing w:val="5"/>
        </w:rPr>
        <w:t> </w:t>
      </w:r>
      <w:r>
        <w:rPr>
          <w:spacing w:val="-2"/>
        </w:rPr>
        <w:t>domain</w:t>
      </w:r>
      <w:r>
        <w:rPr>
          <w:spacing w:val="6"/>
        </w:rPr>
        <w:t> </w:t>
      </w:r>
      <w:r>
        <w:rPr>
          <w:spacing w:val="-2"/>
        </w:rPr>
        <w:t>alignment</w:t>
      </w:r>
    </w:p>
    <w:p>
      <w:pPr>
        <w:pStyle w:val="Heading4"/>
        <w:numPr>
          <w:ilvl w:val="2"/>
          <w:numId w:val="8"/>
        </w:numPr>
        <w:tabs>
          <w:tab w:pos="879" w:val="left" w:leader="none"/>
        </w:tabs>
        <w:spacing w:line="240" w:lineRule="auto" w:before="73" w:after="0"/>
        <w:ind w:left="879" w:right="0" w:hanging="597"/>
        <w:jc w:val="left"/>
      </w:pPr>
      <w:r>
        <w:rPr>
          <w:i/>
        </w:rPr>
        <w:t>다중 구성 도메인 정렬</w:t>
      </w:r>
    </w:p>
    <w:p>
      <w:pPr>
        <w:pStyle w:val="BodyText"/>
        <w:spacing w:before="46"/>
        <w:rPr>
          <w:b/>
        </w:rPr>
      </w:pPr>
    </w:p>
    <w:p>
      <w:pPr>
        <w:pStyle w:val="BodyText"/>
        <w:spacing w:line="388" w:lineRule="auto"/>
        <w:ind w:left="273" w:right="523" w:firstLine="1"/>
        <w:jc w:val="both"/>
      </w:pPr>
      <w:r>
        <w:rPr/>
        <w:t>The</w:t>
      </w:r>
      <w:r>
        <w:rPr>
          <w:spacing w:val="-6"/>
        </w:rPr>
        <w:t> </w:t>
      </w:r>
      <w:r>
        <w:rPr/>
        <w:t>five-proxy</w:t>
      </w:r>
      <w:r>
        <w:rPr>
          <w:spacing w:val="-6"/>
        </w:rPr>
        <w:t> </w:t>
      </w:r>
      <w:r>
        <w:rPr/>
        <w:t>framework</w:t>
      </w:r>
      <w:r>
        <w:rPr>
          <w:spacing w:val="-6"/>
        </w:rPr>
        <w:t> </w:t>
      </w:r>
      <w:r>
        <w:rPr/>
        <w:t>extends</w:t>
      </w:r>
      <w:r>
        <w:rPr>
          <w:spacing w:val="-6"/>
        </w:rPr>
        <w:t> </w:t>
      </w:r>
      <w:r>
        <w:rPr/>
        <w:t>Do</w:t>
      </w:r>
      <w:r>
        <w:rPr>
          <w:spacing w:val="-6"/>
        </w:rPr>
        <w:t> </w:t>
      </w:r>
      <w:r>
        <w:rPr/>
        <w:t>et</w:t>
      </w:r>
      <w:r>
        <w:rPr>
          <w:spacing w:val="-6"/>
        </w:rPr>
        <w:t> </w:t>
      </w:r>
      <w:r>
        <w:rPr/>
        <w:t>al.’s</w:t>
      </w:r>
      <w:r>
        <w:rPr>
          <w:spacing w:val="-6"/>
        </w:rPr>
        <w:t> </w:t>
      </w:r>
      <w:r>
        <w:rPr/>
        <w:t>validation</w:t>
      </w:r>
      <w:r>
        <w:rPr>
          <w:spacing w:val="-6"/>
        </w:rPr>
        <w:t> </w:t>
      </w:r>
      <w:r>
        <w:rPr/>
        <w:t>logic</w:t>
      </w:r>
      <w:r>
        <w:rPr>
          <w:spacing w:val="-6"/>
        </w:rPr>
        <w:t> </w:t>
      </w:r>
      <w:r>
        <w:rPr/>
        <w:t>by</w:t>
      </w:r>
      <w:r>
        <w:rPr>
          <w:spacing w:val="-6"/>
        </w:rPr>
        <w:t> </w:t>
      </w:r>
      <w:r>
        <w:rPr/>
        <w:t>separating</w:t>
      </w:r>
      <w:r>
        <w:rPr>
          <w:spacing w:val="-6"/>
        </w:rPr>
        <w:t> </w:t>
      </w:r>
      <w:r>
        <w:rPr/>
        <w:t>transfer</w:t>
      </w:r>
      <w:r>
        <w:rPr>
          <w:spacing w:val="-6"/>
        </w:rPr>
        <w:t> </w:t>
      </w:r>
      <w:r>
        <w:rPr/>
        <w:t>centrality,</w:t>
      </w:r>
      <w:r>
        <w:rPr>
          <w:spacing w:val="-6"/>
        </w:rPr>
        <w:t> </w:t>
      </w:r>
      <w:r>
        <w:rPr/>
        <w:t>al-lowance</w:t>
      </w:r>
      <w:r>
        <w:rPr>
          <w:spacing w:val="-6"/>
        </w:rPr>
        <w:t> </w:t>
      </w:r>
      <w:r>
        <w:rPr/>
        <w:t>delegation,</w:t>
      </w:r>
      <w:r>
        <w:rPr>
          <w:spacing w:val="-5"/>
        </w:rPr>
        <w:t> </w:t>
      </w:r>
      <w:r>
        <w:rPr/>
        <w:t>leveraged</w:t>
      </w:r>
      <w:r>
        <w:rPr>
          <w:spacing w:val="-6"/>
        </w:rPr>
        <w:t> </w:t>
      </w:r>
      <w:r>
        <w:rPr/>
        <w:t>outcomes,</w:t>
      </w:r>
      <w:r>
        <w:rPr>
          <w:spacing w:val="-5"/>
        </w:rPr>
        <w:t> </w:t>
      </w:r>
      <w:r>
        <w:rPr/>
        <w:t>and</w:t>
      </w:r>
      <w:r>
        <w:rPr>
          <w:spacing w:val="-6"/>
        </w:rPr>
        <w:t> </w:t>
      </w:r>
      <w:r>
        <w:rPr/>
        <w:t>Sybil-adjusted</w:t>
      </w:r>
      <w:r>
        <w:rPr>
          <w:spacing w:val="-6"/>
        </w:rPr>
        <w:t> </w:t>
      </w:r>
      <w:r>
        <w:rPr/>
        <w:t>activity. EndorseRank</w:t>
      </w:r>
      <w:r>
        <w:rPr>
          <w:spacing w:val="-6"/>
        </w:rPr>
        <w:t> </w:t>
      </w:r>
      <w:r>
        <w:rPr/>
        <w:t>aligns</w:t>
      </w:r>
      <w:r>
        <w:rPr>
          <w:spacing w:val="-6"/>
        </w:rPr>
        <w:t> </w:t>
      </w:r>
      <w:r>
        <w:rPr/>
        <w:t>with</w:t>
      </w:r>
      <w:r>
        <w:rPr>
          <w:spacing w:val="-6"/>
        </w:rPr>
        <w:t> </w:t>
      </w:r>
      <w:r>
        <w:rPr/>
        <w:t>its primary allowance construct (</w:t>
      </w:r>
      <w:r>
        <w:rPr>
          <w:rFonts w:ascii="Calibri" w:hAnsi="Calibri"/>
          <w:i/>
        </w:rPr>
        <w:t>G</w:t>
      </w:r>
      <w:r>
        <w:rPr>
          <w:vertAlign w:val="subscript"/>
        </w:rPr>
        <w:t>approve</w:t>
      </w:r>
      <w:r>
        <w:rPr>
          <w:vertAlign w:val="baseline"/>
        </w:rPr>
        <w:t>,</w:t>
      </w:r>
      <w:r>
        <w:rPr>
          <w:spacing w:val="24"/>
          <w:vertAlign w:val="baseline"/>
        </w:rPr>
        <w:t>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355</w:t>
      </w:r>
      <w:r>
        <w:rPr>
          <w:vertAlign w:val="baseline"/>
        </w:rPr>
        <w:t>);</w:t>
      </w:r>
      <w:r>
        <w:rPr>
          <w:spacing w:val="28"/>
          <w:vertAlign w:val="baseline"/>
        </w:rPr>
        <w:t> </w:t>
      </w:r>
      <w:r>
        <w:rPr>
          <w:vertAlign w:val="baseline"/>
        </w:rPr>
        <w:t>transfer proxies serve as a secondary valida-tion axis (moderate </w:t>
      </w:r>
      <w:r>
        <w:rPr>
          <w:rFonts w:ascii="Calibri" w:hAnsi="Calibri"/>
          <w:i/>
          <w:vertAlign w:val="baseline"/>
        </w:rPr>
        <w:t>τ</w:t>
      </w:r>
      <w:r>
        <w:rPr>
          <w:rFonts w:ascii="Calibri" w:hAnsi="Calibri"/>
          <w:i/>
          <w:w w:val="125"/>
          <w:vertAlign w:val="baseline"/>
        </w:rPr>
        <w:t> </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333</w:t>
      </w:r>
      <w:r>
        <w:rPr>
          <w:vertAlign w:val="baseline"/>
        </w:rPr>
        <w:t>, below AWP </w:t>
      </w:r>
      <w:r>
        <w:rPr>
          <w:rFonts w:ascii="Calibri" w:hAnsi="Calibri"/>
          <w:vertAlign w:val="baseline"/>
        </w:rPr>
        <w:t>0</w:t>
      </w:r>
      <w:r>
        <w:rPr>
          <w:rFonts w:ascii="Calibri" w:hAnsi="Calibri"/>
          <w:i/>
          <w:vertAlign w:val="baseline"/>
        </w:rPr>
        <w:t>.</w:t>
      </w:r>
      <w:r>
        <w:rPr>
          <w:rFonts w:ascii="Calibri" w:hAnsi="Calibri"/>
          <w:vertAlign w:val="baseline"/>
        </w:rPr>
        <w:t>534</w:t>
      </w:r>
      <w:r>
        <w:rPr>
          <w:vertAlign w:val="baseline"/>
        </w:rPr>
        <w:t>). AWP aligns with transfer—its primary graph construct—and several outcome proxies derived from the same wallet activity.</w:t>
      </w:r>
      <w:r>
        <w:rPr>
          <w:spacing w:val="40"/>
          <w:vertAlign w:val="baseline"/>
        </w:rPr>
        <w:t> </w:t>
      </w:r>
      <w:r>
        <w:rPr>
          <w:vertAlign w:val="baseline"/>
        </w:rPr>
        <w:t>The supplemen-tary</w:t>
      </w:r>
      <w:r>
        <w:rPr>
          <w:spacing w:val="-14"/>
          <w:vertAlign w:val="baseline"/>
        </w:rPr>
        <w:t> </w:t>
      </w:r>
      <w:r>
        <w:rPr>
          <w:vertAlign w:val="baseline"/>
        </w:rPr>
        <w:t>GF-PR</w:t>
      </w:r>
      <w:r>
        <w:rPr>
          <w:spacing w:val="-14"/>
          <w:vertAlign w:val="baseline"/>
        </w:rPr>
        <w:t> </w:t>
      </w:r>
      <w:r>
        <w:rPr>
          <w:vertAlign w:val="baseline"/>
        </w:rPr>
        <w:t>analysis</w:t>
      </w:r>
      <w:r>
        <w:rPr>
          <w:spacing w:val="-14"/>
          <w:vertAlign w:val="baseline"/>
        </w:rPr>
        <w:t> </w:t>
      </w:r>
      <w:r>
        <w:rPr>
          <w:vertAlign w:val="baseline"/>
        </w:rPr>
        <w:t>demonstrates</w:t>
      </w:r>
      <w:r>
        <w:rPr>
          <w:spacing w:val="-14"/>
          <w:vertAlign w:val="baseline"/>
        </w:rPr>
        <w:t> </w:t>
      </w:r>
      <w:r>
        <w:rPr>
          <w:vertAlign w:val="baseline"/>
        </w:rPr>
        <w:t>the</w:t>
      </w:r>
      <w:r>
        <w:rPr>
          <w:spacing w:val="-14"/>
          <w:vertAlign w:val="baseline"/>
        </w:rPr>
        <w:t> </w:t>
      </w:r>
      <w:r>
        <w:rPr>
          <w:vertAlign w:val="baseline"/>
        </w:rPr>
        <w:t>upper</w:t>
      </w:r>
      <w:r>
        <w:rPr>
          <w:spacing w:val="-14"/>
          <w:vertAlign w:val="baseline"/>
        </w:rPr>
        <w:t> </w:t>
      </w:r>
      <w:r>
        <w:rPr>
          <w:vertAlign w:val="baseline"/>
        </w:rPr>
        <w:t>bound</w:t>
      </w:r>
      <w:r>
        <w:rPr>
          <w:spacing w:val="-14"/>
          <w:vertAlign w:val="baseline"/>
        </w:rPr>
        <w:t> </w:t>
      </w:r>
      <w:r>
        <w:rPr>
          <w:vertAlign w:val="baseline"/>
        </w:rPr>
        <w:t>of</w:t>
      </w:r>
      <w:r>
        <w:rPr>
          <w:spacing w:val="-14"/>
          <w:vertAlign w:val="baseline"/>
        </w:rPr>
        <w:t> </w:t>
      </w:r>
      <w:r>
        <w:rPr>
          <w:vertAlign w:val="baseline"/>
        </w:rPr>
        <w:t>trading-outcome</w:t>
      </w:r>
      <w:r>
        <w:rPr>
          <w:spacing w:val="-14"/>
          <w:vertAlign w:val="baseline"/>
        </w:rPr>
        <w:t> </w:t>
      </w:r>
      <w:r>
        <w:rPr>
          <w:vertAlign w:val="baseline"/>
        </w:rPr>
        <w:t>proxy</w:t>
      </w:r>
      <w:r>
        <w:rPr>
          <w:spacing w:val="-14"/>
          <w:vertAlign w:val="baseline"/>
        </w:rPr>
        <w:t> </w:t>
      </w:r>
      <w:r>
        <w:rPr>
          <w:vertAlign w:val="baseline"/>
        </w:rPr>
        <w:t>alignment</w:t>
      </w:r>
      <w:r>
        <w:rPr>
          <w:spacing w:val="-14"/>
          <w:vertAlign w:val="baseline"/>
        </w:rPr>
        <w:t> </w:t>
      </w:r>
      <w:r>
        <w:rPr>
          <w:vertAlign w:val="baseline"/>
        </w:rPr>
        <w:t>achievable when ranking directly on outcome flow rather than social edges (SRQ1).</w:t>
      </w:r>
    </w:p>
    <w:p>
      <w:pPr>
        <w:pStyle w:val="BodyText"/>
        <w:spacing w:line="388" w:lineRule="auto"/>
        <w:ind w:left="273" w:right="523" w:firstLine="1"/>
        <w:jc w:val="both"/>
      </w:pPr>
      <w:r>
        <w:rPr>
          <w:i/>
        </w:rPr>
        <w:t>5-프록시 프레임워크는 전송 중심성, 할당 위임, 활용 결과 및 Sybil 조정 활동을 분리하여 Do et al.의 검증 논리를 확장합니다. EndorseRank는 기본 허용 구성(Gapprove, τ = 0.355)과 일치하며 전송 프록시는 2차 검증 축 역할을 합니다(보통 τ = 0.333, AWP 0.534 미만). AWP는 전송(기본 그래프 구성) 및 동일한 지갑 활동에서 파생된 여러 결과 프록시와 일치합니다. 보충적인 GF-PR 분석은 사회적 우위(SRQ1)보다는 결과 흐름에 직접적으로 순위를 매길 때 달성 가능한 거래 결과 프록시 정렬의 상한선을 보여줍니다.</w:t>
      </w:r>
    </w:p>
    <w:p>
      <w:pPr>
        <w:pStyle w:val="BodyText"/>
        <w:spacing w:line="396" w:lineRule="auto" w:before="25"/>
        <w:ind w:left="273" w:right="558" w:firstLine="1"/>
        <w:jc w:val="both"/>
      </w:pPr>
      <w:r>
        <w:rPr/>
        <w:t>This pattern is consistent with classical construct-validity reasoning:</w:t>
      </w:r>
      <w:r>
        <w:rPr>
          <w:spacing w:val="40"/>
        </w:rPr>
        <w:t> </w:t>
      </w:r>
      <w:r>
        <w:rPr/>
        <w:t>indicators should correlate with measures of the same construct and diverge from measures of different constructs </w:t>
      </w:r>
      <w:hyperlink w:history="true" w:anchor="_bookmark147">
        <w:r>
          <w:rPr>
            <w:vertAlign w:val="superscript"/>
          </w:rPr>
          <w:t>[14]</w:t>
        </w:r>
      </w:hyperlink>
      <w:r>
        <w:rPr>
          <w:vertAlign w:val="baseline"/>
        </w:rPr>
        <w:t>.</w:t>
      </w:r>
      <w:r>
        <w:rPr>
          <w:spacing w:val="31"/>
          <w:vertAlign w:val="baseline"/>
        </w:rPr>
        <w:t> </w:t>
      </w:r>
      <w:r>
        <w:rPr>
          <w:vertAlign w:val="baseline"/>
        </w:rPr>
        <w:t>Rank correlations </w:t>
      </w:r>
      <w:hyperlink w:history="true" w:anchor="_bookmark169">
        <w:r>
          <w:rPr>
            <w:vertAlign w:val="superscript"/>
          </w:rPr>
          <w:t>[36]</w:t>
        </w:r>
      </w:hyperlink>
      <w:r>
        <w:rPr>
          <w:vertAlign w:val="superscript"/>
        </w:rPr>
        <w:t>,</w:t>
      </w:r>
      <w:hyperlink w:history="true" w:anchor="_bookmark187">
        <w:r>
          <w:rPr>
            <w:vertAlign w:val="superscript"/>
          </w:rPr>
          <w:t>[54]</w:t>
        </w:r>
      </w:hyperlink>
      <w:r>
        <w:rPr>
          <w:vertAlign w:val="baseline"/>
        </w:rPr>
        <w:t> operationalize that reasoning for ordinal reputation scores without imposing </w:t>
      </w:r>
      <w:bookmarkStart w:name="Reputation under cheap pseudonyms" w:id="217"/>
      <w:bookmarkEnd w:id="217"/>
      <w:r>
        <w:rPr>
          <w:vertAlign w:val="baseline"/>
        </w:rPr>
        <w:t>classification</w:t>
      </w:r>
      <w:r>
        <w:rPr>
          <w:vertAlign w:val="baseline"/>
        </w:rPr>
        <w:t> thresholds.</w:t>
      </w:r>
    </w:p>
    <w:p>
      <w:pPr>
        <w:pStyle w:val="BodyText"/>
        <w:spacing w:line="396" w:lineRule="auto" w:before="25"/>
        <w:ind w:left="273" w:right="558" w:firstLine="1"/>
        <w:jc w:val="both"/>
      </w:pPr>
      <w:r>
        <w:rPr>
          <w:i/>
        </w:rPr>
        <w:t>이 패턴은 고전적인 구성 타당성 추론과 일치합니다. 지표는 동일한 구성의 측정값과 상관관계가 있어야 하며 다른 구성의 측정값과 달라야 합니다[14]. 순위 상관관계[36],[54]는 분류 임계값을 부과하지 않고 순서적 평판 점수에 대한 추론을 조작화합니다.</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Reputation</w:t>
      </w:r>
      <w:r>
        <w:rPr>
          <w:spacing w:val="-14"/>
        </w:rPr>
        <w:t> </w:t>
      </w:r>
      <w:r>
        <w:rPr/>
        <w:t>under</w:t>
      </w:r>
      <w:r>
        <w:rPr>
          <w:spacing w:val="-13"/>
        </w:rPr>
        <w:t> </w:t>
      </w:r>
      <w:r>
        <w:rPr/>
        <w:t>cheap</w:t>
      </w:r>
      <w:r>
        <w:rPr>
          <w:spacing w:val="-13"/>
        </w:rPr>
        <w:t> </w:t>
      </w:r>
      <w:r>
        <w:rPr>
          <w:spacing w:val="-2"/>
        </w:rPr>
        <w:t>pseudonyms</w:t>
      </w:r>
    </w:p>
    <w:p>
      <w:pPr>
        <w:pStyle w:val="Heading4"/>
        <w:numPr>
          <w:ilvl w:val="2"/>
          <w:numId w:val="8"/>
        </w:numPr>
        <w:tabs>
          <w:tab w:pos="879" w:val="left" w:leader="none"/>
        </w:tabs>
        <w:spacing w:line="240" w:lineRule="auto" w:before="0" w:after="0"/>
        <w:ind w:left="879" w:right="0" w:hanging="597"/>
        <w:jc w:val="left"/>
      </w:pPr>
      <w:r>
        <w:rPr>
          <w:i/>
        </w:rPr>
        <w:t>값싼 가명으로 인한 평판</w:t>
      </w:r>
    </w:p>
    <w:p>
      <w:pPr>
        <w:pStyle w:val="BodyText"/>
        <w:spacing w:before="47"/>
        <w:rPr>
          <w:b/>
        </w:rPr>
      </w:pPr>
    </w:p>
    <w:p>
      <w:pPr>
        <w:pStyle w:val="BodyText"/>
        <w:spacing w:line="396" w:lineRule="auto"/>
        <w:ind w:left="273" w:right="524" w:firstLine="8"/>
        <w:jc w:val="both"/>
      </w:pPr>
      <w:r>
        <w:rPr/>
        <w:t>Public ledgers permit cheap identity creation </w:t>
      </w:r>
      <w:hyperlink w:history="true" w:anchor="_bookmark150">
        <w:r>
          <w:rPr>
            <w:vertAlign w:val="superscript"/>
          </w:rPr>
          <w:t>[17]</w:t>
        </w:r>
      </w:hyperlink>
      <w:r>
        <w:rPr>
          <w:vertAlign w:val="superscript"/>
        </w:rPr>
        <w:t>,</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40"/>
          <w:vertAlign w:val="baseline"/>
        </w:rPr>
        <w:t> </w:t>
      </w:r>
      <w:r>
        <w:rPr>
          <w:vertAlign w:val="baseline"/>
        </w:rPr>
        <w:t>Reputation systems that reward inbound transfers</w:t>
      </w:r>
      <w:r>
        <w:rPr>
          <w:spacing w:val="-8"/>
          <w:vertAlign w:val="baseline"/>
        </w:rPr>
        <w:t> </w:t>
      </w:r>
      <w:r>
        <w:rPr>
          <w:vertAlign w:val="baseline"/>
        </w:rPr>
        <w:t>or</w:t>
      </w:r>
      <w:r>
        <w:rPr>
          <w:spacing w:val="-8"/>
          <w:vertAlign w:val="baseline"/>
        </w:rPr>
        <w:t> </w:t>
      </w:r>
      <w:r>
        <w:rPr>
          <w:vertAlign w:val="baseline"/>
        </w:rPr>
        <w:t>allowances</w:t>
      </w:r>
      <w:r>
        <w:rPr>
          <w:spacing w:val="-8"/>
          <w:vertAlign w:val="baseline"/>
        </w:rPr>
        <w:t> </w:t>
      </w:r>
      <w:r>
        <w:rPr>
          <w:vertAlign w:val="baseline"/>
        </w:rPr>
        <w:t>are</w:t>
      </w:r>
      <w:r>
        <w:rPr>
          <w:spacing w:val="-8"/>
          <w:vertAlign w:val="baseline"/>
        </w:rPr>
        <w:t> </w:t>
      </w:r>
      <w:r>
        <w:rPr>
          <w:vertAlign w:val="baseline"/>
        </w:rPr>
        <w:t>therefore</w:t>
      </w:r>
      <w:r>
        <w:rPr>
          <w:spacing w:val="-8"/>
          <w:vertAlign w:val="baseline"/>
        </w:rPr>
        <w:t> </w:t>
      </w:r>
      <w:r>
        <w:rPr>
          <w:vertAlign w:val="baseline"/>
        </w:rPr>
        <w:t>exposed</w:t>
      </w:r>
      <w:r>
        <w:rPr>
          <w:spacing w:val="-8"/>
          <w:vertAlign w:val="baseline"/>
        </w:rPr>
        <w:t> </w:t>
      </w:r>
      <w:r>
        <w:rPr>
          <w:vertAlign w:val="baseline"/>
        </w:rPr>
        <w:t>to</w:t>
      </w:r>
      <w:r>
        <w:rPr>
          <w:spacing w:val="-8"/>
          <w:vertAlign w:val="baseline"/>
        </w:rPr>
        <w:t> </w:t>
      </w:r>
      <w:r>
        <w:rPr>
          <w:vertAlign w:val="baseline"/>
        </w:rPr>
        <w:t>Sybil</w:t>
      </w:r>
      <w:r>
        <w:rPr>
          <w:spacing w:val="-8"/>
          <w:vertAlign w:val="baseline"/>
        </w:rPr>
        <w:t> </w:t>
      </w:r>
      <w:r>
        <w:rPr>
          <w:vertAlign w:val="baseline"/>
        </w:rPr>
        <w:t>strategies</w:t>
      </w:r>
      <w:r>
        <w:rPr>
          <w:spacing w:val="-7"/>
          <w:vertAlign w:val="baseline"/>
        </w:rPr>
        <w:t> </w:t>
      </w:r>
      <w:r>
        <w:rPr>
          <w:vertAlign w:val="baseline"/>
        </w:rPr>
        <w:t>in</w:t>
      </w:r>
      <w:r>
        <w:rPr>
          <w:spacing w:val="-8"/>
          <w:vertAlign w:val="baseline"/>
        </w:rPr>
        <w:t> </w:t>
      </w:r>
      <w:r>
        <w:rPr>
          <w:vertAlign w:val="baseline"/>
        </w:rPr>
        <w:t>which</w:t>
      </w:r>
      <w:r>
        <w:rPr>
          <w:spacing w:val="-8"/>
          <w:vertAlign w:val="baseline"/>
        </w:rPr>
        <w:t> </w:t>
      </w:r>
      <w:r>
        <w:rPr>
          <w:vertAlign w:val="baseline"/>
        </w:rPr>
        <w:t>an</w:t>
      </w:r>
      <w:r>
        <w:rPr>
          <w:spacing w:val="-8"/>
          <w:vertAlign w:val="baseline"/>
        </w:rPr>
        <w:t> </w:t>
      </w:r>
      <w:r>
        <w:rPr>
          <w:vertAlign w:val="baseline"/>
        </w:rPr>
        <w:t>attacker</w:t>
      </w:r>
      <w:r>
        <w:rPr>
          <w:spacing w:val="-8"/>
          <w:vertAlign w:val="baseline"/>
        </w:rPr>
        <w:t> </w:t>
      </w:r>
      <w:r>
        <w:rPr>
          <w:vertAlign w:val="baseline"/>
        </w:rPr>
        <w:t>manufactures edges among controlled addresses.</w:t>
      </w:r>
      <w:r>
        <w:rPr>
          <w:spacing w:val="40"/>
          <w:vertAlign w:val="baseline"/>
        </w:rPr>
        <w:t> </w:t>
      </w:r>
      <w:r>
        <w:rPr>
          <w:vertAlign w:val="baseline"/>
        </w:rPr>
        <w:t>The empirical results do not eliminate that threat; they show that</w:t>
      </w:r>
      <w:r>
        <w:rPr>
          <w:spacing w:val="-2"/>
          <w:vertAlign w:val="baseline"/>
        </w:rPr>
        <w:t> </w:t>
      </w:r>
      <w:r>
        <w:rPr>
          <w:vertAlign w:val="baseline"/>
        </w:rPr>
        <w:t>allowance</w:t>
      </w:r>
      <w:r>
        <w:rPr>
          <w:spacing w:val="-2"/>
          <w:vertAlign w:val="baseline"/>
        </w:rPr>
        <w:t> </w:t>
      </w:r>
      <w:r>
        <w:rPr>
          <w:vertAlign w:val="baseline"/>
        </w:rPr>
        <w:t>and</w:t>
      </w:r>
      <w:r>
        <w:rPr>
          <w:spacing w:val="-2"/>
          <w:vertAlign w:val="baseline"/>
        </w:rPr>
        <w:t> </w:t>
      </w:r>
      <w:r>
        <w:rPr>
          <w:vertAlign w:val="baseline"/>
        </w:rPr>
        <w:t>transfer</w:t>
      </w:r>
      <w:r>
        <w:rPr>
          <w:spacing w:val="-2"/>
          <w:vertAlign w:val="baseline"/>
        </w:rPr>
        <w:t> </w:t>
      </w:r>
      <w:r>
        <w:rPr>
          <w:vertAlign w:val="baseline"/>
        </w:rPr>
        <w:t>graphs</w:t>
      </w:r>
      <w:r>
        <w:rPr>
          <w:spacing w:val="-2"/>
          <w:vertAlign w:val="baseline"/>
        </w:rPr>
        <w:t> </w:t>
      </w:r>
      <w:r>
        <w:rPr>
          <w:vertAlign w:val="baseline"/>
        </w:rPr>
        <w:t>respond</w:t>
      </w:r>
      <w:r>
        <w:rPr>
          <w:spacing w:val="-1"/>
          <w:vertAlign w:val="baseline"/>
        </w:rPr>
        <w:t> </w:t>
      </w:r>
      <w:r>
        <w:rPr>
          <w:vertAlign w:val="baseline"/>
        </w:rPr>
        <w:t>differently</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activity</w:t>
      </w:r>
      <w:r>
        <w:rPr>
          <w:spacing w:val="-2"/>
          <w:vertAlign w:val="baseline"/>
        </w:rPr>
        <w:t> </w:t>
      </w:r>
      <w:r>
        <w:rPr>
          <w:vertAlign w:val="baseline"/>
        </w:rPr>
        <w:t>patterns</w:t>
      </w:r>
      <w:r>
        <w:rPr>
          <w:spacing w:val="-1"/>
          <w:vertAlign w:val="baseline"/>
        </w:rPr>
        <w:t> </w:t>
      </w:r>
      <w:r>
        <w:rPr>
          <w:vertAlign w:val="baseline"/>
        </w:rPr>
        <w:t>present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obser-vational sample.</w:t>
      </w:r>
      <w:r>
        <w:rPr>
          <w:spacing w:val="40"/>
          <w:vertAlign w:val="baseline"/>
        </w:rPr>
        <w:t> </w:t>
      </w:r>
      <w:r>
        <w:rPr>
          <w:vertAlign w:val="baseline"/>
        </w:rPr>
        <w:t>Section </w:t>
      </w:r>
      <w:hyperlink w:history="true" w:anchor="_bookmark121">
        <w:r>
          <w:rPr>
            <w:vertAlign w:val="baseline"/>
          </w:rPr>
          <w:t>5.5</w:t>
        </w:r>
      </w:hyperlink>
      <w:r>
        <w:rPr>
          <w:vertAlign w:val="baseline"/>
        </w:rPr>
        <w:t> formalizes attack cost on allowance graphs, arguing that non-zero allowances to external spenders can impose opportunity and revocation costs that pure transfer </w:t>
      </w:r>
      <w:bookmarkStart w:name="Practical implications and deployment sc" w:id="218"/>
      <w:bookmarkEnd w:id="218"/>
      <w:r>
        <w:rPr>
          <w:w w:val="99"/>
          <w:vertAlign w:val="baseline"/>
        </w:rPr>
      </w:r>
      <w:bookmarkStart w:name="_bookmark118" w:id="219"/>
      <w:bookmarkEnd w:id="219"/>
      <w:r>
        <w:rPr>
          <w:vertAlign w:val="baseline"/>
        </w:rPr>
        <w:t>wash</w:t>
      </w:r>
      <w:r>
        <w:rPr>
          <w:vertAlign w:val="baseline"/>
        </w:rPr>
        <w:t> trading does not.</w:t>
      </w:r>
    </w:p>
    <w:p>
      <w:pPr>
        <w:pStyle w:val="BodyText"/>
        <w:spacing w:line="396" w:lineRule="auto"/>
        <w:ind w:left="273" w:right="524" w:firstLine="8"/>
        <w:jc w:val="both"/>
      </w:pPr>
      <w:r>
        <w:rPr>
          <w:i/>
        </w:rPr>
        <w:t>공개 원장은 저렴한 ID 생성을 허용합니다[17],[46],[60]. 따라서 인바운드 전송 또는 수당을 보상하는 평판 시스템은 공격자가 제어된 주소 사이에서 가장자리를 제조하는 Sybil 전략에 노출됩니다. 경험적 결과는 그러한 위협을 제거하지 못하며, 허용량 및 전달 그래프가 관찰 표본에 존재하는 활동 패턴에 다르게 반응한다는 것을 보여줍니다. 섹션 5.5에서는 외부 지출자에 대한 0이 아닌 허용량이 순수 이적 워시 트레이딩에서는 발생하지 않는 기회 및 취소 비용을 부과할 수 있다고 주장하면서 허용 그래프에 대한 공격 비용을 공식화합니다.</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Practical</w:t>
      </w:r>
      <w:r>
        <w:rPr>
          <w:spacing w:val="19"/>
        </w:rPr>
        <w:t> </w:t>
      </w:r>
      <w:r>
        <w:rPr/>
        <w:t>implications</w:t>
      </w:r>
      <w:r>
        <w:rPr>
          <w:spacing w:val="20"/>
        </w:rPr>
        <w:t> </w:t>
      </w:r>
      <w:r>
        <w:rPr/>
        <w:t>and</w:t>
      </w:r>
      <w:r>
        <w:rPr>
          <w:spacing w:val="20"/>
        </w:rPr>
        <w:t> </w:t>
      </w:r>
      <w:r>
        <w:rPr/>
        <w:t>deployment</w:t>
      </w:r>
      <w:r>
        <w:rPr>
          <w:spacing w:val="19"/>
        </w:rPr>
        <w:t> </w:t>
      </w:r>
      <w:r>
        <w:rPr>
          <w:spacing w:val="-2"/>
        </w:rPr>
        <w:t>scenarios</w:t>
      </w:r>
    </w:p>
    <w:p>
      <w:pPr>
        <w:pStyle w:val="Heading2"/>
        <w:numPr>
          <w:ilvl w:val="1"/>
          <w:numId w:val="8"/>
        </w:numPr>
        <w:tabs>
          <w:tab w:pos="783" w:val="left" w:leader="none"/>
        </w:tabs>
        <w:spacing w:line="240" w:lineRule="auto" w:before="0" w:after="0"/>
        <w:ind w:left="783" w:right="0" w:hanging="501"/>
        <w:jc w:val="left"/>
      </w:pPr>
      <w:r>
        <w:rPr>
          <w:i/>
        </w:rPr>
        <w:t>실제적인 의미 및 배포 시나리오</w:t>
      </w:r>
    </w:p>
    <w:p>
      <w:pPr>
        <w:pStyle w:val="BodyText"/>
        <w:spacing w:before="24"/>
        <w:rPr>
          <w:b/>
          <w:sz w:val="28"/>
        </w:rPr>
      </w:pPr>
    </w:p>
    <w:p>
      <w:pPr>
        <w:pStyle w:val="BodyText"/>
        <w:spacing w:line="396" w:lineRule="auto"/>
        <w:ind w:left="282" w:right="562"/>
        <w:jc w:val="both"/>
      </w:pPr>
      <w:r>
        <w:rPr/>
        <w:t>Protocols and infrastructure providers face a design choice between transfer-hub detection and authorization-aware reputation.</w:t>
      </w:r>
      <w:r>
        <w:rPr>
          <w:spacing w:val="40"/>
        </w:rPr>
        <w:t> </w:t>
      </w:r>
      <w:r>
        <w:rPr/>
        <w:t>The empirical trade-off supports scenario-dependent adoption </w:t>
      </w:r>
      <w:bookmarkStart w:name="Transfer-hub and flow monitoring" w:id="220"/>
      <w:bookmarkEnd w:id="220"/>
      <w:r>
        <w:rPr/>
        <w:t>rather</w:t>
      </w:r>
      <w:r>
        <w:rPr/>
        <w:t> than a single recommended score.</w:t>
      </w:r>
    </w:p>
    <w:p>
      <w:pPr>
        <w:pStyle w:val="BodyText"/>
        <w:spacing w:line="396" w:lineRule="auto"/>
        <w:ind w:left="282" w:right="562"/>
        <w:jc w:val="both"/>
      </w:pPr>
      <w:r>
        <w:rPr>
          <w:i/>
        </w:rPr>
        <w:t>프로토콜 및 인프라 제공업체는 전송 허브 감지와 인증 인식 평판 사이에서 설계 선택을 해야 합니다. 경험적 절충은 단일 권장 점수가 아닌 시나리오 종속 채택을 지원합니다.</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both"/>
      </w:pPr>
      <w:r>
        <w:rPr>
          <w:spacing w:val="-2"/>
        </w:rPr>
        <w:t>Transfer-hub</w:t>
      </w:r>
      <w:r>
        <w:rPr>
          <w:spacing w:val="-8"/>
        </w:rPr>
        <w:t> </w:t>
      </w:r>
      <w:r>
        <w:rPr>
          <w:spacing w:val="-2"/>
        </w:rPr>
        <w:t>and</w:t>
      </w:r>
      <w:r>
        <w:rPr>
          <w:spacing w:val="-7"/>
        </w:rPr>
        <w:t> </w:t>
      </w:r>
      <w:r>
        <w:rPr>
          <w:spacing w:val="-2"/>
        </w:rPr>
        <w:t>flow</w:t>
      </w:r>
      <w:r>
        <w:rPr>
          <w:spacing w:val="-8"/>
        </w:rPr>
        <w:t> </w:t>
      </w:r>
      <w:r>
        <w:rPr>
          <w:spacing w:val="-2"/>
        </w:rPr>
        <w:t>monitoring</w:t>
      </w:r>
    </w:p>
    <w:p>
      <w:pPr>
        <w:pStyle w:val="Heading4"/>
        <w:numPr>
          <w:ilvl w:val="2"/>
          <w:numId w:val="8"/>
        </w:numPr>
        <w:tabs>
          <w:tab w:pos="879" w:val="left" w:leader="none"/>
        </w:tabs>
        <w:spacing w:line="240" w:lineRule="auto" w:before="73" w:after="0"/>
        <w:ind w:left="879" w:right="0" w:hanging="597"/>
        <w:jc w:val="both"/>
      </w:pPr>
      <w:r>
        <w:rPr>
          <w:i/>
        </w:rPr>
        <w:t>환승 허브 및 흐름 모니터링</w:t>
      </w:r>
    </w:p>
    <w:p>
      <w:pPr>
        <w:pStyle w:val="BodyText"/>
        <w:spacing w:before="46"/>
        <w:rPr>
          <w:b/>
        </w:rPr>
      </w:pPr>
    </w:p>
    <w:p>
      <w:pPr>
        <w:pStyle w:val="BodyText"/>
        <w:spacing w:line="386" w:lineRule="auto"/>
        <w:ind w:left="273" w:right="521" w:firstLine="8"/>
        <w:jc w:val="both"/>
      </w:pPr>
      <w:r>
        <w:rPr/>
        <w:t>Protocols that prioritize detection of high-flow wallets—for example, for market-maker identifi-cation,</w:t>
      </w:r>
      <w:r>
        <w:rPr>
          <w:spacing w:val="-4"/>
        </w:rPr>
        <w:t> </w:t>
      </w:r>
      <w:r>
        <w:rPr/>
        <w:t>routing</w:t>
      </w:r>
      <w:r>
        <w:rPr>
          <w:spacing w:val="-4"/>
        </w:rPr>
        <w:t> </w:t>
      </w:r>
      <w:r>
        <w:rPr/>
        <w:t>analysis,</w:t>
      </w:r>
      <w:r>
        <w:rPr>
          <w:spacing w:val="-4"/>
        </w:rPr>
        <w:t> </w:t>
      </w:r>
      <w:r>
        <w:rPr/>
        <w:t>or</w:t>
      </w:r>
      <w:r>
        <w:rPr>
          <w:spacing w:val="-4"/>
        </w:rPr>
        <w:t> </w:t>
      </w:r>
      <w:r>
        <w:rPr/>
        <w:t>transfer-based</w:t>
      </w:r>
      <w:r>
        <w:rPr>
          <w:spacing w:val="-4"/>
        </w:rPr>
        <w:t> </w:t>
      </w:r>
      <w:r>
        <w:rPr/>
        <w:t>compliance</w:t>
      </w:r>
      <w:r>
        <w:rPr>
          <w:spacing w:val="-4"/>
        </w:rPr>
        <w:t> </w:t>
      </w:r>
      <w:r>
        <w:rPr/>
        <w:t>heuristics—may</w:t>
      </w:r>
      <w:r>
        <w:rPr>
          <w:spacing w:val="-4"/>
        </w:rPr>
        <w:t> </w:t>
      </w:r>
      <w:r>
        <w:rPr/>
        <w:t>prefer</w:t>
      </w:r>
      <w:r>
        <w:rPr>
          <w:spacing w:val="-4"/>
        </w:rPr>
        <w:t> </w:t>
      </w:r>
      <w:r>
        <w:rPr/>
        <w:t>AWP</w:t>
      </w:r>
      <w:r>
        <w:rPr>
          <w:spacing w:val="-4"/>
        </w:rPr>
        <w:t> </w:t>
      </w:r>
      <w:r>
        <w:rPr/>
        <w:t>despite</w:t>
      </w:r>
      <w:r>
        <w:rPr>
          <w:spacing w:val="-4"/>
        </w:rPr>
        <w:t> </w:t>
      </w:r>
      <w:r>
        <w:rPr/>
        <w:t>higher cost.</w:t>
      </w:r>
      <w:r>
        <w:rPr>
          <w:spacing w:val="40"/>
        </w:rPr>
        <w:t> </w:t>
      </w:r>
      <w:r>
        <w:rPr/>
        <w:t>AWP’s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and stronger social-outcome alignment make it the better match when</w:t>
      </w:r>
      <w:r>
        <w:rPr>
          <w:spacing w:val="-2"/>
        </w:rPr>
        <w:t> </w:t>
      </w:r>
      <w:r>
        <w:rPr/>
        <w:t>the</w:t>
      </w:r>
      <w:r>
        <w:rPr>
          <w:spacing w:val="-1"/>
        </w:rPr>
        <w:t> </w:t>
      </w:r>
      <w:r>
        <w:rPr/>
        <w:t>operational</w:t>
      </w:r>
      <w:r>
        <w:rPr>
          <w:spacing w:val="-1"/>
        </w:rPr>
        <w:t> </w:t>
      </w:r>
      <w:r>
        <w:rPr/>
        <w:t>target</w:t>
      </w:r>
      <w:r>
        <w:rPr>
          <w:spacing w:val="-1"/>
        </w:rPr>
        <w:t> </w:t>
      </w:r>
      <w:r>
        <w:rPr/>
        <w:t>is</w:t>
      </w:r>
      <w:r>
        <w:rPr>
          <w:spacing w:val="-1"/>
        </w:rPr>
        <w:t> </w:t>
      </w:r>
      <w:r>
        <w:rPr/>
        <w:t>economic</w:t>
      </w:r>
      <w:r>
        <w:rPr>
          <w:spacing w:val="-1"/>
        </w:rPr>
        <w:t> </w:t>
      </w:r>
      <w:r>
        <w:rPr/>
        <w:t>flow</w:t>
      </w:r>
      <w:r>
        <w:rPr>
          <w:spacing w:val="-1"/>
        </w:rPr>
        <w:t> </w:t>
      </w:r>
      <w:r>
        <w:rPr/>
        <w:t>centrality</w:t>
      </w:r>
      <w:r>
        <w:rPr>
          <w:spacing w:val="-2"/>
        </w:rPr>
        <w:t> </w:t>
      </w:r>
      <w:hyperlink w:history="true" w:anchor="_bookmark149">
        <w:r>
          <w:rPr>
            <w:vertAlign w:val="superscript"/>
          </w:rPr>
          <w:t>[16]</w:t>
        </w:r>
      </w:hyperlink>
      <w:r>
        <w:rPr>
          <w:vertAlign w:val="baseline"/>
        </w:rPr>
        <w:t>.</w:t>
      </w:r>
      <w:r>
        <w:rPr>
          <w:spacing w:val="21"/>
          <w:vertAlign w:val="baseline"/>
        </w:rPr>
        <w:t> </w:t>
      </w:r>
      <w:r>
        <w:rPr>
          <w:vertAlign w:val="baseline"/>
        </w:rPr>
        <w:t>The</w:t>
      </w:r>
      <w:r>
        <w:rPr>
          <w:spacing w:val="-1"/>
          <w:vertAlign w:val="baseline"/>
        </w:rPr>
        <w:t> </w:t>
      </w:r>
      <w:r>
        <w:rPr>
          <w:vertAlign w:val="baseline"/>
        </w:rPr>
        <w:t>runtime</w:t>
      </w:r>
      <w:r>
        <w:rPr>
          <w:spacing w:val="-1"/>
          <w:vertAlign w:val="baseline"/>
        </w:rPr>
        <w:t> </w:t>
      </w:r>
      <w:r>
        <w:rPr>
          <w:vertAlign w:val="baseline"/>
        </w:rPr>
        <w:t>of</w:t>
      </w:r>
      <w:r>
        <w:rPr>
          <w:spacing w:val="-1"/>
          <w:vertAlign w:val="baseline"/>
        </w:rPr>
        <w:t> </w:t>
      </w:r>
      <w:r>
        <w:rPr>
          <w:rFonts w:ascii="Calibri" w:hAnsi="Calibri"/>
          <w:vertAlign w:val="baseline"/>
        </w:rPr>
        <w:t>18</w:t>
      </w:r>
      <w:r>
        <w:rPr>
          <w:rFonts w:ascii="Calibri" w:hAnsi="Calibri"/>
          <w:i/>
          <w:vertAlign w:val="baseline"/>
        </w:rPr>
        <w:t>.</w:t>
      </w:r>
      <w:r>
        <w:rPr>
          <w:rFonts w:ascii="Calibri" w:hAnsi="Calibri"/>
          <w:vertAlign w:val="baseline"/>
        </w:rPr>
        <w:t>711</w:t>
      </w:r>
      <w:r>
        <w:rPr>
          <w:rFonts w:ascii="Calibri" w:hAnsi="Calibri"/>
          <w:spacing w:val="-14"/>
          <w:vertAlign w:val="baseline"/>
        </w:rPr>
        <w:t> </w:t>
      </w:r>
      <w:r>
        <w:rPr>
          <w:vertAlign w:val="baseline"/>
        </w:rPr>
        <w:t>s on</w:t>
      </w:r>
      <w:r>
        <w:rPr>
          <w:spacing w:val="-1"/>
          <w:vertAlign w:val="baseline"/>
        </w:rPr>
        <w:t> </w:t>
      </w:r>
      <w:r>
        <w:rPr>
          <w:rFonts w:ascii="Calibri" w:hAnsi="Calibri"/>
          <w:i/>
          <w:vertAlign w:val="baseline"/>
        </w:rPr>
        <w:t>n </w:t>
      </w:r>
      <w:r>
        <w:rPr>
          <w:rFonts w:ascii="Calibri" w:hAnsi="Calibri"/>
          <w:w w:val="125"/>
          <w:vertAlign w:val="baseline"/>
        </w:rPr>
        <w:t>=</w:t>
      </w:r>
      <w:r>
        <w:rPr>
          <w:rFonts w:ascii="Calibri" w:hAnsi="Calibri"/>
          <w:spacing w:val="-1"/>
          <w:w w:val="125"/>
          <w:vertAlign w:val="baseline"/>
        </w:rPr>
        <w:t> </w:t>
      </w:r>
      <w:r>
        <w:rPr>
          <w:rFonts w:ascii="Calibri" w:hAnsi="Calibri"/>
          <w:vertAlign w:val="baseline"/>
        </w:rPr>
        <w:t>5</w:t>
      </w:r>
      <w:r>
        <w:rPr>
          <w:rFonts w:ascii="Calibri" w:hAnsi="Calibri"/>
          <w:i/>
          <w:vertAlign w:val="baseline"/>
        </w:rPr>
        <w:t>,</w:t>
      </w:r>
      <w:r>
        <w:rPr>
          <w:rFonts w:ascii="Calibri" w:hAnsi="Calibri"/>
          <w:vertAlign w:val="baseline"/>
        </w:rPr>
        <w:t>521 </w:t>
      </w:r>
      <w:bookmarkStart w:name="Authorization-aware and low-latency refr" w:id="221"/>
      <w:bookmarkEnd w:id="221"/>
      <w:r>
        <w:rPr>
          <w:rFonts w:ascii="Calibri" w:hAnsi="Calibri"/>
          <w:w w:val="96"/>
          <w:vertAlign w:val="baseline"/>
        </w:rPr>
      </w:r>
      <w:r>
        <w:rPr>
          <w:spacing w:val="-2"/>
          <w:vertAlign w:val="baseline"/>
        </w:rPr>
        <w:t>wallets</w:t>
      </w:r>
      <w:r>
        <w:rPr>
          <w:spacing w:val="-7"/>
          <w:vertAlign w:val="baseline"/>
        </w:rPr>
        <w:t> </w:t>
      </w:r>
      <w:r>
        <w:rPr>
          <w:spacing w:val="-2"/>
          <w:vertAlign w:val="baseline"/>
        </w:rPr>
        <w:t>is</w:t>
      </w:r>
      <w:r>
        <w:rPr>
          <w:spacing w:val="-7"/>
          <w:vertAlign w:val="baseline"/>
        </w:rPr>
        <w:t> </w:t>
      </w:r>
      <w:r>
        <w:rPr>
          <w:spacing w:val="-2"/>
          <w:vertAlign w:val="baseline"/>
        </w:rPr>
        <w:t>acceptable</w:t>
      </w:r>
      <w:r>
        <w:rPr>
          <w:spacing w:val="-7"/>
          <w:vertAlign w:val="baseline"/>
        </w:rPr>
        <w:t> </w:t>
      </w:r>
      <w:r>
        <w:rPr>
          <w:spacing w:val="-2"/>
          <w:vertAlign w:val="baseline"/>
        </w:rPr>
        <w:t>for</w:t>
      </w:r>
      <w:r>
        <w:rPr>
          <w:spacing w:val="-7"/>
          <w:vertAlign w:val="baseline"/>
        </w:rPr>
        <w:t> </w:t>
      </w:r>
      <w:r>
        <w:rPr>
          <w:spacing w:val="-2"/>
          <w:vertAlign w:val="baseline"/>
        </w:rPr>
        <w:t>batch</w:t>
      </w:r>
      <w:r>
        <w:rPr>
          <w:spacing w:val="-7"/>
          <w:vertAlign w:val="baseline"/>
        </w:rPr>
        <w:t> </w:t>
      </w:r>
      <w:r>
        <w:rPr>
          <w:spacing w:val="-2"/>
          <w:vertAlign w:val="baseline"/>
        </w:rPr>
        <w:t>analytics;</w:t>
      </w:r>
      <w:r>
        <w:rPr>
          <w:spacing w:val="-3"/>
          <w:vertAlign w:val="baseline"/>
        </w:rPr>
        <w:t> </w:t>
      </w:r>
      <w:r>
        <w:rPr>
          <w:spacing w:val="-2"/>
          <w:vertAlign w:val="baseline"/>
        </w:rPr>
        <w:t>it</w:t>
      </w:r>
      <w:r>
        <w:rPr>
          <w:spacing w:val="-6"/>
          <w:vertAlign w:val="baseline"/>
        </w:rPr>
        <w:t> </w:t>
      </w:r>
      <w:r>
        <w:rPr>
          <w:spacing w:val="-2"/>
          <w:vertAlign w:val="baseline"/>
        </w:rPr>
        <w:t>is</w:t>
      </w:r>
      <w:r>
        <w:rPr>
          <w:spacing w:val="-7"/>
          <w:vertAlign w:val="baseline"/>
        </w:rPr>
        <w:t> </w:t>
      </w:r>
      <w:r>
        <w:rPr>
          <w:spacing w:val="-2"/>
          <w:vertAlign w:val="baseline"/>
        </w:rPr>
        <w:t>less</w:t>
      </w:r>
      <w:r>
        <w:rPr>
          <w:spacing w:val="-7"/>
          <w:vertAlign w:val="baseline"/>
        </w:rPr>
        <w:t> </w:t>
      </w:r>
      <w:r>
        <w:rPr>
          <w:spacing w:val="-2"/>
          <w:vertAlign w:val="baseline"/>
        </w:rPr>
        <w:t>attractive</w:t>
      </w:r>
      <w:r>
        <w:rPr>
          <w:spacing w:val="-7"/>
          <w:vertAlign w:val="baseline"/>
        </w:rPr>
        <w:t> </w:t>
      </w:r>
      <w:r>
        <w:rPr>
          <w:spacing w:val="-2"/>
          <w:vertAlign w:val="baseline"/>
        </w:rPr>
        <w:t>for</w:t>
      </w:r>
      <w:r>
        <w:rPr>
          <w:spacing w:val="-7"/>
          <w:vertAlign w:val="baseline"/>
        </w:rPr>
        <w:t> </w:t>
      </w:r>
      <w:r>
        <w:rPr>
          <w:spacing w:val="-2"/>
          <w:vertAlign w:val="baseline"/>
        </w:rPr>
        <w:t>sub-second</w:t>
      </w:r>
      <w:r>
        <w:rPr>
          <w:spacing w:val="-7"/>
          <w:vertAlign w:val="baseline"/>
        </w:rPr>
        <w:t> </w:t>
      </w:r>
      <w:r>
        <w:rPr>
          <w:spacing w:val="-2"/>
          <w:vertAlign w:val="baseline"/>
        </w:rPr>
        <w:t>or</w:t>
      </w:r>
      <w:r>
        <w:rPr>
          <w:spacing w:val="-7"/>
          <w:vertAlign w:val="baseline"/>
        </w:rPr>
        <w:t> </w:t>
      </w:r>
      <w:r>
        <w:rPr>
          <w:spacing w:val="-2"/>
          <w:vertAlign w:val="baseline"/>
        </w:rPr>
        <w:t>near-real-time</w:t>
      </w:r>
      <w:r>
        <w:rPr>
          <w:spacing w:val="-7"/>
          <w:vertAlign w:val="baseline"/>
        </w:rPr>
        <w:t> </w:t>
      </w:r>
      <w:r>
        <w:rPr>
          <w:spacing w:val="-2"/>
          <w:vertAlign w:val="baseline"/>
        </w:rPr>
        <w:t>refresh.</w:t>
      </w:r>
    </w:p>
    <w:p>
      <w:pPr>
        <w:pStyle w:val="BodyText"/>
        <w:spacing w:line="386" w:lineRule="auto"/>
        <w:ind w:left="273" w:right="521" w:firstLine="8"/>
        <w:jc w:val="both"/>
      </w:pPr>
      <w:r>
        <w:rPr>
          <w:i/>
        </w:rPr>
        <w:t>예를 들어 시장 조성자 식별, 라우팅 분석 또는 전송 기반 규정 준수 휴리스틱 등을 위해 흐름이 높은 지갑 감지에 우선순위를 두는 프로토콜은 비용이 높음에도 불구하고 AWP를 선호할 수 있습니다. AWP의 이전 τ = 0.534와 더 강력한 사회적 결과 정렬은 운영 목표가 경제적 흐름 중심성일 때 더 나은 일치를 만듭니다[16]. n = 5,521개 지갑에서 18.711초의 런타임은 배치 분석에 적합하지만 1초 미만 또는 실시간에 가까운 새로 고침에는 덜 매력적입니다.</w:t>
      </w:r>
    </w:p>
    <w:p>
      <w:pPr>
        <w:pStyle w:val="BodyText"/>
        <w:spacing w:before="11"/>
      </w:pPr>
    </w:p>
    <w:p>
      <w:pPr>
        <w:pStyle w:val="Heading4"/>
        <w:numPr>
          <w:ilvl w:val="2"/>
          <w:numId w:val="8"/>
        </w:numPr>
        <w:tabs>
          <w:tab w:pos="879" w:val="left" w:leader="none"/>
        </w:tabs>
        <w:spacing w:line="240" w:lineRule="auto" w:before="0" w:after="0"/>
        <w:ind w:left="879" w:right="0" w:hanging="597"/>
        <w:jc w:val="both"/>
      </w:pPr>
      <w:r>
        <w:rPr>
          <w:spacing w:val="-2"/>
        </w:rPr>
        <w:t>Authorization-aware</w:t>
      </w:r>
      <w:r>
        <w:rPr>
          <w:spacing w:val="6"/>
        </w:rPr>
        <w:t> </w:t>
      </w:r>
      <w:r>
        <w:rPr>
          <w:spacing w:val="-2"/>
        </w:rPr>
        <w:t>and</w:t>
      </w:r>
      <w:r>
        <w:rPr>
          <w:spacing w:val="6"/>
        </w:rPr>
        <w:t> </w:t>
      </w:r>
      <w:r>
        <w:rPr>
          <w:spacing w:val="-2"/>
        </w:rPr>
        <w:t>low-latency</w:t>
      </w:r>
      <w:r>
        <w:rPr>
          <w:spacing w:val="6"/>
        </w:rPr>
        <w:t> </w:t>
      </w:r>
      <w:r>
        <w:rPr>
          <w:spacing w:val="-2"/>
        </w:rPr>
        <w:t>refresh</w:t>
      </w:r>
    </w:p>
    <w:p>
      <w:pPr>
        <w:pStyle w:val="Heading4"/>
        <w:numPr>
          <w:ilvl w:val="2"/>
          <w:numId w:val="8"/>
        </w:numPr>
        <w:tabs>
          <w:tab w:pos="879" w:val="left" w:leader="none"/>
        </w:tabs>
        <w:spacing w:line="240" w:lineRule="auto" w:before="0" w:after="0"/>
        <w:ind w:left="879" w:right="0" w:hanging="597"/>
        <w:jc w:val="both"/>
      </w:pPr>
      <w:r>
        <w:rPr>
          <w:i/>
        </w:rPr>
        <w:t>승인 인식 및 지연 시간이 짧은 새로 고침</w:t>
      </w:r>
    </w:p>
    <w:p>
      <w:pPr>
        <w:pStyle w:val="BodyText"/>
        <w:spacing w:line="456" w:lineRule="exact" w:before="182"/>
        <w:ind w:left="282" w:right="524"/>
        <w:jc w:val="both"/>
      </w:pPr>
      <w:r>
        <w:rPr/>
        <w:t>Protocols that emphasize explicit spending authorization—token vaults, allowance-gated integra-</w:t>
      </w:r>
      <w:r>
        <w:rPr>
          <w:spacing w:val="-2"/>
          <w:w w:val="105"/>
        </w:rPr>
        <w:t>tions,</w:t>
      </w:r>
      <w:r>
        <w:rPr>
          <w:spacing w:val="-9"/>
          <w:w w:val="105"/>
        </w:rPr>
        <w:t> </w:t>
      </w:r>
      <w:r>
        <w:rPr>
          <w:spacing w:val="-2"/>
          <w:w w:val="105"/>
        </w:rPr>
        <w:t>or</w:t>
      </w:r>
      <w:r>
        <w:rPr>
          <w:spacing w:val="-11"/>
          <w:w w:val="105"/>
        </w:rPr>
        <w:t> </w:t>
      </w:r>
      <w:r>
        <w:rPr>
          <w:spacing w:val="-2"/>
          <w:w w:val="105"/>
        </w:rPr>
        <w:t>risk</w:t>
      </w:r>
      <w:r>
        <w:rPr>
          <w:spacing w:val="-11"/>
          <w:w w:val="105"/>
        </w:rPr>
        <w:t> </w:t>
      </w:r>
      <w:r>
        <w:rPr>
          <w:spacing w:val="-2"/>
          <w:w w:val="105"/>
        </w:rPr>
        <w:t>engines</w:t>
      </w:r>
      <w:r>
        <w:rPr>
          <w:spacing w:val="-11"/>
          <w:w w:val="105"/>
        </w:rPr>
        <w:t> </w:t>
      </w:r>
      <w:r>
        <w:rPr>
          <w:spacing w:val="-2"/>
          <w:w w:val="105"/>
        </w:rPr>
        <w:t>that</w:t>
      </w:r>
      <w:r>
        <w:rPr>
          <w:spacing w:val="-11"/>
          <w:w w:val="105"/>
        </w:rPr>
        <w:t> </w:t>
      </w:r>
      <w:r>
        <w:rPr>
          <w:spacing w:val="-2"/>
          <w:w w:val="105"/>
        </w:rPr>
        <w:t>treat</w:t>
      </w:r>
      <w:r>
        <w:rPr>
          <w:spacing w:val="-11"/>
          <w:w w:val="105"/>
        </w:rPr>
        <w:t> </w:t>
      </w:r>
      <w:r>
        <w:rPr>
          <w:spacing w:val="-2"/>
          <w:w w:val="105"/>
        </w:rPr>
        <w:t>approvals</w:t>
      </w:r>
      <w:r>
        <w:rPr>
          <w:spacing w:val="-11"/>
          <w:w w:val="105"/>
        </w:rPr>
        <w:t> </w:t>
      </w:r>
      <w:r>
        <w:rPr>
          <w:spacing w:val="-2"/>
          <w:w w:val="105"/>
        </w:rPr>
        <w:t>as</w:t>
      </w:r>
      <w:r>
        <w:rPr>
          <w:spacing w:val="-11"/>
          <w:w w:val="105"/>
        </w:rPr>
        <w:t> </w:t>
      </w:r>
      <w:r>
        <w:rPr>
          <w:spacing w:val="-2"/>
          <w:w w:val="105"/>
        </w:rPr>
        <w:t>trust</w:t>
      </w:r>
      <w:r>
        <w:rPr>
          <w:spacing w:val="-11"/>
          <w:w w:val="105"/>
        </w:rPr>
        <w:t> </w:t>
      </w:r>
      <w:r>
        <w:rPr>
          <w:spacing w:val="-2"/>
          <w:w w:val="105"/>
        </w:rPr>
        <w:t>acts—may</w:t>
      </w:r>
      <w:r>
        <w:rPr>
          <w:spacing w:val="-11"/>
          <w:w w:val="105"/>
        </w:rPr>
        <w:t> </w:t>
      </w:r>
      <w:r>
        <w:rPr>
          <w:spacing w:val="-2"/>
          <w:w w:val="105"/>
        </w:rPr>
        <w:t>prefer</w:t>
      </w:r>
      <w:r>
        <w:rPr>
          <w:spacing w:val="-11"/>
          <w:w w:val="105"/>
        </w:rPr>
        <w:t> </w:t>
      </w:r>
      <w:r>
        <w:rPr>
          <w:spacing w:val="-2"/>
          <w:w w:val="105"/>
        </w:rPr>
        <w:t>EndorseRank.</w:t>
      </w:r>
      <w:r>
        <w:rPr>
          <w:spacing w:val="24"/>
          <w:w w:val="105"/>
        </w:rPr>
        <w:t> </w:t>
      </w:r>
      <w:r>
        <w:rPr>
          <w:spacing w:val="-2"/>
          <w:w w:val="105"/>
        </w:rPr>
        <w:t>The</w:t>
      </w:r>
      <w:r>
        <w:rPr>
          <w:spacing w:val="-11"/>
          <w:w w:val="105"/>
        </w:rPr>
        <w:t> </w:t>
      </w:r>
      <w:r>
        <w:rPr>
          <w:spacing w:val="-2"/>
          <w:w w:val="105"/>
        </w:rPr>
        <w:t>method’s </w:t>
      </w:r>
      <w:r>
        <w:rPr>
          <w:w w:val="105"/>
        </w:rPr>
        <w:t>allowance</w:t>
      </w:r>
      <w:r>
        <w:rPr>
          <w:spacing w:val="-16"/>
          <w:w w:val="105"/>
        </w:rPr>
        <w:t> </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355</w:t>
      </w:r>
      <w:r>
        <w:rPr>
          <w:w w:val="105"/>
        </w:rPr>
        <w:t>,</w:t>
      </w:r>
      <w:r>
        <w:rPr>
          <w:spacing w:val="-16"/>
          <w:w w:val="105"/>
        </w:rPr>
        <w:t> </w:t>
      </w:r>
      <w:r>
        <w:rPr>
          <w:w w:val="105"/>
        </w:rPr>
        <w:t>sparse</w:t>
      </w:r>
      <w:r>
        <w:rPr>
          <w:spacing w:val="-16"/>
          <w:w w:val="105"/>
        </w:rPr>
        <w:t> </w:t>
      </w:r>
      <w:r>
        <w:rPr>
          <w:w w:val="105"/>
        </w:rPr>
        <w:t>graph</w:t>
      </w:r>
      <w:r>
        <w:rPr>
          <w:spacing w:val="-16"/>
          <w:w w:val="105"/>
        </w:rPr>
        <w:t> </w:t>
      </w:r>
      <w:r>
        <w:rPr>
          <w:w w:val="105"/>
        </w:rPr>
        <w:t>(</w:t>
      </w:r>
      <w:r>
        <w:rPr>
          <w:rFonts w:ascii="Calibri" w:hAnsi="Calibri"/>
          <w:w w:val="105"/>
        </w:rPr>
        <w:t>14</w:t>
      </w:r>
      <w:r>
        <w:rPr>
          <w:rFonts w:ascii="Calibri" w:hAnsi="Calibri"/>
          <w:i/>
          <w:w w:val="105"/>
        </w:rPr>
        <w:t>,</w:t>
      </w:r>
      <w:r>
        <w:rPr>
          <w:rFonts w:ascii="Calibri" w:hAnsi="Calibri"/>
          <w:w w:val="105"/>
        </w:rPr>
        <w:t>727</w:t>
      </w:r>
      <w:r>
        <w:rPr>
          <w:rFonts w:ascii="Calibri" w:hAnsi="Calibri"/>
          <w:spacing w:val="-14"/>
          <w:w w:val="105"/>
        </w:rPr>
        <w:t> </w:t>
      </w:r>
      <w:r>
        <w:rPr>
          <w:w w:val="105"/>
        </w:rPr>
        <w:t>edges),</w:t>
      </w:r>
      <w:r>
        <w:rPr>
          <w:spacing w:val="-16"/>
          <w:w w:val="105"/>
        </w:rPr>
        <w:t> </w:t>
      </w:r>
      <w:r>
        <w:rPr>
          <w:w w:val="105"/>
        </w:rPr>
        <w:t>and</w:t>
      </w:r>
      <w:r>
        <w:rPr>
          <w:spacing w:val="-15"/>
          <w:w w:val="105"/>
        </w:rPr>
        <w:t> </w:t>
      </w:r>
      <w:r>
        <w:rPr>
          <w:rFonts w:ascii="Calibri" w:hAnsi="Calibri"/>
          <w:w w:val="105"/>
        </w:rPr>
        <w:t>2</w:t>
      </w:r>
      <w:r>
        <w:rPr>
          <w:rFonts w:ascii="Calibri" w:hAnsi="Calibri"/>
          <w:i/>
          <w:w w:val="105"/>
        </w:rPr>
        <w:t>.</w:t>
      </w:r>
      <w:r>
        <w:rPr>
          <w:rFonts w:ascii="Calibri" w:hAnsi="Calibri"/>
          <w:w w:val="105"/>
        </w:rPr>
        <w:t>105</w:t>
      </w:r>
      <w:r>
        <w:rPr>
          <w:rFonts w:ascii="Calibri" w:hAnsi="Calibri"/>
          <w:spacing w:val="-15"/>
          <w:w w:val="105"/>
        </w:rPr>
        <w:t> </w:t>
      </w:r>
      <w:r>
        <w:rPr>
          <w:w w:val="105"/>
        </w:rPr>
        <w:t>s</w:t>
      </w:r>
      <w:r>
        <w:rPr>
          <w:spacing w:val="-15"/>
          <w:w w:val="105"/>
        </w:rPr>
        <w:t> </w:t>
      </w:r>
      <w:r>
        <w:rPr>
          <w:w w:val="105"/>
        </w:rPr>
        <w:t>PageRank</w:t>
      </w:r>
      <w:r>
        <w:rPr>
          <w:spacing w:val="-16"/>
          <w:w w:val="105"/>
        </w:rPr>
        <w:t> </w:t>
      </w:r>
      <w:r>
        <w:rPr>
          <w:w w:val="105"/>
        </w:rPr>
        <w:t>time</w:t>
      </w:r>
      <w:r>
        <w:rPr>
          <w:spacing w:val="-16"/>
          <w:w w:val="105"/>
        </w:rPr>
        <w:t> </w:t>
      </w:r>
      <w:r>
        <w:rPr>
          <w:w w:val="105"/>
        </w:rPr>
        <w:t>support</w:t>
      </w:r>
      <w:r>
        <w:rPr>
          <w:spacing w:val="-16"/>
          <w:w w:val="105"/>
        </w:rPr>
        <w:t> </w:t>
      </w:r>
      <w:r>
        <w:rPr>
          <w:w w:val="105"/>
        </w:rPr>
        <w:t>frequent recomputation.</w:t>
      </w:r>
      <w:r>
        <w:rPr>
          <w:spacing w:val="-16"/>
          <w:w w:val="105"/>
        </w:rPr>
        <w:t> </w:t>
      </w:r>
      <w:r>
        <w:rPr>
          <w:w w:val="105"/>
        </w:rPr>
        <w:t>Pool</w:t>
      </w:r>
      <w:r>
        <w:rPr>
          <w:spacing w:val="-15"/>
          <w:w w:val="105"/>
        </w:rPr>
        <w:t> </w:t>
      </w:r>
      <w:r>
        <w:rPr>
          <w:w w:val="105"/>
        </w:rPr>
        <w:t>scaling</w:t>
      </w:r>
      <w:r>
        <w:rPr>
          <w:spacing w:val="-15"/>
          <w:w w:val="105"/>
        </w:rPr>
        <w:t> </w:t>
      </w:r>
      <w:r>
        <w:rPr>
          <w:w w:val="105"/>
        </w:rPr>
        <w:t>(</w:t>
      </w:r>
      <w:r>
        <w:rPr>
          <w:rFonts w:ascii="Lucida Sans Unicode" w:hAnsi="Lucida Sans Unicode"/>
          <w:w w:val="105"/>
        </w:rPr>
        <w:t>≈</w:t>
      </w:r>
      <w:r>
        <w:rPr>
          <w:rFonts w:ascii="Lucida Sans Unicode" w:hAnsi="Lucida Sans Unicode"/>
          <w:spacing w:val="-20"/>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 </w:t>
      </w:r>
      <w:r>
        <w:rPr>
          <w:rFonts w:ascii="Calibri" w:hAnsi="Calibri"/>
          <w:w w:val="125"/>
        </w:rPr>
        <w:t>=</w:t>
      </w:r>
      <w:r>
        <w:rPr>
          <w:rFonts w:ascii="Calibri" w:hAnsi="Calibri"/>
          <w:spacing w:val="-10"/>
          <w:w w:val="125"/>
        </w:rPr>
        <w:t> </w:t>
      </w:r>
      <w:r>
        <w:rPr>
          <w:rFonts w:ascii="Calibri" w:hAnsi="Calibri"/>
          <w:w w:val="105"/>
        </w:rPr>
        <w:t>10</w:t>
      </w:r>
      <w:r>
        <w:rPr>
          <w:rFonts w:ascii="Calibri" w:hAnsi="Calibri"/>
          <w:i/>
          <w:w w:val="105"/>
        </w:rPr>
        <w:t>,</w:t>
      </w:r>
      <w:r>
        <w:rPr>
          <w:rFonts w:ascii="Calibri" w:hAnsi="Calibri"/>
          <w:w w:val="105"/>
        </w:rPr>
        <w:t>000</w:t>
      </w:r>
      <w:r>
        <w:rPr>
          <w:w w:val="105"/>
        </w:rPr>
        <w:t>;</w:t>
      </w:r>
      <w:r>
        <w:rPr>
          <w:spacing w:val="-13"/>
          <w:w w:val="105"/>
        </w:rPr>
        <w:t> </w:t>
      </w:r>
      <w:r>
        <w:rPr>
          <w:rFonts w:ascii="Lucida Sans Unicode" w:hAnsi="Lucida Sans Unicode"/>
          <w:w w:val="105"/>
        </w:rPr>
        <w:t>≈</w:t>
      </w:r>
      <w:r>
        <w:rPr>
          <w:rFonts w:ascii="Lucida Sans Unicode" w:hAnsi="Lucida Sans Unicode"/>
          <w:spacing w:val="-20"/>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20"/>
          <w:w w:val="105"/>
        </w:rPr>
        <w:t> </w:t>
      </w:r>
      <w:r>
        <w:rPr>
          <w:w w:val="105"/>
        </w:rPr>
        <w:t>at</w:t>
      </w:r>
      <w:r>
        <w:rPr>
          <w:spacing w:val="-15"/>
          <w:w w:val="105"/>
        </w:rPr>
        <w:t> </w:t>
      </w:r>
      <w:r>
        <w:rPr>
          <w:rFonts w:ascii="Calibri" w:hAnsi="Calibri"/>
          <w:i/>
          <w:w w:val="105"/>
        </w:rPr>
        <w:t>N</w:t>
      </w:r>
      <w:r>
        <w:rPr>
          <w:rFonts w:ascii="Calibri" w:hAnsi="Calibri"/>
          <w:i/>
          <w:spacing w:val="8"/>
          <w:w w:val="125"/>
        </w:rPr>
        <w:t> </w:t>
      </w:r>
      <w:r>
        <w:rPr>
          <w:rFonts w:ascii="Calibri" w:hAnsi="Calibri"/>
          <w:w w:val="125"/>
        </w:rPr>
        <w:t>=</w:t>
      </w:r>
      <w:r>
        <w:rPr>
          <w:rFonts w:ascii="Calibri" w:hAnsi="Calibri"/>
          <w:spacing w:val="-10"/>
          <w:w w:val="125"/>
        </w:rPr>
        <w:t> </w:t>
      </w:r>
      <w:r>
        <w:rPr>
          <w:rFonts w:ascii="Calibri" w:hAnsi="Calibri"/>
          <w:w w:val="105"/>
        </w:rPr>
        <w:t>31</w:t>
      </w:r>
      <w:r>
        <w:rPr>
          <w:rFonts w:ascii="Calibri" w:hAnsi="Calibri"/>
          <w:i/>
          <w:w w:val="105"/>
        </w:rPr>
        <w:t>,</w:t>
      </w:r>
      <w:r>
        <w:rPr>
          <w:rFonts w:ascii="Calibri" w:hAnsi="Calibri"/>
          <w:w w:val="105"/>
        </w:rPr>
        <w:t>612</w:t>
      </w:r>
      <w:r>
        <w:rPr>
          <w:w w:val="105"/>
        </w:rPr>
        <w:t>)</w:t>
      </w:r>
      <w:r>
        <w:rPr>
          <w:spacing w:val="-15"/>
          <w:w w:val="105"/>
        </w:rPr>
        <w:t> </w:t>
      </w:r>
      <w:r>
        <w:rPr>
          <w:w w:val="105"/>
        </w:rPr>
        <w:t>indicates</w:t>
      </w:r>
      <w:r>
        <w:rPr>
          <w:spacing w:val="-15"/>
          <w:w w:val="105"/>
        </w:rPr>
        <w:t> </w:t>
      </w:r>
      <w:r>
        <w:rPr>
          <w:w w:val="105"/>
        </w:rPr>
        <w:t>that</w:t>
      </w:r>
      <w:r>
        <w:rPr>
          <w:spacing w:val="-15"/>
          <w:w w:val="105"/>
        </w:rPr>
        <w:t> </w:t>
      </w:r>
      <w:r>
        <w:rPr>
          <w:w w:val="105"/>
        </w:rPr>
        <w:t>the </w:t>
      </w:r>
      <w:r>
        <w:rPr/>
        <w:t>efficiency advantage persists beyond the matched cohort.</w:t>
      </w:r>
      <w:r>
        <w:rPr>
          <w:spacing w:val="40"/>
        </w:rPr>
        <w:t> </w:t>
      </w:r>
      <w:r>
        <w:rPr/>
        <w:t>Operators accept lower transfer-proxy </w:t>
      </w:r>
      <w:r>
        <w:rPr>
          <w:w w:val="105"/>
        </w:rPr>
        <w:t>alignment</w:t>
      </w:r>
      <w:r>
        <w:rPr>
          <w:spacing w:val="-16"/>
          <w:w w:val="105"/>
        </w:rPr>
        <w:t> </w:t>
      </w:r>
      <w:r>
        <w:rPr>
          <w:w w:val="105"/>
        </w:rPr>
        <w:t>(</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333</w:t>
      </w:r>
      <w:r>
        <w:rPr>
          <w:w w:val="105"/>
        </w:rPr>
        <w:t>)</w:t>
      </w:r>
      <w:r>
        <w:rPr>
          <w:spacing w:val="-16"/>
          <w:w w:val="105"/>
        </w:rPr>
        <w:t> </w:t>
      </w:r>
      <w:r>
        <w:rPr>
          <w:w w:val="105"/>
        </w:rPr>
        <w:t>and</w:t>
      </w:r>
      <w:r>
        <w:rPr>
          <w:spacing w:val="-16"/>
          <w:w w:val="105"/>
        </w:rPr>
        <w:t> </w:t>
      </w:r>
      <w:r>
        <w:rPr>
          <w:w w:val="105"/>
        </w:rPr>
        <w:t>weaker</w:t>
      </w:r>
      <w:r>
        <w:rPr>
          <w:spacing w:val="-16"/>
          <w:w w:val="105"/>
        </w:rPr>
        <w:t> </w:t>
      </w:r>
      <w:r>
        <w:rPr>
          <w:w w:val="105"/>
        </w:rPr>
        <w:t>trading-success</w:t>
      </w:r>
      <w:r>
        <w:rPr>
          <w:spacing w:val="-15"/>
          <w:w w:val="105"/>
        </w:rPr>
        <w:t> </w:t>
      </w:r>
      <w:r>
        <w:rPr>
          <w:w w:val="105"/>
        </w:rPr>
        <w:t>alignment</w:t>
      </w:r>
      <w:r>
        <w:rPr>
          <w:spacing w:val="-16"/>
          <w:w w:val="105"/>
        </w:rPr>
        <w:t> </w:t>
      </w:r>
      <w:r>
        <w:rPr>
          <w:w w:val="105"/>
        </w:rPr>
        <w:t>(</w:t>
      </w:r>
      <w:r>
        <w:rPr>
          <w:rFonts w:ascii="Calibri" w:hAnsi="Calibri"/>
          <w:i/>
          <w:w w:val="105"/>
        </w:rPr>
        <w:t>τ</w:t>
      </w:r>
      <w:r>
        <w:rPr>
          <w:rFonts w:ascii="Calibri" w:hAnsi="Calibri"/>
          <w:i/>
          <w:spacing w:val="-14"/>
          <w:w w:val="105"/>
        </w:rPr>
        <w:t> </w:t>
      </w:r>
      <w:r>
        <w:rPr>
          <w:rFonts w:ascii="Calibri" w:hAnsi="Calibri"/>
          <w:w w:val="125"/>
        </w:rPr>
        <w:t>=</w:t>
      </w:r>
      <w:r>
        <w:rPr>
          <w:rFonts w:ascii="Calibri" w:hAnsi="Calibri"/>
          <w:spacing w:val="-17"/>
          <w:w w:val="125"/>
        </w:rPr>
        <w:t> </w:t>
      </w:r>
      <w:r>
        <w:rPr>
          <w:rFonts w:ascii="Calibri" w:hAnsi="Calibri"/>
          <w:w w:val="105"/>
        </w:rPr>
        <w:t>0</w:t>
      </w:r>
      <w:r>
        <w:rPr>
          <w:rFonts w:ascii="Calibri" w:hAnsi="Calibri"/>
          <w:i/>
          <w:w w:val="105"/>
        </w:rPr>
        <w:t>.</w:t>
      </w:r>
      <w:r>
        <w:rPr>
          <w:rFonts w:ascii="Calibri" w:hAnsi="Calibri"/>
          <w:w w:val="105"/>
        </w:rPr>
        <w:t>096</w:t>
      </w:r>
      <w:r>
        <w:rPr>
          <w:w w:val="105"/>
        </w:rPr>
        <w:t>)</w:t>
      </w:r>
      <w:r>
        <w:rPr>
          <w:spacing w:val="-16"/>
          <w:w w:val="105"/>
        </w:rPr>
        <w:t> </w:t>
      </w:r>
      <w:r>
        <w:rPr>
          <w:w w:val="105"/>
        </w:rPr>
        <w:t>in</w:t>
      </w:r>
      <w:r>
        <w:rPr>
          <w:spacing w:val="-16"/>
          <w:w w:val="105"/>
        </w:rPr>
        <w:t> </w:t>
      </w:r>
      <w:r>
        <w:rPr>
          <w:w w:val="105"/>
        </w:rPr>
        <w:t>exchange</w:t>
      </w:r>
      <w:r>
        <w:rPr>
          <w:spacing w:val="-16"/>
          <w:w w:val="105"/>
        </w:rPr>
        <w:t> </w:t>
      </w:r>
      <w:r>
        <w:rPr>
          <w:w w:val="105"/>
        </w:rPr>
        <w:t>for</w:t>
      </w:r>
      <w:r>
        <w:rPr>
          <w:spacing w:val="-15"/>
          <w:w w:val="105"/>
        </w:rPr>
        <w:t> </w:t>
      </w:r>
      <w:r>
        <w:rPr>
          <w:w w:val="105"/>
        </w:rPr>
        <w:t>autho-</w:t>
      </w:r>
      <w:bookmarkStart w:name="Evaluation design and hybrid use" w:id="222"/>
      <w:bookmarkEnd w:id="222"/>
      <w:r>
        <w:rPr>
          <w:w w:val="105"/>
        </w:rPr>
        <w:t>rization</w:t>
      </w:r>
      <w:r>
        <w:rPr>
          <w:spacing w:val="-1"/>
          <w:w w:val="105"/>
        </w:rPr>
        <w:t> </w:t>
      </w:r>
      <w:r>
        <w:rPr>
          <w:w w:val="105"/>
        </w:rPr>
        <w:t>semantics</w:t>
      </w:r>
      <w:r>
        <w:rPr>
          <w:spacing w:val="-1"/>
          <w:w w:val="105"/>
        </w:rPr>
        <w:t> </w:t>
      </w:r>
      <w:r>
        <w:rPr>
          <w:w w:val="105"/>
        </w:rPr>
        <w:t>and</w:t>
      </w:r>
      <w:r>
        <w:rPr>
          <w:spacing w:val="-1"/>
          <w:w w:val="105"/>
        </w:rPr>
        <w:t> </w:t>
      </w:r>
      <w:r>
        <w:rPr>
          <w:w w:val="105"/>
        </w:rPr>
        <w:t>speed.</w:t>
      </w:r>
    </w:p>
    <w:p>
      <w:pPr>
        <w:pStyle w:val="BodyText"/>
        <w:spacing w:line="456" w:lineRule="exact" w:before="182"/>
        <w:ind w:left="282" w:right="524"/>
        <w:jc w:val="both"/>
      </w:pPr>
      <w:r>
        <w:rPr>
          <w:i/>
        </w:rPr>
        <w:t>명시적인 지출 승인을 강조하는 프로토콜(토큰 금고, 허용량 제한 통합 또는 승인을 신뢰 행위로 취급하는 위험 엔진)은 EndorseRank를 선호할 수 있습니다. 이 방법의 허용치 τ = 0.355, 희소 그래프(14,727개 모서리) 및 2.105초 PageRank 시간은 빈번한 재계산을 지원합니다. 풀 스케일링(n = 10,000에서 10.4×, N = 31,612에서 9.4×)은 효율성 이점이 일치하는 집단을 넘어 지속됨을 나타냅니다. 운영자는 권한 부여 의미와 속도를 대가로 낮은 전송 프록시 정렬(τ = 0.333)과 약한 거래 성공 정렬(τ = 0.096)을 수용합니다.</w:t>
      </w:r>
    </w:p>
    <w:p>
      <w:pPr>
        <w:pStyle w:val="BodyText"/>
        <w:spacing w:before="149"/>
      </w:pPr>
    </w:p>
    <w:p>
      <w:pPr>
        <w:pStyle w:val="Heading4"/>
        <w:numPr>
          <w:ilvl w:val="2"/>
          <w:numId w:val="8"/>
        </w:numPr>
        <w:tabs>
          <w:tab w:pos="879" w:val="left" w:leader="none"/>
        </w:tabs>
        <w:spacing w:line="240" w:lineRule="auto" w:before="0" w:after="0"/>
        <w:ind w:left="879" w:right="0" w:hanging="597"/>
        <w:jc w:val="both"/>
      </w:pPr>
      <w:r>
        <w:rPr/>
        <w:t>Evaluation</w:t>
      </w:r>
      <w:r>
        <w:rPr>
          <w:spacing w:val="-14"/>
        </w:rPr>
        <w:t> </w:t>
      </w:r>
      <w:r>
        <w:rPr/>
        <w:t>design</w:t>
      </w:r>
      <w:r>
        <w:rPr>
          <w:spacing w:val="-13"/>
        </w:rPr>
        <w:t> </w:t>
      </w:r>
      <w:r>
        <w:rPr/>
        <w:t>and</w:t>
      </w:r>
      <w:r>
        <w:rPr>
          <w:spacing w:val="-14"/>
        </w:rPr>
        <w:t> </w:t>
      </w:r>
      <w:r>
        <w:rPr/>
        <w:t>hybrid</w:t>
      </w:r>
      <w:r>
        <w:rPr>
          <w:spacing w:val="-13"/>
        </w:rPr>
        <w:t> </w:t>
      </w:r>
      <w:r>
        <w:rPr>
          <w:spacing w:val="-5"/>
        </w:rPr>
        <w:t>use</w:t>
      </w:r>
    </w:p>
    <w:p>
      <w:pPr>
        <w:pStyle w:val="Heading4"/>
        <w:numPr>
          <w:ilvl w:val="2"/>
          <w:numId w:val="8"/>
        </w:numPr>
        <w:tabs>
          <w:tab w:pos="879" w:val="left" w:leader="none"/>
        </w:tabs>
        <w:spacing w:line="240" w:lineRule="auto" w:before="0" w:after="0"/>
        <w:ind w:left="879" w:right="0" w:hanging="597"/>
        <w:jc w:val="both"/>
      </w:pPr>
      <w:r>
        <w:rPr>
          <w:i/>
        </w:rPr>
        <w:t>평가 설계 및 하이브리드 사용</w:t>
      </w:r>
    </w:p>
    <w:p>
      <w:pPr>
        <w:pStyle w:val="BodyText"/>
        <w:spacing w:before="47"/>
        <w:rPr>
          <w:b/>
        </w:rPr>
      </w:pPr>
    </w:p>
    <w:p>
      <w:pPr>
        <w:pStyle w:val="BodyText"/>
        <w:spacing w:line="388" w:lineRule="auto"/>
        <w:ind w:left="282" w:right="534"/>
        <w:jc w:val="both"/>
      </w:pPr>
      <w:r>
        <w:rPr/>
        <w:t>GF-PR</w:t>
      </w:r>
      <w:r>
        <w:rPr>
          <w:spacing w:val="-13"/>
        </w:rPr>
        <w:t> </w:t>
      </w:r>
      <w:r>
        <w:rPr/>
        <w:t>is</w:t>
      </w:r>
      <w:r>
        <w:rPr>
          <w:spacing w:val="-13"/>
        </w:rPr>
        <w:t> </w:t>
      </w:r>
      <w:r>
        <w:rPr/>
        <w:t>suitable</w:t>
      </w:r>
      <w:r>
        <w:rPr>
          <w:spacing w:val="-13"/>
        </w:rPr>
        <w:t> </w:t>
      </w:r>
      <w:r>
        <w:rPr/>
        <w:t>only</w:t>
      </w:r>
      <w:r>
        <w:rPr>
          <w:spacing w:val="-13"/>
        </w:rPr>
        <w:t> </w:t>
      </w:r>
      <w:r>
        <w:rPr/>
        <w:t>as</w:t>
      </w:r>
      <w:r>
        <w:rPr>
          <w:spacing w:val="-13"/>
        </w:rPr>
        <w:t> </w:t>
      </w:r>
      <w:r>
        <w:rPr/>
        <w:t>a</w:t>
      </w:r>
      <w:r>
        <w:rPr>
          <w:spacing w:val="-13"/>
        </w:rPr>
        <w:t> </w:t>
      </w:r>
      <w:r>
        <w:rPr/>
        <w:t>diagnostic</w:t>
      </w:r>
      <w:r>
        <w:rPr>
          <w:spacing w:val="-13"/>
        </w:rPr>
        <w:t> </w:t>
      </w:r>
      <w:r>
        <w:rPr/>
        <w:t>ceiling</w:t>
      </w:r>
      <w:r>
        <w:rPr>
          <w:spacing w:val="-13"/>
        </w:rPr>
        <w:t> </w:t>
      </w:r>
      <w:r>
        <w:rPr/>
        <w:t>for</w:t>
      </w:r>
      <w:r>
        <w:rPr>
          <w:spacing w:val="-13"/>
        </w:rPr>
        <w:t> </w:t>
      </w:r>
      <w:r>
        <w:rPr/>
        <w:t>outcome-proxy</w:t>
      </w:r>
      <w:r>
        <w:rPr>
          <w:spacing w:val="-13"/>
        </w:rPr>
        <w:t> </w:t>
      </w:r>
      <w:r>
        <w:rPr/>
        <w:t>overlap</w:t>
      </w:r>
      <w:r>
        <w:rPr>
          <w:spacing w:val="-13"/>
        </w:rPr>
        <w:t> </w:t>
      </w:r>
      <w:r>
        <w:rPr/>
        <w:t>during</w:t>
      </w:r>
      <w:r>
        <w:rPr>
          <w:spacing w:val="-13"/>
        </w:rPr>
        <w:t> </w:t>
      </w:r>
      <w:r>
        <w:rPr/>
        <w:t>evaluation</w:t>
      </w:r>
      <w:r>
        <w:rPr>
          <w:spacing w:val="-13"/>
        </w:rPr>
        <w:t> </w:t>
      </w:r>
      <w:r>
        <w:rPr/>
        <w:t>design, not as a deployable social reputation score.</w:t>
      </w:r>
      <w:r>
        <w:rPr>
          <w:spacing w:val="40"/>
        </w:rPr>
        <w:t> </w:t>
      </w:r>
      <w:r>
        <w:rPr/>
        <w:t>Evaluation pipelines should report social-method </w:t>
      </w:r>
      <w:r>
        <w:rPr>
          <w:rFonts w:ascii="Calibri" w:hAnsi="Calibri"/>
          <w:i/>
        </w:rPr>
        <w:t>τ </w:t>
      </w:r>
      <w:r>
        <w:rPr/>
        <w:t>alongside</w:t>
      </w:r>
      <w:r>
        <w:rPr>
          <w:spacing w:val="-1"/>
        </w:rPr>
        <w:t> </w:t>
      </w:r>
      <w:r>
        <w:rPr/>
        <w:t>an</w:t>
      </w:r>
      <w:r>
        <w:rPr>
          <w:spacing w:val="-1"/>
        </w:rPr>
        <w:t> </w:t>
      </w:r>
      <w:r>
        <w:rPr/>
        <w:t>outcome-native</w:t>
      </w:r>
      <w:r>
        <w:rPr>
          <w:spacing w:val="-1"/>
        </w:rPr>
        <w:t> </w:t>
      </w:r>
      <w:r>
        <w:rPr/>
        <w:t>reference</w:t>
      </w:r>
      <w:r>
        <w:rPr>
          <w:spacing w:val="-1"/>
        </w:rPr>
        <w:t> </w:t>
      </w:r>
      <w:r>
        <w:rPr/>
        <w:t>when</w:t>
      </w:r>
      <w:r>
        <w:rPr>
          <w:spacing w:val="-1"/>
        </w:rPr>
        <w:t> </w:t>
      </w:r>
      <w:r>
        <w:rPr/>
        <w:t>trading-success</w:t>
      </w:r>
      <w:r>
        <w:rPr>
          <w:spacing w:val="-1"/>
        </w:rPr>
        <w:t> </w:t>
      </w:r>
      <w:r>
        <w:rPr/>
        <w:t>proxies</w:t>
      </w:r>
      <w:r>
        <w:rPr>
          <w:spacing w:val="-1"/>
        </w:rPr>
        <w:t> </w:t>
      </w:r>
      <w:r>
        <w:rPr/>
        <w:t>are</w:t>
      </w:r>
      <w:r>
        <w:rPr>
          <w:spacing w:val="-1"/>
        </w:rPr>
        <w:t> </w:t>
      </w:r>
      <w:r>
        <w:rPr/>
        <w:t>used, to</w:t>
      </w:r>
      <w:r>
        <w:rPr>
          <w:spacing w:val="-1"/>
        </w:rPr>
        <w:t> </w:t>
      </w:r>
      <w:r>
        <w:rPr/>
        <w:t>avoid</w:t>
      </w:r>
      <w:r>
        <w:rPr>
          <w:spacing w:val="-1"/>
        </w:rPr>
        <w:t> </w:t>
      </w:r>
      <w:r>
        <w:rPr/>
        <w:t>mistaking construct overlap for social validity (Claim SC1).</w:t>
      </w:r>
    </w:p>
    <w:p>
      <w:pPr>
        <w:pStyle w:val="BodyText"/>
        <w:spacing w:line="388" w:lineRule="auto"/>
        <w:ind w:left="282" w:right="534"/>
        <w:jc w:val="both"/>
      </w:pPr>
      <w:r>
        <w:rPr>
          <w:i/>
        </w:rPr>
        <w:t>GF-PR은 배포 가능한 사회적 평판 점수가 아닌 평가 설계 중 결과-대리 중복에 대한 진단 상한선으로만 적합합니다. 평가 파이프라인은 거래 성공 프록시가 사용될 때 결과 기반 참조와 함께 사회적 방법 τ를 보고해야 합니다. 이를 통해 사회적 타당성에 대한 구성 중복을 착각하는 것을 방지할 수 있습니다(청구 SC1).</w:t>
      </w:r>
    </w:p>
    <w:p>
      <w:pPr>
        <w:pStyle w:val="BodyText"/>
        <w:spacing w:line="396" w:lineRule="auto" w:before="24"/>
        <w:ind w:left="273" w:right="524" w:firstLine="8"/>
        <w:jc w:val="both"/>
      </w:pPr>
      <w:r>
        <w:rPr/>
        <w:t>Hybrid deployments are feasible:</w:t>
      </w:r>
      <w:r>
        <w:rPr>
          <w:spacing w:val="40"/>
        </w:rPr>
        <w:t> </w:t>
      </w:r>
      <w:r>
        <w:rPr/>
        <w:t>EndorseRank for continuous authorization-aware monitoring, AWP for periodic transfer-hub audits, and GMX-linked outcome metrics as separate risk dash-boards</w:t>
      </w:r>
      <w:r>
        <w:rPr>
          <w:spacing w:val="-3"/>
        </w:rPr>
        <w:t> </w:t>
      </w:r>
      <w:r>
        <w:rPr/>
        <w:t>rather</w:t>
      </w:r>
      <w:r>
        <w:rPr>
          <w:spacing w:val="-3"/>
        </w:rPr>
        <w:t> </w:t>
      </w:r>
      <w:r>
        <w:rPr/>
        <w:t>than</w:t>
      </w:r>
      <w:r>
        <w:rPr>
          <w:spacing w:val="-3"/>
        </w:rPr>
        <w:t> </w:t>
      </w:r>
      <w:r>
        <w:rPr/>
        <w:t>as</w:t>
      </w:r>
      <w:r>
        <w:rPr>
          <w:spacing w:val="-3"/>
        </w:rPr>
        <w:t> </w:t>
      </w:r>
      <w:r>
        <w:rPr/>
        <w:t>substitutes</w:t>
      </w:r>
      <w:r>
        <w:rPr>
          <w:spacing w:val="-3"/>
        </w:rPr>
        <w:t> </w:t>
      </w:r>
      <w:r>
        <w:rPr/>
        <w:t>for</w:t>
      </w:r>
      <w:r>
        <w:rPr>
          <w:spacing w:val="-3"/>
        </w:rPr>
        <w:t> </w:t>
      </w:r>
      <w:r>
        <w:rPr/>
        <w:t>social</w:t>
      </w:r>
      <w:r>
        <w:rPr>
          <w:spacing w:val="-3"/>
        </w:rPr>
        <w:t> </w:t>
      </w:r>
      <w:r>
        <w:rPr/>
        <w:t>scores</w:t>
      </w:r>
      <w:r>
        <w:rPr>
          <w:spacing w:val="-2"/>
        </w:rPr>
        <w:t> </w:t>
      </w:r>
      <w:hyperlink w:history="true" w:anchor="_bookmark156">
        <w:r>
          <w:rPr>
            <w:vertAlign w:val="superscript"/>
          </w:rPr>
          <w:t>[23]</w:t>
        </w:r>
      </w:hyperlink>
      <w:r>
        <w:rPr>
          <w:vertAlign w:val="superscript"/>
        </w:rPr>
        <w:t>,</w:t>
      </w:r>
      <w:hyperlink w:history="true" w:anchor="_bookmark186">
        <w:r>
          <w:rPr>
            <w:vertAlign w:val="superscript"/>
          </w:rPr>
          <w:t>[53]</w:t>
        </w:r>
      </w:hyperlink>
      <w:r>
        <w:rPr>
          <w:vertAlign w:val="baseline"/>
        </w:rPr>
        <w:t>.</w:t>
      </w:r>
      <w:r>
        <w:rPr>
          <w:spacing w:val="19"/>
          <w:vertAlign w:val="baseline"/>
        </w:rPr>
        <w:t> </w:t>
      </w:r>
      <w:r>
        <w:rPr>
          <w:vertAlign w:val="baseline"/>
        </w:rPr>
        <w:t>The</w:t>
      </w:r>
      <w:r>
        <w:rPr>
          <w:spacing w:val="-3"/>
          <w:vertAlign w:val="baseline"/>
        </w:rPr>
        <w:t> </w:t>
      </w:r>
      <w:r>
        <w:rPr>
          <w:vertAlign w:val="baseline"/>
        </w:rPr>
        <w:t>open</w:t>
      </w:r>
      <w:r>
        <w:rPr>
          <w:spacing w:val="-3"/>
          <w:vertAlign w:val="baseline"/>
        </w:rPr>
        <w:t> </w:t>
      </w:r>
      <w:r>
        <w:rPr>
          <w:vertAlign w:val="baseline"/>
        </w:rPr>
        <w:t>pipeline</w:t>
      </w:r>
      <w:r>
        <w:rPr>
          <w:spacing w:val="-3"/>
          <w:vertAlign w:val="baseline"/>
        </w:rPr>
        <w:t> </w:t>
      </w:r>
      <w:r>
        <w:rPr>
          <w:vertAlign w:val="baseline"/>
        </w:rPr>
        <w:t>enables</w:t>
      </w:r>
      <w:r>
        <w:rPr>
          <w:spacing w:val="-3"/>
          <w:vertAlign w:val="baseline"/>
        </w:rPr>
        <w:t> </w:t>
      </w:r>
      <w:r>
        <w:rPr>
          <w:vertAlign w:val="baseline"/>
        </w:rPr>
        <w:t>cross-protocol replication on any ERC-20 chain with allowance logs (Appendix </w:t>
      </w:r>
      <w:hyperlink w:history="true" w:anchor="_bookmark198">
        <w:r>
          <w:rPr>
            <w:vertAlign w:val="baseline"/>
          </w:rPr>
          <w:t>8.1</w:t>
        </w:r>
      </w:hyperlink>
      <w:r>
        <w:rPr>
          <w:vertAlign w:val="baseline"/>
        </w:rPr>
        <w:t>).</w:t>
      </w:r>
      <w:r>
        <w:rPr>
          <w:spacing w:val="40"/>
          <w:vertAlign w:val="baseline"/>
        </w:rPr>
        <w:t> </w:t>
      </w:r>
      <w:r>
        <w:rPr>
          <w:vertAlign w:val="baseline"/>
        </w:rPr>
        <w:t>Integration with live risk oracles</w:t>
      </w:r>
      <w:r>
        <w:rPr>
          <w:spacing w:val="-1"/>
          <w:vertAlign w:val="baseline"/>
        </w:rPr>
        <w:t> </w:t>
      </w:r>
      <w:r>
        <w:rPr>
          <w:vertAlign w:val="baseline"/>
        </w:rPr>
        <w:t>and governance tooling remains future work (Chapter </w:t>
      </w:r>
      <w:hyperlink w:history="true" w:anchor="_bookmark128">
        <w:r>
          <w:rPr>
            <w:vertAlign w:val="baseline"/>
          </w:rPr>
          <w:t>6</w:t>
        </w:r>
      </w:hyperlink>
      <w:r>
        <w:rPr>
          <w:vertAlign w:val="baseline"/>
        </w:rPr>
        <w:t>),</w:t>
      </w:r>
      <w:r>
        <w:rPr>
          <w:spacing w:val="2"/>
          <w:vertAlign w:val="baseline"/>
        </w:rPr>
        <w:t> </w:t>
      </w:r>
      <w:r>
        <w:rPr>
          <w:vertAlign w:val="baseline"/>
        </w:rPr>
        <w:t>but the efficiency profile of </w:t>
      </w:r>
      <w:r>
        <w:rPr>
          <w:spacing w:val="-5"/>
          <w:vertAlign w:val="baseline"/>
        </w:rPr>
        <w:t>En-</w:t>
      </w:r>
    </w:p>
    <w:p>
      <w:pPr>
        <w:pStyle w:val="BodyText"/>
        <w:spacing w:line="396" w:lineRule="auto" w:before="24"/>
        <w:ind w:left="273" w:right="524" w:firstLine="8"/>
        <w:jc w:val="both"/>
      </w:pPr>
      <w:r>
        <w:rPr>
          <w:i/>
        </w:rPr>
        <w:t>하이브리드 배포가 가능합니다. 지속적인 인증 인식 모니터링을 위한 EndorseRank, 정기적인 전송 허브 감사를 위한 AWP, 그리고 소셜 점수를 대체하기보다는 별도의 위험 대시보드로 GMX 연결 결과 지표를 사용합니다[23],[53]. 개방형 파이프라인을 사용하면 허용 로그가 있는 모든 ERC-20 체인에서 프로토콜 간 복제가 가능합니다(부록 8.1). 실시간 위험 오라클 및 거버넌스 도구와의 통합은 향후 작업으로 남아 있지만(6장), En-</w:t>
      </w:r>
    </w:p>
    <w:p>
      <w:pPr>
        <w:pStyle w:val="BodyText"/>
        <w:spacing w:after="0" w:line="396" w:lineRule="auto"/>
        <w:jc w:val="both"/>
        <w:sectPr>
          <w:pgSz w:w="11910" w:h="16840"/>
          <w:pgMar w:header="0" w:footer="2115" w:top="1920" w:bottom="2300" w:left="992" w:right="708"/>
        </w:sectPr>
      </w:pPr>
    </w:p>
    <w:p>
      <w:pPr>
        <w:pStyle w:val="BodyText"/>
        <w:spacing w:line="396" w:lineRule="auto" w:before="72"/>
        <w:ind w:left="282" w:right="563"/>
        <w:jc w:val="both"/>
      </w:pPr>
      <w:r>
        <w:rPr/>
        <w:t>dorseRank</w:t>
      </w:r>
      <w:r>
        <w:rPr>
          <w:spacing w:val="-3"/>
        </w:rPr>
        <w:t> </w:t>
      </w:r>
      <w:r>
        <w:rPr/>
        <w:t>is</w:t>
      </w:r>
      <w:r>
        <w:rPr>
          <w:spacing w:val="-3"/>
        </w:rPr>
        <w:t> </w:t>
      </w:r>
      <w:r>
        <w:rPr/>
        <w:t>compatible</w:t>
      </w:r>
      <w:r>
        <w:rPr>
          <w:spacing w:val="-3"/>
        </w:rPr>
        <w:t> </w:t>
      </w:r>
      <w:r>
        <w:rPr/>
        <w:t>with</w:t>
      </w:r>
      <w:r>
        <w:rPr>
          <w:spacing w:val="-3"/>
        </w:rPr>
        <w:t> </w:t>
      </w:r>
      <w:r>
        <w:rPr/>
        <w:t>oracle</w:t>
      </w:r>
      <w:r>
        <w:rPr>
          <w:spacing w:val="-3"/>
        </w:rPr>
        <w:t> </w:t>
      </w:r>
      <w:r>
        <w:rPr/>
        <w:t>update</w:t>
      </w:r>
      <w:r>
        <w:rPr>
          <w:spacing w:val="-3"/>
        </w:rPr>
        <w:t> </w:t>
      </w:r>
      <w:r>
        <w:rPr/>
        <w:t>cadences</w:t>
      </w:r>
      <w:r>
        <w:rPr>
          <w:spacing w:val="-3"/>
        </w:rPr>
        <w:t> </w:t>
      </w:r>
      <w:r>
        <w:rPr/>
        <w:t>that</w:t>
      </w:r>
      <w:r>
        <w:rPr>
          <w:spacing w:val="-3"/>
        </w:rPr>
        <w:t> </w:t>
      </w:r>
      <w:r>
        <w:rPr/>
        <w:t>transfer-graph</w:t>
      </w:r>
      <w:r>
        <w:rPr>
          <w:spacing w:val="-3"/>
        </w:rPr>
        <w:t> </w:t>
      </w:r>
      <w:r>
        <w:rPr/>
        <w:t>AWP</w:t>
      </w:r>
      <w:r>
        <w:rPr>
          <w:spacing w:val="-3"/>
        </w:rPr>
        <w:t> </w:t>
      </w:r>
      <w:r>
        <w:rPr/>
        <w:t>may</w:t>
      </w:r>
      <w:r>
        <w:rPr>
          <w:spacing w:val="-3"/>
        </w:rPr>
        <w:t> </w:t>
      </w:r>
      <w:r>
        <w:rPr/>
        <w:t>not</w:t>
      </w:r>
      <w:r>
        <w:rPr>
          <w:spacing w:val="-3"/>
        </w:rPr>
        <w:t> </w:t>
      </w:r>
      <w:r>
        <w:rPr/>
        <w:t>sustain</w:t>
      </w:r>
      <w:r>
        <w:rPr>
          <w:spacing w:val="-3"/>
        </w:rPr>
        <w:t> </w:t>
      </w:r>
      <w:r>
        <w:rPr/>
        <w:t>at </w:t>
      </w:r>
      <w:bookmarkStart w:name="Industry adoption scenarios" w:id="223"/>
      <w:bookmarkEnd w:id="223"/>
      <w:r>
        <w:rPr>
          <w:w w:val="99"/>
        </w:rPr>
      </w:r>
      <w:bookmarkStart w:name="_bookmark119" w:id="224"/>
      <w:bookmarkEnd w:id="224"/>
      <w:r>
        <w:rPr/>
        <w:t>equal</w:t>
      </w:r>
      <w:r>
        <w:rPr/>
        <w:t> cost.</w:t>
      </w:r>
    </w:p>
    <w:p>
      <w:pPr>
        <w:pStyle w:val="BodyText"/>
        <w:spacing w:line="396" w:lineRule="auto" w:before="72"/>
        <w:ind w:left="282" w:right="563"/>
        <w:jc w:val="both"/>
      </w:pPr>
      <w:r>
        <w:rPr>
          <w:i/>
        </w:rPr>
        <w:t>dorseRank는 전송 그래프 AWP가 동일한 비용으로 유지되지 않을 수 있는 Oracle 업데이트 케이던스와 호환됩니다.</w:t>
      </w:r>
    </w:p>
    <w:p>
      <w:pPr>
        <w:pStyle w:val="BodyText"/>
        <w:spacing w:before="5"/>
      </w:pPr>
    </w:p>
    <w:p>
      <w:pPr>
        <w:pStyle w:val="Heading4"/>
        <w:numPr>
          <w:ilvl w:val="2"/>
          <w:numId w:val="8"/>
        </w:numPr>
        <w:tabs>
          <w:tab w:pos="879" w:val="left" w:leader="none"/>
        </w:tabs>
        <w:spacing w:line="240" w:lineRule="auto" w:before="0" w:after="0"/>
        <w:ind w:left="879" w:right="0" w:hanging="597"/>
        <w:jc w:val="left"/>
      </w:pPr>
      <w:r>
        <w:rPr/>
        <w:t>Industry</w:t>
      </w:r>
      <w:r>
        <w:rPr>
          <w:spacing w:val="-16"/>
        </w:rPr>
        <w:t> </w:t>
      </w:r>
      <w:r>
        <w:rPr/>
        <w:t>adoption</w:t>
      </w:r>
      <w:r>
        <w:rPr>
          <w:spacing w:val="-13"/>
        </w:rPr>
        <w:t> </w:t>
      </w:r>
      <w:r>
        <w:rPr>
          <w:spacing w:val="-2"/>
        </w:rPr>
        <w:t>scenarios</w:t>
      </w:r>
    </w:p>
    <w:p>
      <w:pPr>
        <w:pStyle w:val="Heading4"/>
        <w:numPr>
          <w:ilvl w:val="2"/>
          <w:numId w:val="8"/>
        </w:numPr>
        <w:tabs>
          <w:tab w:pos="879" w:val="left" w:leader="none"/>
        </w:tabs>
        <w:spacing w:line="240" w:lineRule="auto" w:before="0" w:after="0"/>
        <w:ind w:left="879" w:right="0" w:hanging="597"/>
        <w:jc w:val="left"/>
      </w:pPr>
      <w:r>
        <w:rPr>
          <w:i/>
        </w:rPr>
        <w:t>업계 채택 시나리오</w:t>
      </w:r>
    </w:p>
    <w:p>
      <w:pPr>
        <w:pStyle w:val="BodyText"/>
        <w:spacing w:before="46"/>
        <w:rPr>
          <w:b/>
        </w:rPr>
      </w:pPr>
    </w:p>
    <w:p>
      <w:pPr>
        <w:pStyle w:val="BodyText"/>
        <w:spacing w:line="391" w:lineRule="auto"/>
        <w:ind w:left="282" w:right="523" w:hanging="8"/>
        <w:jc w:val="both"/>
      </w:pPr>
      <w:r>
        <w:rPr/>
        <w:t>The practical value of EndorseRank and AWP is not that either score predicts trading profit—social-method trading-success alignment is weak overall (</w:t>
      </w:r>
      <w:r>
        <w:rPr>
          <w:rFonts w:ascii="Calibri" w:hAnsi="Calibri"/>
          <w:i/>
        </w:rPr>
        <w:t>τ</w:t>
      </w:r>
      <w:r>
        <w:rPr>
          <w:rFonts w:ascii="Calibri" w:hAnsi="Calibri"/>
          <w:i/>
          <w:spacing w:val="36"/>
          <w:w w:val="125"/>
        </w:rPr>
        <w:t> </w:t>
      </w:r>
      <w:r>
        <w:rPr>
          <w:rFonts w:ascii="Calibri" w:hAnsi="Calibri"/>
          <w:w w:val="125"/>
        </w:rPr>
        <w:t>= </w:t>
      </w:r>
      <w:r>
        <w:rPr>
          <w:rFonts w:ascii="Calibri" w:hAnsi="Calibri"/>
        </w:rPr>
        <w:t>0</w:t>
      </w:r>
      <w:r>
        <w:rPr>
          <w:rFonts w:ascii="Calibri" w:hAnsi="Calibri"/>
          <w:i/>
        </w:rPr>
        <w:t>.</w:t>
      </w:r>
      <w:r>
        <w:rPr>
          <w:rFonts w:ascii="Calibri" w:hAnsi="Calibri"/>
        </w:rPr>
        <w:t>096 </w:t>
      </w:r>
      <w:r>
        <w:rPr/>
        <w:t>negligible for EndorseRank;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weak-to-moderate for AWP)—but that both supply a cheap, standardized, and </w:t>
      </w:r>
      <w:r>
        <w:rPr/>
        <w:t>inde-pendently recomputable ordinal signal that protocols can plug into operational decisions.</w:t>
      </w:r>
      <w:r>
        <w:rPr>
          <w:spacing w:val="40"/>
        </w:rPr>
        <w:t> </w:t>
      </w:r>
      <w:r>
        <w:rPr/>
        <w:t>Value capture is therefore hypothesized to run through fees, utilization, monitoring cost, and reduced reward leakage, rather than through reducing collateral or transferring protocol credit risk to the reputation</w:t>
      </w:r>
      <w:r>
        <w:rPr>
          <w:spacing w:val="-1"/>
        </w:rPr>
        <w:t> </w:t>
      </w:r>
      <w:r>
        <w:rPr/>
        <w:t>score.</w:t>
      </w:r>
      <w:r>
        <w:rPr>
          <w:spacing w:val="28"/>
        </w:rPr>
        <w:t> </w:t>
      </w:r>
      <w:r>
        <w:rPr/>
        <w:t>The scenarios below map actors to decision problems, method choices, and rev-enue mechanisms consistent with the empirical results.</w:t>
      </w:r>
    </w:p>
    <w:p>
      <w:pPr>
        <w:pStyle w:val="BodyText"/>
        <w:spacing w:line="391" w:lineRule="auto"/>
        <w:ind w:left="282" w:right="523" w:hanging="8"/>
        <w:jc w:val="both"/>
      </w:pPr>
      <w:r>
        <w:rPr>
          <w:i/>
        </w:rPr>
        <w:t>EndorseRank 및 AWP의 실제 가치는 두 점수 모두 거래 수익을 예측한다는 것이 아닙니다. 사회적 방법론 거래-성공 정렬은 전반적으로 약합니다(τ = 0.096은 EndorseRank의 경우 무시할 수 있고 τ = 0.179는 AWP의 경우 약-보통). 프로토콜이 운영 결정에 연결할 수 있는 재계산 가능한 순서 신호입니다. 따라서 가치 포착은 담보를 줄이거나 프로토콜 신용 위험을 평판 점수로 전환하는 대신 수수료, 활용도, 비용 모니터링 및 보상 누출 감소를 통해 실행되는 것으로 가정됩니다. 아래 시나리오는 행위자를 경험적 결과와 일치하는 의사결정 문제, 방법 선택 및 수익 메커니즘에 매핑합니다.</w:t>
      </w:r>
    </w:p>
    <w:p>
      <w:pPr>
        <w:pStyle w:val="ListParagraph"/>
        <w:numPr>
          <w:ilvl w:val="3"/>
          <w:numId w:val="8"/>
        </w:numPr>
        <w:tabs>
          <w:tab w:pos="799" w:val="left" w:leader="none"/>
          <w:tab w:pos="806" w:val="left" w:leader="none"/>
        </w:tabs>
        <w:spacing w:line="391" w:lineRule="auto" w:before="112" w:after="0"/>
        <w:ind w:left="799" w:right="524" w:hanging="207"/>
        <w:jc w:val="both"/>
        <w:rPr>
          <w:sz w:val="24"/>
        </w:rPr>
      </w:pPr>
      <w:r>
        <w:rPr>
          <w:b/>
          <w:sz w:val="24"/>
        </w:rPr>
        <w:t>Perpetual</w:t>
      </w:r>
      <w:r>
        <w:rPr>
          <w:b/>
          <w:spacing w:val="-5"/>
          <w:sz w:val="24"/>
        </w:rPr>
        <w:t> </w:t>
      </w:r>
      <w:r>
        <w:rPr>
          <w:b/>
          <w:sz w:val="24"/>
        </w:rPr>
        <w:t>DEX</w:t>
      </w:r>
      <w:r>
        <w:rPr>
          <w:b/>
          <w:spacing w:val="-11"/>
          <w:sz w:val="24"/>
        </w:rPr>
        <w:t> </w:t>
      </w:r>
      <w:r>
        <w:rPr>
          <w:b/>
          <w:sz w:val="24"/>
        </w:rPr>
        <w:t>operators:</w:t>
      </w:r>
      <w:r>
        <w:rPr>
          <w:b/>
          <w:spacing w:val="13"/>
          <w:sz w:val="24"/>
        </w:rPr>
        <w:t> </w:t>
      </w:r>
      <w:r>
        <w:rPr>
          <w:sz w:val="24"/>
        </w:rPr>
        <w:t>Protocols</w:t>
      </w:r>
      <w:r>
        <w:rPr>
          <w:spacing w:val="-11"/>
          <w:sz w:val="24"/>
        </w:rPr>
        <w:t> </w:t>
      </w:r>
      <w:r>
        <w:rPr>
          <w:sz w:val="24"/>
        </w:rPr>
        <w:t>such</w:t>
      </w:r>
      <w:r>
        <w:rPr>
          <w:spacing w:val="-11"/>
          <w:sz w:val="24"/>
        </w:rPr>
        <w:t> </w:t>
      </w:r>
      <w:r>
        <w:rPr>
          <w:sz w:val="24"/>
        </w:rPr>
        <w:t>as</w:t>
      </w:r>
      <w:r>
        <w:rPr>
          <w:spacing w:val="-11"/>
          <w:sz w:val="24"/>
        </w:rPr>
        <w:t> </w:t>
      </w:r>
      <w:r>
        <w:rPr>
          <w:sz w:val="24"/>
        </w:rPr>
        <w:t>GMX</w:t>
      </w:r>
      <w:r>
        <w:rPr>
          <w:spacing w:val="-11"/>
          <w:sz w:val="24"/>
        </w:rPr>
        <w:t> </w:t>
      </w:r>
      <w:r>
        <w:rPr>
          <w:sz w:val="24"/>
        </w:rPr>
        <w:t>V2</w:t>
      </w:r>
      <w:r>
        <w:rPr>
          <w:spacing w:val="-11"/>
          <w:sz w:val="24"/>
        </w:rPr>
        <w:t> </w:t>
      </w:r>
      <w:r>
        <w:rPr>
          <w:sz w:val="24"/>
        </w:rPr>
        <w:t>earn</w:t>
      </w:r>
      <w:r>
        <w:rPr>
          <w:spacing w:val="-11"/>
          <w:sz w:val="24"/>
        </w:rPr>
        <w:t> </w:t>
      </w:r>
      <w:r>
        <w:rPr>
          <w:sz w:val="24"/>
        </w:rPr>
        <w:t>primarily</w:t>
      </w:r>
      <w:r>
        <w:rPr>
          <w:spacing w:val="-11"/>
          <w:sz w:val="24"/>
        </w:rPr>
        <w:t> </w:t>
      </w:r>
      <w:r>
        <w:rPr>
          <w:sz w:val="24"/>
        </w:rPr>
        <w:t>from</w:t>
      </w:r>
      <w:r>
        <w:rPr>
          <w:spacing w:val="-11"/>
          <w:sz w:val="24"/>
        </w:rPr>
        <w:t> </w:t>
      </w:r>
      <w:r>
        <w:rPr>
          <w:sz w:val="24"/>
        </w:rPr>
        <w:t>trading</w:t>
      </w:r>
      <w:r>
        <w:rPr>
          <w:spacing w:val="-11"/>
          <w:sz w:val="24"/>
        </w:rPr>
        <w:t> </w:t>
      </w:r>
      <w:r>
        <w:rPr>
          <w:sz w:val="24"/>
        </w:rPr>
        <w:t>fees</w:t>
      </w:r>
      <w:r>
        <w:rPr>
          <w:spacing w:val="-11"/>
          <w:sz w:val="24"/>
        </w:rPr>
        <w:t> </w:t>
      </w:r>
      <w:r>
        <w:rPr>
          <w:sz w:val="24"/>
        </w:rPr>
        <w:t>tied to notional volume, not from trader PnL </w:t>
      </w:r>
      <w:hyperlink w:history="true" w:anchor="_bookmark156">
        <w:r>
          <w:rPr>
            <w:sz w:val="24"/>
            <w:vertAlign w:val="superscript"/>
          </w:rPr>
          <w:t>[23]</w:t>
        </w:r>
      </w:hyperlink>
      <w:r>
        <w:rPr>
          <w:sz w:val="24"/>
          <w:vertAlign w:val="baseline"/>
        </w:rPr>
        <w:t>.</w:t>
      </w:r>
      <w:r>
        <w:rPr>
          <w:spacing w:val="35"/>
          <w:sz w:val="24"/>
          <w:vertAlign w:val="baseline"/>
        </w:rPr>
        <w:t> </w:t>
      </w:r>
      <w:r>
        <w:rPr>
          <w:sz w:val="24"/>
          <w:vertAlign w:val="baseline"/>
        </w:rPr>
        <w:t>Operators face a continuous decision problem: which wallets to prioritize for monitoring, fee tiers, or feature access when reputation must be refreshed frequently. EndorseRank fits this loop because allowance </w:t>
      </w:r>
      <w:r>
        <w:rPr>
          <w:rFonts w:ascii="Calibri" w:hAnsi="Calibri"/>
          <w:i/>
          <w:sz w:val="24"/>
          <w:vertAlign w:val="baseline"/>
        </w:rPr>
        <w:t>τ</w:t>
      </w:r>
      <w:r>
        <w:rPr>
          <w:rFonts w:ascii="Calibri" w:hAnsi="Calibri"/>
          <w:i/>
          <w:w w:val="125"/>
          <w:sz w:val="24"/>
          <w:vertAlign w:val="baseline"/>
        </w:rPr>
        <w:t> </w:t>
      </w:r>
      <w:r>
        <w:rPr>
          <w:rFonts w:ascii="Calibri" w:hAnsi="Calibri"/>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355 </w:t>
      </w:r>
      <w:r>
        <w:rPr>
          <w:sz w:val="24"/>
          <w:vertAlign w:val="baseline"/>
        </w:rPr>
        <w:t>aligns the score</w:t>
      </w:r>
      <w:r>
        <w:rPr>
          <w:spacing w:val="-1"/>
          <w:sz w:val="24"/>
          <w:vertAlign w:val="baseline"/>
        </w:rPr>
        <w:t> </w:t>
      </w:r>
      <w:r>
        <w:rPr>
          <w:sz w:val="24"/>
          <w:vertAlign w:val="baseline"/>
        </w:rPr>
        <w:t>with authorization activity and PageRank completes in </w:t>
      </w:r>
      <w:r>
        <w:rPr>
          <w:rFonts w:ascii="Calibri" w:hAnsi="Calibri"/>
          <w:sz w:val="24"/>
          <w:vertAlign w:val="baseline"/>
        </w:rPr>
        <w:t>2</w:t>
      </w:r>
      <w:r>
        <w:rPr>
          <w:rFonts w:ascii="Calibri" w:hAnsi="Calibri"/>
          <w:i/>
          <w:sz w:val="24"/>
          <w:vertAlign w:val="baseline"/>
        </w:rPr>
        <w:t>.</w:t>
      </w:r>
      <w:r>
        <w:rPr>
          <w:rFonts w:ascii="Calibri" w:hAnsi="Calibri"/>
          <w:sz w:val="24"/>
          <w:vertAlign w:val="baseline"/>
        </w:rPr>
        <w:t>105</w:t>
      </w:r>
      <w:r>
        <w:rPr>
          <w:rFonts w:ascii="Calibri" w:hAnsi="Calibri"/>
          <w:spacing w:val="-14"/>
          <w:sz w:val="24"/>
          <w:vertAlign w:val="baseline"/>
        </w:rPr>
        <w:t> </w:t>
      </w:r>
      <w:r>
        <w:rPr>
          <w:sz w:val="24"/>
          <w:vertAlign w:val="baseline"/>
        </w:rPr>
        <w:t>s on the matched cohort, enabling</w:t>
      </w:r>
      <w:r>
        <w:rPr>
          <w:spacing w:val="-2"/>
          <w:sz w:val="24"/>
          <w:vertAlign w:val="baseline"/>
        </w:rPr>
        <w:t> </w:t>
      </w:r>
      <w:r>
        <w:rPr>
          <w:sz w:val="24"/>
          <w:vertAlign w:val="baseline"/>
        </w:rPr>
        <w:t>frequent</w:t>
      </w:r>
      <w:r>
        <w:rPr>
          <w:spacing w:val="-2"/>
          <w:sz w:val="24"/>
          <w:vertAlign w:val="baseline"/>
        </w:rPr>
        <w:t> </w:t>
      </w:r>
      <w:r>
        <w:rPr>
          <w:sz w:val="24"/>
          <w:vertAlign w:val="baseline"/>
        </w:rPr>
        <w:t>(order-of-seconds)</w:t>
      </w:r>
      <w:r>
        <w:rPr>
          <w:spacing w:val="-3"/>
          <w:sz w:val="24"/>
          <w:vertAlign w:val="baseline"/>
        </w:rPr>
        <w:t> </w:t>
      </w:r>
      <w:r>
        <w:rPr>
          <w:sz w:val="24"/>
          <w:vertAlign w:val="baseline"/>
        </w:rPr>
        <w:t>updates</w:t>
      </w:r>
      <w:r>
        <w:rPr>
          <w:spacing w:val="-2"/>
          <w:sz w:val="24"/>
          <w:vertAlign w:val="baseline"/>
        </w:rPr>
        <w:t> </w:t>
      </w:r>
      <w:r>
        <w:rPr>
          <w:sz w:val="24"/>
          <w:vertAlign w:val="baseline"/>
        </w:rPr>
        <w:t>without</w:t>
      </w:r>
      <w:r>
        <w:rPr>
          <w:spacing w:val="-2"/>
          <w:sz w:val="24"/>
          <w:vertAlign w:val="baseline"/>
        </w:rPr>
        <w:t> </w:t>
      </w:r>
      <w:r>
        <w:rPr>
          <w:sz w:val="24"/>
          <w:vertAlign w:val="baseline"/>
        </w:rPr>
        <w:t>transfer-history</w:t>
      </w:r>
      <w:r>
        <w:rPr>
          <w:spacing w:val="-3"/>
          <w:sz w:val="24"/>
          <w:vertAlign w:val="baseline"/>
        </w:rPr>
        <w:t> </w:t>
      </w:r>
      <w:r>
        <w:rPr>
          <w:sz w:val="24"/>
          <w:vertAlign w:val="baseline"/>
        </w:rPr>
        <w:t>aggregation.</w:t>
      </w:r>
      <w:r>
        <w:rPr>
          <w:spacing w:val="27"/>
          <w:sz w:val="24"/>
          <w:vertAlign w:val="baseline"/>
        </w:rPr>
        <w:t> </w:t>
      </w:r>
      <w:r>
        <w:rPr>
          <w:sz w:val="24"/>
          <w:vertAlign w:val="baseline"/>
        </w:rPr>
        <w:t>Any</w:t>
      </w:r>
      <w:r>
        <w:rPr>
          <w:spacing w:val="-2"/>
          <w:sz w:val="24"/>
          <w:vertAlign w:val="baseline"/>
        </w:rPr>
        <w:t> </w:t>
      </w:r>
      <w:r>
        <w:rPr>
          <w:sz w:val="24"/>
          <w:vertAlign w:val="baseline"/>
        </w:rPr>
        <w:t>rev-enue</w:t>
      </w:r>
      <w:r>
        <w:rPr>
          <w:spacing w:val="-4"/>
          <w:sz w:val="24"/>
          <w:vertAlign w:val="baseline"/>
        </w:rPr>
        <w:t> </w:t>
      </w:r>
      <w:r>
        <w:rPr>
          <w:sz w:val="24"/>
          <w:vertAlign w:val="baseline"/>
        </w:rPr>
        <w:t>effect</w:t>
      </w:r>
      <w:r>
        <w:rPr>
          <w:spacing w:val="-4"/>
          <w:sz w:val="24"/>
          <w:vertAlign w:val="baseline"/>
        </w:rPr>
        <w:t> </w:t>
      </w:r>
      <w:r>
        <w:rPr>
          <w:sz w:val="24"/>
          <w:vertAlign w:val="baseline"/>
        </w:rPr>
        <w:t>would</w:t>
      </w:r>
      <w:r>
        <w:rPr>
          <w:spacing w:val="-4"/>
          <w:sz w:val="24"/>
          <w:vertAlign w:val="baseline"/>
        </w:rPr>
        <w:t> </w:t>
      </w:r>
      <w:r>
        <w:rPr>
          <w:sz w:val="24"/>
          <w:vertAlign w:val="baseline"/>
        </w:rPr>
        <w:t>be</w:t>
      </w:r>
      <w:r>
        <w:rPr>
          <w:spacing w:val="-3"/>
          <w:sz w:val="24"/>
          <w:vertAlign w:val="baseline"/>
        </w:rPr>
        <w:t> </w:t>
      </w:r>
      <w:r>
        <w:rPr>
          <w:sz w:val="24"/>
          <w:vertAlign w:val="baseline"/>
        </w:rPr>
        <w:t>hypothesized</w:t>
      </w:r>
      <w:r>
        <w:rPr>
          <w:spacing w:val="-4"/>
          <w:sz w:val="24"/>
          <w:vertAlign w:val="baseline"/>
        </w:rPr>
        <w:t> </w:t>
      </w:r>
      <w:r>
        <w:rPr>
          <w:sz w:val="24"/>
          <w:vertAlign w:val="baseline"/>
        </w:rPr>
        <w:t>to</w:t>
      </w:r>
      <w:r>
        <w:rPr>
          <w:spacing w:val="-3"/>
          <w:sz w:val="24"/>
          <w:vertAlign w:val="baseline"/>
        </w:rPr>
        <w:t> </w:t>
      </w:r>
      <w:r>
        <w:rPr>
          <w:sz w:val="24"/>
          <w:vertAlign w:val="baseline"/>
        </w:rPr>
        <w:t>run</w:t>
      </w:r>
      <w:r>
        <w:rPr>
          <w:spacing w:val="-4"/>
          <w:sz w:val="24"/>
          <w:vertAlign w:val="baseline"/>
        </w:rPr>
        <w:t> </w:t>
      </w:r>
      <w:r>
        <w:rPr>
          <w:sz w:val="24"/>
          <w:vertAlign w:val="baseline"/>
        </w:rPr>
        <w:t>through</w:t>
      </w:r>
      <w:r>
        <w:rPr>
          <w:spacing w:val="-3"/>
          <w:sz w:val="24"/>
          <w:vertAlign w:val="baseline"/>
        </w:rPr>
        <w:t> </w:t>
      </w:r>
      <w:r>
        <w:rPr>
          <w:sz w:val="24"/>
          <w:vertAlign w:val="baseline"/>
        </w:rPr>
        <w:t>fee</w:t>
      </w:r>
      <w:r>
        <w:rPr>
          <w:spacing w:val="-3"/>
          <w:sz w:val="24"/>
          <w:vertAlign w:val="baseline"/>
        </w:rPr>
        <w:t> </w:t>
      </w:r>
      <w:r>
        <w:rPr>
          <w:sz w:val="24"/>
          <w:vertAlign w:val="baseline"/>
        </w:rPr>
        <w:t>volume</w:t>
      </w:r>
      <w:r>
        <w:rPr>
          <w:spacing w:val="-4"/>
          <w:sz w:val="24"/>
          <w:vertAlign w:val="baseline"/>
        </w:rPr>
        <w:t> </w:t>
      </w:r>
      <w:r>
        <w:rPr>
          <w:sz w:val="24"/>
          <w:vertAlign w:val="baseline"/>
        </w:rPr>
        <w:t>(if</w:t>
      </w:r>
      <w:r>
        <w:rPr>
          <w:spacing w:val="-3"/>
          <w:sz w:val="24"/>
          <w:vertAlign w:val="baseline"/>
        </w:rPr>
        <w:t> </w:t>
      </w:r>
      <w:r>
        <w:rPr>
          <w:sz w:val="24"/>
          <w:vertAlign w:val="baseline"/>
        </w:rPr>
        <w:t>differentiated</w:t>
      </w:r>
      <w:r>
        <w:rPr>
          <w:spacing w:val="-4"/>
          <w:sz w:val="24"/>
          <w:vertAlign w:val="baseline"/>
        </w:rPr>
        <w:t> </w:t>
      </w:r>
      <w:r>
        <w:rPr>
          <w:sz w:val="24"/>
          <w:vertAlign w:val="baseline"/>
        </w:rPr>
        <w:t>service</w:t>
      </w:r>
      <w:r>
        <w:rPr>
          <w:spacing w:val="-3"/>
          <w:sz w:val="24"/>
          <w:vertAlign w:val="baseline"/>
        </w:rPr>
        <w:t> </w:t>
      </w:r>
      <w:r>
        <w:rPr>
          <w:sz w:val="24"/>
          <w:vertAlign w:val="baseline"/>
        </w:rPr>
        <w:t>raises retained</w:t>
      </w:r>
      <w:r>
        <w:rPr>
          <w:spacing w:val="-9"/>
          <w:sz w:val="24"/>
          <w:vertAlign w:val="baseline"/>
        </w:rPr>
        <w:t> </w:t>
      </w:r>
      <w:r>
        <w:rPr>
          <w:sz w:val="24"/>
          <w:vertAlign w:val="baseline"/>
        </w:rPr>
        <w:t>notional)</w:t>
      </w:r>
      <w:r>
        <w:rPr>
          <w:spacing w:val="-9"/>
          <w:sz w:val="24"/>
          <w:vertAlign w:val="baseline"/>
        </w:rPr>
        <w:t> </w:t>
      </w:r>
      <w:r>
        <w:rPr>
          <w:sz w:val="24"/>
          <w:vertAlign w:val="baseline"/>
        </w:rPr>
        <w:t>and</w:t>
      </w:r>
      <w:r>
        <w:rPr>
          <w:spacing w:val="-9"/>
          <w:sz w:val="24"/>
          <w:vertAlign w:val="baseline"/>
        </w:rPr>
        <w:t> </w:t>
      </w:r>
      <w:r>
        <w:rPr>
          <w:sz w:val="24"/>
          <w:vertAlign w:val="baseline"/>
        </w:rPr>
        <w:t>lower</w:t>
      </w:r>
      <w:r>
        <w:rPr>
          <w:spacing w:val="-9"/>
          <w:sz w:val="24"/>
          <w:vertAlign w:val="baseline"/>
        </w:rPr>
        <w:t> </w:t>
      </w:r>
      <w:r>
        <w:rPr>
          <w:sz w:val="24"/>
          <w:vertAlign w:val="baseline"/>
        </w:rPr>
        <w:t>monitoring</w:t>
      </w:r>
      <w:r>
        <w:rPr>
          <w:spacing w:val="-9"/>
          <w:sz w:val="24"/>
          <w:vertAlign w:val="baseline"/>
        </w:rPr>
        <w:t> </w:t>
      </w:r>
      <w:r>
        <w:rPr>
          <w:sz w:val="24"/>
          <w:vertAlign w:val="baseline"/>
        </w:rPr>
        <w:t>cost</w:t>
      </w:r>
      <w:r>
        <w:rPr>
          <w:spacing w:val="-9"/>
          <w:sz w:val="24"/>
          <w:vertAlign w:val="baseline"/>
        </w:rPr>
        <w:t> </w:t>
      </w:r>
      <w:r>
        <w:rPr>
          <w:sz w:val="24"/>
          <w:vertAlign w:val="baseline"/>
        </w:rPr>
        <w:t>of</w:t>
      </w:r>
      <w:r>
        <w:rPr>
          <w:spacing w:val="-9"/>
          <w:sz w:val="24"/>
          <w:vertAlign w:val="baseline"/>
        </w:rPr>
        <w:t> </w:t>
      </w:r>
      <w:r>
        <w:rPr>
          <w:sz w:val="24"/>
          <w:vertAlign w:val="baseline"/>
        </w:rPr>
        <w:t>risk</w:t>
      </w:r>
      <w:r>
        <w:rPr>
          <w:spacing w:val="-9"/>
          <w:sz w:val="24"/>
          <w:vertAlign w:val="baseline"/>
        </w:rPr>
        <w:t> </w:t>
      </w:r>
      <w:r>
        <w:rPr>
          <w:sz w:val="24"/>
          <w:vertAlign w:val="baseline"/>
        </w:rPr>
        <w:t>review—not</w:t>
      </w:r>
      <w:r>
        <w:rPr>
          <w:spacing w:val="-9"/>
          <w:sz w:val="24"/>
          <w:vertAlign w:val="baseline"/>
        </w:rPr>
        <w:t> </w:t>
      </w:r>
      <w:r>
        <w:rPr>
          <w:sz w:val="24"/>
          <w:vertAlign w:val="baseline"/>
        </w:rPr>
        <w:t>through</w:t>
      </w:r>
      <w:r>
        <w:rPr>
          <w:spacing w:val="-9"/>
          <w:sz w:val="24"/>
          <w:vertAlign w:val="baseline"/>
        </w:rPr>
        <w:t> </w:t>
      </w:r>
      <w:r>
        <w:rPr>
          <w:sz w:val="24"/>
          <w:vertAlign w:val="baseline"/>
        </w:rPr>
        <w:t>selecting</w:t>
      </w:r>
      <w:r>
        <w:rPr>
          <w:spacing w:val="-9"/>
          <w:sz w:val="24"/>
          <w:vertAlign w:val="baseline"/>
        </w:rPr>
        <w:t> </w:t>
      </w:r>
      <w:r>
        <w:rPr>
          <w:sz w:val="24"/>
          <w:vertAlign w:val="baseline"/>
        </w:rPr>
        <w:t>profitable traders. Fee and monitoring policies remain the justified levers.</w:t>
      </w:r>
    </w:p>
    <w:p>
      <w:pPr>
        <w:pStyle w:val="ListParagraph"/>
        <w:numPr>
          <w:ilvl w:val="3"/>
          <w:numId w:val="8"/>
        </w:numPr>
        <w:tabs>
          <w:tab w:pos="799" w:val="left" w:leader="none"/>
          <w:tab w:pos="806" w:val="left" w:leader="none"/>
        </w:tabs>
        <w:spacing w:line="391" w:lineRule="auto" w:before="112" w:after="0"/>
        <w:ind w:left="799" w:right="524" w:hanging="207"/>
        <w:jc w:val="both"/>
        <w:rPr>
          <w:sz w:val="24"/>
        </w:rPr>
      </w:pPr>
      <w:r>
        <w:rPr>
          <w:i/>
        </w:rPr>
        <w:t>영구 DEX 운영자: GMX V2와 같은 프로토콜은 거래자 손익이 아닌 명목 거래량과 관련된 거래 수수료를 통해 주로 수익을 얻습니다[23]. 운영자는 평판을 자주 새로 고쳐야 할 때 모니터링, 수수료 계층 또는 기능 액세스를 위해 어떤 지갑에 우선 순위를 둘지 등 지속적인 결정 문제에 직면합니다. EndorseRank는 허용량 τ = 0.355가 승인 활동에 점수를 맞추고 PageRank가 일치하는 코호트에서 2.105초 안에 완료되어 전송 기록 집계 없이 빈번한(초 단위) 업데이트가 가능하기 때문에 이 루프에 적합합니다. 모든 수익 효과는 수익성 있는 트레이더 선택을 통해서가 아니라 수수료 볼륨(차별화된 서비스가 보유 명목 가치를 높이는 경우)과 위험 검토 모니터링 비용 감소를 통해 실행되는 것으로 가정됩니다. 수수료 및 모니터링 정책은 여전히 ​​정당한 수단입니다.</w:t>
      </w:r>
    </w:p>
    <w:p>
      <w:pPr>
        <w:pStyle w:val="ListParagraph"/>
        <w:numPr>
          <w:ilvl w:val="3"/>
          <w:numId w:val="8"/>
        </w:numPr>
        <w:tabs>
          <w:tab w:pos="806" w:val="left" w:leader="none"/>
          <w:tab w:pos="808" w:val="left" w:leader="none"/>
        </w:tabs>
        <w:spacing w:line="396" w:lineRule="auto" w:before="41" w:after="0"/>
        <w:ind w:left="808" w:right="524" w:hanging="216"/>
        <w:jc w:val="both"/>
        <w:rPr>
          <w:sz w:val="24"/>
        </w:rPr>
      </w:pPr>
      <w:r>
        <w:rPr>
          <w:b/>
          <w:sz w:val="24"/>
        </w:rPr>
        <w:t>Lending</w:t>
      </w:r>
      <w:r>
        <w:rPr>
          <w:b/>
          <w:spacing w:val="-10"/>
          <w:sz w:val="24"/>
        </w:rPr>
        <w:t> </w:t>
      </w:r>
      <w:r>
        <w:rPr>
          <w:b/>
          <w:sz w:val="24"/>
        </w:rPr>
        <w:t>protocols:</w:t>
      </w:r>
      <w:r>
        <w:rPr>
          <w:b/>
          <w:spacing w:val="9"/>
          <w:sz w:val="24"/>
        </w:rPr>
        <w:t> </w:t>
      </w:r>
      <w:r>
        <w:rPr>
          <w:sz w:val="24"/>
        </w:rPr>
        <w:t>Lending</w:t>
      </w:r>
      <w:r>
        <w:rPr>
          <w:spacing w:val="-10"/>
          <w:sz w:val="24"/>
        </w:rPr>
        <w:t> </w:t>
      </w:r>
      <w:r>
        <w:rPr>
          <w:sz w:val="24"/>
        </w:rPr>
        <w:t>markets</w:t>
      </w:r>
      <w:r>
        <w:rPr>
          <w:spacing w:val="-10"/>
          <w:sz w:val="24"/>
        </w:rPr>
        <w:t> </w:t>
      </w:r>
      <w:r>
        <w:rPr>
          <w:sz w:val="24"/>
        </w:rPr>
        <w:t>seek</w:t>
      </w:r>
      <w:r>
        <w:rPr>
          <w:spacing w:val="-10"/>
          <w:sz w:val="24"/>
        </w:rPr>
        <w:t> </w:t>
      </w:r>
      <w:r>
        <w:rPr>
          <w:sz w:val="24"/>
        </w:rPr>
        <w:t>higher</w:t>
      </w:r>
      <w:r>
        <w:rPr>
          <w:spacing w:val="-10"/>
          <w:sz w:val="24"/>
        </w:rPr>
        <w:t> </w:t>
      </w:r>
      <w:r>
        <w:rPr>
          <w:sz w:val="24"/>
        </w:rPr>
        <w:t>capital</w:t>
      </w:r>
      <w:r>
        <w:rPr>
          <w:spacing w:val="-10"/>
          <w:sz w:val="24"/>
        </w:rPr>
        <w:t> </w:t>
      </w:r>
      <w:r>
        <w:rPr>
          <w:sz w:val="24"/>
        </w:rPr>
        <w:t>utilization</w:t>
      </w:r>
      <w:r>
        <w:rPr>
          <w:spacing w:val="-10"/>
          <w:sz w:val="24"/>
        </w:rPr>
        <w:t> </w:t>
      </w:r>
      <w:r>
        <w:rPr>
          <w:sz w:val="24"/>
        </w:rPr>
        <w:t>without</w:t>
      </w:r>
      <w:r>
        <w:rPr>
          <w:spacing w:val="-10"/>
          <w:sz w:val="24"/>
        </w:rPr>
        <w:t> </w:t>
      </w:r>
      <w:r>
        <w:rPr>
          <w:sz w:val="24"/>
        </w:rPr>
        <w:t>abandoning</w:t>
      </w:r>
      <w:r>
        <w:rPr>
          <w:spacing w:val="-10"/>
          <w:sz w:val="24"/>
        </w:rPr>
        <w:t> </w:t>
      </w:r>
      <w:r>
        <w:rPr>
          <w:sz w:val="24"/>
        </w:rPr>
        <w:t>col-lateralization </w:t>
      </w:r>
      <w:hyperlink w:history="true" w:anchor="_bookmark138">
        <w:r>
          <w:rPr>
            <w:sz w:val="24"/>
            <w:vertAlign w:val="superscript"/>
          </w:rPr>
          <w:t>[5]</w:t>
        </w:r>
      </w:hyperlink>
      <w:r>
        <w:rPr>
          <w:sz w:val="24"/>
          <w:vertAlign w:val="superscript"/>
        </w:rPr>
        <w:t>,</w:t>
      </w:r>
      <w:hyperlink w:history="true" w:anchor="_bookmark159">
        <w:r>
          <w:rPr>
            <w:sz w:val="24"/>
            <w:vertAlign w:val="superscript"/>
          </w:rPr>
          <w:t>[26]</w:t>
        </w:r>
      </w:hyperlink>
      <w:r>
        <w:rPr>
          <w:sz w:val="24"/>
          <w:vertAlign w:val="baseline"/>
        </w:rPr>
        <w:t>.</w:t>
      </w:r>
      <w:r>
        <w:rPr>
          <w:spacing w:val="40"/>
          <w:sz w:val="24"/>
          <w:vertAlign w:val="baseline"/>
        </w:rPr>
        <w:t> </w:t>
      </w:r>
      <w:r>
        <w:rPr>
          <w:sz w:val="24"/>
          <w:vertAlign w:val="baseline"/>
        </w:rPr>
        <w:t>Reputation can enter as an auxiliary signal for interest-rate or fee tiers and</w:t>
      </w:r>
      <w:r>
        <w:rPr>
          <w:spacing w:val="-4"/>
          <w:sz w:val="24"/>
          <w:vertAlign w:val="baseline"/>
        </w:rPr>
        <w:t> </w:t>
      </w:r>
      <w:r>
        <w:rPr>
          <w:sz w:val="24"/>
          <w:vertAlign w:val="baseline"/>
        </w:rPr>
        <w:t>review</w:t>
      </w:r>
      <w:r>
        <w:rPr>
          <w:spacing w:val="-3"/>
          <w:sz w:val="24"/>
          <w:vertAlign w:val="baseline"/>
        </w:rPr>
        <w:t> </w:t>
      </w:r>
      <w:r>
        <w:rPr>
          <w:sz w:val="24"/>
          <w:vertAlign w:val="baseline"/>
        </w:rPr>
        <w:t>cadence</w:t>
      </w:r>
      <w:r>
        <w:rPr>
          <w:spacing w:val="-3"/>
          <w:sz w:val="24"/>
          <w:vertAlign w:val="baseline"/>
        </w:rPr>
        <w:t> </w:t>
      </w:r>
      <w:r>
        <w:rPr>
          <w:sz w:val="24"/>
          <w:vertAlign w:val="baseline"/>
        </w:rPr>
        <w:t>on</w:t>
      </w:r>
      <w:r>
        <w:rPr>
          <w:spacing w:val="-3"/>
          <w:sz w:val="24"/>
          <w:vertAlign w:val="baseline"/>
        </w:rPr>
        <w:t> </w:t>
      </w:r>
      <w:r>
        <w:rPr>
          <w:sz w:val="24"/>
          <w:vertAlign w:val="baseline"/>
        </w:rPr>
        <w:t>already-collateralized</w:t>
      </w:r>
      <w:r>
        <w:rPr>
          <w:spacing w:val="-3"/>
          <w:sz w:val="24"/>
          <w:vertAlign w:val="baseline"/>
        </w:rPr>
        <w:t> </w:t>
      </w:r>
      <w:r>
        <w:rPr>
          <w:sz w:val="24"/>
          <w:vertAlign w:val="baseline"/>
        </w:rPr>
        <w:t>positions,</w:t>
      </w:r>
      <w:r>
        <w:rPr>
          <w:spacing w:val="-3"/>
          <w:sz w:val="24"/>
          <w:vertAlign w:val="baseline"/>
        </w:rPr>
        <w:t> </w:t>
      </w:r>
      <w:r>
        <w:rPr>
          <w:sz w:val="24"/>
          <w:vertAlign w:val="baseline"/>
        </w:rPr>
        <w:t>not</w:t>
      </w:r>
      <w:r>
        <w:rPr>
          <w:spacing w:val="-3"/>
          <w:sz w:val="24"/>
          <w:vertAlign w:val="baseline"/>
        </w:rPr>
        <w:t> </w:t>
      </w:r>
      <w:r>
        <w:rPr>
          <w:sz w:val="24"/>
          <w:vertAlign w:val="baseline"/>
        </w:rPr>
        <w:t>as</w:t>
      </w:r>
      <w:r>
        <w:rPr>
          <w:spacing w:val="-3"/>
          <w:sz w:val="24"/>
          <w:vertAlign w:val="baseline"/>
        </w:rPr>
        <w:t> </w:t>
      </w:r>
      <w:r>
        <w:rPr>
          <w:sz w:val="24"/>
          <w:vertAlign w:val="baseline"/>
        </w:rPr>
        <w:t>a</w:t>
      </w:r>
      <w:r>
        <w:rPr>
          <w:spacing w:val="-3"/>
          <w:sz w:val="24"/>
          <w:vertAlign w:val="baseline"/>
        </w:rPr>
        <w:t> </w:t>
      </w:r>
      <w:r>
        <w:rPr>
          <w:sz w:val="24"/>
          <w:vertAlign w:val="baseline"/>
        </w:rPr>
        <w:t>substitute</w:t>
      </w:r>
      <w:r>
        <w:rPr>
          <w:spacing w:val="-3"/>
          <w:sz w:val="24"/>
          <w:vertAlign w:val="baseline"/>
        </w:rPr>
        <w:t> </w:t>
      </w:r>
      <w:r>
        <w:rPr>
          <w:sz w:val="24"/>
          <w:vertAlign w:val="baseline"/>
        </w:rPr>
        <w:t>for</w:t>
      </w:r>
      <w:r>
        <w:rPr>
          <w:spacing w:val="-3"/>
          <w:sz w:val="24"/>
          <w:vertAlign w:val="baseline"/>
        </w:rPr>
        <w:t> </w:t>
      </w:r>
      <w:r>
        <w:rPr>
          <w:sz w:val="24"/>
          <w:vertAlign w:val="baseline"/>
        </w:rPr>
        <w:t>collateral.</w:t>
      </w:r>
      <w:r>
        <w:rPr>
          <w:spacing w:val="19"/>
          <w:sz w:val="24"/>
          <w:vertAlign w:val="baseline"/>
        </w:rPr>
        <w:t> </w:t>
      </w:r>
      <w:r>
        <w:rPr>
          <w:sz w:val="24"/>
          <w:vertAlign w:val="baseline"/>
        </w:rPr>
        <w:t>En-</w:t>
      </w:r>
      <w:r>
        <w:rPr>
          <w:spacing w:val="-2"/>
          <w:sz w:val="24"/>
          <w:vertAlign w:val="baseline"/>
        </w:rPr>
        <w:t>dorseRank</w:t>
      </w:r>
      <w:r>
        <w:rPr>
          <w:spacing w:val="-10"/>
          <w:sz w:val="24"/>
          <w:vertAlign w:val="baseline"/>
        </w:rPr>
        <w:t> </w:t>
      </w:r>
      <w:r>
        <w:rPr>
          <w:spacing w:val="-2"/>
          <w:sz w:val="24"/>
          <w:vertAlign w:val="baseline"/>
        </w:rPr>
        <w:t>is</w:t>
      </w:r>
      <w:r>
        <w:rPr>
          <w:spacing w:val="-9"/>
          <w:sz w:val="24"/>
          <w:vertAlign w:val="baseline"/>
        </w:rPr>
        <w:t> </w:t>
      </w:r>
      <w:r>
        <w:rPr>
          <w:spacing w:val="-2"/>
          <w:sz w:val="24"/>
          <w:vertAlign w:val="baseline"/>
        </w:rPr>
        <w:t>the</w:t>
      </w:r>
      <w:r>
        <w:rPr>
          <w:spacing w:val="-9"/>
          <w:sz w:val="24"/>
          <w:vertAlign w:val="baseline"/>
        </w:rPr>
        <w:t> </w:t>
      </w:r>
      <w:r>
        <w:rPr>
          <w:spacing w:val="-2"/>
          <w:sz w:val="24"/>
          <w:vertAlign w:val="baseline"/>
        </w:rPr>
        <w:t>natural</w:t>
      </w:r>
      <w:r>
        <w:rPr>
          <w:spacing w:val="-10"/>
          <w:sz w:val="24"/>
          <w:vertAlign w:val="baseline"/>
        </w:rPr>
        <w:t> </w:t>
      </w:r>
      <w:r>
        <w:rPr>
          <w:spacing w:val="-2"/>
          <w:sz w:val="24"/>
          <w:vertAlign w:val="baseline"/>
        </w:rPr>
        <w:t>social</w:t>
      </w:r>
      <w:r>
        <w:rPr>
          <w:spacing w:val="-9"/>
          <w:sz w:val="24"/>
          <w:vertAlign w:val="baseline"/>
        </w:rPr>
        <w:t> </w:t>
      </w:r>
      <w:r>
        <w:rPr>
          <w:spacing w:val="-2"/>
          <w:sz w:val="24"/>
          <w:vertAlign w:val="baseline"/>
        </w:rPr>
        <w:t>input</w:t>
      </w:r>
      <w:r>
        <w:rPr>
          <w:spacing w:val="-9"/>
          <w:sz w:val="24"/>
          <w:vertAlign w:val="baseline"/>
        </w:rPr>
        <w:t> </w:t>
      </w:r>
      <w:r>
        <w:rPr>
          <w:spacing w:val="-2"/>
          <w:sz w:val="24"/>
          <w:vertAlign w:val="baseline"/>
        </w:rPr>
        <w:t>when</w:t>
      </w:r>
      <w:r>
        <w:rPr>
          <w:spacing w:val="-10"/>
          <w:sz w:val="24"/>
          <w:vertAlign w:val="baseline"/>
        </w:rPr>
        <w:t> </w:t>
      </w:r>
      <w:r>
        <w:rPr>
          <w:spacing w:val="-2"/>
          <w:sz w:val="24"/>
          <w:vertAlign w:val="baseline"/>
        </w:rPr>
        <w:t>the</w:t>
      </w:r>
      <w:r>
        <w:rPr>
          <w:spacing w:val="-9"/>
          <w:sz w:val="24"/>
          <w:vertAlign w:val="baseline"/>
        </w:rPr>
        <w:t> </w:t>
      </w:r>
      <w:r>
        <w:rPr>
          <w:spacing w:val="-2"/>
          <w:sz w:val="24"/>
          <w:vertAlign w:val="baseline"/>
        </w:rPr>
        <w:t>protocol</w:t>
      </w:r>
      <w:r>
        <w:rPr>
          <w:spacing w:val="-9"/>
          <w:sz w:val="24"/>
          <w:vertAlign w:val="baseline"/>
        </w:rPr>
        <w:t> </w:t>
      </w:r>
      <w:r>
        <w:rPr>
          <w:spacing w:val="-2"/>
          <w:sz w:val="24"/>
          <w:vertAlign w:val="baseline"/>
        </w:rPr>
        <w:t>already</w:t>
      </w:r>
      <w:r>
        <w:rPr>
          <w:spacing w:val="-9"/>
          <w:sz w:val="24"/>
          <w:vertAlign w:val="baseline"/>
        </w:rPr>
        <w:t> </w:t>
      </w:r>
      <w:r>
        <w:rPr>
          <w:spacing w:val="-2"/>
          <w:sz w:val="24"/>
          <w:vertAlign w:val="baseline"/>
        </w:rPr>
        <w:t>relies</w:t>
      </w:r>
      <w:r>
        <w:rPr>
          <w:spacing w:val="-10"/>
          <w:sz w:val="24"/>
          <w:vertAlign w:val="baseline"/>
        </w:rPr>
        <w:t> </w:t>
      </w:r>
      <w:r>
        <w:rPr>
          <w:spacing w:val="-2"/>
          <w:sz w:val="24"/>
          <w:vertAlign w:val="baseline"/>
        </w:rPr>
        <w:t>on</w:t>
      </w:r>
      <w:r>
        <w:rPr>
          <w:spacing w:val="-9"/>
          <w:sz w:val="24"/>
          <w:vertAlign w:val="baseline"/>
        </w:rPr>
        <w:t> </w:t>
      </w:r>
      <w:r>
        <w:rPr>
          <w:spacing w:val="-2"/>
          <w:sz w:val="24"/>
          <w:vertAlign w:val="baseline"/>
        </w:rPr>
        <w:t>ERC-20</w:t>
      </w:r>
      <w:r>
        <w:rPr>
          <w:spacing w:val="-9"/>
          <w:sz w:val="24"/>
          <w:vertAlign w:val="baseline"/>
        </w:rPr>
        <w:t> </w:t>
      </w:r>
      <w:r>
        <w:rPr>
          <w:spacing w:val="-2"/>
          <w:sz w:val="24"/>
          <w:vertAlign w:val="baseline"/>
        </w:rPr>
        <w:t>approvals</w:t>
      </w:r>
      <w:r>
        <w:rPr>
          <w:spacing w:val="-10"/>
          <w:sz w:val="24"/>
          <w:vertAlign w:val="baseline"/>
        </w:rPr>
        <w:t> </w:t>
      </w:r>
      <w:r>
        <w:rPr>
          <w:spacing w:val="-2"/>
          <w:sz w:val="24"/>
          <w:vertAlign w:val="baseline"/>
        </w:rPr>
        <w:t>for </w:t>
      </w:r>
      <w:r>
        <w:rPr>
          <w:sz w:val="24"/>
          <w:vertAlign w:val="baseline"/>
        </w:rPr>
        <w:t>deposits</w:t>
      </w:r>
      <w:r>
        <w:rPr>
          <w:spacing w:val="-15"/>
          <w:sz w:val="24"/>
          <w:vertAlign w:val="baseline"/>
        </w:rPr>
        <w:t> </w:t>
      </w:r>
      <w:r>
        <w:rPr>
          <w:sz w:val="24"/>
          <w:vertAlign w:val="baseline"/>
        </w:rPr>
        <w:t>and</w:t>
      </w:r>
      <w:r>
        <w:rPr>
          <w:spacing w:val="-15"/>
          <w:sz w:val="24"/>
          <w:vertAlign w:val="baseline"/>
        </w:rPr>
        <w:t> </w:t>
      </w:r>
      <w:r>
        <w:rPr>
          <w:sz w:val="24"/>
          <w:vertAlign w:val="baseline"/>
        </w:rPr>
        <w:t>borrows</w:t>
      </w:r>
      <w:r>
        <w:rPr>
          <w:spacing w:val="-15"/>
          <w:sz w:val="24"/>
          <w:vertAlign w:val="baseline"/>
        </w:rPr>
        <w:t> </w:t>
      </w:r>
      <w:r>
        <w:rPr>
          <w:sz w:val="24"/>
          <w:vertAlign w:val="baseline"/>
        </w:rPr>
        <w:t>(Section</w:t>
      </w:r>
      <w:r>
        <w:rPr>
          <w:spacing w:val="-15"/>
          <w:sz w:val="24"/>
          <w:vertAlign w:val="baseline"/>
        </w:rPr>
        <w:t> </w:t>
      </w:r>
      <w:hyperlink w:history="true" w:anchor="_bookmark30">
        <w:r>
          <w:rPr>
            <w:sz w:val="24"/>
            <w:vertAlign w:val="baseline"/>
          </w:rPr>
          <w:t>2.7</w:t>
        </w:r>
      </w:hyperlink>
      <w:r>
        <w:rPr>
          <w:sz w:val="24"/>
          <w:vertAlign w:val="baseline"/>
        </w:rPr>
        <w:t>).</w:t>
      </w:r>
      <w:r>
        <w:rPr>
          <w:spacing w:val="10"/>
          <w:sz w:val="24"/>
          <w:vertAlign w:val="baseline"/>
        </w:rPr>
        <w:t> </w:t>
      </w:r>
      <w:r>
        <w:rPr>
          <w:sz w:val="24"/>
          <w:vertAlign w:val="baseline"/>
        </w:rPr>
        <w:t>Utilization-driven</w:t>
      </w:r>
      <w:r>
        <w:rPr>
          <w:spacing w:val="-15"/>
          <w:sz w:val="24"/>
          <w:vertAlign w:val="baseline"/>
        </w:rPr>
        <w:t> </w:t>
      </w:r>
      <w:r>
        <w:rPr>
          <w:sz w:val="24"/>
          <w:vertAlign w:val="baseline"/>
        </w:rPr>
        <w:t>interest</w:t>
      </w:r>
      <w:r>
        <w:rPr>
          <w:spacing w:val="-15"/>
          <w:sz w:val="24"/>
          <w:vertAlign w:val="baseline"/>
        </w:rPr>
        <w:t> </w:t>
      </w:r>
      <w:r>
        <w:rPr>
          <w:sz w:val="24"/>
          <w:vertAlign w:val="baseline"/>
        </w:rPr>
        <w:t>income</w:t>
      </w:r>
      <w:r>
        <w:rPr>
          <w:spacing w:val="-15"/>
          <w:sz w:val="24"/>
          <w:vertAlign w:val="baseline"/>
        </w:rPr>
        <w:t> </w:t>
      </w:r>
      <w:r>
        <w:rPr>
          <w:sz w:val="24"/>
          <w:vertAlign w:val="baseline"/>
        </w:rPr>
        <w:t>is</w:t>
      </w:r>
      <w:r>
        <w:rPr>
          <w:spacing w:val="-15"/>
          <w:sz w:val="24"/>
          <w:vertAlign w:val="baseline"/>
        </w:rPr>
        <w:t> </w:t>
      </w:r>
      <w:r>
        <w:rPr>
          <w:sz w:val="24"/>
          <w:vertAlign w:val="baseline"/>
        </w:rPr>
        <w:t>the</w:t>
      </w:r>
      <w:r>
        <w:rPr>
          <w:spacing w:val="-15"/>
          <w:sz w:val="24"/>
          <w:vertAlign w:val="baseline"/>
        </w:rPr>
        <w:t> </w:t>
      </w:r>
      <w:r>
        <w:rPr>
          <w:sz w:val="24"/>
          <w:vertAlign w:val="baseline"/>
        </w:rPr>
        <w:t>revenue</w:t>
      </w:r>
      <w:r>
        <w:rPr>
          <w:spacing w:val="-15"/>
          <w:sz w:val="24"/>
          <w:vertAlign w:val="baseline"/>
        </w:rPr>
        <w:t> </w:t>
      </w:r>
      <w:r>
        <w:rPr>
          <w:sz w:val="24"/>
          <w:vertAlign w:val="baseline"/>
        </w:rPr>
        <w:t>channel; the</w:t>
      </w:r>
      <w:r>
        <w:rPr>
          <w:spacing w:val="-7"/>
          <w:sz w:val="24"/>
          <w:vertAlign w:val="baseline"/>
        </w:rPr>
        <w:t> </w:t>
      </w:r>
      <w:r>
        <w:rPr>
          <w:sz w:val="24"/>
          <w:vertAlign w:val="baseline"/>
        </w:rPr>
        <w:t>weak</w:t>
      </w:r>
      <w:r>
        <w:rPr>
          <w:spacing w:val="-7"/>
          <w:sz w:val="24"/>
          <w:vertAlign w:val="baseline"/>
        </w:rPr>
        <w:t> </w:t>
      </w:r>
      <w:r>
        <w:rPr>
          <w:sz w:val="24"/>
          <w:vertAlign w:val="baseline"/>
        </w:rPr>
        <w:t>trading-success</w:t>
      </w:r>
      <w:r>
        <w:rPr>
          <w:spacing w:val="-8"/>
          <w:sz w:val="24"/>
          <w:vertAlign w:val="baseline"/>
        </w:rPr>
        <w:t> </w:t>
      </w:r>
      <w:r>
        <w:rPr>
          <w:sz w:val="24"/>
          <w:vertAlign w:val="baseline"/>
        </w:rPr>
        <w:t>alignment</w:t>
      </w:r>
      <w:r>
        <w:rPr>
          <w:spacing w:val="-7"/>
          <w:sz w:val="24"/>
          <w:vertAlign w:val="baseline"/>
        </w:rPr>
        <w:t> </w:t>
      </w:r>
      <w:r>
        <w:rPr>
          <w:sz w:val="24"/>
          <w:vertAlign w:val="baseline"/>
        </w:rPr>
        <w:t>of</w:t>
      </w:r>
      <w:r>
        <w:rPr>
          <w:spacing w:val="-7"/>
          <w:sz w:val="24"/>
          <w:vertAlign w:val="baseline"/>
        </w:rPr>
        <w:t> </w:t>
      </w:r>
      <w:r>
        <w:rPr>
          <w:sz w:val="24"/>
          <w:vertAlign w:val="baseline"/>
        </w:rPr>
        <w:t>social</w:t>
      </w:r>
      <w:r>
        <w:rPr>
          <w:spacing w:val="-7"/>
          <w:sz w:val="24"/>
          <w:vertAlign w:val="baseline"/>
        </w:rPr>
        <w:t> </w:t>
      </w:r>
      <w:r>
        <w:rPr>
          <w:sz w:val="24"/>
          <w:vertAlign w:val="baseline"/>
        </w:rPr>
        <w:t>methods</w:t>
      </w:r>
      <w:r>
        <w:rPr>
          <w:spacing w:val="-8"/>
          <w:sz w:val="24"/>
          <w:vertAlign w:val="baseline"/>
        </w:rPr>
        <w:t> </w:t>
      </w:r>
      <w:r>
        <w:rPr>
          <w:sz w:val="24"/>
          <w:vertAlign w:val="baseline"/>
        </w:rPr>
        <w:t>rules</w:t>
      </w:r>
      <w:r>
        <w:rPr>
          <w:spacing w:val="-8"/>
          <w:sz w:val="24"/>
          <w:vertAlign w:val="baseline"/>
        </w:rPr>
        <w:t> </w:t>
      </w:r>
      <w:r>
        <w:rPr>
          <w:sz w:val="24"/>
          <w:vertAlign w:val="baseline"/>
        </w:rPr>
        <w:t>out</w:t>
      </w:r>
      <w:r>
        <w:rPr>
          <w:spacing w:val="-7"/>
          <w:sz w:val="24"/>
          <w:vertAlign w:val="baseline"/>
        </w:rPr>
        <w:t> </w:t>
      </w:r>
      <w:r>
        <w:rPr>
          <w:sz w:val="24"/>
          <w:vertAlign w:val="baseline"/>
        </w:rPr>
        <w:t>treating</w:t>
      </w:r>
      <w:r>
        <w:rPr>
          <w:spacing w:val="-7"/>
          <w:sz w:val="24"/>
          <w:vertAlign w:val="baseline"/>
        </w:rPr>
        <w:t> </w:t>
      </w:r>
      <w:r>
        <w:rPr>
          <w:sz w:val="24"/>
          <w:vertAlign w:val="baseline"/>
        </w:rPr>
        <w:t>the</w:t>
      </w:r>
      <w:r>
        <w:rPr>
          <w:spacing w:val="-7"/>
          <w:sz w:val="24"/>
          <w:vertAlign w:val="baseline"/>
        </w:rPr>
        <w:t> </w:t>
      </w:r>
      <w:r>
        <w:rPr>
          <w:sz w:val="24"/>
          <w:vertAlign w:val="baseline"/>
        </w:rPr>
        <w:t>score</w:t>
      </w:r>
      <w:r>
        <w:rPr>
          <w:spacing w:val="-7"/>
          <w:sz w:val="24"/>
          <w:vertAlign w:val="baseline"/>
        </w:rPr>
        <w:t> </w:t>
      </w:r>
      <w:r>
        <w:rPr>
          <w:sz w:val="24"/>
          <w:vertAlign w:val="baseline"/>
        </w:rPr>
        <w:t>as</w:t>
      </w:r>
      <w:r>
        <w:rPr>
          <w:spacing w:val="-8"/>
          <w:sz w:val="24"/>
          <w:vertAlign w:val="baseline"/>
        </w:rPr>
        <w:t> </w:t>
      </w:r>
      <w:r>
        <w:rPr>
          <w:sz w:val="24"/>
          <w:vertAlign w:val="baseline"/>
        </w:rPr>
        <w:t>a</w:t>
      </w:r>
      <w:r>
        <w:rPr>
          <w:spacing w:val="-7"/>
          <w:sz w:val="24"/>
          <w:vertAlign w:val="baseline"/>
        </w:rPr>
        <w:t> </w:t>
      </w:r>
      <w:r>
        <w:rPr>
          <w:sz w:val="24"/>
          <w:vertAlign w:val="baseline"/>
        </w:rPr>
        <w:t>default</w:t>
      </w:r>
    </w:p>
    <w:p>
      <w:pPr>
        <w:pStyle w:val="ListParagraph"/>
        <w:numPr>
          <w:ilvl w:val="3"/>
          <w:numId w:val="8"/>
        </w:numPr>
        <w:tabs>
          <w:tab w:pos="806" w:val="left" w:leader="none"/>
          <w:tab w:pos="808" w:val="left" w:leader="none"/>
        </w:tabs>
        <w:spacing w:line="396" w:lineRule="auto" w:before="41" w:after="0"/>
        <w:ind w:left="808" w:right="524" w:hanging="216"/>
        <w:jc w:val="both"/>
        <w:rPr>
          <w:sz w:val="24"/>
        </w:rPr>
      </w:pPr>
      <w:r>
        <w:rPr>
          <w:i/>
        </w:rPr>
        <w:t>대출 프로토콜: 대출 시장은 담보를 포기하지 않고 더 높은 자본 활용도를 추구합니다[5],[26]. 평판은 이자율 또는 수수료 등급에 대한 보조 신호로 입력될 수 있으며 담보를 대체하는 것이 아니라 이미 담보화된 포지션에 대한 검토 흐름을 검토할 수 있습니다. En-dorseRank는 프로토콜이 이미 예금 및 차입에 대한 ERC-20 승인에 의존하는 경우 자연스러운 사회적 입력입니다(섹션 2.7). 활용에 따른 이자 소득이 수익 채널입니다. 소셜 방법의 약한 거래 성공 조정으로 인해 점수를 기본값으로 취급할 수 없습니다.</w:t>
      </w:r>
    </w:p>
    <w:p>
      <w:pPr>
        <w:pStyle w:val="ListParagraph"/>
        <w:spacing w:after="0" w:line="396" w:lineRule="auto"/>
        <w:jc w:val="both"/>
        <w:rPr>
          <w:sz w:val="24"/>
        </w:rPr>
        <w:sectPr>
          <w:pgSz w:w="11910" w:h="16840"/>
          <w:pgMar w:header="0" w:footer="2115" w:top="1840" w:bottom="2300" w:left="992" w:right="708"/>
        </w:sectPr>
      </w:pPr>
    </w:p>
    <w:p>
      <w:pPr>
        <w:pStyle w:val="BodyText"/>
        <w:spacing w:before="72"/>
        <w:ind w:left="808"/>
        <w:jc w:val="both"/>
      </w:pPr>
      <w:r>
        <w:rPr/>
        <w:t>predictor.</w:t>
      </w:r>
      <w:r>
        <w:rPr>
          <w:spacing w:val="3"/>
        </w:rPr>
        <w:t> </w:t>
      </w:r>
      <w:r>
        <w:rPr/>
        <w:t>Any</w:t>
      </w:r>
      <w:r>
        <w:rPr>
          <w:spacing w:val="-13"/>
        </w:rPr>
        <w:t> </w:t>
      </w:r>
      <w:r>
        <w:rPr/>
        <w:t>collateral-differentiation</w:t>
      </w:r>
      <w:r>
        <w:rPr>
          <w:spacing w:val="-13"/>
        </w:rPr>
        <w:t> </w:t>
      </w:r>
      <w:r>
        <w:rPr/>
        <w:t>experiment</w:t>
      </w:r>
      <w:r>
        <w:rPr>
          <w:spacing w:val="-13"/>
        </w:rPr>
        <w:t> </w:t>
      </w:r>
      <w:r>
        <w:rPr/>
        <w:t>remains</w:t>
      </w:r>
      <w:r>
        <w:rPr>
          <w:spacing w:val="-13"/>
        </w:rPr>
        <w:t> </w:t>
      </w:r>
      <w:r>
        <w:rPr/>
        <w:t>future</w:t>
      </w:r>
      <w:r>
        <w:rPr>
          <w:spacing w:val="-13"/>
        </w:rPr>
        <w:t> </w:t>
      </w:r>
      <w:r>
        <w:rPr/>
        <w:t>work</w:t>
      </w:r>
      <w:r>
        <w:rPr>
          <w:spacing w:val="-13"/>
        </w:rPr>
        <w:t> </w:t>
      </w:r>
      <w:r>
        <w:rPr/>
        <w:t>(Chapter</w:t>
      </w:r>
      <w:r>
        <w:rPr>
          <w:spacing w:val="-13"/>
        </w:rPr>
        <w:t> </w:t>
      </w:r>
      <w:hyperlink w:history="true" w:anchor="_bookmark128">
        <w:r>
          <w:rPr>
            <w:spacing w:val="-5"/>
          </w:rPr>
          <w:t>6</w:t>
        </w:r>
      </w:hyperlink>
      <w:r>
        <w:rPr>
          <w:spacing w:val="-5"/>
        </w:rPr>
        <w:t>).</w:t>
      </w:r>
    </w:p>
    <w:p>
      <w:pPr>
        <w:pStyle w:val="BodyText"/>
        <w:spacing w:before="72"/>
        <w:ind w:left="808"/>
        <w:jc w:val="both"/>
      </w:pPr>
      <w:r>
        <w:rPr>
          <w:i/>
        </w:rPr>
        <w:t>예언자. 모든 부수적 분화 실험은 향후 작업으로 남아 있습니다(6장).</w:t>
      </w:r>
    </w:p>
    <w:p>
      <w:pPr>
        <w:pStyle w:val="ListParagraph"/>
        <w:numPr>
          <w:ilvl w:val="3"/>
          <w:numId w:val="8"/>
        </w:numPr>
        <w:tabs>
          <w:tab w:pos="794" w:val="left" w:leader="none"/>
          <w:tab w:pos="808" w:val="left" w:leader="none"/>
        </w:tabs>
        <w:spacing w:line="396" w:lineRule="auto" w:before="217" w:after="0"/>
        <w:ind w:left="808" w:right="524" w:hanging="216"/>
        <w:jc w:val="both"/>
        <w:rPr>
          <w:sz w:val="24"/>
        </w:rPr>
      </w:pPr>
      <w:r>
        <w:rPr>
          <w:b/>
          <w:sz w:val="24"/>
        </w:rPr>
        <w:t>Wallet and security tooling:</w:t>
      </w:r>
      <w:r>
        <w:rPr>
          <w:b/>
          <w:spacing w:val="26"/>
          <w:sz w:val="24"/>
        </w:rPr>
        <w:t> </w:t>
      </w:r>
      <w:r>
        <w:rPr>
          <w:sz w:val="24"/>
        </w:rPr>
        <w:t>Users and integrators must decide whether a spender contract is</w:t>
      </w:r>
      <w:r>
        <w:rPr>
          <w:spacing w:val="-6"/>
          <w:sz w:val="24"/>
        </w:rPr>
        <w:t> </w:t>
      </w:r>
      <w:r>
        <w:rPr>
          <w:sz w:val="24"/>
        </w:rPr>
        <w:t>widely</w:t>
      </w:r>
      <w:r>
        <w:rPr>
          <w:spacing w:val="-6"/>
          <w:sz w:val="24"/>
        </w:rPr>
        <w:t> </w:t>
      </w:r>
      <w:r>
        <w:rPr>
          <w:sz w:val="24"/>
        </w:rPr>
        <w:t>authorized. Displaying</w:t>
      </w:r>
      <w:r>
        <w:rPr>
          <w:spacing w:val="-6"/>
          <w:sz w:val="24"/>
        </w:rPr>
        <w:t> </w:t>
      </w:r>
      <w:r>
        <w:rPr>
          <w:sz w:val="24"/>
        </w:rPr>
        <w:t>the</w:t>
      </w:r>
      <w:r>
        <w:rPr>
          <w:spacing w:val="-6"/>
          <w:sz w:val="24"/>
        </w:rPr>
        <w:t> </w:t>
      </w:r>
      <w:r>
        <w:rPr>
          <w:sz w:val="24"/>
        </w:rPr>
        <w:t>spender’s</w:t>
      </w:r>
      <w:r>
        <w:rPr>
          <w:spacing w:val="-7"/>
          <w:sz w:val="24"/>
        </w:rPr>
        <w:t> </w:t>
      </w:r>
      <w:r>
        <w:rPr>
          <w:sz w:val="24"/>
        </w:rPr>
        <w:t>EndorseRank—or</w:t>
      </w:r>
      <w:r>
        <w:rPr>
          <w:spacing w:val="-6"/>
          <w:sz w:val="24"/>
        </w:rPr>
        <w:t> </w:t>
      </w:r>
      <w:r>
        <w:rPr>
          <w:sz w:val="24"/>
        </w:rPr>
        <w:t>the</w:t>
      </w:r>
      <w:r>
        <w:rPr>
          <w:spacing w:val="-6"/>
          <w:sz w:val="24"/>
        </w:rPr>
        <w:t> </w:t>
      </w:r>
      <w:r>
        <w:rPr>
          <w:sz w:val="24"/>
        </w:rPr>
        <w:t>distribution</w:t>
      </w:r>
      <w:r>
        <w:rPr>
          <w:spacing w:val="-6"/>
          <w:sz w:val="24"/>
        </w:rPr>
        <w:t> </w:t>
      </w:r>
      <w:r>
        <w:rPr>
          <w:sz w:val="24"/>
        </w:rPr>
        <w:t>of</w:t>
      </w:r>
      <w:r>
        <w:rPr>
          <w:spacing w:val="-6"/>
          <w:sz w:val="24"/>
        </w:rPr>
        <w:t> </w:t>
      </w:r>
      <w:r>
        <w:rPr>
          <w:sz w:val="24"/>
        </w:rPr>
        <w:t>inbound endorsement</w:t>
      </w:r>
      <w:r>
        <w:rPr>
          <w:spacing w:val="-2"/>
          <w:sz w:val="24"/>
        </w:rPr>
        <w:t> </w:t>
      </w:r>
      <w:r>
        <w:rPr>
          <w:sz w:val="24"/>
        </w:rPr>
        <w:t>mass—as</w:t>
      </w:r>
      <w:r>
        <w:rPr>
          <w:spacing w:val="-2"/>
          <w:sz w:val="24"/>
        </w:rPr>
        <w:t> </w:t>
      </w:r>
      <w:r>
        <w:rPr>
          <w:sz w:val="24"/>
        </w:rPr>
        <w:t>a</w:t>
      </w:r>
      <w:r>
        <w:rPr>
          <w:spacing w:val="-2"/>
          <w:sz w:val="24"/>
        </w:rPr>
        <w:t> </w:t>
      </w:r>
      <w:r>
        <w:rPr>
          <w:sz w:val="24"/>
        </w:rPr>
        <w:t>trust</w:t>
      </w:r>
      <w:r>
        <w:rPr>
          <w:spacing w:val="-2"/>
          <w:sz w:val="24"/>
        </w:rPr>
        <w:t> </w:t>
      </w:r>
      <w:r>
        <w:rPr>
          <w:sz w:val="24"/>
        </w:rPr>
        <w:t>badge</w:t>
      </w:r>
      <w:r>
        <w:rPr>
          <w:spacing w:val="-2"/>
          <w:sz w:val="24"/>
        </w:rPr>
        <w:t> </w:t>
      </w:r>
      <w:r>
        <w:rPr>
          <w:sz w:val="24"/>
        </w:rPr>
        <w:t>operationalizes</w:t>
      </w:r>
      <w:r>
        <w:rPr>
          <w:spacing w:val="-2"/>
          <w:sz w:val="24"/>
        </w:rPr>
        <w:t> </w:t>
      </w:r>
      <w:r>
        <w:rPr>
          <w:sz w:val="24"/>
        </w:rPr>
        <w:t>allowance</w:t>
      </w:r>
      <w:r>
        <w:rPr>
          <w:spacing w:val="-2"/>
          <w:sz w:val="24"/>
        </w:rPr>
        <w:t> </w:t>
      </w:r>
      <w:r>
        <w:rPr>
          <w:sz w:val="24"/>
        </w:rPr>
        <w:t>semantics</w:t>
      </w:r>
      <w:r>
        <w:rPr>
          <w:spacing w:val="-2"/>
          <w:sz w:val="24"/>
        </w:rPr>
        <w:t> </w:t>
      </w:r>
      <w:r>
        <w:rPr>
          <w:sz w:val="24"/>
        </w:rPr>
        <w:t>as</w:t>
      </w:r>
      <w:r>
        <w:rPr>
          <w:spacing w:val="-2"/>
          <w:sz w:val="24"/>
        </w:rPr>
        <w:t> </w:t>
      </w:r>
      <w:r>
        <w:rPr>
          <w:sz w:val="24"/>
        </w:rPr>
        <w:t>explicit</w:t>
      </w:r>
      <w:r>
        <w:rPr>
          <w:spacing w:val="-2"/>
          <w:sz w:val="24"/>
        </w:rPr>
        <w:t> </w:t>
      </w:r>
      <w:r>
        <w:rPr>
          <w:sz w:val="24"/>
        </w:rPr>
        <w:t>delega-tion of spending authority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w:t>
      </w:r>
      <w:r>
        <w:rPr>
          <w:spacing w:val="40"/>
          <w:sz w:val="24"/>
          <w:vertAlign w:val="baseline"/>
        </w:rPr>
        <w:t> </w:t>
      </w:r>
      <w:r>
        <w:rPr>
          <w:sz w:val="24"/>
          <w:vertAlign w:val="baseline"/>
        </w:rPr>
        <w:t>Vendors may monetize through premium alerts and API subscriptions;</w:t>
      </w:r>
      <w:r>
        <w:rPr>
          <w:spacing w:val="-7"/>
          <w:sz w:val="24"/>
          <w:vertAlign w:val="baseline"/>
        </w:rPr>
        <w:t> </w:t>
      </w:r>
      <w:r>
        <w:rPr>
          <w:sz w:val="24"/>
          <w:vertAlign w:val="baseline"/>
        </w:rPr>
        <w:t>this</w:t>
      </w:r>
      <w:r>
        <w:rPr>
          <w:spacing w:val="-7"/>
          <w:sz w:val="24"/>
          <w:vertAlign w:val="baseline"/>
        </w:rPr>
        <w:t> </w:t>
      </w:r>
      <w:r>
        <w:rPr>
          <w:sz w:val="24"/>
          <w:vertAlign w:val="baseline"/>
        </w:rPr>
        <w:t>is</w:t>
      </w:r>
      <w:r>
        <w:rPr>
          <w:spacing w:val="-7"/>
          <w:sz w:val="24"/>
          <w:vertAlign w:val="baseline"/>
        </w:rPr>
        <w:t> </w:t>
      </w:r>
      <w:r>
        <w:rPr>
          <w:sz w:val="24"/>
          <w:vertAlign w:val="baseline"/>
        </w:rPr>
        <w:t>subscription</w:t>
      </w:r>
      <w:r>
        <w:rPr>
          <w:spacing w:val="-7"/>
          <w:sz w:val="24"/>
          <w:vertAlign w:val="baseline"/>
        </w:rPr>
        <w:t> </w:t>
      </w:r>
      <w:r>
        <w:rPr>
          <w:sz w:val="24"/>
          <w:vertAlign w:val="baseline"/>
        </w:rPr>
        <w:t>revenue</w:t>
      </w:r>
      <w:r>
        <w:rPr>
          <w:spacing w:val="-7"/>
          <w:sz w:val="24"/>
          <w:vertAlign w:val="baseline"/>
        </w:rPr>
        <w:t> </w:t>
      </w:r>
      <w:r>
        <w:rPr>
          <w:sz w:val="24"/>
          <w:vertAlign w:val="baseline"/>
        </w:rPr>
        <w:t>for</w:t>
      </w:r>
      <w:r>
        <w:rPr>
          <w:spacing w:val="-7"/>
          <w:sz w:val="24"/>
          <w:vertAlign w:val="baseline"/>
        </w:rPr>
        <w:t> </w:t>
      </w:r>
      <w:r>
        <w:rPr>
          <w:sz w:val="24"/>
          <w:vertAlign w:val="baseline"/>
        </w:rPr>
        <w:t>tooling,</w:t>
      </w:r>
      <w:r>
        <w:rPr>
          <w:spacing w:val="-7"/>
          <w:sz w:val="24"/>
          <w:vertAlign w:val="baseline"/>
        </w:rPr>
        <w:t> </w:t>
      </w:r>
      <w:r>
        <w:rPr>
          <w:sz w:val="24"/>
          <w:vertAlign w:val="baseline"/>
        </w:rPr>
        <w:t>distinct</w:t>
      </w:r>
      <w:r>
        <w:rPr>
          <w:spacing w:val="-7"/>
          <w:sz w:val="24"/>
          <w:vertAlign w:val="baseline"/>
        </w:rPr>
        <w:t> </w:t>
      </w:r>
      <w:r>
        <w:rPr>
          <w:sz w:val="24"/>
          <w:vertAlign w:val="baseline"/>
        </w:rPr>
        <w:t>from</w:t>
      </w:r>
      <w:r>
        <w:rPr>
          <w:spacing w:val="-7"/>
          <w:sz w:val="24"/>
          <w:vertAlign w:val="baseline"/>
        </w:rPr>
        <w:t> </w:t>
      </w:r>
      <w:r>
        <w:rPr>
          <w:sz w:val="24"/>
          <w:vertAlign w:val="baseline"/>
        </w:rPr>
        <w:t>protocol</w:t>
      </w:r>
      <w:r>
        <w:rPr>
          <w:spacing w:val="-7"/>
          <w:sz w:val="24"/>
          <w:vertAlign w:val="baseline"/>
        </w:rPr>
        <w:t> </w:t>
      </w:r>
      <w:r>
        <w:rPr>
          <w:sz w:val="24"/>
          <w:vertAlign w:val="baseline"/>
        </w:rPr>
        <w:t>fees,</w:t>
      </w:r>
      <w:r>
        <w:rPr>
          <w:spacing w:val="-6"/>
          <w:sz w:val="24"/>
          <w:vertAlign w:val="baseline"/>
        </w:rPr>
        <w:t> </w:t>
      </w:r>
      <w:r>
        <w:rPr>
          <w:sz w:val="24"/>
          <w:vertAlign w:val="baseline"/>
        </w:rPr>
        <w:t>utilization, monitoring-cost savings, or Sybil-filter reward-leakage reduction.</w:t>
      </w:r>
      <w:r>
        <w:rPr>
          <w:spacing w:val="40"/>
          <w:sz w:val="24"/>
          <w:vertAlign w:val="baseline"/>
        </w:rPr>
        <w:t> </w:t>
      </w:r>
      <w:r>
        <w:rPr>
          <w:sz w:val="24"/>
          <w:vertAlign w:val="baseline"/>
        </w:rPr>
        <w:t>The badge reports graph position under published edge definitions; it is not a security audit or a guarantee against malicious contracts.</w:t>
      </w:r>
    </w:p>
    <w:p>
      <w:pPr>
        <w:pStyle w:val="ListParagraph"/>
        <w:numPr>
          <w:ilvl w:val="3"/>
          <w:numId w:val="8"/>
        </w:numPr>
        <w:tabs>
          <w:tab w:pos="794" w:val="left" w:leader="none"/>
          <w:tab w:pos="808" w:val="left" w:leader="none"/>
        </w:tabs>
        <w:spacing w:line="396" w:lineRule="auto" w:before="217" w:after="0"/>
        <w:ind w:left="808" w:right="524" w:hanging="216"/>
        <w:jc w:val="both"/>
        <w:rPr>
          <w:sz w:val="24"/>
        </w:rPr>
      </w:pPr>
      <w:r>
        <w:rPr>
          <w:i/>
        </w:rPr>
        <w:t>지갑 및 보안 도구: 사용자와 통합자는 지출 계약이 널리 승인되는지 여부를 결정해야 합니다. 지출자의 EndorseRank(또는 인바운드 보증 대량의 분포)를 신뢰 배지로 표시하면 지출 권한의 명시적인 위임으로 수당 의미 체계가 운용됩니다[18],[19]. 공급업체는 프리미엄 알림 및 API 구독을 통해 수익을 창출할 수 있습니다. 이는 프로토콜 수수료, 활용도, 모니터링 비용 절감 또는 Sybil-필터 보상 누출 감소와는 별개로 툴링에 대한 구독 수익입니다. 배지는 게시된 에지 정의에 따른 그래프 위치를 보고하며 보안 감사나 악의적인 계약에 대한 보장이 아닙니다.</w:t>
      </w:r>
    </w:p>
    <w:p>
      <w:pPr>
        <w:pStyle w:val="ListParagraph"/>
        <w:numPr>
          <w:ilvl w:val="3"/>
          <w:numId w:val="8"/>
        </w:numPr>
        <w:tabs>
          <w:tab w:pos="806" w:val="left" w:leader="none"/>
          <w:tab w:pos="808" w:val="left" w:leader="none"/>
        </w:tabs>
        <w:spacing w:line="388" w:lineRule="auto" w:before="46" w:after="0"/>
        <w:ind w:left="808" w:right="524" w:hanging="216"/>
        <w:jc w:val="both"/>
        <w:rPr>
          <w:sz w:val="24"/>
        </w:rPr>
      </w:pPr>
      <w:r>
        <w:rPr>
          <w:b/>
          <w:sz w:val="24"/>
        </w:rPr>
        <w:t>Liquidity providers and market makers:</w:t>
      </w:r>
      <w:r>
        <w:rPr>
          <w:b/>
          <w:spacing w:val="40"/>
          <w:sz w:val="24"/>
        </w:rPr>
        <w:t> </w:t>
      </w:r>
      <w:r>
        <w:rPr>
          <w:sz w:val="24"/>
        </w:rPr>
        <w:t>LPs and market makers need to identify trans-fer</w:t>
      </w:r>
      <w:r>
        <w:rPr>
          <w:spacing w:val="21"/>
          <w:sz w:val="24"/>
        </w:rPr>
        <w:t> </w:t>
      </w:r>
      <w:r>
        <w:rPr>
          <w:sz w:val="24"/>
        </w:rPr>
        <w:t>hubs</w:t>
      </w:r>
      <w:r>
        <w:rPr>
          <w:spacing w:val="21"/>
          <w:sz w:val="24"/>
        </w:rPr>
        <w:t> </w:t>
      </w:r>
      <w:r>
        <w:rPr>
          <w:sz w:val="24"/>
        </w:rPr>
        <w:t>and</w:t>
      </w:r>
      <w:r>
        <w:rPr>
          <w:spacing w:val="21"/>
          <w:sz w:val="24"/>
        </w:rPr>
        <w:t> </w:t>
      </w:r>
      <w:r>
        <w:rPr>
          <w:sz w:val="24"/>
        </w:rPr>
        <w:t>flow</w:t>
      </w:r>
      <w:r>
        <w:rPr>
          <w:spacing w:val="21"/>
          <w:sz w:val="24"/>
        </w:rPr>
        <w:t> </w:t>
      </w:r>
      <w:r>
        <w:rPr>
          <w:sz w:val="24"/>
        </w:rPr>
        <w:t>structure</w:t>
      </w:r>
      <w:r>
        <w:rPr>
          <w:spacing w:val="21"/>
          <w:sz w:val="24"/>
        </w:rPr>
        <w:t> </w:t>
      </w:r>
      <w:r>
        <w:rPr>
          <w:sz w:val="24"/>
        </w:rPr>
        <w:t>for</w:t>
      </w:r>
      <w:r>
        <w:rPr>
          <w:spacing w:val="21"/>
          <w:sz w:val="24"/>
        </w:rPr>
        <w:t> </w:t>
      </w:r>
      <w:r>
        <w:rPr>
          <w:sz w:val="24"/>
        </w:rPr>
        <w:t>inventory</w:t>
      </w:r>
      <w:r>
        <w:rPr>
          <w:spacing w:val="21"/>
          <w:sz w:val="24"/>
        </w:rPr>
        <w:t> </w:t>
      </w:r>
      <w:r>
        <w:rPr>
          <w:sz w:val="24"/>
        </w:rPr>
        <w:t>and</w:t>
      </w:r>
      <w:r>
        <w:rPr>
          <w:spacing w:val="21"/>
          <w:sz w:val="24"/>
        </w:rPr>
        <w:t> </w:t>
      </w:r>
      <w:r>
        <w:rPr>
          <w:sz w:val="24"/>
        </w:rPr>
        <w:t>spread</w:t>
      </w:r>
      <w:r>
        <w:rPr>
          <w:spacing w:val="21"/>
          <w:sz w:val="24"/>
        </w:rPr>
        <w:t> </w:t>
      </w:r>
      <w:r>
        <w:rPr>
          <w:sz w:val="24"/>
        </w:rPr>
        <w:t>management.</w:t>
      </w:r>
      <w:r>
        <w:rPr>
          <w:spacing w:val="80"/>
          <w:sz w:val="24"/>
        </w:rPr>
        <w:t> </w:t>
      </w:r>
      <w:r>
        <w:rPr>
          <w:sz w:val="24"/>
        </w:rPr>
        <w:t>AWP</w:t>
      </w:r>
      <w:r>
        <w:rPr>
          <w:spacing w:val="21"/>
          <w:sz w:val="24"/>
        </w:rPr>
        <w:t> </w:t>
      </w:r>
      <w:r>
        <w:rPr>
          <w:sz w:val="24"/>
        </w:rPr>
        <w:t>is</w:t>
      </w:r>
      <w:r>
        <w:rPr>
          <w:spacing w:val="21"/>
          <w:sz w:val="24"/>
        </w:rPr>
        <w:t> </w:t>
      </w:r>
      <w:r>
        <w:rPr>
          <w:sz w:val="24"/>
        </w:rPr>
        <w:t>the</w:t>
      </w:r>
      <w:r>
        <w:rPr>
          <w:spacing w:val="21"/>
          <w:sz w:val="24"/>
        </w:rPr>
        <w:t> </w:t>
      </w:r>
      <w:r>
        <w:rPr>
          <w:sz w:val="24"/>
        </w:rPr>
        <w:t>better</w:t>
      </w:r>
      <w:r>
        <w:rPr>
          <w:spacing w:val="21"/>
          <w:sz w:val="24"/>
        </w:rPr>
        <w:t> </w:t>
      </w:r>
      <w:r>
        <w:rPr>
          <w:sz w:val="24"/>
        </w:rPr>
        <w:t>so-cial</w:t>
      </w:r>
      <w:r>
        <w:rPr>
          <w:spacing w:val="12"/>
          <w:sz w:val="24"/>
        </w:rPr>
        <w:t> </w:t>
      </w:r>
      <w:r>
        <w:rPr>
          <w:sz w:val="24"/>
        </w:rPr>
        <w:t>method</w:t>
      </w:r>
      <w:r>
        <w:rPr>
          <w:spacing w:val="13"/>
          <w:sz w:val="24"/>
        </w:rPr>
        <w:t> </w:t>
      </w:r>
      <w:r>
        <w:rPr>
          <w:sz w:val="24"/>
        </w:rPr>
        <w:t>for</w:t>
      </w:r>
      <w:r>
        <w:rPr>
          <w:spacing w:val="12"/>
          <w:sz w:val="24"/>
        </w:rPr>
        <w:t> </w:t>
      </w:r>
      <w:r>
        <w:rPr>
          <w:sz w:val="24"/>
        </w:rPr>
        <w:t>this</w:t>
      </w:r>
      <w:r>
        <w:rPr>
          <w:spacing w:val="13"/>
          <w:sz w:val="24"/>
        </w:rPr>
        <w:t> </w:t>
      </w:r>
      <w:r>
        <w:rPr>
          <w:sz w:val="24"/>
        </w:rPr>
        <w:t>target:</w:t>
      </w:r>
      <w:r>
        <w:rPr>
          <w:spacing w:val="40"/>
          <w:sz w:val="24"/>
        </w:rPr>
        <w:t> </w:t>
      </w:r>
      <w:r>
        <w:rPr>
          <w:sz w:val="24"/>
        </w:rPr>
        <w:t>transfer</w:t>
      </w:r>
      <w:r>
        <w:rPr>
          <w:spacing w:val="12"/>
          <w:sz w:val="24"/>
        </w:rPr>
        <w:t> </w:t>
      </w:r>
      <w:r>
        <w:rPr>
          <w:rFonts w:ascii="Calibri" w:hAnsi="Calibri"/>
          <w:i/>
          <w:sz w:val="24"/>
        </w:rPr>
        <w:t>τ</w:t>
      </w:r>
      <w:r>
        <w:rPr>
          <w:rFonts w:ascii="Calibri" w:hAnsi="Calibri"/>
          <w:i/>
          <w:spacing w:val="40"/>
          <w:w w:val="125"/>
          <w:sz w:val="24"/>
        </w:rPr>
        <w:t> </w:t>
      </w:r>
      <w:r>
        <w:rPr>
          <w:rFonts w:ascii="Calibri" w:hAnsi="Calibri"/>
          <w:w w:val="125"/>
          <w:sz w:val="24"/>
        </w:rPr>
        <w:t>=</w:t>
      </w:r>
      <w:r>
        <w:rPr>
          <w:rFonts w:ascii="Calibri" w:hAnsi="Calibri"/>
          <w:spacing w:val="29"/>
          <w:w w:val="125"/>
          <w:sz w:val="24"/>
        </w:rPr>
        <w:t> </w:t>
      </w:r>
      <w:r>
        <w:rPr>
          <w:rFonts w:ascii="Calibri" w:hAnsi="Calibri"/>
          <w:sz w:val="24"/>
        </w:rPr>
        <w:t>0</w:t>
      </w:r>
      <w:r>
        <w:rPr>
          <w:rFonts w:ascii="Calibri" w:hAnsi="Calibri"/>
          <w:i/>
          <w:sz w:val="24"/>
        </w:rPr>
        <w:t>.</w:t>
      </w:r>
      <w:r>
        <w:rPr>
          <w:rFonts w:ascii="Calibri" w:hAnsi="Calibri"/>
          <w:sz w:val="24"/>
        </w:rPr>
        <w:t>534</w:t>
      </w:r>
      <w:r>
        <w:rPr>
          <w:rFonts w:ascii="Calibri" w:hAnsi="Calibri"/>
          <w:spacing w:val="19"/>
          <w:sz w:val="24"/>
        </w:rPr>
        <w:t> </w:t>
      </w:r>
      <w:r>
        <w:rPr>
          <w:sz w:val="24"/>
        </w:rPr>
        <w:t>and</w:t>
      </w:r>
      <w:r>
        <w:rPr>
          <w:spacing w:val="12"/>
          <w:sz w:val="24"/>
        </w:rPr>
        <w:t> </w:t>
      </w:r>
      <w:r>
        <w:rPr>
          <w:sz w:val="24"/>
        </w:rPr>
        <w:t>a</w:t>
      </w:r>
      <w:r>
        <w:rPr>
          <w:spacing w:val="13"/>
          <w:sz w:val="24"/>
        </w:rPr>
        <w:t> </w:t>
      </w:r>
      <w:r>
        <w:rPr>
          <w:sz w:val="24"/>
        </w:rPr>
        <w:t>batch-friendly</w:t>
      </w:r>
      <w:r>
        <w:rPr>
          <w:spacing w:val="13"/>
          <w:sz w:val="24"/>
        </w:rPr>
        <w:t> </w:t>
      </w:r>
      <w:r>
        <w:rPr>
          <w:sz w:val="24"/>
        </w:rPr>
        <w:t>runtime</w:t>
      </w:r>
      <w:r>
        <w:rPr>
          <w:spacing w:val="12"/>
          <w:sz w:val="24"/>
        </w:rPr>
        <w:t> </w:t>
      </w:r>
      <w:r>
        <w:rPr>
          <w:sz w:val="24"/>
        </w:rPr>
        <w:t>of</w:t>
      </w:r>
      <w:r>
        <w:rPr>
          <w:spacing w:val="12"/>
          <w:sz w:val="24"/>
        </w:rPr>
        <w:t> </w:t>
      </w:r>
      <w:r>
        <w:rPr>
          <w:rFonts w:ascii="Calibri" w:hAnsi="Calibri"/>
          <w:sz w:val="24"/>
        </w:rPr>
        <w:t>18</w:t>
      </w:r>
      <w:r>
        <w:rPr>
          <w:rFonts w:ascii="Calibri" w:hAnsi="Calibri"/>
          <w:i/>
          <w:sz w:val="24"/>
        </w:rPr>
        <w:t>.</w:t>
      </w:r>
      <w:r>
        <w:rPr>
          <w:rFonts w:ascii="Calibri" w:hAnsi="Calibri"/>
          <w:sz w:val="24"/>
        </w:rPr>
        <w:t>711</w:t>
      </w:r>
      <w:r>
        <w:rPr>
          <w:rFonts w:ascii="Calibri" w:hAnsi="Calibri"/>
          <w:spacing w:val="-14"/>
          <w:sz w:val="24"/>
        </w:rPr>
        <w:t> </w:t>
      </w:r>
      <w:r>
        <w:rPr>
          <w:sz w:val="24"/>
        </w:rPr>
        <w:t>s</w:t>
      </w:r>
      <w:r>
        <w:rPr>
          <w:spacing w:val="13"/>
          <w:sz w:val="24"/>
        </w:rPr>
        <w:t> </w:t>
      </w:r>
      <w:r>
        <w:rPr>
          <w:sz w:val="24"/>
        </w:rPr>
        <w:t>on </w:t>
      </w:r>
      <w:r>
        <w:rPr>
          <w:rFonts w:ascii="Calibri" w:hAnsi="Calibri"/>
          <w:i/>
          <w:sz w:val="24"/>
        </w:rPr>
        <w:t>n</w:t>
      </w:r>
      <w:r>
        <w:rPr>
          <w:rFonts w:ascii="Calibri" w:hAnsi="Calibri"/>
          <w:i/>
          <w:w w:val="125"/>
          <w:sz w:val="24"/>
        </w:rPr>
        <w:t> </w:t>
      </w:r>
      <w:r>
        <w:rPr>
          <w:rFonts w:ascii="Calibri" w:hAnsi="Calibri"/>
          <w:w w:val="125"/>
          <w:sz w:val="24"/>
        </w:rPr>
        <w:t>=</w:t>
      </w:r>
      <w:r>
        <w:rPr>
          <w:rFonts w:ascii="Calibri" w:hAnsi="Calibri"/>
          <w:w w:val="125"/>
          <w:sz w:val="24"/>
        </w:rPr>
        <w:t> </w:t>
      </w:r>
      <w:r>
        <w:rPr>
          <w:rFonts w:ascii="Calibri" w:hAnsi="Calibri"/>
          <w:sz w:val="24"/>
        </w:rPr>
        <w:t>5</w:t>
      </w:r>
      <w:r>
        <w:rPr>
          <w:rFonts w:ascii="Calibri" w:hAnsi="Calibri"/>
          <w:i/>
          <w:sz w:val="24"/>
        </w:rPr>
        <w:t>,</w:t>
      </w:r>
      <w:r>
        <w:rPr>
          <w:rFonts w:ascii="Calibri" w:hAnsi="Calibri"/>
          <w:sz w:val="24"/>
        </w:rPr>
        <w:t>521 </w:t>
      </w:r>
      <w:r>
        <w:rPr>
          <w:sz w:val="24"/>
        </w:rPr>
        <w:t>wallets support periodic analytics rather than sub-second refresh </w:t>
      </w:r>
      <w:hyperlink w:history="true" w:anchor="_bookmark149">
        <w:r>
          <w:rPr>
            <w:sz w:val="24"/>
            <w:vertAlign w:val="superscript"/>
          </w:rPr>
          <w:t>[16]</w:t>
        </w:r>
      </w:hyperlink>
      <w:r>
        <w:rPr>
          <w:sz w:val="24"/>
          <w:vertAlign w:val="baseline"/>
        </w:rPr>
        <w:t>.</w:t>
      </w:r>
      <w:r>
        <w:rPr>
          <w:spacing w:val="40"/>
          <w:sz w:val="24"/>
          <w:vertAlign w:val="baseline"/>
        </w:rPr>
        <w:t> </w:t>
      </w:r>
      <w:r>
        <w:rPr>
          <w:sz w:val="24"/>
          <w:vertAlign w:val="baseline"/>
        </w:rPr>
        <w:t>The oper-ational channel is lower screening and monitoring cost when identifying transfer hubs—not improved P&amp;L or a profitability forecast.</w:t>
      </w:r>
      <w:r>
        <w:rPr>
          <w:spacing w:val="40"/>
          <w:sz w:val="24"/>
          <w:vertAlign w:val="baseline"/>
        </w:rPr>
        <w:t> </w:t>
      </w:r>
      <w:r>
        <w:rPr>
          <w:sz w:val="24"/>
          <w:vertAlign w:val="baseline"/>
        </w:rPr>
        <w:t>AWP remains a flow-centrality instrument, not a profitability oracle.</w:t>
      </w:r>
    </w:p>
    <w:p>
      <w:pPr>
        <w:pStyle w:val="ListParagraph"/>
        <w:numPr>
          <w:ilvl w:val="3"/>
          <w:numId w:val="8"/>
        </w:numPr>
        <w:tabs>
          <w:tab w:pos="806" w:val="left" w:leader="none"/>
          <w:tab w:pos="808" w:val="left" w:leader="none"/>
        </w:tabs>
        <w:spacing w:line="388" w:lineRule="auto" w:before="46" w:after="0"/>
        <w:ind w:left="808" w:right="524" w:hanging="216"/>
        <w:jc w:val="both"/>
        <w:rPr>
          <w:sz w:val="24"/>
        </w:rPr>
      </w:pPr>
      <w:r>
        <w:rPr>
          <w:i/>
        </w:rPr>
        <w:t>유동성 공급자 및 시장 조성자: LP와 시장 조성자는 재고 및 스프레드 관리를 위한 이체 허브와 흐름 구조를 식별해야 합니다. AWP는 이 목표에 대한 더 나은 소셜 방법입니다. 전송 τ = 0.534 및 n = 5,521 지갑에서 18.711초의 배치 친화적 런타임은 1초 미만의 새로 고침이 아닌 주기적인 분석을 지원합니다[16]. 운영 채널은 개선된 손익이나 수익성 예측이 아니라 환승 허브를 식별할 때 심사 및 모니터링 비용을 낮추는 것입니다. AWP는 수익성 오라클이 아닌 흐름 중심 도구로 남아 있습니다.</w:t>
      </w:r>
    </w:p>
    <w:p>
      <w:pPr>
        <w:pStyle w:val="ListParagraph"/>
        <w:numPr>
          <w:ilvl w:val="3"/>
          <w:numId w:val="8"/>
        </w:numPr>
        <w:tabs>
          <w:tab w:pos="797" w:val="left" w:leader="none"/>
          <w:tab w:pos="808" w:val="left" w:leader="none"/>
        </w:tabs>
        <w:spacing w:line="396" w:lineRule="auto" w:before="47" w:after="0"/>
        <w:ind w:left="808" w:right="523" w:hanging="216"/>
        <w:jc w:val="both"/>
        <w:rPr>
          <w:sz w:val="24"/>
        </w:rPr>
      </w:pPr>
      <w:r>
        <w:rPr>
          <w:b/>
          <w:sz w:val="24"/>
        </w:rPr>
        <w:t>Airdrop</w:t>
      </w:r>
      <w:r>
        <w:rPr>
          <w:b/>
          <w:spacing w:val="-14"/>
          <w:sz w:val="24"/>
        </w:rPr>
        <w:t> </w:t>
      </w:r>
      <w:r>
        <w:rPr>
          <w:b/>
          <w:sz w:val="24"/>
        </w:rPr>
        <w:t>and</w:t>
      </w:r>
      <w:r>
        <w:rPr>
          <w:b/>
          <w:spacing w:val="-14"/>
          <w:sz w:val="24"/>
        </w:rPr>
        <w:t> </w:t>
      </w:r>
      <w:r>
        <w:rPr>
          <w:b/>
          <w:sz w:val="24"/>
        </w:rPr>
        <w:t>governance</w:t>
      </w:r>
      <w:r>
        <w:rPr>
          <w:b/>
          <w:spacing w:val="-14"/>
          <w:sz w:val="24"/>
        </w:rPr>
        <w:t> </w:t>
      </w:r>
      <w:r>
        <w:rPr>
          <w:b/>
          <w:sz w:val="24"/>
        </w:rPr>
        <w:t>programs:</w:t>
      </w:r>
      <w:r>
        <w:rPr>
          <w:b/>
          <w:spacing w:val="4"/>
          <w:sz w:val="24"/>
        </w:rPr>
        <w:t> </w:t>
      </w:r>
      <w:r>
        <w:rPr>
          <w:sz w:val="24"/>
        </w:rPr>
        <w:t>Token</w:t>
      </w:r>
      <w:r>
        <w:rPr>
          <w:spacing w:val="-15"/>
          <w:sz w:val="24"/>
        </w:rPr>
        <w:t> </w:t>
      </w:r>
      <w:r>
        <w:rPr>
          <w:sz w:val="24"/>
        </w:rPr>
        <w:t>distributions</w:t>
      </w:r>
      <w:r>
        <w:rPr>
          <w:spacing w:val="-14"/>
          <w:sz w:val="24"/>
        </w:rPr>
        <w:t> </w:t>
      </w:r>
      <w:r>
        <w:rPr>
          <w:sz w:val="24"/>
        </w:rPr>
        <w:t>and</w:t>
      </w:r>
      <w:r>
        <w:rPr>
          <w:spacing w:val="-14"/>
          <w:sz w:val="24"/>
        </w:rPr>
        <w:t> </w:t>
      </w:r>
      <w:r>
        <w:rPr>
          <w:sz w:val="24"/>
        </w:rPr>
        <w:t>governance</w:t>
      </w:r>
      <w:r>
        <w:rPr>
          <w:spacing w:val="-14"/>
          <w:sz w:val="24"/>
        </w:rPr>
        <w:t> </w:t>
      </w:r>
      <w:r>
        <w:rPr>
          <w:sz w:val="24"/>
        </w:rPr>
        <w:t>eligibility</w:t>
      </w:r>
      <w:r>
        <w:rPr>
          <w:spacing w:val="-14"/>
          <w:sz w:val="24"/>
        </w:rPr>
        <w:t> </w:t>
      </w:r>
      <w:r>
        <w:rPr>
          <w:sz w:val="24"/>
        </w:rPr>
        <w:t>are</w:t>
      </w:r>
      <w:r>
        <w:rPr>
          <w:spacing w:val="-14"/>
          <w:sz w:val="24"/>
        </w:rPr>
        <w:t> </w:t>
      </w:r>
      <w:r>
        <w:rPr>
          <w:sz w:val="24"/>
        </w:rPr>
        <w:t>rou-tinely gamed by Sybil clusters </w:t>
      </w:r>
      <w:hyperlink w:history="true" w:anchor="_bookmark150">
        <w:r>
          <w:rPr>
            <w:sz w:val="24"/>
            <w:vertAlign w:val="superscript"/>
          </w:rPr>
          <w:t>[17]</w:t>
        </w:r>
      </w:hyperlink>
      <w:r>
        <w:rPr>
          <w:sz w:val="24"/>
          <w:vertAlign w:val="baseline"/>
        </w:rPr>
        <w:t>.</w:t>
      </w:r>
      <w:r>
        <w:rPr>
          <w:spacing w:val="40"/>
          <w:sz w:val="24"/>
          <w:vertAlign w:val="baseline"/>
        </w:rPr>
        <w:t> </w:t>
      </w:r>
      <w:r>
        <w:rPr>
          <w:sz w:val="24"/>
          <w:vertAlign w:val="baseline"/>
        </w:rPr>
        <w:t>Programs can require inbound endorsement diversity or apply the closed-cluster mass bound of Section </w:t>
      </w:r>
      <w:hyperlink w:history="true" w:anchor="_bookmark121">
        <w:r>
          <w:rPr>
            <w:sz w:val="24"/>
            <w:vertAlign w:val="baseline"/>
          </w:rPr>
          <w:t>5.5</w:t>
        </w:r>
      </w:hyperlink>
      <w:r>
        <w:rPr>
          <w:sz w:val="24"/>
          <w:vertAlign w:val="baseline"/>
        </w:rPr>
        <w:t> (Equation </w:t>
      </w:r>
      <w:hyperlink w:history="true" w:anchor="_bookmark123">
        <w:r>
          <w:rPr>
            <w:sz w:val="24"/>
            <w:vertAlign w:val="baseline"/>
          </w:rPr>
          <w:t>5.8</w:t>
        </w:r>
      </w:hyperlink>
      <w:r>
        <w:rPr>
          <w:sz w:val="24"/>
          <w:vertAlign w:val="baseline"/>
        </w:rPr>
        <w:t>) as a filter before rewards are</w:t>
      </w:r>
      <w:r>
        <w:rPr>
          <w:spacing w:val="-1"/>
          <w:sz w:val="24"/>
          <w:vertAlign w:val="baseline"/>
        </w:rPr>
        <w:t> </w:t>
      </w:r>
      <w:r>
        <w:rPr>
          <w:sz w:val="24"/>
          <w:vertAlign w:val="baseline"/>
        </w:rPr>
        <w:t>paid. The</w:t>
      </w:r>
      <w:r>
        <w:rPr>
          <w:spacing w:val="-1"/>
          <w:sz w:val="24"/>
          <w:vertAlign w:val="baseline"/>
        </w:rPr>
        <w:t> </w:t>
      </w:r>
      <w:r>
        <w:rPr>
          <w:sz w:val="24"/>
          <w:vertAlign w:val="baseline"/>
        </w:rPr>
        <w:t>revenue—or</w:t>
      </w:r>
      <w:r>
        <w:rPr>
          <w:spacing w:val="-2"/>
          <w:sz w:val="24"/>
          <w:vertAlign w:val="baseline"/>
        </w:rPr>
        <w:t> </w:t>
      </w:r>
      <w:r>
        <w:rPr>
          <w:sz w:val="24"/>
          <w:vertAlign w:val="baseline"/>
        </w:rPr>
        <w:t>cost-avoidance—channel</w:t>
      </w:r>
      <w:r>
        <w:rPr>
          <w:spacing w:val="-1"/>
          <w:sz w:val="24"/>
          <w:vertAlign w:val="baseline"/>
        </w:rPr>
        <w:t> </w:t>
      </w:r>
      <w:r>
        <w:rPr>
          <w:sz w:val="24"/>
          <w:vertAlign w:val="baseline"/>
        </w:rPr>
        <w:t>is</w:t>
      </w:r>
      <w:r>
        <w:rPr>
          <w:spacing w:val="-1"/>
          <w:sz w:val="24"/>
          <w:vertAlign w:val="baseline"/>
        </w:rPr>
        <w:t> </w:t>
      </w:r>
      <w:r>
        <w:rPr>
          <w:sz w:val="24"/>
          <w:vertAlign w:val="baseline"/>
        </w:rPr>
        <w:t>reduced</w:t>
      </w:r>
      <w:r>
        <w:rPr>
          <w:spacing w:val="-2"/>
          <w:sz w:val="24"/>
          <w:vertAlign w:val="baseline"/>
        </w:rPr>
        <w:t> </w:t>
      </w:r>
      <w:r>
        <w:rPr>
          <w:sz w:val="24"/>
          <w:vertAlign w:val="baseline"/>
        </w:rPr>
        <w:t>reward</w:t>
      </w:r>
      <w:r>
        <w:rPr>
          <w:spacing w:val="-2"/>
          <w:sz w:val="24"/>
          <w:vertAlign w:val="baseline"/>
        </w:rPr>
        <w:t> </w:t>
      </w:r>
      <w:r>
        <w:rPr>
          <w:sz w:val="24"/>
          <w:vertAlign w:val="baseline"/>
        </w:rPr>
        <w:t>leakage</w:t>
      </w:r>
      <w:r>
        <w:rPr>
          <w:spacing w:val="-1"/>
          <w:sz w:val="24"/>
          <w:vertAlign w:val="baseline"/>
        </w:rPr>
        <w:t> </w:t>
      </w:r>
      <w:r>
        <w:rPr>
          <w:sz w:val="24"/>
          <w:vertAlign w:val="baseline"/>
        </w:rPr>
        <w:t>to</w:t>
      </w:r>
      <w:r>
        <w:rPr>
          <w:spacing w:val="-2"/>
          <w:sz w:val="24"/>
          <w:vertAlign w:val="baseline"/>
        </w:rPr>
        <w:t> </w:t>
      </w:r>
      <w:r>
        <w:rPr>
          <w:sz w:val="24"/>
          <w:vertAlign w:val="baseline"/>
        </w:rPr>
        <w:t>fabricated identities. Filters</w:t>
      </w:r>
      <w:r>
        <w:rPr>
          <w:spacing w:val="-8"/>
          <w:sz w:val="24"/>
          <w:vertAlign w:val="baseline"/>
        </w:rPr>
        <w:t> </w:t>
      </w:r>
      <w:r>
        <w:rPr>
          <w:sz w:val="24"/>
          <w:vertAlign w:val="baseline"/>
        </w:rPr>
        <w:t>based</w:t>
      </w:r>
      <w:r>
        <w:rPr>
          <w:spacing w:val="-8"/>
          <w:sz w:val="24"/>
          <w:vertAlign w:val="baseline"/>
        </w:rPr>
        <w:t> </w:t>
      </w:r>
      <w:r>
        <w:rPr>
          <w:sz w:val="24"/>
          <w:vertAlign w:val="baseline"/>
        </w:rPr>
        <w:t>on</w:t>
      </w:r>
      <w:r>
        <w:rPr>
          <w:spacing w:val="-8"/>
          <w:sz w:val="24"/>
          <w:vertAlign w:val="baseline"/>
        </w:rPr>
        <w:t> </w:t>
      </w:r>
      <w:r>
        <w:rPr>
          <w:sz w:val="24"/>
          <w:vertAlign w:val="baseline"/>
        </w:rPr>
        <w:t>graph</w:t>
      </w:r>
      <w:r>
        <w:rPr>
          <w:spacing w:val="-8"/>
          <w:sz w:val="24"/>
          <w:vertAlign w:val="baseline"/>
        </w:rPr>
        <w:t> </w:t>
      </w:r>
      <w:r>
        <w:rPr>
          <w:sz w:val="24"/>
          <w:vertAlign w:val="baseline"/>
        </w:rPr>
        <w:t>structure</w:t>
      </w:r>
      <w:r>
        <w:rPr>
          <w:spacing w:val="-8"/>
          <w:sz w:val="24"/>
          <w:vertAlign w:val="baseline"/>
        </w:rPr>
        <w:t> </w:t>
      </w:r>
      <w:r>
        <w:rPr>
          <w:sz w:val="24"/>
          <w:vertAlign w:val="baseline"/>
        </w:rPr>
        <w:t>mitigate</w:t>
      </w:r>
      <w:r>
        <w:rPr>
          <w:spacing w:val="-8"/>
          <w:sz w:val="24"/>
          <w:vertAlign w:val="baseline"/>
        </w:rPr>
        <w:t> </w:t>
      </w:r>
      <w:r>
        <w:rPr>
          <w:sz w:val="24"/>
          <w:vertAlign w:val="baseline"/>
        </w:rPr>
        <w:t>closed-cluster</w:t>
      </w:r>
      <w:r>
        <w:rPr>
          <w:spacing w:val="-8"/>
          <w:sz w:val="24"/>
          <w:vertAlign w:val="baseline"/>
        </w:rPr>
        <w:t> </w:t>
      </w:r>
      <w:r>
        <w:rPr>
          <w:sz w:val="24"/>
          <w:vertAlign w:val="baseline"/>
        </w:rPr>
        <w:t>inflation;</w:t>
      </w:r>
      <w:r>
        <w:rPr>
          <w:spacing w:val="-7"/>
          <w:sz w:val="24"/>
          <w:vertAlign w:val="baseline"/>
        </w:rPr>
        <w:t> </w:t>
      </w:r>
      <w:r>
        <w:rPr>
          <w:sz w:val="24"/>
          <w:vertAlign w:val="baseline"/>
        </w:rPr>
        <w:t>they</w:t>
      </w:r>
      <w:r>
        <w:rPr>
          <w:spacing w:val="-8"/>
          <w:sz w:val="24"/>
          <w:vertAlign w:val="baseline"/>
        </w:rPr>
        <w:t> </w:t>
      </w:r>
      <w:r>
        <w:rPr>
          <w:sz w:val="24"/>
          <w:vertAlign w:val="baseline"/>
        </w:rPr>
        <w:t>do</w:t>
      </w:r>
      <w:r>
        <w:rPr>
          <w:spacing w:val="-8"/>
          <w:sz w:val="24"/>
          <w:vertAlign w:val="baseline"/>
        </w:rPr>
        <w:t> </w:t>
      </w:r>
      <w:r>
        <w:rPr>
          <w:sz w:val="24"/>
          <w:vertAlign w:val="baseline"/>
        </w:rPr>
        <w:t>not</w:t>
      </w:r>
      <w:r>
        <w:rPr>
          <w:spacing w:val="-8"/>
          <w:sz w:val="24"/>
          <w:vertAlign w:val="baseline"/>
        </w:rPr>
        <w:t> </w:t>
      </w:r>
      <w:r>
        <w:rPr>
          <w:sz w:val="24"/>
          <w:vertAlign w:val="baseline"/>
        </w:rPr>
        <w:t>elim-inate open-cluster attacks that recruit honest inbound endorsements.</w:t>
      </w:r>
    </w:p>
    <w:p>
      <w:pPr>
        <w:pStyle w:val="ListParagraph"/>
        <w:numPr>
          <w:ilvl w:val="3"/>
          <w:numId w:val="8"/>
        </w:numPr>
        <w:tabs>
          <w:tab w:pos="797" w:val="left" w:leader="none"/>
          <w:tab w:pos="808" w:val="left" w:leader="none"/>
        </w:tabs>
        <w:spacing w:line="396" w:lineRule="auto" w:before="47" w:after="0"/>
        <w:ind w:left="808" w:right="523" w:hanging="216"/>
        <w:jc w:val="both"/>
        <w:rPr>
          <w:sz w:val="24"/>
        </w:rPr>
      </w:pPr>
      <w:r>
        <w:rPr>
          <w:i/>
        </w:rPr>
        <w:t>에어드롭 및 거버넌스 프로그램: 토큰 배포 및 거버넌스 자격은 Sybil 클러스터[17]에 의해 일상적으로 조정됩니다. 프로그램은 인바운드 보증 다양성을 요구하거나 보상이 지급되기 전에 섹션 5.5(식 5.8)의 폐쇄형 클러스터 대량 경계를 필터로 적용할 수 있습니다. 수익 또는 비용 회피 채널은 위조된 신원에 대한 보상 유출을 줄입니다. 그래프 구조를 기반으로 하는 필터는 폐쇄형 클러스터 인플레이션을 완화하지만 정직한 인바운드 보증을 모집하는 개방형 클러스터 공격을 제거하지는 않습니다.</w:t>
      </w:r>
    </w:p>
    <w:p>
      <w:pPr>
        <w:pStyle w:val="ListParagraph"/>
        <w:numPr>
          <w:ilvl w:val="3"/>
          <w:numId w:val="8"/>
        </w:numPr>
        <w:tabs>
          <w:tab w:pos="797" w:val="left" w:leader="none"/>
          <w:tab w:pos="799" w:val="left" w:leader="none"/>
        </w:tabs>
        <w:spacing w:line="396" w:lineRule="auto" w:before="43" w:after="0"/>
        <w:ind w:left="799" w:right="524" w:hanging="207"/>
        <w:jc w:val="both"/>
        <w:rPr>
          <w:sz w:val="24"/>
        </w:rPr>
      </w:pPr>
      <w:r>
        <w:rPr>
          <w:b/>
          <w:sz w:val="24"/>
        </w:rPr>
        <w:t>Analytics and compliance providers:</w:t>
      </w:r>
      <w:r>
        <w:rPr>
          <w:b/>
          <w:spacing w:val="40"/>
          <w:sz w:val="24"/>
        </w:rPr>
        <w:t> </w:t>
      </w:r>
      <w:r>
        <w:rPr>
          <w:sz w:val="24"/>
        </w:rPr>
        <w:t>Exchanges, funds, and compliance teams need auditable counterparty rankings that third parties can recompute.</w:t>
      </w:r>
      <w:r>
        <w:rPr>
          <w:spacing w:val="40"/>
          <w:sz w:val="24"/>
        </w:rPr>
        <w:t> </w:t>
      </w:r>
      <w:r>
        <w:rPr>
          <w:sz w:val="24"/>
        </w:rPr>
        <w:t>The open pipeline (Ap-pendix </w:t>
      </w:r>
      <w:hyperlink w:history="true" w:anchor="_bookmark198">
        <w:r>
          <w:rPr>
            <w:sz w:val="24"/>
          </w:rPr>
          <w:t>8.1</w:t>
        </w:r>
      </w:hyperlink>
      <w:r>
        <w:rPr>
          <w:sz w:val="24"/>
        </w:rPr>
        <w:t>) supports subscription APIs that publish EndorseRank and AWP under disclosed windows</w:t>
      </w:r>
      <w:r>
        <w:rPr>
          <w:spacing w:val="-1"/>
          <w:sz w:val="24"/>
        </w:rPr>
        <w:t> </w:t>
      </w:r>
      <w:r>
        <w:rPr>
          <w:sz w:val="24"/>
        </w:rPr>
        <w:t>and</w:t>
      </w:r>
      <w:r>
        <w:rPr>
          <w:spacing w:val="-1"/>
          <w:sz w:val="24"/>
        </w:rPr>
        <w:t> </w:t>
      </w:r>
      <w:r>
        <w:rPr>
          <w:sz w:val="24"/>
        </w:rPr>
        <w:t>parameters.</w:t>
      </w:r>
      <w:r>
        <w:rPr>
          <w:spacing w:val="21"/>
          <w:sz w:val="24"/>
        </w:rPr>
        <w:t> </w:t>
      </w:r>
      <w:r>
        <w:rPr>
          <w:sz w:val="24"/>
        </w:rPr>
        <w:t>Recurring</w:t>
      </w:r>
      <w:r>
        <w:rPr>
          <w:spacing w:val="-1"/>
          <w:sz w:val="24"/>
        </w:rPr>
        <w:t> </w:t>
      </w:r>
      <w:r>
        <w:rPr>
          <w:sz w:val="24"/>
        </w:rPr>
        <w:t>data</w:t>
      </w:r>
      <w:r>
        <w:rPr>
          <w:spacing w:val="-1"/>
          <w:sz w:val="24"/>
        </w:rPr>
        <w:t> </w:t>
      </w:r>
      <w:r>
        <w:rPr>
          <w:sz w:val="24"/>
        </w:rPr>
        <w:t>revenue</w:t>
      </w:r>
      <w:r>
        <w:rPr>
          <w:spacing w:val="-1"/>
          <w:sz w:val="24"/>
        </w:rPr>
        <w:t> </w:t>
      </w:r>
      <w:r>
        <w:rPr>
          <w:sz w:val="24"/>
        </w:rPr>
        <w:t>is</w:t>
      </w:r>
      <w:r>
        <w:rPr>
          <w:spacing w:val="-1"/>
          <w:sz w:val="24"/>
        </w:rPr>
        <w:t> </w:t>
      </w:r>
      <w:r>
        <w:rPr>
          <w:sz w:val="24"/>
        </w:rPr>
        <w:t>a</w:t>
      </w:r>
      <w:r>
        <w:rPr>
          <w:spacing w:val="-1"/>
          <w:sz w:val="24"/>
        </w:rPr>
        <w:t> </w:t>
      </w:r>
      <w:r>
        <w:rPr>
          <w:sz w:val="24"/>
        </w:rPr>
        <w:t>vendor</w:t>
      </w:r>
      <w:r>
        <w:rPr>
          <w:spacing w:val="-1"/>
          <w:sz w:val="24"/>
        </w:rPr>
        <w:t> </w:t>
      </w:r>
      <w:r>
        <w:rPr>
          <w:sz w:val="24"/>
        </w:rPr>
        <w:t>business</w:t>
      </w:r>
      <w:r>
        <w:rPr>
          <w:spacing w:val="-1"/>
          <w:sz w:val="24"/>
        </w:rPr>
        <w:t> </w:t>
      </w:r>
      <w:r>
        <w:rPr>
          <w:sz w:val="24"/>
        </w:rPr>
        <w:t>model;</w:t>
      </w:r>
      <w:r>
        <w:rPr>
          <w:spacing w:val="-1"/>
          <w:sz w:val="24"/>
        </w:rPr>
        <w:t> </w:t>
      </w:r>
      <w:r>
        <w:rPr>
          <w:sz w:val="24"/>
        </w:rPr>
        <w:t>auditability</w:t>
      </w:r>
      <w:r>
        <w:rPr>
          <w:spacing w:val="-1"/>
          <w:sz w:val="24"/>
        </w:rPr>
        <w:t> </w:t>
      </w:r>
      <w:r>
        <w:rPr>
          <w:sz w:val="24"/>
        </w:rPr>
        <w:t>is</w:t>
      </w:r>
    </w:p>
    <w:p>
      <w:pPr>
        <w:pStyle w:val="ListParagraph"/>
        <w:numPr>
          <w:ilvl w:val="3"/>
          <w:numId w:val="8"/>
        </w:numPr>
        <w:tabs>
          <w:tab w:pos="797" w:val="left" w:leader="none"/>
          <w:tab w:pos="799" w:val="left" w:leader="none"/>
        </w:tabs>
        <w:spacing w:line="396" w:lineRule="auto" w:before="43" w:after="0"/>
        <w:ind w:left="799" w:right="524" w:hanging="207"/>
        <w:jc w:val="both"/>
        <w:rPr>
          <w:sz w:val="24"/>
        </w:rPr>
      </w:pPr>
      <w:r>
        <w:rPr>
          <w:i/>
        </w:rPr>
        <w:t>분석 및 규정 준수 제공자: 거래소, 펀드 및 규정 준수 팀에는 제3자가 다시 계산할 수 있는 감사 가능한 상대방 순위가 필요합니다. 개방형 파이프라인(Ap-pendix 8.1)은 공개된 창 및 매개변수에서 EndorseRank 및 AWP를 게시하는 구독 API를 지원합니다. 반복적인 데이터 수익은 공급업체 비즈니스 모델이며, 감사 가능성은</w:t>
      </w:r>
    </w:p>
    <w:p>
      <w:pPr>
        <w:pStyle w:val="ListParagraph"/>
        <w:spacing w:after="0" w:line="396" w:lineRule="auto"/>
        <w:jc w:val="both"/>
        <w:rPr>
          <w:sz w:val="24"/>
        </w:rPr>
        <w:sectPr>
          <w:pgSz w:w="11910" w:h="16840"/>
          <w:pgMar w:header="0" w:footer="2115" w:top="1840" w:bottom="2300" w:left="992" w:right="708"/>
        </w:sectPr>
      </w:pPr>
    </w:p>
    <w:p>
      <w:pPr>
        <w:pStyle w:val="BodyText"/>
        <w:spacing w:line="396" w:lineRule="auto" w:before="92"/>
        <w:ind w:left="808" w:right="563"/>
        <w:jc w:val="both"/>
      </w:pPr>
      <w:r>
        <w:rPr/>
        <w:t>the product differentiator relative to opaque machine-learning scores </w:t>
      </w:r>
      <w:hyperlink w:history="true" w:anchor="_bookmark181">
        <w:r>
          <w:rPr>
            <w:vertAlign w:val="superscript"/>
          </w:rPr>
          <w:t>[48]</w:t>
        </w:r>
      </w:hyperlink>
      <w:r>
        <w:rPr>
          <w:vertAlign w:val="baseline"/>
        </w:rPr>
        <w:t>.</w:t>
      </w:r>
      <w:r>
        <w:rPr>
          <w:spacing w:val="40"/>
          <w:vertAlign w:val="baseline"/>
        </w:rPr>
        <w:t> </w:t>
      </w:r>
      <w:r>
        <w:rPr>
          <w:vertAlign w:val="baseline"/>
        </w:rPr>
        <w:t>Providers should disclose weak trading-success alignment and Sybil exposure alongside any dashboard that surfaces ranks.</w:t>
      </w:r>
    </w:p>
    <w:p>
      <w:pPr>
        <w:pStyle w:val="BodyText"/>
        <w:spacing w:line="396" w:lineRule="auto" w:before="92"/>
        <w:ind w:left="808" w:right="563"/>
        <w:jc w:val="both"/>
      </w:pPr>
      <w:r>
        <w:rPr>
          <w:i/>
        </w:rPr>
        <w:t>불투명한 기계 학습 점수와 관련된 제품 차별화 요소[48]. 제공업체는 순위가 표시되는 모든 대시보드와 함께 취약한 거래 성공 조정 및 Sybil 노출을 공개해야 합니다.</w:t>
      </w:r>
    </w:p>
    <w:p>
      <w:pPr>
        <w:pStyle w:val="BodyText"/>
        <w:spacing w:line="396" w:lineRule="auto" w:before="123"/>
        <w:ind w:left="282" w:right="557"/>
        <w:jc w:val="both"/>
      </w:pPr>
      <w:r>
        <w:rPr/>
        <w:t>None of these scenarios treats reputation as a substitute for collateral or as a predictor of trading profit. The</w:t>
      </w:r>
      <w:r>
        <w:rPr>
          <w:spacing w:val="-3"/>
        </w:rPr>
        <w:t> </w:t>
      </w:r>
      <w:r>
        <w:rPr/>
        <w:t>claim</w:t>
      </w:r>
      <w:r>
        <w:rPr>
          <w:spacing w:val="-3"/>
        </w:rPr>
        <w:t> </w:t>
      </w:r>
      <w:r>
        <w:rPr/>
        <w:t>is</w:t>
      </w:r>
      <w:r>
        <w:rPr>
          <w:spacing w:val="-3"/>
        </w:rPr>
        <w:t> </w:t>
      </w:r>
      <w:r>
        <w:rPr/>
        <w:t>narrower</w:t>
      </w:r>
      <w:r>
        <w:rPr>
          <w:spacing w:val="-3"/>
        </w:rPr>
        <w:t> </w:t>
      </w:r>
      <w:r>
        <w:rPr/>
        <w:t>and,</w:t>
      </w:r>
      <w:r>
        <w:rPr>
          <w:spacing w:val="-2"/>
        </w:rPr>
        <w:t> </w:t>
      </w:r>
      <w:r>
        <w:rPr/>
        <w:t>we</w:t>
      </w:r>
      <w:r>
        <w:rPr>
          <w:spacing w:val="-3"/>
        </w:rPr>
        <w:t> </w:t>
      </w:r>
      <w:r>
        <w:rPr/>
        <w:t>argue,</w:t>
      </w:r>
      <w:r>
        <w:rPr>
          <w:spacing w:val="-3"/>
        </w:rPr>
        <w:t> </w:t>
      </w:r>
      <w:r>
        <w:rPr/>
        <w:t>more</w:t>
      </w:r>
      <w:r>
        <w:rPr>
          <w:spacing w:val="-3"/>
        </w:rPr>
        <w:t> </w:t>
      </w:r>
      <w:r>
        <w:rPr/>
        <w:t>durable: a</w:t>
      </w:r>
      <w:r>
        <w:rPr>
          <w:spacing w:val="-3"/>
        </w:rPr>
        <w:t> </w:t>
      </w:r>
      <w:r>
        <w:rPr/>
        <w:t>standardized,</w:t>
      </w:r>
      <w:r>
        <w:rPr>
          <w:spacing w:val="-2"/>
        </w:rPr>
        <w:t> </w:t>
      </w:r>
      <w:r>
        <w:rPr/>
        <w:t>auditable,</w:t>
      </w:r>
      <w:r>
        <w:rPr>
          <w:spacing w:val="-2"/>
        </w:rPr>
        <w:t> </w:t>
      </w:r>
      <w:r>
        <w:rPr/>
        <w:t>low-latency ordinal signal lowers the cost of counterparty differentiation, and the protocols that adopt it may capture value through fees, utilization, monitoring cost, and reduced reward leakage rather than </w:t>
      </w:r>
      <w:bookmarkStart w:name="From valuation multiples to reputation m" w:id="225"/>
      <w:bookmarkEnd w:id="225"/>
      <w:r>
        <w:rPr>
          <w:w w:val="99"/>
        </w:rPr>
      </w:r>
      <w:bookmarkStart w:name="_bookmark120" w:id="226"/>
      <w:bookmarkEnd w:id="226"/>
      <w:r>
        <w:rPr/>
        <w:t>through</w:t>
      </w:r>
      <w:r>
        <w:rPr/>
        <w:t> reducing collateral or transferring protocol credit risk to the score.</w:t>
      </w:r>
    </w:p>
    <w:p>
      <w:pPr>
        <w:pStyle w:val="BodyText"/>
        <w:spacing w:line="396" w:lineRule="auto" w:before="123"/>
        <w:ind w:left="282" w:right="557"/>
        <w:jc w:val="both"/>
      </w:pPr>
      <w:r>
        <w:rPr>
          <w:i/>
        </w:rPr>
        <w:t>이러한 시나리오 중 어느 것도 평판을 담보를 대체하거나 거래 이익을 예측하는 변수로 간주하지 않습니다. 주장은 더 좁고 내구성이 더 높다고 주장합니다. 표준화되고 감사 가능하며 대기 시간이 짧은 서수 신호는 상대방 차별화 비용을 낮추고 이를 채택하는 프로토콜은 담보를 줄이거나 프로토콜 신용 위험을 점수로 전환하는 대신 수수료, 활용, 모니터링 비용 및 보상 누출 감소를 통해 가치를 얻을 수 있습니다.</w:t>
      </w:r>
    </w:p>
    <w:p>
      <w:pPr>
        <w:pStyle w:val="BodyText"/>
        <w:spacing w:before="10"/>
      </w:pPr>
    </w:p>
    <w:p>
      <w:pPr>
        <w:pStyle w:val="Heading4"/>
        <w:numPr>
          <w:ilvl w:val="2"/>
          <w:numId w:val="8"/>
        </w:numPr>
        <w:tabs>
          <w:tab w:pos="879" w:val="left" w:leader="none"/>
        </w:tabs>
        <w:spacing w:line="240" w:lineRule="auto" w:before="0" w:after="0"/>
        <w:ind w:left="879" w:right="0" w:hanging="597"/>
        <w:jc w:val="left"/>
      </w:pPr>
      <w:r>
        <w:rPr>
          <w:spacing w:val="-2"/>
        </w:rPr>
        <w:t>From valuation multiples to</w:t>
      </w:r>
      <w:r>
        <w:rPr>
          <w:spacing w:val="-1"/>
        </w:rPr>
        <w:t> </w:t>
      </w:r>
      <w:r>
        <w:rPr>
          <w:spacing w:val="-2"/>
        </w:rPr>
        <w:t>reputation multiples</w:t>
      </w:r>
    </w:p>
    <w:p>
      <w:pPr>
        <w:pStyle w:val="Heading4"/>
        <w:numPr>
          <w:ilvl w:val="2"/>
          <w:numId w:val="8"/>
        </w:numPr>
        <w:tabs>
          <w:tab w:pos="879" w:val="left" w:leader="none"/>
        </w:tabs>
        <w:spacing w:line="240" w:lineRule="auto" w:before="0" w:after="0"/>
        <w:ind w:left="879" w:right="0" w:hanging="597"/>
        <w:jc w:val="left"/>
      </w:pPr>
      <w:r>
        <w:rPr>
          <w:i/>
        </w:rPr>
        <w:t>평가 배수에서 평판 배수로</w:t>
      </w:r>
    </w:p>
    <w:p>
      <w:pPr>
        <w:pStyle w:val="BodyText"/>
        <w:spacing w:before="47"/>
        <w:rPr>
          <w:b/>
        </w:rPr>
      </w:pPr>
    </w:p>
    <w:p>
      <w:pPr>
        <w:pStyle w:val="BodyText"/>
        <w:spacing w:line="393" w:lineRule="auto"/>
        <w:ind w:left="282" w:right="523" w:hanging="12"/>
        <w:jc w:val="both"/>
      </w:pPr>
      <w:r>
        <w:rPr/>
        <w:t>When price–earnings and price–book ratios were first popularized, their value did not come from predictive</w:t>
      </w:r>
      <w:r>
        <w:rPr>
          <w:spacing w:val="-9"/>
        </w:rPr>
        <w:t> </w:t>
      </w:r>
      <w:r>
        <w:rPr/>
        <w:t>accuracy—they</w:t>
      </w:r>
      <w:r>
        <w:rPr>
          <w:spacing w:val="-9"/>
        </w:rPr>
        <w:t> </w:t>
      </w:r>
      <w:r>
        <w:rPr/>
        <w:t>are</w:t>
      </w:r>
      <w:r>
        <w:rPr>
          <w:spacing w:val="-9"/>
        </w:rPr>
        <w:t> </w:t>
      </w:r>
      <w:r>
        <w:rPr/>
        <w:t>imperfect</w:t>
      </w:r>
      <w:r>
        <w:rPr>
          <w:spacing w:val="-9"/>
        </w:rPr>
        <w:t> </w:t>
      </w:r>
      <w:r>
        <w:rPr/>
        <w:t>return</w:t>
      </w:r>
      <w:r>
        <w:rPr>
          <w:spacing w:val="-9"/>
        </w:rPr>
        <w:t> </w:t>
      </w:r>
      <w:r>
        <w:rPr/>
        <w:t>predictors—but</w:t>
      </w:r>
      <w:r>
        <w:rPr>
          <w:spacing w:val="-9"/>
        </w:rPr>
        <w:t> </w:t>
      </w:r>
      <w:r>
        <w:rPr/>
        <w:t>from</w:t>
      </w:r>
      <w:r>
        <w:rPr>
          <w:spacing w:val="-9"/>
        </w:rPr>
        <w:t> </w:t>
      </w:r>
      <w:r>
        <w:rPr/>
        <w:t>standardization:</w:t>
      </w:r>
      <w:r>
        <w:rPr>
          <w:spacing w:val="12"/>
        </w:rPr>
        <w:t> </w:t>
      </w:r>
      <w:r>
        <w:rPr/>
        <w:t>any</w:t>
      </w:r>
      <w:r>
        <w:rPr>
          <w:spacing w:val="-9"/>
        </w:rPr>
        <w:t> </w:t>
      </w:r>
      <w:r>
        <w:rPr/>
        <w:t>investor could</w:t>
      </w:r>
      <w:r>
        <w:rPr>
          <w:spacing w:val="-4"/>
        </w:rPr>
        <w:t> </w:t>
      </w:r>
      <w:r>
        <w:rPr/>
        <w:t>compute</w:t>
      </w:r>
      <w:r>
        <w:rPr>
          <w:spacing w:val="-4"/>
        </w:rPr>
        <w:t> </w:t>
      </w:r>
      <w:r>
        <w:rPr/>
        <w:t>the</w:t>
      </w:r>
      <w:r>
        <w:rPr>
          <w:spacing w:val="-4"/>
        </w:rPr>
        <w:t> </w:t>
      </w:r>
      <w:r>
        <w:rPr/>
        <w:t>same</w:t>
      </w:r>
      <w:r>
        <w:rPr>
          <w:spacing w:val="-4"/>
        </w:rPr>
        <w:t> </w:t>
      </w:r>
      <w:r>
        <w:rPr/>
        <w:t>number</w:t>
      </w:r>
      <w:r>
        <w:rPr>
          <w:spacing w:val="-4"/>
        </w:rPr>
        <w:t> </w:t>
      </w:r>
      <w:r>
        <w:rPr/>
        <w:t>from</w:t>
      </w:r>
      <w:r>
        <w:rPr>
          <w:spacing w:val="-4"/>
        </w:rPr>
        <w:t> </w:t>
      </w:r>
      <w:r>
        <w:rPr/>
        <w:t>public</w:t>
      </w:r>
      <w:r>
        <w:rPr>
          <w:spacing w:val="-4"/>
        </w:rPr>
        <w:t> </w:t>
      </w:r>
      <w:r>
        <w:rPr/>
        <w:t>filings,</w:t>
      </w:r>
      <w:r>
        <w:rPr>
          <w:spacing w:val="-4"/>
        </w:rPr>
        <w:t> </w:t>
      </w:r>
      <w:r>
        <w:rPr/>
        <w:t>compare</w:t>
      </w:r>
      <w:r>
        <w:rPr>
          <w:spacing w:val="-4"/>
        </w:rPr>
        <w:t> </w:t>
      </w:r>
      <w:r>
        <w:rPr/>
        <w:t>firms</w:t>
      </w:r>
      <w:r>
        <w:rPr>
          <w:spacing w:val="-4"/>
        </w:rPr>
        <w:t> </w:t>
      </w:r>
      <w:r>
        <w:rPr/>
        <w:t>on</w:t>
      </w:r>
      <w:r>
        <w:rPr>
          <w:spacing w:val="-4"/>
        </w:rPr>
        <w:t> </w:t>
      </w:r>
      <w:r>
        <w:rPr/>
        <w:t>a</w:t>
      </w:r>
      <w:r>
        <w:rPr>
          <w:spacing w:val="-4"/>
        </w:rPr>
        <w:t> </w:t>
      </w:r>
      <w:r>
        <w:rPr/>
        <w:t>common</w:t>
      </w:r>
      <w:r>
        <w:rPr>
          <w:spacing w:val="-4"/>
        </w:rPr>
        <w:t> </w:t>
      </w:r>
      <w:r>
        <w:rPr/>
        <w:t>scale,</w:t>
      </w:r>
      <w:r>
        <w:rPr>
          <w:spacing w:val="-4"/>
        </w:rPr>
        <w:t> </w:t>
      </w:r>
      <w:r>
        <w:rPr/>
        <w:t>and</w:t>
      </w:r>
      <w:r>
        <w:rPr>
          <w:spacing w:val="-4"/>
        </w:rPr>
        <w:t> </w:t>
      </w:r>
      <w:r>
        <w:rPr/>
        <w:t>com-municate</w:t>
      </w:r>
      <w:r>
        <w:rPr>
          <w:spacing w:val="-15"/>
        </w:rPr>
        <w:t> </w:t>
      </w:r>
      <w:r>
        <w:rPr/>
        <w:t>risk</w:t>
      </w:r>
      <w:r>
        <w:rPr>
          <w:spacing w:val="-15"/>
        </w:rPr>
        <w:t> </w:t>
      </w:r>
      <w:r>
        <w:rPr/>
        <w:t>appetite</w:t>
      </w:r>
      <w:r>
        <w:rPr>
          <w:spacing w:val="-15"/>
        </w:rPr>
        <w:t> </w:t>
      </w:r>
      <w:r>
        <w:rPr/>
        <w:t>in</w:t>
      </w:r>
      <w:r>
        <w:rPr>
          <w:spacing w:val="-15"/>
        </w:rPr>
        <w:t> </w:t>
      </w:r>
      <w:r>
        <w:rPr/>
        <w:t>a</w:t>
      </w:r>
      <w:r>
        <w:rPr>
          <w:spacing w:val="-15"/>
        </w:rPr>
        <w:t> </w:t>
      </w:r>
      <w:r>
        <w:rPr/>
        <w:t>shared</w:t>
      </w:r>
      <w:r>
        <w:rPr>
          <w:spacing w:val="-15"/>
        </w:rPr>
        <w:t> </w:t>
      </w:r>
      <w:r>
        <w:rPr/>
        <w:t>vocabulary</w:t>
      </w:r>
      <w:r>
        <w:rPr>
          <w:spacing w:val="-15"/>
        </w:rPr>
        <w:t> </w:t>
      </w:r>
      <w:hyperlink w:history="true" w:anchor="_bookmark139">
        <w:r>
          <w:rPr>
            <w:vertAlign w:val="superscript"/>
          </w:rPr>
          <w:t>[6]</w:t>
        </w:r>
      </w:hyperlink>
      <w:r>
        <w:rPr>
          <w:vertAlign w:val="superscript"/>
        </w:rPr>
        <w:t>,</w:t>
      </w:r>
      <w:hyperlink w:history="true" w:anchor="_bookmark153">
        <w:r>
          <w:rPr>
            <w:vertAlign w:val="superscript"/>
          </w:rPr>
          <w:t>[20]</w:t>
        </w:r>
      </w:hyperlink>
      <w:r>
        <w:rPr>
          <w:vertAlign w:val="superscript"/>
        </w:rPr>
        <w:t>,</w:t>
      </w:r>
      <w:hyperlink w:history="true" w:anchor="_bookmark157">
        <w:r>
          <w:rPr>
            <w:vertAlign w:val="superscript"/>
          </w:rPr>
          <w:t>[24]</w:t>
        </w:r>
      </w:hyperlink>
      <w:r>
        <w:rPr>
          <w:vertAlign w:val="baseline"/>
        </w:rPr>
        <w:t>.</w:t>
      </w:r>
      <w:r>
        <w:rPr>
          <w:spacing w:val="-3"/>
          <w:vertAlign w:val="baseline"/>
        </w:rPr>
        <w:t> </w:t>
      </w:r>
      <w:r>
        <w:rPr>
          <w:vertAlign w:val="baseline"/>
        </w:rPr>
        <w:t>Token-economy</w:t>
      </w:r>
      <w:r>
        <w:rPr>
          <w:spacing w:val="-15"/>
          <w:vertAlign w:val="baseline"/>
        </w:rPr>
        <w:t> </w:t>
      </w:r>
      <w:r>
        <w:rPr>
          <w:vertAlign w:val="baseline"/>
        </w:rPr>
        <w:t>valuation</w:t>
      </w:r>
      <w:r>
        <w:rPr>
          <w:spacing w:val="-15"/>
          <w:vertAlign w:val="baseline"/>
        </w:rPr>
        <w:t> </w:t>
      </w:r>
      <w:r>
        <w:rPr>
          <w:vertAlign w:val="baseline"/>
        </w:rPr>
        <w:t>models</w:t>
      </w:r>
      <w:r>
        <w:rPr>
          <w:spacing w:val="-15"/>
          <w:vertAlign w:val="baseline"/>
        </w:rPr>
        <w:t> </w:t>
      </w:r>
      <w:r>
        <w:rPr>
          <w:vertAlign w:val="baseline"/>
        </w:rPr>
        <w:t>similarly rely</w:t>
      </w:r>
      <w:r>
        <w:rPr>
          <w:spacing w:val="-1"/>
          <w:vertAlign w:val="baseline"/>
        </w:rPr>
        <w:t> </w:t>
      </w:r>
      <w:r>
        <w:rPr>
          <w:vertAlign w:val="baseline"/>
        </w:rPr>
        <w:t>on</w:t>
      </w:r>
      <w:r>
        <w:rPr>
          <w:spacing w:val="-1"/>
          <w:vertAlign w:val="baseline"/>
        </w:rPr>
        <w:t> </w:t>
      </w:r>
      <w:r>
        <w:rPr>
          <w:vertAlign w:val="baseline"/>
        </w:rPr>
        <w:t>shared, publicly</w:t>
      </w:r>
      <w:r>
        <w:rPr>
          <w:spacing w:val="-1"/>
          <w:vertAlign w:val="baseline"/>
        </w:rPr>
        <w:t> </w:t>
      </w:r>
      <w:r>
        <w:rPr>
          <w:vertAlign w:val="baseline"/>
        </w:rPr>
        <w:t>observable quantities rather</w:t>
      </w:r>
      <w:r>
        <w:rPr>
          <w:spacing w:val="-1"/>
          <w:vertAlign w:val="baseline"/>
        </w:rPr>
        <w:t> </w:t>
      </w:r>
      <w:r>
        <w:rPr>
          <w:vertAlign w:val="baseline"/>
        </w:rPr>
        <w:t>than</w:t>
      </w:r>
      <w:r>
        <w:rPr>
          <w:spacing w:val="-1"/>
          <w:vertAlign w:val="baseline"/>
        </w:rPr>
        <w:t> </w:t>
      </w:r>
      <w:r>
        <w:rPr>
          <w:vertAlign w:val="baseline"/>
        </w:rPr>
        <w:t>private identity</w:t>
      </w:r>
      <w:r>
        <w:rPr>
          <w:spacing w:val="-1"/>
          <w:vertAlign w:val="baseline"/>
        </w:rPr>
        <w:t> </w:t>
      </w:r>
      <w:hyperlink w:history="true" w:anchor="_bookmark146">
        <w:r>
          <w:rPr>
            <w:vertAlign w:val="superscript"/>
          </w:rPr>
          <w:t>[13]</w:t>
        </w:r>
      </w:hyperlink>
      <w:r>
        <w:rPr>
          <w:vertAlign w:val="baseline"/>
        </w:rPr>
        <w:t>. On-chain</w:t>
      </w:r>
      <w:r>
        <w:rPr>
          <w:spacing w:val="-1"/>
          <w:vertAlign w:val="baseline"/>
        </w:rPr>
        <w:t> </w:t>
      </w:r>
      <w:r>
        <w:rPr>
          <w:vertAlign w:val="baseline"/>
        </w:rPr>
        <w:t>reputation scores</w:t>
      </w:r>
      <w:r>
        <w:rPr>
          <w:spacing w:val="-11"/>
          <w:vertAlign w:val="baseline"/>
        </w:rPr>
        <w:t> </w:t>
      </w:r>
      <w:r>
        <w:rPr>
          <w:vertAlign w:val="baseline"/>
        </w:rPr>
        <w:t>are</w:t>
      </w:r>
      <w:r>
        <w:rPr>
          <w:spacing w:val="-11"/>
          <w:vertAlign w:val="baseline"/>
        </w:rPr>
        <w:t> </w:t>
      </w:r>
      <w:r>
        <w:rPr>
          <w:vertAlign w:val="baseline"/>
        </w:rPr>
        <w:t>positioned</w:t>
      </w:r>
      <w:r>
        <w:rPr>
          <w:spacing w:val="-11"/>
          <w:vertAlign w:val="baseline"/>
        </w:rPr>
        <w:t> </w:t>
      </w:r>
      <w:r>
        <w:rPr>
          <w:vertAlign w:val="baseline"/>
        </w:rPr>
        <w:t>to</w:t>
      </w:r>
      <w:r>
        <w:rPr>
          <w:spacing w:val="-11"/>
          <w:vertAlign w:val="baseline"/>
        </w:rPr>
        <w:t> </w:t>
      </w:r>
      <w:r>
        <w:rPr>
          <w:vertAlign w:val="baseline"/>
        </w:rPr>
        <w:t>play</w:t>
      </w:r>
      <w:r>
        <w:rPr>
          <w:spacing w:val="-11"/>
          <w:vertAlign w:val="baseline"/>
        </w:rPr>
        <w:t> </w:t>
      </w:r>
      <w:r>
        <w:rPr>
          <w:vertAlign w:val="baseline"/>
        </w:rPr>
        <w:t>an</w:t>
      </w:r>
      <w:r>
        <w:rPr>
          <w:spacing w:val="-11"/>
          <w:vertAlign w:val="baseline"/>
        </w:rPr>
        <w:t> </w:t>
      </w:r>
      <w:r>
        <w:rPr>
          <w:vertAlign w:val="baseline"/>
        </w:rPr>
        <w:t>analogous</w:t>
      </w:r>
      <w:r>
        <w:rPr>
          <w:spacing w:val="-11"/>
          <w:vertAlign w:val="baseline"/>
        </w:rPr>
        <w:t> </w:t>
      </w:r>
      <w:r>
        <w:rPr>
          <w:vertAlign w:val="baseline"/>
        </w:rPr>
        <w:t>role</w:t>
      </w:r>
      <w:r>
        <w:rPr>
          <w:spacing w:val="-11"/>
          <w:vertAlign w:val="baseline"/>
        </w:rPr>
        <w:t> </w:t>
      </w:r>
      <w:r>
        <w:rPr>
          <w:vertAlign w:val="baseline"/>
        </w:rPr>
        <w:t>for</w:t>
      </w:r>
      <w:r>
        <w:rPr>
          <w:spacing w:val="-11"/>
          <w:vertAlign w:val="baseline"/>
        </w:rPr>
        <w:t> </w:t>
      </w:r>
      <w:r>
        <w:rPr>
          <w:vertAlign w:val="baseline"/>
        </w:rPr>
        <w:t>pseudonymous</w:t>
      </w:r>
      <w:r>
        <w:rPr>
          <w:spacing w:val="-11"/>
          <w:vertAlign w:val="baseline"/>
        </w:rPr>
        <w:t> </w:t>
      </w:r>
      <w:r>
        <w:rPr>
          <w:vertAlign w:val="baseline"/>
        </w:rPr>
        <w:t>wallets.</w:t>
      </w:r>
      <w:r>
        <w:rPr>
          <w:spacing w:val="13"/>
          <w:vertAlign w:val="baseline"/>
        </w:rPr>
        <w:t> </w:t>
      </w:r>
      <w:r>
        <w:rPr>
          <w:vertAlign w:val="baseline"/>
        </w:rPr>
        <w:t>EndorseRank</w:t>
      </w:r>
      <w:r>
        <w:rPr>
          <w:spacing w:val="-11"/>
          <w:vertAlign w:val="baseline"/>
        </w:rPr>
        <w:t> </w:t>
      </w:r>
      <w:r>
        <w:rPr>
          <w:vertAlign w:val="baseline"/>
        </w:rPr>
        <w:t>and</w:t>
      </w:r>
      <w:r>
        <w:rPr>
          <w:spacing w:val="-11"/>
          <w:vertAlign w:val="baseline"/>
        </w:rPr>
        <w:t> </w:t>
      </w:r>
      <w:r>
        <w:rPr>
          <w:vertAlign w:val="baseline"/>
        </w:rPr>
        <w:t>AWP are computed from public logs by an open pipeline (Appendix </w:t>
      </w:r>
      <w:hyperlink w:history="true" w:anchor="_bookmark198">
        <w:r>
          <w:rPr>
            <w:vertAlign w:val="baseline"/>
          </w:rPr>
          <w:t>8.1</w:t>
        </w:r>
      </w:hyperlink>
      <w:r>
        <w:rPr>
          <w:vertAlign w:val="baseline"/>
        </w:rPr>
        <w:t>), are cheap enough to refresh </w:t>
      </w:r>
      <w:r>
        <w:rPr>
          <w:spacing w:val="-2"/>
          <w:vertAlign w:val="baseline"/>
        </w:rPr>
        <w:t>continuously</w:t>
      </w:r>
      <w:r>
        <w:rPr>
          <w:spacing w:val="-6"/>
          <w:vertAlign w:val="baseline"/>
        </w:rPr>
        <w:t> </w:t>
      </w:r>
      <w:r>
        <w:rPr>
          <w:spacing w:val="-2"/>
          <w:vertAlign w:val="baseline"/>
        </w:rPr>
        <w:t>(</w:t>
      </w:r>
      <w:r>
        <w:rPr>
          <w:rFonts w:ascii="Calibri" w:hAnsi="Calibri"/>
          <w:spacing w:val="-2"/>
          <w:vertAlign w:val="baseline"/>
        </w:rPr>
        <w:t>2</w:t>
      </w:r>
      <w:r>
        <w:rPr>
          <w:rFonts w:ascii="Calibri" w:hAnsi="Calibri"/>
          <w:i/>
          <w:spacing w:val="-2"/>
          <w:vertAlign w:val="baseline"/>
        </w:rPr>
        <w:t>.</w:t>
      </w:r>
      <w:r>
        <w:rPr>
          <w:rFonts w:ascii="Calibri" w:hAnsi="Calibri"/>
          <w:spacing w:val="-2"/>
          <w:vertAlign w:val="baseline"/>
        </w:rPr>
        <w:t>105</w:t>
      </w:r>
      <w:r>
        <w:rPr>
          <w:rFonts w:ascii="Calibri" w:hAnsi="Calibri"/>
          <w:spacing w:val="-8"/>
          <w:vertAlign w:val="baseline"/>
        </w:rPr>
        <w:t> </w:t>
      </w:r>
      <w:r>
        <w:rPr>
          <w:spacing w:val="-2"/>
          <w:vertAlign w:val="baseline"/>
        </w:rPr>
        <w:t>s</w:t>
      </w:r>
      <w:r>
        <w:rPr>
          <w:spacing w:val="-6"/>
          <w:vertAlign w:val="baseline"/>
        </w:rPr>
        <w:t> </w:t>
      </w:r>
      <w:r>
        <w:rPr>
          <w:spacing w:val="-2"/>
          <w:vertAlign w:val="baseline"/>
        </w:rPr>
        <w:t>on</w:t>
      </w:r>
      <w:r>
        <w:rPr>
          <w:spacing w:val="-6"/>
          <w:vertAlign w:val="baseline"/>
        </w:rPr>
        <w:t> </w:t>
      </w:r>
      <w:r>
        <w:rPr>
          <w:spacing w:val="-2"/>
          <w:vertAlign w:val="baseline"/>
        </w:rPr>
        <w:t>the</w:t>
      </w:r>
      <w:r>
        <w:rPr>
          <w:spacing w:val="-6"/>
          <w:vertAlign w:val="baseline"/>
        </w:rPr>
        <w:t> </w:t>
      </w:r>
      <w:r>
        <w:rPr>
          <w:spacing w:val="-2"/>
          <w:vertAlign w:val="baseline"/>
        </w:rPr>
        <w:t>matched</w:t>
      </w:r>
      <w:r>
        <w:rPr>
          <w:spacing w:val="-6"/>
          <w:vertAlign w:val="baseline"/>
        </w:rPr>
        <w:t> </w:t>
      </w:r>
      <w:r>
        <w:rPr>
          <w:spacing w:val="-2"/>
          <w:vertAlign w:val="baseline"/>
        </w:rPr>
        <w:t>cohort</w:t>
      </w:r>
      <w:r>
        <w:rPr>
          <w:spacing w:val="-6"/>
          <w:vertAlign w:val="baseline"/>
        </w:rPr>
        <w:t> </w:t>
      </w:r>
      <w:r>
        <w:rPr>
          <w:spacing w:val="-2"/>
          <w:vertAlign w:val="baseline"/>
        </w:rPr>
        <w:t>for</w:t>
      </w:r>
      <w:r>
        <w:rPr>
          <w:spacing w:val="-6"/>
          <w:vertAlign w:val="baseline"/>
        </w:rPr>
        <w:t> </w:t>
      </w:r>
      <w:r>
        <w:rPr>
          <w:spacing w:val="-2"/>
          <w:vertAlign w:val="baseline"/>
        </w:rPr>
        <w:t>EndorseRank),</w:t>
      </w:r>
      <w:r>
        <w:rPr>
          <w:spacing w:val="-3"/>
          <w:vertAlign w:val="baseline"/>
        </w:rPr>
        <w:t> </w:t>
      </w:r>
      <w:r>
        <w:rPr>
          <w:spacing w:val="-2"/>
          <w:vertAlign w:val="baseline"/>
        </w:rPr>
        <w:t>and</w:t>
      </w:r>
      <w:r>
        <w:rPr>
          <w:spacing w:val="-6"/>
          <w:vertAlign w:val="baseline"/>
        </w:rPr>
        <w:t> </w:t>
      </w:r>
      <w:r>
        <w:rPr>
          <w:spacing w:val="-2"/>
          <w:vertAlign w:val="baseline"/>
        </w:rPr>
        <w:t>induce</w:t>
      </w:r>
      <w:r>
        <w:rPr>
          <w:spacing w:val="-6"/>
          <w:vertAlign w:val="baseline"/>
        </w:rPr>
        <w:t> </w:t>
      </w:r>
      <w:r>
        <w:rPr>
          <w:spacing w:val="-2"/>
          <w:vertAlign w:val="baseline"/>
        </w:rPr>
        <w:t>orderings</w:t>
      </w:r>
      <w:r>
        <w:rPr>
          <w:spacing w:val="-6"/>
          <w:vertAlign w:val="baseline"/>
        </w:rPr>
        <w:t> </w:t>
      </w:r>
      <w:r>
        <w:rPr>
          <w:spacing w:val="-2"/>
          <w:vertAlign w:val="baseline"/>
        </w:rPr>
        <w:t>that</w:t>
      </w:r>
      <w:r>
        <w:rPr>
          <w:spacing w:val="-6"/>
          <w:vertAlign w:val="baseline"/>
        </w:rPr>
        <w:t> </w:t>
      </w:r>
      <w:r>
        <w:rPr>
          <w:spacing w:val="-2"/>
          <w:vertAlign w:val="baseline"/>
        </w:rPr>
        <w:t>any</w:t>
      </w:r>
      <w:r>
        <w:rPr>
          <w:spacing w:val="-6"/>
          <w:vertAlign w:val="baseline"/>
        </w:rPr>
        <w:t> </w:t>
      </w:r>
      <w:r>
        <w:rPr>
          <w:spacing w:val="-2"/>
          <w:vertAlign w:val="baseline"/>
        </w:rPr>
        <w:t>coun-</w:t>
      </w:r>
      <w:r>
        <w:rPr>
          <w:vertAlign w:val="baseline"/>
        </w:rPr>
        <w:t>terparty can independently verify.</w:t>
      </w:r>
    </w:p>
    <w:p>
      <w:pPr>
        <w:pStyle w:val="BodyText"/>
        <w:spacing w:line="393" w:lineRule="auto"/>
        <w:ind w:left="282" w:right="523" w:hanging="12"/>
        <w:jc w:val="both"/>
      </w:pPr>
      <w:r>
        <w:rPr>
          <w:i/>
        </w:rPr>
        <w:t>가격 수익 및 가격 장부 비율이 처음 대중화되었을 때 그 가치는 예측 정확도(불완전한 수익 예측 변수)에서 나온 것이 아니라 표준화에서 나왔습니다. 모든 투자자는 공개 서류에서 동일한 숫자를 계산하고, 공통 규모로 기업을 비교하고, 공유 어휘로 위험 선호도를 전달할 수 있었습니다[6],[20],[24]. 토큰 경제 가치 평가 모델은 마찬가지로 개인 신원보다는 공유되고 공개적으로 관찰 가능한 수량에 의존합니다[13]. 온체인 평판 점수는 가명 지갑과 유사한 역할을 하는 위치에 있습니다. EndorseRank 및 AWP는 개방형 파이프라인(부록 8.1)을 통해 공개 로그에서 계산되고, 지속적으로 새로 고칠 수 있을 만큼 저렴하며(EndorseRank에 대해 일치하는 코호트에서 2.105초), 모든 상대방이 독립적으로 확인할 수 있는 주문을 유도합니다.</w:t>
      </w:r>
    </w:p>
    <w:p>
      <w:pPr>
        <w:pStyle w:val="BodyText"/>
        <w:spacing w:line="396" w:lineRule="auto" w:before="21"/>
        <w:ind w:left="282" w:right="523"/>
        <w:jc w:val="both"/>
      </w:pPr>
      <w:r>
        <w:rPr/>
        <w:t>Standardization</w:t>
      </w:r>
      <w:r>
        <w:rPr>
          <w:spacing w:val="-12"/>
        </w:rPr>
        <w:t> </w:t>
      </w:r>
      <w:r>
        <w:rPr/>
        <w:t>is</w:t>
      </w:r>
      <w:r>
        <w:rPr>
          <w:spacing w:val="-12"/>
        </w:rPr>
        <w:t> </w:t>
      </w:r>
      <w:r>
        <w:rPr/>
        <w:t>the</w:t>
      </w:r>
      <w:r>
        <w:rPr>
          <w:spacing w:val="-12"/>
        </w:rPr>
        <w:t> </w:t>
      </w:r>
      <w:r>
        <w:rPr/>
        <w:t>first</w:t>
      </w:r>
      <w:r>
        <w:rPr>
          <w:spacing w:val="-12"/>
        </w:rPr>
        <w:t> </w:t>
      </w:r>
      <w:r>
        <w:rPr/>
        <w:t>link</w:t>
      </w:r>
      <w:r>
        <w:rPr>
          <w:spacing w:val="-12"/>
        </w:rPr>
        <w:t> </w:t>
      </w:r>
      <w:r>
        <w:rPr/>
        <w:t>in</w:t>
      </w:r>
      <w:r>
        <w:rPr>
          <w:spacing w:val="-12"/>
        </w:rPr>
        <w:t> </w:t>
      </w:r>
      <w:r>
        <w:rPr/>
        <w:t>the</w:t>
      </w:r>
      <w:r>
        <w:rPr>
          <w:spacing w:val="-12"/>
        </w:rPr>
        <w:t> </w:t>
      </w:r>
      <w:r>
        <w:rPr/>
        <w:t>analogy.</w:t>
      </w:r>
      <w:r>
        <w:rPr>
          <w:spacing w:val="11"/>
        </w:rPr>
        <w:t> </w:t>
      </w:r>
      <w:r>
        <w:rPr/>
        <w:t>Accounting</w:t>
      </w:r>
      <w:r>
        <w:rPr>
          <w:spacing w:val="-12"/>
        </w:rPr>
        <w:t> </w:t>
      </w:r>
      <w:r>
        <w:rPr/>
        <w:t>conventions</w:t>
      </w:r>
      <w:r>
        <w:rPr>
          <w:spacing w:val="-12"/>
        </w:rPr>
        <w:t> </w:t>
      </w:r>
      <w:r>
        <w:rPr/>
        <w:t>made</w:t>
      </w:r>
      <w:r>
        <w:rPr>
          <w:spacing w:val="-12"/>
        </w:rPr>
        <w:t> </w:t>
      </w:r>
      <w:r>
        <w:rPr/>
        <w:t>price–earnings</w:t>
      </w:r>
      <w:r>
        <w:rPr>
          <w:spacing w:val="-12"/>
        </w:rPr>
        <w:t> </w:t>
      </w:r>
      <w:r>
        <w:rPr/>
        <w:t>ratios computable</w:t>
      </w:r>
      <w:r>
        <w:rPr>
          <w:spacing w:val="-6"/>
        </w:rPr>
        <w:t> </w:t>
      </w:r>
      <w:r>
        <w:rPr/>
        <w:t>from</w:t>
      </w:r>
      <w:r>
        <w:rPr>
          <w:spacing w:val="-6"/>
        </w:rPr>
        <w:t> </w:t>
      </w:r>
      <w:r>
        <w:rPr/>
        <w:t>disclosed</w:t>
      </w:r>
      <w:r>
        <w:rPr>
          <w:spacing w:val="-6"/>
        </w:rPr>
        <w:t> </w:t>
      </w:r>
      <w:r>
        <w:rPr/>
        <w:t>statements</w:t>
      </w:r>
      <w:r>
        <w:rPr>
          <w:spacing w:val="-6"/>
        </w:rPr>
        <w:t> </w:t>
      </w:r>
      <w:hyperlink w:history="true" w:anchor="_bookmark157">
        <w:r>
          <w:rPr>
            <w:vertAlign w:val="superscript"/>
          </w:rPr>
          <w:t>[24]</w:t>
        </w:r>
      </w:hyperlink>
      <w:r>
        <w:rPr>
          <w:vertAlign w:val="baseline"/>
        </w:rPr>
        <w:t>;</w:t>
      </w:r>
      <w:r>
        <w:rPr>
          <w:spacing w:val="-6"/>
          <w:vertAlign w:val="baseline"/>
        </w:rPr>
        <w:t> </w:t>
      </w:r>
      <w:r>
        <w:rPr>
          <w:vertAlign w:val="baseline"/>
        </w:rPr>
        <w:t>ERC-20</w:t>
      </w:r>
      <w:r>
        <w:rPr>
          <w:spacing w:val="-6"/>
          <w:vertAlign w:val="baseline"/>
        </w:rPr>
        <w:t> </w:t>
      </w:r>
      <w:r>
        <w:rPr>
          <w:vertAlign w:val="baseline"/>
        </w:rPr>
        <w:t>event</w:t>
      </w:r>
      <w:r>
        <w:rPr>
          <w:spacing w:val="-6"/>
          <w:vertAlign w:val="baseline"/>
        </w:rPr>
        <w:t> </w:t>
      </w:r>
      <w:r>
        <w:rPr>
          <w:vertAlign w:val="baseline"/>
        </w:rPr>
        <w:t>standards</w:t>
      </w:r>
      <w:r>
        <w:rPr>
          <w:spacing w:val="-6"/>
          <w:vertAlign w:val="baseline"/>
        </w:rPr>
        <w:t> </w:t>
      </w:r>
      <w:r>
        <w:rPr>
          <w:vertAlign w:val="baseline"/>
        </w:rPr>
        <w:t>make</w:t>
      </w:r>
      <w:r>
        <w:rPr>
          <w:spacing w:val="-6"/>
          <w:vertAlign w:val="baseline"/>
        </w:rPr>
        <w:t> </w:t>
      </w:r>
      <w:r>
        <w:rPr>
          <w:vertAlign w:val="baseline"/>
        </w:rPr>
        <w:t>allowance-</w:t>
      </w:r>
      <w:r>
        <w:rPr>
          <w:spacing w:val="-6"/>
          <w:vertAlign w:val="baseline"/>
        </w:rPr>
        <w:t> </w:t>
      </w:r>
      <w:r>
        <w:rPr>
          <w:vertAlign w:val="baseline"/>
        </w:rPr>
        <w:t>and</w:t>
      </w:r>
      <w:r>
        <w:rPr>
          <w:spacing w:val="-6"/>
          <w:vertAlign w:val="baseline"/>
        </w:rPr>
        <w:t> </w:t>
      </w:r>
      <w:r>
        <w:rPr>
          <w:vertAlign w:val="baseline"/>
        </w:rPr>
        <w:t>transfer-based ranks computable from broadcast logs </w:t>
      </w:r>
      <w:hyperlink w:history="true" w:anchor="_bookmark151">
        <w:r>
          <w:rPr>
            <w:vertAlign w:val="superscript"/>
          </w:rPr>
          <w:t>[18]</w:t>
        </w:r>
      </w:hyperlink>
      <w:r>
        <w:rPr>
          <w:vertAlign w:val="superscript"/>
        </w:rPr>
        <w:t>,</w:t>
      </w:r>
      <w:hyperlink w:history="true" w:anchor="_bookmark152">
        <w:r>
          <w:rPr>
            <w:vertAlign w:val="superscript"/>
          </w:rPr>
          <w:t>[19]</w:t>
        </w:r>
      </w:hyperlink>
      <w:r>
        <w:rPr>
          <w:vertAlign w:val="baseline"/>
        </w:rPr>
        <w:t>.</w:t>
      </w:r>
      <w:r>
        <w:rPr>
          <w:spacing w:val="37"/>
          <w:vertAlign w:val="baseline"/>
        </w:rPr>
        <w:t> </w:t>
      </w:r>
      <w:r>
        <w:rPr>
          <w:vertAlign w:val="baseline"/>
        </w:rPr>
        <w:t>Just as GAAP-like reporting enabled a com-mon</w:t>
      </w:r>
      <w:r>
        <w:rPr>
          <w:spacing w:val="-15"/>
          <w:vertAlign w:val="baseline"/>
        </w:rPr>
        <w:t> </w:t>
      </w:r>
      <w:r>
        <w:rPr>
          <w:vertAlign w:val="baseline"/>
        </w:rPr>
        <w:t>valuation</w:t>
      </w:r>
      <w:r>
        <w:rPr>
          <w:spacing w:val="-15"/>
          <w:vertAlign w:val="baseline"/>
        </w:rPr>
        <w:t> </w:t>
      </w:r>
      <w:r>
        <w:rPr>
          <w:vertAlign w:val="baseline"/>
        </w:rPr>
        <w:t>language,</w:t>
      </w:r>
      <w:r>
        <w:rPr>
          <w:spacing w:val="-15"/>
          <w:vertAlign w:val="baseline"/>
        </w:rPr>
        <w:t> </w:t>
      </w:r>
      <w:r>
        <w:rPr>
          <w:vertAlign w:val="baseline"/>
        </w:rPr>
        <w:t>token-log</w:t>
      </w:r>
      <w:r>
        <w:rPr>
          <w:spacing w:val="-15"/>
          <w:vertAlign w:val="baseline"/>
        </w:rPr>
        <w:t> </w:t>
      </w:r>
      <w:r>
        <w:rPr>
          <w:vertAlign w:val="baseline"/>
        </w:rPr>
        <w:t>standards</w:t>
      </w:r>
      <w:r>
        <w:rPr>
          <w:spacing w:val="-15"/>
          <w:vertAlign w:val="baseline"/>
        </w:rPr>
        <w:t> </w:t>
      </w:r>
      <w:r>
        <w:rPr>
          <w:vertAlign w:val="baseline"/>
        </w:rPr>
        <w:t>enable</w:t>
      </w:r>
      <w:r>
        <w:rPr>
          <w:spacing w:val="-15"/>
          <w:vertAlign w:val="baseline"/>
        </w:rPr>
        <w:t> </w:t>
      </w:r>
      <w:r>
        <w:rPr>
          <w:vertAlign w:val="baseline"/>
        </w:rPr>
        <w:t>a</w:t>
      </w:r>
      <w:r>
        <w:rPr>
          <w:spacing w:val="-15"/>
          <w:vertAlign w:val="baseline"/>
        </w:rPr>
        <w:t> </w:t>
      </w:r>
      <w:r>
        <w:rPr>
          <w:vertAlign w:val="baseline"/>
        </w:rPr>
        <w:t>common</w:t>
      </w:r>
      <w:r>
        <w:rPr>
          <w:spacing w:val="-15"/>
          <w:vertAlign w:val="baseline"/>
        </w:rPr>
        <w:t> </w:t>
      </w:r>
      <w:r>
        <w:rPr>
          <w:vertAlign w:val="baseline"/>
        </w:rPr>
        <w:t>reputation</w:t>
      </w:r>
      <w:r>
        <w:rPr>
          <w:spacing w:val="-15"/>
          <w:vertAlign w:val="baseline"/>
        </w:rPr>
        <w:t> </w:t>
      </w:r>
      <w:r>
        <w:rPr>
          <w:vertAlign w:val="baseline"/>
        </w:rPr>
        <w:t>language</w:t>
      </w:r>
      <w:r>
        <w:rPr>
          <w:spacing w:val="-15"/>
          <w:vertAlign w:val="baseline"/>
        </w:rPr>
        <w:t> </w:t>
      </w:r>
      <w:r>
        <w:rPr>
          <w:vertAlign w:val="baseline"/>
        </w:rPr>
        <w:t>without</w:t>
      </w:r>
      <w:r>
        <w:rPr>
          <w:spacing w:val="-15"/>
          <w:vertAlign w:val="baseline"/>
        </w:rPr>
        <w:t> </w:t>
      </w:r>
      <w:r>
        <w:rPr>
          <w:vertAlign w:val="baseline"/>
        </w:rPr>
        <w:t>requir-ing off-chain identity.</w:t>
      </w:r>
    </w:p>
    <w:p>
      <w:pPr>
        <w:pStyle w:val="BodyText"/>
        <w:spacing w:line="396" w:lineRule="auto" w:before="21"/>
        <w:ind w:left="282" w:right="523"/>
        <w:jc w:val="both"/>
      </w:pPr>
      <w:r>
        <w:rPr>
          <w:i/>
        </w:rPr>
        <w:t>표준화는 비유의 첫 번째 링크입니다. 회계 관례는 공개된 명세서에서 주가 수익 비율을 계산할 수 있게 만들었고[24], ERC-20 이벤트 표준은 방송 로그에서 수당 및 이체 기반 순위를 계산할 수 있도록 했습니다[18],[19]. GAAP와 같은 보고가 공통 평가 언어를 가능하게 한 것처럼, 토큰 로그 표준은 오프체인 ID를 요구하지 않고도 공통 평판 언어를 가능하게 합니다.</w:t>
      </w:r>
    </w:p>
    <w:p>
      <w:pPr>
        <w:pStyle w:val="BodyText"/>
        <w:spacing w:line="396" w:lineRule="auto" w:before="19"/>
        <w:ind w:left="282" w:right="531"/>
        <w:jc w:val="both"/>
      </w:pPr>
      <w:r>
        <w:rPr/>
        <w:t>Comparability is the second link.</w:t>
      </w:r>
      <w:r>
        <w:rPr>
          <w:spacing w:val="40"/>
        </w:rPr>
        <w:t> </w:t>
      </w:r>
      <w:r>
        <w:rPr/>
        <w:t>Pseudonymous markets suffer from information asymmetry: counterparties cannot cheaply distinguish authorization-active wallets from inactive or fabricated ones</w:t>
      </w:r>
      <w:r>
        <w:rPr>
          <w:spacing w:val="24"/>
        </w:rPr>
        <w:t> </w:t>
      </w:r>
      <w:hyperlink w:history="true" w:anchor="_bookmark134">
        <w:r>
          <w:rPr>
            <w:vertAlign w:val="superscript"/>
          </w:rPr>
          <w:t>[1]</w:t>
        </w:r>
      </w:hyperlink>
      <w:r>
        <w:rPr>
          <w:vertAlign w:val="baseline"/>
        </w:rPr>
        <w:t>.</w:t>
      </w:r>
      <w:r>
        <w:rPr>
          <w:spacing w:val="80"/>
          <w:vertAlign w:val="baseline"/>
        </w:rPr>
        <w:t> </w:t>
      </w:r>
      <w:r>
        <w:rPr>
          <w:vertAlign w:val="baseline"/>
        </w:rPr>
        <w:t>A</w:t>
      </w:r>
      <w:r>
        <w:rPr>
          <w:spacing w:val="24"/>
          <w:vertAlign w:val="baseline"/>
        </w:rPr>
        <w:t> </w:t>
      </w:r>
      <w:r>
        <w:rPr>
          <w:vertAlign w:val="baseline"/>
        </w:rPr>
        <w:t>shared</w:t>
      </w:r>
      <w:r>
        <w:rPr>
          <w:spacing w:val="23"/>
          <w:vertAlign w:val="baseline"/>
        </w:rPr>
        <w:t> </w:t>
      </w:r>
      <w:r>
        <w:rPr>
          <w:vertAlign w:val="baseline"/>
        </w:rPr>
        <w:t>ordinal</w:t>
      </w:r>
      <w:r>
        <w:rPr>
          <w:spacing w:val="24"/>
          <w:vertAlign w:val="baseline"/>
        </w:rPr>
        <w:t> </w:t>
      </w:r>
      <w:r>
        <w:rPr>
          <w:vertAlign w:val="baseline"/>
        </w:rPr>
        <w:t>score</w:t>
      </w:r>
      <w:r>
        <w:rPr>
          <w:spacing w:val="24"/>
          <w:vertAlign w:val="baseline"/>
        </w:rPr>
        <w:t> </w:t>
      </w:r>
      <w:r>
        <w:rPr>
          <w:vertAlign w:val="baseline"/>
        </w:rPr>
        <w:t>reduces</w:t>
      </w:r>
      <w:r>
        <w:rPr>
          <w:spacing w:val="23"/>
          <w:vertAlign w:val="baseline"/>
        </w:rPr>
        <w:t> </w:t>
      </w:r>
      <w:r>
        <w:rPr>
          <w:vertAlign w:val="baseline"/>
        </w:rPr>
        <w:t>that</w:t>
      </w:r>
      <w:r>
        <w:rPr>
          <w:spacing w:val="24"/>
          <w:vertAlign w:val="baseline"/>
        </w:rPr>
        <w:t> </w:t>
      </w:r>
      <w:r>
        <w:rPr>
          <w:vertAlign w:val="baseline"/>
        </w:rPr>
        <w:t>asymmetry</w:t>
      </w:r>
      <w:r>
        <w:rPr>
          <w:spacing w:val="24"/>
          <w:vertAlign w:val="baseline"/>
        </w:rPr>
        <w:t> </w:t>
      </w:r>
      <w:r>
        <w:rPr>
          <w:vertAlign w:val="baseline"/>
        </w:rPr>
        <w:t>by</w:t>
      </w:r>
      <w:r>
        <w:rPr>
          <w:spacing w:val="24"/>
          <w:vertAlign w:val="baseline"/>
        </w:rPr>
        <w:t> </w:t>
      </w:r>
      <w:r>
        <w:rPr>
          <w:vertAlign w:val="baseline"/>
        </w:rPr>
        <w:t>giving</w:t>
      </w:r>
      <w:r>
        <w:rPr>
          <w:spacing w:val="23"/>
          <w:vertAlign w:val="baseline"/>
        </w:rPr>
        <w:t> </w:t>
      </w:r>
      <w:r>
        <w:rPr>
          <w:vertAlign w:val="baseline"/>
        </w:rPr>
        <w:t>protocols,</w:t>
      </w:r>
      <w:r>
        <w:rPr>
          <w:spacing w:val="30"/>
          <w:vertAlign w:val="baseline"/>
        </w:rPr>
        <w:t> </w:t>
      </w:r>
      <w:r>
        <w:rPr>
          <w:vertAlign w:val="baseline"/>
        </w:rPr>
        <w:t>LPs,</w:t>
      </w:r>
      <w:r>
        <w:rPr>
          <w:spacing w:val="30"/>
          <w:vertAlign w:val="baseline"/>
        </w:rPr>
        <w:t> </w:t>
      </w:r>
      <w:r>
        <w:rPr>
          <w:vertAlign w:val="baseline"/>
        </w:rPr>
        <w:t>and</w:t>
      </w:r>
      <w:r>
        <w:rPr>
          <w:spacing w:val="23"/>
          <w:vertAlign w:val="baseline"/>
        </w:rPr>
        <w:t> </w:t>
      </w:r>
      <w:r>
        <w:rPr>
          <w:vertAlign w:val="baseline"/>
        </w:rPr>
        <w:t>users</w:t>
      </w:r>
      <w:r>
        <w:rPr>
          <w:spacing w:val="24"/>
          <w:vertAlign w:val="baseline"/>
        </w:rPr>
        <w:t> </w:t>
      </w:r>
      <w:r>
        <w:rPr>
          <w:vertAlign w:val="baseline"/>
        </w:rPr>
        <w:t>a</w:t>
      </w:r>
    </w:p>
    <w:p>
      <w:pPr>
        <w:pStyle w:val="BodyText"/>
        <w:spacing w:line="396" w:lineRule="auto" w:before="19"/>
        <w:ind w:left="282" w:right="531"/>
        <w:jc w:val="both"/>
      </w:pPr>
      <w:r>
        <w:rPr>
          <w:i/>
        </w:rPr>
        <w:t>비교성은 두 번째 링크입니다. 가명 시장은 정보 비대칭으로 인해 어려움을 겪습니다. 거래 상대방은 승인 활성 지갑과 비활성 지갑 또는 조작된 지갑을 쉽게 구별할 수 없습니다[1]. 공유된 서수 점수는 프로토콜, LP 및 사용자에게 다음을 제공하여 비대칭성을 줄입니다.</w:t>
      </w:r>
    </w:p>
    <w:p>
      <w:pPr>
        <w:pStyle w:val="BodyText"/>
        <w:spacing w:after="0" w:line="396" w:lineRule="auto"/>
        <w:jc w:val="both"/>
        <w:sectPr>
          <w:pgSz w:w="11910" w:h="16840"/>
          <w:pgMar w:header="0" w:footer="2115" w:top="1820" w:bottom="2300" w:left="992" w:right="708"/>
        </w:sectPr>
      </w:pPr>
    </w:p>
    <w:p>
      <w:pPr>
        <w:pStyle w:val="BodyText"/>
        <w:spacing w:line="396" w:lineRule="auto" w:before="72"/>
        <w:ind w:left="282" w:right="560"/>
        <w:jc w:val="both"/>
      </w:pPr>
      <w:r>
        <w:rPr/>
        <w:t>common</w:t>
      </w:r>
      <w:r>
        <w:rPr>
          <w:spacing w:val="-2"/>
        </w:rPr>
        <w:t> </w:t>
      </w:r>
      <w:r>
        <w:rPr/>
        <w:t>scale</w:t>
      </w:r>
      <w:r>
        <w:rPr>
          <w:spacing w:val="-2"/>
        </w:rPr>
        <w:t> </w:t>
      </w:r>
      <w:r>
        <w:rPr/>
        <w:t>on</w:t>
      </w:r>
      <w:r>
        <w:rPr>
          <w:spacing w:val="-2"/>
        </w:rPr>
        <w:t> </w:t>
      </w:r>
      <w:r>
        <w:rPr/>
        <w:t>which</w:t>
      </w:r>
      <w:r>
        <w:rPr>
          <w:spacing w:val="-2"/>
        </w:rPr>
        <w:t> </w:t>
      </w:r>
      <w:r>
        <w:rPr/>
        <w:t>to</w:t>
      </w:r>
      <w:r>
        <w:rPr>
          <w:spacing w:val="-2"/>
        </w:rPr>
        <w:t> </w:t>
      </w:r>
      <w:r>
        <w:rPr/>
        <w:t>screen</w:t>
      </w:r>
      <w:r>
        <w:rPr>
          <w:spacing w:val="-2"/>
        </w:rPr>
        <w:t> </w:t>
      </w:r>
      <w:r>
        <w:rPr/>
        <w:t>and</w:t>
      </w:r>
      <w:r>
        <w:rPr>
          <w:spacing w:val="-2"/>
        </w:rPr>
        <w:t> </w:t>
      </w:r>
      <w:r>
        <w:rPr/>
        <w:t>communicate.</w:t>
      </w:r>
      <w:r>
        <w:rPr>
          <w:spacing w:val="24"/>
        </w:rPr>
        <w:t> </w:t>
      </w:r>
      <w:r>
        <w:rPr/>
        <w:t>Lower</w:t>
      </w:r>
      <w:r>
        <w:rPr>
          <w:spacing w:val="-2"/>
        </w:rPr>
        <w:t> </w:t>
      </w:r>
      <w:r>
        <w:rPr/>
        <w:t>screening</w:t>
      </w:r>
      <w:r>
        <w:rPr>
          <w:spacing w:val="-2"/>
        </w:rPr>
        <w:t> </w:t>
      </w:r>
      <w:r>
        <w:rPr/>
        <w:t>costs</w:t>
      </w:r>
      <w:r>
        <w:rPr>
          <w:spacing w:val="-2"/>
        </w:rPr>
        <w:t> </w:t>
      </w:r>
      <w:r>
        <w:rPr/>
        <w:t>may</w:t>
      </w:r>
      <w:r>
        <w:rPr>
          <w:spacing w:val="-2"/>
        </w:rPr>
        <w:t> </w:t>
      </w:r>
      <w:r>
        <w:rPr/>
        <w:t>support</w:t>
      </w:r>
      <w:r>
        <w:rPr>
          <w:spacing w:val="-2"/>
        </w:rPr>
        <w:t> </w:t>
      </w:r>
      <w:r>
        <w:rPr/>
        <w:t>broader participation even when the score is only a coarse filter; liquidity effects are not estimated here.</w:t>
      </w:r>
    </w:p>
    <w:p>
      <w:pPr>
        <w:pStyle w:val="BodyText"/>
        <w:spacing w:line="396" w:lineRule="auto" w:before="72"/>
        <w:ind w:left="282" w:right="560"/>
        <w:jc w:val="both"/>
      </w:pPr>
      <w:r>
        <w:rPr>
          <w:i/>
        </w:rPr>
        <w:t>선별하고 의사소통하는 공통 규모. 낮은 심사 비용은 점수가 단지 거친 필터인 경우에도 더 광범위한 참여를 지원할 수 있습니다. 여기서 유동성 효과는 추정되지 않습니다.</w:t>
      </w:r>
    </w:p>
    <w:p>
      <w:pPr>
        <w:pStyle w:val="BodyText"/>
        <w:spacing w:line="396" w:lineRule="auto" w:before="16"/>
        <w:ind w:left="282" w:right="563"/>
        <w:jc w:val="both"/>
      </w:pPr>
      <w:r>
        <w:rPr/>
        <w:t>Imperfection</w:t>
      </w:r>
      <w:r>
        <w:rPr>
          <w:spacing w:val="-15"/>
        </w:rPr>
        <w:t> </w:t>
      </w:r>
      <w:r>
        <w:rPr/>
        <w:t>is</w:t>
      </w:r>
      <w:r>
        <w:rPr>
          <w:spacing w:val="-15"/>
        </w:rPr>
        <w:t> </w:t>
      </w:r>
      <w:r>
        <w:rPr/>
        <w:t>the</w:t>
      </w:r>
      <w:r>
        <w:rPr>
          <w:spacing w:val="-15"/>
        </w:rPr>
        <w:t> </w:t>
      </w:r>
      <w:r>
        <w:rPr/>
        <w:t>third</w:t>
      </w:r>
      <w:r>
        <w:rPr>
          <w:spacing w:val="-15"/>
        </w:rPr>
        <w:t> </w:t>
      </w:r>
      <w:r>
        <w:rPr/>
        <w:t>link,</w:t>
      </w:r>
      <w:r>
        <w:rPr>
          <w:spacing w:val="-14"/>
        </w:rPr>
        <w:t> </w:t>
      </w:r>
      <w:r>
        <w:rPr/>
        <w:t>and</w:t>
      </w:r>
      <w:r>
        <w:rPr>
          <w:spacing w:val="-15"/>
        </w:rPr>
        <w:t> </w:t>
      </w:r>
      <w:r>
        <w:rPr/>
        <w:t>it</w:t>
      </w:r>
      <w:r>
        <w:rPr>
          <w:spacing w:val="-15"/>
        </w:rPr>
        <w:t> </w:t>
      </w:r>
      <w:r>
        <w:rPr/>
        <w:t>is</w:t>
      </w:r>
      <w:r>
        <w:rPr>
          <w:spacing w:val="-15"/>
        </w:rPr>
        <w:t> </w:t>
      </w:r>
      <w:r>
        <w:rPr/>
        <w:t>a</w:t>
      </w:r>
      <w:r>
        <w:rPr>
          <w:spacing w:val="-15"/>
        </w:rPr>
        <w:t> </w:t>
      </w:r>
      <w:r>
        <w:rPr/>
        <w:t>feature</w:t>
      </w:r>
      <w:r>
        <w:rPr>
          <w:spacing w:val="-15"/>
        </w:rPr>
        <w:t> </w:t>
      </w:r>
      <w:r>
        <w:rPr/>
        <w:t>of</w:t>
      </w:r>
      <w:r>
        <w:rPr>
          <w:spacing w:val="-15"/>
        </w:rPr>
        <w:t> </w:t>
      </w:r>
      <w:r>
        <w:rPr/>
        <w:t>the</w:t>
      </w:r>
      <w:r>
        <w:rPr>
          <w:spacing w:val="-15"/>
        </w:rPr>
        <w:t> </w:t>
      </w:r>
      <w:r>
        <w:rPr/>
        <w:t>argument</w:t>
      </w:r>
      <w:r>
        <w:rPr>
          <w:spacing w:val="-15"/>
        </w:rPr>
        <w:t> </w:t>
      </w:r>
      <w:r>
        <w:rPr/>
        <w:t>rather</w:t>
      </w:r>
      <w:r>
        <w:rPr>
          <w:spacing w:val="-15"/>
        </w:rPr>
        <w:t> </w:t>
      </w:r>
      <w:r>
        <w:rPr/>
        <w:t>than</w:t>
      </w:r>
      <w:r>
        <w:rPr>
          <w:spacing w:val="-15"/>
        </w:rPr>
        <w:t> </w:t>
      </w:r>
      <w:r>
        <w:rPr/>
        <w:t>a</w:t>
      </w:r>
      <w:r>
        <w:rPr>
          <w:spacing w:val="-15"/>
        </w:rPr>
        <w:t> </w:t>
      </w:r>
      <w:r>
        <w:rPr/>
        <w:t>concession.</w:t>
      </w:r>
      <w:r>
        <w:rPr>
          <w:spacing w:val="10"/>
        </w:rPr>
        <w:t> </w:t>
      </w:r>
      <w:r>
        <w:rPr/>
        <w:t>Empirical finance has long documented that valuation multiples are noisy predictors of subsequent returns</w:t>
      </w:r>
    </w:p>
    <w:p>
      <w:pPr>
        <w:pStyle w:val="BodyText"/>
        <w:spacing w:line="396" w:lineRule="auto" w:before="16"/>
        <w:ind w:left="282" w:right="563"/>
        <w:jc w:val="both"/>
      </w:pPr>
      <w:r>
        <w:rPr>
          <w:i/>
        </w:rPr>
        <w:t>불완전성은 세 번째 연결고리이며, 이는 양보라기보다는 논증의 특징입니다. 실증 금융에서는 가치 평가 배수가 후속 수익에 대한 시끄러운 예측 변수라는 사실을 오랫동안 문서화해 왔습니다.</w:t>
      </w:r>
    </w:p>
    <w:p>
      <w:pPr>
        <w:pStyle w:val="BodyText"/>
        <w:spacing w:line="391" w:lineRule="auto" w:before="2"/>
        <w:ind w:left="282" w:right="520"/>
        <w:jc w:val="both"/>
      </w:pPr>
      <w:hyperlink w:history="true" w:anchor="_bookmark139">
        <w:r>
          <w:rPr>
            <w:vertAlign w:val="superscript"/>
          </w:rPr>
          <w:t>[6]</w:t>
        </w:r>
      </w:hyperlink>
      <w:r>
        <w:rPr>
          <w:vertAlign w:val="superscript"/>
        </w:rPr>
        <w:t>,</w:t>
      </w:r>
      <w:hyperlink w:history="true" w:anchor="_bookmark153">
        <w:r>
          <w:rPr>
            <w:vertAlign w:val="superscript"/>
          </w:rPr>
          <w:t>[20]</w:t>
        </w:r>
      </w:hyperlink>
      <w:r>
        <w:rPr>
          <w:vertAlign w:val="baseline"/>
        </w:rPr>
        <w:t>;</w:t>
      </w:r>
      <w:r>
        <w:rPr>
          <w:spacing w:val="-6"/>
          <w:vertAlign w:val="baseline"/>
        </w:rPr>
        <w:t> </w:t>
      </w:r>
      <w:r>
        <w:rPr>
          <w:vertAlign w:val="baseline"/>
        </w:rPr>
        <w:t>their</w:t>
      </w:r>
      <w:r>
        <w:rPr>
          <w:spacing w:val="-8"/>
          <w:vertAlign w:val="baseline"/>
        </w:rPr>
        <w:t> </w:t>
      </w:r>
      <w:r>
        <w:rPr>
          <w:vertAlign w:val="baseline"/>
        </w:rPr>
        <w:t>institutional</w:t>
      </w:r>
      <w:r>
        <w:rPr>
          <w:spacing w:val="-8"/>
          <w:vertAlign w:val="baseline"/>
        </w:rPr>
        <w:t> </w:t>
      </w:r>
      <w:r>
        <w:rPr>
          <w:vertAlign w:val="baseline"/>
        </w:rPr>
        <w:t>role</w:t>
      </w:r>
      <w:r>
        <w:rPr>
          <w:spacing w:val="-8"/>
          <w:vertAlign w:val="baseline"/>
        </w:rPr>
        <w:t> </w:t>
      </w:r>
      <w:r>
        <w:rPr>
          <w:vertAlign w:val="baseline"/>
        </w:rPr>
        <w:t>is</w:t>
      </w:r>
      <w:r>
        <w:rPr>
          <w:spacing w:val="-8"/>
          <w:vertAlign w:val="baseline"/>
        </w:rPr>
        <w:t> </w:t>
      </w:r>
      <w:r>
        <w:rPr>
          <w:vertAlign w:val="baseline"/>
        </w:rPr>
        <w:t>screening,</w:t>
      </w:r>
      <w:r>
        <w:rPr>
          <w:spacing w:val="-7"/>
          <w:vertAlign w:val="baseline"/>
        </w:rPr>
        <w:t> </w:t>
      </w:r>
      <w:r>
        <w:rPr>
          <w:vertAlign w:val="baseline"/>
        </w:rPr>
        <w:t>communication,</w:t>
      </w:r>
      <w:r>
        <w:rPr>
          <w:spacing w:val="-6"/>
          <w:vertAlign w:val="baseline"/>
        </w:rPr>
        <w:t> </w:t>
      </w:r>
      <w:r>
        <w:rPr>
          <w:vertAlign w:val="baseline"/>
        </w:rPr>
        <w:t>and</w:t>
      </w:r>
      <w:r>
        <w:rPr>
          <w:spacing w:val="-8"/>
          <w:vertAlign w:val="baseline"/>
        </w:rPr>
        <w:t> </w:t>
      </w:r>
      <w:r>
        <w:rPr>
          <w:vertAlign w:val="baseline"/>
        </w:rPr>
        <w:t>process</w:t>
      </w:r>
      <w:r>
        <w:rPr>
          <w:spacing w:val="-8"/>
          <w:vertAlign w:val="baseline"/>
        </w:rPr>
        <w:t> </w:t>
      </w:r>
      <w:r>
        <w:rPr>
          <w:vertAlign w:val="baseline"/>
        </w:rPr>
        <w:t>design.</w:t>
      </w:r>
      <w:r>
        <w:rPr>
          <w:spacing w:val="18"/>
          <w:vertAlign w:val="baseline"/>
        </w:rPr>
        <w:t> </w:t>
      </w:r>
      <w:r>
        <w:rPr>
          <w:vertAlign w:val="baseline"/>
        </w:rPr>
        <w:t>Likewise,</w:t>
      </w:r>
      <w:r>
        <w:rPr>
          <w:spacing w:val="-7"/>
          <w:vertAlign w:val="baseline"/>
        </w:rPr>
        <w:t> </w:t>
      </w:r>
      <w:r>
        <w:rPr>
          <w:vertAlign w:val="baseline"/>
        </w:rPr>
        <w:t>the</w:t>
      </w:r>
      <w:r>
        <w:rPr>
          <w:spacing w:val="-8"/>
          <w:vertAlign w:val="baseline"/>
        </w:rPr>
        <w:t> </w:t>
      </w:r>
      <w:r>
        <w:rPr>
          <w:vertAlign w:val="baseline"/>
        </w:rPr>
        <w:t>weak trading-success</w:t>
      </w:r>
      <w:r>
        <w:rPr>
          <w:spacing w:val="-15"/>
          <w:vertAlign w:val="baseline"/>
        </w:rPr>
        <w:t> </w:t>
      </w:r>
      <w:r>
        <w:rPr>
          <w:vertAlign w:val="baseline"/>
        </w:rPr>
        <w:t>alignment</w:t>
      </w:r>
      <w:r>
        <w:rPr>
          <w:spacing w:val="-15"/>
          <w:vertAlign w:val="baseline"/>
        </w:rPr>
        <w:t> </w:t>
      </w:r>
      <w:r>
        <w:rPr>
          <w:vertAlign w:val="baseline"/>
        </w:rPr>
        <w:t>of</w:t>
      </w:r>
      <w:r>
        <w:rPr>
          <w:spacing w:val="-15"/>
          <w:vertAlign w:val="baseline"/>
        </w:rPr>
        <w:t> </w:t>
      </w:r>
      <w:r>
        <w:rPr>
          <w:vertAlign w:val="baseline"/>
        </w:rPr>
        <w:t>EndorseRank</w:t>
      </w:r>
      <w:r>
        <w:rPr>
          <w:spacing w:val="-15"/>
          <w:vertAlign w:val="baseline"/>
        </w:rPr>
        <w:t> </w:t>
      </w:r>
      <w:r>
        <w:rPr>
          <w:vertAlign w:val="baseline"/>
        </w:rPr>
        <w:t>and</w:t>
      </w:r>
      <w:r>
        <w:rPr>
          <w:spacing w:val="-15"/>
          <w:vertAlign w:val="baseline"/>
        </w:rPr>
        <w:t> </w:t>
      </w:r>
      <w:r>
        <w:rPr>
          <w:vertAlign w:val="baseline"/>
        </w:rPr>
        <w:t>AWP</w:t>
      </w:r>
      <w:r>
        <w:rPr>
          <w:spacing w:val="-15"/>
          <w:vertAlign w:val="baseline"/>
        </w:rPr>
        <w:t> </w:t>
      </w:r>
      <w:r>
        <w:rPr>
          <w:vertAlign w:val="baseline"/>
        </w:rPr>
        <w:t>(</w:t>
      </w:r>
      <w:r>
        <w:rPr>
          <w:rFonts w:ascii="Calibri" w:hAnsi="Calibri"/>
          <w:i/>
          <w:vertAlign w:val="baseline"/>
        </w:rPr>
        <w:t>τ</w:t>
      </w:r>
      <w:r>
        <w:rPr>
          <w:rFonts w:ascii="Calibri" w:hAnsi="Calibri"/>
          <w:i/>
          <w:spacing w:val="2"/>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096</w:t>
      </w:r>
      <w:r>
        <w:rPr>
          <w:rFonts w:ascii="Calibri" w:hAnsi="Calibri"/>
          <w:spacing w:val="-11"/>
          <w:vertAlign w:val="baseline"/>
        </w:rPr>
        <w:t> </w:t>
      </w:r>
      <w:r>
        <w:rPr>
          <w:vertAlign w:val="baseline"/>
        </w:rPr>
        <w:t>and</w:t>
      </w:r>
      <w:r>
        <w:rPr>
          <w:spacing w:val="-1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179</w:t>
      </w:r>
      <w:r>
        <w:rPr>
          <w:vertAlign w:val="baseline"/>
        </w:rPr>
        <w:t>)</w:t>
      </w:r>
      <w:r>
        <w:rPr>
          <w:spacing w:val="-15"/>
          <w:vertAlign w:val="baseline"/>
        </w:rPr>
        <w:t> </w:t>
      </w:r>
      <w:r>
        <w:rPr>
          <w:vertAlign w:val="baseline"/>
        </w:rPr>
        <w:t>rules</w:t>
      </w:r>
      <w:r>
        <w:rPr>
          <w:spacing w:val="-15"/>
          <w:vertAlign w:val="baseline"/>
        </w:rPr>
        <w:t> </w:t>
      </w:r>
      <w:r>
        <w:rPr>
          <w:vertAlign w:val="baseline"/>
        </w:rPr>
        <w:t>out</w:t>
      </w:r>
      <w:r>
        <w:rPr>
          <w:spacing w:val="-15"/>
          <w:vertAlign w:val="baseline"/>
        </w:rPr>
        <w:t> </w:t>
      </w:r>
      <w:r>
        <w:rPr>
          <w:vertAlign w:val="baseline"/>
        </w:rPr>
        <w:t>reading</w:t>
      </w:r>
      <w:r>
        <w:rPr>
          <w:spacing w:val="-15"/>
          <w:vertAlign w:val="baseline"/>
        </w:rPr>
        <w:t> </w:t>
      </w:r>
      <w:r>
        <w:rPr>
          <w:vertAlign w:val="baseline"/>
        </w:rPr>
        <w:t>either score as a profit forecast, but does not erase their value as construct-specific ordinal instruments. Quantifying that weakness is itself part of responsible adoption:</w:t>
      </w:r>
      <w:r>
        <w:rPr>
          <w:spacing w:val="32"/>
          <w:vertAlign w:val="baseline"/>
        </w:rPr>
        <w:t> </w:t>
      </w:r>
      <w:r>
        <w:rPr>
          <w:vertAlign w:val="baseline"/>
        </w:rPr>
        <w:t>operators know which decisions the scores can and cannot support.</w:t>
      </w:r>
    </w:p>
    <w:p>
      <w:pPr>
        <w:pStyle w:val="BodyText"/>
        <w:spacing w:line="391" w:lineRule="auto" w:before="2"/>
        <w:ind w:left="282" w:right="520"/>
        <w:jc w:val="both"/>
      </w:pPr>
      <w:r>
        <w:rPr>
          <w:i/>
        </w:rPr>
        <w:t>[6],[20] 그들의 제도적 역할은 선별, 의사소통 및 프로세스 설계입니다. 마찬가지로, EndorseRank 및 AWP(τ = 0.096 및 0.179)의 약한 거래 성공 정렬은 두 점수를 이익 예측으로 읽는 것을 배제하지만 구성별 서수 도구로서의 가치를 삭제하지는 않습니다. 약점을 정량화하는 것 자체가 책임감 있는 채택의 일부입니다. 운영자는 점수가 지원할 수 있는 결정과 지원할 수 없는 결정을 알고 있습니다.</w:t>
      </w:r>
    </w:p>
    <w:p>
      <w:pPr>
        <w:pStyle w:val="BodyText"/>
        <w:spacing w:line="396" w:lineRule="auto" w:before="20"/>
        <w:ind w:left="282" w:right="524"/>
        <w:jc w:val="both"/>
      </w:pPr>
      <w:r>
        <w:rPr/>
        <w:t>Gaming is the fourth link.</w:t>
      </w:r>
      <w:r>
        <w:rPr>
          <w:spacing w:val="40"/>
        </w:rPr>
        <w:t> </w:t>
      </w:r>
      <w:r>
        <w:rPr/>
        <w:t>Earnings management shows that once a metric becomes decision-relevant, agents invest in distorting it </w:t>
      </w:r>
      <w:hyperlink w:history="true" w:anchor="_bookmark164">
        <w:r>
          <w:rPr>
            <w:vertAlign w:val="superscript"/>
          </w:rPr>
          <w:t>[31]</w:t>
        </w:r>
      </w:hyperlink>
      <w:r>
        <w:rPr>
          <w:vertAlign w:val="baseline"/>
        </w:rPr>
        <w:t>.</w:t>
      </w:r>
      <w:r>
        <w:rPr>
          <w:spacing w:val="40"/>
          <w:vertAlign w:val="baseline"/>
        </w:rPr>
        <w:t> </w:t>
      </w:r>
      <w:r>
        <w:rPr>
          <w:vertAlign w:val="baseline"/>
        </w:rPr>
        <w:t>Allowance-based reputation invites approval farming and Sybil clusters in the same spirit.</w:t>
      </w:r>
      <w:r>
        <w:rPr>
          <w:spacing w:val="40"/>
          <w:vertAlign w:val="baseline"/>
        </w:rPr>
        <w:t> </w:t>
      </w:r>
      <w:r>
        <w:rPr>
          <w:vertAlign w:val="baseline"/>
        </w:rPr>
        <w:t>Section </w:t>
      </w:r>
      <w:hyperlink w:history="true" w:anchor="_bookmark121">
        <w:r>
          <w:rPr>
            <w:vertAlign w:val="baseline"/>
          </w:rPr>
          <w:t>5.5</w:t>
        </w:r>
      </w:hyperlink>
      <w:r>
        <w:rPr>
          <w:vertAlign w:val="baseline"/>
        </w:rPr>
        <w:t> formalizes attack cost on endorsement graphs, and Section </w:t>
      </w:r>
      <w:hyperlink w:history="true" w:anchor="_bookmark125">
        <w:r>
          <w:rPr>
            <w:vertAlign w:val="baseline"/>
          </w:rPr>
          <w:t>5.6</w:t>
        </w:r>
      </w:hyperlink>
      <w:r>
        <w:rPr>
          <w:vertAlign w:val="baseline"/>
        </w:rPr>
        <w:t> argues for disclosure of graph definitions, observation windows, and known fail-ure modes.</w:t>
      </w:r>
      <w:r>
        <w:rPr>
          <w:spacing w:val="40"/>
          <w:vertAlign w:val="baseline"/>
        </w:rPr>
        <w:t> </w:t>
      </w:r>
      <w:r>
        <w:rPr>
          <w:vertAlign w:val="baseline"/>
        </w:rPr>
        <w:t>Standardized reputation scores, like valuation multiples, are useful only when their construction is public and their failure modes are named.</w:t>
      </w:r>
    </w:p>
    <w:p>
      <w:pPr>
        <w:pStyle w:val="BodyText"/>
        <w:spacing w:line="396" w:lineRule="auto" w:before="20"/>
        <w:ind w:left="282" w:right="524"/>
        <w:jc w:val="both"/>
      </w:pPr>
      <w:r>
        <w:rPr>
          <w:i/>
        </w:rPr>
        <w:t>게임은 네 번째 링크입니다. 수익 관리는 측정항목이 의사결정과 관련되면 에이전트가 이를 왜곡하는 데 투자한다는 것을 보여줍니다[31]. 허용 기반 평판은 동일한 정신으로 승인 농업과 Sybil 클러스터를 유도합니다. 섹션 5.5에서는 보증 그래프에 대한 공격 비용을 공식화하고 섹션 5.6에서는 그래프 정의, 관찰 창 및 알려진 실패 모드 공개를 주장합니다. 평가 배수와 같은 표준화된 평판 점수는 구성이 공개되고 실패 모드가 명명된 경우에만 유용합니다.</w:t>
      </w:r>
    </w:p>
    <w:p>
      <w:pPr>
        <w:pStyle w:val="BodyText"/>
        <w:spacing w:line="396" w:lineRule="auto" w:before="20"/>
        <w:ind w:left="276" w:right="533" w:hanging="2"/>
        <w:jc w:val="both"/>
      </w:pPr>
      <w:r>
        <w:rPr/>
        <w:t>The ecosystem effect follows from these four links.</w:t>
      </w:r>
      <w:r>
        <w:rPr>
          <w:spacing w:val="40"/>
        </w:rPr>
        <w:t> </w:t>
      </w:r>
      <w:r>
        <w:rPr/>
        <w:t>A shared, auditable reputation vocabulary can</w:t>
      </w:r>
      <w:r>
        <w:rPr>
          <w:spacing w:val="-5"/>
        </w:rPr>
        <w:t> </w:t>
      </w:r>
      <w:r>
        <w:rPr/>
        <w:t>lower</w:t>
      </w:r>
      <w:r>
        <w:rPr>
          <w:spacing w:val="-5"/>
        </w:rPr>
        <w:t> </w:t>
      </w:r>
      <w:r>
        <w:rPr/>
        <w:t>the</w:t>
      </w:r>
      <w:r>
        <w:rPr>
          <w:spacing w:val="-5"/>
        </w:rPr>
        <w:t> </w:t>
      </w:r>
      <w:r>
        <w:rPr/>
        <w:t>cost</w:t>
      </w:r>
      <w:r>
        <w:rPr>
          <w:spacing w:val="-5"/>
        </w:rPr>
        <w:t> </w:t>
      </w:r>
      <w:r>
        <w:rPr/>
        <w:t>of</w:t>
      </w:r>
      <w:r>
        <w:rPr>
          <w:spacing w:val="-5"/>
        </w:rPr>
        <w:t> </w:t>
      </w:r>
      <w:r>
        <w:rPr/>
        <w:t>counterparty</w:t>
      </w:r>
      <w:r>
        <w:rPr>
          <w:spacing w:val="-5"/>
        </w:rPr>
        <w:t> </w:t>
      </w:r>
      <w:r>
        <w:rPr/>
        <w:t>differentiation</w:t>
      </w:r>
      <w:r>
        <w:rPr>
          <w:spacing w:val="-5"/>
        </w:rPr>
        <w:t> </w:t>
      </w:r>
      <w:r>
        <w:rPr/>
        <w:t>across</w:t>
      </w:r>
      <w:r>
        <w:rPr>
          <w:spacing w:val="-5"/>
        </w:rPr>
        <w:t> </w:t>
      </w:r>
      <w:r>
        <w:rPr/>
        <w:t>perpetual</w:t>
      </w:r>
      <w:r>
        <w:rPr>
          <w:spacing w:val="-5"/>
        </w:rPr>
        <w:t> </w:t>
      </w:r>
      <w:r>
        <w:rPr/>
        <w:t>markets,</w:t>
      </w:r>
      <w:r>
        <w:rPr>
          <w:spacing w:val="-5"/>
        </w:rPr>
        <w:t> </w:t>
      </w:r>
      <w:r>
        <w:rPr/>
        <w:t>lending</w:t>
      </w:r>
      <w:r>
        <w:rPr>
          <w:spacing w:val="-5"/>
        </w:rPr>
        <w:t> </w:t>
      </w:r>
      <w:r>
        <w:rPr/>
        <w:t>pools,</w:t>
      </w:r>
      <w:r>
        <w:rPr>
          <w:spacing w:val="-5"/>
        </w:rPr>
        <w:t> </w:t>
      </w:r>
      <w:r>
        <w:rPr/>
        <w:t>wallets, and compliance tooling, channeling protocol revenue through fees, utilization, monitoring cost, and reduced reward leakage while preserving collateral as the primary risk backstop.</w:t>
      </w:r>
      <w:r>
        <w:rPr>
          <w:spacing w:val="40"/>
        </w:rPr>
        <w:t> </w:t>
      </w:r>
      <w:r>
        <w:rPr/>
        <w:t>Adoption pathways that overclaim predictive power for loan default or trading profit would undermine that vocabulary;</w:t>
      </w:r>
      <w:r>
        <w:rPr>
          <w:spacing w:val="-10"/>
        </w:rPr>
        <w:t> </w:t>
      </w:r>
      <w:r>
        <w:rPr/>
        <w:t>pathways</w:t>
      </w:r>
      <w:r>
        <w:rPr>
          <w:spacing w:val="-13"/>
        </w:rPr>
        <w:t> </w:t>
      </w:r>
      <w:r>
        <w:rPr/>
        <w:t>that</w:t>
      </w:r>
      <w:r>
        <w:rPr>
          <w:spacing w:val="-13"/>
        </w:rPr>
        <w:t> </w:t>
      </w:r>
      <w:r>
        <w:rPr/>
        <w:t>treat</w:t>
      </w:r>
      <w:r>
        <w:rPr>
          <w:spacing w:val="-13"/>
        </w:rPr>
        <w:t> </w:t>
      </w:r>
      <w:r>
        <w:rPr/>
        <w:t>scores</w:t>
      </w:r>
      <w:r>
        <w:rPr>
          <w:spacing w:val="-13"/>
        </w:rPr>
        <w:t> </w:t>
      </w:r>
      <w:r>
        <w:rPr/>
        <w:t>as</w:t>
      </w:r>
      <w:r>
        <w:rPr>
          <w:spacing w:val="-13"/>
        </w:rPr>
        <w:t> </w:t>
      </w:r>
      <w:r>
        <w:rPr/>
        <w:t>standardized</w:t>
      </w:r>
      <w:r>
        <w:rPr>
          <w:spacing w:val="-13"/>
        </w:rPr>
        <w:t> </w:t>
      </w:r>
      <w:r>
        <w:rPr/>
        <w:t>ordinal</w:t>
      </w:r>
      <w:r>
        <w:rPr>
          <w:spacing w:val="-13"/>
        </w:rPr>
        <w:t> </w:t>
      </w:r>
      <w:r>
        <w:rPr/>
        <w:t>infrastructure</w:t>
      </w:r>
      <w:r>
        <w:rPr>
          <w:spacing w:val="-13"/>
        </w:rPr>
        <w:t> </w:t>
      </w:r>
      <w:r>
        <w:rPr/>
        <w:t>are</w:t>
      </w:r>
      <w:r>
        <w:rPr>
          <w:spacing w:val="-13"/>
        </w:rPr>
        <w:t> </w:t>
      </w:r>
      <w:r>
        <w:rPr/>
        <w:t>consistent</w:t>
      </w:r>
      <w:r>
        <w:rPr>
          <w:spacing w:val="-13"/>
        </w:rPr>
        <w:t> </w:t>
      </w:r>
      <w:r>
        <w:rPr/>
        <w:t>with</w:t>
      </w:r>
      <w:r>
        <w:rPr>
          <w:spacing w:val="-13"/>
        </w:rPr>
        <w:t> </w:t>
      </w:r>
      <w:r>
        <w:rPr/>
        <w:t>the </w:t>
      </w:r>
      <w:bookmarkStart w:name="Sybil attack cost model on allowance gra" w:id="227"/>
      <w:bookmarkEnd w:id="227"/>
      <w:r>
        <w:rPr>
          <w:w w:val="99"/>
        </w:rPr>
      </w:r>
      <w:bookmarkStart w:name="_bookmark121" w:id="228"/>
      <w:bookmarkEnd w:id="228"/>
      <w:r>
        <w:rPr/>
        <w:t>evidence</w:t>
      </w:r>
      <w:r>
        <w:rPr/>
        <w:t> in this dissertation.</w:t>
      </w:r>
    </w:p>
    <w:p>
      <w:pPr>
        <w:pStyle w:val="BodyText"/>
        <w:spacing w:line="396" w:lineRule="auto" w:before="20"/>
        <w:ind w:left="276" w:right="533" w:hanging="2"/>
        <w:jc w:val="both"/>
      </w:pPr>
      <w:r>
        <w:rPr>
          <w:i/>
        </w:rPr>
        <w:t>생태계 효과는 이 네 가지 링크에서 나옵니다. 공유되고 감사 가능한 평판 어휘는 영구 시장, 대출 풀, 지갑 및 규정 준수 도구 전반에서 상대방 차별화 비용을 낮추고, 수수료, 활용, 모니터링 비용을 통해 프로토콜 수익을 전달하고 보상 누출을 줄이면서 담보를 주요 위험 방지 수단으로 보존할 수 있습니다. 대출 불이행 또는 거래 이익에 대한 예측력을 과도하게 주장하는 채택 경로는 해당 어휘를 약화시킬 수 있습니다. 점수를 표준화된 순서 기반 구조로 취급하는 경로는 이 논문의 증거와 일치합니다.</w:t>
      </w:r>
    </w:p>
    <w:p>
      <w:pPr>
        <w:pStyle w:val="BodyText"/>
        <w:spacing w:before="166"/>
      </w:pPr>
    </w:p>
    <w:p>
      <w:pPr>
        <w:pStyle w:val="Heading2"/>
        <w:numPr>
          <w:ilvl w:val="1"/>
          <w:numId w:val="8"/>
        </w:numPr>
        <w:tabs>
          <w:tab w:pos="783" w:val="left" w:leader="none"/>
        </w:tabs>
        <w:spacing w:line="240" w:lineRule="auto" w:before="0" w:after="0"/>
        <w:ind w:left="783" w:right="0" w:hanging="501"/>
        <w:jc w:val="left"/>
      </w:pPr>
      <w:r>
        <w:rPr/>
        <w:t>Sybil</w:t>
      </w:r>
      <w:r>
        <w:rPr>
          <w:spacing w:val="13"/>
        </w:rPr>
        <w:t> </w:t>
      </w:r>
      <w:r>
        <w:rPr/>
        <w:t>attack</w:t>
      </w:r>
      <w:r>
        <w:rPr>
          <w:spacing w:val="13"/>
        </w:rPr>
        <w:t> </w:t>
      </w:r>
      <w:r>
        <w:rPr/>
        <w:t>cost</w:t>
      </w:r>
      <w:r>
        <w:rPr>
          <w:spacing w:val="14"/>
        </w:rPr>
        <w:t> </w:t>
      </w:r>
      <w:r>
        <w:rPr/>
        <w:t>model</w:t>
      </w:r>
      <w:r>
        <w:rPr>
          <w:spacing w:val="13"/>
        </w:rPr>
        <w:t> </w:t>
      </w:r>
      <w:r>
        <w:rPr/>
        <w:t>on</w:t>
      </w:r>
      <w:r>
        <w:rPr>
          <w:spacing w:val="14"/>
        </w:rPr>
        <w:t> </w:t>
      </w:r>
      <w:r>
        <w:rPr/>
        <w:t>allowance</w:t>
      </w:r>
      <w:r>
        <w:rPr>
          <w:spacing w:val="13"/>
        </w:rPr>
        <w:t> </w:t>
      </w:r>
      <w:r>
        <w:rPr>
          <w:spacing w:val="-2"/>
        </w:rPr>
        <w:t>graphs</w:t>
      </w:r>
    </w:p>
    <w:p>
      <w:pPr>
        <w:pStyle w:val="Heading2"/>
        <w:numPr>
          <w:ilvl w:val="1"/>
          <w:numId w:val="8"/>
        </w:numPr>
        <w:tabs>
          <w:tab w:pos="783" w:val="left" w:leader="none"/>
        </w:tabs>
        <w:spacing w:line="240" w:lineRule="auto" w:before="0" w:after="0"/>
        <w:ind w:left="783" w:right="0" w:hanging="501"/>
        <w:jc w:val="left"/>
      </w:pPr>
      <w:r>
        <w:rPr>
          <w:i/>
        </w:rPr>
        <w:t>Sybil 수당 그래프의 공격 비용 모델</w:t>
      </w:r>
    </w:p>
    <w:p>
      <w:pPr>
        <w:pStyle w:val="BodyText"/>
        <w:spacing w:before="24"/>
        <w:rPr>
          <w:b/>
          <w:sz w:val="28"/>
        </w:rPr>
      </w:pPr>
    </w:p>
    <w:p>
      <w:pPr>
        <w:pStyle w:val="BodyText"/>
        <w:spacing w:line="396" w:lineRule="auto"/>
        <w:ind w:left="282" w:right="562"/>
        <w:jc w:val="both"/>
      </w:pPr>
      <w:r>
        <w:rPr/>
        <w:t>Sybil attacks exploit cheap pseudonyms to manufacture reputation </w:t>
      </w:r>
      <w:hyperlink w:history="true" w:anchor="_bookmark150">
        <w:r>
          <w:rPr>
            <w:vertAlign w:val="superscript"/>
          </w:rPr>
          <w:t>[17]</w:t>
        </w:r>
      </w:hyperlink>
      <w:r>
        <w:rPr>
          <w:vertAlign w:val="baseline"/>
        </w:rPr>
        <w:t>.</w:t>
      </w:r>
      <w:r>
        <w:rPr>
          <w:spacing w:val="40"/>
          <w:vertAlign w:val="baseline"/>
        </w:rPr>
        <w:t> </w:t>
      </w:r>
      <w:r>
        <w:rPr>
          <w:vertAlign w:val="baseline"/>
        </w:rPr>
        <w:t>On transfer graphs, an </w:t>
      </w:r>
      <w:r>
        <w:rPr>
          <w:spacing w:val="-2"/>
          <w:vertAlign w:val="baseline"/>
        </w:rPr>
        <w:t>attacker</w:t>
      </w:r>
      <w:r>
        <w:rPr>
          <w:spacing w:val="-5"/>
          <w:vertAlign w:val="baseline"/>
        </w:rPr>
        <w:t> </w:t>
      </w:r>
      <w:r>
        <w:rPr>
          <w:spacing w:val="-2"/>
          <w:vertAlign w:val="baseline"/>
        </w:rPr>
        <w:t>can</w:t>
      </w:r>
      <w:r>
        <w:rPr>
          <w:spacing w:val="-4"/>
          <w:vertAlign w:val="baseline"/>
        </w:rPr>
        <w:t> </w:t>
      </w:r>
      <w:r>
        <w:rPr>
          <w:spacing w:val="-2"/>
          <w:vertAlign w:val="baseline"/>
        </w:rPr>
        <w:t>wash-trade</w:t>
      </w:r>
      <w:r>
        <w:rPr>
          <w:spacing w:val="-4"/>
          <w:vertAlign w:val="baseline"/>
        </w:rPr>
        <w:t> </w:t>
      </w:r>
      <w:r>
        <w:rPr>
          <w:spacing w:val="-2"/>
          <w:vertAlign w:val="baseline"/>
        </w:rPr>
        <w:t>value</w:t>
      </w:r>
      <w:r>
        <w:rPr>
          <w:spacing w:val="-3"/>
          <w:vertAlign w:val="baseline"/>
        </w:rPr>
        <w:t> </w:t>
      </w:r>
      <w:r>
        <w:rPr>
          <w:spacing w:val="-2"/>
          <w:vertAlign w:val="baseline"/>
        </w:rPr>
        <w:t>among</w:t>
      </w:r>
      <w:r>
        <w:rPr>
          <w:spacing w:val="-5"/>
          <w:vertAlign w:val="baseline"/>
        </w:rPr>
        <w:t> </w:t>
      </w:r>
      <w:r>
        <w:rPr>
          <w:spacing w:val="-2"/>
          <w:vertAlign w:val="baseline"/>
        </w:rPr>
        <w:t>controlled</w:t>
      </w:r>
      <w:r>
        <w:rPr>
          <w:spacing w:val="-4"/>
          <w:vertAlign w:val="baseline"/>
        </w:rPr>
        <w:t> </w:t>
      </w:r>
      <w:r>
        <w:rPr>
          <w:spacing w:val="-2"/>
          <w:vertAlign w:val="baseline"/>
        </w:rPr>
        <w:t>wallets, inflating</w:t>
      </w:r>
      <w:r>
        <w:rPr>
          <w:spacing w:val="-4"/>
          <w:vertAlign w:val="baseline"/>
        </w:rPr>
        <w:t> </w:t>
      </w:r>
      <w:r>
        <w:rPr>
          <w:spacing w:val="-2"/>
          <w:vertAlign w:val="baseline"/>
        </w:rPr>
        <w:t>in-degree</w:t>
      </w:r>
      <w:r>
        <w:rPr>
          <w:spacing w:val="-3"/>
          <w:vertAlign w:val="baseline"/>
        </w:rPr>
        <w:t> </w:t>
      </w:r>
      <w:r>
        <w:rPr>
          <w:spacing w:val="-2"/>
          <w:vertAlign w:val="baseline"/>
        </w:rPr>
        <w:t>and</w:t>
      </w:r>
      <w:r>
        <w:rPr>
          <w:spacing w:val="-4"/>
          <w:vertAlign w:val="baseline"/>
        </w:rPr>
        <w:t> </w:t>
      </w:r>
      <w:r>
        <w:rPr>
          <w:spacing w:val="-2"/>
          <w:vertAlign w:val="baseline"/>
        </w:rPr>
        <w:t>in-value</w:t>
      </w:r>
      <w:r>
        <w:rPr>
          <w:spacing w:val="-4"/>
          <w:vertAlign w:val="baseline"/>
        </w:rPr>
        <w:t> </w:t>
      </w:r>
      <w:r>
        <w:rPr>
          <w:spacing w:val="-2"/>
          <w:vertAlign w:val="baseline"/>
        </w:rPr>
        <w:t>at</w:t>
      </w:r>
      <w:r>
        <w:rPr>
          <w:spacing w:val="-3"/>
          <w:vertAlign w:val="baseline"/>
        </w:rPr>
        <w:t> </w:t>
      </w:r>
      <w:r>
        <w:rPr>
          <w:spacing w:val="-2"/>
          <w:vertAlign w:val="baseline"/>
        </w:rPr>
        <w:t>the</w:t>
      </w:r>
      <w:r>
        <w:rPr>
          <w:spacing w:val="-4"/>
          <w:vertAlign w:val="baseline"/>
        </w:rPr>
        <w:t> </w:t>
      </w:r>
      <w:r>
        <w:rPr>
          <w:spacing w:val="-4"/>
          <w:vertAlign w:val="baseline"/>
        </w:rPr>
        <w:t>cost</w:t>
      </w:r>
    </w:p>
    <w:p>
      <w:pPr>
        <w:pStyle w:val="BodyText"/>
        <w:spacing w:line="396" w:lineRule="auto"/>
        <w:ind w:left="282" w:right="562"/>
        <w:jc w:val="both"/>
      </w:pPr>
      <w:r>
        <w:rPr>
          <w:i/>
        </w:rPr>
        <w:t>Sybil 공격은 평판을 조작하기 위해 값싼 가명을 이용합니다[17]. 전송 그래프에서 공격자는 통제된 지갑 사이에서 가치를 가장하여 거래할 수 있으며, 그 비용으로 가치와 가치를 부풀릴 수 있습니다.</w:t>
      </w:r>
    </w:p>
    <w:p>
      <w:pPr>
        <w:pStyle w:val="BodyText"/>
        <w:spacing w:after="0" w:line="396" w:lineRule="auto"/>
        <w:jc w:val="both"/>
        <w:sectPr>
          <w:pgSz w:w="11910" w:h="16840"/>
          <w:pgMar w:header="0" w:footer="2115" w:top="1840" w:bottom="2300" w:left="992" w:right="708"/>
        </w:sectPr>
      </w:pPr>
    </w:p>
    <w:p>
      <w:pPr>
        <w:pStyle w:val="BodyText"/>
        <w:spacing w:line="396" w:lineRule="auto" w:before="72"/>
        <w:ind w:left="282" w:right="560"/>
        <w:jc w:val="both"/>
      </w:pPr>
      <w:r>
        <w:rPr/>
        <w:t>of</w:t>
      </w:r>
      <w:r>
        <w:rPr>
          <w:spacing w:val="-11"/>
        </w:rPr>
        <w:t> </w:t>
      </w:r>
      <w:r>
        <w:rPr/>
        <w:t>fees</w:t>
      </w:r>
      <w:r>
        <w:rPr>
          <w:spacing w:val="-11"/>
        </w:rPr>
        <w:t> </w:t>
      </w:r>
      <w:r>
        <w:rPr/>
        <w:t>and</w:t>
      </w:r>
      <w:r>
        <w:rPr>
          <w:spacing w:val="-11"/>
        </w:rPr>
        <w:t> </w:t>
      </w:r>
      <w:r>
        <w:rPr/>
        <w:t>inventory</w:t>
      </w:r>
      <w:r>
        <w:rPr>
          <w:spacing w:val="-11"/>
        </w:rPr>
        <w:t> </w:t>
      </w:r>
      <w:r>
        <w:rPr/>
        <w:t>risk.</w:t>
      </w:r>
      <w:r>
        <w:rPr>
          <w:spacing w:val="11"/>
        </w:rPr>
        <w:t> </w:t>
      </w:r>
      <w:r>
        <w:rPr/>
        <w:t>On</w:t>
      </w:r>
      <w:r>
        <w:rPr>
          <w:spacing w:val="-11"/>
        </w:rPr>
        <w:t> </w:t>
      </w:r>
      <w:r>
        <w:rPr/>
        <w:t>allowance</w:t>
      </w:r>
      <w:r>
        <w:rPr>
          <w:spacing w:val="-11"/>
        </w:rPr>
        <w:t> </w:t>
      </w:r>
      <w:r>
        <w:rPr/>
        <w:t>graphs,</w:t>
      </w:r>
      <w:r>
        <w:rPr>
          <w:spacing w:val="-10"/>
        </w:rPr>
        <w:t> </w:t>
      </w:r>
      <w:r>
        <w:rPr/>
        <w:t>the</w:t>
      </w:r>
      <w:r>
        <w:rPr>
          <w:spacing w:val="-11"/>
        </w:rPr>
        <w:t> </w:t>
      </w:r>
      <w:r>
        <w:rPr/>
        <w:t>attack</w:t>
      </w:r>
      <w:r>
        <w:rPr>
          <w:spacing w:val="-11"/>
        </w:rPr>
        <w:t> </w:t>
      </w:r>
      <w:r>
        <w:rPr/>
        <w:t>surface</w:t>
      </w:r>
      <w:r>
        <w:rPr>
          <w:spacing w:val="-11"/>
        </w:rPr>
        <w:t> </w:t>
      </w:r>
      <w:r>
        <w:rPr/>
        <w:t>differs</w:t>
      </w:r>
      <w:r>
        <w:rPr>
          <w:spacing w:val="-12"/>
        </w:rPr>
        <w:t> </w:t>
      </w:r>
      <w:r>
        <w:rPr/>
        <w:t>because</w:t>
      </w:r>
      <w:r>
        <w:rPr>
          <w:spacing w:val="-11"/>
        </w:rPr>
        <w:t> </w:t>
      </w:r>
      <w:r>
        <w:rPr/>
        <w:t>edges</w:t>
      </w:r>
      <w:r>
        <w:rPr>
          <w:spacing w:val="-11"/>
        </w:rPr>
        <w:t> </w:t>
      </w:r>
      <w:r>
        <w:rPr/>
        <w:t>represent authorization rather than completed transfers.</w:t>
      </w:r>
      <w:r>
        <w:rPr>
          <w:spacing w:val="40"/>
        </w:rPr>
        <w:t> </w:t>
      </w:r>
      <w:r>
        <w:rPr/>
        <w:t>This section formalizes a minimal cost model for </w:t>
      </w:r>
      <w:bookmarkStart w:name="Attack setup" w:id="229"/>
      <w:bookmarkEnd w:id="229"/>
      <w:r>
        <w:rPr/>
        <w:t>inflating</w:t>
      </w:r>
      <w:r>
        <w:rPr/>
        <w:t> EndorseRank via fabricated allowances.</w:t>
      </w:r>
    </w:p>
    <w:p>
      <w:pPr>
        <w:pStyle w:val="BodyText"/>
        <w:spacing w:line="396" w:lineRule="auto" w:before="72"/>
        <w:ind w:left="282" w:right="560"/>
        <w:jc w:val="both"/>
      </w:pPr>
      <w:r>
        <w:rPr>
          <w:i/>
        </w:rPr>
        <w:t>수수료 및 재고 위험. 허용량 그래프에서는 에지가 완료된 전송이 아닌 승인을 나타내기 때문에 공격 표면이 다릅니다. 이 섹션에서는 조작된 허용량을 통해 EndorseRank를 팽창시키는 최소 비용 모델을 공식화합니다.</w:t>
      </w:r>
    </w:p>
    <w:p>
      <w:pPr>
        <w:pStyle w:val="BodyText"/>
        <w:spacing w:before="8"/>
      </w:pPr>
    </w:p>
    <w:p>
      <w:pPr>
        <w:pStyle w:val="Heading4"/>
        <w:numPr>
          <w:ilvl w:val="2"/>
          <w:numId w:val="8"/>
        </w:numPr>
        <w:tabs>
          <w:tab w:pos="879" w:val="left" w:leader="none"/>
        </w:tabs>
        <w:spacing w:line="240" w:lineRule="auto" w:before="1" w:after="0"/>
        <w:ind w:left="879" w:right="0" w:hanging="597"/>
        <w:jc w:val="both"/>
      </w:pPr>
      <w:r>
        <w:rPr/>
        <w:t>Attack</w:t>
      </w:r>
      <w:r>
        <w:rPr>
          <w:spacing w:val="-13"/>
        </w:rPr>
        <w:t> </w:t>
      </w:r>
      <w:r>
        <w:rPr>
          <w:spacing w:val="-2"/>
        </w:rPr>
        <w:t>setup</w:t>
      </w:r>
    </w:p>
    <w:p>
      <w:pPr>
        <w:pStyle w:val="Heading4"/>
        <w:numPr>
          <w:ilvl w:val="2"/>
          <w:numId w:val="8"/>
        </w:numPr>
        <w:tabs>
          <w:tab w:pos="879" w:val="left" w:leader="none"/>
        </w:tabs>
        <w:spacing w:line="240" w:lineRule="auto" w:before="1" w:after="0"/>
        <w:ind w:left="879" w:right="0" w:hanging="597"/>
        <w:jc w:val="both"/>
      </w:pPr>
      <w:r>
        <w:rPr>
          <w:i/>
        </w:rPr>
        <w:t>공격 설정</w:t>
      </w:r>
    </w:p>
    <w:p>
      <w:pPr>
        <w:pStyle w:val="BodyText"/>
        <w:spacing w:line="456" w:lineRule="exact" w:before="181"/>
        <w:ind w:left="282" w:right="564"/>
        <w:jc w:val="both"/>
      </w:pPr>
      <w:r>
        <w:rPr>
          <w:w w:val="105"/>
        </w:rPr>
        <w:t>Let </w:t>
      </w:r>
      <w:r>
        <w:rPr>
          <w:rFonts w:ascii="Lucida Sans Unicode" w:hAnsi="Lucida Sans Unicode"/>
          <w:w w:val="105"/>
        </w:rPr>
        <w:t>A</w:t>
      </w:r>
      <w:r>
        <w:rPr>
          <w:rFonts w:ascii="Lucida Sans Unicode" w:hAnsi="Lucida Sans Unicode"/>
          <w:spacing w:val="-13"/>
          <w:w w:val="105"/>
        </w:rPr>
        <w:t> </w:t>
      </w:r>
      <w:r>
        <w:rPr>
          <w:w w:val="105"/>
        </w:rPr>
        <w:t>be the set of addresses controlled by an attacker and </w:t>
      </w:r>
      <w:r>
        <w:rPr>
          <w:rFonts w:ascii="Lucida Sans Unicode" w:hAnsi="Lucida Sans Unicode"/>
          <w:w w:val="105"/>
        </w:rPr>
        <w:t>H</w:t>
      </w:r>
      <w:r>
        <w:rPr>
          <w:rFonts w:ascii="Lucida Sans Unicode" w:hAnsi="Lucida Sans Unicode"/>
          <w:spacing w:val="-11"/>
          <w:w w:val="105"/>
        </w:rPr>
        <w:t> </w:t>
      </w:r>
      <w:r>
        <w:rPr>
          <w:w w:val="105"/>
        </w:rPr>
        <w:t>the set of honest wallets in the endorsement</w:t>
      </w:r>
      <w:r>
        <w:rPr>
          <w:spacing w:val="-1"/>
          <w:w w:val="105"/>
        </w:rPr>
        <w:t> </w:t>
      </w:r>
      <w:r>
        <w:rPr>
          <w:w w:val="105"/>
        </w:rPr>
        <w:t>graph </w:t>
      </w:r>
      <w:r>
        <w:rPr>
          <w:rFonts w:ascii="Calibri" w:hAnsi="Calibri"/>
          <w:i/>
          <w:w w:val="105"/>
        </w:rPr>
        <w:t>G</w:t>
      </w:r>
      <w:r>
        <w:rPr>
          <w:w w:val="105"/>
          <w:vertAlign w:val="subscript"/>
        </w:rPr>
        <w:t>approve</w:t>
      </w:r>
      <w:r>
        <w:rPr>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w:t>
      </w:r>
      <w:r>
        <w:rPr>
          <w:rFonts w:ascii="Calibri" w:hAnsi="Calibri"/>
          <w:i/>
          <w:w w:val="105"/>
          <w:vertAlign w:val="baseline"/>
        </w:rPr>
        <w:t>V,</w:t>
      </w:r>
      <w:r>
        <w:rPr>
          <w:rFonts w:ascii="Calibri" w:hAnsi="Calibri"/>
          <w:i/>
          <w:spacing w:val="-15"/>
          <w:w w:val="105"/>
          <w:vertAlign w:val="baseline"/>
        </w:rPr>
        <w:t> </w:t>
      </w:r>
      <w:r>
        <w:rPr>
          <w:rFonts w:ascii="Calibri" w:hAnsi="Calibri"/>
          <w:i/>
          <w:w w:val="105"/>
          <w:vertAlign w:val="baseline"/>
        </w:rPr>
        <w:t>E,</w:t>
      </w:r>
      <w:r>
        <w:rPr>
          <w:rFonts w:ascii="Calibri" w:hAnsi="Calibri"/>
          <w:i/>
          <w:spacing w:val="-14"/>
          <w:w w:val="105"/>
          <w:vertAlign w:val="baseline"/>
        </w:rPr>
        <w:t> </w:t>
      </w:r>
      <w:r>
        <w:rPr>
          <w:rFonts w:ascii="Calibri" w:hAnsi="Calibri"/>
          <w:i/>
          <w:w w:val="105"/>
          <w:vertAlign w:val="baseline"/>
        </w:rPr>
        <w:t>w</w:t>
      </w:r>
      <w:r>
        <w:rPr>
          <w:rFonts w:ascii="Calibri" w:hAnsi="Calibri"/>
          <w:w w:val="105"/>
          <w:vertAlign w:val="baseline"/>
        </w:rPr>
        <w:t>)</w:t>
      </w:r>
      <w:r>
        <w:rPr>
          <w:w w:val="105"/>
          <w:vertAlign w:val="baseline"/>
        </w:rPr>
        <w:t>.</w:t>
      </w:r>
      <w:r>
        <w:rPr>
          <w:spacing w:val="40"/>
          <w:w w:val="105"/>
          <w:vertAlign w:val="baseline"/>
        </w:rPr>
        <w:t> </w:t>
      </w:r>
      <w:r>
        <w:rPr>
          <w:w w:val="105"/>
          <w:vertAlign w:val="baseline"/>
        </w:rPr>
        <w:t>An edge </w:t>
      </w:r>
      <w:r>
        <w:rPr>
          <w:rFonts w:ascii="Calibri" w:hAnsi="Calibri"/>
          <w:w w:val="105"/>
          <w:vertAlign w:val="baseline"/>
        </w:rPr>
        <w:t>(</w:t>
      </w:r>
      <w:r>
        <w:rPr>
          <w:rFonts w:ascii="Calibri" w:hAnsi="Calibri"/>
          <w:i/>
          <w:w w:val="105"/>
          <w:vertAlign w:val="baseline"/>
        </w:rPr>
        <w:t>u,</w:t>
      </w:r>
      <w:r>
        <w:rPr>
          <w:rFonts w:ascii="Calibri" w:hAnsi="Calibri"/>
          <w:i/>
          <w:spacing w:val="-15"/>
          <w:w w:val="105"/>
          <w:vertAlign w:val="baseline"/>
        </w:rPr>
        <w:t> </w:t>
      </w:r>
      <w:r>
        <w:rPr>
          <w:rFonts w:ascii="Calibri" w:hAnsi="Calibri"/>
          <w:i/>
          <w:w w:val="105"/>
          <w:vertAlign w:val="baseline"/>
        </w:rPr>
        <w:t>v</w:t>
      </w:r>
      <w:r>
        <w:rPr>
          <w:rFonts w:ascii="Calibri" w:hAnsi="Calibri"/>
          <w:w w:val="105"/>
          <w:vertAlign w:val="baseline"/>
        </w:rPr>
        <w:t>)</w:t>
      </w:r>
      <w:r>
        <w:rPr>
          <w:rFonts w:ascii="Calibri" w:hAnsi="Calibri"/>
          <w:w w:val="105"/>
          <w:vertAlign w:val="baseline"/>
        </w:rPr>
        <w:t> </w:t>
      </w:r>
      <w:r>
        <w:rPr>
          <w:w w:val="105"/>
          <w:vertAlign w:val="baseline"/>
        </w:rPr>
        <w:t>with weight </w:t>
      </w:r>
      <w:r>
        <w:rPr>
          <w:rFonts w:ascii="Calibri" w:hAnsi="Calibri"/>
          <w:i/>
          <w:w w:val="105"/>
          <w:vertAlign w:val="baseline"/>
        </w:rPr>
        <w:t>w</w:t>
      </w:r>
      <w:r>
        <w:rPr>
          <w:rFonts w:ascii="Cambria" w:hAnsi="Cambria"/>
          <w:w w:val="105"/>
          <w:vertAlign w:val="subscript"/>
        </w:rPr>
        <w:t>uv</w:t>
      </w:r>
      <w:r>
        <w:rPr>
          <w:rFonts w:ascii="Cambria" w:hAnsi="Cambria"/>
          <w:spacing w:val="40"/>
          <w:w w:val="125"/>
          <w:vertAlign w:val="baseline"/>
        </w:rPr>
        <w:t> </w:t>
      </w:r>
      <w:r>
        <w:rPr>
          <w:rFonts w:ascii="Calibri" w:hAnsi="Calibri"/>
          <w:i/>
          <w:w w:val="125"/>
          <w:vertAlign w:val="baseline"/>
        </w:rPr>
        <w:t>&gt;</w:t>
      </w:r>
      <w:r>
        <w:rPr>
          <w:rFonts w:ascii="Calibri" w:hAnsi="Calibri"/>
          <w:i/>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denotes that </w:t>
      </w:r>
      <w:r>
        <w:rPr>
          <w:rFonts w:ascii="Calibri" w:hAnsi="Calibri"/>
          <w:i/>
          <w:w w:val="105"/>
          <w:vertAlign w:val="baseline"/>
        </w:rPr>
        <w:t>u </w:t>
      </w:r>
      <w:r>
        <w:rPr>
          <w:vertAlign w:val="baseline"/>
        </w:rPr>
        <w:t>currently</w:t>
      </w:r>
      <w:r>
        <w:rPr>
          <w:spacing w:val="-6"/>
          <w:vertAlign w:val="baseline"/>
        </w:rPr>
        <w:t> </w:t>
      </w:r>
      <w:r>
        <w:rPr>
          <w:vertAlign w:val="baseline"/>
        </w:rPr>
        <w:t>authorizes</w:t>
      </w:r>
      <w:r>
        <w:rPr>
          <w:spacing w:val="-5"/>
          <w:vertAlign w:val="baseline"/>
        </w:rPr>
        <w:t> </w:t>
      </w:r>
      <w:r>
        <w:rPr>
          <w:rFonts w:ascii="Calibri" w:hAnsi="Calibri"/>
          <w:i/>
          <w:vertAlign w:val="baseline"/>
        </w:rPr>
        <w:t>v </w:t>
      </w:r>
      <w:r>
        <w:rPr>
          <w:vertAlign w:val="baseline"/>
        </w:rPr>
        <w:t>to</w:t>
      </w:r>
      <w:r>
        <w:rPr>
          <w:spacing w:val="-6"/>
          <w:vertAlign w:val="baseline"/>
        </w:rPr>
        <w:t> </w:t>
      </w:r>
      <w:r>
        <w:rPr>
          <w:vertAlign w:val="baseline"/>
        </w:rPr>
        <w:t>spend</w:t>
      </w:r>
      <w:r>
        <w:rPr>
          <w:spacing w:val="-6"/>
          <w:vertAlign w:val="baseline"/>
        </w:rPr>
        <w:t> </w:t>
      </w:r>
      <w:r>
        <w:rPr>
          <w:vertAlign w:val="baseline"/>
        </w:rPr>
        <w:t>decimal-adjusted</w:t>
      </w:r>
      <w:r>
        <w:rPr>
          <w:spacing w:val="-6"/>
          <w:vertAlign w:val="baseline"/>
        </w:rPr>
        <w:t> </w:t>
      </w:r>
      <w:r>
        <w:rPr>
          <w:vertAlign w:val="baseline"/>
        </w:rPr>
        <w:t>token</w:t>
      </w:r>
      <w:r>
        <w:rPr>
          <w:spacing w:val="-6"/>
          <w:vertAlign w:val="baseline"/>
        </w:rPr>
        <w:t> </w:t>
      </w:r>
      <w:r>
        <w:rPr>
          <w:vertAlign w:val="baseline"/>
        </w:rPr>
        <w:t>units</w:t>
      </w:r>
      <w:r>
        <w:rPr>
          <w:spacing w:val="-6"/>
          <w:vertAlign w:val="baseline"/>
        </w:rPr>
        <w:t> </w:t>
      </w:r>
      <w:r>
        <w:rPr>
          <w:vertAlign w:val="baseline"/>
        </w:rPr>
        <w:t>totaling</w:t>
      </w:r>
      <w:r>
        <w:rPr>
          <w:spacing w:val="-5"/>
          <w:vertAlign w:val="baseline"/>
        </w:rPr>
        <w:t> </w:t>
      </w:r>
      <w:r>
        <w:rPr>
          <w:rFonts w:ascii="Calibri" w:hAnsi="Calibri"/>
          <w:i/>
          <w:vertAlign w:val="baseline"/>
        </w:rPr>
        <w:t>w</w:t>
      </w:r>
      <w:r>
        <w:rPr>
          <w:rFonts w:ascii="Cambria" w:hAnsi="Cambria"/>
          <w:vertAlign w:val="subscript"/>
        </w:rPr>
        <w:t>uv</w:t>
      </w:r>
      <w:r>
        <w:rPr>
          <w:vertAlign w:val="baseline"/>
        </w:rPr>
        <w:t>. EndorseRank</w:t>
      </w:r>
      <w:r>
        <w:rPr>
          <w:spacing w:val="-6"/>
          <w:vertAlign w:val="baseline"/>
        </w:rPr>
        <w:t> </w:t>
      </w:r>
      <w:r>
        <w:rPr>
          <w:vertAlign w:val="baseline"/>
        </w:rPr>
        <w:t>computes </w:t>
      </w:r>
      <w:r>
        <w:rPr>
          <w:w w:val="105"/>
          <w:vertAlign w:val="baseline"/>
        </w:rPr>
        <w:t>the</w:t>
      </w:r>
      <w:r>
        <w:rPr>
          <w:spacing w:val="-16"/>
          <w:w w:val="105"/>
          <w:vertAlign w:val="baseline"/>
        </w:rPr>
        <w:t> </w:t>
      </w:r>
      <w:r>
        <w:rPr>
          <w:w w:val="105"/>
          <w:vertAlign w:val="baseline"/>
        </w:rPr>
        <w:t>PageRank</w:t>
      </w:r>
      <w:r>
        <w:rPr>
          <w:spacing w:val="-12"/>
          <w:w w:val="105"/>
          <w:vertAlign w:val="baseline"/>
        </w:rPr>
        <w:t> </w:t>
      </w:r>
      <w:r>
        <w:rPr>
          <w:w w:val="105"/>
          <w:vertAlign w:val="baseline"/>
        </w:rPr>
        <w:t>vector</w:t>
      </w:r>
      <w:r>
        <w:rPr>
          <w:spacing w:val="-11"/>
          <w:w w:val="105"/>
          <w:vertAlign w:val="baseline"/>
        </w:rPr>
        <w:t> </w:t>
      </w:r>
      <w:r>
        <w:rPr>
          <w:b/>
          <w:w w:val="105"/>
          <w:vertAlign w:val="baseline"/>
        </w:rPr>
        <w:t>r</w:t>
      </w:r>
      <w:r>
        <w:rPr>
          <w:b/>
          <w:spacing w:val="-11"/>
          <w:w w:val="105"/>
          <w:vertAlign w:val="baseline"/>
        </w:rPr>
        <w:t> </w:t>
      </w:r>
      <w:r>
        <w:rPr>
          <w:w w:val="105"/>
          <w:vertAlign w:val="baseline"/>
        </w:rPr>
        <w:t>on</w:t>
      </w:r>
      <w:r>
        <w:rPr>
          <w:spacing w:val="-11"/>
          <w:w w:val="105"/>
          <w:vertAlign w:val="baseline"/>
        </w:rPr>
        <w:t> </w:t>
      </w:r>
      <w:r>
        <w:rPr>
          <w:rFonts w:ascii="Calibri" w:hAnsi="Calibri"/>
          <w:i/>
          <w:w w:val="105"/>
          <w:vertAlign w:val="baseline"/>
        </w:rPr>
        <w:t>G</w:t>
      </w:r>
      <w:r>
        <w:rPr>
          <w:w w:val="105"/>
          <w:vertAlign w:val="subscript"/>
        </w:rPr>
        <w:t>approve</w:t>
      </w:r>
      <w:r>
        <w:rPr>
          <w:spacing w:val="-2"/>
          <w:w w:val="105"/>
          <w:vertAlign w:val="baseline"/>
        </w:rPr>
        <w:t> </w:t>
      </w:r>
      <w:r>
        <w:rPr>
          <w:w w:val="105"/>
          <w:vertAlign w:val="baseline"/>
        </w:rPr>
        <w:t>with</w:t>
      </w:r>
      <w:r>
        <w:rPr>
          <w:spacing w:val="-11"/>
          <w:w w:val="105"/>
          <w:vertAlign w:val="baseline"/>
        </w:rPr>
        <w:t> </w:t>
      </w:r>
      <w:r>
        <w:rPr>
          <w:w w:val="105"/>
          <w:vertAlign w:val="baseline"/>
        </w:rPr>
        <w:t>damping</w:t>
      </w:r>
      <w:r>
        <w:rPr>
          <w:spacing w:val="-11"/>
          <w:w w:val="105"/>
          <w:vertAlign w:val="baseline"/>
        </w:rPr>
        <w:t> </w:t>
      </w:r>
      <w:r>
        <w:rPr>
          <w:rFonts w:ascii="Calibri" w:hAnsi="Calibri"/>
          <w:i/>
          <w:w w:val="105"/>
          <w:vertAlign w:val="baseline"/>
        </w:rPr>
        <w:t>d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18"/>
          <w:w w:val="105"/>
          <w:vertAlign w:val="baseline"/>
        </w:rPr>
        <w:t> </w:t>
      </w:r>
      <w:r>
        <w:rPr>
          <w:rFonts w:ascii="Calibri" w:hAnsi="Calibri"/>
          <w:w w:val="105"/>
          <w:vertAlign w:val="baseline"/>
        </w:rPr>
        <w:t>1)</w:t>
      </w:r>
      <w:r>
        <w:rPr>
          <w:rFonts w:ascii="Calibri" w:hAnsi="Calibri"/>
          <w:spacing w:val="-5"/>
          <w:w w:val="105"/>
          <w:vertAlign w:val="baseline"/>
        </w:rPr>
        <w:t> </w:t>
      </w:r>
      <w:hyperlink w:history="true" w:anchor="_bookmark173">
        <w:r>
          <w:rPr>
            <w:w w:val="105"/>
            <w:vertAlign w:val="superscript"/>
          </w:rPr>
          <w:t>[40]</w:t>
        </w:r>
      </w:hyperlink>
      <w:r>
        <w:rPr>
          <w:w w:val="105"/>
          <w:vertAlign w:val="superscript"/>
        </w:rPr>
        <w:t>,</w:t>
      </w:r>
      <w:hyperlink w:history="true" w:anchor="_bookmark182">
        <w:r>
          <w:rPr>
            <w:w w:val="105"/>
            <w:vertAlign w:val="superscript"/>
          </w:rPr>
          <w:t>[49]</w:t>
        </w:r>
      </w:hyperlink>
      <w:r>
        <w:rPr>
          <w:w w:val="105"/>
          <w:vertAlign w:val="baseline"/>
        </w:rPr>
        <w:t>:</w:t>
      </w:r>
    </w:p>
    <w:p>
      <w:pPr>
        <w:pStyle w:val="BodyText"/>
        <w:spacing w:line="456" w:lineRule="exact" w:before="181"/>
        <w:ind w:left="282" w:right="564"/>
        <w:jc w:val="both"/>
      </w:pPr>
      <w:r>
        <w:rPr>
          <w:i/>
        </w:rPr>
        <w:t>A는 공격자가 제어하는 ​​주소 집합이고 H는 보증 그래프 Gapprove = (V, E, w)에서 정직한 지갑 집합이라고 가정합니다. 가중치 wuv &gt; 0인 간선(u, v)은 u가 v에게 총 wuv를 계산하는 소수 조정 토큰 단위를 사용하도록 권한을 부여했음을 나타냅니다. EndorseRank는 감쇠 d ∈ (0, 1) [40],[49]를 사용하여 Gapprove에서 PageRank 벡터 r을 계산합니다.</w:t>
      </w:r>
    </w:p>
    <w:p>
      <w:pPr>
        <w:pStyle w:val="BodyText"/>
        <w:spacing w:before="46"/>
      </w:pPr>
    </w:p>
    <w:p>
      <w:pPr>
        <w:tabs>
          <w:tab w:pos="9196" w:val="left" w:leader="none"/>
        </w:tabs>
        <w:spacing w:line="406" w:lineRule="exact" w:before="0"/>
        <w:ind w:left="3928" w:right="0" w:firstLine="0"/>
        <w:jc w:val="left"/>
        <w:rPr>
          <w:sz w:val="24"/>
        </w:rPr>
      </w:pPr>
      <w:r>
        <w:rPr>
          <w:sz w:val="24"/>
        </w:rPr>
        <mc:AlternateContent>
          <mc:Choice Requires="wps">
            <w:drawing>
              <wp:anchor distT="0" distB="0" distL="0" distR="0" allowOverlap="1" layoutInCell="1" locked="0" behindDoc="1" simplePos="0" relativeHeight="484054528">
                <wp:simplePos x="0" y="0"/>
                <wp:positionH relativeFrom="page">
                  <wp:posOffset>3966248</wp:posOffset>
                </wp:positionH>
                <wp:positionV relativeFrom="paragraph">
                  <wp:posOffset>230813</wp:posOffset>
                </wp:positionV>
                <wp:extent cx="337185" cy="127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337185" cy="1270"/>
                        </a:xfrm>
                        <a:custGeom>
                          <a:avLst/>
                          <a:gdLst/>
                          <a:ahLst/>
                          <a:cxnLst/>
                          <a:rect l="l" t="t" r="r" b="b"/>
                          <a:pathLst>
                            <a:path w="337185" h="0">
                              <a:moveTo>
                                <a:pt x="0" y="0"/>
                              </a:moveTo>
                              <a:lnTo>
                                <a:pt x="337159"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61952" from="312.303009pt,18.174316pt" to="338.851009pt,18.174316pt" stroked="true" strokeweight=".4782pt" strokecolor="#000000">
                <v:stroke dashstyle="solid"/>
                <w10:wrap type="none"/>
              </v:line>
            </w:pict>
          </mc:Fallback>
        </mc:AlternateContent>
      </w:r>
      <w:r>
        <w:rPr>
          <w:b/>
          <w:sz w:val="24"/>
        </w:rPr>
        <w:t>r</w:t>
      </w:r>
      <w:r>
        <w:rPr>
          <w:b/>
          <w:spacing w:val="-1"/>
          <w:w w:val="125"/>
          <w:sz w:val="24"/>
        </w:rPr>
        <w:t> </w:t>
      </w:r>
      <w:r>
        <w:rPr>
          <w:rFonts w:ascii="Calibri" w:hAnsi="Calibri"/>
          <w:w w:val="125"/>
          <w:sz w:val="24"/>
        </w:rPr>
        <w:t>=</w:t>
      </w:r>
      <w:r>
        <w:rPr>
          <w:rFonts w:ascii="Calibri" w:hAnsi="Calibri"/>
          <w:spacing w:val="6"/>
          <w:w w:val="125"/>
          <w:sz w:val="24"/>
        </w:rPr>
        <w:t> </w:t>
      </w:r>
      <w:r>
        <w:rPr>
          <w:rFonts w:ascii="Calibri" w:hAnsi="Calibri"/>
          <w:i/>
          <w:sz w:val="24"/>
        </w:rPr>
        <w:t>d</w:t>
      </w:r>
      <w:r>
        <w:rPr>
          <w:rFonts w:ascii="Calibri" w:hAnsi="Calibri"/>
          <w:i/>
          <w:spacing w:val="-10"/>
          <w:sz w:val="24"/>
        </w:rPr>
        <w:t> </w:t>
      </w:r>
      <w:r>
        <w:rPr>
          <w:rFonts w:ascii="Calibri" w:hAnsi="Calibri"/>
          <w:i/>
          <w:sz w:val="24"/>
        </w:rPr>
        <w:t>P</w:t>
      </w:r>
      <w:r>
        <w:rPr>
          <w:rFonts w:ascii="Calibri" w:hAnsi="Calibri"/>
          <w:i/>
          <w:spacing w:val="-18"/>
          <w:sz w:val="24"/>
        </w:rPr>
        <w:t> </w:t>
      </w:r>
      <w:r>
        <w:rPr>
          <w:rFonts w:ascii="Cambria" w:hAnsi="Cambria"/>
          <w:sz w:val="24"/>
          <w:vertAlign w:val="superscript"/>
        </w:rPr>
        <w:t>⊤</w:t>
      </w:r>
      <w:r>
        <w:rPr>
          <w:b/>
          <w:sz w:val="24"/>
          <w:vertAlign w:val="baseline"/>
        </w:rPr>
        <w:t>r</w:t>
      </w:r>
      <w:r>
        <w:rPr>
          <w:b/>
          <w:spacing w:val="-15"/>
          <w:w w:val="125"/>
          <w:sz w:val="24"/>
          <w:vertAlign w:val="baseline"/>
        </w:rPr>
        <w:t> </w:t>
      </w:r>
      <w:r>
        <w:rPr>
          <w:rFonts w:ascii="Calibri" w:hAnsi="Calibri"/>
          <w:w w:val="125"/>
          <w:sz w:val="24"/>
          <w:vertAlign w:val="baseline"/>
        </w:rPr>
        <w:t>+</w:t>
      </w:r>
      <w:r>
        <w:rPr>
          <w:rFonts w:ascii="Calibri" w:hAnsi="Calibri"/>
          <w:spacing w:val="18"/>
          <w:w w:val="125"/>
          <w:sz w:val="24"/>
          <w:vertAlign w:val="baseline"/>
        </w:rPr>
        <w:t> </w:t>
      </w:r>
      <w:r>
        <w:rPr>
          <w:rFonts w:ascii="Calibri" w:hAnsi="Calibri"/>
          <w:position w:val="16"/>
          <w:sz w:val="24"/>
          <w:vertAlign w:val="baseline"/>
        </w:rPr>
        <w:t>1</w:t>
      </w:r>
      <w:r>
        <w:rPr>
          <w:rFonts w:ascii="Calibri" w:hAnsi="Calibri"/>
          <w:spacing w:val="6"/>
          <w:position w:val="16"/>
          <w:sz w:val="24"/>
          <w:vertAlign w:val="baseline"/>
        </w:rPr>
        <w:t> </w:t>
      </w:r>
      <w:r>
        <w:rPr>
          <w:rFonts w:ascii="Lucida Sans Unicode" w:hAnsi="Lucida Sans Unicode"/>
          <w:position w:val="16"/>
          <w:sz w:val="24"/>
          <w:vertAlign w:val="baseline"/>
        </w:rPr>
        <w:t>—</w:t>
      </w:r>
      <w:r>
        <w:rPr>
          <w:rFonts w:ascii="Lucida Sans Unicode" w:hAnsi="Lucida Sans Unicode"/>
          <w:spacing w:val="-17"/>
          <w:position w:val="16"/>
          <w:sz w:val="24"/>
          <w:vertAlign w:val="baseline"/>
        </w:rPr>
        <w:t> </w:t>
      </w:r>
      <w:r>
        <w:rPr>
          <w:rFonts w:ascii="Calibri" w:hAnsi="Calibri"/>
          <w:i/>
          <w:position w:val="16"/>
          <w:sz w:val="24"/>
          <w:vertAlign w:val="baseline"/>
        </w:rPr>
        <w:t>d</w:t>
      </w:r>
      <w:r>
        <w:rPr>
          <w:rFonts w:ascii="Calibri" w:hAnsi="Calibri"/>
          <w:i/>
          <w:spacing w:val="-28"/>
          <w:position w:val="16"/>
          <w:sz w:val="24"/>
          <w:vertAlign w:val="baseline"/>
        </w:rPr>
        <w:t> </w:t>
      </w:r>
      <w:r>
        <w:rPr>
          <w:b/>
          <w:spacing w:val="-5"/>
          <w:sz w:val="24"/>
          <w:vertAlign w:val="baseline"/>
        </w:rPr>
        <w:t>1</w:t>
      </w:r>
      <w:r>
        <w:rPr>
          <w:rFonts w:ascii="Calibri" w:hAnsi="Calibri"/>
          <w:i/>
          <w:spacing w:val="-5"/>
          <w:sz w:val="24"/>
          <w:vertAlign w:val="baseline"/>
        </w:rPr>
        <w:t>,</w:t>
      </w:r>
      <w:r>
        <w:rPr>
          <w:rFonts w:ascii="Calibri" w:hAnsi="Calibri"/>
          <w:i/>
          <w:sz w:val="24"/>
          <w:vertAlign w:val="baseline"/>
        </w:rPr>
        <w:tab/>
      </w:r>
      <w:r>
        <w:rPr>
          <w:spacing w:val="-2"/>
          <w:sz w:val="24"/>
          <w:vertAlign w:val="baseline"/>
        </w:rPr>
        <w:t>(5.1)</w:t>
      </w:r>
    </w:p>
    <w:p>
      <w:pPr>
        <w:spacing w:line="287" w:lineRule="exact" w:before="0"/>
        <w:ind w:left="1719" w:right="886" w:firstLine="0"/>
        <w:jc w:val="center"/>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10"/>
          <w:w w:val="95"/>
          <w:sz w:val="24"/>
        </w:rPr>
        <w:t>|</w:t>
      </w:r>
    </w:p>
    <w:p>
      <w:pPr>
        <w:pStyle w:val="BodyText"/>
        <w:spacing w:line="376" w:lineRule="auto" w:before="336"/>
        <w:ind w:left="282" w:hanging="9"/>
      </w:pPr>
      <w:r>
        <w:rPr/>
        <w:t>where</w:t>
      </w:r>
      <w:r>
        <w:rPr>
          <w:spacing w:val="-7"/>
        </w:rPr>
        <w:t> </w:t>
      </w:r>
      <w:r>
        <w:rPr>
          <w:rFonts w:ascii="Calibri"/>
          <w:i/>
        </w:rPr>
        <w:t>P</w:t>
      </w:r>
      <w:r>
        <w:rPr>
          <w:rFonts w:ascii="Calibri"/>
          <w:i/>
          <w:spacing w:val="30"/>
        </w:rPr>
        <w:t> </w:t>
      </w:r>
      <w:r>
        <w:rPr/>
        <w:t>is</w:t>
      </w:r>
      <w:r>
        <w:rPr>
          <w:spacing w:val="-7"/>
        </w:rPr>
        <w:t> </w:t>
      </w:r>
      <w:r>
        <w:rPr/>
        <w:t>the</w:t>
      </w:r>
      <w:r>
        <w:rPr>
          <w:spacing w:val="-7"/>
        </w:rPr>
        <w:t> </w:t>
      </w:r>
      <w:r>
        <w:rPr/>
        <w:t>row-stochastic</w:t>
      </w:r>
      <w:r>
        <w:rPr>
          <w:spacing w:val="-7"/>
        </w:rPr>
        <w:t> </w:t>
      </w:r>
      <w:r>
        <w:rPr/>
        <w:t>matrix</w:t>
      </w:r>
      <w:r>
        <w:rPr>
          <w:spacing w:val="-7"/>
        </w:rPr>
        <w:t> </w:t>
      </w:r>
      <w:r>
        <w:rPr/>
        <w:t>obtained</w:t>
      </w:r>
      <w:r>
        <w:rPr>
          <w:spacing w:val="-7"/>
        </w:rPr>
        <w:t> </w:t>
      </w:r>
      <w:r>
        <w:rPr/>
        <w:t>by</w:t>
      </w:r>
      <w:r>
        <w:rPr>
          <w:spacing w:val="-7"/>
        </w:rPr>
        <w:t> </w:t>
      </w:r>
      <w:r>
        <w:rPr/>
        <w:t>normalizing</w:t>
      </w:r>
      <w:r>
        <w:rPr>
          <w:spacing w:val="-7"/>
        </w:rPr>
        <w:t> </w:t>
      </w:r>
      <w:r>
        <w:rPr/>
        <w:t>outgoing</w:t>
      </w:r>
      <w:r>
        <w:rPr>
          <w:spacing w:val="-7"/>
        </w:rPr>
        <w:t> </w:t>
      </w:r>
      <w:r>
        <w:rPr/>
        <w:t>allowance</w:t>
      </w:r>
      <w:r>
        <w:rPr>
          <w:spacing w:val="-7"/>
        </w:rPr>
        <w:t> </w:t>
      </w:r>
      <w:r>
        <w:rPr/>
        <w:t>weights</w:t>
      </w:r>
      <w:r>
        <w:rPr>
          <w:spacing w:val="-7"/>
        </w:rPr>
        <w:t> </w:t>
      </w:r>
      <w:r>
        <w:rPr/>
        <w:t>(with</w:t>
      </w:r>
      <w:r>
        <w:rPr>
          <w:spacing w:val="-7"/>
        </w:rPr>
        <w:t> </w:t>
      </w:r>
      <w:r>
        <w:rPr/>
        <w:t>a standard handling of dangling nodes).</w:t>
      </w:r>
    </w:p>
    <w:p>
      <w:pPr>
        <w:pStyle w:val="BodyText"/>
        <w:spacing w:line="376" w:lineRule="auto" w:before="336"/>
        <w:ind w:left="282" w:hanging="9"/>
      </w:pPr>
      <w:r>
        <w:rPr>
          <w:i/>
        </w:rPr>
        <w:t>여기서 P는 나가는 허용 가중치를 정규화하여 얻은 행 확률적 행렬입니다(매달린 노드의 표준 처리 사용).</w:t>
      </w:r>
    </w:p>
    <w:p>
      <w:pPr>
        <w:pStyle w:val="BodyText"/>
        <w:spacing w:line="368" w:lineRule="exact"/>
        <w:ind w:left="274"/>
      </w:pPr>
      <w:r>
        <w:rPr/>
        <w:t>The</w:t>
      </w:r>
      <w:r>
        <w:rPr>
          <w:spacing w:val="-5"/>
        </w:rPr>
        <w:t> </w:t>
      </w:r>
      <w:r>
        <w:rPr/>
        <w:t>attacker</w:t>
      </w:r>
      <w:r>
        <w:rPr>
          <w:spacing w:val="-5"/>
        </w:rPr>
        <w:t> </w:t>
      </w:r>
      <w:r>
        <w:rPr/>
        <w:t>seeks</w:t>
      </w:r>
      <w:r>
        <w:rPr>
          <w:spacing w:val="-5"/>
        </w:rPr>
        <w:t> </w:t>
      </w:r>
      <w:r>
        <w:rPr/>
        <w:t>to</w:t>
      </w:r>
      <w:r>
        <w:rPr>
          <w:spacing w:val="-5"/>
        </w:rPr>
        <w:t> </w:t>
      </w:r>
      <w:r>
        <w:rPr/>
        <w:t>maximize</w:t>
      </w:r>
      <w:r>
        <w:rPr>
          <w:spacing w:val="-5"/>
        </w:rPr>
        <w:t> </w:t>
      </w:r>
      <w:r>
        <w:rPr/>
        <w:t>the</w:t>
      </w:r>
      <w:r>
        <w:rPr>
          <w:spacing w:val="-5"/>
        </w:rPr>
        <w:t> </w:t>
      </w:r>
      <w:r>
        <w:rPr/>
        <w:t>mean</w:t>
      </w:r>
      <w:r>
        <w:rPr>
          <w:spacing w:val="-5"/>
        </w:rPr>
        <w:t> </w:t>
      </w:r>
      <w:r>
        <w:rPr/>
        <w:t>EndorseRank</w:t>
      </w:r>
      <w:r>
        <w:rPr>
          <w:spacing w:val="-5"/>
        </w:rPr>
        <w:t> </w:t>
      </w:r>
      <w:r>
        <w:rPr/>
        <w:t>of</w:t>
      </w:r>
      <w:r>
        <w:rPr>
          <w:spacing w:val="-5"/>
        </w:rPr>
        <w:t> </w:t>
      </w:r>
      <w:r>
        <w:rPr/>
        <w:t>a</w:t>
      </w:r>
      <w:r>
        <w:rPr>
          <w:spacing w:val="-5"/>
        </w:rPr>
        <w:t> </w:t>
      </w:r>
      <w:r>
        <w:rPr/>
        <w:t>target</w:t>
      </w:r>
      <w:r>
        <w:rPr>
          <w:spacing w:val="-5"/>
        </w:rPr>
        <w:t> </w:t>
      </w:r>
      <w:r>
        <w:rPr/>
        <w:t>subset</w:t>
      </w:r>
      <w:r>
        <w:rPr>
          <w:spacing w:val="-5"/>
        </w:rPr>
        <w:t> </w:t>
      </w:r>
      <w:r>
        <w:rPr>
          <w:rFonts w:ascii="Calibri" w:hAnsi="Calibri"/>
          <w:i/>
        </w:rPr>
        <w:t>T</w:t>
      </w:r>
      <w:r>
        <w:rPr>
          <w:rFonts w:ascii="Calibri" w:hAnsi="Calibri"/>
          <w:i/>
          <w:spacing w:val="38"/>
        </w:rPr>
        <w:t> </w:t>
      </w:r>
      <w:r>
        <w:rPr>
          <w:rFonts w:ascii="Lucida Sans Unicode" w:hAnsi="Lucida Sans Unicode"/>
        </w:rPr>
        <w:t>⊆</w:t>
      </w:r>
      <w:r>
        <w:rPr>
          <w:rFonts w:ascii="Lucida Sans Unicode" w:hAnsi="Lucida Sans Unicode"/>
          <w:spacing w:val="-15"/>
        </w:rPr>
        <w:t> </w:t>
      </w:r>
      <w:r>
        <w:rPr>
          <w:rFonts w:ascii="Lucida Sans Unicode" w:hAnsi="Lucida Sans Unicode"/>
          <w:spacing w:val="-5"/>
        </w:rPr>
        <w:t>A</w:t>
      </w:r>
      <w:r>
        <w:rPr>
          <w:spacing w:val="-5"/>
        </w:rPr>
        <w:t>,</w:t>
      </w:r>
    </w:p>
    <w:p>
      <w:pPr>
        <w:pStyle w:val="BodyText"/>
        <w:spacing w:line="368" w:lineRule="exact"/>
        <w:ind w:left="274"/>
      </w:pPr>
      <w:r>
        <w:rPr>
          <w:i/>
        </w:rPr>
        <w:t>공격자는 목표 하위 집합 T ⊆ A의 평균 EndorseRank를 최대화하려고 합니다.</w:t>
      </w:r>
    </w:p>
    <w:p>
      <w:pPr>
        <w:tabs>
          <w:tab w:pos="9196" w:val="left" w:leader="none"/>
        </w:tabs>
        <w:spacing w:before="275"/>
        <w:ind w:left="4044" w:right="0" w:firstLine="0"/>
        <w:jc w:val="left"/>
        <w:rPr>
          <w:sz w:val="24"/>
        </w:rPr>
      </w:pPr>
      <w:r>
        <w:rPr>
          <w:sz w:val="24"/>
        </w:rPr>
        <mc:AlternateContent>
          <mc:Choice Requires="wps">
            <w:drawing>
              <wp:anchor distT="0" distB="0" distL="0" distR="0" allowOverlap="1" layoutInCell="1" locked="0" behindDoc="1" simplePos="0" relativeHeight="484055040">
                <wp:simplePos x="0" y="0"/>
                <wp:positionH relativeFrom="page">
                  <wp:posOffset>3733165</wp:posOffset>
                </wp:positionH>
                <wp:positionV relativeFrom="paragraph">
                  <wp:posOffset>449787</wp:posOffset>
                </wp:positionV>
                <wp:extent cx="192405" cy="15557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192405" cy="155575"/>
                        </a:xfrm>
                        <a:prstGeom prst="rect">
                          <a:avLst/>
                        </a:prstGeom>
                      </wps:spPr>
                      <wps:txbx>
                        <w:txbxContent>
                          <w:p>
                            <w:pPr>
                              <w:spacing w:line="244" w:lineRule="exact" w:before="0"/>
                              <w:ind w:left="0" w:right="0" w:firstLine="0"/>
                              <w:jc w:val="left"/>
                              <w:rPr>
                                <w:rFonts w:ascii="Lucida Sans Unicode"/>
                                <w:sz w:val="24"/>
                              </w:rPr>
                            </w:pPr>
                            <w:r>
                              <w:rPr>
                                <w:rFonts w:ascii="Lucida Sans Unicode"/>
                                <w:w w:val="95"/>
                                <w:sz w:val="24"/>
                              </w:rPr>
                              <w:t>|</w:t>
                            </w:r>
                            <w:r>
                              <w:rPr>
                                <w:rFonts w:ascii="Calibri"/>
                                <w:i/>
                                <w:w w:val="95"/>
                                <w:sz w:val="24"/>
                              </w:rPr>
                              <w:t>T</w:t>
                            </w:r>
                            <w:r>
                              <w:rPr>
                                <w:rFonts w:ascii="Calibri"/>
                                <w:i/>
                                <w:spacing w:val="-14"/>
                                <w:w w:val="95"/>
                                <w:sz w:val="24"/>
                              </w:rPr>
                              <w:t> </w:t>
                            </w:r>
                            <w:r>
                              <w:rPr>
                                <w:rFonts w:ascii="Lucida Sans Unicode"/>
                                <w:spacing w:val="-28"/>
                                <w:w w:val="95"/>
                                <w:sz w:val="24"/>
                              </w:rPr>
                              <w:t>|</w:t>
                            </w:r>
                          </w:p>
                        </w:txbxContent>
                      </wps:txbx>
                      <wps:bodyPr wrap="square" lIns="0" tIns="0" rIns="0" bIns="0" rtlCol="0">
                        <a:noAutofit/>
                      </wps:bodyPr>
                    </wps:wsp>
                  </a:graphicData>
                </a:graphic>
              </wp:anchor>
            </w:drawing>
          </mc:Choice>
          <mc:Fallback>
            <w:pict>
              <v:shape style="position:absolute;margin-left:293.950012pt;margin-top:35.416374pt;width:15.15pt;height:12.25pt;mso-position-horizontal-relative:page;mso-position-vertical-relative:paragraph;z-index:-19261440" type="#_x0000_t202" id="docshape550" filled="false" stroked="false">
                <v:textbox inset="0,0,0,0">
                  <w:txbxContent>
                    <w:p>
                      <w:pPr>
                        <w:spacing w:line="244" w:lineRule="exact" w:before="0"/>
                        <w:ind w:left="0" w:right="0" w:firstLine="0"/>
                        <w:jc w:val="left"/>
                        <w:rPr>
                          <w:rFonts w:ascii="Lucida Sans Unicode"/>
                          <w:sz w:val="24"/>
                        </w:rPr>
                      </w:pPr>
                      <w:r>
                        <w:rPr>
                          <w:rFonts w:ascii="Lucida Sans Unicode"/>
                          <w:w w:val="95"/>
                          <w:sz w:val="24"/>
                        </w:rPr>
                        <w:t>|</w:t>
                      </w:r>
                      <w:r>
                        <w:rPr>
                          <w:rFonts w:ascii="Calibri"/>
                          <w:i/>
                          <w:w w:val="95"/>
                          <w:sz w:val="24"/>
                        </w:rPr>
                        <w:t>T</w:t>
                      </w:r>
                      <w:r>
                        <w:rPr>
                          <w:rFonts w:ascii="Calibri"/>
                          <w:i/>
                          <w:spacing w:val="-14"/>
                          <w:w w:val="95"/>
                          <w:sz w:val="24"/>
                        </w:rPr>
                        <w:t> </w:t>
                      </w:r>
                      <w:r>
                        <w:rPr>
                          <w:rFonts w:ascii="Lucida Sans Unicode"/>
                          <w:spacing w:val="-28"/>
                          <w:w w:val="9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5552">
                <wp:simplePos x="0" y="0"/>
                <wp:positionH relativeFrom="page">
                  <wp:posOffset>4277398</wp:posOffset>
                </wp:positionH>
                <wp:positionV relativeFrom="paragraph">
                  <wp:posOffset>409717</wp:posOffset>
                </wp:positionV>
                <wp:extent cx="36830" cy="10160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36.803009pt;margin-top:32.261215pt;width:2.9pt;height:8pt;mso-position-horizontal-relative:page;mso-position-vertical-relative:paragraph;z-index:-19260928" type="#_x0000_t202" id="docshape551"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rFonts w:ascii="Calibri" w:hAnsi="Calibri"/>
          <w:i/>
          <w:w w:val="135"/>
          <w:sz w:val="24"/>
        </w:rPr>
        <w:t>J</w:t>
      </w:r>
      <w:r>
        <w:rPr>
          <w:rFonts w:ascii="Calibri" w:hAnsi="Calibri"/>
          <w:w w:val="135"/>
          <w:sz w:val="24"/>
        </w:rPr>
        <w:t>(</w:t>
      </w:r>
      <w:r>
        <w:rPr>
          <w:rFonts w:ascii="Calibri" w:hAnsi="Calibri"/>
          <w:i/>
          <w:w w:val="135"/>
          <w:sz w:val="24"/>
        </w:rPr>
        <w:t>T</w:t>
      </w:r>
      <w:r>
        <w:rPr>
          <w:rFonts w:ascii="Calibri" w:hAnsi="Calibri"/>
          <w:i/>
          <w:spacing w:val="-39"/>
          <w:w w:val="135"/>
          <w:sz w:val="24"/>
        </w:rPr>
        <w:t> </w:t>
      </w:r>
      <w:r>
        <w:rPr>
          <w:rFonts w:ascii="Calibri" w:hAnsi="Calibri"/>
          <w:w w:val="135"/>
          <w:sz w:val="24"/>
        </w:rPr>
        <w:t>)</w:t>
      </w:r>
      <w:r>
        <w:rPr>
          <w:rFonts w:ascii="Calibri" w:hAnsi="Calibri"/>
          <w:spacing w:val="-3"/>
          <w:w w:val="135"/>
          <w:sz w:val="24"/>
        </w:rPr>
        <w:t> </w:t>
      </w:r>
      <w:r>
        <w:rPr>
          <w:rFonts w:ascii="Calibri" w:hAnsi="Calibri"/>
          <w:w w:val="135"/>
          <w:sz w:val="24"/>
        </w:rPr>
        <w:t>=</w:t>
      </w:r>
      <w:r>
        <w:rPr>
          <w:rFonts w:ascii="Calibri" w:hAnsi="Calibri"/>
          <w:spacing w:val="23"/>
          <w:w w:val="135"/>
          <w:sz w:val="24"/>
        </w:rPr>
        <w:t> </w:t>
      </w:r>
      <w:r>
        <w:rPr>
          <w:rFonts w:ascii="Calibri" w:hAnsi="Calibri"/>
          <w:spacing w:val="18"/>
          <w:w w:val="135"/>
          <w:position w:val="16"/>
          <w:sz w:val="24"/>
          <w:u w:val="single"/>
        </w:rPr>
        <w:t> </w:t>
      </w:r>
      <w:r>
        <w:rPr>
          <w:rFonts w:ascii="Calibri" w:hAnsi="Calibri"/>
          <w:w w:val="110"/>
          <w:position w:val="16"/>
          <w:sz w:val="24"/>
          <w:u w:val="single"/>
        </w:rPr>
        <w:t>1</w:t>
      </w:r>
      <w:r>
        <w:rPr>
          <w:rFonts w:ascii="Calibri" w:hAnsi="Calibri"/>
          <w:spacing w:val="39"/>
          <w:w w:val="110"/>
          <w:position w:val="16"/>
          <w:sz w:val="24"/>
          <w:u w:val="single"/>
        </w:rPr>
        <w:t> </w:t>
      </w:r>
      <w:r>
        <w:rPr>
          <w:rFonts w:ascii="Calibri" w:hAnsi="Calibri"/>
          <w:spacing w:val="8"/>
          <w:w w:val="110"/>
          <w:position w:val="16"/>
          <w:sz w:val="24"/>
        </w:rPr>
        <w:t> </w:t>
      </w:r>
      <w:r>
        <w:rPr>
          <w:w w:val="225"/>
          <w:position w:val="23"/>
          <w:sz w:val="24"/>
        </w:rPr>
        <w:t>Σ</w:t>
      </w:r>
      <w:r>
        <w:rPr>
          <w:spacing w:val="-93"/>
          <w:w w:val="225"/>
          <w:position w:val="23"/>
          <w:sz w:val="24"/>
        </w:rPr>
        <w:t> </w:t>
      </w:r>
      <w:r>
        <w:rPr>
          <w:rFonts w:ascii="Calibri" w:hAnsi="Calibri"/>
          <w:i/>
          <w:w w:val="135"/>
          <w:sz w:val="24"/>
        </w:rPr>
        <w:t>r</w:t>
      </w:r>
      <w:r>
        <w:rPr>
          <w:rFonts w:ascii="Calibri" w:hAnsi="Calibri"/>
          <w:i/>
          <w:spacing w:val="-1"/>
          <w:w w:val="135"/>
          <w:sz w:val="24"/>
        </w:rPr>
        <w:t> </w:t>
      </w:r>
      <w:r>
        <w:rPr>
          <w:rFonts w:ascii="Calibri" w:hAnsi="Calibri"/>
          <w:i/>
          <w:spacing w:val="-10"/>
          <w:w w:val="110"/>
          <w:sz w:val="24"/>
        </w:rPr>
        <w:t>,</w:t>
      </w:r>
      <w:r>
        <w:rPr>
          <w:rFonts w:ascii="Calibri" w:hAnsi="Calibri"/>
          <w:i/>
          <w:sz w:val="24"/>
        </w:rPr>
        <w:tab/>
      </w:r>
      <w:r>
        <w:rPr>
          <w:spacing w:val="-2"/>
          <w:w w:val="110"/>
          <w:sz w:val="24"/>
        </w:rPr>
        <w:t>(5.2)</w:t>
      </w:r>
    </w:p>
    <w:p>
      <w:pPr>
        <w:tabs>
          <w:tab w:pos="9196" w:val="left" w:leader="none"/>
        </w:tabs>
        <w:spacing w:before="275"/>
        <w:ind w:left="4044" w:right="0" w:firstLine="0"/>
        <w:jc w:val="left"/>
        <w:rPr>
          <w:sz w:val="24"/>
        </w:rPr>
      </w:pPr>
      <w:r>
        <w:rPr>
          <w:i/>
        </w:rPr>
        <w:t>J(T) = 1 Σ r ,</w:t>
        <w:tab/>
        <w:t>(5.2)</w:t>
      </w:r>
    </w:p>
    <w:p>
      <w:pPr>
        <w:pStyle w:val="BodyText"/>
        <w:spacing w:before="8"/>
        <w:rPr>
          <w:sz w:val="5"/>
        </w:rPr>
      </w:pPr>
      <w:r>
        <w:rPr>
          <w:sz w:val="5"/>
        </w:rPr>
        <mc:AlternateContent>
          <mc:Choice Requires="wps">
            <w:drawing>
              <wp:anchor distT="0" distB="0" distL="0" distR="0" allowOverlap="1" layoutInCell="1" locked="0" behindDoc="1" simplePos="0" relativeHeight="487646720">
                <wp:simplePos x="0" y="0"/>
                <wp:positionH relativeFrom="page">
                  <wp:posOffset>3982504</wp:posOffset>
                </wp:positionH>
                <wp:positionV relativeFrom="paragraph">
                  <wp:posOffset>57046</wp:posOffset>
                </wp:positionV>
                <wp:extent cx="171450" cy="105410"/>
                <wp:effectExtent l="0" t="0" r="0" b="0"/>
                <wp:wrapTopAndBottom/>
                <wp:docPr id="861" name="Textbox 861"/>
                <wp:cNvGraphicFramePr>
                  <a:graphicFrameLocks/>
                </wp:cNvGraphicFramePr>
                <a:graphic>
                  <a:graphicData uri="http://schemas.microsoft.com/office/word/2010/wordprocessingShape">
                    <wps:wsp>
                      <wps:cNvPr id="861" name="Textbox 861"/>
                      <wps:cNvSpPr txBox="1"/>
                      <wps:spPr>
                        <a:xfrm>
                          <a:off x="0" y="0"/>
                          <a:ext cx="17145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10"/>
                                <w:sz w:val="16"/>
                              </w:rPr>
                              <w:t>i∈T</w:t>
                            </w:r>
                          </w:p>
                        </w:txbxContent>
                      </wps:txbx>
                      <wps:bodyPr wrap="square" lIns="0" tIns="0" rIns="0" bIns="0" rtlCol="0">
                        <a:noAutofit/>
                      </wps:bodyPr>
                    </wps:wsp>
                  </a:graphicData>
                </a:graphic>
              </wp:anchor>
            </w:drawing>
          </mc:Choice>
          <mc:Fallback>
            <w:pict>
              <v:shape style="position:absolute;margin-left:313.583008pt;margin-top:4.491823pt;width:13.5pt;height:8.3pt;mso-position-horizontal-relative:page;mso-position-vertical-relative:paragraph;z-index:-15669760;mso-wrap-distance-left:0;mso-wrap-distance-right:0" type="#_x0000_t202" id="docshape552"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10"/>
                          <w:sz w:val="16"/>
                        </w:rPr>
                        <w:t>i∈T</w:t>
                      </w:r>
                    </w:p>
                  </w:txbxContent>
                </v:textbox>
                <w10:wrap type="topAndBottom"/>
              </v:shape>
            </w:pict>
          </mc:Fallback>
        </mc:AlternateContent>
      </w:r>
    </w:p>
    <w:p>
      <w:pPr>
        <w:pStyle w:val="BodyText"/>
        <w:spacing w:before="57"/>
      </w:pPr>
    </w:p>
    <w:p>
      <w:pPr>
        <w:pStyle w:val="BodyText"/>
        <w:spacing w:before="1"/>
        <w:ind w:left="282"/>
      </w:pPr>
      <w:bookmarkStart w:name="Cost components" w:id="230"/>
      <w:bookmarkEnd w:id="230"/>
      <w:r>
        <w:rPr/>
      </w:r>
      <w:r>
        <w:rPr/>
        <w:t>subject</w:t>
      </w:r>
      <w:r>
        <w:rPr>
          <w:spacing w:val="-6"/>
        </w:rPr>
        <w:t> </w:t>
      </w:r>
      <w:r>
        <w:rPr/>
        <w:t>to</w:t>
      </w:r>
      <w:r>
        <w:rPr>
          <w:spacing w:val="-5"/>
        </w:rPr>
        <w:t> </w:t>
      </w:r>
      <w:r>
        <w:rPr/>
        <w:t>a</w:t>
      </w:r>
      <w:r>
        <w:rPr>
          <w:spacing w:val="-6"/>
        </w:rPr>
        <w:t> </w:t>
      </w:r>
      <w:r>
        <w:rPr/>
        <w:t>budget</w:t>
      </w:r>
      <w:r>
        <w:rPr>
          <w:spacing w:val="-5"/>
        </w:rPr>
        <w:t> </w:t>
      </w:r>
      <w:r>
        <w:rPr/>
        <w:t>on</w:t>
      </w:r>
      <w:r>
        <w:rPr>
          <w:spacing w:val="-6"/>
        </w:rPr>
        <w:t> </w:t>
      </w:r>
      <w:r>
        <w:rPr/>
        <w:t>attack</w:t>
      </w:r>
      <w:r>
        <w:rPr>
          <w:spacing w:val="-5"/>
        </w:rPr>
        <w:t> </w:t>
      </w:r>
      <w:r>
        <w:rPr/>
        <w:t>cost</w:t>
      </w:r>
      <w:r>
        <w:rPr>
          <w:spacing w:val="-6"/>
        </w:rPr>
        <w:t> </w:t>
      </w:r>
      <w:r>
        <w:rPr/>
        <w:t>defined</w:t>
      </w:r>
      <w:r>
        <w:rPr>
          <w:spacing w:val="-5"/>
        </w:rPr>
        <w:t> </w:t>
      </w:r>
      <w:r>
        <w:rPr>
          <w:spacing w:val="-2"/>
        </w:rPr>
        <w:t>below.</w:t>
      </w:r>
    </w:p>
    <w:p>
      <w:pPr>
        <w:pStyle w:val="BodyText"/>
        <w:spacing w:before="1"/>
        <w:ind w:left="282"/>
      </w:pPr>
      <w:r>
        <w:rPr>
          <w:i/>
        </w:rPr>
        <w:t>아래에 정의된 공격 비용에 대한 예산이 적용됩니다.</w:t>
      </w:r>
    </w:p>
    <w:p>
      <w:pPr>
        <w:pStyle w:val="BodyText"/>
        <w:spacing w:before="185"/>
      </w:pPr>
    </w:p>
    <w:p>
      <w:pPr>
        <w:pStyle w:val="Heading4"/>
        <w:numPr>
          <w:ilvl w:val="2"/>
          <w:numId w:val="8"/>
        </w:numPr>
        <w:tabs>
          <w:tab w:pos="879" w:val="left" w:leader="none"/>
        </w:tabs>
        <w:spacing w:line="240" w:lineRule="auto" w:before="0" w:after="0"/>
        <w:ind w:left="879" w:right="0" w:hanging="597"/>
        <w:jc w:val="left"/>
      </w:pPr>
      <w:r>
        <w:rPr/>
        <w:t>Cost</w:t>
      </w:r>
      <w:r>
        <w:rPr>
          <w:spacing w:val="-6"/>
        </w:rPr>
        <w:t> </w:t>
      </w:r>
      <w:r>
        <w:rPr>
          <w:spacing w:val="-2"/>
        </w:rPr>
        <w:t>components</w:t>
      </w:r>
    </w:p>
    <w:p>
      <w:pPr>
        <w:pStyle w:val="Heading4"/>
        <w:numPr>
          <w:ilvl w:val="2"/>
          <w:numId w:val="8"/>
        </w:numPr>
        <w:tabs>
          <w:tab w:pos="879" w:val="left" w:leader="none"/>
        </w:tabs>
        <w:spacing w:line="240" w:lineRule="auto" w:before="0" w:after="0"/>
        <w:ind w:left="879" w:right="0" w:hanging="597"/>
        <w:jc w:val="left"/>
      </w:pPr>
      <w:r>
        <w:rPr>
          <w:i/>
        </w:rPr>
        <w:t>비용 구성 요소</w:t>
      </w:r>
    </w:p>
    <w:p>
      <w:pPr>
        <w:pStyle w:val="BodyText"/>
        <w:spacing w:before="42"/>
        <w:rPr>
          <w:b/>
        </w:rPr>
      </w:pPr>
    </w:p>
    <w:p>
      <w:pPr>
        <w:pStyle w:val="BodyText"/>
        <w:ind w:left="282"/>
      </w:pPr>
      <w:r>
        <w:rPr/>
        <w:t>Fabricating</w:t>
      </w:r>
      <w:r>
        <w:rPr>
          <w:spacing w:val="-1"/>
        </w:rPr>
        <w:t> </w:t>
      </w:r>
      <w:r>
        <w:rPr/>
        <w:t>an</w:t>
      </w:r>
      <w:r>
        <w:rPr>
          <w:spacing w:val="-1"/>
        </w:rPr>
        <w:t> </w:t>
      </w:r>
      <w:r>
        <w:rPr/>
        <w:t>allowance edge</w:t>
      </w:r>
      <w:r>
        <w:rPr>
          <w:spacing w:val="-1"/>
        </w:rPr>
        <w:t> </w:t>
      </w:r>
      <w:r>
        <w:rPr>
          <w:rFonts w:ascii="Calibri"/>
        </w:rPr>
        <w:t>(</w:t>
      </w:r>
      <w:r>
        <w:rPr>
          <w:rFonts w:ascii="Calibri"/>
          <w:i/>
        </w:rPr>
        <w:t>u,</w:t>
      </w:r>
      <w:r>
        <w:rPr>
          <w:rFonts w:ascii="Calibri"/>
          <w:i/>
          <w:spacing w:val="-15"/>
        </w:rPr>
        <w:t> </w:t>
      </w:r>
      <w:r>
        <w:rPr>
          <w:rFonts w:ascii="Calibri"/>
          <w:i/>
        </w:rPr>
        <w:t>v</w:t>
      </w:r>
      <w:r>
        <w:rPr>
          <w:rFonts w:ascii="Calibri"/>
        </w:rPr>
        <w:t>)</w:t>
      </w:r>
      <w:r>
        <w:rPr>
          <w:rFonts w:ascii="Calibri"/>
          <w:spacing w:val="6"/>
        </w:rPr>
        <w:t> </w:t>
      </w:r>
      <w:r>
        <w:rPr/>
        <w:t>with</w:t>
      </w:r>
      <w:r>
        <w:rPr>
          <w:spacing w:val="-1"/>
        </w:rPr>
        <w:t> </w:t>
      </w:r>
      <w:r>
        <w:rPr/>
        <w:t>weight</w:t>
      </w:r>
      <w:r>
        <w:rPr>
          <w:spacing w:val="-1"/>
        </w:rPr>
        <w:t> </w:t>
      </w:r>
      <w:r>
        <w:rPr>
          <w:rFonts w:ascii="Calibri"/>
          <w:i/>
        </w:rPr>
        <w:t>w</w:t>
      </w:r>
      <w:r>
        <w:rPr>
          <w:rFonts w:ascii="Cambria"/>
          <w:vertAlign w:val="subscript"/>
        </w:rPr>
        <w:t>uv</w:t>
      </w:r>
      <w:r>
        <w:rPr>
          <w:rFonts w:ascii="Cambria"/>
          <w:spacing w:val="23"/>
          <w:vertAlign w:val="baseline"/>
        </w:rPr>
        <w:t> </w:t>
      </w:r>
      <w:r>
        <w:rPr>
          <w:vertAlign w:val="baseline"/>
        </w:rPr>
        <w:t>incurs</w:t>
      </w:r>
      <w:r>
        <w:rPr>
          <w:spacing w:val="-1"/>
          <w:vertAlign w:val="baseline"/>
        </w:rPr>
        <w:t> </w:t>
      </w:r>
      <w:r>
        <w:rPr>
          <w:vertAlign w:val="baseline"/>
        </w:rPr>
        <w:t>at</w:t>
      </w:r>
      <w:r>
        <w:rPr>
          <w:spacing w:val="-1"/>
          <w:vertAlign w:val="baseline"/>
        </w:rPr>
        <w:t> </w:t>
      </w:r>
      <w:r>
        <w:rPr>
          <w:vertAlign w:val="baseline"/>
        </w:rPr>
        <w:t>least three</w:t>
      </w:r>
      <w:r>
        <w:rPr>
          <w:spacing w:val="-1"/>
          <w:vertAlign w:val="baseline"/>
        </w:rPr>
        <w:t> </w:t>
      </w:r>
      <w:r>
        <w:rPr>
          <w:vertAlign w:val="baseline"/>
        </w:rPr>
        <w:t>cost </w:t>
      </w:r>
      <w:r>
        <w:rPr>
          <w:spacing w:val="-2"/>
          <w:vertAlign w:val="baseline"/>
        </w:rPr>
        <w:t>components:</w:t>
      </w:r>
    </w:p>
    <w:p>
      <w:pPr>
        <w:pStyle w:val="BodyText"/>
        <w:ind w:left="282"/>
      </w:pPr>
      <w:r>
        <w:rPr>
          <w:i/>
        </w:rPr>
        <w:t>가중치 wuv를 사용하여 여유 모서리(u, v)를 제작하려면 최소한 세 가지 비용 구성 요소가 발생합니다.</w:t>
      </w:r>
    </w:p>
    <w:p>
      <w:pPr>
        <w:pStyle w:val="BodyText"/>
        <w:spacing w:before="7"/>
      </w:pPr>
    </w:p>
    <w:p>
      <w:pPr>
        <w:pStyle w:val="ListParagraph"/>
        <w:numPr>
          <w:ilvl w:val="0"/>
          <w:numId w:val="25"/>
        </w:numPr>
        <w:tabs>
          <w:tab w:pos="847" w:val="left" w:leader="none"/>
          <w:tab w:pos="856" w:val="left" w:leader="none"/>
        </w:tabs>
        <w:spacing w:line="374" w:lineRule="auto" w:before="0" w:after="0"/>
        <w:ind w:left="856" w:right="564" w:hanging="311"/>
        <w:jc w:val="left"/>
        <w:rPr>
          <w:sz w:val="24"/>
        </w:rPr>
      </w:pPr>
      <w:r>
        <w:rPr>
          <w:b/>
          <w:sz w:val="24"/>
        </w:rPr>
        <w:t>Transaction cost:</w:t>
      </w:r>
      <w:r>
        <w:rPr>
          <w:b/>
          <w:spacing w:val="40"/>
          <w:sz w:val="24"/>
        </w:rPr>
        <w:t> </w:t>
      </w:r>
      <w:r>
        <w:rPr>
          <w:sz w:val="24"/>
        </w:rPr>
        <w:t>Submitting </w:t>
      </w:r>
      <w:r>
        <w:rPr>
          <w:rFonts w:ascii="Calibri"/>
          <w:sz w:val="24"/>
        </w:rPr>
        <w:t>approve </w:t>
      </w:r>
      <w:r>
        <w:rPr>
          <w:sz w:val="24"/>
        </w:rPr>
        <w:t>or </w:t>
      </w:r>
      <w:r>
        <w:rPr>
          <w:rFonts w:ascii="Calibri"/>
          <w:sz w:val="24"/>
        </w:rPr>
        <w:t>permit </w:t>
      </w:r>
      <w:r>
        <w:rPr>
          <w:sz w:val="24"/>
        </w:rPr>
        <w:t>consumes gas.</w:t>
      </w:r>
      <w:r>
        <w:rPr>
          <w:spacing w:val="40"/>
          <w:sz w:val="24"/>
        </w:rPr>
        <w:t> </w:t>
      </w:r>
      <w:r>
        <w:rPr>
          <w:sz w:val="24"/>
        </w:rPr>
        <w:t>Let </w:t>
      </w:r>
      <w:r>
        <w:rPr>
          <w:rFonts w:ascii="Calibri"/>
          <w:i/>
          <w:sz w:val="24"/>
        </w:rPr>
        <w:t>c</w:t>
      </w:r>
      <w:r>
        <w:rPr>
          <w:sz w:val="24"/>
          <w:vertAlign w:val="subscript"/>
        </w:rPr>
        <w:t>gas</w:t>
      </w:r>
      <w:r>
        <w:rPr>
          <w:sz w:val="24"/>
          <w:vertAlign w:val="baseline"/>
        </w:rPr>
        <w:t> be the expected fee per allowance update. For </w:t>
      </w:r>
      <w:r>
        <w:rPr>
          <w:rFonts w:ascii="Calibri"/>
          <w:i/>
          <w:sz w:val="24"/>
          <w:vertAlign w:val="baseline"/>
        </w:rPr>
        <w:t>m </w:t>
      </w:r>
      <w:r>
        <w:rPr>
          <w:sz w:val="24"/>
          <w:vertAlign w:val="baseline"/>
        </w:rPr>
        <w:t>updates,</w:t>
      </w:r>
    </w:p>
    <w:p>
      <w:pPr>
        <w:pStyle w:val="ListParagraph"/>
        <w:numPr>
          <w:ilvl w:val="0"/>
          <w:numId w:val="25"/>
        </w:numPr>
        <w:tabs>
          <w:tab w:pos="847" w:val="left" w:leader="none"/>
          <w:tab w:pos="856" w:val="left" w:leader="none"/>
        </w:tabs>
        <w:spacing w:line="374" w:lineRule="auto" w:before="0" w:after="0"/>
        <w:ind w:left="856" w:right="564" w:hanging="311"/>
        <w:jc w:val="left"/>
        <w:rPr>
          <w:sz w:val="24"/>
        </w:rPr>
      </w:pPr>
      <w:r>
        <w:rPr>
          <w:i/>
        </w:rPr>
        <w:t>거래 비용: 승인 또는 허가를 제출하는 데에는 가스가 소비됩니다. cgas를 허용량 업데이트당 예상되는 수수료로 설정합니다. m개 업데이트의 경우,</w:t>
      </w:r>
    </w:p>
    <w:p>
      <w:pPr>
        <w:pStyle w:val="BodyText"/>
        <w:spacing w:before="101"/>
      </w:pPr>
    </w:p>
    <w:p>
      <w:pPr>
        <w:tabs>
          <w:tab w:pos="9196" w:val="left" w:leader="none"/>
        </w:tabs>
        <w:spacing w:before="0"/>
        <w:ind w:left="4578" w:right="0" w:firstLine="0"/>
        <w:jc w:val="left"/>
        <w:rPr>
          <w:sz w:val="24"/>
        </w:rPr>
      </w:pPr>
      <w:r>
        <w:rPr>
          <w:rFonts w:ascii="Calibri"/>
          <w:i/>
          <w:w w:val="110"/>
          <w:sz w:val="24"/>
        </w:rPr>
        <w:t>C</w:t>
      </w:r>
      <w:r>
        <w:rPr>
          <w:w w:val="110"/>
          <w:sz w:val="24"/>
          <w:vertAlign w:val="subscript"/>
        </w:rPr>
        <w:t>gas</w:t>
      </w:r>
      <w:r>
        <w:rPr>
          <w:spacing w:val="13"/>
          <w:w w:val="125"/>
          <w:sz w:val="24"/>
          <w:vertAlign w:val="baseline"/>
        </w:rPr>
        <w:t> </w:t>
      </w:r>
      <w:r>
        <w:rPr>
          <w:rFonts w:ascii="Calibri"/>
          <w:w w:val="125"/>
          <w:sz w:val="24"/>
          <w:vertAlign w:val="baseline"/>
        </w:rPr>
        <w:t>=</w:t>
      </w:r>
      <w:r>
        <w:rPr>
          <w:rFonts w:ascii="Calibri"/>
          <w:spacing w:val="9"/>
          <w:w w:val="125"/>
          <w:sz w:val="24"/>
          <w:vertAlign w:val="baseline"/>
        </w:rPr>
        <w:t> </w:t>
      </w:r>
      <w:r>
        <w:rPr>
          <w:rFonts w:ascii="Calibri"/>
          <w:i/>
          <w:w w:val="110"/>
          <w:sz w:val="24"/>
          <w:vertAlign w:val="baseline"/>
        </w:rPr>
        <w:t>m</w:t>
      </w:r>
      <w:r>
        <w:rPr>
          <w:rFonts w:ascii="Calibri"/>
          <w:i/>
          <w:spacing w:val="-14"/>
          <w:w w:val="110"/>
          <w:sz w:val="24"/>
          <w:vertAlign w:val="baseline"/>
        </w:rPr>
        <w:t> </w:t>
      </w:r>
      <w:r>
        <w:rPr>
          <w:rFonts w:ascii="Calibri"/>
          <w:i/>
          <w:spacing w:val="-4"/>
          <w:w w:val="110"/>
          <w:sz w:val="24"/>
          <w:vertAlign w:val="baseline"/>
        </w:rPr>
        <w:t>c</w:t>
      </w:r>
      <w:r>
        <w:rPr>
          <w:spacing w:val="-4"/>
          <w:w w:val="110"/>
          <w:sz w:val="24"/>
          <w:vertAlign w:val="subscript"/>
        </w:rPr>
        <w:t>gas</w:t>
      </w:r>
      <w:r>
        <w:rPr>
          <w:rFonts w:ascii="Calibri"/>
          <w:i/>
          <w:spacing w:val="-4"/>
          <w:w w:val="110"/>
          <w:sz w:val="24"/>
          <w:vertAlign w:val="baseline"/>
        </w:rPr>
        <w:t>.</w:t>
      </w:r>
      <w:r>
        <w:rPr>
          <w:rFonts w:ascii="Calibri"/>
          <w:i/>
          <w:sz w:val="24"/>
          <w:vertAlign w:val="baseline"/>
        </w:rPr>
        <w:tab/>
      </w:r>
      <w:r>
        <w:rPr>
          <w:spacing w:val="-2"/>
          <w:w w:val="110"/>
          <w:sz w:val="24"/>
          <w:vertAlign w:val="baseline"/>
        </w:rPr>
        <w:t>(5.3)</w:t>
      </w:r>
    </w:p>
    <w:p>
      <w:pPr>
        <w:tabs>
          <w:tab w:pos="9196" w:val="left" w:leader="none"/>
        </w:tabs>
        <w:spacing w:before="0"/>
        <w:ind w:left="4578" w:right="0" w:firstLine="0"/>
        <w:jc w:val="left"/>
        <w:rPr>
          <w:sz w:val="24"/>
        </w:rPr>
      </w:pPr>
      <w:r>
        <w:rPr>
          <w:i/>
        </w:rPr>
        <w:t>C가스 = mc가스.</w:t>
        <w:tab/>
        <w:t>(5.3)</w:t>
      </w:r>
    </w:p>
    <w:p>
      <w:pPr>
        <w:pStyle w:val="BodyText"/>
        <w:spacing w:before="230"/>
      </w:pPr>
    </w:p>
    <w:p>
      <w:pPr>
        <w:pStyle w:val="ListParagraph"/>
        <w:numPr>
          <w:ilvl w:val="0"/>
          <w:numId w:val="25"/>
        </w:numPr>
        <w:tabs>
          <w:tab w:pos="855" w:val="left" w:leader="none"/>
        </w:tabs>
        <w:spacing w:line="240" w:lineRule="auto" w:before="0" w:after="0"/>
        <w:ind w:left="855" w:right="0" w:hanging="310"/>
        <w:jc w:val="left"/>
        <w:rPr>
          <w:sz w:val="24"/>
        </w:rPr>
      </w:pPr>
      <w:r>
        <w:rPr>
          <w:b/>
          <w:sz w:val="24"/>
        </w:rPr>
        <w:t>Capital</w:t>
      </w:r>
      <w:r>
        <w:rPr>
          <w:b/>
          <w:spacing w:val="-20"/>
          <w:sz w:val="24"/>
        </w:rPr>
        <w:t> </w:t>
      </w:r>
      <w:r>
        <w:rPr>
          <w:b/>
          <w:sz w:val="24"/>
        </w:rPr>
        <w:t>lock</w:t>
      </w:r>
      <w:r>
        <w:rPr>
          <w:b/>
          <w:spacing w:val="-20"/>
          <w:sz w:val="24"/>
        </w:rPr>
        <w:t> </w:t>
      </w:r>
      <w:r>
        <w:rPr>
          <w:b/>
          <w:sz w:val="24"/>
        </w:rPr>
        <w:t>/</w:t>
      </w:r>
      <w:r>
        <w:rPr>
          <w:b/>
          <w:spacing w:val="-20"/>
          <w:sz w:val="24"/>
        </w:rPr>
        <w:t> </w:t>
      </w:r>
      <w:r>
        <w:rPr>
          <w:b/>
          <w:sz w:val="24"/>
        </w:rPr>
        <w:t>opportunity</w:t>
      </w:r>
      <w:r>
        <w:rPr>
          <w:b/>
          <w:spacing w:val="-20"/>
          <w:sz w:val="24"/>
        </w:rPr>
        <w:t> </w:t>
      </w:r>
      <w:r>
        <w:rPr>
          <w:b/>
          <w:sz w:val="24"/>
        </w:rPr>
        <w:t>cost:</w:t>
      </w:r>
      <w:r>
        <w:rPr>
          <w:b/>
          <w:spacing w:val="-15"/>
          <w:sz w:val="24"/>
        </w:rPr>
        <w:t> </w:t>
      </w:r>
      <w:r>
        <w:rPr>
          <w:sz w:val="24"/>
        </w:rPr>
        <w:t>A</w:t>
      </w:r>
      <w:r>
        <w:rPr>
          <w:spacing w:val="-20"/>
          <w:sz w:val="24"/>
        </w:rPr>
        <w:t> </w:t>
      </w:r>
      <w:r>
        <w:rPr>
          <w:sz w:val="24"/>
        </w:rPr>
        <w:t>non-zero</w:t>
      </w:r>
      <w:r>
        <w:rPr>
          <w:spacing w:val="-20"/>
          <w:sz w:val="24"/>
        </w:rPr>
        <w:t> </w:t>
      </w:r>
      <w:r>
        <w:rPr>
          <w:sz w:val="24"/>
        </w:rPr>
        <w:t>allowance</w:t>
      </w:r>
      <w:r>
        <w:rPr>
          <w:spacing w:val="-20"/>
          <w:sz w:val="24"/>
        </w:rPr>
        <w:t> </w:t>
      </w:r>
      <w:r>
        <w:rPr>
          <w:sz w:val="24"/>
        </w:rPr>
        <w:t>to</w:t>
      </w:r>
      <w:r>
        <w:rPr>
          <w:spacing w:val="-20"/>
          <w:sz w:val="24"/>
        </w:rPr>
        <w:t> </w:t>
      </w:r>
      <w:r>
        <w:rPr>
          <w:sz w:val="24"/>
        </w:rPr>
        <w:t>an</w:t>
      </w:r>
      <w:r>
        <w:rPr>
          <w:spacing w:val="-20"/>
          <w:sz w:val="24"/>
        </w:rPr>
        <w:t> </w:t>
      </w:r>
      <w:r>
        <w:rPr>
          <w:sz w:val="24"/>
        </w:rPr>
        <w:t>external</w:t>
      </w:r>
      <w:r>
        <w:rPr>
          <w:spacing w:val="-20"/>
          <w:sz w:val="24"/>
        </w:rPr>
        <w:t> </w:t>
      </w:r>
      <w:r>
        <w:rPr>
          <w:sz w:val="24"/>
        </w:rPr>
        <w:t>spender</w:t>
      </w:r>
      <w:r>
        <w:rPr>
          <w:spacing w:val="-21"/>
          <w:sz w:val="24"/>
        </w:rPr>
        <w:t> </w:t>
      </w:r>
      <w:r>
        <w:rPr>
          <w:rFonts w:ascii="Calibri" w:hAnsi="Calibri"/>
          <w:i/>
          <w:sz w:val="24"/>
        </w:rPr>
        <w:t>v</w:t>
      </w:r>
      <w:r>
        <w:rPr>
          <w:rFonts w:ascii="Calibri" w:hAnsi="Calibri"/>
          <w:i/>
          <w:spacing w:val="16"/>
          <w:sz w:val="24"/>
        </w:rPr>
        <w:t> </w:t>
      </w:r>
      <w:r>
        <w:rPr>
          <w:rFonts w:ascii="Lucida Sans Unicode" w:hAnsi="Lucida Sans Unicode"/>
          <w:spacing w:val="-132"/>
          <w:w w:val="78"/>
          <w:sz w:val="24"/>
        </w:rPr>
        <w:t>∈</w:t>
      </w:r>
      <w:r>
        <w:rPr>
          <w:rFonts w:ascii="Calibri" w:hAnsi="Calibri"/>
          <w:w w:val="121"/>
          <w:sz w:val="24"/>
        </w:rPr>
        <w:t>/</w:t>
      </w:r>
      <w:r>
        <w:rPr>
          <w:rFonts w:ascii="Calibri" w:hAnsi="Calibri"/>
          <w:spacing w:val="26"/>
          <w:sz w:val="24"/>
        </w:rPr>
        <w:t> </w:t>
      </w:r>
      <w:r>
        <w:rPr>
          <w:rFonts w:ascii="Lucida Sans Unicode" w:hAnsi="Lucida Sans Unicode"/>
          <w:sz w:val="24"/>
        </w:rPr>
        <w:t>A</w:t>
      </w:r>
      <w:r>
        <w:rPr>
          <w:rFonts w:ascii="Lucida Sans Unicode" w:hAnsi="Lucida Sans Unicode"/>
          <w:spacing w:val="-36"/>
          <w:sz w:val="24"/>
        </w:rPr>
        <w:t> </w:t>
      </w:r>
      <w:r>
        <w:rPr>
          <w:spacing w:val="-2"/>
          <w:sz w:val="24"/>
        </w:rPr>
        <w:t>exposes</w:t>
      </w:r>
    </w:p>
    <w:p>
      <w:pPr>
        <w:pStyle w:val="ListParagraph"/>
        <w:numPr>
          <w:ilvl w:val="0"/>
          <w:numId w:val="25"/>
        </w:numPr>
        <w:tabs>
          <w:tab w:pos="855" w:val="left" w:leader="none"/>
        </w:tabs>
        <w:spacing w:line="240" w:lineRule="auto" w:before="0" w:after="0"/>
        <w:ind w:left="855" w:right="0" w:hanging="310"/>
        <w:jc w:val="left"/>
        <w:rPr>
          <w:sz w:val="24"/>
        </w:rPr>
      </w:pPr>
      <w:r>
        <w:rPr>
          <w:i/>
        </w:rPr>
        <w:t>자본 잠금/기회 비용: 외부 지출자에 대한 0이 아닌 허용 v ∈/ A 노출</w:t>
      </w:r>
    </w:p>
    <w:p>
      <w:pPr>
        <w:pStyle w:val="ListParagraph"/>
        <w:spacing w:after="0" w:line="240" w:lineRule="auto"/>
        <w:jc w:val="left"/>
        <w:rPr>
          <w:sz w:val="24"/>
        </w:rPr>
        <w:sectPr>
          <w:pgSz w:w="11910" w:h="16840"/>
          <w:pgMar w:header="0" w:footer="2115" w:top="1840" w:bottom="2300" w:left="992" w:right="708"/>
        </w:sectPr>
      </w:pPr>
    </w:p>
    <w:p>
      <w:pPr>
        <w:pStyle w:val="BodyText"/>
        <w:spacing w:before="33"/>
        <w:ind w:left="856"/>
        <w:jc w:val="both"/>
      </w:pPr>
      <w:r>
        <w:rPr/>
        <w:t>tokens</w:t>
      </w:r>
      <w:r>
        <w:rPr>
          <w:spacing w:val="-14"/>
        </w:rPr>
        <w:t> </w:t>
      </w:r>
      <w:r>
        <w:rPr/>
        <w:t>owned</w:t>
      </w:r>
      <w:r>
        <w:rPr>
          <w:spacing w:val="-13"/>
        </w:rPr>
        <w:t> </w:t>
      </w:r>
      <w:r>
        <w:rPr/>
        <w:t>by</w:t>
      </w:r>
      <w:r>
        <w:rPr>
          <w:spacing w:val="-14"/>
        </w:rPr>
        <w:t> </w:t>
      </w:r>
      <w:r>
        <w:rPr>
          <w:rFonts w:ascii="Calibri" w:hAnsi="Calibri"/>
          <w:i/>
        </w:rPr>
        <w:t>u</w:t>
      </w:r>
      <w:r>
        <w:rPr>
          <w:rFonts w:ascii="Calibri" w:hAnsi="Calibri"/>
          <w:i/>
          <w:spacing w:val="-7"/>
        </w:rPr>
        <w:t> </w:t>
      </w:r>
      <w:r>
        <w:rPr/>
        <w:t>to</w:t>
      </w:r>
      <w:r>
        <w:rPr>
          <w:spacing w:val="-13"/>
        </w:rPr>
        <w:t> </w:t>
      </w:r>
      <w:r>
        <w:rPr/>
        <w:t>transfer</w:t>
      </w:r>
      <w:r>
        <w:rPr>
          <w:spacing w:val="-14"/>
        </w:rPr>
        <w:t> </w:t>
      </w:r>
      <w:r>
        <w:rPr/>
        <w:t>by</w:t>
      </w:r>
      <w:r>
        <w:rPr>
          <w:spacing w:val="-13"/>
        </w:rPr>
        <w:t> </w:t>
      </w:r>
      <w:r>
        <w:rPr>
          <w:rFonts w:ascii="Calibri" w:hAnsi="Calibri"/>
          <w:i/>
        </w:rPr>
        <w:t>v</w:t>
      </w:r>
      <w:r>
        <w:rPr/>
        <w:t>.</w:t>
      </w:r>
      <w:r>
        <w:rPr>
          <w:spacing w:val="11"/>
        </w:rPr>
        <w:t> </w:t>
      </w:r>
      <w:r>
        <w:rPr/>
        <w:t>Even</w:t>
      </w:r>
      <w:r>
        <w:rPr>
          <w:spacing w:val="-14"/>
        </w:rPr>
        <w:t> </w:t>
      </w:r>
      <w:r>
        <w:rPr/>
        <w:t>if</w:t>
      </w:r>
      <w:r>
        <w:rPr>
          <w:spacing w:val="-13"/>
        </w:rPr>
        <w:t> </w:t>
      </w:r>
      <w:r>
        <w:rPr>
          <w:rFonts w:ascii="Calibri" w:hAnsi="Calibri"/>
          <w:i/>
        </w:rPr>
        <w:t>v</w:t>
      </w:r>
      <w:r>
        <w:rPr>
          <w:rFonts w:ascii="Calibri" w:hAnsi="Calibri"/>
          <w:i/>
          <w:spacing w:val="15"/>
        </w:rPr>
        <w:t> </w:t>
      </w:r>
      <w:r>
        <w:rPr>
          <w:rFonts w:ascii="Lucida Sans Unicode" w:hAnsi="Lucida Sans Unicode"/>
        </w:rPr>
        <w:t>∈</w:t>
      </w:r>
      <w:r>
        <w:rPr>
          <w:rFonts w:ascii="Lucida Sans Unicode" w:hAnsi="Lucida Sans Unicode"/>
          <w:spacing w:val="-15"/>
        </w:rPr>
        <w:t> </w:t>
      </w:r>
      <w:r>
        <w:rPr>
          <w:rFonts w:ascii="Lucida Sans Unicode" w:hAnsi="Lucida Sans Unicode"/>
        </w:rPr>
        <w:t>A</w:t>
      </w:r>
      <w:r>
        <w:rPr/>
        <w:t>,</w:t>
      </w:r>
      <w:r>
        <w:rPr>
          <w:spacing w:val="-11"/>
        </w:rPr>
        <w:t> </w:t>
      </w:r>
      <w:r>
        <w:rPr/>
        <w:t>maintaining</w:t>
      </w:r>
      <w:r>
        <w:rPr>
          <w:spacing w:val="-14"/>
        </w:rPr>
        <w:t> </w:t>
      </w:r>
      <w:r>
        <w:rPr/>
        <w:t>large</w:t>
      </w:r>
      <w:r>
        <w:rPr>
          <w:spacing w:val="-13"/>
        </w:rPr>
        <w:t> </w:t>
      </w:r>
      <w:r>
        <w:rPr/>
        <w:t>allowances</w:t>
      </w:r>
      <w:r>
        <w:rPr>
          <w:spacing w:val="-13"/>
        </w:rPr>
        <w:t> </w:t>
      </w:r>
      <w:r>
        <w:rPr/>
        <w:t>to</w:t>
      </w:r>
      <w:r>
        <w:rPr>
          <w:spacing w:val="-14"/>
        </w:rPr>
        <w:t> </w:t>
      </w:r>
      <w:r>
        <w:rPr>
          <w:spacing w:val="-2"/>
        </w:rPr>
        <w:t>contracts</w:t>
      </w:r>
    </w:p>
    <w:p>
      <w:pPr>
        <w:pStyle w:val="BodyText"/>
        <w:spacing w:before="33"/>
        <w:ind w:left="856"/>
        <w:jc w:val="both"/>
      </w:pPr>
      <w:r>
        <w:rPr>
          <w:i/>
        </w:rPr>
        <w:t>u가 소유한 토큰을 v로 전송합니다. v ∈ A인 경우에도 계약에 대한 큰 수당을 유지합니다.</w:t>
      </w:r>
    </w:p>
    <w:p>
      <w:pPr>
        <w:pStyle w:val="BodyText"/>
        <w:spacing w:line="376" w:lineRule="auto" w:before="122"/>
        <w:ind w:left="856" w:right="564"/>
        <w:jc w:val="both"/>
      </w:pPr>
      <w:r>
        <w:rPr/>
        <mc:AlternateContent>
          <mc:Choice Requires="wps">
            <w:drawing>
              <wp:anchor distT="0" distB="0" distL="0" distR="0" allowOverlap="1" layoutInCell="1" locked="0" behindDoc="1" simplePos="0" relativeHeight="484057088">
                <wp:simplePos x="0" y="0"/>
                <wp:positionH relativeFrom="page">
                  <wp:posOffset>3841369</wp:posOffset>
                </wp:positionH>
                <wp:positionV relativeFrom="paragraph">
                  <wp:posOffset>834518</wp:posOffset>
                </wp:positionV>
                <wp:extent cx="219710" cy="563245"/>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302.470001pt;margin-top:65.710144pt;width:17.3pt;height:44.35pt;mso-position-horizontal-relative:page;mso-position-vertical-relative:paragraph;z-index:-19259392" type="#_x0000_t202" id="docshape553" filled="false" stroked="false">
                <v:textbox inset="0,0,0,0">
                  <w:txbxContent>
                    <w:p>
                      <w:pPr>
                        <w:pStyle w:val="BodyText"/>
                        <w:spacing w:line="231" w:lineRule="exact"/>
                      </w:pPr>
                      <w:r>
                        <w:rPr>
                          <w:spacing w:val="-10"/>
                          <w:w w:val="245"/>
                        </w:rPr>
                        <w:t>Σ</w:t>
                      </w:r>
                    </w:p>
                  </w:txbxContent>
                </v:textbox>
                <w10:wrap type="none"/>
              </v:shape>
            </w:pict>
          </mc:Fallback>
        </mc:AlternateContent>
      </w:r>
      <w:r>
        <w:rPr/>
        <w:t>or routers may be required to mimic honest behavior.</w:t>
      </w:r>
      <w:r>
        <w:rPr>
          <w:spacing w:val="31"/>
        </w:rPr>
        <w:t> </w:t>
      </w:r>
      <w:r>
        <w:rPr/>
        <w:t>Let </w:t>
      </w:r>
      <w:r>
        <w:rPr>
          <w:rFonts w:ascii="Calibri" w:hAnsi="Calibri"/>
          <w:i/>
        </w:rPr>
        <w:t>ℓ</w:t>
      </w:r>
      <w:r>
        <w:rPr>
          <w:rFonts w:ascii="Calibri" w:hAnsi="Calibri"/>
        </w:rPr>
        <w:t>(</w:t>
      </w:r>
      <w:r>
        <w:rPr>
          <w:rFonts w:ascii="Calibri" w:hAnsi="Calibri"/>
          <w:i/>
        </w:rPr>
        <w:t>w</w:t>
      </w:r>
      <w:r>
        <w:rPr>
          <w:rFonts w:ascii="Cambria" w:hAnsi="Cambria"/>
          <w:vertAlign w:val="subscript"/>
        </w:rPr>
        <w:t>uv</w:t>
      </w:r>
      <w:r>
        <w:rPr>
          <w:rFonts w:ascii="Calibri" w:hAnsi="Calibri"/>
          <w:vertAlign w:val="baseline"/>
        </w:rPr>
        <w:t>) </w:t>
      </w:r>
      <w:r>
        <w:rPr>
          <w:vertAlign w:val="baseline"/>
        </w:rPr>
        <w:t>be the opportunity cost of capital</w:t>
      </w:r>
      <w:r>
        <w:rPr>
          <w:spacing w:val="-9"/>
          <w:vertAlign w:val="baseline"/>
        </w:rPr>
        <w:t> </w:t>
      </w:r>
      <w:r>
        <w:rPr>
          <w:vertAlign w:val="baseline"/>
        </w:rPr>
        <w:t>associated</w:t>
      </w:r>
      <w:r>
        <w:rPr>
          <w:spacing w:val="-9"/>
          <w:vertAlign w:val="baseline"/>
        </w:rPr>
        <w:t> </w:t>
      </w:r>
      <w:r>
        <w:rPr>
          <w:vertAlign w:val="baseline"/>
        </w:rPr>
        <w:t>with</w:t>
      </w:r>
      <w:r>
        <w:rPr>
          <w:spacing w:val="-9"/>
          <w:vertAlign w:val="baseline"/>
        </w:rPr>
        <w:t> </w:t>
      </w:r>
      <w:r>
        <w:rPr>
          <w:vertAlign w:val="baseline"/>
        </w:rPr>
        <w:t>weight</w:t>
      </w:r>
      <w:r>
        <w:rPr>
          <w:spacing w:val="-9"/>
          <w:vertAlign w:val="baseline"/>
        </w:rPr>
        <w:t> </w:t>
      </w:r>
      <w:r>
        <w:rPr>
          <w:rFonts w:ascii="Calibri" w:hAnsi="Calibri"/>
          <w:i/>
          <w:vertAlign w:val="baseline"/>
        </w:rPr>
        <w:t>w</w:t>
      </w:r>
      <w:r>
        <w:rPr>
          <w:rFonts w:ascii="Cambria" w:hAnsi="Cambria"/>
          <w:vertAlign w:val="subscript"/>
        </w:rPr>
        <w:t>uv</w:t>
      </w:r>
      <w:r>
        <w:rPr>
          <w:rFonts w:ascii="Cambria" w:hAnsi="Cambria"/>
          <w:spacing w:val="13"/>
          <w:vertAlign w:val="baseline"/>
        </w:rPr>
        <w:t> </w:t>
      </w:r>
      <w:r>
        <w:rPr>
          <w:vertAlign w:val="baseline"/>
        </w:rPr>
        <w:t>over</w:t>
      </w:r>
      <w:r>
        <w:rPr>
          <w:spacing w:val="-9"/>
          <w:vertAlign w:val="baseline"/>
        </w:rPr>
        <w:t> </w:t>
      </w:r>
      <w:r>
        <w:rPr>
          <w:vertAlign w:val="baseline"/>
        </w:rPr>
        <w:t>the</w:t>
      </w:r>
      <w:r>
        <w:rPr>
          <w:spacing w:val="-9"/>
          <w:vertAlign w:val="baseline"/>
        </w:rPr>
        <w:t> </w:t>
      </w:r>
      <w:r>
        <w:rPr>
          <w:vertAlign w:val="baseline"/>
        </w:rPr>
        <w:t>reputation</w:t>
      </w:r>
      <w:r>
        <w:rPr>
          <w:spacing w:val="-9"/>
          <w:vertAlign w:val="baseline"/>
        </w:rPr>
        <w:t> </w:t>
      </w:r>
      <w:r>
        <w:rPr>
          <w:vertAlign w:val="baseline"/>
        </w:rPr>
        <w:t>refresh</w:t>
      </w:r>
      <w:r>
        <w:rPr>
          <w:spacing w:val="-9"/>
          <w:vertAlign w:val="baseline"/>
        </w:rPr>
        <w:t> </w:t>
      </w:r>
      <w:r>
        <w:rPr>
          <w:vertAlign w:val="baseline"/>
        </w:rPr>
        <w:t>horizon</w:t>
      </w:r>
      <w:r>
        <w:rPr>
          <w:spacing w:val="-9"/>
          <w:vertAlign w:val="baseline"/>
        </w:rPr>
        <w:t> </w:t>
      </w:r>
      <w:r>
        <w:rPr>
          <w:vertAlign w:val="baseline"/>
        </w:rPr>
        <w:t>(for</w:t>
      </w:r>
      <w:r>
        <w:rPr>
          <w:spacing w:val="-9"/>
          <w:vertAlign w:val="baseline"/>
        </w:rPr>
        <w:t> </w:t>
      </w:r>
      <w:r>
        <w:rPr>
          <w:vertAlign w:val="baseline"/>
        </w:rPr>
        <w:t>example,</w:t>
      </w:r>
      <w:r>
        <w:rPr>
          <w:spacing w:val="-8"/>
          <w:vertAlign w:val="baseline"/>
        </w:rPr>
        <w:t> </w:t>
      </w:r>
      <w:r>
        <w:rPr>
          <w:vertAlign w:val="baseline"/>
        </w:rPr>
        <w:t>forgone yield). Then</w:t>
      </w:r>
    </w:p>
    <w:p>
      <w:pPr>
        <w:pStyle w:val="BodyText"/>
        <w:spacing w:line="376" w:lineRule="auto" w:before="122"/>
        <w:ind w:left="856" w:right="564"/>
        <w:jc w:val="both"/>
      </w:pPr>
      <w:r>
        <w:rPr>
          <w:i/>
        </w:rPr>
        <w:t>또는 라우터가 정직한 행동을 모방해야 할 수도 있습니다. ℓ(wuv)를 평판 새로 고침 기간(예: 포기된 수익률)에 ​​걸쳐 가중치 wuv와 관련된 자본의 기회 비용이라고 가정합니다. 그 다음에</w:t>
      </w:r>
    </w:p>
    <w:p>
      <w:pPr>
        <w:tabs>
          <w:tab w:pos="5635" w:val="left" w:leader="none"/>
          <w:tab w:pos="9196" w:val="left" w:leader="none"/>
        </w:tabs>
        <w:spacing w:before="17"/>
        <w:ind w:left="4151" w:right="0" w:firstLine="0"/>
        <w:jc w:val="left"/>
        <w:rPr>
          <w:sz w:val="24"/>
        </w:rPr>
      </w:pPr>
      <w:r>
        <w:rPr>
          <w:rFonts w:ascii="Calibri" w:hAnsi="Calibri"/>
          <w:i/>
          <w:w w:val="115"/>
          <w:sz w:val="24"/>
        </w:rPr>
        <w:t>C</w:t>
      </w:r>
      <w:r>
        <w:rPr>
          <w:w w:val="115"/>
          <w:sz w:val="24"/>
          <w:vertAlign w:val="subscript"/>
        </w:rPr>
        <w:t>cap</w:t>
      </w:r>
      <w:r>
        <w:rPr>
          <w:spacing w:val="-6"/>
          <w:w w:val="115"/>
          <w:sz w:val="24"/>
          <w:vertAlign w:val="baseline"/>
        </w:rPr>
        <w:t> </w:t>
      </w:r>
      <w:r>
        <w:rPr>
          <w:rFonts w:ascii="Calibri" w:hAnsi="Calibri"/>
          <w:spacing w:val="-10"/>
          <w:w w:val="125"/>
          <w:sz w:val="24"/>
          <w:vertAlign w:val="baseline"/>
        </w:rPr>
        <w:t>=</w:t>
      </w:r>
      <w:r>
        <w:rPr>
          <w:rFonts w:ascii="Calibri" w:hAnsi="Calibri"/>
          <w:sz w:val="24"/>
          <w:vertAlign w:val="baseline"/>
        </w:rPr>
        <w:tab/>
      </w:r>
      <w:r>
        <w:rPr>
          <w:rFonts w:ascii="Calibri" w:hAnsi="Calibri"/>
          <w:i/>
          <w:spacing w:val="-2"/>
          <w:w w:val="115"/>
          <w:sz w:val="24"/>
          <w:vertAlign w:val="baseline"/>
        </w:rPr>
        <w:t>ℓ</w:t>
      </w:r>
      <w:r>
        <w:rPr>
          <w:rFonts w:ascii="Calibri" w:hAnsi="Calibri"/>
          <w:spacing w:val="-2"/>
          <w:w w:val="115"/>
          <w:sz w:val="24"/>
          <w:vertAlign w:val="baseline"/>
        </w:rPr>
        <w:t>(</w:t>
      </w:r>
      <w:r>
        <w:rPr>
          <w:rFonts w:ascii="Calibri" w:hAnsi="Calibri"/>
          <w:i/>
          <w:spacing w:val="-2"/>
          <w:w w:val="115"/>
          <w:sz w:val="24"/>
          <w:vertAlign w:val="baseline"/>
        </w:rPr>
        <w:t>w</w:t>
      </w:r>
      <w:r>
        <w:rPr>
          <w:rFonts w:ascii="Cambria" w:hAnsi="Cambria"/>
          <w:spacing w:val="-2"/>
          <w:w w:val="115"/>
          <w:sz w:val="24"/>
          <w:vertAlign w:val="subscript"/>
        </w:rPr>
        <w:t>uv</w:t>
      </w:r>
      <w:r>
        <w:rPr>
          <w:rFonts w:ascii="Calibri" w:hAnsi="Calibri"/>
          <w:spacing w:val="-2"/>
          <w:w w:val="115"/>
          <w:sz w:val="24"/>
          <w:vertAlign w:val="baseline"/>
        </w:rPr>
        <w:t>)</w:t>
      </w:r>
      <w:r>
        <w:rPr>
          <w:rFonts w:ascii="Calibri" w:hAnsi="Calibri"/>
          <w:i/>
          <w:spacing w:val="-2"/>
          <w:w w:val="115"/>
          <w:sz w:val="24"/>
          <w:vertAlign w:val="baseline"/>
        </w:rPr>
        <w:t>,</w:t>
      </w:r>
      <w:r>
        <w:rPr>
          <w:rFonts w:ascii="Calibri" w:hAnsi="Calibri"/>
          <w:i/>
          <w:sz w:val="24"/>
          <w:vertAlign w:val="baseline"/>
        </w:rPr>
        <w:tab/>
      </w:r>
      <w:r>
        <w:rPr>
          <w:spacing w:val="-2"/>
          <w:w w:val="115"/>
          <w:sz w:val="24"/>
          <w:vertAlign w:val="baseline"/>
        </w:rPr>
        <w:t>(5.4)</w:t>
      </w:r>
    </w:p>
    <w:p>
      <w:pPr>
        <w:tabs>
          <w:tab w:pos="5635" w:val="left" w:leader="none"/>
          <w:tab w:pos="9196" w:val="left" w:leader="none"/>
        </w:tabs>
        <w:spacing w:before="17"/>
        <w:ind w:left="4151" w:right="0" w:firstLine="0"/>
        <w:jc w:val="left"/>
        <w:rPr>
          <w:sz w:val="24"/>
        </w:rPr>
      </w:pPr>
      <w:r>
        <w:rPr>
          <w:i/>
        </w:rPr>
        <w:t>C캡 =</w:t>
        <w:tab/>
        <w:t>ℓ(우브),</w:t>
        <w:tab/>
        <w:t>(5.4)</w:t>
      </w:r>
    </w:p>
    <w:p>
      <w:pPr>
        <w:spacing w:before="74"/>
        <w:ind w:left="244" w:right="0" w:firstLine="0"/>
        <w:jc w:val="center"/>
        <w:rPr>
          <w:i/>
          <w:sz w:val="16"/>
        </w:rPr>
      </w:pPr>
      <w:r>
        <w:rPr>
          <w:rFonts w:ascii="Calibri" w:hAnsi="Calibri"/>
          <w:spacing w:val="-2"/>
          <w:w w:val="130"/>
          <w:sz w:val="16"/>
        </w:rPr>
        <w:t>(</w:t>
      </w:r>
      <w:r>
        <w:rPr>
          <w:rFonts w:ascii="Cambria" w:hAnsi="Cambria"/>
          <w:spacing w:val="-2"/>
          <w:w w:val="130"/>
          <w:sz w:val="16"/>
        </w:rPr>
        <w:t>u,v</w:t>
      </w:r>
      <w:r>
        <w:rPr>
          <w:rFonts w:ascii="Calibri" w:hAnsi="Calibri"/>
          <w:spacing w:val="-2"/>
          <w:w w:val="130"/>
          <w:sz w:val="16"/>
        </w:rPr>
        <w:t>)</w:t>
      </w:r>
      <w:r>
        <w:rPr>
          <w:rFonts w:ascii="Cambria" w:hAnsi="Cambria"/>
          <w:spacing w:val="-2"/>
          <w:w w:val="130"/>
          <w:sz w:val="16"/>
        </w:rPr>
        <w:t>∈E</w:t>
      </w:r>
      <w:r>
        <w:rPr>
          <w:i/>
          <w:spacing w:val="-2"/>
          <w:w w:val="130"/>
          <w:sz w:val="16"/>
          <w:vertAlign w:val="subscript"/>
        </w:rPr>
        <w:t>A</w:t>
      </w:r>
    </w:p>
    <w:p>
      <w:pPr>
        <w:spacing w:before="74"/>
        <w:ind w:left="244" w:right="0" w:firstLine="0"/>
        <w:jc w:val="center"/>
        <w:rPr>
          <w:i/>
          <w:sz w:val="16"/>
        </w:rPr>
      </w:pPr>
      <w:r>
        <w:rPr>
          <w:i/>
        </w:rPr>
        <w:t>(u,v)∈개</w:t>
      </w:r>
    </w:p>
    <w:p>
      <w:pPr>
        <w:pStyle w:val="BodyText"/>
        <w:spacing w:before="183"/>
        <w:ind w:left="847"/>
        <w:jc w:val="both"/>
      </w:pPr>
      <w:r>
        <w:rPr/>
        <w:t>where</w:t>
      </w:r>
      <w:r>
        <w:rPr>
          <w:spacing w:val="11"/>
        </w:rPr>
        <w:t> </w:t>
      </w:r>
      <w:r>
        <w:rPr>
          <w:rFonts w:ascii="Calibri"/>
          <w:i/>
        </w:rPr>
        <w:t>E</w:t>
      </w:r>
      <w:r>
        <w:rPr>
          <w:rFonts w:ascii="Cambria"/>
          <w:vertAlign w:val="subscript"/>
        </w:rPr>
        <w:t>A</w:t>
      </w:r>
      <w:r>
        <w:rPr>
          <w:rFonts w:ascii="Cambria"/>
          <w:spacing w:val="30"/>
          <w:vertAlign w:val="baseline"/>
        </w:rPr>
        <w:t> </w:t>
      </w:r>
      <w:r>
        <w:rPr>
          <w:vertAlign w:val="baseline"/>
        </w:rPr>
        <w:t>denotes</w:t>
      </w:r>
      <w:r>
        <w:rPr>
          <w:spacing w:val="11"/>
          <w:vertAlign w:val="baseline"/>
        </w:rPr>
        <w:t> </w:t>
      </w:r>
      <w:r>
        <w:rPr>
          <w:vertAlign w:val="baseline"/>
        </w:rPr>
        <w:t>attacker-created</w:t>
      </w:r>
      <w:r>
        <w:rPr>
          <w:spacing w:val="11"/>
          <w:vertAlign w:val="baseline"/>
        </w:rPr>
        <w:t> </w:t>
      </w:r>
      <w:r>
        <w:rPr>
          <w:spacing w:val="-2"/>
          <w:vertAlign w:val="baseline"/>
        </w:rPr>
        <w:t>edges.</w:t>
      </w:r>
    </w:p>
    <w:p>
      <w:pPr>
        <w:pStyle w:val="BodyText"/>
        <w:spacing w:before="183"/>
        <w:ind w:left="847"/>
        <w:jc w:val="both"/>
      </w:pPr>
      <w:r>
        <w:rPr>
          <w:i/>
        </w:rPr>
        <w:t>여기서 EA는 공격자가 생성한 에지를 나타냅니다.</w:t>
      </w:r>
    </w:p>
    <w:p>
      <w:pPr>
        <w:pStyle w:val="ListParagraph"/>
        <w:numPr>
          <w:ilvl w:val="0"/>
          <w:numId w:val="25"/>
        </w:numPr>
        <w:tabs>
          <w:tab w:pos="856" w:val="left" w:leader="none"/>
        </w:tabs>
        <w:spacing w:line="384" w:lineRule="auto" w:before="204" w:after="0"/>
        <w:ind w:left="856" w:right="524" w:hanging="311"/>
        <w:jc w:val="both"/>
        <w:rPr>
          <w:sz w:val="24"/>
        </w:rPr>
      </w:pPr>
      <w:r>
        <w:rPr>
          <w:b/>
          <w:sz w:val="24"/>
        </w:rPr>
        <w:t>Revocation</w:t>
      </w:r>
      <w:r>
        <w:rPr>
          <w:b/>
          <w:spacing w:val="-4"/>
          <w:sz w:val="24"/>
        </w:rPr>
        <w:t> </w:t>
      </w:r>
      <w:r>
        <w:rPr>
          <w:b/>
          <w:sz w:val="24"/>
        </w:rPr>
        <w:t>and</w:t>
      </w:r>
      <w:r>
        <w:rPr>
          <w:b/>
          <w:spacing w:val="-4"/>
          <w:sz w:val="24"/>
        </w:rPr>
        <w:t> </w:t>
      </w:r>
      <w:r>
        <w:rPr>
          <w:b/>
          <w:sz w:val="24"/>
        </w:rPr>
        <w:t>detection</w:t>
      </w:r>
      <w:r>
        <w:rPr>
          <w:b/>
          <w:spacing w:val="-4"/>
          <w:sz w:val="24"/>
        </w:rPr>
        <w:t> </w:t>
      </w:r>
      <w:r>
        <w:rPr>
          <w:b/>
          <w:sz w:val="24"/>
        </w:rPr>
        <w:t>cost: </w:t>
      </w:r>
      <w:r>
        <w:rPr>
          <w:sz w:val="24"/>
        </w:rPr>
        <w:t>Honest</w:t>
      </w:r>
      <w:r>
        <w:rPr>
          <w:spacing w:val="-4"/>
          <w:sz w:val="24"/>
        </w:rPr>
        <w:t> </w:t>
      </w:r>
      <w:r>
        <w:rPr>
          <w:sz w:val="24"/>
        </w:rPr>
        <w:t>users</w:t>
      </w:r>
      <w:r>
        <w:rPr>
          <w:spacing w:val="-4"/>
          <w:sz w:val="24"/>
        </w:rPr>
        <w:t> </w:t>
      </w:r>
      <w:r>
        <w:rPr>
          <w:sz w:val="24"/>
        </w:rPr>
        <w:t>revoke</w:t>
      </w:r>
      <w:r>
        <w:rPr>
          <w:spacing w:val="-4"/>
          <w:sz w:val="24"/>
        </w:rPr>
        <w:t> </w:t>
      </w:r>
      <w:r>
        <w:rPr>
          <w:sz w:val="24"/>
        </w:rPr>
        <w:t>stale</w:t>
      </w:r>
      <w:r>
        <w:rPr>
          <w:spacing w:val="-4"/>
          <w:sz w:val="24"/>
        </w:rPr>
        <w:t> </w:t>
      </w:r>
      <w:r>
        <w:rPr>
          <w:sz w:val="24"/>
        </w:rPr>
        <w:t>allowances;</w:t>
      </w:r>
      <w:r>
        <w:rPr>
          <w:spacing w:val="-4"/>
          <w:sz w:val="24"/>
        </w:rPr>
        <w:t> </w:t>
      </w:r>
      <w:r>
        <w:rPr>
          <w:sz w:val="24"/>
        </w:rPr>
        <w:t>attackers</w:t>
      </w:r>
      <w:r>
        <w:rPr>
          <w:spacing w:val="-4"/>
          <w:sz w:val="24"/>
        </w:rPr>
        <w:t> </w:t>
      </w:r>
      <w:r>
        <w:rPr>
          <w:sz w:val="24"/>
        </w:rPr>
        <w:t>who</w:t>
      </w:r>
      <w:r>
        <w:rPr>
          <w:spacing w:val="-4"/>
          <w:sz w:val="24"/>
        </w:rPr>
        <w:t> </w:t>
      </w:r>
      <w:r>
        <w:rPr>
          <w:sz w:val="24"/>
        </w:rPr>
        <w:t>never revoke may be distinguishable.</w:t>
      </w:r>
      <w:r>
        <w:rPr>
          <w:spacing w:val="40"/>
          <w:sz w:val="24"/>
        </w:rPr>
        <w:t> </w:t>
      </w:r>
      <w:r>
        <w:rPr>
          <w:sz w:val="24"/>
        </w:rPr>
        <w:t>Let </w:t>
      </w:r>
      <w:r>
        <w:rPr>
          <w:rFonts w:ascii="Calibri" w:hAnsi="Calibri"/>
          <w:i/>
          <w:sz w:val="24"/>
        </w:rPr>
        <w:t>c</w:t>
      </w:r>
      <w:r>
        <w:rPr>
          <w:sz w:val="24"/>
          <w:vertAlign w:val="subscript"/>
        </w:rPr>
        <w:t>rev</w:t>
      </w:r>
      <w:r>
        <w:rPr>
          <w:sz w:val="24"/>
          <w:vertAlign w:val="baseline"/>
        </w:rPr>
        <w:t> be the expected cost of periodic revocation and </w:t>
      </w:r>
      <w:r>
        <w:rPr>
          <w:sz w:val="24"/>
          <w:vertAlign w:val="baseline"/>
        </w:rPr>
        <w:t>re-approval needed to maintain a target edge set over </w:t>
      </w:r>
      <w:r>
        <w:rPr>
          <w:rFonts w:ascii="Calibri" w:hAnsi="Calibri"/>
          <w:i/>
          <w:sz w:val="24"/>
          <w:vertAlign w:val="baseline"/>
        </w:rPr>
        <w:t>k </w:t>
      </w:r>
      <w:r>
        <w:rPr>
          <w:sz w:val="24"/>
          <w:vertAlign w:val="baseline"/>
        </w:rPr>
        <w:t>refresh epochs:</w:t>
      </w:r>
    </w:p>
    <w:p>
      <w:pPr>
        <w:pStyle w:val="ListParagraph"/>
        <w:numPr>
          <w:ilvl w:val="0"/>
          <w:numId w:val="25"/>
        </w:numPr>
        <w:tabs>
          <w:tab w:pos="856" w:val="left" w:leader="none"/>
        </w:tabs>
        <w:spacing w:line="384" w:lineRule="auto" w:before="204" w:after="0"/>
        <w:ind w:left="856" w:right="524" w:hanging="311"/>
        <w:jc w:val="both"/>
        <w:rPr>
          <w:sz w:val="24"/>
        </w:rPr>
      </w:pPr>
      <w:r>
        <w:rPr>
          <w:i/>
        </w:rPr>
        <w:t>취소 및 탐지 비용: 정직한 사용자는 오래된 허용을 취소하고, 결코 취소하지 않는 공격자는 구별될 수 있습니다. crev를 k 새로 고침 에포크에 걸쳐 설정된 대상 에지를 유지하는 데 필요한 정기적인 취소 및 재승인의 예상 비용으로 설정합니다.</w:t>
      </w:r>
    </w:p>
    <w:p>
      <w:pPr>
        <w:pStyle w:val="BodyText"/>
        <w:spacing w:before="88"/>
      </w:pPr>
    </w:p>
    <w:p>
      <w:pPr>
        <w:tabs>
          <w:tab w:pos="9196" w:val="left" w:leader="none"/>
        </w:tabs>
        <w:spacing w:before="0"/>
        <w:ind w:left="4625" w:right="0" w:firstLine="0"/>
        <w:jc w:val="left"/>
        <w:rPr>
          <w:sz w:val="24"/>
        </w:rPr>
      </w:pPr>
      <w:r>
        <w:rPr>
          <w:rFonts w:ascii="Calibri"/>
          <w:i/>
          <w:w w:val="110"/>
          <w:sz w:val="24"/>
        </w:rPr>
        <w:t>C</w:t>
      </w:r>
      <w:r>
        <w:rPr>
          <w:w w:val="110"/>
          <w:sz w:val="24"/>
          <w:vertAlign w:val="subscript"/>
        </w:rPr>
        <w:t>rev</w:t>
      </w:r>
      <w:r>
        <w:rPr>
          <w:spacing w:val="16"/>
          <w:w w:val="125"/>
          <w:sz w:val="24"/>
          <w:vertAlign w:val="baseline"/>
        </w:rPr>
        <w:t> </w:t>
      </w:r>
      <w:r>
        <w:rPr>
          <w:rFonts w:ascii="Calibri"/>
          <w:w w:val="125"/>
          <w:sz w:val="24"/>
          <w:vertAlign w:val="baseline"/>
        </w:rPr>
        <w:t>=</w:t>
      </w:r>
      <w:r>
        <w:rPr>
          <w:rFonts w:ascii="Calibri"/>
          <w:spacing w:val="13"/>
          <w:w w:val="125"/>
          <w:sz w:val="24"/>
          <w:vertAlign w:val="baseline"/>
        </w:rPr>
        <w:t> </w:t>
      </w:r>
      <w:r>
        <w:rPr>
          <w:rFonts w:ascii="Calibri"/>
          <w:i/>
          <w:w w:val="110"/>
          <w:sz w:val="24"/>
          <w:vertAlign w:val="baseline"/>
        </w:rPr>
        <w:t>k</w:t>
      </w:r>
      <w:r>
        <w:rPr>
          <w:rFonts w:ascii="Calibri"/>
          <w:i/>
          <w:spacing w:val="-3"/>
          <w:w w:val="110"/>
          <w:sz w:val="24"/>
          <w:vertAlign w:val="baseline"/>
        </w:rPr>
        <w:t> </w:t>
      </w:r>
      <w:r>
        <w:rPr>
          <w:rFonts w:ascii="Calibri"/>
          <w:i/>
          <w:spacing w:val="-4"/>
          <w:w w:val="110"/>
          <w:sz w:val="24"/>
          <w:vertAlign w:val="baseline"/>
        </w:rPr>
        <w:t>c</w:t>
      </w:r>
      <w:r>
        <w:rPr>
          <w:spacing w:val="-4"/>
          <w:w w:val="110"/>
          <w:sz w:val="24"/>
          <w:vertAlign w:val="subscript"/>
        </w:rPr>
        <w:t>rev</w:t>
      </w:r>
      <w:r>
        <w:rPr>
          <w:rFonts w:ascii="Calibri"/>
          <w:i/>
          <w:spacing w:val="-4"/>
          <w:w w:val="110"/>
          <w:sz w:val="24"/>
          <w:vertAlign w:val="baseline"/>
        </w:rPr>
        <w:t>.</w:t>
      </w:r>
      <w:r>
        <w:rPr>
          <w:rFonts w:ascii="Calibri"/>
          <w:i/>
          <w:sz w:val="24"/>
          <w:vertAlign w:val="baseline"/>
        </w:rPr>
        <w:tab/>
      </w:r>
      <w:r>
        <w:rPr>
          <w:spacing w:val="-2"/>
          <w:w w:val="110"/>
          <w:sz w:val="24"/>
          <w:vertAlign w:val="baseline"/>
        </w:rPr>
        <w:t>(5.5)</w:t>
      </w:r>
    </w:p>
    <w:p>
      <w:pPr>
        <w:tabs>
          <w:tab w:pos="9196" w:val="left" w:leader="none"/>
        </w:tabs>
        <w:spacing w:before="0"/>
        <w:ind w:left="4625" w:right="0" w:firstLine="0"/>
        <w:jc w:val="left"/>
        <w:rPr>
          <w:sz w:val="24"/>
        </w:rPr>
      </w:pPr>
      <w:r>
        <w:rPr>
          <w:i/>
        </w:rPr>
        <w:t>크레브 = k 크레브.</w:t>
        <w:tab/>
        <w:t>(5.5)</w:t>
      </w:r>
    </w:p>
    <w:p>
      <w:pPr>
        <w:pStyle w:val="BodyText"/>
        <w:spacing w:before="269"/>
      </w:pPr>
    </w:p>
    <w:p>
      <w:pPr>
        <w:pStyle w:val="BodyText"/>
        <w:spacing w:before="1"/>
        <w:ind w:left="274"/>
      </w:pPr>
      <w:r>
        <w:rPr/>
        <w:t>Total</w:t>
      </w:r>
      <w:r>
        <w:rPr>
          <w:spacing w:val="-12"/>
        </w:rPr>
        <w:t> </w:t>
      </w:r>
      <w:r>
        <w:rPr/>
        <w:t>attack</w:t>
      </w:r>
      <w:r>
        <w:rPr>
          <w:spacing w:val="-12"/>
        </w:rPr>
        <w:t> </w:t>
      </w:r>
      <w:r>
        <w:rPr/>
        <w:t>cost</w:t>
      </w:r>
      <w:r>
        <w:rPr>
          <w:spacing w:val="-11"/>
        </w:rPr>
        <w:t> </w:t>
      </w:r>
      <w:r>
        <w:rPr>
          <w:spacing w:val="-5"/>
        </w:rPr>
        <w:t>is</w:t>
      </w:r>
    </w:p>
    <w:p>
      <w:pPr>
        <w:pStyle w:val="BodyText"/>
        <w:spacing w:before="1"/>
        <w:ind w:left="274"/>
      </w:pPr>
      <w:r>
        <w:rPr>
          <w:i/>
        </w:rPr>
        <w:t>총 공격 비용은</w:t>
      </w:r>
    </w:p>
    <w:p>
      <w:pPr>
        <w:tabs>
          <w:tab w:pos="9196" w:val="left" w:leader="none"/>
        </w:tabs>
        <w:spacing w:before="176"/>
        <w:ind w:left="3805" w:right="0" w:firstLine="0"/>
        <w:jc w:val="left"/>
        <w:rPr>
          <w:sz w:val="24"/>
        </w:rPr>
      </w:pPr>
      <w:r>
        <w:rPr>
          <w:rFonts w:ascii="Calibri"/>
          <w:i/>
          <w:w w:val="115"/>
          <w:sz w:val="24"/>
        </w:rPr>
        <w:t>C</w:t>
      </w:r>
      <w:r>
        <w:rPr>
          <w:rFonts w:ascii="Calibri"/>
          <w:i/>
          <w:spacing w:val="35"/>
          <w:w w:val="125"/>
          <w:sz w:val="24"/>
        </w:rPr>
        <w:t> </w:t>
      </w:r>
      <w:r>
        <w:rPr>
          <w:rFonts w:ascii="Calibri"/>
          <w:w w:val="125"/>
          <w:sz w:val="24"/>
        </w:rPr>
        <w:t>=</w:t>
      </w:r>
      <w:r>
        <w:rPr>
          <w:rFonts w:ascii="Calibri"/>
          <w:spacing w:val="15"/>
          <w:w w:val="125"/>
          <w:sz w:val="24"/>
        </w:rPr>
        <w:t> </w:t>
      </w:r>
      <w:r>
        <w:rPr>
          <w:rFonts w:ascii="Calibri"/>
          <w:i/>
          <w:w w:val="115"/>
          <w:sz w:val="24"/>
        </w:rPr>
        <w:t>C</w:t>
      </w:r>
      <w:r>
        <w:rPr>
          <w:w w:val="115"/>
          <w:sz w:val="24"/>
          <w:vertAlign w:val="subscript"/>
        </w:rPr>
        <w:t>gas</w:t>
      </w:r>
      <w:r>
        <w:rPr>
          <w:spacing w:val="3"/>
          <w:w w:val="125"/>
          <w:sz w:val="24"/>
          <w:vertAlign w:val="baseline"/>
        </w:rPr>
        <w:t> </w:t>
      </w:r>
      <w:r>
        <w:rPr>
          <w:rFonts w:ascii="Calibri"/>
          <w:w w:val="125"/>
          <w:sz w:val="24"/>
          <w:vertAlign w:val="baseline"/>
        </w:rPr>
        <w:t>+</w:t>
      </w:r>
      <w:r>
        <w:rPr>
          <w:rFonts w:ascii="Calibri"/>
          <w:spacing w:val="-2"/>
          <w:w w:val="125"/>
          <w:sz w:val="24"/>
          <w:vertAlign w:val="baseline"/>
        </w:rPr>
        <w:t> </w:t>
      </w:r>
      <w:r>
        <w:rPr>
          <w:rFonts w:ascii="Calibri"/>
          <w:i/>
          <w:w w:val="115"/>
          <w:sz w:val="24"/>
          <w:vertAlign w:val="baseline"/>
        </w:rPr>
        <w:t>C</w:t>
      </w:r>
      <w:r>
        <w:rPr>
          <w:w w:val="115"/>
          <w:sz w:val="24"/>
          <w:vertAlign w:val="subscript"/>
        </w:rPr>
        <w:t>cap</w:t>
      </w:r>
      <w:r>
        <w:rPr>
          <w:spacing w:val="4"/>
          <w:w w:val="125"/>
          <w:sz w:val="24"/>
          <w:vertAlign w:val="baseline"/>
        </w:rPr>
        <w:t> </w:t>
      </w:r>
      <w:r>
        <w:rPr>
          <w:rFonts w:ascii="Calibri"/>
          <w:w w:val="125"/>
          <w:sz w:val="24"/>
          <w:vertAlign w:val="baseline"/>
        </w:rPr>
        <w:t>+</w:t>
      </w:r>
      <w:r>
        <w:rPr>
          <w:rFonts w:ascii="Calibri"/>
          <w:spacing w:val="-2"/>
          <w:w w:val="125"/>
          <w:sz w:val="24"/>
          <w:vertAlign w:val="baseline"/>
        </w:rPr>
        <w:t> </w:t>
      </w:r>
      <w:r>
        <w:rPr>
          <w:rFonts w:ascii="Calibri"/>
          <w:i/>
          <w:spacing w:val="-2"/>
          <w:w w:val="115"/>
          <w:sz w:val="24"/>
          <w:vertAlign w:val="baseline"/>
        </w:rPr>
        <w:t>C</w:t>
      </w:r>
      <w:r>
        <w:rPr>
          <w:spacing w:val="-2"/>
          <w:w w:val="115"/>
          <w:sz w:val="24"/>
          <w:vertAlign w:val="subscript"/>
        </w:rPr>
        <w:t>rev</w:t>
      </w:r>
      <w:r>
        <w:rPr>
          <w:rFonts w:ascii="Calibri"/>
          <w:i/>
          <w:spacing w:val="-2"/>
          <w:w w:val="115"/>
          <w:sz w:val="24"/>
          <w:vertAlign w:val="baseline"/>
        </w:rPr>
        <w:t>.</w:t>
      </w:r>
      <w:r>
        <w:rPr>
          <w:rFonts w:ascii="Calibri"/>
          <w:i/>
          <w:sz w:val="24"/>
          <w:vertAlign w:val="baseline"/>
        </w:rPr>
        <w:tab/>
      </w:r>
      <w:r>
        <w:rPr>
          <w:spacing w:val="-2"/>
          <w:w w:val="115"/>
          <w:sz w:val="24"/>
          <w:vertAlign w:val="baseline"/>
        </w:rPr>
        <w:t>(5.6)</w:t>
      </w:r>
    </w:p>
    <w:p>
      <w:pPr>
        <w:tabs>
          <w:tab w:pos="9196" w:val="left" w:leader="none"/>
        </w:tabs>
        <w:spacing w:before="176"/>
        <w:ind w:left="3805" w:right="0" w:firstLine="0"/>
        <w:jc w:val="left"/>
        <w:rPr>
          <w:sz w:val="24"/>
        </w:rPr>
      </w:pPr>
      <w:r>
        <w:rPr>
          <w:i/>
        </w:rPr>
        <w:t>C = C가스 + Ccap + Crev.</w:t>
        <w:tab/>
        <w:t>(5.6)</w:t>
      </w:r>
    </w:p>
    <w:p>
      <w:pPr>
        <w:pStyle w:val="BodyText"/>
        <w:spacing w:before="173"/>
      </w:pPr>
    </w:p>
    <w:p>
      <w:pPr>
        <w:pStyle w:val="Heading4"/>
        <w:numPr>
          <w:ilvl w:val="2"/>
          <w:numId w:val="8"/>
        </w:numPr>
        <w:tabs>
          <w:tab w:pos="879" w:val="left" w:leader="none"/>
        </w:tabs>
        <w:spacing w:line="240" w:lineRule="auto" w:before="0" w:after="0"/>
        <w:ind w:left="879" w:right="0" w:hanging="597"/>
        <w:jc w:val="both"/>
      </w:pPr>
      <w:bookmarkStart w:name="Influence and a cost-effectiveness bound" w:id="231"/>
      <w:bookmarkEnd w:id="231"/>
      <w:r>
        <w:rPr>
          <w:b w:val="0"/>
        </w:rPr>
      </w:r>
      <w:r>
        <w:rPr/>
        <w:t>Influence</w:t>
      </w:r>
      <w:r>
        <w:rPr>
          <w:spacing w:val="-14"/>
        </w:rPr>
        <w:t> </w:t>
      </w:r>
      <w:r>
        <w:rPr/>
        <w:t>and</w:t>
      </w:r>
      <w:r>
        <w:rPr>
          <w:spacing w:val="-14"/>
        </w:rPr>
        <w:t> </w:t>
      </w:r>
      <w:r>
        <w:rPr/>
        <w:t>a</w:t>
      </w:r>
      <w:r>
        <w:rPr>
          <w:spacing w:val="-14"/>
        </w:rPr>
        <w:t> </w:t>
      </w:r>
      <w:r>
        <w:rPr/>
        <w:t>cost-effectiveness</w:t>
      </w:r>
      <w:r>
        <w:rPr>
          <w:spacing w:val="-14"/>
        </w:rPr>
        <w:t> </w:t>
      </w:r>
      <w:r>
        <w:rPr>
          <w:spacing w:val="-2"/>
        </w:rPr>
        <w:t>bound</w:t>
      </w:r>
    </w:p>
    <w:p>
      <w:pPr>
        <w:pStyle w:val="Heading4"/>
        <w:numPr>
          <w:ilvl w:val="2"/>
          <w:numId w:val="8"/>
        </w:numPr>
        <w:tabs>
          <w:tab w:pos="879" w:val="left" w:leader="none"/>
        </w:tabs>
        <w:spacing w:line="240" w:lineRule="auto" w:before="0" w:after="0"/>
        <w:ind w:left="879" w:right="0" w:hanging="597"/>
        <w:jc w:val="both"/>
      </w:pPr>
      <w:r>
        <w:rPr>
          <w:i/>
        </w:rPr>
        <w:t>영향력과 비용 효율성의 한계</w:t>
      </w:r>
    </w:p>
    <w:p>
      <w:pPr>
        <w:pStyle w:val="BodyText"/>
        <w:spacing w:line="456" w:lineRule="exact" w:before="182"/>
        <w:ind w:left="282" w:right="563"/>
        <w:jc w:val="both"/>
      </w:pPr>
      <w:r>
        <w:rPr/>
        <w:t>Under standard PageRank sensitivity results, the influence of an edge on </w:t>
      </w:r>
      <w:r>
        <w:rPr>
          <w:b/>
        </w:rPr>
        <w:t>r </w:t>
      </w:r>
      <w:r>
        <w:rPr/>
        <w:t>is mediated by the stationary</w:t>
      </w:r>
      <w:r>
        <w:rPr>
          <w:spacing w:val="-13"/>
        </w:rPr>
        <w:t> </w:t>
      </w:r>
      <w:r>
        <w:rPr/>
        <w:t>mass</w:t>
      </w:r>
      <w:r>
        <w:rPr>
          <w:spacing w:val="-13"/>
        </w:rPr>
        <w:t> </w:t>
      </w:r>
      <w:r>
        <w:rPr/>
        <w:t>at</w:t>
      </w:r>
      <w:r>
        <w:rPr>
          <w:spacing w:val="-13"/>
        </w:rPr>
        <w:t> </w:t>
      </w:r>
      <w:r>
        <w:rPr/>
        <w:t>the</w:t>
      </w:r>
      <w:r>
        <w:rPr>
          <w:spacing w:val="-13"/>
        </w:rPr>
        <w:t> </w:t>
      </w:r>
      <w:r>
        <w:rPr/>
        <w:t>source</w:t>
      </w:r>
      <w:r>
        <w:rPr>
          <w:spacing w:val="-13"/>
        </w:rPr>
        <w:t> </w:t>
      </w:r>
      <w:r>
        <w:rPr/>
        <w:t>and</w:t>
      </w:r>
      <w:r>
        <w:rPr>
          <w:spacing w:val="-13"/>
        </w:rPr>
        <w:t> </w:t>
      </w:r>
      <w:r>
        <w:rPr/>
        <w:t>the</w:t>
      </w:r>
      <w:r>
        <w:rPr>
          <w:spacing w:val="-12"/>
        </w:rPr>
        <w:t> </w:t>
      </w:r>
      <w:r>
        <w:rPr/>
        <w:t>normalized</w:t>
      </w:r>
      <w:r>
        <w:rPr>
          <w:spacing w:val="-13"/>
        </w:rPr>
        <w:t> </w:t>
      </w:r>
      <w:r>
        <w:rPr/>
        <w:t>outgoing</w:t>
      </w:r>
      <w:r>
        <w:rPr>
          <w:spacing w:val="-13"/>
        </w:rPr>
        <w:t> </w:t>
      </w:r>
      <w:r>
        <w:rPr/>
        <w:t>weight</w:t>
      </w:r>
      <w:r>
        <w:rPr>
          <w:spacing w:val="-13"/>
        </w:rPr>
        <w:t> </w:t>
      </w:r>
      <w:hyperlink w:history="true" w:anchor="_bookmark173">
        <w:r>
          <w:rPr>
            <w:vertAlign w:val="superscript"/>
          </w:rPr>
          <w:t>[40]</w:t>
        </w:r>
      </w:hyperlink>
      <w:r>
        <w:rPr>
          <w:vertAlign w:val="baseline"/>
        </w:rPr>
        <w:t>.</w:t>
      </w:r>
      <w:r>
        <w:rPr>
          <w:spacing w:val="12"/>
          <w:vertAlign w:val="baseline"/>
        </w:rPr>
        <w:t> </w:t>
      </w:r>
      <w:r>
        <w:rPr>
          <w:vertAlign w:val="baseline"/>
        </w:rPr>
        <w:t>A</w:t>
      </w:r>
      <w:r>
        <w:rPr>
          <w:spacing w:val="-13"/>
          <w:vertAlign w:val="baseline"/>
        </w:rPr>
        <w:t> </w:t>
      </w:r>
      <w:r>
        <w:rPr>
          <w:vertAlign w:val="baseline"/>
        </w:rPr>
        <w:t>coarse</w:t>
      </w:r>
      <w:r>
        <w:rPr>
          <w:spacing w:val="-13"/>
          <w:vertAlign w:val="baseline"/>
        </w:rPr>
        <w:t> </w:t>
      </w:r>
      <w:r>
        <w:rPr>
          <w:vertAlign w:val="baseline"/>
        </w:rPr>
        <w:t>upper</w:t>
      </w:r>
      <w:r>
        <w:rPr>
          <w:spacing w:val="-13"/>
          <w:vertAlign w:val="baseline"/>
        </w:rPr>
        <w:t> </w:t>
      </w:r>
      <w:r>
        <w:rPr>
          <w:vertAlign w:val="baseline"/>
        </w:rPr>
        <w:t>bound</w:t>
      </w:r>
      <w:r>
        <w:rPr>
          <w:spacing w:val="-13"/>
          <w:vertAlign w:val="baseline"/>
        </w:rPr>
        <w:t> </w:t>
      </w:r>
      <w:r>
        <w:rPr>
          <w:vertAlign w:val="baseline"/>
        </w:rPr>
        <w:t>on</w:t>
      </w:r>
      <w:r>
        <w:rPr>
          <w:spacing w:val="-13"/>
          <w:vertAlign w:val="baseline"/>
        </w:rPr>
        <w:t> </w:t>
      </w:r>
      <w:r>
        <w:rPr>
          <w:vertAlign w:val="baseline"/>
        </w:rPr>
        <w:t>the gain in </w:t>
      </w:r>
      <w:r>
        <w:rPr>
          <w:rFonts w:ascii="Calibri" w:hAnsi="Calibri"/>
          <w:i/>
          <w:w w:val="110"/>
          <w:vertAlign w:val="baseline"/>
        </w:rPr>
        <w:t>J</w:t>
      </w:r>
      <w:r>
        <w:rPr>
          <w:rFonts w:ascii="Calibri" w:hAnsi="Calibri"/>
          <w:w w:val="110"/>
          <w:vertAlign w:val="baseline"/>
        </w:rPr>
        <w:t>(</w:t>
      </w:r>
      <w:r>
        <w:rPr>
          <w:rFonts w:ascii="Calibri" w:hAnsi="Calibri"/>
          <w:i/>
          <w:w w:val="110"/>
          <w:vertAlign w:val="baseline"/>
        </w:rPr>
        <w:t>T</w:t>
      </w:r>
      <w:r>
        <w:rPr>
          <w:rFonts w:ascii="Calibri" w:hAnsi="Calibri"/>
          <w:i/>
          <w:spacing w:val="-15"/>
          <w:w w:val="110"/>
          <w:vertAlign w:val="baseline"/>
        </w:rPr>
        <w:t> </w:t>
      </w:r>
      <w:r>
        <w:rPr>
          <w:rFonts w:ascii="Calibri" w:hAnsi="Calibri"/>
          <w:vertAlign w:val="baseline"/>
        </w:rPr>
        <w:t>) </w:t>
      </w:r>
      <w:r>
        <w:rPr>
          <w:vertAlign w:val="baseline"/>
        </w:rPr>
        <w:t>from adding edges among </w:t>
      </w:r>
      <w:r>
        <w:rPr>
          <w:rFonts w:ascii="Lucida Sans Unicode" w:hAnsi="Lucida Sans Unicode"/>
          <w:vertAlign w:val="baseline"/>
        </w:rPr>
        <w:t>A</w:t>
      </w:r>
      <w:r>
        <w:rPr>
          <w:rFonts w:ascii="Lucida Sans Unicode" w:hAnsi="Lucida Sans Unicode"/>
          <w:spacing w:val="-1"/>
          <w:vertAlign w:val="baseline"/>
        </w:rPr>
        <w:t> </w:t>
      </w:r>
      <w:r>
        <w:rPr>
          <w:vertAlign w:val="baseline"/>
        </w:rPr>
        <w:t>alone—a closed Sybil cluster with no honest inbound endorsements—is limited by the teleportation mass:</w:t>
      </w:r>
    </w:p>
    <w:p>
      <w:pPr>
        <w:pStyle w:val="BodyText"/>
        <w:spacing w:line="456" w:lineRule="exact" w:before="182"/>
        <w:ind w:left="282" w:right="563"/>
        <w:jc w:val="both"/>
      </w:pPr>
      <w:r>
        <w:rPr>
          <w:i/>
        </w:rPr>
        <w:t>표준 PageRank 민감도 결과에서 r에 대한 모서리의 영향은 소스의 고정 질량과 정규화된 나가는 무게에 의해 매개됩니다[40]. A 단독(정직한 인바운드 보증이 없는 폐쇄형 Sybil 클러스터) 사이에 간선을 추가하여 J(T) 이득에 대한 대략적인 상한은 순간 이동 질량에 의해 제한됩니다.</w:t>
      </w:r>
    </w:p>
    <w:p>
      <w:pPr>
        <w:pStyle w:val="BodyText"/>
        <w:spacing w:before="14"/>
      </w:pPr>
    </w:p>
    <w:p>
      <w:pPr>
        <w:tabs>
          <w:tab w:pos="9196" w:val="left" w:leader="none"/>
        </w:tabs>
        <w:spacing w:before="0"/>
        <w:ind w:left="3381" w:right="0" w:firstLine="0"/>
        <w:jc w:val="left"/>
        <w:rPr>
          <w:sz w:val="24"/>
        </w:rPr>
      </w:pPr>
      <w:r>
        <w:rPr>
          <w:sz w:val="24"/>
        </w:rPr>
        <mc:AlternateContent>
          <mc:Choice Requires="wps">
            <w:drawing>
              <wp:anchor distT="0" distB="0" distL="0" distR="0" allowOverlap="1" layoutInCell="1" locked="0" behindDoc="1" simplePos="0" relativeHeight="487648768">
                <wp:simplePos x="0" y="0"/>
                <wp:positionH relativeFrom="page">
                  <wp:posOffset>2789694</wp:posOffset>
                </wp:positionH>
                <wp:positionV relativeFrom="paragraph">
                  <wp:posOffset>386621</wp:posOffset>
                </wp:positionV>
                <wp:extent cx="194310" cy="105410"/>
                <wp:effectExtent l="0" t="0" r="0" b="0"/>
                <wp:wrapTopAndBottom/>
                <wp:docPr id="863" name="Textbox 863"/>
                <wp:cNvGraphicFramePr>
                  <a:graphicFrameLocks/>
                </wp:cNvGraphicFramePr>
                <a:graphic>
                  <a:graphicData uri="http://schemas.microsoft.com/office/word/2010/wordprocessingShape">
                    <wps:wsp>
                      <wps:cNvPr id="863" name="Textbox 863"/>
                      <wps:cNvSpPr txBox="1"/>
                      <wps:spPr>
                        <a:xfrm>
                          <a:off x="0" y="0"/>
                          <a:ext cx="19431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wps:txbx>
                      <wps:bodyPr wrap="square" lIns="0" tIns="0" rIns="0" bIns="0" rtlCol="0">
                        <a:noAutofit/>
                      </wps:bodyPr>
                    </wps:wsp>
                  </a:graphicData>
                </a:graphic>
              </wp:anchor>
            </w:drawing>
          </mc:Choice>
          <mc:Fallback>
            <w:pict>
              <v:shape style="position:absolute;margin-left:219.660995pt;margin-top:30.44264pt;width:15.3pt;height:8.3pt;mso-position-horizontal-relative:page;mso-position-vertical-relative:paragraph;z-index:-15667712;mso-wrap-distance-left:0;mso-wrap-distance-right:0" type="#_x0000_t202" id="docshape554"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v:textbox>
                <w10:wrap type="topAndBottom"/>
              </v:shape>
            </w:pict>
          </mc:Fallback>
        </mc:AlternateContent>
      </w:r>
      <w:r>
        <w:rPr>
          <w:sz w:val="24"/>
        </w:rPr>
        <mc:AlternateContent>
          <mc:Choice Requires="wps">
            <w:drawing>
              <wp:anchor distT="0" distB="0" distL="0" distR="0" allowOverlap="1" layoutInCell="1" locked="0" behindDoc="1" simplePos="0" relativeHeight="487649280">
                <wp:simplePos x="0" y="0"/>
                <wp:positionH relativeFrom="page">
                  <wp:posOffset>4399470</wp:posOffset>
                </wp:positionH>
                <wp:positionV relativeFrom="paragraph">
                  <wp:posOffset>386621</wp:posOffset>
                </wp:positionV>
                <wp:extent cx="194310" cy="105410"/>
                <wp:effectExtent l="0" t="0" r="0" b="0"/>
                <wp:wrapTopAndBottom/>
                <wp:docPr id="864" name="Textbox 864"/>
                <wp:cNvGraphicFramePr>
                  <a:graphicFrameLocks/>
                </wp:cNvGraphicFramePr>
                <a:graphic>
                  <a:graphicData uri="http://schemas.microsoft.com/office/word/2010/wordprocessingShape">
                    <wps:wsp>
                      <wps:cNvPr id="864" name="Textbox 864"/>
                      <wps:cNvSpPr txBox="1"/>
                      <wps:spPr>
                        <a:xfrm>
                          <a:off x="0" y="0"/>
                          <a:ext cx="194310" cy="105410"/>
                        </a:xfrm>
                        <a:prstGeom prst="rect">
                          <a:avLst/>
                        </a:prstGeom>
                      </wps:spPr>
                      <wps:txbx>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wps:txbx>
                      <wps:bodyPr wrap="square" lIns="0" tIns="0" rIns="0" bIns="0" rtlCol="0">
                        <a:noAutofit/>
                      </wps:bodyPr>
                    </wps:wsp>
                  </a:graphicData>
                </a:graphic>
              </wp:anchor>
            </w:drawing>
          </mc:Choice>
          <mc:Fallback>
            <w:pict>
              <v:shape style="position:absolute;margin-left:346.415009pt;margin-top:30.44264pt;width:15.3pt;height:8.3pt;mso-position-horizontal-relative:page;mso-position-vertical-relative:paragraph;z-index:-15667200;mso-wrap-distance-left:0;mso-wrap-distance-right:0" type="#_x0000_t202" id="docshape555" filled="false" stroked="false">
                <v:textbox inset="0,0,0,0">
                  <w:txbxContent>
                    <w:p>
                      <w:pPr>
                        <w:spacing w:line="161" w:lineRule="exact" w:before="0"/>
                        <w:ind w:left="0" w:right="0" w:firstLine="0"/>
                        <w:jc w:val="left"/>
                        <w:rPr>
                          <w:rFonts w:ascii="Cambria" w:hAnsi="Cambria"/>
                          <w:sz w:val="16"/>
                        </w:rPr>
                      </w:pPr>
                      <w:r>
                        <w:rPr>
                          <w:rFonts w:ascii="Cambria" w:hAnsi="Cambria"/>
                          <w:spacing w:val="-5"/>
                          <w:w w:val="125"/>
                          <w:sz w:val="16"/>
                        </w:rPr>
                        <w:t>i∈A</w:t>
                      </w:r>
                    </w:p>
                  </w:txbxContent>
                </v:textbox>
                <w10:wrap type="topAndBottom"/>
              </v:shape>
            </w:pict>
          </mc:Fallback>
        </mc:AlternateContent>
      </w:r>
      <w:r>
        <w:rPr>
          <w:sz w:val="24"/>
        </w:rPr>
        <mc:AlternateContent>
          <mc:Choice Requires="wps">
            <w:drawing>
              <wp:anchor distT="0" distB="0" distL="0" distR="0" allowOverlap="1" layoutInCell="1" locked="0" behindDoc="1" simplePos="0" relativeHeight="484058112">
                <wp:simplePos x="0" y="0"/>
                <wp:positionH relativeFrom="page">
                  <wp:posOffset>3088805</wp:posOffset>
                </wp:positionH>
                <wp:positionV relativeFrom="paragraph">
                  <wp:posOffset>235410</wp:posOffset>
                </wp:positionV>
                <wp:extent cx="36830" cy="1016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243.212997pt;margin-top:18.536249pt;width:2.9pt;height:8pt;mso-position-horizontal-relative:page;mso-position-vertical-relative:paragraph;z-index:-19258368" type="#_x0000_t202" id="docshape556"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8624">
                <wp:simplePos x="0" y="0"/>
                <wp:positionH relativeFrom="page">
                  <wp:posOffset>3731158</wp:posOffset>
                </wp:positionH>
                <wp:positionV relativeFrom="paragraph">
                  <wp:posOffset>275493</wp:posOffset>
                </wp:positionV>
                <wp:extent cx="204470" cy="15557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204470" cy="155575"/>
                        </a:xfrm>
                        <a:prstGeom prst="rect">
                          <a:avLst/>
                        </a:prstGeom>
                      </wps:spPr>
                      <wps:txbx>
                        <w:txbxContent>
                          <w:p>
                            <w:pPr>
                              <w:spacing w:line="244" w:lineRule="exact" w:before="0"/>
                              <w:ind w:left="0"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28"/>
                                <w:w w:val="95"/>
                                <w:sz w:val="24"/>
                              </w:rPr>
                              <w:t>|</w:t>
                            </w:r>
                          </w:p>
                        </w:txbxContent>
                      </wps:txbx>
                      <wps:bodyPr wrap="square" lIns="0" tIns="0" rIns="0" bIns="0" rtlCol="0">
                        <a:noAutofit/>
                      </wps:bodyPr>
                    </wps:wsp>
                  </a:graphicData>
                </a:graphic>
              </wp:anchor>
            </w:drawing>
          </mc:Choice>
          <mc:Fallback>
            <w:pict>
              <v:shape style="position:absolute;margin-left:293.791992pt;margin-top:21.69241pt;width:16.1pt;height:12.25pt;mso-position-horizontal-relative:page;mso-position-vertical-relative:paragraph;z-index:-19257856" type="#_x0000_t202" id="docshape557" filled="false" stroked="false">
                <v:textbox inset="0,0,0,0">
                  <w:txbxContent>
                    <w:p>
                      <w:pPr>
                        <w:spacing w:line="244" w:lineRule="exact" w:before="0"/>
                        <w:ind w:left="0"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28"/>
                          <w:w w:val="95"/>
                          <w:sz w:val="24"/>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4059136">
                <wp:simplePos x="0" y="0"/>
                <wp:positionH relativeFrom="page">
                  <wp:posOffset>4698568</wp:posOffset>
                </wp:positionH>
                <wp:positionV relativeFrom="paragraph">
                  <wp:posOffset>235410</wp:posOffset>
                </wp:positionV>
                <wp:extent cx="36830" cy="1016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36830" cy="101600"/>
                        </a:xfrm>
                        <a:prstGeom prst="rect">
                          <a:avLst/>
                        </a:prstGeom>
                      </wps:spPr>
                      <wps:txbx>
                        <w:txbxContent>
                          <w:p>
                            <w:pPr>
                              <w:spacing w:line="155" w:lineRule="exact" w:before="0"/>
                              <w:ind w:left="0" w:right="0" w:firstLine="0"/>
                              <w:jc w:val="left"/>
                              <w:rPr>
                                <w:rFonts w:ascii="Cambria"/>
                                <w:sz w:val="16"/>
                              </w:rPr>
                            </w:pPr>
                            <w:r>
                              <w:rPr>
                                <w:rFonts w:ascii="Cambria"/>
                                <w:spacing w:val="-10"/>
                                <w:w w:val="130"/>
                                <w:sz w:val="16"/>
                              </w:rPr>
                              <w:t>i</w:t>
                            </w:r>
                          </w:p>
                        </w:txbxContent>
                      </wps:txbx>
                      <wps:bodyPr wrap="square" lIns="0" tIns="0" rIns="0" bIns="0" rtlCol="0">
                        <a:noAutofit/>
                      </wps:bodyPr>
                    </wps:wsp>
                  </a:graphicData>
                </a:graphic>
              </wp:anchor>
            </w:drawing>
          </mc:Choice>
          <mc:Fallback>
            <w:pict>
              <v:shape style="position:absolute;margin-left:369.966003pt;margin-top:18.536249pt;width:2.9pt;height:8pt;mso-position-horizontal-relative:page;mso-position-vertical-relative:paragraph;z-index:-19257344" type="#_x0000_t202" id="docshape558" filled="false" stroked="false">
                <v:textbox inset="0,0,0,0">
                  <w:txbxContent>
                    <w:p>
                      <w:pPr>
                        <w:spacing w:line="155" w:lineRule="exact" w:before="0"/>
                        <w:ind w:left="0" w:right="0" w:firstLine="0"/>
                        <w:jc w:val="left"/>
                        <w:rPr>
                          <w:rFonts w:ascii="Cambria"/>
                          <w:sz w:val="16"/>
                        </w:rPr>
                      </w:pPr>
                      <w:r>
                        <w:rPr>
                          <w:rFonts w:ascii="Cambria"/>
                          <w:spacing w:val="-10"/>
                          <w:w w:val="130"/>
                          <w:sz w:val="16"/>
                        </w:rPr>
                        <w:t>i</w:t>
                      </w:r>
                    </w:p>
                  </w:txbxContent>
                </v:textbox>
                <w10:wrap type="none"/>
              </v:shape>
            </w:pict>
          </mc:Fallback>
        </mc:AlternateContent>
      </w:r>
      <w:bookmarkStart w:name="_bookmark122" w:id="232"/>
      <w:bookmarkEnd w:id="232"/>
      <w:r>
        <w:rPr/>
      </w:r>
      <w:r>
        <w:rPr>
          <w:w w:val="210"/>
          <w:position w:val="23"/>
          <w:sz w:val="24"/>
        </w:rPr>
        <w:t>Σ</w:t>
      </w:r>
      <w:r>
        <w:rPr>
          <w:spacing w:val="-87"/>
          <w:w w:val="210"/>
          <w:position w:val="23"/>
          <w:sz w:val="24"/>
        </w:rPr>
        <w:t> </w:t>
      </w:r>
      <w:r>
        <w:rPr>
          <w:rFonts w:ascii="Calibri" w:hAnsi="Calibri"/>
          <w:i/>
          <w:w w:val="110"/>
          <w:sz w:val="24"/>
        </w:rPr>
        <w:t>r</w:t>
      </w:r>
      <w:r>
        <w:rPr>
          <w:rFonts w:ascii="Calibri" w:hAnsi="Calibri"/>
          <w:i/>
          <w:spacing w:val="26"/>
          <w:w w:val="110"/>
          <w:sz w:val="24"/>
        </w:rPr>
        <w:t> </w:t>
      </w:r>
      <w:r>
        <w:rPr>
          <w:rFonts w:ascii="Lucida Sans Unicode" w:hAnsi="Lucida Sans Unicode"/>
          <w:w w:val="110"/>
          <w:sz w:val="24"/>
        </w:rPr>
        <w:t>≤</w:t>
      </w:r>
      <w:r>
        <w:rPr>
          <w:rFonts w:ascii="Lucida Sans Unicode" w:hAnsi="Lucida Sans Unicode"/>
          <w:spacing w:val="-20"/>
          <w:w w:val="110"/>
          <w:sz w:val="24"/>
        </w:rPr>
        <w:t> </w:t>
      </w:r>
      <w:r>
        <w:rPr>
          <w:rFonts w:ascii="Lucida Sans Unicode" w:hAnsi="Lucida Sans Unicode"/>
          <w:w w:val="110"/>
          <w:sz w:val="24"/>
        </w:rPr>
        <w:t>|A|</w:t>
      </w:r>
      <w:r>
        <w:rPr>
          <w:rFonts w:ascii="Lucida Sans Unicode" w:hAnsi="Lucida Sans Unicode"/>
          <w:spacing w:val="-31"/>
          <w:w w:val="110"/>
          <w:sz w:val="24"/>
        </w:rPr>
        <w:t> </w:t>
      </w:r>
      <w:r>
        <w:rPr>
          <w:rFonts w:ascii="Lucida Sans Unicode" w:hAnsi="Lucida Sans Unicode"/>
          <w:w w:val="75"/>
          <w:sz w:val="24"/>
        </w:rPr>
        <w:t>·</w:t>
      </w:r>
      <w:r>
        <w:rPr>
          <w:rFonts w:ascii="Lucida Sans Unicode" w:hAnsi="Lucida Sans Unicode"/>
          <w:spacing w:val="-27"/>
          <w:w w:val="110"/>
          <w:sz w:val="24"/>
        </w:rPr>
        <w:t> </w:t>
      </w:r>
      <w:r>
        <w:rPr>
          <w:rFonts w:ascii="Calibri" w:hAnsi="Calibri"/>
          <w:w w:val="110"/>
          <w:position w:val="16"/>
          <w:sz w:val="24"/>
          <w:u w:val="single"/>
        </w:rPr>
        <w:t>1</w:t>
      </w:r>
      <w:r>
        <w:rPr>
          <w:rFonts w:ascii="Calibri" w:hAnsi="Calibri"/>
          <w:spacing w:val="-15"/>
          <w:w w:val="110"/>
          <w:position w:val="16"/>
          <w:sz w:val="24"/>
          <w:u w:val="single"/>
        </w:rPr>
        <w:t> </w:t>
      </w:r>
      <w:r>
        <w:rPr>
          <w:rFonts w:ascii="Lucida Sans Unicode" w:hAnsi="Lucida Sans Unicode"/>
          <w:position w:val="16"/>
          <w:sz w:val="24"/>
          <w:u w:val="single"/>
        </w:rPr>
        <w:t>—</w:t>
      </w:r>
      <w:r>
        <w:rPr>
          <w:rFonts w:ascii="Lucida Sans Unicode" w:hAnsi="Lucida Sans Unicode"/>
          <w:spacing w:val="-23"/>
          <w:position w:val="16"/>
          <w:sz w:val="24"/>
          <w:u w:val="single"/>
        </w:rPr>
        <w:t> </w:t>
      </w:r>
      <w:r>
        <w:rPr>
          <w:rFonts w:ascii="Calibri" w:hAnsi="Calibri"/>
          <w:i/>
          <w:w w:val="110"/>
          <w:position w:val="16"/>
          <w:sz w:val="24"/>
          <w:u w:val="single"/>
        </w:rPr>
        <w:t>d</w:t>
      </w:r>
      <w:r>
        <w:rPr>
          <w:rFonts w:ascii="Calibri" w:hAnsi="Calibri"/>
          <w:i/>
          <w:spacing w:val="-9"/>
          <w:w w:val="110"/>
          <w:position w:val="16"/>
          <w:sz w:val="24"/>
        </w:rPr>
        <w:t> </w:t>
      </w:r>
      <w:r>
        <w:rPr>
          <w:rFonts w:ascii="Calibri" w:hAnsi="Calibri"/>
          <w:w w:val="130"/>
          <w:sz w:val="24"/>
        </w:rPr>
        <w:t>+</w:t>
      </w:r>
      <w:r>
        <w:rPr>
          <w:rFonts w:ascii="Calibri" w:hAnsi="Calibri"/>
          <w:spacing w:val="-18"/>
          <w:w w:val="130"/>
          <w:sz w:val="24"/>
        </w:rPr>
        <w:t> </w:t>
      </w:r>
      <w:r>
        <w:rPr>
          <w:rFonts w:ascii="Calibri" w:hAnsi="Calibri"/>
          <w:i/>
          <w:w w:val="110"/>
          <w:sz w:val="24"/>
        </w:rPr>
        <w:t>d</w:t>
      </w:r>
      <w:r>
        <w:rPr>
          <w:rFonts w:ascii="Calibri" w:hAnsi="Calibri"/>
          <w:i/>
          <w:spacing w:val="-14"/>
          <w:w w:val="110"/>
          <w:sz w:val="24"/>
        </w:rPr>
        <w:t> </w:t>
      </w:r>
      <w:r>
        <w:rPr>
          <w:rFonts w:ascii="Lucida Sans Unicode" w:hAnsi="Lucida Sans Unicode"/>
          <w:w w:val="75"/>
          <w:sz w:val="24"/>
        </w:rPr>
        <w:t>·</w:t>
      </w:r>
      <w:r>
        <w:rPr>
          <w:rFonts w:ascii="Lucida Sans Unicode" w:hAnsi="Lucida Sans Unicode"/>
          <w:spacing w:val="-4"/>
          <w:w w:val="75"/>
          <w:sz w:val="24"/>
        </w:rPr>
        <w:t> </w:t>
      </w:r>
      <w:r>
        <w:rPr>
          <w:w w:val="210"/>
          <w:position w:val="23"/>
          <w:sz w:val="24"/>
        </w:rPr>
        <w:t>Σ</w:t>
      </w:r>
      <w:r>
        <w:rPr>
          <w:spacing w:val="-87"/>
          <w:w w:val="210"/>
          <w:position w:val="23"/>
          <w:sz w:val="24"/>
        </w:rPr>
        <w:t> </w:t>
      </w:r>
      <w:r>
        <w:rPr>
          <w:rFonts w:ascii="Calibri" w:hAnsi="Calibri"/>
          <w:i/>
          <w:w w:val="110"/>
          <w:sz w:val="24"/>
        </w:rPr>
        <w:t>r</w:t>
      </w:r>
      <w:r>
        <w:rPr>
          <w:rFonts w:ascii="Calibri" w:hAnsi="Calibri"/>
          <w:i/>
          <w:spacing w:val="-3"/>
          <w:w w:val="110"/>
          <w:sz w:val="24"/>
        </w:rPr>
        <w:t> </w:t>
      </w:r>
      <w:r>
        <w:rPr>
          <w:rFonts w:ascii="Calibri" w:hAnsi="Calibri"/>
          <w:i/>
          <w:spacing w:val="-10"/>
          <w:w w:val="110"/>
          <w:sz w:val="24"/>
        </w:rPr>
        <w:t>,</w:t>
      </w:r>
      <w:r>
        <w:rPr>
          <w:rFonts w:ascii="Calibri" w:hAnsi="Calibri"/>
          <w:i/>
          <w:sz w:val="24"/>
        </w:rPr>
        <w:tab/>
      </w:r>
      <w:r>
        <w:rPr>
          <w:spacing w:val="-2"/>
          <w:w w:val="110"/>
          <w:sz w:val="24"/>
        </w:rPr>
        <w:t>(5.7)</w:t>
      </w:r>
    </w:p>
    <w:p>
      <w:pPr>
        <w:pStyle w:val="BodyText"/>
        <w:spacing w:before="19"/>
        <w:rPr>
          <w:sz w:val="7"/>
        </w:rPr>
      </w:pPr>
    </w:p>
    <w:p>
      <w:pPr>
        <w:pStyle w:val="BodyText"/>
        <w:spacing w:before="7"/>
        <w:rPr>
          <w:sz w:val="12"/>
        </w:rPr>
      </w:pPr>
    </w:p>
    <w:p>
      <w:pPr>
        <w:pStyle w:val="BodyText"/>
        <w:spacing w:after="0"/>
        <w:rPr>
          <w:sz w:val="12"/>
        </w:rPr>
        <w:sectPr>
          <w:pgSz w:w="11910" w:h="16840"/>
          <w:pgMar w:header="0" w:footer="2115" w:top="1840" w:bottom="2300" w:left="992" w:right="708"/>
        </w:sectPr>
      </w:pPr>
    </w:p>
    <w:p>
      <w:pPr>
        <w:pStyle w:val="BodyText"/>
        <w:spacing w:before="89"/>
        <w:ind w:left="273"/>
      </w:pPr>
      <w:r>
        <w:rPr/>
        <w:t>which</w:t>
      </w:r>
      <w:r>
        <w:rPr>
          <w:spacing w:val="-14"/>
        </w:rPr>
        <w:t> </w:t>
      </w:r>
      <w:r>
        <w:rPr/>
        <w:t>rearranges</w:t>
      </w:r>
      <w:r>
        <w:rPr>
          <w:spacing w:val="-13"/>
        </w:rPr>
        <w:t> </w:t>
      </w:r>
      <w:r>
        <w:rPr>
          <w:spacing w:val="-5"/>
        </w:rPr>
        <w:t>to</w:t>
      </w:r>
    </w:p>
    <w:p>
      <w:pPr>
        <w:pStyle w:val="BodyText"/>
        <w:spacing w:before="89"/>
        <w:ind w:left="273"/>
      </w:pPr>
      <w:r>
        <w:rPr>
          <w:i/>
        </w:rPr>
        <w:t>이는 다음과 같이 재정렬됩니다.</w:t>
      </w:r>
    </w:p>
    <w:p>
      <w:pPr>
        <w:pStyle w:val="BodyText"/>
        <w:rPr>
          <w:sz w:val="16"/>
        </w:rPr>
      </w:pPr>
      <w:r>
        <w:rPr/>
        <w:br w:type="column"/>
      </w:r>
      <w:r>
        <w:rPr>
          <w:sz w:val="16"/>
        </w:rPr>
      </w:r>
    </w:p>
    <w:p>
      <w:pPr>
        <w:pStyle w:val="BodyText"/>
        <w:spacing w:before="173"/>
        <w:rPr>
          <w:sz w:val="16"/>
        </w:rPr>
      </w:pPr>
    </w:p>
    <w:p>
      <w:pPr>
        <w:spacing w:before="0"/>
        <w:ind w:left="0" w:right="0" w:firstLine="0"/>
        <w:jc w:val="right"/>
        <w:rPr>
          <w:rFonts w:ascii="Cambria"/>
          <w:sz w:val="24"/>
        </w:rPr>
      </w:pPr>
      <w:r>
        <w:rPr>
          <w:rFonts w:ascii="Cambria"/>
          <w:sz w:val="24"/>
        </w:rPr>
        <mc:AlternateContent>
          <mc:Choice Requires="wps">
            <w:drawing>
              <wp:anchor distT="0" distB="0" distL="0" distR="0" allowOverlap="1" layoutInCell="1" locked="0" behindDoc="1" simplePos="0" relativeHeight="484057600">
                <wp:simplePos x="0" y="0"/>
                <wp:positionH relativeFrom="page">
                  <wp:posOffset>3362883</wp:posOffset>
                </wp:positionH>
                <wp:positionV relativeFrom="paragraph">
                  <wp:posOffset>-112768</wp:posOffset>
                </wp:positionV>
                <wp:extent cx="219710" cy="56324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219710" cy="563245"/>
                        </a:xfrm>
                        <a:prstGeom prst="rect">
                          <a:avLst/>
                        </a:prstGeom>
                      </wps:spPr>
                      <wps:txbx>
                        <w:txbxContent>
                          <w:p>
                            <w:pPr>
                              <w:pStyle w:val="BodyText"/>
                              <w:spacing w:line="231" w:lineRule="exact"/>
                            </w:pPr>
                            <w:r>
                              <w:rPr>
                                <w:spacing w:val="-10"/>
                                <w:w w:val="245"/>
                              </w:rPr>
                              <w:t>Σ</w:t>
                            </w:r>
                          </w:p>
                        </w:txbxContent>
                      </wps:txbx>
                      <wps:bodyPr wrap="square" lIns="0" tIns="0" rIns="0" bIns="0" rtlCol="0">
                        <a:noAutofit/>
                      </wps:bodyPr>
                    </wps:wsp>
                  </a:graphicData>
                </a:graphic>
              </wp:anchor>
            </w:drawing>
          </mc:Choice>
          <mc:Fallback>
            <w:pict>
              <v:shape style="position:absolute;margin-left:264.794006pt;margin-top:-8.879435pt;width:17.3pt;height:44.35pt;mso-position-horizontal-relative:page;mso-position-vertical-relative:paragraph;z-index:-19258880" type="#_x0000_t202" id="docshape559" filled="false" stroked="false">
                <v:textbox inset="0,0,0,0">
                  <w:txbxContent>
                    <w:p>
                      <w:pPr>
                        <w:pStyle w:val="BodyText"/>
                        <w:spacing w:line="231" w:lineRule="exact"/>
                      </w:pPr>
                      <w:r>
                        <w:rPr>
                          <w:spacing w:val="-10"/>
                          <w:w w:val="245"/>
                        </w:rPr>
                        <w:t>Σ</w:t>
                      </w:r>
                    </w:p>
                  </w:txbxContent>
                </v:textbox>
                <w10:wrap type="none"/>
              </v:shape>
            </w:pict>
          </mc:Fallback>
        </mc:AlternateContent>
      </w:r>
      <w:bookmarkStart w:name="_bookmark123" w:id="233"/>
      <w:bookmarkEnd w:id="233"/>
      <w:r>
        <w:rPr/>
      </w:r>
      <w:r>
        <w:rPr>
          <w:rFonts w:ascii="Calibri"/>
          <w:i/>
          <w:spacing w:val="-5"/>
          <w:w w:val="130"/>
          <w:sz w:val="24"/>
        </w:rPr>
        <w:t>r</w:t>
      </w:r>
      <w:r>
        <w:rPr>
          <w:rFonts w:ascii="Cambria"/>
          <w:spacing w:val="-5"/>
          <w:w w:val="130"/>
          <w:sz w:val="24"/>
          <w:vertAlign w:val="subscript"/>
        </w:rPr>
        <w:t>i</w:t>
      </w:r>
    </w:p>
    <w:p>
      <w:pPr>
        <w:spacing w:before="0"/>
        <w:ind w:left="0" w:right="0" w:firstLine="0"/>
        <w:jc w:val="right"/>
        <w:rPr>
          <w:rFonts w:ascii="Cambria"/>
          <w:sz w:val="24"/>
        </w:rPr>
      </w:pPr>
      <w:r>
        <w:rPr>
          <w:i/>
        </w:rPr>
        <w:t>리</w:t>
      </w:r>
    </w:p>
    <w:p>
      <w:pPr>
        <w:spacing w:before="64"/>
        <w:ind w:left="273" w:right="0" w:firstLine="0"/>
        <w:jc w:val="left"/>
        <w:rPr>
          <w:rFonts w:ascii="Cambria" w:hAnsi="Cambria"/>
          <w:sz w:val="16"/>
        </w:rPr>
      </w:pPr>
      <w:r>
        <w:rPr>
          <w:rFonts w:ascii="Cambria" w:hAnsi="Cambria"/>
          <w:spacing w:val="-5"/>
          <w:w w:val="125"/>
          <w:sz w:val="16"/>
        </w:rPr>
        <w:t>i∈A</w:t>
      </w:r>
    </w:p>
    <w:p>
      <w:pPr>
        <w:spacing w:before="64"/>
        <w:ind w:left="273" w:right="0" w:firstLine="0"/>
        <w:jc w:val="left"/>
        <w:rPr>
          <w:rFonts w:ascii="Cambria" w:hAnsi="Cambria"/>
          <w:sz w:val="16"/>
        </w:rPr>
      </w:pPr>
      <w:r>
        <w:rPr>
          <w:i/>
        </w:rPr>
        <w:t>나는∈A</w:t>
      </w:r>
    </w:p>
    <w:p>
      <w:pPr>
        <w:pStyle w:val="BodyText"/>
        <w:spacing w:before="65"/>
        <w:rPr>
          <w:rFonts w:ascii="Cambria"/>
        </w:rPr>
      </w:pPr>
      <w:r>
        <w:rPr/>
        <w:br w:type="column"/>
      </w:r>
      <w:r>
        <w:rPr>
          <w:rFonts w:ascii="Cambria"/>
        </w:rPr>
      </w:r>
    </w:p>
    <w:p>
      <w:pPr>
        <w:pStyle w:val="BodyText"/>
        <w:tabs>
          <w:tab w:pos="4304" w:val="left" w:leader="none"/>
        </w:tabs>
        <w:spacing w:line="426" w:lineRule="exact"/>
        <w:ind w:left="36"/>
      </w:pPr>
      <w:r>
        <w:rPr>
          <w:rFonts w:ascii="Lucida Sans Unicode" w:hAnsi="Lucida Sans Unicode"/>
        </w:rPr>
        <w:t>≤</w:t>
      </w:r>
      <w:r>
        <w:rPr>
          <w:rFonts w:ascii="Lucida Sans Unicode" w:hAnsi="Lucida Sans Unicode"/>
          <w:spacing w:val="-16"/>
        </w:rPr>
        <w:t> </w:t>
      </w:r>
      <w:r>
        <w:rPr>
          <w:rFonts w:ascii="Lucida Sans Unicode" w:hAnsi="Lucida Sans Unicode"/>
          <w:position w:val="16"/>
          <w:u w:val="single"/>
        </w:rPr>
        <w:t>|A|</w:t>
      </w:r>
      <w:r>
        <w:rPr>
          <w:rFonts w:ascii="Lucida Sans Unicode" w:hAnsi="Lucida Sans Unicode"/>
          <w:spacing w:val="-52"/>
          <w:position w:val="16"/>
        </w:rPr>
        <w:t> </w:t>
      </w:r>
      <w:r>
        <w:rPr>
          <w:rFonts w:ascii="Calibri" w:hAnsi="Calibri"/>
          <w:i/>
          <w:spacing w:val="-10"/>
        </w:rPr>
        <w:t>.</w:t>
      </w:r>
      <w:r>
        <w:rPr>
          <w:rFonts w:ascii="Calibri" w:hAnsi="Calibri"/>
          <w:i/>
        </w:rPr>
        <w:tab/>
      </w:r>
      <w:r>
        <w:rPr>
          <w:spacing w:val="-2"/>
        </w:rPr>
        <w:t>(5.8)</w:t>
      </w:r>
    </w:p>
    <w:p>
      <w:pPr>
        <w:spacing w:line="266" w:lineRule="exact" w:before="0"/>
        <w:ind w:left="313" w:right="0" w:firstLine="0"/>
        <w:jc w:val="left"/>
        <w:rPr>
          <w:rFonts w:ascii="Lucida Sans Unicode"/>
          <w:sz w:val="24"/>
        </w:rPr>
      </w:pPr>
      <w:r>
        <w:rPr>
          <w:rFonts w:ascii="Lucida Sans Unicode"/>
          <w:w w:val="90"/>
          <w:sz w:val="24"/>
        </w:rPr>
        <w:t>|</w:t>
      </w:r>
      <w:r>
        <w:rPr>
          <w:rFonts w:ascii="Calibri"/>
          <w:i/>
          <w:w w:val="90"/>
          <w:sz w:val="24"/>
        </w:rPr>
        <w:t>V</w:t>
      </w:r>
      <w:r>
        <w:rPr>
          <w:rFonts w:ascii="Calibri"/>
          <w:i/>
          <w:spacing w:val="-2"/>
          <w:w w:val="95"/>
          <w:sz w:val="24"/>
        </w:rPr>
        <w:t> </w:t>
      </w:r>
      <w:r>
        <w:rPr>
          <w:rFonts w:ascii="Lucida Sans Unicode"/>
          <w:spacing w:val="-10"/>
          <w:w w:val="95"/>
          <w:sz w:val="24"/>
        </w:rPr>
        <w:t>|</w:t>
      </w:r>
    </w:p>
    <w:p>
      <w:pPr>
        <w:spacing w:after="0" w:line="266" w:lineRule="exact"/>
        <w:jc w:val="left"/>
        <w:rPr>
          <w:rFonts w:ascii="Lucida Sans Unicode"/>
          <w:sz w:val="24"/>
        </w:rPr>
        <w:sectPr>
          <w:type w:val="continuous"/>
          <w:pgSz w:w="11910" w:h="16840"/>
          <w:pgMar w:header="0" w:footer="2115" w:top="1920" w:bottom="280" w:left="992" w:right="708"/>
          <w:cols w:num="3" w:equalWidth="0">
            <w:col w:w="2199" w:space="1851"/>
            <w:col w:w="803" w:space="39"/>
            <w:col w:w="5318"/>
          </w:cols>
        </w:sectPr>
      </w:pPr>
    </w:p>
    <w:p>
      <w:pPr>
        <w:pStyle w:val="BodyText"/>
        <w:spacing w:line="343" w:lineRule="auto" w:before="72"/>
        <w:ind w:left="282" w:right="524" w:hanging="8"/>
        <w:jc w:val="both"/>
      </w:pPr>
      <w:r>
        <w:rPr/>
        <w:t>Thus</w:t>
      </w:r>
      <w:r>
        <w:rPr>
          <w:spacing w:val="-5"/>
        </w:rPr>
        <w:t> </w:t>
      </w:r>
      <w:r>
        <w:rPr/>
        <w:t>a</w:t>
      </w:r>
      <w:r>
        <w:rPr>
          <w:spacing w:val="-5"/>
        </w:rPr>
        <w:t> </w:t>
      </w:r>
      <w:r>
        <w:rPr/>
        <w:t>closed</w:t>
      </w:r>
      <w:r>
        <w:rPr>
          <w:spacing w:val="-5"/>
        </w:rPr>
        <w:t> </w:t>
      </w:r>
      <w:r>
        <w:rPr/>
        <w:t>attacker</w:t>
      </w:r>
      <w:r>
        <w:rPr>
          <w:spacing w:val="-5"/>
        </w:rPr>
        <w:t> </w:t>
      </w:r>
      <w:r>
        <w:rPr/>
        <w:t>cluster</w:t>
      </w:r>
      <w:r>
        <w:rPr>
          <w:spacing w:val="-5"/>
        </w:rPr>
        <w:t> </w:t>
      </w:r>
      <w:r>
        <w:rPr/>
        <w:t>cannot</w:t>
      </w:r>
      <w:r>
        <w:rPr>
          <w:spacing w:val="-5"/>
        </w:rPr>
        <w:t> </w:t>
      </w:r>
      <w:r>
        <w:rPr/>
        <w:t>capture</w:t>
      </w:r>
      <w:r>
        <w:rPr>
          <w:spacing w:val="-5"/>
        </w:rPr>
        <w:t> </w:t>
      </w:r>
      <w:r>
        <w:rPr/>
        <w:t>more</w:t>
      </w:r>
      <w:r>
        <w:rPr>
          <w:spacing w:val="-5"/>
        </w:rPr>
        <w:t> </w:t>
      </w:r>
      <w:r>
        <w:rPr/>
        <w:t>than</w:t>
      </w:r>
      <w:r>
        <w:rPr>
          <w:spacing w:val="-5"/>
        </w:rPr>
        <w:t> </w:t>
      </w:r>
      <w:r>
        <w:rPr/>
        <w:t>its</w:t>
      </w:r>
      <w:r>
        <w:rPr>
          <w:spacing w:val="-5"/>
        </w:rPr>
        <w:t> </w:t>
      </w:r>
      <w:r>
        <w:rPr/>
        <w:t>population</w:t>
      </w:r>
      <w:r>
        <w:rPr>
          <w:spacing w:val="-5"/>
        </w:rPr>
        <w:t> </w:t>
      </w:r>
      <w:r>
        <w:rPr/>
        <w:t>share</w:t>
      </w:r>
      <w:r>
        <w:rPr>
          <w:spacing w:val="-5"/>
        </w:rPr>
        <w:t> </w:t>
      </w:r>
      <w:r>
        <w:rPr/>
        <w:t>of</w:t>
      </w:r>
      <w:r>
        <w:rPr>
          <w:spacing w:val="-5"/>
        </w:rPr>
        <w:t> </w:t>
      </w:r>
      <w:r>
        <w:rPr/>
        <w:t>total</w:t>
      </w:r>
      <w:r>
        <w:rPr>
          <w:spacing w:val="-5"/>
        </w:rPr>
        <w:t> </w:t>
      </w:r>
      <w:r>
        <w:rPr/>
        <w:t>rank</w:t>
      </w:r>
      <w:r>
        <w:rPr>
          <w:spacing w:val="-5"/>
        </w:rPr>
        <w:t> </w:t>
      </w:r>
      <w:r>
        <w:rPr/>
        <w:t>mass.</w:t>
      </w:r>
      <w:r>
        <w:rPr>
          <w:spacing w:val="15"/>
        </w:rPr>
        <w:t> </w:t>
      </w:r>
      <w:r>
        <w:rPr/>
        <w:t>To exceed</w:t>
      </w:r>
      <w:r>
        <w:rPr>
          <w:spacing w:val="-11"/>
        </w:rPr>
        <w:t> </w:t>
      </w:r>
      <w:r>
        <w:rPr/>
        <w:t>that</w:t>
      </w:r>
      <w:r>
        <w:rPr>
          <w:spacing w:val="-11"/>
        </w:rPr>
        <w:t> </w:t>
      </w:r>
      <w:r>
        <w:rPr/>
        <w:t>share,</w:t>
      </w:r>
      <w:r>
        <w:rPr>
          <w:spacing w:val="-10"/>
        </w:rPr>
        <w:t> </w:t>
      </w:r>
      <w:r>
        <w:rPr/>
        <w:t>the</w:t>
      </w:r>
      <w:r>
        <w:rPr>
          <w:spacing w:val="-11"/>
        </w:rPr>
        <w:t> </w:t>
      </w:r>
      <w:r>
        <w:rPr/>
        <w:t>attacker</w:t>
      </w:r>
      <w:r>
        <w:rPr>
          <w:spacing w:val="-11"/>
        </w:rPr>
        <w:t> </w:t>
      </w:r>
      <w:r>
        <w:rPr/>
        <w:t>needs</w:t>
      </w:r>
      <w:r>
        <w:rPr>
          <w:spacing w:val="-11"/>
        </w:rPr>
        <w:t> </w:t>
      </w:r>
      <w:r>
        <w:rPr/>
        <w:t>inbound</w:t>
      </w:r>
      <w:r>
        <w:rPr>
          <w:spacing w:val="-11"/>
        </w:rPr>
        <w:t> </w:t>
      </w:r>
      <w:r>
        <w:rPr/>
        <w:t>endorsements</w:t>
      </w:r>
      <w:r>
        <w:rPr>
          <w:spacing w:val="-11"/>
        </w:rPr>
        <w:t> </w:t>
      </w:r>
      <w:r>
        <w:rPr/>
        <w:t>from</w:t>
      </w:r>
      <w:r>
        <w:rPr>
          <w:spacing w:val="-11"/>
        </w:rPr>
        <w:t> </w:t>
      </w:r>
      <w:r>
        <w:rPr>
          <w:rFonts w:ascii="Lucida Sans Unicode" w:hAnsi="Lucida Sans Unicode"/>
        </w:rPr>
        <w:t>H</w:t>
      </w:r>
      <w:r>
        <w:rPr/>
        <w:t>,</w:t>
      </w:r>
      <w:r>
        <w:rPr>
          <w:spacing w:val="-10"/>
        </w:rPr>
        <w:t> </w:t>
      </w:r>
      <w:r>
        <w:rPr/>
        <w:t>which</w:t>
      </w:r>
      <w:r>
        <w:rPr>
          <w:spacing w:val="-11"/>
        </w:rPr>
        <w:t> </w:t>
      </w:r>
      <w:r>
        <w:rPr/>
        <w:t>requires</w:t>
      </w:r>
      <w:r>
        <w:rPr>
          <w:spacing w:val="-11"/>
        </w:rPr>
        <w:t> </w:t>
      </w:r>
      <w:r>
        <w:rPr/>
        <w:t>either</w:t>
      </w:r>
      <w:r>
        <w:rPr>
          <w:spacing w:val="-11"/>
        </w:rPr>
        <w:t> </w:t>
      </w:r>
      <w:r>
        <w:rPr/>
        <w:t>compro-mising</w:t>
      </w:r>
      <w:r>
        <w:rPr>
          <w:spacing w:val="-9"/>
        </w:rPr>
        <w:t> </w:t>
      </w:r>
      <w:r>
        <w:rPr/>
        <w:t>honest</w:t>
      </w:r>
      <w:r>
        <w:rPr>
          <w:spacing w:val="-9"/>
        </w:rPr>
        <w:t> </w:t>
      </w:r>
      <w:r>
        <w:rPr/>
        <w:t>wallets</w:t>
      </w:r>
      <w:r>
        <w:rPr>
          <w:spacing w:val="-9"/>
        </w:rPr>
        <w:t> </w:t>
      </w:r>
      <w:r>
        <w:rPr/>
        <w:t>or</w:t>
      </w:r>
      <w:r>
        <w:rPr>
          <w:spacing w:val="-9"/>
        </w:rPr>
        <w:t> </w:t>
      </w:r>
      <w:r>
        <w:rPr/>
        <w:t>inducing</w:t>
      </w:r>
      <w:r>
        <w:rPr>
          <w:spacing w:val="-9"/>
        </w:rPr>
        <w:t> </w:t>
      </w:r>
      <w:r>
        <w:rPr/>
        <w:t>honest</w:t>
      </w:r>
      <w:r>
        <w:rPr>
          <w:spacing w:val="-9"/>
        </w:rPr>
        <w:t> </w:t>
      </w:r>
      <w:r>
        <w:rPr/>
        <w:t>owners</w:t>
      </w:r>
      <w:r>
        <w:rPr>
          <w:spacing w:val="-9"/>
        </w:rPr>
        <w:t> </w:t>
      </w:r>
      <w:r>
        <w:rPr/>
        <w:t>to</w:t>
      </w:r>
      <w:r>
        <w:rPr>
          <w:spacing w:val="-9"/>
        </w:rPr>
        <w:t> </w:t>
      </w:r>
      <w:r>
        <w:rPr/>
        <w:t>approve</w:t>
      </w:r>
      <w:r>
        <w:rPr>
          <w:spacing w:val="-9"/>
        </w:rPr>
        <w:t> </w:t>
      </w:r>
      <w:r>
        <w:rPr/>
        <w:t>attacker-controlled</w:t>
      </w:r>
      <w:r>
        <w:rPr>
          <w:spacing w:val="-9"/>
        </w:rPr>
        <w:t> </w:t>
      </w:r>
      <w:r>
        <w:rPr/>
        <w:t>spenders—actions</w:t>
      </w:r>
    </w:p>
    <w:p>
      <w:pPr>
        <w:pStyle w:val="BodyText"/>
        <w:spacing w:line="343" w:lineRule="auto" w:before="72"/>
        <w:ind w:left="282" w:right="524" w:hanging="8"/>
        <w:jc w:val="both"/>
      </w:pPr>
      <w:r>
        <w:rPr>
          <w:i/>
        </w:rPr>
        <w:t>따라서 폐쇄형 공격자 클러스터는 전체 순위 질량 중 인구 점유율보다 더 많은 것을 캡처할 수 없습니다. 해당 점유율을 초과하려면 공격자는 H의 인바운드 보증이 필요합니다. 이를 위해서는 정직한 지갑을 손상시키거나 정직한 소유자가 공격자가 제어하는 ​​지출을 승인하도록 유도해야 합니다.</w:t>
      </w:r>
    </w:p>
    <w:p>
      <w:pPr>
        <w:pStyle w:val="BodyText"/>
        <w:spacing w:line="386" w:lineRule="auto" w:before="49"/>
        <w:ind w:left="271" w:right="564" w:firstLine="2"/>
      </w:pPr>
      <w:r>
        <w:rPr/>
        <w:t>whose cost is typically dominated by </w:t>
      </w:r>
      <w:r>
        <w:rPr>
          <w:rFonts w:ascii="Calibri"/>
          <w:i/>
        </w:rPr>
        <w:t>C</w:t>
      </w:r>
      <w:r>
        <w:rPr>
          <w:vertAlign w:val="subscript"/>
        </w:rPr>
        <w:t>cap</w:t>
      </w:r>
      <w:r>
        <w:rPr>
          <w:vertAlign w:val="baseline"/>
        </w:rPr>
        <w:t> and social-engineering effort rather than gas alone. When the attacker purchases inbound allowances from honest owners (for example, by operating a service that requests approvals), the marginal cost per unit of honest-sourced weight </w:t>
      </w:r>
      <w:r>
        <w:rPr>
          <w:rFonts w:ascii="Calibri"/>
          <w:i/>
          <w:vertAlign w:val="baseline"/>
        </w:rPr>
        <w:t>w</w:t>
      </w:r>
      <w:r>
        <w:rPr>
          <w:rFonts w:ascii="Cambria"/>
          <w:vertAlign w:val="subscript"/>
        </w:rPr>
        <w:t>ha</w:t>
      </w:r>
      <w:r>
        <w:rPr>
          <w:rFonts w:ascii="Cambria"/>
          <w:vertAlign w:val="baseline"/>
        </w:rPr>
        <w:t> </w:t>
      </w:r>
      <w:r>
        <w:rPr>
          <w:vertAlign w:val="baseline"/>
        </w:rPr>
        <w:t>can be </w:t>
      </w:r>
      <w:r>
        <w:rPr>
          <w:spacing w:val="-2"/>
          <w:vertAlign w:val="baseline"/>
        </w:rPr>
        <w:t>written</w:t>
      </w:r>
    </w:p>
    <w:p>
      <w:pPr>
        <w:pStyle w:val="BodyText"/>
        <w:spacing w:line="386" w:lineRule="auto" w:before="49"/>
        <w:ind w:left="271" w:right="564" w:firstLine="2"/>
      </w:pPr>
      <w:r>
        <w:rPr>
          <w:i/>
        </w:rPr>
        <w:t>그 비용은 일반적으로 가스 단독보다는 Ccap 및 사회 공학적 노력에 의해 지배됩니다. 공격자가 정직한 소유자로부터 인바운드 허용량을 구매할 때(예: 승인을 요청하는 서비스를 운영하여) 정직하게 소싱된 중량 단위당 한계 비용은 어떻게 쓸 수 있습니까?</w:t>
      </w:r>
    </w:p>
    <w:p>
      <w:pPr>
        <w:pStyle w:val="BodyText"/>
        <w:tabs>
          <w:tab w:pos="9196" w:val="left" w:leader="none"/>
        </w:tabs>
        <w:spacing w:before="7"/>
        <w:ind w:left="3050"/>
      </w:pPr>
      <w:r>
        <w:rPr>
          <w:rFonts w:ascii="Calibri" w:hAnsi="Calibri"/>
          <w:i/>
          <w:w w:val="110"/>
        </w:rPr>
        <w:t>c</w:t>
      </w:r>
      <w:r>
        <w:rPr>
          <w:w w:val="110"/>
          <w:vertAlign w:val="subscript"/>
        </w:rPr>
        <w:t>in</w:t>
      </w:r>
      <w:r>
        <w:rPr>
          <w:rFonts w:ascii="Calibri" w:hAnsi="Calibri"/>
          <w:w w:val="110"/>
          <w:vertAlign w:val="baseline"/>
        </w:rPr>
        <w:t>(</w:t>
      </w:r>
      <w:r>
        <w:rPr>
          <w:rFonts w:ascii="Calibri" w:hAnsi="Calibri"/>
          <w:i/>
          <w:w w:val="110"/>
          <w:vertAlign w:val="baseline"/>
        </w:rPr>
        <w:t>w</w:t>
      </w:r>
      <w:r>
        <w:rPr>
          <w:rFonts w:ascii="Cambria" w:hAnsi="Cambria"/>
          <w:w w:val="110"/>
          <w:vertAlign w:val="subscript"/>
        </w:rPr>
        <w:t>ha</w:t>
      </w:r>
      <w:r>
        <w:rPr>
          <w:rFonts w:ascii="Calibri" w:hAnsi="Calibri"/>
          <w:w w:val="110"/>
          <w:vertAlign w:val="baseline"/>
        </w:rPr>
        <w:t>)</w:t>
      </w:r>
      <w:r>
        <w:rPr>
          <w:rFonts w:ascii="Calibri" w:hAnsi="Calibri"/>
          <w:spacing w:val="15"/>
          <w:w w:val="110"/>
          <w:vertAlign w:val="baseline"/>
        </w:rPr>
        <w:t> </w:t>
      </w:r>
      <w:r>
        <w:rPr>
          <w:rFonts w:ascii="Calibri" w:hAnsi="Calibri"/>
          <w:w w:val="110"/>
          <w:vertAlign w:val="baseline"/>
        </w:rPr>
        <w:t>=</w:t>
      </w:r>
      <w:r>
        <w:rPr>
          <w:rFonts w:ascii="Calibri" w:hAnsi="Calibri"/>
          <w:spacing w:val="16"/>
          <w:w w:val="110"/>
          <w:vertAlign w:val="baseline"/>
        </w:rPr>
        <w:t> </w:t>
      </w:r>
      <w:r>
        <w:rPr>
          <w:rFonts w:ascii="Calibri" w:hAnsi="Calibri"/>
          <w:i/>
          <w:w w:val="110"/>
          <w:vertAlign w:val="baseline"/>
        </w:rPr>
        <w:t>c</w:t>
      </w:r>
      <w:r>
        <w:rPr>
          <w:w w:val="110"/>
          <w:vertAlign w:val="subscript"/>
        </w:rPr>
        <w:t>gas</w:t>
      </w:r>
      <w:r>
        <w:rPr>
          <w:spacing w:val="6"/>
          <w:w w:val="110"/>
          <w:vertAlign w:val="baseline"/>
        </w:rPr>
        <w:t> </w:t>
      </w:r>
      <w:r>
        <w:rPr>
          <w:rFonts w:ascii="Calibri" w:hAnsi="Calibri"/>
          <w:w w:val="110"/>
          <w:vertAlign w:val="baseline"/>
        </w:rPr>
        <w:t>+</w:t>
      </w:r>
      <w:r>
        <w:rPr>
          <w:rFonts w:ascii="Calibri" w:hAnsi="Calibri"/>
          <w:spacing w:val="1"/>
          <w:w w:val="110"/>
          <w:vertAlign w:val="baseline"/>
        </w:rPr>
        <w:t> </w:t>
      </w:r>
      <w:r>
        <w:rPr>
          <w:rFonts w:ascii="Calibri" w:hAnsi="Calibri"/>
          <w:i/>
          <w:w w:val="110"/>
          <w:vertAlign w:val="baseline"/>
        </w:rPr>
        <w:t>ℓ</w:t>
      </w:r>
      <w:r>
        <w:rPr>
          <w:w w:val="110"/>
          <w:vertAlign w:val="subscript"/>
        </w:rPr>
        <w:t>honest</w:t>
      </w:r>
      <w:r>
        <w:rPr>
          <w:rFonts w:ascii="Calibri" w:hAnsi="Calibri"/>
          <w:w w:val="110"/>
          <w:vertAlign w:val="baseline"/>
        </w:rPr>
        <w:t>(</w:t>
      </w:r>
      <w:r>
        <w:rPr>
          <w:rFonts w:ascii="Calibri" w:hAnsi="Calibri"/>
          <w:i/>
          <w:w w:val="110"/>
          <w:vertAlign w:val="baseline"/>
        </w:rPr>
        <w:t>w</w:t>
      </w:r>
      <w:r>
        <w:rPr>
          <w:rFonts w:ascii="Cambria" w:hAnsi="Cambria"/>
          <w:w w:val="110"/>
          <w:vertAlign w:val="subscript"/>
        </w:rPr>
        <w:t>ha</w:t>
      </w:r>
      <w:r>
        <w:rPr>
          <w:rFonts w:ascii="Calibri" w:hAnsi="Calibri"/>
          <w:w w:val="110"/>
          <w:vertAlign w:val="baseline"/>
        </w:rPr>
        <w:t>) +</w:t>
      </w:r>
      <w:r>
        <w:rPr>
          <w:rFonts w:ascii="Calibri" w:hAnsi="Calibri"/>
          <w:spacing w:val="2"/>
          <w:w w:val="110"/>
          <w:vertAlign w:val="baseline"/>
        </w:rPr>
        <w:t> </w:t>
      </w:r>
      <w:r>
        <w:rPr>
          <w:rFonts w:ascii="Calibri" w:hAnsi="Calibri"/>
          <w:i/>
          <w:spacing w:val="-2"/>
          <w:w w:val="110"/>
          <w:vertAlign w:val="baseline"/>
        </w:rPr>
        <w:t>π</w:t>
      </w:r>
      <w:r>
        <w:rPr>
          <w:rFonts w:ascii="Calibri" w:hAnsi="Calibri"/>
          <w:spacing w:val="-2"/>
          <w:w w:val="110"/>
          <w:vertAlign w:val="baseline"/>
        </w:rPr>
        <w:t>(</w:t>
      </w:r>
      <w:r>
        <w:rPr>
          <w:rFonts w:ascii="Calibri" w:hAnsi="Calibri"/>
          <w:i/>
          <w:spacing w:val="-2"/>
          <w:w w:val="110"/>
          <w:vertAlign w:val="baseline"/>
        </w:rPr>
        <w:t>w</w:t>
      </w:r>
      <w:r>
        <w:rPr>
          <w:rFonts w:ascii="Cambria" w:hAnsi="Cambria"/>
          <w:spacing w:val="-2"/>
          <w:w w:val="110"/>
          <w:vertAlign w:val="subscript"/>
        </w:rPr>
        <w:t>ha</w:t>
      </w:r>
      <w:r>
        <w:rPr>
          <w:rFonts w:ascii="Calibri" w:hAnsi="Calibri"/>
          <w:spacing w:val="-2"/>
          <w:w w:val="110"/>
          <w:vertAlign w:val="baseline"/>
        </w:rPr>
        <w:t>)</w:t>
      </w:r>
      <w:r>
        <w:rPr>
          <w:rFonts w:ascii="Calibri" w:hAnsi="Calibri"/>
          <w:i/>
          <w:spacing w:val="-2"/>
          <w:w w:val="110"/>
          <w:vertAlign w:val="baseline"/>
        </w:rPr>
        <w:t>,</w:t>
      </w:r>
      <w:r>
        <w:rPr>
          <w:rFonts w:ascii="Calibri" w:hAnsi="Calibri"/>
          <w:i/>
          <w:vertAlign w:val="baseline"/>
        </w:rPr>
        <w:tab/>
      </w:r>
      <w:r>
        <w:rPr>
          <w:spacing w:val="-2"/>
          <w:w w:val="115"/>
          <w:vertAlign w:val="baseline"/>
        </w:rPr>
        <w:t>(5.9)</w:t>
      </w:r>
    </w:p>
    <w:p>
      <w:pPr>
        <w:pStyle w:val="BodyText"/>
        <w:tabs>
          <w:tab w:pos="9196" w:val="left" w:leader="none"/>
        </w:tabs>
        <w:spacing w:before="7"/>
        <w:ind w:left="3050"/>
      </w:pPr>
      <w:r>
        <w:rPr>
          <w:i/>
        </w:rPr>
        <w:t>cin(wha) = cgas + ℓ정직(wha) + π(wha),</w:t>
        <w:tab/>
        <w:t>(5.9)</w:t>
      </w:r>
    </w:p>
    <w:p>
      <w:pPr>
        <w:pStyle w:val="BodyText"/>
        <w:spacing w:before="92"/>
      </w:pPr>
    </w:p>
    <w:p>
      <w:pPr>
        <w:pStyle w:val="BodyText"/>
        <w:spacing w:line="376" w:lineRule="auto"/>
        <w:ind w:left="282" w:right="564" w:hanging="9"/>
      </w:pPr>
      <w:r>
        <w:rPr/>
        <w:t>where </w:t>
      </w:r>
      <w:r>
        <w:rPr>
          <w:rFonts w:ascii="Calibri" w:hAnsi="Calibri"/>
          <w:i/>
        </w:rPr>
        <w:t>ℓ</w:t>
      </w:r>
      <w:r>
        <w:rPr>
          <w:vertAlign w:val="subscript"/>
        </w:rPr>
        <w:t>honest</w:t>
      </w:r>
      <w:r>
        <w:rPr>
          <w:vertAlign w:val="baseline"/>
        </w:rPr>
        <w:t> is compensation paid to the honest owner and </w:t>
      </w:r>
      <w:r>
        <w:rPr>
          <w:rFonts w:ascii="Calibri" w:hAnsi="Calibri"/>
          <w:i/>
          <w:vertAlign w:val="baseline"/>
        </w:rPr>
        <w:t>π </w:t>
      </w:r>
      <w:r>
        <w:rPr>
          <w:vertAlign w:val="baseline"/>
        </w:rPr>
        <w:t>is a risk premium for potential loss from malicious spending. Cost-effectiveness of the attack is then</w:t>
      </w:r>
    </w:p>
    <w:p>
      <w:pPr>
        <w:pStyle w:val="BodyText"/>
        <w:spacing w:line="376" w:lineRule="auto"/>
        <w:ind w:left="282" w:right="564" w:hanging="9"/>
      </w:pPr>
      <w:r>
        <w:rPr>
          <w:i/>
        </w:rPr>
        <w:t>여기서 ℓhonest는 정직한 소유자에게 지급되는 보상이고 π는 악의적인 지출로 인한 잠재적 손실에 대한 위험 프리미엄입니다. 공격의 비용 효율성은 다음과 같습니다.</w:t>
      </w:r>
    </w:p>
    <w:p>
      <w:pPr>
        <w:pStyle w:val="BodyText"/>
        <w:spacing w:before="1"/>
        <w:rPr>
          <w:sz w:val="16"/>
        </w:rPr>
      </w:pPr>
    </w:p>
    <w:p>
      <w:pPr>
        <w:pStyle w:val="BodyText"/>
        <w:spacing w:after="0"/>
        <w:rPr>
          <w:sz w:val="16"/>
        </w:rPr>
        <w:sectPr>
          <w:pgSz w:w="11910" w:h="16840"/>
          <w:pgMar w:header="0" w:footer="2115" w:top="1840" w:bottom="2300" w:left="992" w:right="708"/>
        </w:sectPr>
      </w:pPr>
    </w:p>
    <w:p>
      <w:pPr>
        <w:spacing w:line="227" w:lineRule="exact" w:before="51"/>
        <w:ind w:left="4798" w:right="0" w:firstLine="0"/>
        <w:jc w:val="center"/>
        <w:rPr>
          <w:rFonts w:ascii="Calibri" w:hAnsi="Calibri"/>
          <w:sz w:val="24"/>
        </w:rPr>
      </w:pPr>
      <w:bookmarkStart w:name="_bookmark124" w:id="234"/>
      <w:bookmarkEnd w:id="234"/>
      <w:r>
        <w:rPr/>
      </w:r>
      <w:r>
        <w:rPr>
          <w:rFonts w:ascii="Calibri" w:hAnsi="Calibri"/>
          <w:w w:val="135"/>
          <w:sz w:val="24"/>
        </w:rPr>
        <w:t>∆</w:t>
      </w:r>
      <w:r>
        <w:rPr>
          <w:rFonts w:ascii="Calibri" w:hAnsi="Calibri"/>
          <w:i/>
          <w:w w:val="135"/>
          <w:sz w:val="24"/>
        </w:rPr>
        <w:t>J</w:t>
      </w:r>
      <w:r>
        <w:rPr>
          <w:rFonts w:ascii="Calibri" w:hAnsi="Calibri"/>
          <w:w w:val="135"/>
          <w:sz w:val="24"/>
        </w:rPr>
        <w:t>(</w:t>
      </w:r>
      <w:r>
        <w:rPr>
          <w:rFonts w:ascii="Calibri" w:hAnsi="Calibri"/>
          <w:i/>
          <w:w w:val="135"/>
          <w:sz w:val="24"/>
        </w:rPr>
        <w:t>T</w:t>
      </w:r>
      <w:r>
        <w:rPr>
          <w:rFonts w:ascii="Calibri" w:hAnsi="Calibri"/>
          <w:i/>
          <w:spacing w:val="-12"/>
          <w:w w:val="135"/>
          <w:sz w:val="24"/>
        </w:rPr>
        <w:t> </w:t>
      </w:r>
      <w:r>
        <w:rPr>
          <w:rFonts w:ascii="Calibri" w:hAnsi="Calibri"/>
          <w:spacing w:val="-15"/>
          <w:w w:val="135"/>
          <w:sz w:val="24"/>
        </w:rPr>
        <w:t>)</w:t>
      </w:r>
    </w:p>
    <w:p>
      <w:pPr>
        <w:spacing w:line="227" w:lineRule="exact" w:before="51"/>
        <w:ind w:left="4798" w:right="0" w:firstLine="0"/>
        <w:jc w:val="center"/>
        <w:rPr>
          <w:rFonts w:ascii="Calibri" w:hAnsi="Calibri"/>
          <w:sz w:val="24"/>
        </w:rPr>
      </w:pPr>
      <w:r>
        <w:rPr>
          <w:i/>
        </w:rPr>
        <w:t>ΔJ(티)</w:t>
      </w:r>
    </w:p>
    <w:p>
      <w:pPr>
        <w:spacing w:line="163" w:lineRule="exact" w:before="0"/>
        <w:ind w:left="0" w:right="786" w:firstLine="0"/>
        <w:jc w:val="right"/>
        <w:rPr>
          <w:rFonts w:ascii="Calibri" w:hAnsi="Calibri"/>
          <w:sz w:val="24"/>
        </w:rPr>
      </w:pPr>
      <w:r>
        <w:rPr>
          <w:rFonts w:ascii="Calibri" w:hAnsi="Calibri"/>
          <w:sz w:val="24"/>
        </w:rPr>
        <mc:AlternateContent>
          <mc:Choice Requires="wps">
            <w:drawing>
              <wp:anchor distT="0" distB="0" distL="0" distR="0" allowOverlap="1" layoutInCell="1" locked="0" behindDoc="0" simplePos="0" relativeHeight="15793152">
                <wp:simplePos x="0" y="0"/>
                <wp:positionH relativeFrom="page">
                  <wp:posOffset>3676980</wp:posOffset>
                </wp:positionH>
                <wp:positionV relativeFrom="paragraph">
                  <wp:posOffset>65732</wp:posOffset>
                </wp:positionV>
                <wp:extent cx="443865" cy="1270"/>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443865" cy="1270"/>
                        </a:xfrm>
                        <a:custGeom>
                          <a:avLst/>
                          <a:gdLst/>
                          <a:ahLst/>
                          <a:cxnLst/>
                          <a:rect l="l" t="t" r="r" b="b"/>
                          <a:pathLst>
                            <a:path w="443865" h="0">
                              <a:moveTo>
                                <a:pt x="0" y="0"/>
                              </a:moveTo>
                              <a:lnTo>
                                <a:pt x="443522"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289.526001pt,5.175822pt" to="324.449001pt,5.175822pt" stroked="true" strokeweight=".4782pt" strokecolor="#000000">
                <v:stroke dashstyle="solid"/>
                <w10:wrap type="none"/>
              </v:line>
            </w:pict>
          </mc:Fallback>
        </mc:AlternateContent>
      </w:r>
      <w:r>
        <w:rPr>
          <w:rFonts w:ascii="Calibri" w:hAnsi="Calibri"/>
          <w:i/>
          <w:w w:val="110"/>
          <w:sz w:val="24"/>
        </w:rPr>
        <w:t>η</w:t>
      </w:r>
      <w:r>
        <w:rPr>
          <w:rFonts w:ascii="Calibri" w:hAnsi="Calibri"/>
          <w:i/>
          <w:spacing w:val="-10"/>
          <w:w w:val="110"/>
          <w:sz w:val="24"/>
        </w:rPr>
        <w:t> </w:t>
      </w:r>
      <w:r>
        <w:rPr>
          <w:rFonts w:ascii="Calibri" w:hAnsi="Calibri"/>
          <w:spacing w:val="-10"/>
          <w:w w:val="135"/>
          <w:sz w:val="24"/>
        </w:rPr>
        <w:t>=</w:t>
      </w:r>
    </w:p>
    <w:p>
      <w:pPr>
        <w:spacing w:line="163" w:lineRule="exact" w:before="0"/>
        <w:ind w:left="0" w:right="786" w:firstLine="0"/>
        <w:jc w:val="right"/>
        <w:rPr>
          <w:rFonts w:ascii="Calibri" w:hAnsi="Calibri"/>
          <w:sz w:val="24"/>
        </w:rPr>
      </w:pPr>
      <w:r>
        <w:rPr>
          <w:i/>
        </w:rPr>
        <w:t>에 =</w:t>
      </w:r>
    </w:p>
    <w:p>
      <w:pPr>
        <w:spacing w:line="228" w:lineRule="exact" w:before="0"/>
        <w:ind w:left="4781" w:right="0" w:firstLine="0"/>
        <w:jc w:val="center"/>
        <w:rPr>
          <w:rFonts w:ascii="Calibri"/>
          <w:i/>
          <w:sz w:val="24"/>
        </w:rPr>
      </w:pPr>
      <w:r>
        <w:rPr>
          <w:rFonts w:ascii="Calibri"/>
          <w:i/>
          <w:spacing w:val="-10"/>
          <w:w w:val="135"/>
          <w:sz w:val="24"/>
        </w:rPr>
        <w:t>C</w:t>
      </w:r>
    </w:p>
    <w:p>
      <w:pPr>
        <w:spacing w:line="228" w:lineRule="exact" w:before="0"/>
        <w:ind w:left="4781" w:right="0" w:firstLine="0"/>
        <w:jc w:val="center"/>
        <w:rPr>
          <w:rFonts w:ascii="Calibri"/>
          <w:i/>
          <w:sz w:val="24"/>
        </w:rPr>
      </w:pPr>
      <w:r>
        <w:rPr>
          <w:i/>
        </w:rPr>
        <w:t>기음</w:t>
      </w:r>
    </w:p>
    <w:p>
      <w:pPr>
        <w:tabs>
          <w:tab w:pos="3556" w:val="left" w:leader="none"/>
        </w:tabs>
        <w:spacing w:before="213"/>
        <w:ind w:left="0" w:right="0" w:firstLine="0"/>
        <w:jc w:val="left"/>
        <w:rPr>
          <w:sz w:val="24"/>
        </w:rPr>
      </w:pPr>
      <w:r>
        <w:rPr/>
        <w:br w:type="column"/>
      </w:r>
      <w:r>
        <w:rPr>
          <w:rFonts w:ascii="Calibri"/>
          <w:i/>
          <w:spacing w:val="-10"/>
          <w:sz w:val="24"/>
        </w:rPr>
        <w:t>,</w:t>
      </w:r>
      <w:r>
        <w:rPr>
          <w:rFonts w:ascii="Calibri"/>
          <w:i/>
          <w:sz w:val="24"/>
        </w:rPr>
        <w:tab/>
      </w:r>
      <w:r>
        <w:rPr>
          <w:spacing w:val="-2"/>
          <w:sz w:val="24"/>
        </w:rPr>
        <w:t>(5.10)</w:t>
      </w:r>
    </w:p>
    <w:p>
      <w:pPr>
        <w:spacing w:after="0"/>
        <w:jc w:val="left"/>
        <w:rPr>
          <w:sz w:val="24"/>
        </w:rPr>
        <w:sectPr>
          <w:type w:val="continuous"/>
          <w:pgSz w:w="11910" w:h="16840"/>
          <w:pgMar w:header="0" w:footer="2115" w:top="1920" w:bottom="280" w:left="992" w:right="708"/>
          <w:cols w:num="2" w:equalWidth="0">
            <w:col w:w="5497" w:space="24"/>
            <w:col w:w="4689"/>
          </w:cols>
        </w:sectPr>
      </w:pPr>
    </w:p>
    <w:p>
      <w:pPr>
        <w:pStyle w:val="BodyText"/>
        <w:spacing w:before="101"/>
      </w:pPr>
    </w:p>
    <w:p>
      <w:pPr>
        <w:pStyle w:val="BodyText"/>
        <w:ind w:left="273"/>
        <w:jc w:val="both"/>
      </w:pPr>
      <w:r>
        <w:rPr/>
        <w:t>with</w:t>
      </w:r>
      <w:r>
        <w:rPr>
          <w:spacing w:val="9"/>
        </w:rPr>
        <w:t> </w:t>
      </w:r>
      <w:r>
        <w:rPr>
          <w:rFonts w:ascii="Calibri" w:hAnsi="Calibri"/>
        </w:rPr>
        <w:t>∆</w:t>
      </w:r>
      <w:r>
        <w:rPr>
          <w:rFonts w:ascii="Calibri" w:hAnsi="Calibri"/>
          <w:i/>
        </w:rPr>
        <w:t>J</w:t>
      </w:r>
      <w:r>
        <w:rPr>
          <w:rFonts w:ascii="Calibri" w:hAnsi="Calibri"/>
        </w:rPr>
        <w:t>(</w:t>
      </w:r>
      <w:r>
        <w:rPr>
          <w:rFonts w:ascii="Calibri" w:hAnsi="Calibri"/>
          <w:i/>
        </w:rPr>
        <w:t>T</w:t>
      </w:r>
      <w:r>
        <w:rPr>
          <w:rFonts w:ascii="Calibri" w:hAnsi="Calibri"/>
          <w:i/>
          <w:spacing w:val="-17"/>
        </w:rPr>
        <w:t> </w:t>
      </w:r>
      <w:r>
        <w:rPr>
          <w:rFonts w:ascii="Calibri" w:hAnsi="Calibri"/>
        </w:rPr>
        <w:t>)</w:t>
      </w:r>
      <w:r>
        <w:rPr>
          <w:rFonts w:ascii="Calibri" w:hAnsi="Calibri"/>
          <w:spacing w:val="16"/>
        </w:rPr>
        <w:t> </w:t>
      </w:r>
      <w:r>
        <w:rPr/>
        <w:t>the</w:t>
      </w:r>
      <w:r>
        <w:rPr>
          <w:spacing w:val="9"/>
        </w:rPr>
        <w:t> </w:t>
      </w:r>
      <w:r>
        <w:rPr/>
        <w:t>increase</w:t>
      </w:r>
      <w:r>
        <w:rPr>
          <w:spacing w:val="9"/>
        </w:rPr>
        <w:t> </w:t>
      </w:r>
      <w:r>
        <w:rPr/>
        <w:t>in</w:t>
      </w:r>
      <w:r>
        <w:rPr>
          <w:spacing w:val="10"/>
        </w:rPr>
        <w:t> </w:t>
      </w:r>
      <w:r>
        <w:rPr/>
        <w:t>mean</w:t>
      </w:r>
      <w:r>
        <w:rPr>
          <w:spacing w:val="9"/>
        </w:rPr>
        <w:t> </w:t>
      </w:r>
      <w:r>
        <w:rPr/>
        <w:t>target</w:t>
      </w:r>
      <w:r>
        <w:rPr>
          <w:spacing w:val="9"/>
        </w:rPr>
        <w:t> </w:t>
      </w:r>
      <w:r>
        <w:rPr/>
        <w:t>rank</w:t>
      </w:r>
      <w:r>
        <w:rPr>
          <w:spacing w:val="10"/>
        </w:rPr>
        <w:t> </w:t>
      </w:r>
      <w:r>
        <w:rPr/>
        <w:t>attributable</w:t>
      </w:r>
      <w:r>
        <w:rPr>
          <w:spacing w:val="9"/>
        </w:rPr>
        <w:t> </w:t>
      </w:r>
      <w:r>
        <w:rPr/>
        <w:t>to</w:t>
      </w:r>
      <w:r>
        <w:rPr>
          <w:spacing w:val="9"/>
        </w:rPr>
        <w:t> </w:t>
      </w:r>
      <w:r>
        <w:rPr/>
        <w:t>the</w:t>
      </w:r>
      <w:r>
        <w:rPr>
          <w:spacing w:val="10"/>
        </w:rPr>
        <w:t> </w:t>
      </w:r>
      <w:r>
        <w:rPr/>
        <w:t>attack</w:t>
      </w:r>
      <w:r>
        <w:rPr>
          <w:spacing w:val="9"/>
        </w:rPr>
        <w:t> </w:t>
      </w:r>
      <w:r>
        <w:rPr>
          <w:spacing w:val="-2"/>
        </w:rPr>
        <w:t>edges.</w:t>
      </w:r>
    </w:p>
    <w:p>
      <w:pPr>
        <w:pStyle w:val="BodyText"/>
        <w:ind w:left="273"/>
        <w:jc w:val="both"/>
      </w:pPr>
      <w:r>
        <w:rPr>
          <w:i/>
        </w:rPr>
        <w:t>ΔJ(T)를 사용하면 공격 가장자리로 인한 평균 목표 순위의 증가가 나타납니다.</w:t>
      </w:r>
    </w:p>
    <w:p>
      <w:pPr>
        <w:pStyle w:val="BodyText"/>
        <w:spacing w:line="396" w:lineRule="auto" w:before="182"/>
        <w:ind w:left="282" w:right="524"/>
        <w:jc w:val="both"/>
      </w:pPr>
      <w:r>
        <w:rPr/>
        <w:t>Equations (</w:t>
      </w:r>
      <w:hyperlink w:history="true" w:anchor="_bookmark122">
        <w:r>
          <w:rPr/>
          <w:t>5.7</w:t>
        </w:r>
      </w:hyperlink>
      <w:r>
        <w:rPr/>
        <w:t>)–(</w:t>
      </w:r>
      <w:hyperlink w:history="true" w:anchor="_bookmark124">
        <w:r>
          <w:rPr/>
          <w:t>5.10</w:t>
        </w:r>
      </w:hyperlink>
      <w:r>
        <w:rPr/>
        <w:t>) imply that EndorseRank is not Sybil-proof, but that closed-cluster infla-tion is population-share limited, and that cross-cluster inflation requires costly honest-sourced al-lowances.</w:t>
      </w:r>
      <w:r>
        <w:rPr>
          <w:spacing w:val="40"/>
        </w:rPr>
        <w:t> </w:t>
      </w:r>
      <w:r>
        <w:rPr/>
        <w:t>Transfer wash trading faces different costs (fees and inventory) but does not require exposing spending authority to external addresses.</w:t>
      </w:r>
      <w:r>
        <w:rPr>
          <w:spacing w:val="40"/>
        </w:rPr>
        <w:t> </w:t>
      </w:r>
      <w:r>
        <w:rPr/>
        <w:t>Sybil-adjusted stability proxies in Chapter </w:t>
      </w:r>
      <w:hyperlink w:history="true" w:anchor="_bookmark84">
        <w:r>
          <w:rPr/>
          <w:t>4</w:t>
        </w:r>
      </w:hyperlink>
      <w:r>
        <w:rPr/>
        <w:t> partially address observational manipulation; they do not replace adversarial evaluation, which </w:t>
      </w:r>
      <w:bookmarkStart w:name="Regulatory and ethical considerations" w:id="235"/>
      <w:bookmarkEnd w:id="235"/>
      <w:r>
        <w:rPr>
          <w:w w:val="99"/>
        </w:rPr>
      </w:r>
      <w:bookmarkStart w:name="_bookmark125" w:id="236"/>
      <w:bookmarkEnd w:id="236"/>
      <w:r>
        <w:rPr/>
        <w:t>remain</w:t>
      </w:r>
      <w:r>
        <w:rPr/>
        <w:t>s future work.</w:t>
      </w:r>
    </w:p>
    <w:p>
      <w:pPr>
        <w:pStyle w:val="BodyText"/>
        <w:spacing w:line="396" w:lineRule="auto" w:before="182"/>
        <w:ind w:left="282" w:right="524"/>
        <w:jc w:val="both"/>
      </w:pPr>
      <w:r>
        <w:rPr>
          <w:i/>
        </w:rPr>
        <w:t>방정식 (5.7)~(5.10)은 EndorseRank가 Sybil을 방지할 수는 없지만 폐쇄형 클러스터 인플레이션은 인구 점유율이 제한적이며 클러스터 간 인플레이션에는 비용이 많이 들고 정직하게 조달된 수당이 필요하다는 것을 의미합니다. 가장매매는 다양한 비용(수수료 및 재고)을 안고 있지만 지출 권한을 외부 주소에 노출할 필요는 없습니다. 4장의 Sybil 조정된 안정성 프록시는 관찰 조작을 부분적으로 다루며, 향후 작업으로 남아 있는 적대적 평가를 대체하지 않습니다.</w:t>
      </w:r>
    </w:p>
    <w:p>
      <w:pPr>
        <w:pStyle w:val="BodyText"/>
        <w:spacing w:before="165"/>
      </w:pPr>
    </w:p>
    <w:p>
      <w:pPr>
        <w:pStyle w:val="Heading2"/>
        <w:numPr>
          <w:ilvl w:val="1"/>
          <w:numId w:val="8"/>
        </w:numPr>
        <w:tabs>
          <w:tab w:pos="783" w:val="left" w:leader="none"/>
        </w:tabs>
        <w:spacing w:line="240" w:lineRule="auto" w:before="0" w:after="0"/>
        <w:ind w:left="783" w:right="0" w:hanging="501"/>
        <w:jc w:val="left"/>
      </w:pPr>
      <w:r>
        <w:rPr/>
        <w:t>Regulatory</w:t>
      </w:r>
      <w:r>
        <w:rPr>
          <w:spacing w:val="17"/>
        </w:rPr>
        <w:t> </w:t>
      </w:r>
      <w:r>
        <w:rPr/>
        <w:t>and</w:t>
      </w:r>
      <w:r>
        <w:rPr>
          <w:spacing w:val="18"/>
        </w:rPr>
        <w:t> </w:t>
      </w:r>
      <w:r>
        <w:rPr/>
        <w:t>ethical</w:t>
      </w:r>
      <w:r>
        <w:rPr>
          <w:spacing w:val="17"/>
        </w:rPr>
        <w:t> </w:t>
      </w:r>
      <w:r>
        <w:rPr>
          <w:spacing w:val="-2"/>
        </w:rPr>
        <w:t>considerations</w:t>
      </w:r>
    </w:p>
    <w:p>
      <w:pPr>
        <w:pStyle w:val="Heading2"/>
        <w:numPr>
          <w:ilvl w:val="1"/>
          <w:numId w:val="8"/>
        </w:numPr>
        <w:tabs>
          <w:tab w:pos="783" w:val="left" w:leader="none"/>
        </w:tabs>
        <w:spacing w:line="240" w:lineRule="auto" w:before="0" w:after="0"/>
        <w:ind w:left="783" w:right="0" w:hanging="501"/>
        <w:jc w:val="left"/>
      </w:pPr>
      <w:r>
        <w:rPr>
          <w:i/>
        </w:rPr>
        <w:t>규제 및 윤리적 고려 사항</w:t>
      </w:r>
    </w:p>
    <w:p>
      <w:pPr>
        <w:pStyle w:val="BodyText"/>
        <w:spacing w:before="24"/>
        <w:rPr>
          <w:b/>
          <w:sz w:val="28"/>
        </w:rPr>
      </w:pPr>
    </w:p>
    <w:p>
      <w:pPr>
        <w:pStyle w:val="BodyText"/>
        <w:spacing w:line="396" w:lineRule="auto"/>
        <w:ind w:left="282" w:right="524"/>
        <w:jc w:val="both"/>
      </w:pPr>
      <w:r>
        <w:rPr/>
        <w:t>On-chain reputation scores occupy a contested space between transparency and fairness.</w:t>
      </w:r>
      <w:r>
        <w:rPr>
          <w:spacing w:val="40"/>
        </w:rPr>
        <w:t> </w:t>
      </w:r>
      <w:r>
        <w:rPr/>
        <w:t>Legal and</w:t>
      </w:r>
      <w:r>
        <w:rPr>
          <w:spacing w:val="-9"/>
        </w:rPr>
        <w:t> </w:t>
      </w:r>
      <w:r>
        <w:rPr/>
        <w:t>regulatory</w:t>
      </w:r>
      <w:r>
        <w:rPr>
          <w:spacing w:val="-9"/>
        </w:rPr>
        <w:t> </w:t>
      </w:r>
      <w:r>
        <w:rPr/>
        <w:t>analyses</w:t>
      </w:r>
      <w:r>
        <w:rPr>
          <w:spacing w:val="-9"/>
        </w:rPr>
        <w:t> </w:t>
      </w:r>
      <w:r>
        <w:rPr/>
        <w:t>of</w:t>
      </w:r>
      <w:r>
        <w:rPr>
          <w:spacing w:val="-9"/>
        </w:rPr>
        <w:t> </w:t>
      </w:r>
      <w:r>
        <w:rPr/>
        <w:t>DeFi</w:t>
      </w:r>
      <w:r>
        <w:rPr>
          <w:spacing w:val="-9"/>
        </w:rPr>
        <w:t> </w:t>
      </w:r>
      <w:r>
        <w:rPr/>
        <w:t>emphasize</w:t>
      </w:r>
      <w:r>
        <w:rPr>
          <w:spacing w:val="-8"/>
        </w:rPr>
        <w:t> </w:t>
      </w:r>
      <w:r>
        <w:rPr/>
        <w:t>that</w:t>
      </w:r>
      <w:r>
        <w:rPr>
          <w:spacing w:val="-9"/>
        </w:rPr>
        <w:t> </w:t>
      </w:r>
      <w:r>
        <w:rPr/>
        <w:t>decentralized</w:t>
      </w:r>
      <w:r>
        <w:rPr>
          <w:spacing w:val="-9"/>
        </w:rPr>
        <w:t> </w:t>
      </w:r>
      <w:r>
        <w:rPr/>
        <w:t>markets</w:t>
      </w:r>
      <w:r>
        <w:rPr>
          <w:spacing w:val="-9"/>
        </w:rPr>
        <w:t> </w:t>
      </w:r>
      <w:r>
        <w:rPr/>
        <w:t>remain</w:t>
      </w:r>
      <w:r>
        <w:rPr>
          <w:spacing w:val="-9"/>
        </w:rPr>
        <w:t> </w:t>
      </w:r>
      <w:r>
        <w:rPr/>
        <w:t>subject</w:t>
      </w:r>
      <w:r>
        <w:rPr>
          <w:spacing w:val="-8"/>
        </w:rPr>
        <w:t> </w:t>
      </w:r>
      <w:r>
        <w:rPr/>
        <w:t>to</w:t>
      </w:r>
      <w:r>
        <w:rPr>
          <w:spacing w:val="-9"/>
        </w:rPr>
        <w:t> </w:t>
      </w:r>
      <w:r>
        <w:rPr/>
        <w:t>disclosure and</w:t>
      </w:r>
      <w:r>
        <w:rPr>
          <w:spacing w:val="-4"/>
        </w:rPr>
        <w:t> </w:t>
      </w:r>
      <w:r>
        <w:rPr/>
        <w:t>consumer-protection</w:t>
      </w:r>
      <w:r>
        <w:rPr>
          <w:spacing w:val="-5"/>
        </w:rPr>
        <w:t> </w:t>
      </w:r>
      <w:r>
        <w:rPr/>
        <w:t>concerns</w:t>
      </w:r>
      <w:r>
        <w:rPr>
          <w:spacing w:val="-4"/>
        </w:rPr>
        <w:t> </w:t>
      </w:r>
      <w:r>
        <w:rPr/>
        <w:t>even</w:t>
      </w:r>
      <w:r>
        <w:rPr>
          <w:spacing w:val="-4"/>
        </w:rPr>
        <w:t> </w:t>
      </w:r>
      <w:r>
        <w:rPr/>
        <w:t>when</w:t>
      </w:r>
      <w:r>
        <w:rPr>
          <w:spacing w:val="-4"/>
        </w:rPr>
        <w:t> </w:t>
      </w:r>
      <w:r>
        <w:rPr/>
        <w:t>settlement</w:t>
      </w:r>
      <w:r>
        <w:rPr>
          <w:spacing w:val="-4"/>
        </w:rPr>
        <w:t> </w:t>
      </w:r>
      <w:r>
        <w:rPr/>
        <w:t>is</w:t>
      </w:r>
      <w:r>
        <w:rPr>
          <w:spacing w:val="-4"/>
        </w:rPr>
        <w:t> </w:t>
      </w:r>
      <w:r>
        <w:rPr/>
        <w:t>on-chain</w:t>
      </w:r>
      <w:r>
        <w:rPr>
          <w:spacing w:val="-4"/>
        </w:rPr>
        <w:t> </w:t>
      </w:r>
      <w:hyperlink w:history="true" w:anchor="_bookmark195">
        <w:r>
          <w:rPr>
            <w:vertAlign w:val="superscript"/>
          </w:rPr>
          <w:t>[62]</w:t>
        </w:r>
      </w:hyperlink>
      <w:r>
        <w:rPr>
          <w:vertAlign w:val="baseline"/>
        </w:rPr>
        <w:t>. Packin</w:t>
      </w:r>
      <w:r>
        <w:rPr>
          <w:spacing w:val="-4"/>
          <w:vertAlign w:val="baseline"/>
        </w:rPr>
        <w:t> </w:t>
      </w:r>
      <w:r>
        <w:rPr>
          <w:vertAlign w:val="baseline"/>
        </w:rPr>
        <w:t>and</w:t>
      </w:r>
      <w:r>
        <w:rPr>
          <w:spacing w:val="-4"/>
          <w:vertAlign w:val="baseline"/>
        </w:rPr>
        <w:t> </w:t>
      </w:r>
      <w:r>
        <w:rPr>
          <w:vertAlign w:val="baseline"/>
        </w:rPr>
        <w:t>Lev-Aretz</w:t>
      </w:r>
      <w:hyperlink w:history="true" w:anchor="_bookmark181">
        <w:r>
          <w:rPr>
            <w:vertAlign w:val="superscript"/>
          </w:rPr>
          <w:t>[48]</w:t>
        </w:r>
      </w:hyperlink>
      <w:r>
        <w:rPr>
          <w:vertAlign w:val="baseline"/>
        </w:rPr>
        <w:t> caution</w:t>
      </w:r>
      <w:r>
        <w:rPr>
          <w:spacing w:val="-8"/>
          <w:vertAlign w:val="baseline"/>
        </w:rPr>
        <w:t> </w:t>
      </w:r>
      <w:r>
        <w:rPr>
          <w:vertAlign w:val="baseline"/>
        </w:rPr>
        <w:t>that</w:t>
      </w:r>
      <w:r>
        <w:rPr>
          <w:spacing w:val="-7"/>
          <w:vertAlign w:val="baseline"/>
        </w:rPr>
        <w:t> </w:t>
      </w:r>
      <w:r>
        <w:rPr>
          <w:vertAlign w:val="baseline"/>
        </w:rPr>
        <w:t>decentralized</w:t>
      </w:r>
      <w:r>
        <w:rPr>
          <w:spacing w:val="-7"/>
          <w:vertAlign w:val="baseline"/>
        </w:rPr>
        <w:t> </w:t>
      </w:r>
      <w:r>
        <w:rPr>
          <w:vertAlign w:val="baseline"/>
        </w:rPr>
        <w:t>credit</w:t>
      </w:r>
      <w:r>
        <w:rPr>
          <w:spacing w:val="-7"/>
          <w:vertAlign w:val="baseline"/>
        </w:rPr>
        <w:t> </w:t>
      </w:r>
      <w:r>
        <w:rPr>
          <w:vertAlign w:val="baseline"/>
        </w:rPr>
        <w:t>scoring</w:t>
      </w:r>
      <w:r>
        <w:rPr>
          <w:spacing w:val="-7"/>
          <w:vertAlign w:val="baseline"/>
        </w:rPr>
        <w:t> </w:t>
      </w:r>
      <w:r>
        <w:rPr>
          <w:vertAlign w:val="baseline"/>
        </w:rPr>
        <w:t>can</w:t>
      </w:r>
      <w:r>
        <w:rPr>
          <w:spacing w:val="-7"/>
          <w:vertAlign w:val="baseline"/>
        </w:rPr>
        <w:t> </w:t>
      </w:r>
      <w:r>
        <w:rPr>
          <w:vertAlign w:val="baseline"/>
        </w:rPr>
        <w:t>reproduce</w:t>
      </w:r>
      <w:r>
        <w:rPr>
          <w:spacing w:val="-7"/>
          <w:vertAlign w:val="baseline"/>
        </w:rPr>
        <w:t> </w:t>
      </w:r>
      <w:r>
        <w:rPr>
          <w:vertAlign w:val="baseline"/>
        </w:rPr>
        <w:t>black-box</w:t>
      </w:r>
      <w:r>
        <w:rPr>
          <w:spacing w:val="-7"/>
          <w:vertAlign w:val="baseline"/>
        </w:rPr>
        <w:t> </w:t>
      </w:r>
      <w:r>
        <w:rPr>
          <w:vertAlign w:val="baseline"/>
        </w:rPr>
        <w:t>harms</w:t>
      </w:r>
      <w:r>
        <w:rPr>
          <w:spacing w:val="-7"/>
          <w:vertAlign w:val="baseline"/>
        </w:rPr>
        <w:t> </w:t>
      </w:r>
      <w:r>
        <w:rPr>
          <w:vertAlign w:val="baseline"/>
        </w:rPr>
        <w:t>if</w:t>
      </w:r>
      <w:r>
        <w:rPr>
          <w:spacing w:val="-7"/>
          <w:vertAlign w:val="baseline"/>
        </w:rPr>
        <w:t> </w:t>
      </w:r>
      <w:r>
        <w:rPr>
          <w:vertAlign w:val="baseline"/>
        </w:rPr>
        <w:t>models</w:t>
      </w:r>
      <w:r>
        <w:rPr>
          <w:spacing w:val="-8"/>
          <w:vertAlign w:val="baseline"/>
        </w:rPr>
        <w:t> </w:t>
      </w:r>
      <w:r>
        <w:rPr>
          <w:vertAlign w:val="baseline"/>
        </w:rPr>
        <w:t>are</w:t>
      </w:r>
      <w:r>
        <w:rPr>
          <w:spacing w:val="-7"/>
          <w:vertAlign w:val="baseline"/>
        </w:rPr>
        <w:t> </w:t>
      </w:r>
      <w:r>
        <w:rPr>
          <w:vertAlign w:val="baseline"/>
        </w:rPr>
        <w:t>opaque,</w:t>
      </w:r>
      <w:r>
        <w:rPr>
          <w:spacing w:val="-7"/>
          <w:vertAlign w:val="baseline"/>
        </w:rPr>
        <w:t> </w:t>
      </w:r>
      <w:r>
        <w:rPr>
          <w:spacing w:val="-5"/>
          <w:vertAlign w:val="baseline"/>
        </w:rPr>
        <w:t>un-</w:t>
      </w:r>
    </w:p>
    <w:p>
      <w:pPr>
        <w:pStyle w:val="BodyText"/>
        <w:spacing w:line="396" w:lineRule="auto"/>
        <w:ind w:left="282" w:right="524"/>
        <w:jc w:val="both"/>
      </w:pPr>
      <w:r>
        <w:rPr>
          <w:i/>
        </w:rPr>
        <w:t>온체인 평판 점수는 투명성과 공정성 사이에서 논쟁의 여지가 있는 공간을 차지합니다. DeFi에 대한 법률 및 규제 분석은 결제가 온체인인 경우에도 분산형 시장이 여전히 공개 및 소비자 보호 문제의 대상임을 강조합니다[62]. Packin과 Lev-Aretz[48]는 모델이 불투명하거나 그렇지 않은 경우 분산형 신용 점수가 블랙박스 피해를 재현할 수 있다고 경고합니다.</w:t>
      </w:r>
    </w:p>
    <w:p>
      <w:pPr>
        <w:pStyle w:val="BodyText"/>
        <w:spacing w:after="0" w:line="396" w:lineRule="auto"/>
        <w:jc w:val="both"/>
        <w:sectPr>
          <w:type w:val="continuous"/>
          <w:pgSz w:w="11910" w:h="16840"/>
          <w:pgMar w:header="0" w:footer="2115" w:top="1920" w:bottom="280" w:left="992" w:right="708"/>
        </w:sectPr>
      </w:pPr>
    </w:p>
    <w:p>
      <w:pPr>
        <w:pStyle w:val="BodyText"/>
        <w:spacing w:line="396" w:lineRule="auto" w:before="72"/>
        <w:ind w:left="282" w:right="558"/>
        <w:jc w:val="both"/>
      </w:pPr>
      <w:r>
        <w:rPr/>
        <w:t>appealable, or coupled to identity systems without due process.</w:t>
      </w:r>
      <w:r>
        <w:rPr>
          <w:spacing w:val="32"/>
        </w:rPr>
        <w:t> </w:t>
      </w:r>
      <w:r>
        <w:rPr/>
        <w:t>EndorseRank and AWP are fully determined</w:t>
      </w:r>
      <w:r>
        <w:rPr>
          <w:spacing w:val="-15"/>
        </w:rPr>
        <w:t> </w:t>
      </w:r>
      <w:r>
        <w:rPr/>
        <w:t>by</w:t>
      </w:r>
      <w:r>
        <w:rPr>
          <w:spacing w:val="-15"/>
        </w:rPr>
        <w:t> </w:t>
      </w:r>
      <w:r>
        <w:rPr/>
        <w:t>public</w:t>
      </w:r>
      <w:r>
        <w:rPr>
          <w:spacing w:val="-15"/>
        </w:rPr>
        <w:t> </w:t>
      </w:r>
      <w:r>
        <w:rPr/>
        <w:t>ledger</w:t>
      </w:r>
      <w:r>
        <w:rPr>
          <w:spacing w:val="-15"/>
        </w:rPr>
        <w:t> </w:t>
      </w:r>
      <w:r>
        <w:rPr/>
        <w:t>events</w:t>
      </w:r>
      <w:r>
        <w:rPr>
          <w:spacing w:val="-15"/>
        </w:rPr>
        <w:t> </w:t>
      </w:r>
      <w:r>
        <w:rPr/>
        <w:t>and</w:t>
      </w:r>
      <w:r>
        <w:rPr>
          <w:spacing w:val="-15"/>
        </w:rPr>
        <w:t> </w:t>
      </w:r>
      <w:r>
        <w:rPr/>
        <w:t>published</w:t>
      </w:r>
      <w:r>
        <w:rPr>
          <w:spacing w:val="-15"/>
        </w:rPr>
        <w:t> </w:t>
      </w:r>
      <w:r>
        <w:rPr/>
        <w:t>algorithms;</w:t>
      </w:r>
      <w:r>
        <w:rPr>
          <w:spacing w:val="-15"/>
        </w:rPr>
        <w:t> </w:t>
      </w:r>
      <w:r>
        <w:rPr/>
        <w:t>any</w:t>
      </w:r>
      <w:r>
        <w:rPr>
          <w:spacing w:val="-15"/>
        </w:rPr>
        <w:t> </w:t>
      </w:r>
      <w:r>
        <w:rPr/>
        <w:t>party</w:t>
      </w:r>
      <w:r>
        <w:rPr>
          <w:spacing w:val="-15"/>
        </w:rPr>
        <w:t> </w:t>
      </w:r>
      <w:r>
        <w:rPr/>
        <w:t>can</w:t>
      </w:r>
      <w:r>
        <w:rPr>
          <w:spacing w:val="-15"/>
        </w:rPr>
        <w:t> </w:t>
      </w:r>
      <w:r>
        <w:rPr/>
        <w:t>recompute</w:t>
      </w:r>
      <w:r>
        <w:rPr>
          <w:spacing w:val="-15"/>
        </w:rPr>
        <w:t> </w:t>
      </w:r>
      <w:r>
        <w:rPr/>
        <w:t>scores</w:t>
      </w:r>
      <w:r>
        <w:rPr>
          <w:spacing w:val="-15"/>
        </w:rPr>
        <w:t> </w:t>
      </w:r>
      <w:r>
        <w:rPr/>
        <w:t>from the</w:t>
      </w:r>
      <w:r>
        <w:rPr>
          <w:spacing w:val="-11"/>
        </w:rPr>
        <w:t> </w:t>
      </w:r>
      <w:r>
        <w:rPr/>
        <w:t>open</w:t>
      </w:r>
      <w:r>
        <w:rPr>
          <w:spacing w:val="-11"/>
        </w:rPr>
        <w:t> </w:t>
      </w:r>
      <w:r>
        <w:rPr/>
        <w:t>pipeline</w:t>
      </w:r>
      <w:r>
        <w:rPr>
          <w:spacing w:val="-11"/>
        </w:rPr>
        <w:t> </w:t>
      </w:r>
      <w:r>
        <w:rPr/>
        <w:t>(Appendix</w:t>
      </w:r>
      <w:r>
        <w:rPr>
          <w:spacing w:val="-11"/>
        </w:rPr>
        <w:t> </w:t>
      </w:r>
      <w:hyperlink w:history="true" w:anchor="_bookmark198">
        <w:r>
          <w:rPr/>
          <w:t>8.1</w:t>
        </w:r>
      </w:hyperlink>
      <w:r>
        <w:rPr/>
        <w:t>).</w:t>
      </w:r>
      <w:r>
        <w:rPr>
          <w:spacing w:val="11"/>
        </w:rPr>
        <w:t> </w:t>
      </w:r>
      <w:r>
        <w:rPr/>
        <w:t>That</w:t>
      </w:r>
      <w:r>
        <w:rPr>
          <w:spacing w:val="-11"/>
        </w:rPr>
        <w:t> </w:t>
      </w:r>
      <w:r>
        <w:rPr/>
        <w:t>auditability</w:t>
      </w:r>
      <w:r>
        <w:rPr>
          <w:spacing w:val="-11"/>
        </w:rPr>
        <w:t> </w:t>
      </w:r>
      <w:r>
        <w:rPr/>
        <w:t>is</w:t>
      </w:r>
      <w:r>
        <w:rPr>
          <w:spacing w:val="-11"/>
        </w:rPr>
        <w:t> </w:t>
      </w:r>
      <w:r>
        <w:rPr/>
        <w:t>a</w:t>
      </w:r>
      <w:r>
        <w:rPr>
          <w:spacing w:val="-11"/>
        </w:rPr>
        <w:t> </w:t>
      </w:r>
      <w:r>
        <w:rPr/>
        <w:t>partial</w:t>
      </w:r>
      <w:r>
        <w:rPr>
          <w:spacing w:val="-11"/>
        </w:rPr>
        <w:t> </w:t>
      </w:r>
      <w:r>
        <w:rPr/>
        <w:t>response</w:t>
      </w:r>
      <w:r>
        <w:rPr>
          <w:spacing w:val="-11"/>
        </w:rPr>
        <w:t> </w:t>
      </w:r>
      <w:r>
        <w:rPr/>
        <w:t>to</w:t>
      </w:r>
      <w:r>
        <w:rPr>
          <w:spacing w:val="-11"/>
        </w:rPr>
        <w:t> </w:t>
      </w:r>
      <w:r>
        <w:rPr/>
        <w:t>black-box</w:t>
      </w:r>
      <w:r>
        <w:rPr>
          <w:spacing w:val="-11"/>
        </w:rPr>
        <w:t> </w:t>
      </w:r>
      <w:r>
        <w:rPr/>
        <w:t>concerns,</w:t>
      </w:r>
      <w:r>
        <w:rPr>
          <w:spacing w:val="-10"/>
        </w:rPr>
        <w:t> </w:t>
      </w:r>
      <w:r>
        <w:rPr/>
        <w:t>but it does not resolve distributional effects:</w:t>
      </w:r>
      <w:r>
        <w:rPr>
          <w:spacing w:val="29"/>
        </w:rPr>
        <w:t> </w:t>
      </w:r>
      <w:r>
        <w:rPr/>
        <w:t>wallets with limited approval or transfer history receive low scores regardless of off-chain creditworthiness.</w:t>
      </w:r>
    </w:p>
    <w:p>
      <w:pPr>
        <w:pStyle w:val="BodyText"/>
        <w:spacing w:line="396" w:lineRule="auto" w:before="72"/>
        <w:ind w:left="282" w:right="558"/>
        <w:jc w:val="both"/>
      </w:pPr>
      <w:r>
        <w:rPr>
          <w:i/>
        </w:rPr>
        <w:t>항소할 수 있거나 적법한 절차 없이 신원 시스템에 결합됩니다. EndorseRank 및 AWP는 공개 원장 이벤트 및 게시된 알고리즘에 의해 완전히 결정됩니다. 모든 당사자는 공개 파이프라인에서 점수를 다시 계산할 수 있습니다(부록 8.1). 이러한 감사 가능성은 블랙박스 문제에 대한 부분적인 대응이지만 분배 효과를 해결하지는 못합니다. 승인이나 전송 이력이 제한된 지갑은 오프체인 신용도에 관계없이 낮은 점수를 받습니다.</w:t>
      </w:r>
    </w:p>
    <w:p>
      <w:pPr>
        <w:pStyle w:val="BodyText"/>
        <w:spacing w:line="393" w:lineRule="auto" w:before="19"/>
        <w:ind w:left="273" w:right="534" w:firstLine="8"/>
        <w:jc w:val="both"/>
      </w:pPr>
      <w:r>
        <w:rPr/>
        <w:t>Ethically,</w:t>
      </w:r>
      <w:r>
        <w:rPr>
          <w:spacing w:val="-15"/>
        </w:rPr>
        <w:t> </w:t>
      </w:r>
      <w:r>
        <w:rPr/>
        <w:t>scores</w:t>
      </w:r>
      <w:r>
        <w:rPr>
          <w:spacing w:val="-15"/>
        </w:rPr>
        <w:t> </w:t>
      </w:r>
      <w:r>
        <w:rPr/>
        <w:t>must</w:t>
      </w:r>
      <w:r>
        <w:rPr>
          <w:spacing w:val="-15"/>
        </w:rPr>
        <w:t> </w:t>
      </w:r>
      <w:r>
        <w:rPr/>
        <w:t>not</w:t>
      </w:r>
      <w:r>
        <w:rPr>
          <w:spacing w:val="-15"/>
        </w:rPr>
        <w:t> </w:t>
      </w:r>
      <w:r>
        <w:rPr/>
        <w:t>be</w:t>
      </w:r>
      <w:r>
        <w:rPr>
          <w:spacing w:val="-15"/>
        </w:rPr>
        <w:t> </w:t>
      </w:r>
      <w:r>
        <w:rPr/>
        <w:t>presented</w:t>
      </w:r>
      <w:r>
        <w:rPr>
          <w:spacing w:val="-15"/>
        </w:rPr>
        <w:t> </w:t>
      </w:r>
      <w:r>
        <w:rPr/>
        <w:t>as</w:t>
      </w:r>
      <w:r>
        <w:rPr>
          <w:spacing w:val="-15"/>
        </w:rPr>
        <w:t> </w:t>
      </w:r>
      <w:r>
        <w:rPr/>
        <w:t>identity,</w:t>
      </w:r>
      <w:r>
        <w:rPr>
          <w:spacing w:val="-15"/>
        </w:rPr>
        <w:t> </w:t>
      </w:r>
      <w:r>
        <w:rPr/>
        <w:t>creditworthiness</w:t>
      </w:r>
      <w:r>
        <w:rPr>
          <w:spacing w:val="-15"/>
        </w:rPr>
        <w:t> </w:t>
      </w:r>
      <w:r>
        <w:rPr/>
        <w:t>in</w:t>
      </w:r>
      <w:r>
        <w:rPr>
          <w:spacing w:val="-15"/>
        </w:rPr>
        <w:t> </w:t>
      </w:r>
      <w:r>
        <w:rPr/>
        <w:t>the</w:t>
      </w:r>
      <w:r>
        <w:rPr>
          <w:spacing w:val="-15"/>
        </w:rPr>
        <w:t> </w:t>
      </w:r>
      <w:r>
        <w:rPr/>
        <w:t>consumer-lending</w:t>
      </w:r>
      <w:r>
        <w:rPr>
          <w:spacing w:val="-15"/>
        </w:rPr>
        <w:t> </w:t>
      </w:r>
      <w:r>
        <w:rPr/>
        <w:t>sense, or proof of unique personhood </w:t>
      </w:r>
      <w:hyperlink w:history="true" w:anchor="_bookmark150">
        <w:r>
          <w:rPr>
            <w:vertAlign w:val="superscript"/>
          </w:rPr>
          <w:t>[17]</w:t>
        </w:r>
      </w:hyperlink>
      <w:r>
        <w:rPr>
          <w:vertAlign w:val="baseline"/>
        </w:rPr>
        <w:t>.</w:t>
      </w:r>
      <w:r>
        <w:rPr>
          <w:spacing w:val="40"/>
          <w:vertAlign w:val="baseline"/>
        </w:rPr>
        <w:t> </w:t>
      </w:r>
      <w:r>
        <w:rPr>
          <w:vertAlign w:val="baseline"/>
        </w:rPr>
        <w:t>They are ordinal indicators of on-chain graph position under specified edge semantics.</w:t>
      </w:r>
      <w:r>
        <w:rPr>
          <w:spacing w:val="40"/>
          <w:vertAlign w:val="baseline"/>
        </w:rPr>
        <w:t> </w:t>
      </w:r>
      <w:r>
        <w:rPr>
          <w:vertAlign w:val="baseline"/>
        </w:rPr>
        <w:t>Deployments that gate access to financial services should disclose the graph definition, observation window, and known failure modes—including Sybil exposure and weak trading-success alignment for social methods (</w:t>
      </w:r>
      <w:r>
        <w:rPr>
          <w:rFonts w:ascii="Calibri" w:hAnsi="Calibri"/>
          <w:i/>
          <w:vertAlign w:val="baseline"/>
        </w:rPr>
        <w:t>τ</w:t>
      </w:r>
      <w:r>
        <w:rPr>
          <w:rFonts w:ascii="Calibri" w:hAnsi="Calibri"/>
          <w:i/>
          <w:spacing w:val="40"/>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096 </w:t>
      </w:r>
      <w:r>
        <w:rPr>
          <w:vertAlign w:val="baseline"/>
        </w:rPr>
        <w:t>and </w:t>
      </w:r>
      <w:r>
        <w:rPr>
          <w:rFonts w:ascii="Calibri" w:hAnsi="Calibri"/>
          <w:vertAlign w:val="baseline"/>
        </w:rPr>
        <w:t>0</w:t>
      </w:r>
      <w:r>
        <w:rPr>
          <w:rFonts w:ascii="Calibri" w:hAnsi="Calibri"/>
          <w:i/>
          <w:vertAlign w:val="baseline"/>
        </w:rPr>
        <w:t>.</w:t>
      </w:r>
      <w:r>
        <w:rPr>
          <w:rFonts w:ascii="Calibri" w:hAnsi="Calibri"/>
          <w:vertAlign w:val="baseline"/>
        </w:rPr>
        <w:t>179</w:t>
      </w:r>
      <w:r>
        <w:rPr>
          <w:vertAlign w:val="baseline"/>
        </w:rPr>
        <w:t>).</w:t>
      </w:r>
      <w:r>
        <w:rPr>
          <w:spacing w:val="40"/>
          <w:vertAlign w:val="baseline"/>
        </w:rPr>
        <w:t> </w:t>
      </w:r>
      <w:r>
        <w:rPr>
          <w:vertAlign w:val="baseline"/>
        </w:rPr>
        <w:t>Regulatory regimes that require explainability favor graph propagation over opaque machine-learning scores </w:t>
      </w:r>
      <w:hyperlink w:history="true" w:anchor="_bookmark172">
        <w:r>
          <w:rPr>
            <w:vertAlign w:val="superscript"/>
          </w:rPr>
          <w:t>[39]</w:t>
        </w:r>
      </w:hyperlink>
      <w:r>
        <w:rPr>
          <w:vertAlign w:val="superscript"/>
        </w:rPr>
        <w:t>,</w:t>
      </w:r>
      <w:hyperlink w:history="true" w:anchor="_bookmark181">
        <w:r>
          <w:rPr>
            <w:vertAlign w:val="superscript"/>
          </w:rPr>
          <w:t>[48]</w:t>
        </w:r>
      </w:hyperlink>
      <w:r>
        <w:rPr>
          <w:vertAlign w:val="baseline"/>
        </w:rPr>
        <w:t>, provided operators resist overclaiming predictive power for loan default.</w:t>
      </w:r>
    </w:p>
    <w:p>
      <w:pPr>
        <w:pStyle w:val="BodyText"/>
        <w:spacing w:line="393" w:lineRule="auto" w:before="19"/>
        <w:ind w:left="273" w:right="534" w:firstLine="8"/>
        <w:jc w:val="both"/>
      </w:pPr>
      <w:r>
        <w:rPr>
          <w:i/>
        </w:rPr>
        <w:t>윤리적으로 점수는 신원, 소비자 대출 측면의 신용도 또는 고유한 인격 증명으로 제시되어서는 안 됩니다[17]. 이는 지정된 에지 의미 체계에 따른 온체인 그래프 위치의 서수 표시기입니다. 금융 서비스에 대한 액세스를 제한하는 배포에서는 그래프 정의, 관찰 창 및 알려진 실패 모드(Sybil 노출 및 사회적 방법에 대한 약한 거래 성공 정렬(τ = 0.096 및 0.179) 포함)를 공개해야 합니다. 설명 가능성을 요구하는 규제 체제는 운영자가 대출 불이행에 대한 예측력을 과도하게 주장하는 것을 거부하는 경우 불투명한 기계 학습 점수보다 그래프 전파를 선호합니다[39],[48].</w:t>
      </w:r>
    </w:p>
    <w:p>
      <w:pPr>
        <w:pStyle w:val="BodyText"/>
        <w:spacing w:line="396" w:lineRule="auto" w:before="14"/>
        <w:ind w:left="282" w:right="522"/>
        <w:jc w:val="both"/>
      </w:pPr>
      <w:r>
        <w:rPr/>
        <w:t>Privacy is structurally limited on public ledgers </w:t>
      </w:r>
      <w:hyperlink w:history="true" w:anchor="_bookmark179">
        <w:r>
          <w:rPr>
            <w:vertAlign w:val="superscript"/>
          </w:rPr>
          <w:t>[46]</w:t>
        </w:r>
      </w:hyperlink>
      <w:r>
        <w:rPr>
          <w:vertAlign w:val="superscript"/>
        </w:rPr>
        <w:t>,</w:t>
      </w:r>
      <w:hyperlink w:history="true" w:anchor="_bookmark193">
        <w:r>
          <w:rPr>
            <w:vertAlign w:val="superscript"/>
          </w:rPr>
          <w:t>[60]</w:t>
        </w:r>
      </w:hyperlink>
      <w:r>
        <w:rPr>
          <w:vertAlign w:val="baseline"/>
        </w:rPr>
        <w:t>:</w:t>
      </w:r>
      <w:r>
        <w:rPr>
          <w:spacing w:val="34"/>
          <w:vertAlign w:val="baseline"/>
        </w:rPr>
        <w:t> </w:t>
      </w:r>
      <w:r>
        <w:rPr>
          <w:vertAlign w:val="baseline"/>
        </w:rPr>
        <w:t>reputation computation uses data already broadcast.</w:t>
      </w:r>
      <w:r>
        <w:rPr>
          <w:spacing w:val="40"/>
          <w:vertAlign w:val="baseline"/>
        </w:rPr>
        <w:t> </w:t>
      </w:r>
      <w:r>
        <w:rPr>
          <w:vertAlign w:val="baseline"/>
        </w:rPr>
        <w:t>The ethical obligation is therefore not to avoid analysis but to avoid deanonymization beyond</w:t>
      </w:r>
      <w:r>
        <w:rPr>
          <w:spacing w:val="-13"/>
          <w:vertAlign w:val="baseline"/>
        </w:rPr>
        <w:t> </w:t>
      </w:r>
      <w:r>
        <w:rPr>
          <w:vertAlign w:val="baseline"/>
        </w:rPr>
        <w:t>address-level</w:t>
      </w:r>
      <w:r>
        <w:rPr>
          <w:spacing w:val="-13"/>
          <w:vertAlign w:val="baseline"/>
        </w:rPr>
        <w:t> </w:t>
      </w:r>
      <w:r>
        <w:rPr>
          <w:vertAlign w:val="baseline"/>
        </w:rPr>
        <w:t>aggregation</w:t>
      </w:r>
      <w:r>
        <w:rPr>
          <w:spacing w:val="-13"/>
          <w:vertAlign w:val="baseline"/>
        </w:rPr>
        <w:t> </w:t>
      </w:r>
      <w:r>
        <w:rPr>
          <w:vertAlign w:val="baseline"/>
        </w:rPr>
        <w:t>and</w:t>
      </w:r>
      <w:r>
        <w:rPr>
          <w:spacing w:val="-13"/>
          <w:vertAlign w:val="baseline"/>
        </w:rPr>
        <w:t> </w:t>
      </w:r>
      <w:r>
        <w:rPr>
          <w:vertAlign w:val="baseline"/>
        </w:rPr>
        <w:t>to</w:t>
      </w:r>
      <w:r>
        <w:rPr>
          <w:spacing w:val="-13"/>
          <w:vertAlign w:val="baseline"/>
        </w:rPr>
        <w:t> </w:t>
      </w:r>
      <w:r>
        <w:rPr>
          <w:vertAlign w:val="baseline"/>
        </w:rPr>
        <w:t>prevent</w:t>
      </w:r>
      <w:r>
        <w:rPr>
          <w:spacing w:val="-13"/>
          <w:vertAlign w:val="baseline"/>
        </w:rPr>
        <w:t> </w:t>
      </w:r>
      <w:r>
        <w:rPr>
          <w:vertAlign w:val="baseline"/>
        </w:rPr>
        <w:t>misuse</w:t>
      </w:r>
      <w:r>
        <w:rPr>
          <w:spacing w:val="-13"/>
          <w:vertAlign w:val="baseline"/>
        </w:rPr>
        <w:t> </w:t>
      </w:r>
      <w:r>
        <w:rPr>
          <w:vertAlign w:val="baseline"/>
        </w:rPr>
        <w:t>of</w:t>
      </w:r>
      <w:r>
        <w:rPr>
          <w:spacing w:val="-13"/>
          <w:vertAlign w:val="baseline"/>
        </w:rPr>
        <w:t> </w:t>
      </w:r>
      <w:r>
        <w:rPr>
          <w:vertAlign w:val="baseline"/>
        </w:rPr>
        <w:t>scores</w:t>
      </w:r>
      <w:r>
        <w:rPr>
          <w:spacing w:val="-13"/>
          <w:vertAlign w:val="baseline"/>
        </w:rPr>
        <w:t> </w:t>
      </w:r>
      <w:r>
        <w:rPr>
          <w:vertAlign w:val="baseline"/>
        </w:rPr>
        <w:t>as</w:t>
      </w:r>
      <w:r>
        <w:rPr>
          <w:spacing w:val="-13"/>
          <w:vertAlign w:val="baseline"/>
        </w:rPr>
        <w:t> </w:t>
      </w:r>
      <w:r>
        <w:rPr>
          <w:vertAlign w:val="baseline"/>
        </w:rPr>
        <w:t>persistent</w:t>
      </w:r>
      <w:r>
        <w:rPr>
          <w:spacing w:val="-13"/>
          <w:vertAlign w:val="baseline"/>
        </w:rPr>
        <w:t> </w:t>
      </w:r>
      <w:r>
        <w:rPr>
          <w:vertAlign w:val="baseline"/>
        </w:rPr>
        <w:t>biometric-like</w:t>
      </w:r>
      <w:r>
        <w:rPr>
          <w:spacing w:val="-13"/>
          <w:vertAlign w:val="baseline"/>
        </w:rPr>
        <w:t> </w:t>
      </w:r>
      <w:r>
        <w:rPr>
          <w:vertAlign w:val="baseline"/>
        </w:rPr>
        <w:t>iden-tifiers.</w:t>
      </w:r>
      <w:r>
        <w:rPr>
          <w:spacing w:val="9"/>
          <w:vertAlign w:val="baseline"/>
        </w:rPr>
        <w:t> </w:t>
      </w:r>
      <w:r>
        <w:rPr>
          <w:vertAlign w:val="baseline"/>
        </w:rPr>
        <w:t>This</w:t>
      </w:r>
      <w:r>
        <w:rPr>
          <w:spacing w:val="-13"/>
          <w:vertAlign w:val="baseline"/>
        </w:rPr>
        <w:t> </w:t>
      </w:r>
      <w:r>
        <w:rPr>
          <w:vertAlign w:val="baseline"/>
        </w:rPr>
        <w:t>dissertation</w:t>
      </w:r>
      <w:r>
        <w:rPr>
          <w:spacing w:val="-13"/>
          <w:vertAlign w:val="baseline"/>
        </w:rPr>
        <w:t> </w:t>
      </w:r>
      <w:r>
        <w:rPr>
          <w:vertAlign w:val="baseline"/>
        </w:rPr>
        <w:t>analyzes</w:t>
      </w:r>
      <w:r>
        <w:rPr>
          <w:spacing w:val="-13"/>
          <w:vertAlign w:val="baseline"/>
        </w:rPr>
        <w:t> </w:t>
      </w:r>
      <w:r>
        <w:rPr>
          <w:vertAlign w:val="baseline"/>
        </w:rPr>
        <w:t>addresses</w:t>
      </w:r>
      <w:r>
        <w:rPr>
          <w:spacing w:val="-13"/>
          <w:vertAlign w:val="baseline"/>
        </w:rPr>
        <w:t> </w:t>
      </w:r>
      <w:r>
        <w:rPr>
          <w:vertAlign w:val="baseline"/>
        </w:rPr>
        <w:t>only;</w:t>
      </w:r>
      <w:r>
        <w:rPr>
          <w:spacing w:val="-12"/>
          <w:vertAlign w:val="baseline"/>
        </w:rPr>
        <w:t> </w:t>
      </w:r>
      <w:r>
        <w:rPr>
          <w:vertAlign w:val="baseline"/>
        </w:rPr>
        <w:t>no</w:t>
      </w:r>
      <w:r>
        <w:rPr>
          <w:spacing w:val="-13"/>
          <w:vertAlign w:val="baseline"/>
        </w:rPr>
        <w:t> </w:t>
      </w:r>
      <w:r>
        <w:rPr>
          <w:vertAlign w:val="baseline"/>
        </w:rPr>
        <w:t>off-chain</w:t>
      </w:r>
      <w:r>
        <w:rPr>
          <w:spacing w:val="-13"/>
          <w:vertAlign w:val="baseline"/>
        </w:rPr>
        <w:t> </w:t>
      </w:r>
      <w:r>
        <w:rPr>
          <w:vertAlign w:val="baseline"/>
        </w:rPr>
        <w:t>identity</w:t>
      </w:r>
      <w:r>
        <w:rPr>
          <w:spacing w:val="-13"/>
          <w:vertAlign w:val="baseline"/>
        </w:rPr>
        <w:t> </w:t>
      </w:r>
      <w:r>
        <w:rPr>
          <w:vertAlign w:val="baseline"/>
        </w:rPr>
        <w:t>linkage</w:t>
      </w:r>
      <w:r>
        <w:rPr>
          <w:spacing w:val="-13"/>
          <w:vertAlign w:val="baseline"/>
        </w:rPr>
        <w:t> </w:t>
      </w:r>
      <w:r>
        <w:rPr>
          <w:vertAlign w:val="baseline"/>
        </w:rPr>
        <w:t>is</w:t>
      </w:r>
      <w:r>
        <w:rPr>
          <w:spacing w:val="-13"/>
          <w:vertAlign w:val="baseline"/>
        </w:rPr>
        <w:t> </w:t>
      </w:r>
      <w:r>
        <w:rPr>
          <w:vertAlign w:val="baseline"/>
        </w:rPr>
        <w:t>performed</w:t>
      </w:r>
      <w:r>
        <w:rPr>
          <w:spacing w:val="-13"/>
          <w:vertAlign w:val="baseline"/>
        </w:rPr>
        <w:t> </w:t>
      </w:r>
      <w:r>
        <w:rPr>
          <w:vertAlign w:val="baseline"/>
        </w:rPr>
        <w:t>(Chap-</w:t>
      </w:r>
      <w:bookmarkStart w:name="Threats to validity" w:id="237"/>
      <w:bookmarkEnd w:id="237"/>
      <w:r>
        <w:rPr>
          <w:w w:val="99"/>
          <w:vertAlign w:val="baseline"/>
        </w:rPr>
      </w:r>
      <w:bookmarkStart w:name="_bookmark126" w:id="238"/>
      <w:bookmarkEnd w:id="238"/>
      <w:r>
        <w:rPr>
          <w:vertAlign w:val="baseline"/>
        </w:rPr>
        <w:t>ter</w:t>
      </w:r>
      <w:r>
        <w:rPr>
          <w:vertAlign w:val="baseline"/>
        </w:rPr>
        <w:t> </w:t>
      </w:r>
      <w:hyperlink w:history="true" w:anchor="_bookmark48">
        <w:r>
          <w:rPr>
            <w:vertAlign w:val="baseline"/>
          </w:rPr>
          <w:t>3</w:t>
        </w:r>
      </w:hyperlink>
      <w:r>
        <w:rPr>
          <w:vertAlign w:val="baseline"/>
        </w:rPr>
        <w:t>).</w:t>
      </w:r>
    </w:p>
    <w:p>
      <w:pPr>
        <w:pStyle w:val="BodyText"/>
        <w:spacing w:line="396" w:lineRule="auto" w:before="14"/>
        <w:ind w:left="282" w:right="522"/>
        <w:jc w:val="both"/>
      </w:pPr>
      <w:r>
        <w:rPr>
          <w:i/>
        </w:rPr>
        <w:t>공개 원장에서는 개인 정보 보호가 구조적으로 제한됩니다[46],[60]. 평판 계산은 이미 방송된 데이터를 사용합니다. 따라서 윤리적 의무는 분석을 피하는 것이 아니라 주소 수준 집계를 넘어서는 비익명화를 피하고 점수를 생체 인식과 유사한 지속적인 식별자로 오용하는 것을 방지하는 것입니다. 본 논문은 주소만 분석하며, 오프체인 ID 연결은 수행되지 않습니다(3장).</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Threats</w:t>
      </w:r>
      <w:r>
        <w:rPr>
          <w:spacing w:val="8"/>
        </w:rPr>
        <w:t> </w:t>
      </w:r>
      <w:r>
        <w:rPr/>
        <w:t>to</w:t>
      </w:r>
      <w:r>
        <w:rPr>
          <w:spacing w:val="8"/>
        </w:rPr>
        <w:t> </w:t>
      </w:r>
      <w:r>
        <w:rPr>
          <w:spacing w:val="-2"/>
        </w:rPr>
        <w:t>validity</w:t>
      </w:r>
    </w:p>
    <w:p>
      <w:pPr>
        <w:pStyle w:val="Heading2"/>
        <w:numPr>
          <w:ilvl w:val="1"/>
          <w:numId w:val="8"/>
        </w:numPr>
        <w:tabs>
          <w:tab w:pos="783" w:val="left" w:leader="none"/>
        </w:tabs>
        <w:spacing w:line="240" w:lineRule="auto" w:before="0" w:after="0"/>
        <w:ind w:left="783" w:right="0" w:hanging="501"/>
        <w:jc w:val="left"/>
      </w:pPr>
      <w:r>
        <w:rPr>
          <w:i/>
        </w:rPr>
        <w:t>타당성에 대한 위협</w:t>
      </w:r>
    </w:p>
    <w:p>
      <w:pPr>
        <w:pStyle w:val="BodyText"/>
        <w:spacing w:before="24"/>
        <w:rPr>
          <w:b/>
          <w:sz w:val="28"/>
        </w:rPr>
      </w:pPr>
    </w:p>
    <w:p>
      <w:pPr>
        <w:pStyle w:val="BodyText"/>
        <w:spacing w:line="396" w:lineRule="auto"/>
        <w:ind w:left="282" w:right="523"/>
        <w:jc w:val="both"/>
      </w:pPr>
      <w:r>
        <w:rPr/>
        <w:t>Interpretation of the empirical claims should account for the following threats, organized by con-</w:t>
      </w:r>
      <w:bookmarkStart w:name="Construct validity" w:id="239"/>
      <w:bookmarkEnd w:id="239"/>
      <w:r>
        <w:rPr/>
        <w:t>struct,</w:t>
      </w:r>
      <w:r>
        <w:rPr/>
        <w:t> internal, external, and adversarial validity.</w:t>
      </w:r>
    </w:p>
    <w:p>
      <w:pPr>
        <w:pStyle w:val="BodyText"/>
        <w:spacing w:line="396" w:lineRule="auto"/>
        <w:ind w:left="282" w:right="523"/>
        <w:jc w:val="both"/>
      </w:pPr>
      <w:r>
        <w:rPr>
          <w:i/>
        </w:rPr>
        <w:t>경험적 주장의 해석은 구성, 내부, 외부 및 적대적 타당성에 따라 구성된 다음 위협을 설명해야 합니다.</w:t>
      </w:r>
    </w:p>
    <w:p>
      <w:pPr>
        <w:pStyle w:val="BodyText"/>
        <w:spacing w:before="7"/>
      </w:pPr>
    </w:p>
    <w:p>
      <w:pPr>
        <w:pStyle w:val="Heading4"/>
        <w:numPr>
          <w:ilvl w:val="2"/>
          <w:numId w:val="8"/>
        </w:numPr>
        <w:tabs>
          <w:tab w:pos="879" w:val="left" w:leader="none"/>
        </w:tabs>
        <w:spacing w:line="240" w:lineRule="auto" w:before="1" w:after="0"/>
        <w:ind w:left="879" w:right="0" w:hanging="597"/>
        <w:jc w:val="left"/>
      </w:pPr>
      <w:r>
        <w:rPr/>
        <w:t>Construct</w:t>
      </w:r>
      <w:r>
        <w:rPr>
          <w:spacing w:val="-12"/>
        </w:rPr>
        <w:t> </w:t>
      </w:r>
      <w:r>
        <w:rPr>
          <w:spacing w:val="-2"/>
        </w:rPr>
        <w:t>validity</w:t>
      </w:r>
    </w:p>
    <w:p>
      <w:pPr>
        <w:pStyle w:val="Heading4"/>
        <w:numPr>
          <w:ilvl w:val="2"/>
          <w:numId w:val="8"/>
        </w:numPr>
        <w:tabs>
          <w:tab w:pos="879" w:val="left" w:leader="none"/>
        </w:tabs>
        <w:spacing w:line="240" w:lineRule="auto" w:before="1" w:after="0"/>
        <w:ind w:left="879" w:right="0" w:hanging="597"/>
        <w:jc w:val="left"/>
      </w:pPr>
      <w:r>
        <w:rPr>
          <w:i/>
        </w:rPr>
        <w:t>유효성 구축</w:t>
      </w:r>
    </w:p>
    <w:p>
      <w:pPr>
        <w:pStyle w:val="BodyText"/>
        <w:spacing w:before="46"/>
        <w:rPr>
          <w:b/>
        </w:rPr>
      </w:pPr>
    </w:p>
    <w:p>
      <w:pPr>
        <w:pStyle w:val="ListParagraph"/>
        <w:numPr>
          <w:ilvl w:val="3"/>
          <w:numId w:val="8"/>
        </w:numPr>
        <w:tabs>
          <w:tab w:pos="806" w:val="left" w:leader="none"/>
          <w:tab w:pos="808" w:val="left" w:leader="none"/>
        </w:tabs>
        <w:spacing w:line="396" w:lineRule="auto" w:before="0" w:after="0"/>
        <w:ind w:left="808" w:right="524" w:hanging="216"/>
        <w:jc w:val="both"/>
        <w:rPr>
          <w:sz w:val="24"/>
        </w:rPr>
      </w:pPr>
      <w:r>
        <w:rPr>
          <w:b/>
          <w:sz w:val="24"/>
        </w:rPr>
        <w:t>Proxy</w:t>
      </w:r>
      <w:r>
        <w:rPr>
          <w:b/>
          <w:spacing w:val="-6"/>
          <w:sz w:val="24"/>
        </w:rPr>
        <w:t> </w:t>
      </w:r>
      <w:r>
        <w:rPr>
          <w:b/>
          <w:sz w:val="24"/>
        </w:rPr>
        <w:t>not</w:t>
      </w:r>
      <w:r>
        <w:rPr>
          <w:b/>
          <w:spacing w:val="-6"/>
          <w:sz w:val="24"/>
        </w:rPr>
        <w:t> </w:t>
      </w:r>
      <w:r>
        <w:rPr>
          <w:b/>
          <w:sz w:val="24"/>
        </w:rPr>
        <w:t>ground</w:t>
      </w:r>
      <w:r>
        <w:rPr>
          <w:b/>
          <w:spacing w:val="-7"/>
          <w:sz w:val="24"/>
        </w:rPr>
        <w:t> </w:t>
      </w:r>
      <w:r>
        <w:rPr>
          <w:b/>
          <w:sz w:val="24"/>
        </w:rPr>
        <w:t>truth: </w:t>
      </w:r>
      <w:r>
        <w:rPr>
          <w:sz w:val="24"/>
        </w:rPr>
        <w:t>No</w:t>
      </w:r>
      <w:r>
        <w:rPr>
          <w:spacing w:val="-6"/>
          <w:sz w:val="24"/>
        </w:rPr>
        <w:t> </w:t>
      </w:r>
      <w:r>
        <w:rPr>
          <w:sz w:val="24"/>
        </w:rPr>
        <w:t>under-collateralized</w:t>
      </w:r>
      <w:r>
        <w:rPr>
          <w:spacing w:val="-6"/>
          <w:sz w:val="24"/>
        </w:rPr>
        <w:t> </w:t>
      </w:r>
      <w:r>
        <w:rPr>
          <w:sz w:val="24"/>
        </w:rPr>
        <w:t>lending</w:t>
      </w:r>
      <w:r>
        <w:rPr>
          <w:spacing w:val="-6"/>
          <w:sz w:val="24"/>
        </w:rPr>
        <w:t> </w:t>
      </w:r>
      <w:r>
        <w:rPr>
          <w:sz w:val="24"/>
        </w:rPr>
        <w:t>default</w:t>
      </w:r>
      <w:r>
        <w:rPr>
          <w:spacing w:val="-6"/>
          <w:sz w:val="24"/>
        </w:rPr>
        <w:t> </w:t>
      </w:r>
      <w:r>
        <w:rPr>
          <w:sz w:val="24"/>
        </w:rPr>
        <w:t>labels</w:t>
      </w:r>
      <w:r>
        <w:rPr>
          <w:spacing w:val="-6"/>
          <w:sz w:val="24"/>
        </w:rPr>
        <w:t> </w:t>
      </w:r>
      <w:r>
        <w:rPr>
          <w:sz w:val="24"/>
        </w:rPr>
        <w:t>are</w:t>
      </w:r>
      <w:r>
        <w:rPr>
          <w:spacing w:val="-6"/>
          <w:sz w:val="24"/>
        </w:rPr>
        <w:t> </w:t>
      </w:r>
      <w:r>
        <w:rPr>
          <w:sz w:val="24"/>
        </w:rPr>
        <w:t>available</w:t>
      </w:r>
      <w:r>
        <w:rPr>
          <w:spacing w:val="-6"/>
          <w:sz w:val="24"/>
        </w:rPr>
        <w:t> </w:t>
      </w:r>
      <w:r>
        <w:rPr>
          <w:sz w:val="24"/>
        </w:rPr>
        <w:t>at</w:t>
      </w:r>
      <w:r>
        <w:rPr>
          <w:spacing w:val="-6"/>
          <w:sz w:val="24"/>
        </w:rPr>
        <w:t> </w:t>
      </w:r>
      <w:r>
        <w:rPr>
          <w:sz w:val="24"/>
        </w:rPr>
        <w:t>suf-ficient</w:t>
      </w:r>
      <w:r>
        <w:rPr>
          <w:spacing w:val="-15"/>
          <w:sz w:val="24"/>
        </w:rPr>
        <w:t> </w:t>
      </w:r>
      <w:r>
        <w:rPr>
          <w:sz w:val="24"/>
        </w:rPr>
        <w:t>density.</w:t>
      </w:r>
      <w:r>
        <w:rPr>
          <w:spacing w:val="-11"/>
          <w:sz w:val="24"/>
        </w:rPr>
        <w:t> </w:t>
      </w:r>
      <w:r>
        <w:rPr>
          <w:sz w:val="24"/>
        </w:rPr>
        <w:t>Perpetual-trading</w:t>
      </w:r>
      <w:r>
        <w:rPr>
          <w:spacing w:val="-15"/>
          <w:sz w:val="24"/>
        </w:rPr>
        <w:t> </w:t>
      </w:r>
      <w:r>
        <w:rPr>
          <w:sz w:val="24"/>
        </w:rPr>
        <w:t>liquidation</w:t>
      </w:r>
      <w:r>
        <w:rPr>
          <w:spacing w:val="-15"/>
          <w:sz w:val="24"/>
        </w:rPr>
        <w:t> </w:t>
      </w:r>
      <w:r>
        <w:rPr>
          <w:sz w:val="24"/>
        </w:rPr>
        <w:t>and</w:t>
      </w:r>
      <w:r>
        <w:rPr>
          <w:spacing w:val="-15"/>
          <w:sz w:val="24"/>
        </w:rPr>
        <w:t> </w:t>
      </w:r>
      <w:r>
        <w:rPr>
          <w:sz w:val="24"/>
        </w:rPr>
        <w:t>PnL</w:t>
      </w:r>
      <w:r>
        <w:rPr>
          <w:spacing w:val="-15"/>
          <w:sz w:val="24"/>
        </w:rPr>
        <w:t> </w:t>
      </w:r>
      <w:r>
        <w:rPr>
          <w:sz w:val="24"/>
        </w:rPr>
        <w:t>on</w:t>
      </w:r>
      <w:r>
        <w:rPr>
          <w:spacing w:val="-15"/>
          <w:sz w:val="24"/>
        </w:rPr>
        <w:t> </w:t>
      </w:r>
      <w:r>
        <w:rPr>
          <w:sz w:val="24"/>
        </w:rPr>
        <w:t>GMX</w:t>
      </w:r>
      <w:r>
        <w:rPr>
          <w:spacing w:val="-15"/>
          <w:sz w:val="24"/>
        </w:rPr>
        <w:t> </w:t>
      </w:r>
      <w:r>
        <w:rPr>
          <w:sz w:val="24"/>
        </w:rPr>
        <w:t>V2</w:t>
      </w:r>
      <w:r>
        <w:rPr>
          <w:spacing w:val="-15"/>
          <w:sz w:val="24"/>
        </w:rPr>
        <w:t> </w:t>
      </w:r>
      <w:r>
        <w:rPr>
          <w:sz w:val="24"/>
        </w:rPr>
        <w:t>are</w:t>
      </w:r>
      <w:r>
        <w:rPr>
          <w:spacing w:val="-15"/>
          <w:sz w:val="24"/>
        </w:rPr>
        <w:t> </w:t>
      </w:r>
      <w:r>
        <w:rPr>
          <w:sz w:val="24"/>
        </w:rPr>
        <w:t>domain-intuition</w:t>
      </w:r>
      <w:r>
        <w:rPr>
          <w:spacing w:val="-15"/>
          <w:sz w:val="24"/>
        </w:rPr>
        <w:t> </w:t>
      </w:r>
      <w:r>
        <w:rPr>
          <w:sz w:val="24"/>
        </w:rPr>
        <w:t>prox-ies, not loan repayment </w:t>
      </w:r>
      <w:hyperlink w:history="true" w:anchor="_bookmark156">
        <w:r>
          <w:rPr>
            <w:sz w:val="24"/>
            <w:vertAlign w:val="superscript"/>
          </w:rPr>
          <w:t>[23]</w:t>
        </w:r>
      </w:hyperlink>
      <w:r>
        <w:rPr>
          <w:sz w:val="24"/>
          <w:vertAlign w:val="superscript"/>
        </w:rPr>
        <w:t>,</w:t>
      </w:r>
      <w:hyperlink w:history="true" w:anchor="_bookmark177">
        <w:r>
          <w:rPr>
            <w:sz w:val="24"/>
            <w:vertAlign w:val="superscript"/>
          </w:rPr>
          <w:t>[44]</w:t>
        </w:r>
      </w:hyperlink>
      <w:r>
        <w:rPr>
          <w:sz w:val="24"/>
          <w:vertAlign w:val="baseline"/>
        </w:rPr>
        <w:t>.</w:t>
      </w:r>
      <w:r>
        <w:rPr>
          <w:spacing w:val="40"/>
          <w:sz w:val="24"/>
          <w:vertAlign w:val="baseline"/>
        </w:rPr>
        <w:t> </w:t>
      </w:r>
      <w:r>
        <w:rPr>
          <w:sz w:val="24"/>
          <w:vertAlign w:val="baseline"/>
        </w:rPr>
        <w:t>Alignment with trading-success proxies (</w:t>
      </w:r>
      <w:r>
        <w:rPr>
          <w:rFonts w:ascii="Calibri" w:hAnsi="Calibri"/>
          <w:i/>
          <w:sz w:val="24"/>
          <w:vertAlign w:val="baseline"/>
        </w:rPr>
        <w:t>τ</w:t>
      </w:r>
      <w:r>
        <w:rPr>
          <w:rFonts w:ascii="Calibri" w:hAnsi="Calibri"/>
          <w:i/>
          <w:spacing w:val="40"/>
          <w:w w:val="125"/>
          <w:sz w:val="24"/>
          <w:vertAlign w:val="baseline"/>
        </w:rPr>
        <w:t> </w:t>
      </w:r>
      <w:r>
        <w:rPr>
          <w:rFonts w:ascii="Calibri" w:hAnsi="Calibri"/>
          <w:w w:val="125"/>
          <w:sz w:val="24"/>
          <w:vertAlign w:val="baseline"/>
        </w:rPr>
        <w:t>=</w:t>
      </w:r>
      <w:r>
        <w:rPr>
          <w:rFonts w:ascii="Calibri" w:hAnsi="Calibri"/>
          <w:spacing w:val="20"/>
          <w:w w:val="125"/>
          <w:sz w:val="24"/>
          <w:vertAlign w:val="baseline"/>
        </w:rPr>
        <w:t> </w:t>
      </w:r>
      <w:r>
        <w:rPr>
          <w:rFonts w:ascii="Calibri" w:hAnsi="Calibri"/>
          <w:sz w:val="24"/>
          <w:vertAlign w:val="baseline"/>
        </w:rPr>
        <w:t>0</w:t>
      </w:r>
      <w:r>
        <w:rPr>
          <w:rFonts w:ascii="Calibri" w:hAnsi="Calibri"/>
          <w:i/>
          <w:sz w:val="24"/>
          <w:vertAlign w:val="baseline"/>
        </w:rPr>
        <w:t>.</w:t>
      </w:r>
      <w:r>
        <w:rPr>
          <w:rFonts w:ascii="Calibri" w:hAnsi="Calibri"/>
          <w:sz w:val="24"/>
          <w:vertAlign w:val="baseline"/>
        </w:rPr>
        <w:t>096</w:t>
      </w:r>
      <w:r>
        <w:rPr>
          <w:rFonts w:ascii="Calibri" w:hAnsi="Calibri"/>
          <w:spacing w:val="15"/>
          <w:sz w:val="24"/>
          <w:vertAlign w:val="baseline"/>
        </w:rPr>
        <w:t> </w:t>
      </w:r>
      <w:r>
        <w:rPr>
          <w:sz w:val="24"/>
          <w:vertAlign w:val="baseline"/>
        </w:rPr>
        <w:t>for En-</w:t>
      </w:r>
    </w:p>
    <w:p>
      <w:pPr>
        <w:pStyle w:val="ListParagraph"/>
        <w:numPr>
          <w:ilvl w:val="3"/>
          <w:numId w:val="8"/>
        </w:numPr>
        <w:tabs>
          <w:tab w:pos="806" w:val="left" w:leader="none"/>
          <w:tab w:pos="808" w:val="left" w:leader="none"/>
        </w:tabs>
        <w:spacing w:line="396" w:lineRule="auto" w:before="0" w:after="0"/>
        <w:ind w:left="808" w:right="524" w:hanging="216"/>
        <w:jc w:val="both"/>
        <w:rPr>
          <w:sz w:val="24"/>
        </w:rPr>
      </w:pPr>
      <w:r>
        <w:rPr>
          <w:i/>
        </w:rPr>
        <w:t>근거가 아닌 프록시: 충분한 밀도에서는 과소담보 대출 기본 라벨을 사용할 수 없습니다. 영구 거래 청산과 GMX V2의 손익은 대출 상환이 아닌 도메인 직관 프록시입니다[23],[44]. 거래 성공 프록시와의 정렬(En-의 경우 τ = 0.096)</w:t>
      </w:r>
    </w:p>
    <w:p>
      <w:pPr>
        <w:pStyle w:val="ListParagraph"/>
        <w:spacing w:after="0" w:line="396" w:lineRule="auto"/>
        <w:jc w:val="both"/>
        <w:rPr>
          <w:sz w:val="24"/>
        </w:rPr>
        <w:sectPr>
          <w:pgSz w:w="11910" w:h="16840"/>
          <w:pgMar w:header="0" w:footer="2115" w:top="1840" w:bottom="2300" w:left="992" w:right="708"/>
        </w:sectPr>
      </w:pPr>
    </w:p>
    <w:p>
      <w:pPr>
        <w:pStyle w:val="BodyText"/>
        <w:spacing w:before="68"/>
        <w:ind w:left="808"/>
        <w:jc w:val="both"/>
      </w:pPr>
      <w:r>
        <w:rPr/>
        <w:t>dorseRank;</w:t>
      </w:r>
      <w:r>
        <w:rPr>
          <w:spacing w:val="-10"/>
        </w:rPr>
        <w:t> </w:t>
      </w:r>
      <w:r>
        <w:rPr>
          <w:rFonts w:ascii="Calibri" w:hAnsi="Calibri"/>
        </w:rPr>
        <w:t>0</w:t>
      </w:r>
      <w:r>
        <w:rPr>
          <w:rFonts w:ascii="Calibri" w:hAnsi="Calibri"/>
          <w:i/>
        </w:rPr>
        <w:t>.</w:t>
      </w:r>
      <w:r>
        <w:rPr>
          <w:rFonts w:ascii="Calibri" w:hAnsi="Calibri"/>
        </w:rPr>
        <w:t>179</w:t>
      </w:r>
      <w:r>
        <w:rPr>
          <w:rFonts w:ascii="Calibri" w:hAnsi="Calibri"/>
          <w:spacing w:val="-4"/>
        </w:rPr>
        <w:t> </w:t>
      </w:r>
      <w:r>
        <w:rPr/>
        <w:t>for</w:t>
      </w:r>
      <w:r>
        <w:rPr>
          <w:spacing w:val="-9"/>
        </w:rPr>
        <w:t> </w:t>
      </w:r>
      <w:r>
        <w:rPr/>
        <w:t>AWP)</w:t>
      </w:r>
      <w:r>
        <w:rPr>
          <w:spacing w:val="-10"/>
        </w:rPr>
        <w:t> </w:t>
      </w:r>
      <w:r>
        <w:rPr/>
        <w:t>must</w:t>
      </w:r>
      <w:r>
        <w:rPr>
          <w:spacing w:val="-9"/>
        </w:rPr>
        <w:t> </w:t>
      </w:r>
      <w:r>
        <w:rPr/>
        <w:t>not</w:t>
      </w:r>
      <w:r>
        <w:rPr>
          <w:spacing w:val="-10"/>
        </w:rPr>
        <w:t> </w:t>
      </w:r>
      <w:r>
        <w:rPr/>
        <w:t>be</w:t>
      </w:r>
      <w:r>
        <w:rPr>
          <w:spacing w:val="-10"/>
        </w:rPr>
        <w:t> </w:t>
      </w:r>
      <w:r>
        <w:rPr/>
        <w:t>read</w:t>
      </w:r>
      <w:r>
        <w:rPr>
          <w:spacing w:val="-9"/>
        </w:rPr>
        <w:t> </w:t>
      </w:r>
      <w:r>
        <w:rPr/>
        <w:t>as</w:t>
      </w:r>
      <w:r>
        <w:rPr>
          <w:spacing w:val="-10"/>
        </w:rPr>
        <w:t> </w:t>
      </w:r>
      <w:r>
        <w:rPr/>
        <w:t>credit-default</w:t>
      </w:r>
      <w:r>
        <w:rPr>
          <w:spacing w:val="-9"/>
        </w:rPr>
        <w:t> </w:t>
      </w:r>
      <w:r>
        <w:rPr>
          <w:spacing w:val="-2"/>
        </w:rPr>
        <w:t>prediction.</w:t>
      </w:r>
    </w:p>
    <w:p>
      <w:pPr>
        <w:pStyle w:val="BodyText"/>
        <w:spacing w:before="68"/>
        <w:ind w:left="808"/>
        <w:jc w:val="both"/>
      </w:pPr>
      <w:r>
        <w:rPr>
          <w:i/>
        </w:rPr>
        <w:t>dorseRank; AWP의 경우 0.179)를 신용 부도 예측으로 읽어서는 안 됩니다.</w:t>
      </w:r>
    </w:p>
    <w:p>
      <w:pPr>
        <w:pStyle w:val="ListParagraph"/>
        <w:numPr>
          <w:ilvl w:val="3"/>
          <w:numId w:val="8"/>
        </w:numPr>
        <w:tabs>
          <w:tab w:pos="806" w:val="left" w:leader="none"/>
          <w:tab w:pos="808" w:val="left" w:leader="none"/>
        </w:tabs>
        <w:spacing w:line="386" w:lineRule="auto" w:before="204" w:after="0"/>
        <w:ind w:left="808" w:right="525" w:hanging="216"/>
        <w:jc w:val="both"/>
        <w:rPr>
          <w:sz w:val="24"/>
        </w:rPr>
      </w:pPr>
      <w:r>
        <w:rPr>
          <w:b/>
          <w:sz w:val="24"/>
        </w:rPr>
        <w:t>GF-PR</w:t>
      </w:r>
      <w:r>
        <w:rPr>
          <w:b/>
          <w:spacing w:val="-8"/>
          <w:sz w:val="24"/>
        </w:rPr>
        <w:t> </w:t>
      </w:r>
      <w:r>
        <w:rPr>
          <w:b/>
          <w:sz w:val="24"/>
        </w:rPr>
        <w:t>construct</w:t>
      </w:r>
      <w:r>
        <w:rPr>
          <w:b/>
          <w:spacing w:val="-7"/>
          <w:sz w:val="24"/>
        </w:rPr>
        <w:t> </w:t>
      </w:r>
      <w:r>
        <w:rPr>
          <w:b/>
          <w:sz w:val="24"/>
        </w:rPr>
        <w:t>overlap: </w:t>
      </w:r>
      <w:r>
        <w:rPr>
          <w:sz w:val="24"/>
        </w:rPr>
        <w:t>GF-PR</w:t>
      </w:r>
      <w:r>
        <w:rPr>
          <w:spacing w:val="-8"/>
          <w:sz w:val="24"/>
        </w:rPr>
        <w:t> </w:t>
      </w:r>
      <w:r>
        <w:rPr>
          <w:sz w:val="24"/>
        </w:rPr>
        <w:t>shares</w:t>
      </w:r>
      <w:r>
        <w:rPr>
          <w:spacing w:val="-7"/>
          <w:sz w:val="24"/>
        </w:rPr>
        <w:t> </w:t>
      </w:r>
      <w:r>
        <w:rPr>
          <w:sz w:val="24"/>
        </w:rPr>
        <w:t>input</w:t>
      </w:r>
      <w:r>
        <w:rPr>
          <w:spacing w:val="-7"/>
          <w:sz w:val="24"/>
        </w:rPr>
        <w:t> </w:t>
      </w:r>
      <w:r>
        <w:rPr>
          <w:sz w:val="24"/>
        </w:rPr>
        <w:t>semantics</w:t>
      </w:r>
      <w:r>
        <w:rPr>
          <w:spacing w:val="-8"/>
          <w:sz w:val="24"/>
        </w:rPr>
        <w:t> </w:t>
      </w:r>
      <w:r>
        <w:rPr>
          <w:sz w:val="24"/>
        </w:rPr>
        <w:t>with</w:t>
      </w:r>
      <w:r>
        <w:rPr>
          <w:spacing w:val="-7"/>
          <w:sz w:val="24"/>
        </w:rPr>
        <w:t> </w:t>
      </w:r>
      <w:r>
        <w:rPr>
          <w:sz w:val="24"/>
        </w:rPr>
        <w:t>trading-success</w:t>
      </w:r>
      <w:r>
        <w:rPr>
          <w:spacing w:val="-7"/>
          <w:sz w:val="24"/>
        </w:rPr>
        <w:t> </w:t>
      </w:r>
      <w:r>
        <w:rPr>
          <w:sz w:val="24"/>
        </w:rPr>
        <w:t>and</w:t>
      </w:r>
      <w:r>
        <w:rPr>
          <w:spacing w:val="-8"/>
          <w:sz w:val="24"/>
        </w:rPr>
        <w:t> </w:t>
      </w:r>
      <w:r>
        <w:rPr>
          <w:sz w:val="24"/>
        </w:rPr>
        <w:t>inverse-risk</w:t>
      </w:r>
      <w:r>
        <w:rPr>
          <w:spacing w:val="-12"/>
          <w:sz w:val="24"/>
        </w:rPr>
        <w:t> </w:t>
      </w:r>
      <w:r>
        <w:rPr>
          <w:sz w:val="24"/>
        </w:rPr>
        <w:t>proxies;</w:t>
      </w:r>
      <w:r>
        <w:rPr>
          <w:spacing w:val="-9"/>
          <w:sz w:val="24"/>
        </w:rPr>
        <w:t> </w:t>
      </w:r>
      <w:r>
        <w:rPr>
          <w:sz w:val="24"/>
        </w:rPr>
        <w:t>its</w:t>
      </w:r>
      <w:r>
        <w:rPr>
          <w:spacing w:val="-12"/>
          <w:sz w:val="24"/>
        </w:rPr>
        <w:t> </w:t>
      </w:r>
      <w:r>
        <w:rPr>
          <w:sz w:val="24"/>
        </w:rPr>
        <w:t>high</w:t>
      </w:r>
      <w:r>
        <w:rPr>
          <w:spacing w:val="-12"/>
          <w:sz w:val="24"/>
        </w:rPr>
        <w:t> </w:t>
      </w:r>
      <w:r>
        <w:rPr>
          <w:rFonts w:ascii="Calibri" w:hAnsi="Calibri"/>
          <w:i/>
          <w:sz w:val="24"/>
        </w:rPr>
        <w:t>τ</w:t>
      </w:r>
      <w:r>
        <w:rPr>
          <w:rFonts w:ascii="Calibri" w:hAnsi="Calibri"/>
          <w:i/>
          <w:spacing w:val="20"/>
          <w:sz w:val="24"/>
        </w:rPr>
        <w:t> </w:t>
      </w:r>
      <w:r>
        <w:rPr>
          <w:sz w:val="24"/>
        </w:rPr>
        <w:t>on</w:t>
      </w:r>
      <w:r>
        <w:rPr>
          <w:spacing w:val="-12"/>
          <w:sz w:val="24"/>
        </w:rPr>
        <w:t> </w:t>
      </w:r>
      <w:r>
        <w:rPr>
          <w:sz w:val="24"/>
        </w:rPr>
        <w:t>those</w:t>
      </w:r>
      <w:r>
        <w:rPr>
          <w:spacing w:val="-12"/>
          <w:sz w:val="24"/>
        </w:rPr>
        <w:t> </w:t>
      </w:r>
      <w:r>
        <w:rPr>
          <w:sz w:val="24"/>
        </w:rPr>
        <w:t>families</w:t>
      </w:r>
      <w:r>
        <w:rPr>
          <w:spacing w:val="-12"/>
          <w:sz w:val="24"/>
        </w:rPr>
        <w:t> </w:t>
      </w:r>
      <w:r>
        <w:rPr>
          <w:sz w:val="24"/>
        </w:rPr>
        <w:t>(</w:t>
      </w:r>
      <w:r>
        <w:rPr>
          <w:rFonts w:ascii="Calibri" w:hAnsi="Calibri"/>
          <w:sz w:val="24"/>
        </w:rPr>
        <w:t>0</w:t>
      </w:r>
      <w:r>
        <w:rPr>
          <w:rFonts w:ascii="Calibri" w:hAnsi="Calibri"/>
          <w:i/>
          <w:sz w:val="24"/>
        </w:rPr>
        <w:t>.</w:t>
      </w:r>
      <w:r>
        <w:rPr>
          <w:rFonts w:ascii="Calibri" w:hAnsi="Calibri"/>
          <w:sz w:val="24"/>
        </w:rPr>
        <w:t>583</w:t>
      </w:r>
      <w:r>
        <w:rPr>
          <w:rFonts w:ascii="Calibri" w:hAnsi="Calibri"/>
          <w:spacing w:val="-6"/>
          <w:sz w:val="24"/>
        </w:rPr>
        <w:t> </w:t>
      </w:r>
      <w:r>
        <w:rPr>
          <w:sz w:val="24"/>
        </w:rPr>
        <w:t>and</w:t>
      </w:r>
      <w:r>
        <w:rPr>
          <w:spacing w:val="-12"/>
          <w:sz w:val="24"/>
        </w:rPr>
        <w:t> </w:t>
      </w:r>
      <w:r>
        <w:rPr>
          <w:rFonts w:ascii="Calibri" w:hAnsi="Calibri"/>
          <w:sz w:val="24"/>
        </w:rPr>
        <w:t>0</w:t>
      </w:r>
      <w:r>
        <w:rPr>
          <w:rFonts w:ascii="Calibri" w:hAnsi="Calibri"/>
          <w:i/>
          <w:sz w:val="24"/>
        </w:rPr>
        <w:t>.</w:t>
      </w:r>
      <w:r>
        <w:rPr>
          <w:rFonts w:ascii="Calibri" w:hAnsi="Calibri"/>
          <w:sz w:val="24"/>
        </w:rPr>
        <w:t>376</w:t>
      </w:r>
      <w:r>
        <w:rPr>
          <w:sz w:val="24"/>
        </w:rPr>
        <w:t>)</w:t>
      </w:r>
      <w:r>
        <w:rPr>
          <w:spacing w:val="-12"/>
          <w:sz w:val="24"/>
        </w:rPr>
        <w:t> </w:t>
      </w:r>
      <w:r>
        <w:rPr>
          <w:sz w:val="24"/>
        </w:rPr>
        <w:t>must</w:t>
      </w:r>
      <w:r>
        <w:rPr>
          <w:spacing w:val="-12"/>
          <w:sz w:val="24"/>
        </w:rPr>
        <w:t> </w:t>
      </w:r>
      <w:r>
        <w:rPr>
          <w:sz w:val="24"/>
        </w:rPr>
        <w:t>not</w:t>
      </w:r>
      <w:r>
        <w:rPr>
          <w:spacing w:val="-12"/>
          <w:sz w:val="24"/>
        </w:rPr>
        <w:t> </w:t>
      </w:r>
      <w:r>
        <w:rPr>
          <w:sz w:val="24"/>
        </w:rPr>
        <w:t>be</w:t>
      </w:r>
      <w:r>
        <w:rPr>
          <w:spacing w:val="-12"/>
          <w:sz w:val="24"/>
        </w:rPr>
        <w:t> </w:t>
      </w:r>
      <w:r>
        <w:rPr>
          <w:sz w:val="24"/>
        </w:rPr>
        <w:t>interpreted</w:t>
      </w:r>
      <w:r>
        <w:rPr>
          <w:spacing w:val="-12"/>
          <w:sz w:val="24"/>
        </w:rPr>
        <w:t> </w:t>
      </w:r>
      <w:r>
        <w:rPr>
          <w:sz w:val="24"/>
        </w:rPr>
        <w:t>as</w:t>
      </w:r>
      <w:r>
        <w:rPr>
          <w:spacing w:val="-12"/>
          <w:sz w:val="24"/>
        </w:rPr>
        <w:t> </w:t>
      </w:r>
      <w:r>
        <w:rPr>
          <w:sz w:val="24"/>
        </w:rPr>
        <w:t>superior social reputation </w:t>
      </w:r>
      <w:hyperlink w:history="true" w:anchor="_bookmark147">
        <w:r>
          <w:rPr>
            <w:sz w:val="24"/>
            <w:vertAlign w:val="superscript"/>
          </w:rPr>
          <w:t>[14]</w:t>
        </w:r>
      </w:hyperlink>
      <w:r>
        <w:rPr>
          <w:sz w:val="24"/>
          <w:vertAlign w:val="baseline"/>
        </w:rPr>
        <w:t>.</w:t>
      </w:r>
    </w:p>
    <w:p>
      <w:pPr>
        <w:pStyle w:val="ListParagraph"/>
        <w:numPr>
          <w:ilvl w:val="3"/>
          <w:numId w:val="8"/>
        </w:numPr>
        <w:tabs>
          <w:tab w:pos="806" w:val="left" w:leader="none"/>
          <w:tab w:pos="808" w:val="left" w:leader="none"/>
        </w:tabs>
        <w:spacing w:line="386" w:lineRule="auto" w:before="204" w:after="0"/>
        <w:ind w:left="808" w:right="525" w:hanging="216"/>
        <w:jc w:val="both"/>
        <w:rPr>
          <w:sz w:val="24"/>
        </w:rPr>
      </w:pPr>
      <w:r>
        <w:rPr>
          <w:i/>
        </w:rPr>
        <w:t>GF-PR 구성 중복: GF-PR은 거래 성공 및 역위험 프록시와 입력 의미를 공유하며 해당 계열(0.583 및 0.376)에 대한 높은 τ가 우수한 사회적 평판으로 해석되어서는 안 됩니다[14].</w:t>
      </w:r>
    </w:p>
    <w:p>
      <w:pPr>
        <w:pStyle w:val="ListParagraph"/>
        <w:numPr>
          <w:ilvl w:val="3"/>
          <w:numId w:val="8"/>
        </w:numPr>
        <w:tabs>
          <w:tab w:pos="800" w:val="left" w:leader="none"/>
          <w:tab w:pos="806" w:val="left" w:leader="none"/>
        </w:tabs>
        <w:spacing w:line="386" w:lineRule="auto" w:before="41" w:after="0"/>
        <w:ind w:left="800" w:right="558" w:hanging="208"/>
        <w:jc w:val="both"/>
        <w:rPr>
          <w:sz w:val="24"/>
        </w:rPr>
      </w:pPr>
      <w:r>
        <w:rPr>
          <w:spacing w:val="-15"/>
          <w:sz w:val="24"/>
        </w:rPr>
        <w:t> </w:t>
      </w:r>
      <w:r>
        <w:rPr>
          <w:b/>
          <w:sz w:val="24"/>
        </w:rPr>
        <w:t>Secondary-axis</w:t>
      </w:r>
      <w:r>
        <w:rPr>
          <w:b/>
          <w:spacing w:val="-15"/>
          <w:sz w:val="24"/>
        </w:rPr>
        <w:t> </w:t>
      </w:r>
      <w:r>
        <w:rPr>
          <w:b/>
          <w:sz w:val="24"/>
        </w:rPr>
        <w:t>interpretation:</w:t>
      </w:r>
      <w:r>
        <w:rPr>
          <w:b/>
          <w:spacing w:val="-10"/>
          <w:sz w:val="24"/>
        </w:rPr>
        <w:t> </w:t>
      </w:r>
      <w:r>
        <w:rPr>
          <w:sz w:val="24"/>
        </w:rPr>
        <w:t>EndorseRank’s</w:t>
      </w:r>
      <w:r>
        <w:rPr>
          <w:spacing w:val="-2"/>
          <w:sz w:val="24"/>
        </w:rPr>
        <w:t> </w:t>
      </w:r>
      <w:r>
        <w:rPr>
          <w:sz w:val="24"/>
        </w:rPr>
        <w:t>moderate</w:t>
      </w:r>
      <w:r>
        <w:rPr>
          <w:spacing w:val="-3"/>
          <w:sz w:val="24"/>
        </w:rPr>
        <w:t> </w:t>
      </w:r>
      <w:r>
        <w:rPr>
          <w:sz w:val="24"/>
        </w:rPr>
        <w:t>transfer</w:t>
      </w:r>
      <w:r>
        <w:rPr>
          <w:spacing w:val="-3"/>
          <w:sz w:val="24"/>
        </w:rPr>
        <w:t> </w:t>
      </w:r>
      <w:r>
        <w:rPr>
          <w:rFonts w:ascii="Calibri" w:hAnsi="Calibri"/>
          <w:i/>
          <w:sz w:val="24"/>
        </w:rPr>
        <w:t>τ</w:t>
      </w:r>
      <w:r>
        <w:rPr>
          <w:rFonts w:ascii="Calibri" w:hAnsi="Calibri"/>
          <w:i/>
          <w:spacing w:val="35"/>
          <w:sz w:val="24"/>
        </w:rPr>
        <w:t> </w:t>
      </w:r>
      <w:r>
        <w:rPr>
          <w:rFonts w:ascii="Calibri" w:hAnsi="Calibri"/>
          <w:sz w:val="24"/>
        </w:rPr>
        <w:t>= 0</w:t>
      </w:r>
      <w:r>
        <w:rPr>
          <w:rFonts w:ascii="Calibri" w:hAnsi="Calibri"/>
          <w:i/>
          <w:sz w:val="24"/>
        </w:rPr>
        <w:t>.</w:t>
      </w:r>
      <w:r>
        <w:rPr>
          <w:rFonts w:ascii="Calibri" w:hAnsi="Calibri"/>
          <w:sz w:val="24"/>
        </w:rPr>
        <w:t>333 </w:t>
      </w:r>
      <w:r>
        <w:rPr>
          <w:sz w:val="24"/>
        </w:rPr>
        <w:t>is</w:t>
      </w:r>
      <w:r>
        <w:rPr>
          <w:spacing w:val="-3"/>
          <w:sz w:val="24"/>
        </w:rPr>
        <w:t> </w:t>
      </w:r>
      <w:r>
        <w:rPr>
          <w:sz w:val="24"/>
        </w:rPr>
        <w:t>a</w:t>
      </w:r>
      <w:r>
        <w:rPr>
          <w:spacing w:val="-3"/>
          <w:sz w:val="24"/>
        </w:rPr>
        <w:t> </w:t>
      </w:r>
      <w:r>
        <w:rPr>
          <w:sz w:val="24"/>
        </w:rPr>
        <w:t>secondary </w:t>
      </w:r>
      <w:r>
        <w:rPr>
          <w:spacing w:val="-2"/>
          <w:sz w:val="24"/>
        </w:rPr>
        <w:t>validation</w:t>
      </w:r>
      <w:r>
        <w:rPr>
          <w:spacing w:val="-11"/>
          <w:sz w:val="24"/>
        </w:rPr>
        <w:t> </w:t>
      </w:r>
      <w:r>
        <w:rPr>
          <w:spacing w:val="-2"/>
          <w:sz w:val="24"/>
        </w:rPr>
        <w:t>axis,</w:t>
      </w:r>
      <w:r>
        <w:rPr>
          <w:spacing w:val="-7"/>
          <w:sz w:val="24"/>
        </w:rPr>
        <w:t> </w:t>
      </w:r>
      <w:r>
        <w:rPr>
          <w:spacing w:val="-2"/>
          <w:sz w:val="24"/>
        </w:rPr>
        <w:t>not</w:t>
      </w:r>
      <w:r>
        <w:rPr>
          <w:spacing w:val="-11"/>
          <w:sz w:val="24"/>
        </w:rPr>
        <w:t> </w:t>
      </w:r>
      <w:r>
        <w:rPr>
          <w:spacing w:val="-2"/>
          <w:sz w:val="24"/>
        </w:rPr>
        <w:t>evidence</w:t>
      </w:r>
      <w:r>
        <w:rPr>
          <w:spacing w:val="-11"/>
          <w:sz w:val="24"/>
        </w:rPr>
        <w:t> </w:t>
      </w:r>
      <w:r>
        <w:rPr>
          <w:spacing w:val="-2"/>
          <w:sz w:val="24"/>
        </w:rPr>
        <w:t>that</w:t>
      </w:r>
      <w:r>
        <w:rPr>
          <w:spacing w:val="-11"/>
          <w:sz w:val="24"/>
        </w:rPr>
        <w:t> </w:t>
      </w:r>
      <w:r>
        <w:rPr>
          <w:spacing w:val="-2"/>
          <w:sz w:val="24"/>
        </w:rPr>
        <w:t>allowance</w:t>
      </w:r>
      <w:r>
        <w:rPr>
          <w:spacing w:val="-11"/>
          <w:sz w:val="24"/>
        </w:rPr>
        <w:t> </w:t>
      </w:r>
      <w:r>
        <w:rPr>
          <w:spacing w:val="-2"/>
          <w:sz w:val="24"/>
        </w:rPr>
        <w:t>graphs</w:t>
      </w:r>
      <w:r>
        <w:rPr>
          <w:spacing w:val="-11"/>
          <w:sz w:val="24"/>
        </w:rPr>
        <w:t> </w:t>
      </w:r>
      <w:r>
        <w:rPr>
          <w:spacing w:val="-2"/>
          <w:sz w:val="24"/>
        </w:rPr>
        <w:t>measure</w:t>
      </w:r>
      <w:r>
        <w:rPr>
          <w:spacing w:val="-11"/>
          <w:sz w:val="24"/>
        </w:rPr>
        <w:t> </w:t>
      </w:r>
      <w:r>
        <w:rPr>
          <w:spacing w:val="-2"/>
          <w:sz w:val="24"/>
        </w:rPr>
        <w:t>transfer</w:t>
      </w:r>
      <w:r>
        <w:rPr>
          <w:spacing w:val="-11"/>
          <w:sz w:val="24"/>
        </w:rPr>
        <w:t> </w:t>
      </w:r>
      <w:r>
        <w:rPr>
          <w:spacing w:val="-2"/>
          <w:sz w:val="24"/>
        </w:rPr>
        <w:t>centrality</w:t>
      </w:r>
      <w:r>
        <w:rPr>
          <w:spacing w:val="-11"/>
          <w:sz w:val="24"/>
        </w:rPr>
        <w:t> </w:t>
      </w:r>
      <w:r>
        <w:rPr>
          <w:spacing w:val="-2"/>
          <w:sz w:val="24"/>
        </w:rPr>
        <w:t>as</w:t>
      </w:r>
      <w:r>
        <w:rPr>
          <w:spacing w:val="-11"/>
          <w:sz w:val="24"/>
        </w:rPr>
        <w:t> </w:t>
      </w:r>
      <w:r>
        <w:rPr>
          <w:spacing w:val="-2"/>
          <w:sz w:val="24"/>
        </w:rPr>
        <w:t>well</w:t>
      </w:r>
      <w:r>
        <w:rPr>
          <w:spacing w:val="-11"/>
          <w:sz w:val="24"/>
        </w:rPr>
        <w:t> </w:t>
      </w:r>
      <w:r>
        <w:rPr>
          <w:spacing w:val="-2"/>
          <w:sz w:val="24"/>
        </w:rPr>
        <w:t>as</w:t>
      </w:r>
      <w:r>
        <w:rPr>
          <w:spacing w:val="-11"/>
          <w:sz w:val="24"/>
        </w:rPr>
        <w:t> </w:t>
      </w:r>
      <w:r>
        <w:rPr>
          <w:spacing w:val="-2"/>
          <w:sz w:val="24"/>
        </w:rPr>
        <w:t>AWP </w:t>
      </w:r>
      <w:r>
        <w:rPr>
          <w:w w:val="105"/>
          <w:sz w:val="24"/>
        </w:rPr>
        <w:t>(</w:t>
      </w:r>
      <w:r>
        <w:rPr>
          <w:rFonts w:ascii="Calibri" w:hAnsi="Calibri"/>
          <w:i/>
          <w:w w:val="105"/>
          <w:sz w:val="24"/>
        </w:rPr>
        <w:t>τ</w:t>
      </w:r>
      <w:r>
        <w:rPr>
          <w:rFonts w:ascii="Calibri" w:hAnsi="Calibri"/>
          <w:i/>
          <w:w w:val="125"/>
          <w:sz w:val="24"/>
        </w:rPr>
        <w:t> </w:t>
      </w:r>
      <w:r>
        <w:rPr>
          <w:rFonts w:ascii="Calibri" w:hAnsi="Calibri"/>
          <w:w w:val="125"/>
          <w:sz w:val="24"/>
        </w:rPr>
        <w:t>= </w:t>
      </w:r>
      <w:r>
        <w:rPr>
          <w:rFonts w:ascii="Calibri" w:hAnsi="Calibri"/>
          <w:w w:val="105"/>
          <w:sz w:val="24"/>
        </w:rPr>
        <w:t>0</w:t>
      </w:r>
      <w:r>
        <w:rPr>
          <w:rFonts w:ascii="Calibri" w:hAnsi="Calibri"/>
          <w:i/>
          <w:w w:val="105"/>
          <w:sz w:val="24"/>
        </w:rPr>
        <w:t>.</w:t>
      </w:r>
      <w:r>
        <w:rPr>
          <w:rFonts w:ascii="Calibri" w:hAnsi="Calibri"/>
          <w:w w:val="105"/>
          <w:sz w:val="24"/>
        </w:rPr>
        <w:t>534</w:t>
      </w:r>
      <w:r>
        <w:rPr>
          <w:w w:val="105"/>
          <w:sz w:val="24"/>
        </w:rPr>
        <w:t>).</w:t>
      </w:r>
    </w:p>
    <w:p>
      <w:pPr>
        <w:pStyle w:val="ListParagraph"/>
        <w:numPr>
          <w:ilvl w:val="3"/>
          <w:numId w:val="8"/>
        </w:numPr>
        <w:tabs>
          <w:tab w:pos="800" w:val="left" w:leader="none"/>
          <w:tab w:pos="806" w:val="left" w:leader="none"/>
        </w:tabs>
        <w:spacing w:line="386" w:lineRule="auto" w:before="41" w:after="0"/>
        <w:ind w:left="800" w:right="558" w:hanging="208"/>
        <w:jc w:val="both"/>
        <w:rPr>
          <w:sz w:val="24"/>
        </w:rPr>
      </w:pPr>
      <w:r>
        <w:rPr>
          <w:i/>
        </w:rPr>
        <w:t>2차 축 해석: EndorseRank의 중간 전달 τ = 0.333은 2차 검증 축이며, 허용 그래프가 AWP(τ = 0.534)뿐만 아니라 전달 중심성을 측정한다는 증거는 아닙니다.</w:t>
      </w:r>
    </w:p>
    <w:p>
      <w:pPr>
        <w:pStyle w:val="Heading4"/>
        <w:numPr>
          <w:ilvl w:val="2"/>
          <w:numId w:val="8"/>
        </w:numPr>
        <w:tabs>
          <w:tab w:pos="879" w:val="left" w:leader="none"/>
        </w:tabs>
        <w:spacing w:line="240" w:lineRule="auto" w:before="267" w:after="0"/>
        <w:ind w:left="879" w:right="0" w:hanging="597"/>
        <w:jc w:val="left"/>
      </w:pPr>
      <w:bookmarkStart w:name="Internal validity" w:id="240"/>
      <w:bookmarkEnd w:id="240"/>
      <w:r>
        <w:rPr>
          <w:b w:val="0"/>
        </w:rPr>
      </w:r>
      <w:r>
        <w:rPr/>
        <w:t>Internal</w:t>
      </w:r>
      <w:r>
        <w:rPr>
          <w:spacing w:val="-10"/>
        </w:rPr>
        <w:t> </w:t>
      </w:r>
      <w:r>
        <w:rPr>
          <w:spacing w:val="-2"/>
        </w:rPr>
        <w:t>validity</w:t>
      </w:r>
    </w:p>
    <w:p>
      <w:pPr>
        <w:pStyle w:val="Heading4"/>
        <w:numPr>
          <w:ilvl w:val="2"/>
          <w:numId w:val="8"/>
        </w:numPr>
        <w:tabs>
          <w:tab w:pos="879" w:val="left" w:leader="none"/>
        </w:tabs>
        <w:spacing w:line="240" w:lineRule="auto" w:before="267" w:after="0"/>
        <w:ind w:left="879" w:right="0" w:hanging="597"/>
        <w:jc w:val="left"/>
      </w:pPr>
      <w:r>
        <w:rPr>
          <w:i/>
        </w:rPr>
        <w:t>내적 타당성</w:t>
      </w:r>
    </w:p>
    <w:p>
      <w:pPr>
        <w:pStyle w:val="BodyText"/>
        <w:spacing w:before="46"/>
        <w:rPr>
          <w:b/>
        </w:rPr>
      </w:pPr>
    </w:p>
    <w:p>
      <w:pPr>
        <w:pStyle w:val="ListParagraph"/>
        <w:numPr>
          <w:ilvl w:val="3"/>
          <w:numId w:val="8"/>
        </w:numPr>
        <w:tabs>
          <w:tab w:pos="806" w:val="left" w:leader="none"/>
          <w:tab w:pos="808" w:val="left" w:leader="none"/>
        </w:tabs>
        <w:spacing w:line="396" w:lineRule="auto" w:before="1" w:after="0"/>
        <w:ind w:left="808" w:right="523" w:hanging="216"/>
        <w:jc w:val="both"/>
        <w:rPr>
          <w:sz w:val="24"/>
        </w:rPr>
      </w:pPr>
      <w:r>
        <w:rPr>
          <w:b/>
          <w:sz w:val="24"/>
        </w:rPr>
        <w:t>Shared observation window:</w:t>
      </w:r>
      <w:r>
        <w:rPr>
          <w:b/>
          <w:spacing w:val="40"/>
          <w:sz w:val="24"/>
        </w:rPr>
        <w:t> </w:t>
      </w:r>
      <w:r>
        <w:rPr>
          <w:sz w:val="24"/>
        </w:rPr>
        <w:t>All methods and proxies are computed over 2025-12-01 to 2026-05-31. Market</w:t>
      </w:r>
      <w:r>
        <w:rPr>
          <w:spacing w:val="-10"/>
          <w:sz w:val="24"/>
        </w:rPr>
        <w:t> </w:t>
      </w:r>
      <w:r>
        <w:rPr>
          <w:sz w:val="24"/>
        </w:rPr>
        <w:t>regimes</w:t>
      </w:r>
      <w:r>
        <w:rPr>
          <w:spacing w:val="-10"/>
          <w:sz w:val="24"/>
        </w:rPr>
        <w:t> </w:t>
      </w:r>
      <w:r>
        <w:rPr>
          <w:sz w:val="24"/>
        </w:rPr>
        <w:t>specific</w:t>
      </w:r>
      <w:r>
        <w:rPr>
          <w:spacing w:val="-10"/>
          <w:sz w:val="24"/>
        </w:rPr>
        <w:t> </w:t>
      </w:r>
      <w:r>
        <w:rPr>
          <w:sz w:val="24"/>
        </w:rPr>
        <w:t>to</w:t>
      </w:r>
      <w:r>
        <w:rPr>
          <w:spacing w:val="-10"/>
          <w:sz w:val="24"/>
        </w:rPr>
        <w:t> </w:t>
      </w:r>
      <w:r>
        <w:rPr>
          <w:sz w:val="24"/>
        </w:rPr>
        <w:t>that</w:t>
      </w:r>
      <w:r>
        <w:rPr>
          <w:spacing w:val="-10"/>
          <w:sz w:val="24"/>
        </w:rPr>
        <w:t> </w:t>
      </w:r>
      <w:r>
        <w:rPr>
          <w:sz w:val="24"/>
        </w:rPr>
        <w:t>window—volatility,</w:t>
      </w:r>
      <w:r>
        <w:rPr>
          <w:spacing w:val="-10"/>
          <w:sz w:val="24"/>
        </w:rPr>
        <w:t> </w:t>
      </w:r>
      <w:r>
        <w:rPr>
          <w:sz w:val="24"/>
        </w:rPr>
        <w:t>incentive</w:t>
      </w:r>
      <w:r>
        <w:rPr>
          <w:spacing w:val="-10"/>
          <w:sz w:val="24"/>
        </w:rPr>
        <w:t> </w:t>
      </w:r>
      <w:r>
        <w:rPr>
          <w:sz w:val="24"/>
        </w:rPr>
        <w:t>programs,</w:t>
      </w:r>
      <w:r>
        <w:rPr>
          <w:spacing w:val="-10"/>
          <w:sz w:val="24"/>
        </w:rPr>
        <w:t> </w:t>
      </w:r>
      <w:r>
        <w:rPr>
          <w:sz w:val="24"/>
        </w:rPr>
        <w:t>or</w:t>
      </w:r>
      <w:r>
        <w:rPr>
          <w:spacing w:val="-10"/>
          <w:sz w:val="24"/>
        </w:rPr>
        <w:t> </w:t>
      </w:r>
      <w:r>
        <w:rPr>
          <w:sz w:val="24"/>
        </w:rPr>
        <w:t>pro-tocol changes—may inflate or deflate alignment.</w:t>
      </w:r>
      <w:r>
        <w:rPr>
          <w:spacing w:val="40"/>
          <w:sz w:val="24"/>
        </w:rPr>
        <w:t> </w:t>
      </w:r>
      <w:r>
        <w:rPr>
          <w:sz w:val="24"/>
        </w:rPr>
        <w:t>Robustness checks on damping and top-token subgraphs reduce sensitivity to PageRank hyperparameters and token concentration but do not vary the calendar window.</w:t>
      </w:r>
    </w:p>
    <w:p>
      <w:pPr>
        <w:pStyle w:val="ListParagraph"/>
        <w:numPr>
          <w:ilvl w:val="3"/>
          <w:numId w:val="8"/>
        </w:numPr>
        <w:tabs>
          <w:tab w:pos="806" w:val="left" w:leader="none"/>
          <w:tab w:pos="808" w:val="left" w:leader="none"/>
        </w:tabs>
        <w:spacing w:line="396" w:lineRule="auto" w:before="1" w:after="0"/>
        <w:ind w:left="808" w:right="523" w:hanging="216"/>
        <w:jc w:val="both"/>
        <w:rPr>
          <w:sz w:val="24"/>
        </w:rPr>
      </w:pPr>
      <w:r>
        <w:rPr>
          <w:i/>
        </w:rPr>
        <w:t>공유 관찰 창: 모든 방법과 프록시는 2025년 12월 1일부터 2026년 5월 31일까지 계산됩니다. 변동성, 인센티브 프로그램, 프로토콜 변경 등 해당 창에 특정한 시장 체제로 인해 조정이 확대되거나 축소될 수 있습니다. 댐핑 및 최상위 토큰 하위 그래프에 대한 견고성 검사는 PageRank 하이퍼매개변수 및 토큰 집중도에 대한 민감도를 낮추지만 달력 창을 변경하지는 않습니다.</w:t>
      </w:r>
    </w:p>
    <w:p>
      <w:pPr>
        <w:pStyle w:val="ListParagraph"/>
        <w:numPr>
          <w:ilvl w:val="3"/>
          <w:numId w:val="8"/>
        </w:numPr>
        <w:tabs>
          <w:tab w:pos="806" w:val="left" w:leader="none"/>
          <w:tab w:pos="808" w:val="left" w:leader="none"/>
        </w:tabs>
        <w:spacing w:line="388" w:lineRule="auto" w:before="42" w:after="0"/>
        <w:ind w:left="808" w:right="522" w:hanging="216"/>
        <w:jc w:val="both"/>
        <w:rPr>
          <w:sz w:val="24"/>
        </w:rPr>
      </w:pPr>
      <w:r>
        <w:rPr>
          <w:b/>
          <w:sz w:val="24"/>
        </w:rPr>
        <w:t>Cohort selection:</w:t>
      </w:r>
      <w:r>
        <w:rPr>
          <w:b/>
          <w:spacing w:val="40"/>
          <w:sz w:val="24"/>
        </w:rPr>
        <w:t> </w:t>
      </w:r>
      <w:r>
        <w:rPr>
          <w:sz w:val="24"/>
        </w:rPr>
        <w:t>The matched wallet cohort requires at least three GMX closes and non-</w:t>
      </w:r>
      <w:r>
        <w:rPr>
          <w:w w:val="110"/>
          <w:sz w:val="24"/>
        </w:rPr>
        <w:t>zero </w:t>
      </w:r>
      <w:r>
        <w:rPr>
          <w:sz w:val="24"/>
        </w:rPr>
        <w:t>reputation </w:t>
      </w:r>
      <w:r>
        <w:rPr>
          <w:w w:val="110"/>
          <w:sz w:val="24"/>
        </w:rPr>
        <w:t>subgraph </w:t>
      </w:r>
      <w:r>
        <w:rPr>
          <w:sz w:val="24"/>
        </w:rPr>
        <w:t>connectivity </w:t>
      </w:r>
      <w:r>
        <w:rPr>
          <w:w w:val="110"/>
          <w:sz w:val="24"/>
        </w:rPr>
        <w:t>(</w:t>
      </w:r>
      <w:r>
        <w:rPr>
          <w:rFonts w:ascii="Calibri" w:hAnsi="Calibri"/>
          <w:i/>
          <w:w w:val="110"/>
          <w:sz w:val="24"/>
        </w:rPr>
        <w:t>n</w:t>
      </w:r>
      <w:r>
        <w:rPr>
          <w:rFonts w:ascii="Calibri" w:hAnsi="Calibri"/>
          <w:i/>
          <w:spacing w:val="37"/>
          <w:w w:val="110"/>
          <w:sz w:val="24"/>
        </w:rPr>
        <w:t> </w:t>
      </w:r>
      <w:r>
        <w:rPr>
          <w:rFonts w:ascii="Calibri" w:hAnsi="Calibri"/>
          <w:w w:val="110"/>
          <w:sz w:val="24"/>
        </w:rPr>
        <w:t>=</w:t>
      </w:r>
      <w:r>
        <w:rPr>
          <w:rFonts w:ascii="Calibri" w:hAnsi="Calibri"/>
          <w:spacing w:val="37"/>
          <w:w w:val="110"/>
          <w:sz w:val="24"/>
        </w:rPr>
        <w:t> </w:t>
      </w:r>
      <w:r>
        <w:rPr>
          <w:rFonts w:ascii="Calibri" w:hAnsi="Calibri"/>
          <w:w w:val="110"/>
          <w:sz w:val="24"/>
        </w:rPr>
        <w:t>5</w:t>
      </w:r>
      <w:r>
        <w:rPr>
          <w:rFonts w:ascii="Calibri" w:hAnsi="Calibri"/>
          <w:i/>
          <w:w w:val="110"/>
          <w:sz w:val="24"/>
        </w:rPr>
        <w:t>,</w:t>
      </w:r>
      <w:r>
        <w:rPr>
          <w:rFonts w:ascii="Calibri" w:hAnsi="Calibri"/>
          <w:w w:val="110"/>
          <w:sz w:val="24"/>
        </w:rPr>
        <w:t>521</w:t>
      </w:r>
      <w:r>
        <w:rPr>
          <w:w w:val="110"/>
          <w:sz w:val="24"/>
        </w:rPr>
        <w:t>;</w:t>
      </w:r>
      <w:r>
        <w:rPr>
          <w:w w:val="110"/>
          <w:sz w:val="24"/>
        </w:rPr>
        <w:t> </w:t>
      </w:r>
      <w:r>
        <w:rPr>
          <w:rFonts w:ascii="Calibri" w:hAnsi="Calibri"/>
          <w:w w:val="110"/>
          <w:sz w:val="24"/>
        </w:rPr>
        <w:t>365</w:t>
      </w:r>
      <w:r>
        <w:rPr>
          <w:rFonts w:ascii="Calibri" w:hAnsi="Calibri"/>
          <w:i/>
          <w:w w:val="110"/>
          <w:sz w:val="24"/>
        </w:rPr>
        <w:t>,</w:t>
      </w:r>
      <w:r>
        <w:rPr>
          <w:rFonts w:ascii="Calibri" w:hAnsi="Calibri"/>
          <w:w w:val="110"/>
          <w:sz w:val="24"/>
        </w:rPr>
        <w:t>488</w:t>
      </w:r>
      <w:r>
        <w:rPr>
          <w:rFonts w:ascii="Calibri" w:hAnsi="Calibri"/>
          <w:w w:val="110"/>
          <w:sz w:val="24"/>
        </w:rPr>
        <w:t> PositionDecrease</w:t>
      </w:r>
      <w:r>
        <w:rPr>
          <w:rFonts w:ascii="Calibri" w:hAnsi="Calibri"/>
          <w:w w:val="110"/>
          <w:sz w:val="24"/>
        </w:rPr>
        <w:t> </w:t>
      </w:r>
      <w:r>
        <w:rPr>
          <w:w w:val="110"/>
          <w:sz w:val="24"/>
        </w:rPr>
        <w:t>events). </w:t>
      </w:r>
      <w:r>
        <w:rPr>
          <w:sz w:val="24"/>
        </w:rPr>
        <w:t>Results</w:t>
      </w:r>
      <w:r>
        <w:rPr>
          <w:spacing w:val="-11"/>
          <w:sz w:val="24"/>
        </w:rPr>
        <w:t> </w:t>
      </w:r>
      <w:r>
        <w:rPr>
          <w:sz w:val="24"/>
        </w:rPr>
        <w:t>may</w:t>
      </w:r>
      <w:r>
        <w:rPr>
          <w:spacing w:val="-10"/>
          <w:sz w:val="24"/>
        </w:rPr>
        <w:t> </w:t>
      </w:r>
      <w:r>
        <w:rPr>
          <w:sz w:val="24"/>
        </w:rPr>
        <w:t>not</w:t>
      </w:r>
      <w:r>
        <w:rPr>
          <w:spacing w:val="-10"/>
          <w:sz w:val="24"/>
        </w:rPr>
        <w:t> </w:t>
      </w:r>
      <w:r>
        <w:rPr>
          <w:sz w:val="24"/>
        </w:rPr>
        <w:t>extend</w:t>
      </w:r>
      <w:r>
        <w:rPr>
          <w:spacing w:val="-10"/>
          <w:sz w:val="24"/>
        </w:rPr>
        <w:t> </w:t>
      </w:r>
      <w:r>
        <w:rPr>
          <w:sz w:val="24"/>
        </w:rPr>
        <w:t>to</w:t>
      </w:r>
      <w:r>
        <w:rPr>
          <w:spacing w:val="-10"/>
          <w:sz w:val="24"/>
        </w:rPr>
        <w:t> </w:t>
      </w:r>
      <w:r>
        <w:rPr>
          <w:sz w:val="24"/>
        </w:rPr>
        <w:t>wallets</w:t>
      </w:r>
      <w:r>
        <w:rPr>
          <w:spacing w:val="-10"/>
          <w:sz w:val="24"/>
        </w:rPr>
        <w:t> </w:t>
      </w:r>
      <w:r>
        <w:rPr>
          <w:sz w:val="24"/>
        </w:rPr>
        <w:t>with</w:t>
      </w:r>
      <w:r>
        <w:rPr>
          <w:spacing w:val="-10"/>
          <w:sz w:val="24"/>
        </w:rPr>
        <w:t> </w:t>
      </w:r>
      <w:r>
        <w:rPr>
          <w:sz w:val="24"/>
        </w:rPr>
        <w:t>thinner</w:t>
      </w:r>
      <w:r>
        <w:rPr>
          <w:spacing w:val="-10"/>
          <w:sz w:val="24"/>
        </w:rPr>
        <w:t> </w:t>
      </w:r>
      <w:r>
        <w:rPr>
          <w:sz w:val="24"/>
        </w:rPr>
        <w:t>perpetual</w:t>
      </w:r>
      <w:r>
        <w:rPr>
          <w:spacing w:val="-10"/>
          <w:sz w:val="24"/>
        </w:rPr>
        <w:t> </w:t>
      </w:r>
      <w:r>
        <w:rPr>
          <w:sz w:val="24"/>
        </w:rPr>
        <w:t>histories</w:t>
      </w:r>
      <w:r>
        <w:rPr>
          <w:spacing w:val="-10"/>
          <w:sz w:val="24"/>
        </w:rPr>
        <w:t> </w:t>
      </w:r>
      <w:r>
        <w:rPr>
          <w:sz w:val="24"/>
        </w:rPr>
        <w:t>or</w:t>
      </w:r>
      <w:r>
        <w:rPr>
          <w:spacing w:val="-10"/>
          <w:sz w:val="24"/>
        </w:rPr>
        <w:t> </w:t>
      </w:r>
      <w:r>
        <w:rPr>
          <w:sz w:val="24"/>
        </w:rPr>
        <w:t>to</w:t>
      </w:r>
      <w:r>
        <w:rPr>
          <w:spacing w:val="-10"/>
          <w:sz w:val="24"/>
        </w:rPr>
        <w:t> </w:t>
      </w:r>
      <w:r>
        <w:rPr>
          <w:sz w:val="24"/>
        </w:rPr>
        <w:t>addresses</w:t>
      </w:r>
      <w:r>
        <w:rPr>
          <w:spacing w:val="-10"/>
          <w:sz w:val="24"/>
        </w:rPr>
        <w:t> </w:t>
      </w:r>
      <w:r>
        <w:rPr>
          <w:sz w:val="24"/>
        </w:rPr>
        <w:t>absent</w:t>
      </w:r>
      <w:r>
        <w:rPr>
          <w:spacing w:val="-10"/>
          <w:sz w:val="24"/>
        </w:rPr>
        <w:t> </w:t>
      </w:r>
      <w:r>
        <w:rPr>
          <w:sz w:val="24"/>
        </w:rPr>
        <w:t>from allowance</w:t>
      </w:r>
      <w:r>
        <w:rPr>
          <w:spacing w:val="-6"/>
          <w:sz w:val="24"/>
        </w:rPr>
        <w:t> </w:t>
      </w:r>
      <w:r>
        <w:rPr>
          <w:w w:val="115"/>
          <w:sz w:val="24"/>
        </w:rPr>
        <w:t>and</w:t>
      </w:r>
      <w:r>
        <w:rPr>
          <w:spacing w:val="-15"/>
          <w:w w:val="115"/>
          <w:sz w:val="24"/>
        </w:rPr>
        <w:t> </w:t>
      </w:r>
      <w:r>
        <w:rPr>
          <w:w w:val="115"/>
          <w:sz w:val="24"/>
        </w:rPr>
        <w:t>transfer</w:t>
      </w:r>
      <w:r>
        <w:rPr>
          <w:spacing w:val="-15"/>
          <w:w w:val="115"/>
          <w:sz w:val="24"/>
        </w:rPr>
        <w:t> </w:t>
      </w:r>
      <w:r>
        <w:rPr>
          <w:sz w:val="24"/>
        </w:rPr>
        <w:t>subgraphs.</w:t>
      </w:r>
    </w:p>
    <w:p>
      <w:pPr>
        <w:pStyle w:val="ListParagraph"/>
        <w:numPr>
          <w:ilvl w:val="3"/>
          <w:numId w:val="8"/>
        </w:numPr>
        <w:tabs>
          <w:tab w:pos="806" w:val="left" w:leader="none"/>
          <w:tab w:pos="808" w:val="left" w:leader="none"/>
        </w:tabs>
        <w:spacing w:line="388" w:lineRule="auto" w:before="42" w:after="0"/>
        <w:ind w:left="808" w:right="522" w:hanging="216"/>
        <w:jc w:val="both"/>
        <w:rPr>
          <w:sz w:val="24"/>
        </w:rPr>
      </w:pPr>
      <w:r>
        <w:rPr>
          <w:i/>
        </w:rPr>
        <w:t>코호트 선택: 일치하는 지갑 코호트는 최소 3개의 GMX 마감 및 0이 아닌 평판 하위 그래프 연결이 필요합니다(n = 5,521; 365,488 PositionDecrease 이벤트). 결과는 영구 기록이 더 얇은 지갑이나 허용 및 이체 하위 그래프가 없는 주소로 확장되지 않을 수 있습니다.</w:t>
      </w:r>
    </w:p>
    <w:p>
      <w:pPr>
        <w:pStyle w:val="ListParagraph"/>
        <w:numPr>
          <w:ilvl w:val="3"/>
          <w:numId w:val="8"/>
        </w:numPr>
        <w:tabs>
          <w:tab w:pos="806" w:val="left" w:leader="none"/>
          <w:tab w:pos="808" w:val="left" w:leader="none"/>
        </w:tabs>
        <w:spacing w:line="386" w:lineRule="auto" w:before="46" w:after="0"/>
        <w:ind w:left="808" w:right="524" w:hanging="216"/>
        <w:jc w:val="both"/>
        <w:rPr>
          <w:sz w:val="24"/>
        </w:rPr>
      </w:pPr>
      <w:r>
        <w:rPr>
          <w:b/>
          <w:sz w:val="24"/>
        </w:rPr>
        <w:t>Edge-weight measurement:</w:t>
      </w:r>
      <w:r>
        <w:rPr>
          <w:b/>
          <w:spacing w:val="40"/>
          <w:sz w:val="24"/>
        </w:rPr>
        <w:t> </w:t>
      </w:r>
      <w:r>
        <w:rPr>
          <w:sz w:val="24"/>
        </w:rPr>
        <w:t>Token-decimal normalization, USD conversion choices, and permit-versus-approve coverage can affect </w:t>
      </w:r>
      <w:r>
        <w:rPr>
          <w:rFonts w:ascii="Calibri" w:hAnsi="Calibri"/>
          <w:i/>
          <w:sz w:val="24"/>
        </w:rPr>
        <w:t>w</w:t>
      </w:r>
      <w:r>
        <w:rPr>
          <w:rFonts w:ascii="Cambria" w:hAnsi="Cambria"/>
          <w:sz w:val="24"/>
          <w:vertAlign w:val="subscript"/>
        </w:rPr>
        <w:t>uv</w:t>
      </w:r>
      <w:r>
        <w:rPr>
          <w:sz w:val="24"/>
          <w:vertAlign w:val="baseline"/>
        </w:rPr>
        <w:t>.</w:t>
      </w:r>
      <w:r>
        <w:rPr>
          <w:spacing w:val="40"/>
          <w:sz w:val="24"/>
          <w:vertAlign w:val="baseline"/>
        </w:rPr>
        <w:t> </w:t>
      </w:r>
      <w:r>
        <w:rPr>
          <w:sz w:val="24"/>
          <w:vertAlign w:val="baseline"/>
        </w:rPr>
        <w:t>Measurement error in edge weights propa-gates to </w:t>
      </w:r>
      <w:r>
        <w:rPr>
          <w:b/>
          <w:sz w:val="24"/>
          <w:vertAlign w:val="baseline"/>
        </w:rPr>
        <w:t>r </w:t>
      </w:r>
      <w:r>
        <w:rPr>
          <w:sz w:val="24"/>
          <w:vertAlign w:val="baseline"/>
        </w:rPr>
        <w:t>and to rank correlations </w:t>
      </w:r>
      <w:hyperlink w:history="true" w:anchor="_bookmark173">
        <w:r>
          <w:rPr>
            <w:sz w:val="24"/>
            <w:vertAlign w:val="superscript"/>
          </w:rPr>
          <w:t>[40]</w:t>
        </w:r>
      </w:hyperlink>
      <w:r>
        <w:rPr>
          <w:sz w:val="24"/>
          <w:vertAlign w:val="baseline"/>
        </w:rPr>
        <w:t>.</w:t>
      </w:r>
    </w:p>
    <w:p>
      <w:pPr>
        <w:pStyle w:val="ListParagraph"/>
        <w:numPr>
          <w:ilvl w:val="3"/>
          <w:numId w:val="8"/>
        </w:numPr>
        <w:tabs>
          <w:tab w:pos="806" w:val="left" w:leader="none"/>
          <w:tab w:pos="808" w:val="left" w:leader="none"/>
        </w:tabs>
        <w:spacing w:line="386" w:lineRule="auto" w:before="46" w:after="0"/>
        <w:ind w:left="808" w:right="524" w:hanging="216"/>
        <w:jc w:val="both"/>
        <w:rPr>
          <w:sz w:val="24"/>
        </w:rPr>
      </w:pPr>
      <w:r>
        <w:rPr>
          <w:i/>
        </w:rPr>
        <w:t>에지 가중치 측정: 토큰 소수점 정규화, USD 변환 선택 및 허가-승인 범위가 wuv에 영향을 미칠 수 있습니다. 간선 가중치의 측정 오류는 r 및 순위 상관관계로 전파됩니다[40].</w:t>
      </w:r>
    </w:p>
    <w:p>
      <w:pPr>
        <w:pStyle w:val="BodyText"/>
        <w:spacing w:before="14"/>
      </w:pPr>
    </w:p>
    <w:p>
      <w:pPr>
        <w:pStyle w:val="Heading4"/>
        <w:numPr>
          <w:ilvl w:val="2"/>
          <w:numId w:val="8"/>
        </w:numPr>
        <w:tabs>
          <w:tab w:pos="879" w:val="left" w:leader="none"/>
        </w:tabs>
        <w:spacing w:line="240" w:lineRule="auto" w:before="0" w:after="0"/>
        <w:ind w:left="879" w:right="0" w:hanging="597"/>
        <w:jc w:val="left"/>
      </w:pPr>
      <w:bookmarkStart w:name="External validity" w:id="241"/>
      <w:bookmarkEnd w:id="241"/>
      <w:r>
        <w:rPr>
          <w:b w:val="0"/>
        </w:rPr>
      </w:r>
      <w:r>
        <w:rPr/>
        <w:t>External</w:t>
      </w:r>
      <w:r>
        <w:rPr>
          <w:spacing w:val="-10"/>
        </w:rPr>
        <w:t> </w:t>
      </w:r>
      <w:r>
        <w:rPr>
          <w:spacing w:val="-2"/>
        </w:rPr>
        <w:t>validity</w:t>
      </w:r>
    </w:p>
    <w:p>
      <w:pPr>
        <w:pStyle w:val="Heading4"/>
        <w:numPr>
          <w:ilvl w:val="2"/>
          <w:numId w:val="8"/>
        </w:numPr>
        <w:tabs>
          <w:tab w:pos="879" w:val="left" w:leader="none"/>
        </w:tabs>
        <w:spacing w:line="240" w:lineRule="auto" w:before="0" w:after="0"/>
        <w:ind w:left="879" w:right="0" w:hanging="597"/>
        <w:jc w:val="left"/>
      </w:pPr>
      <w:r>
        <w:rPr>
          <w:i/>
        </w:rPr>
        <w:t>외적 타당성</w:t>
      </w:r>
    </w:p>
    <w:p>
      <w:pPr>
        <w:pStyle w:val="BodyText"/>
        <w:spacing w:before="46"/>
        <w:rPr>
          <w:b/>
        </w:rPr>
      </w:pPr>
    </w:p>
    <w:p>
      <w:pPr>
        <w:pStyle w:val="ListParagraph"/>
        <w:numPr>
          <w:ilvl w:val="3"/>
          <w:numId w:val="8"/>
        </w:numPr>
        <w:tabs>
          <w:tab w:pos="802" w:val="left" w:leader="none"/>
          <w:tab w:pos="806" w:val="left" w:leader="none"/>
        </w:tabs>
        <w:spacing w:line="391" w:lineRule="auto" w:before="1" w:after="0"/>
        <w:ind w:left="802" w:right="524" w:hanging="210"/>
        <w:jc w:val="both"/>
        <w:rPr>
          <w:position w:val="-8"/>
          <w:sz w:val="24"/>
        </w:rPr>
      </w:pPr>
      <w:r>
        <w:rPr>
          <w:b/>
          <w:sz w:val="24"/>
        </w:rPr>
        <w:t>Single</w:t>
      </w:r>
      <w:r>
        <w:rPr>
          <w:b/>
          <w:spacing w:val="-4"/>
          <w:sz w:val="24"/>
        </w:rPr>
        <w:t> </w:t>
      </w:r>
      <w:r>
        <w:rPr>
          <w:b/>
          <w:sz w:val="24"/>
        </w:rPr>
        <w:t>protocol</w:t>
      </w:r>
      <w:r>
        <w:rPr>
          <w:b/>
          <w:spacing w:val="-7"/>
          <w:sz w:val="24"/>
        </w:rPr>
        <w:t> </w:t>
      </w:r>
      <w:r>
        <w:rPr>
          <w:b/>
          <w:sz w:val="24"/>
        </w:rPr>
        <w:t>and</w:t>
      </w:r>
      <w:r>
        <w:rPr>
          <w:b/>
          <w:spacing w:val="-7"/>
          <w:sz w:val="24"/>
        </w:rPr>
        <w:t> </w:t>
      </w:r>
      <w:r>
        <w:rPr>
          <w:b/>
          <w:sz w:val="24"/>
        </w:rPr>
        <w:t>chain: </w:t>
      </w:r>
      <w:r>
        <w:rPr>
          <w:sz w:val="24"/>
        </w:rPr>
        <w:t>Evidence</w:t>
      </w:r>
      <w:r>
        <w:rPr>
          <w:spacing w:val="-7"/>
          <w:sz w:val="24"/>
        </w:rPr>
        <w:t> </w:t>
      </w:r>
      <w:r>
        <w:rPr>
          <w:sz w:val="24"/>
        </w:rPr>
        <w:t>is</w:t>
      </w:r>
      <w:r>
        <w:rPr>
          <w:spacing w:val="-7"/>
          <w:sz w:val="24"/>
        </w:rPr>
        <w:t> </w:t>
      </w:r>
      <w:r>
        <w:rPr>
          <w:sz w:val="24"/>
        </w:rPr>
        <w:t>limited</w:t>
      </w:r>
      <w:r>
        <w:rPr>
          <w:spacing w:val="-6"/>
          <w:sz w:val="24"/>
        </w:rPr>
        <w:t> </w:t>
      </w:r>
      <w:r>
        <w:rPr>
          <w:sz w:val="24"/>
        </w:rPr>
        <w:t>to</w:t>
      </w:r>
      <w:r>
        <w:rPr>
          <w:spacing w:val="-7"/>
          <w:sz w:val="24"/>
        </w:rPr>
        <w:t> </w:t>
      </w:r>
      <w:r>
        <w:rPr>
          <w:sz w:val="24"/>
        </w:rPr>
        <w:t>Arbitrum</w:t>
      </w:r>
      <w:r>
        <w:rPr>
          <w:spacing w:val="-7"/>
          <w:sz w:val="24"/>
        </w:rPr>
        <w:t> </w:t>
      </w:r>
      <w:r>
        <w:rPr>
          <w:sz w:val="24"/>
        </w:rPr>
        <w:t>One</w:t>
      </w:r>
      <w:r>
        <w:rPr>
          <w:spacing w:val="-6"/>
          <w:sz w:val="24"/>
        </w:rPr>
        <w:t> </w:t>
      </w:r>
      <w:r>
        <w:rPr>
          <w:sz w:val="24"/>
        </w:rPr>
        <w:t>and</w:t>
      </w:r>
      <w:r>
        <w:rPr>
          <w:spacing w:val="-7"/>
          <w:sz w:val="24"/>
        </w:rPr>
        <w:t> </w:t>
      </w:r>
      <w:r>
        <w:rPr>
          <w:sz w:val="24"/>
        </w:rPr>
        <w:t>GMX</w:t>
      </w:r>
      <w:r>
        <w:rPr>
          <w:spacing w:val="-7"/>
          <w:sz w:val="24"/>
        </w:rPr>
        <w:t> </w:t>
      </w:r>
      <w:r>
        <w:rPr>
          <w:sz w:val="24"/>
        </w:rPr>
        <w:t>V2. Generaliza-tion to other perpetual markets, lending protocols, or Layer-1 chains requires cross-protocol </w:t>
      </w:r>
      <w:r>
        <w:rPr>
          <w:position w:val="-8"/>
          <w:sz w:val="24"/>
        </w:rPr>
        <w:t>validation </w:t>
      </w:r>
      <w:hyperlink w:history="true" w:anchor="_bookmark161">
        <w:r>
          <w:rPr>
            <w:sz w:val="16"/>
          </w:rPr>
          <w:t>[28]</w:t>
        </w:r>
      </w:hyperlink>
      <w:r>
        <w:rPr>
          <w:sz w:val="16"/>
        </w:rPr>
        <w:t>,</w:t>
      </w:r>
      <w:hyperlink w:history="true" w:anchor="_bookmark186">
        <w:r>
          <w:rPr>
            <w:sz w:val="16"/>
          </w:rPr>
          <w:t>[53]</w:t>
        </w:r>
      </w:hyperlink>
      <w:r>
        <w:rPr>
          <w:sz w:val="16"/>
        </w:rPr>
        <w:t>,</w:t>
      </w:r>
      <w:hyperlink w:history="true" w:anchor="_bookmark192">
        <w:r>
          <w:rPr>
            <w:sz w:val="16"/>
          </w:rPr>
          <w:t>[59]</w:t>
        </w:r>
      </w:hyperlink>
      <w:r>
        <w:rPr>
          <w:position w:val="-8"/>
          <w:sz w:val="24"/>
        </w:rPr>
        <w:t>.</w:t>
      </w:r>
    </w:p>
    <w:p>
      <w:pPr>
        <w:pStyle w:val="ListParagraph"/>
        <w:numPr>
          <w:ilvl w:val="3"/>
          <w:numId w:val="8"/>
        </w:numPr>
        <w:tabs>
          <w:tab w:pos="802" w:val="left" w:leader="none"/>
          <w:tab w:pos="806" w:val="left" w:leader="none"/>
        </w:tabs>
        <w:spacing w:line="391" w:lineRule="auto" w:before="1" w:after="0"/>
        <w:ind w:left="802" w:right="524" w:hanging="210"/>
        <w:jc w:val="both"/>
        <w:rPr>
          <w:position w:val="-8"/>
          <w:sz w:val="24"/>
        </w:rPr>
      </w:pPr>
      <w:r>
        <w:rPr>
          <w:i/>
        </w:rPr>
        <w:t>단일 프로토콜 및 체인: 증거는 Arbitrum One 및 GMX V2로 제한됩니다. 다른 영구 시장, 대출 프로토콜 또는 레이어 1 체인으로 일반화하려면 프로토콜 간 검증이 필요합니다[28],[53],[59].</w:t>
      </w:r>
    </w:p>
    <w:p>
      <w:pPr>
        <w:pStyle w:val="ListParagraph"/>
        <w:numPr>
          <w:ilvl w:val="3"/>
          <w:numId w:val="8"/>
        </w:numPr>
        <w:tabs>
          <w:tab w:pos="807" w:val="left" w:leader="none"/>
        </w:tabs>
        <w:spacing w:line="240" w:lineRule="auto" w:before="36" w:after="0"/>
        <w:ind w:left="807" w:right="0" w:hanging="214"/>
        <w:jc w:val="both"/>
        <w:rPr>
          <w:rFonts w:ascii="Calibri" w:hAnsi="Calibri"/>
          <w:sz w:val="24"/>
        </w:rPr>
      </w:pPr>
      <w:r>
        <w:rPr>
          <w:b/>
          <w:sz w:val="24"/>
        </w:rPr>
        <w:t>Pool</w:t>
      </w:r>
      <w:r>
        <w:rPr>
          <w:b/>
          <w:spacing w:val="-6"/>
          <w:sz w:val="24"/>
        </w:rPr>
        <w:t> </w:t>
      </w:r>
      <w:r>
        <w:rPr>
          <w:b/>
          <w:sz w:val="24"/>
        </w:rPr>
        <w:t>scaling</w:t>
      </w:r>
      <w:r>
        <w:rPr>
          <w:b/>
          <w:spacing w:val="-6"/>
          <w:sz w:val="24"/>
        </w:rPr>
        <w:t> </w:t>
      </w:r>
      <w:r>
        <w:rPr>
          <w:b/>
          <w:sz w:val="24"/>
        </w:rPr>
        <w:t>versus</w:t>
      </w:r>
      <w:r>
        <w:rPr>
          <w:b/>
          <w:spacing w:val="-5"/>
          <w:sz w:val="24"/>
        </w:rPr>
        <w:t> </w:t>
      </w:r>
      <w:r>
        <w:rPr>
          <w:b/>
          <w:sz w:val="24"/>
        </w:rPr>
        <w:t>alignment</w:t>
      </w:r>
      <w:r>
        <w:rPr>
          <w:b/>
          <w:spacing w:val="-6"/>
          <w:sz w:val="24"/>
        </w:rPr>
        <w:t> </w:t>
      </w:r>
      <w:r>
        <w:rPr>
          <w:b/>
          <w:sz w:val="24"/>
        </w:rPr>
        <w:t>scaling:</w:t>
      </w:r>
      <w:r>
        <w:rPr>
          <w:b/>
          <w:spacing w:val="14"/>
          <w:sz w:val="24"/>
        </w:rPr>
        <w:t> </w:t>
      </w:r>
      <w:r>
        <w:rPr>
          <w:sz w:val="24"/>
        </w:rPr>
        <w:t>Runtime</w:t>
      </w:r>
      <w:r>
        <w:rPr>
          <w:spacing w:val="-5"/>
          <w:sz w:val="24"/>
        </w:rPr>
        <w:t> </w:t>
      </w:r>
      <w:r>
        <w:rPr>
          <w:sz w:val="24"/>
        </w:rPr>
        <w:t>scaling</w:t>
      </w:r>
      <w:r>
        <w:rPr>
          <w:spacing w:val="-6"/>
          <w:sz w:val="24"/>
        </w:rPr>
        <w:t> </w:t>
      </w:r>
      <w:r>
        <w:rPr>
          <w:sz w:val="24"/>
        </w:rPr>
        <w:t>on</w:t>
      </w:r>
      <w:r>
        <w:rPr>
          <w:spacing w:val="-6"/>
          <w:sz w:val="24"/>
        </w:rPr>
        <w:t> </w:t>
      </w:r>
      <w:r>
        <w:rPr>
          <w:sz w:val="24"/>
        </w:rPr>
        <w:t>the</w:t>
      </w:r>
      <w:r>
        <w:rPr>
          <w:spacing w:val="-5"/>
          <w:sz w:val="24"/>
        </w:rPr>
        <w:t> </w:t>
      </w:r>
      <w:r>
        <w:rPr>
          <w:sz w:val="24"/>
        </w:rPr>
        <w:t>expanded</w:t>
      </w:r>
      <w:r>
        <w:rPr>
          <w:spacing w:val="-6"/>
          <w:sz w:val="24"/>
        </w:rPr>
        <w:t> </w:t>
      </w:r>
      <w:r>
        <w:rPr>
          <w:sz w:val="24"/>
        </w:rPr>
        <w:t>wallet</w:t>
      </w:r>
      <w:r>
        <w:rPr>
          <w:spacing w:val="-6"/>
          <w:sz w:val="24"/>
        </w:rPr>
        <w:t> </w:t>
      </w:r>
      <w:r>
        <w:rPr>
          <w:sz w:val="24"/>
        </w:rPr>
        <w:t>pool</w:t>
      </w:r>
      <w:r>
        <w:rPr>
          <w:spacing w:val="-5"/>
          <w:sz w:val="24"/>
        </w:rPr>
        <w:t> </w:t>
      </w:r>
      <w:r>
        <w:rPr>
          <w:sz w:val="24"/>
        </w:rPr>
        <w:t>(</w:t>
      </w:r>
      <w:r>
        <w:rPr>
          <w:rFonts w:ascii="Calibri" w:hAnsi="Calibri"/>
          <w:i/>
          <w:sz w:val="24"/>
        </w:rPr>
        <w:t>N</w:t>
      </w:r>
      <w:r>
        <w:rPr>
          <w:rFonts w:ascii="Calibri" w:hAnsi="Calibri"/>
          <w:i/>
          <w:spacing w:val="30"/>
          <w:sz w:val="24"/>
        </w:rPr>
        <w:t> </w:t>
      </w:r>
      <w:r>
        <w:rPr>
          <w:rFonts w:ascii="Calibri" w:hAnsi="Calibri"/>
          <w:spacing w:val="-10"/>
          <w:sz w:val="24"/>
        </w:rPr>
        <w:t>=</w:t>
      </w:r>
    </w:p>
    <w:p>
      <w:pPr>
        <w:pStyle w:val="ListParagraph"/>
        <w:numPr>
          <w:ilvl w:val="3"/>
          <w:numId w:val="8"/>
        </w:numPr>
        <w:tabs>
          <w:tab w:pos="807" w:val="left" w:leader="none"/>
        </w:tabs>
        <w:spacing w:line="240" w:lineRule="auto" w:before="36" w:after="0"/>
        <w:ind w:left="807" w:right="0" w:hanging="214"/>
        <w:jc w:val="both"/>
        <w:rPr>
          <w:rFonts w:ascii="Calibri" w:hAnsi="Calibri"/>
          <w:sz w:val="24"/>
        </w:rPr>
      </w:pPr>
      <w:r>
        <w:rPr>
          <w:i/>
        </w:rPr>
        <w:t>풀 스케일링 대 정렬 스케일링: 확장된 지갑 풀의 런타임 스케일링(N =</w:t>
      </w:r>
    </w:p>
    <w:p>
      <w:pPr>
        <w:pStyle w:val="ListParagraph"/>
        <w:spacing w:after="0" w:line="240" w:lineRule="auto"/>
        <w:jc w:val="both"/>
        <w:rPr>
          <w:rFonts w:ascii="Calibri" w:hAnsi="Calibri"/>
          <w:sz w:val="24"/>
        </w:rPr>
        <w:sectPr>
          <w:pgSz w:w="11910" w:h="16840"/>
          <w:pgMar w:header="0" w:footer="2115" w:top="1840" w:bottom="2300" w:left="992" w:right="708"/>
        </w:sectPr>
      </w:pPr>
    </w:p>
    <w:p>
      <w:pPr>
        <w:pStyle w:val="BodyText"/>
        <w:spacing w:line="386" w:lineRule="auto" w:before="68"/>
        <w:ind w:left="808" w:right="564" w:hanging="6"/>
        <w:jc w:val="both"/>
      </w:pPr>
      <w:r>
        <w:rPr>
          <w:rFonts w:ascii="Calibri" w:hAnsi="Calibri"/>
        </w:rPr>
        <w:t>31</w:t>
      </w:r>
      <w:r>
        <w:rPr>
          <w:rFonts w:ascii="Calibri" w:hAnsi="Calibri"/>
          <w:i/>
        </w:rPr>
        <w:t>,</w:t>
      </w:r>
      <w:r>
        <w:rPr>
          <w:rFonts w:ascii="Calibri" w:hAnsi="Calibri"/>
        </w:rPr>
        <w:t>612</w:t>
      </w:r>
      <w:r>
        <w:rPr/>
        <w:t>) supports efficiency claims at larger </w:t>
      </w:r>
      <w:r>
        <w:rPr>
          <w:rFonts w:ascii="Calibri" w:hAnsi="Calibri"/>
          <w:i/>
        </w:rPr>
        <w:t>n</w:t>
      </w:r>
      <w:r>
        <w:rPr/>
        <w:t>; alignment results remain anchored to the matched cohort with GMX outcomes.</w:t>
      </w:r>
      <w:r>
        <w:rPr>
          <w:spacing w:val="40"/>
        </w:rPr>
        <w:t> </w:t>
      </w:r>
      <w:r>
        <w:rPr/>
        <w:t>Efficiency gains should not be assumed to preserve the same </w:t>
      </w:r>
      <w:r>
        <w:rPr>
          <w:rFonts w:ascii="Calibri" w:hAnsi="Calibri"/>
          <w:i/>
        </w:rPr>
        <w:t>τ</w:t>
      </w:r>
      <w:r>
        <w:rPr>
          <w:rFonts w:ascii="Calibri" w:hAnsi="Calibri"/>
          <w:i/>
          <w:spacing w:val="40"/>
        </w:rPr>
        <w:t> </w:t>
      </w:r>
      <w:r>
        <w:rPr/>
        <w:t>profile at arbitrary population sizes without further alignment studies.</w:t>
      </w:r>
    </w:p>
    <w:p>
      <w:pPr>
        <w:pStyle w:val="BodyText"/>
        <w:spacing w:line="386" w:lineRule="auto" w:before="68"/>
        <w:ind w:left="808" w:right="564" w:hanging="6"/>
        <w:jc w:val="both"/>
      </w:pPr>
      <w:r>
        <w:rPr>
          <w:i/>
        </w:rPr>
        <w:t>31,612)는 더 큰 n에서 효율성 주장을 지원합니다. 정렬 결과는 GMX 결과와 일치하는 코호트에 고정되어 있습니다. 추가 정렬 연구 없이 임의의 모집단 규모에서 동일한 τ 프로파일을 유지한다고 효율성 향상을 가정해서는 안 됩니다.</w:t>
      </w:r>
    </w:p>
    <w:p>
      <w:pPr>
        <w:pStyle w:val="Heading4"/>
        <w:numPr>
          <w:ilvl w:val="2"/>
          <w:numId w:val="8"/>
        </w:numPr>
        <w:tabs>
          <w:tab w:pos="879" w:val="left" w:leader="none"/>
        </w:tabs>
        <w:spacing w:line="240" w:lineRule="auto" w:before="267" w:after="0"/>
        <w:ind w:left="879" w:right="0" w:hanging="597"/>
        <w:jc w:val="both"/>
      </w:pPr>
      <w:bookmarkStart w:name="Adversarial validity" w:id="242"/>
      <w:bookmarkEnd w:id="242"/>
      <w:r>
        <w:rPr>
          <w:b w:val="0"/>
        </w:rPr>
      </w:r>
      <w:r>
        <w:rPr/>
        <w:t>Adversarial</w:t>
      </w:r>
      <w:r>
        <w:rPr>
          <w:spacing w:val="-14"/>
        </w:rPr>
        <w:t> </w:t>
      </w:r>
      <w:r>
        <w:rPr>
          <w:spacing w:val="-2"/>
        </w:rPr>
        <w:t>validity</w:t>
      </w:r>
    </w:p>
    <w:p>
      <w:pPr>
        <w:pStyle w:val="Heading4"/>
        <w:numPr>
          <w:ilvl w:val="2"/>
          <w:numId w:val="8"/>
        </w:numPr>
        <w:tabs>
          <w:tab w:pos="879" w:val="left" w:leader="none"/>
        </w:tabs>
        <w:spacing w:line="240" w:lineRule="auto" w:before="267" w:after="0"/>
        <w:ind w:left="879" w:right="0" w:hanging="597"/>
        <w:jc w:val="both"/>
      </w:pPr>
      <w:r>
        <w:rPr>
          <w:i/>
        </w:rPr>
        <w:t>적대적 타당성</w:t>
      </w:r>
    </w:p>
    <w:p>
      <w:pPr>
        <w:pStyle w:val="BodyText"/>
        <w:spacing w:before="46"/>
        <w:rPr>
          <w:b/>
        </w:rPr>
      </w:pPr>
    </w:p>
    <w:p>
      <w:pPr>
        <w:pStyle w:val="ListParagraph"/>
        <w:numPr>
          <w:ilvl w:val="3"/>
          <w:numId w:val="8"/>
        </w:numPr>
        <w:tabs>
          <w:tab w:pos="806" w:val="left" w:leader="none"/>
          <w:tab w:pos="808" w:val="left" w:leader="none"/>
        </w:tabs>
        <w:spacing w:line="396" w:lineRule="auto" w:before="1" w:after="0"/>
        <w:ind w:left="808" w:right="564" w:hanging="216"/>
        <w:jc w:val="both"/>
        <w:rPr>
          <w:sz w:val="24"/>
        </w:rPr>
      </w:pPr>
      <w:r>
        <w:rPr>
          <w:b/>
          <w:spacing w:val="-2"/>
          <w:sz w:val="24"/>
        </w:rPr>
        <w:t>Sybil</w:t>
      </w:r>
      <w:r>
        <w:rPr>
          <w:b/>
          <w:spacing w:val="-9"/>
          <w:sz w:val="24"/>
        </w:rPr>
        <w:t> </w:t>
      </w:r>
      <w:r>
        <w:rPr>
          <w:b/>
          <w:spacing w:val="-2"/>
          <w:sz w:val="24"/>
        </w:rPr>
        <w:t>and</w:t>
      </w:r>
      <w:r>
        <w:rPr>
          <w:b/>
          <w:spacing w:val="-9"/>
          <w:sz w:val="24"/>
        </w:rPr>
        <w:t> </w:t>
      </w:r>
      <w:r>
        <w:rPr>
          <w:b/>
          <w:spacing w:val="-2"/>
          <w:sz w:val="24"/>
        </w:rPr>
        <w:t>wash</w:t>
      </w:r>
      <w:r>
        <w:rPr>
          <w:b/>
          <w:spacing w:val="-9"/>
          <w:sz w:val="24"/>
        </w:rPr>
        <w:t> </w:t>
      </w:r>
      <w:r>
        <w:rPr>
          <w:b/>
          <w:spacing w:val="-2"/>
          <w:sz w:val="24"/>
        </w:rPr>
        <w:t>trading:</w:t>
      </w:r>
      <w:r>
        <w:rPr>
          <w:b/>
          <w:spacing w:val="24"/>
          <w:sz w:val="24"/>
        </w:rPr>
        <w:t> </w:t>
      </w:r>
      <w:r>
        <w:rPr>
          <w:spacing w:val="-2"/>
          <w:sz w:val="24"/>
        </w:rPr>
        <w:t>Adversarial</w:t>
      </w:r>
      <w:r>
        <w:rPr>
          <w:spacing w:val="-9"/>
          <w:sz w:val="24"/>
        </w:rPr>
        <w:t> </w:t>
      </w:r>
      <w:r>
        <w:rPr>
          <w:spacing w:val="-2"/>
          <w:sz w:val="24"/>
        </w:rPr>
        <w:t>allowance</w:t>
      </w:r>
      <w:r>
        <w:rPr>
          <w:spacing w:val="-9"/>
          <w:sz w:val="24"/>
        </w:rPr>
        <w:t> </w:t>
      </w:r>
      <w:r>
        <w:rPr>
          <w:spacing w:val="-2"/>
          <w:sz w:val="24"/>
        </w:rPr>
        <w:t>or</w:t>
      </w:r>
      <w:r>
        <w:rPr>
          <w:spacing w:val="-9"/>
          <w:sz w:val="24"/>
        </w:rPr>
        <w:t> </w:t>
      </w:r>
      <w:r>
        <w:rPr>
          <w:spacing w:val="-2"/>
          <w:sz w:val="24"/>
        </w:rPr>
        <w:t>transfer</w:t>
      </w:r>
      <w:r>
        <w:rPr>
          <w:spacing w:val="-9"/>
          <w:sz w:val="24"/>
        </w:rPr>
        <w:t> </w:t>
      </w:r>
      <w:r>
        <w:rPr>
          <w:spacing w:val="-2"/>
          <w:sz w:val="24"/>
        </w:rPr>
        <w:t>patterns</w:t>
      </w:r>
      <w:r>
        <w:rPr>
          <w:spacing w:val="-9"/>
          <w:sz w:val="24"/>
        </w:rPr>
        <w:t> </w:t>
      </w:r>
      <w:r>
        <w:rPr>
          <w:spacing w:val="-2"/>
          <w:sz w:val="24"/>
        </w:rPr>
        <w:t>may</w:t>
      </w:r>
      <w:r>
        <w:rPr>
          <w:spacing w:val="-9"/>
          <w:sz w:val="24"/>
        </w:rPr>
        <w:t> </w:t>
      </w:r>
      <w:r>
        <w:rPr>
          <w:spacing w:val="-2"/>
          <w:sz w:val="24"/>
        </w:rPr>
        <w:t>manipulate</w:t>
      </w:r>
      <w:r>
        <w:rPr>
          <w:spacing w:val="-9"/>
          <w:sz w:val="24"/>
        </w:rPr>
        <w:t> </w:t>
      </w:r>
      <w:r>
        <w:rPr>
          <w:spacing w:val="-2"/>
          <w:sz w:val="24"/>
        </w:rPr>
        <w:t>rankings </w:t>
      </w:r>
      <w:hyperlink w:history="true" w:anchor="_bookmark150">
        <w:r>
          <w:rPr>
            <w:sz w:val="24"/>
            <w:vertAlign w:val="superscript"/>
          </w:rPr>
          <w:t>[17]</w:t>
        </w:r>
      </w:hyperlink>
      <w:r>
        <w:rPr>
          <w:sz w:val="24"/>
          <w:vertAlign w:val="baseline"/>
        </w:rPr>
        <w:t>. Sybil-adjusted</w:t>
      </w:r>
      <w:r>
        <w:rPr>
          <w:spacing w:val="-6"/>
          <w:sz w:val="24"/>
          <w:vertAlign w:val="baseline"/>
        </w:rPr>
        <w:t> </w:t>
      </w:r>
      <w:r>
        <w:rPr>
          <w:sz w:val="24"/>
          <w:vertAlign w:val="baseline"/>
        </w:rPr>
        <w:t>proxies</w:t>
      </w:r>
      <w:r>
        <w:rPr>
          <w:spacing w:val="-6"/>
          <w:sz w:val="24"/>
          <w:vertAlign w:val="baseline"/>
        </w:rPr>
        <w:t> </w:t>
      </w:r>
      <w:r>
        <w:rPr>
          <w:sz w:val="24"/>
          <w:vertAlign w:val="baseline"/>
        </w:rPr>
        <w:t>partially</w:t>
      </w:r>
      <w:r>
        <w:rPr>
          <w:spacing w:val="-6"/>
          <w:sz w:val="24"/>
          <w:vertAlign w:val="baseline"/>
        </w:rPr>
        <w:t> </w:t>
      </w:r>
      <w:r>
        <w:rPr>
          <w:sz w:val="24"/>
          <w:vertAlign w:val="baseline"/>
        </w:rPr>
        <w:t>address</w:t>
      </w:r>
      <w:r>
        <w:rPr>
          <w:spacing w:val="-6"/>
          <w:sz w:val="24"/>
          <w:vertAlign w:val="baseline"/>
        </w:rPr>
        <w:t> </w:t>
      </w:r>
      <w:r>
        <w:rPr>
          <w:sz w:val="24"/>
          <w:vertAlign w:val="baseline"/>
        </w:rPr>
        <w:t>but</w:t>
      </w:r>
      <w:r>
        <w:rPr>
          <w:spacing w:val="-6"/>
          <w:sz w:val="24"/>
          <w:vertAlign w:val="baseline"/>
        </w:rPr>
        <w:t> </w:t>
      </w:r>
      <w:r>
        <w:rPr>
          <w:sz w:val="24"/>
          <w:vertAlign w:val="baseline"/>
        </w:rPr>
        <w:t>do</w:t>
      </w:r>
      <w:r>
        <w:rPr>
          <w:spacing w:val="-6"/>
          <w:sz w:val="24"/>
          <w:vertAlign w:val="baseline"/>
        </w:rPr>
        <w:t> </w:t>
      </w:r>
      <w:r>
        <w:rPr>
          <w:sz w:val="24"/>
          <w:vertAlign w:val="baseline"/>
        </w:rPr>
        <w:t>not</w:t>
      </w:r>
      <w:r>
        <w:rPr>
          <w:spacing w:val="-6"/>
          <w:sz w:val="24"/>
          <w:vertAlign w:val="baseline"/>
        </w:rPr>
        <w:t> </w:t>
      </w:r>
      <w:r>
        <w:rPr>
          <w:sz w:val="24"/>
          <w:vertAlign w:val="baseline"/>
        </w:rPr>
        <w:t>eliminate</w:t>
      </w:r>
      <w:r>
        <w:rPr>
          <w:spacing w:val="-6"/>
          <w:sz w:val="24"/>
          <w:vertAlign w:val="baseline"/>
        </w:rPr>
        <w:t> </w:t>
      </w:r>
      <w:r>
        <w:rPr>
          <w:sz w:val="24"/>
          <w:vertAlign w:val="baseline"/>
        </w:rPr>
        <w:t>this</w:t>
      </w:r>
      <w:r>
        <w:rPr>
          <w:spacing w:val="-6"/>
          <w:sz w:val="24"/>
          <w:vertAlign w:val="baseline"/>
        </w:rPr>
        <w:t> </w:t>
      </w:r>
      <w:r>
        <w:rPr>
          <w:sz w:val="24"/>
          <w:vertAlign w:val="baseline"/>
        </w:rPr>
        <w:t>risk. The</w:t>
      </w:r>
      <w:r>
        <w:rPr>
          <w:spacing w:val="-6"/>
          <w:sz w:val="24"/>
          <w:vertAlign w:val="baseline"/>
        </w:rPr>
        <w:t> </w:t>
      </w:r>
      <w:r>
        <w:rPr>
          <w:sz w:val="24"/>
          <w:vertAlign w:val="baseline"/>
        </w:rPr>
        <w:t>cost</w:t>
      </w:r>
      <w:r>
        <w:rPr>
          <w:spacing w:val="-6"/>
          <w:sz w:val="24"/>
          <w:vertAlign w:val="baseline"/>
        </w:rPr>
        <w:t> </w:t>
      </w:r>
      <w:r>
        <w:rPr>
          <w:sz w:val="24"/>
          <w:vertAlign w:val="baseline"/>
        </w:rPr>
        <w:t>model</w:t>
      </w:r>
      <w:r>
        <w:rPr>
          <w:spacing w:val="-6"/>
          <w:sz w:val="24"/>
          <w:vertAlign w:val="baseline"/>
        </w:rPr>
        <w:t> </w:t>
      </w:r>
      <w:r>
        <w:rPr>
          <w:sz w:val="24"/>
          <w:vertAlign w:val="baseline"/>
        </w:rPr>
        <w:t>in Section </w:t>
      </w:r>
      <w:hyperlink w:history="true" w:anchor="_bookmark121">
        <w:r>
          <w:rPr>
            <w:sz w:val="24"/>
            <w:vertAlign w:val="baseline"/>
          </w:rPr>
          <w:t>5.5</w:t>
        </w:r>
      </w:hyperlink>
      <w:r>
        <w:rPr>
          <w:sz w:val="24"/>
          <w:vertAlign w:val="baseline"/>
        </w:rPr>
        <w:t> is analytical; it is not an empirical red-team evaluation.</w:t>
      </w:r>
    </w:p>
    <w:p>
      <w:pPr>
        <w:pStyle w:val="ListParagraph"/>
        <w:numPr>
          <w:ilvl w:val="3"/>
          <w:numId w:val="8"/>
        </w:numPr>
        <w:tabs>
          <w:tab w:pos="806" w:val="left" w:leader="none"/>
          <w:tab w:pos="808" w:val="left" w:leader="none"/>
        </w:tabs>
        <w:spacing w:line="396" w:lineRule="auto" w:before="1" w:after="0"/>
        <w:ind w:left="808" w:right="564" w:hanging="216"/>
        <w:jc w:val="both"/>
        <w:rPr>
          <w:sz w:val="24"/>
        </w:rPr>
      </w:pPr>
      <w:r>
        <w:rPr>
          <w:i/>
        </w:rPr>
        <w:t>Sybil 및 가장매매: 적대적 수당이나 이적 패턴이 순위를 조작할 수 있습니다[17]. Sybil 조정 프록시는 이러한 위험을 부분적으로 해결하지만 제거하지는 않습니다. 섹션 5.5의 비용 모델은 분석적이며, 실증적인 레드팀 평가가 아닙니다.</w:t>
      </w:r>
    </w:p>
    <w:p>
      <w:pPr>
        <w:pStyle w:val="ListParagraph"/>
        <w:numPr>
          <w:ilvl w:val="3"/>
          <w:numId w:val="8"/>
        </w:numPr>
        <w:tabs>
          <w:tab w:pos="806" w:val="left" w:leader="none"/>
          <w:tab w:pos="808" w:val="left" w:leader="none"/>
        </w:tabs>
        <w:spacing w:line="386" w:lineRule="auto" w:before="39" w:after="0"/>
        <w:ind w:left="808" w:right="524" w:hanging="216"/>
        <w:jc w:val="both"/>
        <w:rPr>
          <w:sz w:val="24"/>
        </w:rPr>
      </w:pPr>
      <w:r>
        <w:rPr>
          <w:b/>
          <w:sz w:val="24"/>
        </w:rPr>
        <w:t>Strategic</w:t>
      </w:r>
      <w:r>
        <w:rPr>
          <w:b/>
          <w:spacing w:val="-4"/>
          <w:sz w:val="24"/>
        </w:rPr>
        <w:t> </w:t>
      </w:r>
      <w:r>
        <w:rPr>
          <w:b/>
          <w:sz w:val="24"/>
        </w:rPr>
        <w:t>approval</w:t>
      </w:r>
      <w:r>
        <w:rPr>
          <w:b/>
          <w:spacing w:val="-4"/>
          <w:sz w:val="24"/>
        </w:rPr>
        <w:t> </w:t>
      </w:r>
      <w:r>
        <w:rPr>
          <w:b/>
          <w:sz w:val="24"/>
        </w:rPr>
        <w:t>behavior: </w:t>
      </w:r>
      <w:r>
        <w:rPr>
          <w:sz w:val="24"/>
        </w:rPr>
        <w:t>Once</w:t>
      </w:r>
      <w:r>
        <w:rPr>
          <w:spacing w:val="-4"/>
          <w:sz w:val="24"/>
        </w:rPr>
        <w:t> </w:t>
      </w:r>
      <w:r>
        <w:rPr>
          <w:sz w:val="24"/>
        </w:rPr>
        <w:t>EndorseRank</w:t>
      </w:r>
      <w:r>
        <w:rPr>
          <w:spacing w:val="-4"/>
          <w:sz w:val="24"/>
        </w:rPr>
        <w:t> </w:t>
      </w:r>
      <w:r>
        <w:rPr>
          <w:sz w:val="24"/>
        </w:rPr>
        <w:t>is</w:t>
      </w:r>
      <w:r>
        <w:rPr>
          <w:spacing w:val="-4"/>
          <w:sz w:val="24"/>
        </w:rPr>
        <w:t> </w:t>
      </w:r>
      <w:r>
        <w:rPr>
          <w:sz w:val="24"/>
        </w:rPr>
        <w:t>deployed,</w:t>
      </w:r>
      <w:r>
        <w:rPr>
          <w:spacing w:val="-3"/>
          <w:sz w:val="24"/>
        </w:rPr>
        <w:t> </w:t>
      </w:r>
      <w:r>
        <w:rPr>
          <w:sz w:val="24"/>
        </w:rPr>
        <w:t>rational</w:t>
      </w:r>
      <w:r>
        <w:rPr>
          <w:spacing w:val="-4"/>
          <w:sz w:val="24"/>
        </w:rPr>
        <w:t> </w:t>
      </w:r>
      <w:r>
        <w:rPr>
          <w:sz w:val="24"/>
        </w:rPr>
        <w:t>actors</w:t>
      </w:r>
      <w:r>
        <w:rPr>
          <w:spacing w:val="-4"/>
          <w:sz w:val="24"/>
        </w:rPr>
        <w:t> </w:t>
      </w:r>
      <w:r>
        <w:rPr>
          <w:sz w:val="24"/>
        </w:rPr>
        <w:t>may</w:t>
      </w:r>
      <w:r>
        <w:rPr>
          <w:spacing w:val="-4"/>
          <w:sz w:val="24"/>
        </w:rPr>
        <w:t> </w:t>
      </w:r>
      <w:r>
        <w:rPr>
          <w:sz w:val="24"/>
        </w:rPr>
        <w:t>grant</w:t>
      </w:r>
      <w:r>
        <w:rPr>
          <w:spacing w:val="-4"/>
          <w:sz w:val="24"/>
        </w:rPr>
        <w:t> </w:t>
      </w:r>
      <w:r>
        <w:rPr>
          <w:sz w:val="24"/>
        </w:rPr>
        <w:t>al-lowances</w:t>
      </w:r>
      <w:r>
        <w:rPr>
          <w:spacing w:val="-15"/>
          <w:sz w:val="24"/>
        </w:rPr>
        <w:t> </w:t>
      </w:r>
      <w:r>
        <w:rPr>
          <w:sz w:val="24"/>
        </w:rPr>
        <w:t>strategically</w:t>
      </w:r>
      <w:r>
        <w:rPr>
          <w:spacing w:val="-15"/>
          <w:sz w:val="24"/>
        </w:rPr>
        <w:t> </w:t>
      </w:r>
      <w:r>
        <w:rPr>
          <w:sz w:val="24"/>
        </w:rPr>
        <w:t>to</w:t>
      </w:r>
      <w:r>
        <w:rPr>
          <w:spacing w:val="-15"/>
          <w:sz w:val="24"/>
        </w:rPr>
        <w:t> </w:t>
      </w:r>
      <w:r>
        <w:rPr>
          <w:sz w:val="24"/>
        </w:rPr>
        <w:t>farm</w:t>
      </w:r>
      <w:r>
        <w:rPr>
          <w:spacing w:val="-15"/>
          <w:sz w:val="24"/>
        </w:rPr>
        <w:t> </w:t>
      </w:r>
      <w:r>
        <w:rPr>
          <w:sz w:val="24"/>
        </w:rPr>
        <w:t>rank.</w:t>
      </w:r>
      <w:r>
        <w:rPr>
          <w:spacing w:val="-15"/>
          <w:sz w:val="24"/>
        </w:rPr>
        <w:t> </w:t>
      </w:r>
      <w:r>
        <w:rPr>
          <w:sz w:val="24"/>
        </w:rPr>
        <w:t>Observational</w:t>
      </w:r>
      <w:r>
        <w:rPr>
          <w:spacing w:val="-15"/>
          <w:sz w:val="24"/>
        </w:rPr>
        <w:t> </w:t>
      </w:r>
      <w:r>
        <w:rPr>
          <w:rFonts w:ascii="Calibri" w:hAnsi="Calibri"/>
          <w:i/>
          <w:sz w:val="24"/>
        </w:rPr>
        <w:t>τ</w:t>
      </w:r>
      <w:r>
        <w:rPr>
          <w:rFonts w:ascii="Calibri" w:hAnsi="Calibri"/>
          <w:i/>
          <w:spacing w:val="-12"/>
          <w:sz w:val="24"/>
        </w:rPr>
        <w:t> </w:t>
      </w:r>
      <w:r>
        <w:rPr>
          <w:sz w:val="24"/>
        </w:rPr>
        <w:t>estimated</w:t>
      </w:r>
      <w:r>
        <w:rPr>
          <w:spacing w:val="-15"/>
          <w:sz w:val="24"/>
        </w:rPr>
        <w:t> </w:t>
      </w:r>
      <w:r>
        <w:rPr>
          <w:sz w:val="24"/>
        </w:rPr>
        <w:t>before</w:t>
      </w:r>
      <w:r>
        <w:rPr>
          <w:spacing w:val="-15"/>
          <w:sz w:val="24"/>
        </w:rPr>
        <w:t> </w:t>
      </w:r>
      <w:r>
        <w:rPr>
          <w:sz w:val="24"/>
        </w:rPr>
        <w:t>widespread</w:t>
      </w:r>
      <w:r>
        <w:rPr>
          <w:spacing w:val="-15"/>
          <w:sz w:val="24"/>
        </w:rPr>
        <w:t> </w:t>
      </w:r>
      <w:r>
        <w:rPr>
          <w:sz w:val="24"/>
        </w:rPr>
        <w:t>deployment may overstate robustness to strategic behavior.</w:t>
      </w:r>
    </w:p>
    <w:p>
      <w:pPr>
        <w:pStyle w:val="ListParagraph"/>
        <w:numPr>
          <w:ilvl w:val="3"/>
          <w:numId w:val="8"/>
        </w:numPr>
        <w:tabs>
          <w:tab w:pos="806" w:val="left" w:leader="none"/>
          <w:tab w:pos="808" w:val="left" w:leader="none"/>
        </w:tabs>
        <w:spacing w:line="386" w:lineRule="auto" w:before="39" w:after="0"/>
        <w:ind w:left="808" w:right="524" w:hanging="216"/>
        <w:jc w:val="both"/>
        <w:rPr>
          <w:sz w:val="24"/>
        </w:rPr>
      </w:pPr>
      <w:r>
        <w:rPr>
          <w:i/>
        </w:rPr>
        <w:t>전략적 승인 동작: EndorseRank가 배포되면 합리적인 행위자는 농장 순위에 전략적으로 허용량을 부여할 수 있습니다. 광범위한 배포 전에 추정된 관찰 τ는 전략적 행동에 대한 견고성을 과장할 수 있습니다.</w:t>
      </w:r>
    </w:p>
    <w:p>
      <w:pPr>
        <w:pStyle w:val="BodyText"/>
        <w:spacing w:before="168"/>
      </w:pPr>
    </w:p>
    <w:p>
      <w:pPr>
        <w:pStyle w:val="Heading2"/>
        <w:numPr>
          <w:ilvl w:val="1"/>
          <w:numId w:val="8"/>
        </w:numPr>
        <w:tabs>
          <w:tab w:pos="783" w:val="left" w:leader="none"/>
        </w:tabs>
        <w:spacing w:line="240" w:lineRule="auto" w:before="0" w:after="0"/>
        <w:ind w:left="783" w:right="0" w:hanging="501"/>
        <w:jc w:val="both"/>
      </w:pPr>
      <w:bookmarkStart w:name="Limitations" w:id="243"/>
      <w:bookmarkEnd w:id="243"/>
      <w:r>
        <w:rPr>
          <w:b w:val="0"/>
        </w:rPr>
      </w:r>
      <w:bookmarkStart w:name="_bookmark127" w:id="244"/>
      <w:bookmarkEnd w:id="244"/>
      <w:r>
        <w:rPr>
          <w:b w:val="0"/>
        </w:rPr>
      </w:r>
      <w:r>
        <w:rPr>
          <w:spacing w:val="-2"/>
        </w:rPr>
        <w:t>Limitations</w:t>
      </w:r>
    </w:p>
    <w:p>
      <w:pPr>
        <w:pStyle w:val="Heading2"/>
        <w:numPr>
          <w:ilvl w:val="1"/>
          <w:numId w:val="8"/>
        </w:numPr>
        <w:tabs>
          <w:tab w:pos="783" w:val="left" w:leader="none"/>
        </w:tabs>
        <w:spacing w:line="240" w:lineRule="auto" w:before="0" w:after="0"/>
        <w:ind w:left="783" w:right="0" w:hanging="501"/>
        <w:jc w:val="both"/>
      </w:pPr>
      <w:r>
        <w:rPr>
          <w:i/>
        </w:rPr>
        <w:t>제한사항</w:t>
      </w:r>
    </w:p>
    <w:p>
      <w:pPr>
        <w:pStyle w:val="BodyText"/>
        <w:spacing w:line="456" w:lineRule="exact" w:before="205"/>
        <w:ind w:left="270" w:right="524" w:firstLine="11"/>
        <w:jc w:val="both"/>
      </w:pPr>
      <w:r>
        <w:rPr/>
        <w:t>Results reflect one six-month window on Arbitrum One for a matched wallet cohort of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 </w:t>
      </w:r>
      <w:r>
        <w:rPr/>
        <w:t>addresses.</w:t>
      </w:r>
      <w:r>
        <w:rPr>
          <w:spacing w:val="40"/>
        </w:rPr>
        <w:t> </w:t>
      </w:r>
      <w:r>
        <w:rPr/>
        <w:t>The endorsement subgraph comprises </w:t>
      </w:r>
      <w:r>
        <w:rPr>
          <w:rFonts w:ascii="Calibri" w:hAnsi="Calibri"/>
        </w:rPr>
        <w:t>14</w:t>
      </w:r>
      <w:r>
        <w:rPr>
          <w:rFonts w:ascii="Calibri" w:hAnsi="Calibri"/>
          <w:i/>
        </w:rPr>
        <w:t>,</w:t>
      </w:r>
      <w:r>
        <w:rPr>
          <w:rFonts w:ascii="Calibri" w:hAnsi="Calibri"/>
        </w:rPr>
        <w:t>727 </w:t>
      </w:r>
      <w:r>
        <w:rPr/>
        <w:t>edges; the transfer subgraph comprises </w:t>
      </w:r>
      <w:r>
        <w:rPr>
          <w:rFonts w:ascii="Calibri" w:hAnsi="Calibri"/>
        </w:rPr>
        <w:t>137</w:t>
      </w:r>
      <w:r>
        <w:rPr>
          <w:rFonts w:ascii="Calibri" w:hAnsi="Calibri"/>
          <w:i/>
        </w:rPr>
        <w:t>,</w:t>
      </w:r>
      <w:r>
        <w:rPr>
          <w:rFonts w:ascii="Calibri" w:hAnsi="Calibri"/>
        </w:rPr>
        <w:t>087</w:t>
      </w:r>
      <w:r>
        <w:rPr>
          <w:rFonts w:ascii="Calibri" w:hAnsi="Calibri"/>
          <w:spacing w:val="-14"/>
        </w:rPr>
        <w:t> </w:t>
      </w:r>
      <w:r>
        <w:rPr/>
        <w:t>edges.</w:t>
      </w:r>
      <w:r>
        <w:rPr>
          <w:spacing w:val="5"/>
        </w:rPr>
        <w:t> </w:t>
      </w:r>
      <w:r>
        <w:rPr/>
        <w:t>Trading-success</w:t>
      </w:r>
      <w:r>
        <w:rPr>
          <w:spacing w:val="-15"/>
        </w:rPr>
        <w:t> </w:t>
      </w:r>
      <w:r>
        <w:rPr/>
        <w:t>alignment</w:t>
      </w:r>
      <w:r>
        <w:rPr>
          <w:spacing w:val="-15"/>
        </w:rPr>
        <w:t> </w:t>
      </w:r>
      <w:r>
        <w:rPr/>
        <w:t>for</w:t>
      </w:r>
      <w:r>
        <w:rPr>
          <w:spacing w:val="-15"/>
        </w:rPr>
        <w:t> </w:t>
      </w:r>
      <w:r>
        <w:rPr/>
        <w:t>social</w:t>
      </w:r>
      <w:r>
        <w:rPr>
          <w:spacing w:val="-15"/>
        </w:rPr>
        <w:t> </w:t>
      </w:r>
      <w:r>
        <w:rPr/>
        <w:t>methods</w:t>
      </w:r>
      <w:r>
        <w:rPr>
          <w:spacing w:val="-15"/>
        </w:rPr>
        <w:t> </w:t>
      </w:r>
      <w:r>
        <w:rPr/>
        <w:t>is</w:t>
      </w:r>
      <w:r>
        <w:rPr>
          <w:spacing w:val="-15"/>
        </w:rPr>
        <w:t> </w:t>
      </w:r>
      <w:r>
        <w:rPr/>
        <w:t>weak</w:t>
      </w:r>
      <w:r>
        <w:rPr>
          <w:spacing w:val="-15"/>
        </w:rPr>
        <w:t> </w:t>
      </w:r>
      <w:r>
        <w:rPr/>
        <w:t>to</w:t>
      </w:r>
      <w:r>
        <w:rPr>
          <w:spacing w:val="-15"/>
        </w:rPr>
        <w:t> </w:t>
      </w:r>
      <w:r>
        <w:rPr/>
        <w:t>modest</w:t>
      </w:r>
      <w:r>
        <w:rPr>
          <w:spacing w:val="-15"/>
        </w:rPr>
        <w:t> </w:t>
      </w:r>
      <w:r>
        <w:rPr/>
        <w:t>(</w:t>
      </w:r>
      <w:r>
        <w:rPr>
          <w:rFonts w:ascii="Calibri" w:hAnsi="Calibri"/>
        </w:rPr>
        <w:t>0</w:t>
      </w:r>
      <w:r>
        <w:rPr>
          <w:rFonts w:ascii="Calibri" w:hAnsi="Calibri"/>
          <w:i/>
        </w:rPr>
        <w:t>.</w:t>
      </w:r>
      <w:r>
        <w:rPr>
          <w:rFonts w:ascii="Calibri" w:hAnsi="Calibri"/>
        </w:rPr>
        <w:t>096</w:t>
      </w:r>
      <w:r>
        <w:rPr>
          <w:rFonts w:ascii="Calibri" w:hAnsi="Calibri"/>
          <w:spacing w:val="-10"/>
        </w:rPr>
        <w:t> </w:t>
      </w:r>
      <w:r>
        <w:rPr/>
        <w:t>and</w:t>
      </w:r>
      <w:r>
        <w:rPr>
          <w:spacing w:val="-15"/>
        </w:rPr>
        <w:t> </w:t>
      </w:r>
      <w:r>
        <w:rPr>
          <w:rFonts w:ascii="Calibri" w:hAnsi="Calibri"/>
        </w:rPr>
        <w:t>0</w:t>
      </w:r>
      <w:r>
        <w:rPr>
          <w:rFonts w:ascii="Calibri" w:hAnsi="Calibri"/>
          <w:i/>
        </w:rPr>
        <w:t>.</w:t>
      </w:r>
      <w:r>
        <w:rPr>
          <w:rFonts w:ascii="Calibri" w:hAnsi="Calibri"/>
        </w:rPr>
        <w:t>179</w:t>
      </w:r>
      <w:r>
        <w:rPr/>
        <w:t>), and transfer proxies</w:t>
      </w:r>
      <w:r>
        <w:rPr>
          <w:spacing w:val="-1"/>
        </w:rPr>
        <w:t> </w:t>
      </w:r>
      <w:r>
        <w:rPr/>
        <w:t>remain the stronger validation frame (RQ4).</w:t>
      </w:r>
      <w:r>
        <w:rPr>
          <w:spacing w:val="29"/>
        </w:rPr>
        <w:t> </w:t>
      </w:r>
      <w:r>
        <w:rPr/>
        <w:t>EndorseRank’s</w:t>
      </w:r>
      <w:r>
        <w:rPr>
          <w:spacing w:val="-1"/>
        </w:rPr>
        <w:t> </w:t>
      </w:r>
      <w:r>
        <w:rPr/>
        <w:t>primary demon-strated</w:t>
      </w:r>
      <w:r>
        <w:rPr>
          <w:spacing w:val="-15"/>
        </w:rPr>
        <w:t> </w:t>
      </w:r>
      <w:r>
        <w:rPr/>
        <w:t>strengths</w:t>
      </w:r>
      <w:r>
        <w:rPr>
          <w:spacing w:val="-15"/>
        </w:rPr>
        <w:t> </w:t>
      </w:r>
      <w:r>
        <w:rPr/>
        <w:t>are</w:t>
      </w:r>
      <w:r>
        <w:rPr>
          <w:spacing w:val="-15"/>
        </w:rPr>
        <w:t> </w:t>
      </w:r>
      <w:r>
        <w:rPr/>
        <w:t>allowance-construct</w:t>
      </w:r>
      <w:r>
        <w:rPr>
          <w:spacing w:val="-15"/>
        </w:rPr>
        <w:t> </w:t>
      </w:r>
      <w:r>
        <w:rPr/>
        <w:t>alignment</w:t>
      </w:r>
      <w:r>
        <w:rPr>
          <w:spacing w:val="-15"/>
        </w:rPr>
        <w:t> </w:t>
      </w:r>
      <w:r>
        <w:rPr/>
        <w:t>(</w:t>
      </w:r>
      <w:r>
        <w:rPr>
          <w:rFonts w:ascii="Calibri" w:hAnsi="Calibri"/>
          <w:i/>
        </w:rPr>
        <w:t>τ</w:t>
      </w:r>
      <w:r>
        <w:rPr>
          <w:rFonts w:ascii="Calibri" w:hAnsi="Calibri"/>
          <w:i/>
          <w:spacing w:val="-14"/>
        </w:rPr>
        <w:t> </w:t>
      </w:r>
      <w:r>
        <w:rPr>
          <w:rFonts w:ascii="Calibri" w:hAnsi="Calibri"/>
          <w:w w:val="125"/>
        </w:rPr>
        <w:t>=</w:t>
      </w:r>
      <w:r>
        <w:rPr>
          <w:rFonts w:ascii="Calibri" w:hAnsi="Calibri"/>
          <w:spacing w:val="-17"/>
          <w:w w:val="125"/>
        </w:rPr>
        <w:t> </w:t>
      </w:r>
      <w:r>
        <w:rPr>
          <w:rFonts w:ascii="Calibri" w:hAnsi="Calibri"/>
        </w:rPr>
        <w:t>0</w:t>
      </w:r>
      <w:r>
        <w:rPr>
          <w:rFonts w:ascii="Calibri" w:hAnsi="Calibri"/>
          <w:i/>
        </w:rPr>
        <w:t>.</w:t>
      </w:r>
      <w:r>
        <w:rPr>
          <w:rFonts w:ascii="Calibri" w:hAnsi="Calibri"/>
        </w:rPr>
        <w:t>355</w:t>
      </w:r>
      <w:r>
        <w:rPr/>
        <w:t>),</w:t>
      </w:r>
      <w:r>
        <w:rPr>
          <w:spacing w:val="-15"/>
        </w:rPr>
        <w:t> </w:t>
      </w:r>
      <w:r>
        <w:rPr/>
        <w:t>rank</w:t>
      </w:r>
      <w:r>
        <w:rPr>
          <w:spacing w:val="-15"/>
        </w:rPr>
        <w:t> </w:t>
      </w:r>
      <w:r>
        <w:rPr/>
        <w:t>distinctness</w:t>
      </w:r>
      <w:r>
        <w:rPr>
          <w:spacing w:val="-15"/>
        </w:rPr>
        <w:t> </w:t>
      </w:r>
      <w:r>
        <w:rPr/>
        <w:t>from</w:t>
      </w:r>
      <w:r>
        <w:rPr>
          <w:spacing w:val="-15"/>
        </w:rPr>
        <w:t> </w:t>
      </w:r>
      <w:r>
        <w:rPr/>
        <w:t>AWP</w:t>
      </w:r>
      <w:r>
        <w:rPr>
          <w:spacing w:val="-15"/>
        </w:rPr>
        <w:t> </w:t>
      </w:r>
      <w:r>
        <w:rPr/>
        <w:t>(inter-method</w:t>
      </w:r>
      <w:r>
        <w:rPr>
          <w:spacing w:val="-3"/>
        </w:rPr>
        <w:t> </w:t>
      </w:r>
      <w:r>
        <w:rPr>
          <w:rFonts w:ascii="Calibri" w:hAnsi="Calibri"/>
          <w:i/>
        </w:rPr>
        <w:t>τ</w:t>
      </w:r>
      <w:r>
        <w:rPr>
          <w:rFonts w:ascii="Calibri" w:hAnsi="Calibri"/>
          <w:i/>
          <w:spacing w:val="26"/>
          <w:w w:val="125"/>
        </w:rPr>
        <w:t> </w:t>
      </w:r>
      <w:r>
        <w:rPr>
          <w:rFonts w:ascii="Calibri" w:hAnsi="Calibri"/>
          <w:w w:val="125"/>
        </w:rPr>
        <w:t>=</w:t>
      </w:r>
      <w:r>
        <w:rPr>
          <w:rFonts w:ascii="Calibri" w:hAnsi="Calibri"/>
          <w:spacing w:val="-1"/>
          <w:w w:val="125"/>
        </w:rPr>
        <w:t> </w:t>
      </w:r>
      <w:r>
        <w:rPr>
          <w:rFonts w:ascii="Calibri" w:hAnsi="Calibri"/>
        </w:rPr>
        <w:t>0</w:t>
      </w:r>
      <w:r>
        <w:rPr>
          <w:rFonts w:ascii="Calibri" w:hAnsi="Calibri"/>
          <w:i/>
        </w:rPr>
        <w:t>.</w:t>
      </w:r>
      <w:r>
        <w:rPr>
          <w:rFonts w:ascii="Calibri" w:hAnsi="Calibri"/>
        </w:rPr>
        <w:t>316</w:t>
      </w:r>
      <w:r>
        <w:rPr/>
        <w:t>),</w:t>
      </w:r>
      <w:r>
        <w:rPr>
          <w:spacing w:val="-1"/>
        </w:rPr>
        <w:t> </w:t>
      </w:r>
      <w:r>
        <w:rPr/>
        <w:t>and</w:t>
      </w:r>
      <w:r>
        <w:rPr>
          <w:spacing w:val="-1"/>
        </w:rPr>
        <w:t> </w:t>
      </w:r>
      <w:r>
        <w:rPr/>
        <w:t>computational</w:t>
      </w:r>
      <w:r>
        <w:rPr>
          <w:spacing w:val="-1"/>
        </w:rPr>
        <w:t> </w:t>
      </w:r>
      <w:r>
        <w:rPr/>
        <w:t>efficiency</w:t>
      </w:r>
      <w:r>
        <w:rPr>
          <w:spacing w:val="-1"/>
        </w:rPr>
        <w:t> </w:t>
      </w:r>
      <w:r>
        <w:rPr/>
        <w:t>(</w:t>
      </w:r>
      <w:r>
        <w:rPr>
          <w:rFonts w:ascii="Calibri" w:hAnsi="Calibri"/>
        </w:rPr>
        <w:t>2</w:t>
      </w:r>
      <w:r>
        <w:rPr>
          <w:rFonts w:ascii="Calibri" w:hAnsi="Calibri"/>
          <w:i/>
        </w:rPr>
        <w:t>.</w:t>
      </w:r>
      <w:r>
        <w:rPr>
          <w:rFonts w:ascii="Calibri" w:hAnsi="Calibri"/>
        </w:rPr>
        <w:t>105</w:t>
      </w:r>
      <w:r>
        <w:rPr>
          <w:rFonts w:ascii="Calibri" w:hAnsi="Calibri"/>
          <w:spacing w:val="-14"/>
        </w:rPr>
        <w:t> </w:t>
      </w:r>
      <w:r>
        <w:rPr/>
        <w:t>s</w:t>
      </w:r>
      <w:r>
        <w:rPr>
          <w:spacing w:val="-1"/>
        </w:rPr>
        <w:t> </w:t>
      </w:r>
      <w:r>
        <w:rPr/>
        <w:t>vs.</w:t>
      </w:r>
      <w:r>
        <w:rPr>
          <w:spacing w:val="-1"/>
        </w:rPr>
        <w:t> </w:t>
      </w:r>
      <w:r>
        <w:rPr>
          <w:rFonts w:ascii="Calibri" w:hAnsi="Calibri"/>
        </w:rPr>
        <w:t>18</w:t>
      </w:r>
      <w:r>
        <w:rPr>
          <w:rFonts w:ascii="Calibri" w:hAnsi="Calibri"/>
          <w:i/>
        </w:rPr>
        <w:t>.</w:t>
      </w:r>
      <w:r>
        <w:rPr>
          <w:rFonts w:ascii="Calibri" w:hAnsi="Calibri"/>
        </w:rPr>
        <w:t>711</w:t>
      </w:r>
      <w:r>
        <w:rPr>
          <w:rFonts w:ascii="Calibri" w:hAnsi="Calibri"/>
          <w:spacing w:val="-14"/>
        </w:rPr>
        <w:t> </w:t>
      </w:r>
      <w:r>
        <w:rPr/>
        <w:t>s; pool</w:t>
      </w:r>
      <w:r>
        <w:rPr>
          <w:spacing w:val="-1"/>
        </w:rPr>
        <w:t> </w:t>
      </w:r>
      <w:r>
        <w:rPr/>
        <w:t>scaling</w:t>
      </w:r>
      <w:r>
        <w:rPr>
          <w:spacing w:val="-1"/>
        </w:rPr>
        <w:t> </w:t>
      </w:r>
      <w:r>
        <w:rPr>
          <w:rFonts w:ascii="Lucida Sans Unicode" w:hAnsi="Lucida Sans Unicode"/>
        </w:rPr>
        <w:t>≈</w:t>
      </w:r>
      <w:r>
        <w:rPr>
          <w:rFonts w:ascii="Lucida Sans Unicode" w:hAnsi="Lucida Sans Unicode"/>
          <w:spacing w:val="-8"/>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7"/>
        </w:rPr>
        <w:t> </w:t>
      </w:r>
      <w:r>
        <w:rPr/>
        <w:t>and</w:t>
      </w:r>
    </w:p>
    <w:p>
      <w:pPr>
        <w:pStyle w:val="BodyText"/>
        <w:spacing w:line="456" w:lineRule="exact" w:before="205"/>
        <w:ind w:left="270" w:right="524" w:firstLine="11"/>
        <w:jc w:val="both"/>
      </w:pPr>
      <w:r>
        <w:rPr>
          <w:i/>
        </w:rPr>
        <w:t>결과는 n = 5,521개 주소의 일치하는 지갑 집단에 대해 Arbitrum One의 6개월 기간을 반영합니다. 보증 하위 그래프는 14,727개의 에지로 구성되고 전송 하위 그래프는 137,087개의 에지로 구성됩니다. 소셜 방법에 대한 거래 성공 정렬은 약하거나 보통(0.096 및 0.179)이며 전송 프록시는 여전히 더 강력한 검증 프레임(RQ4)으로 남아 있습니다. EndorseRank의 주요 입증된 강점은 허용 구성 정렬(τ = 0.355), AWP와의 순위 구분(방법 간 τ = 0.316) 및 계산 효율성(2.105초 대 18.711초, 풀 스케일링 ≒ 10.4× 및</w:t>
      </w:r>
    </w:p>
    <w:p>
      <w:pPr>
        <w:pStyle w:val="BodyText"/>
        <w:spacing w:before="104"/>
        <w:ind w:left="282"/>
        <w:jc w:val="both"/>
      </w:pPr>
      <w:r>
        <w:rPr>
          <w:rFonts w:ascii="Lucida Sans Unicode" w:hAnsi="Lucida Sans Unicode"/>
        </w:rPr>
        <w:t>≈</w:t>
      </w:r>
      <w:r>
        <w:rPr>
          <w:rFonts w:ascii="Lucida Sans Unicode" w:hAnsi="Lucida Sans Unicode"/>
          <w:spacing w:val="-16"/>
        </w:rPr>
        <w:t> </w:t>
      </w:r>
      <w:r>
        <w:rPr>
          <w:rFonts w:ascii="Calibri" w:hAnsi="Calibri"/>
          <w:spacing w:val="-2"/>
        </w:rPr>
        <w:t>9</w:t>
      </w:r>
      <w:r>
        <w:rPr>
          <w:rFonts w:ascii="Calibri" w:hAnsi="Calibri"/>
          <w:i/>
          <w:spacing w:val="-2"/>
        </w:rPr>
        <w:t>.</w:t>
      </w:r>
      <w:r>
        <w:rPr>
          <w:rFonts w:ascii="Calibri" w:hAnsi="Calibri"/>
          <w:spacing w:val="-2"/>
        </w:rPr>
        <w:t>4</w:t>
      </w:r>
      <w:r>
        <w:rPr>
          <w:rFonts w:ascii="Lucida Sans Unicode" w:hAnsi="Lucida Sans Unicode"/>
          <w:spacing w:val="-2"/>
        </w:rPr>
        <w:t>×</w:t>
      </w:r>
      <w:r>
        <w:rPr>
          <w:spacing w:val="-2"/>
        </w:rPr>
        <w:t>).</w:t>
      </w:r>
    </w:p>
    <w:p>
      <w:pPr>
        <w:pStyle w:val="BodyText"/>
        <w:spacing w:line="396" w:lineRule="auto" w:before="141"/>
        <w:ind w:left="282" w:right="548" w:hanging="8"/>
        <w:jc w:val="both"/>
      </w:pPr>
      <w:r>
        <w:rPr/>
        <w:t>Token-decimal</w:t>
      </w:r>
      <w:r>
        <w:rPr>
          <w:spacing w:val="-10"/>
        </w:rPr>
        <w:t> </w:t>
      </w:r>
      <w:r>
        <w:rPr/>
        <w:t>normalization,</w:t>
      </w:r>
      <w:r>
        <w:rPr>
          <w:spacing w:val="-9"/>
        </w:rPr>
        <w:t> </w:t>
      </w:r>
      <w:r>
        <w:rPr/>
        <w:t>USD</w:t>
      </w:r>
      <w:r>
        <w:rPr>
          <w:spacing w:val="-10"/>
        </w:rPr>
        <w:t> </w:t>
      </w:r>
      <w:r>
        <w:rPr/>
        <w:t>price</w:t>
      </w:r>
      <w:r>
        <w:rPr>
          <w:spacing w:val="-10"/>
        </w:rPr>
        <w:t> </w:t>
      </w:r>
      <w:r>
        <w:rPr/>
        <w:t>oracles,</w:t>
      </w:r>
      <w:r>
        <w:rPr>
          <w:spacing w:val="-9"/>
        </w:rPr>
        <w:t> </w:t>
      </w:r>
      <w:r>
        <w:rPr/>
        <w:t>and</w:t>
      </w:r>
      <w:r>
        <w:rPr>
          <w:spacing w:val="-10"/>
        </w:rPr>
        <w:t> </w:t>
      </w:r>
      <w:r>
        <w:rPr/>
        <w:t>permit-versus-approve</w:t>
      </w:r>
      <w:r>
        <w:rPr>
          <w:spacing w:val="-10"/>
        </w:rPr>
        <w:t> </w:t>
      </w:r>
      <w:r>
        <w:rPr/>
        <w:t>coverage</w:t>
      </w:r>
      <w:r>
        <w:rPr>
          <w:spacing w:val="-10"/>
        </w:rPr>
        <w:t> </w:t>
      </w:r>
      <w:r>
        <w:rPr/>
        <w:t>may</w:t>
      </w:r>
      <w:r>
        <w:rPr>
          <w:spacing w:val="-10"/>
        </w:rPr>
        <w:t> </w:t>
      </w:r>
      <w:r>
        <w:rPr/>
        <w:t>affect edge weights.</w:t>
      </w:r>
      <w:r>
        <w:rPr>
          <w:spacing w:val="40"/>
        </w:rPr>
        <w:t> </w:t>
      </w:r>
      <w:r>
        <w:rPr/>
        <w:t>Extended baselines (alternative PageRank variants and lending-oriented graphs) are archived for future comparison (Appendix </w:t>
      </w:r>
      <w:hyperlink w:history="true" w:anchor="_bookmark198">
        <w:r>
          <w:rPr/>
          <w:t>8.1</w:t>
        </w:r>
      </w:hyperlink>
      <w:r>
        <w:rPr/>
        <w:t>) but are excluded from the main dissertation narrative.</w:t>
      </w:r>
      <w:r>
        <w:rPr>
          <w:spacing w:val="40"/>
        </w:rPr>
        <w:t> </w:t>
      </w:r>
      <w:r>
        <w:rPr/>
        <w:t>Unsecured lending default labels are out of scope.</w:t>
      </w:r>
      <w:r>
        <w:rPr>
          <w:spacing w:val="40"/>
        </w:rPr>
        <w:t> </w:t>
      </w:r>
      <w:r>
        <w:rPr/>
        <w:t>Regulatory and ethical deployment constraints (Section </w:t>
      </w:r>
      <w:hyperlink w:history="true" w:anchor="_bookmark125">
        <w:r>
          <w:rPr/>
          <w:t>5.6</w:t>
        </w:r>
      </w:hyperlink>
      <w:r>
        <w:rPr/>
        <w:t>) limit how scores should be used even when alignment is favorable.</w:t>
      </w:r>
    </w:p>
    <w:p>
      <w:pPr>
        <w:pStyle w:val="BodyText"/>
        <w:spacing w:line="396" w:lineRule="auto" w:before="141"/>
        <w:ind w:left="282" w:right="548" w:hanging="8"/>
        <w:jc w:val="both"/>
      </w:pPr>
      <w:r>
        <w:rPr>
          <w:i/>
        </w:rPr>
        <w:t>토큰 소수점 정규화, USD 가격 오라클, 허가 대 승인 적용 범위가 에지 가중치에 영향을 미칠 수 있습니다. 확장된 기준선(대안 PageRank 변형 및 대출 중심 그래프)은 향후 비교를 위해 보관되지만(부록 8.1) 주요 논문 설명에서는 제외됩니다. 무담보 대출 기본 라벨은 범위를 벗어납니다. 규제 및 윤리적 배치 제약(섹션 5.6)은 정렬이 유리한 경우에도 점수를 사용하는 방법을 제한합니다.</w:t>
      </w:r>
    </w:p>
    <w:p>
      <w:pPr>
        <w:pStyle w:val="BodyText"/>
        <w:spacing w:before="19"/>
        <w:ind w:left="274"/>
        <w:jc w:val="both"/>
      </w:pPr>
      <w:r>
        <w:rPr/>
        <w:t>These</w:t>
      </w:r>
      <w:r>
        <w:rPr>
          <w:spacing w:val="-15"/>
        </w:rPr>
        <w:t> </w:t>
      </w:r>
      <w:r>
        <w:rPr/>
        <w:t>limitations</w:t>
      </w:r>
      <w:r>
        <w:rPr>
          <w:spacing w:val="-15"/>
        </w:rPr>
        <w:t> </w:t>
      </w:r>
      <w:r>
        <w:rPr/>
        <w:t>bound</w:t>
      </w:r>
      <w:r>
        <w:rPr>
          <w:spacing w:val="-15"/>
        </w:rPr>
        <w:t> </w:t>
      </w:r>
      <w:r>
        <w:rPr/>
        <w:t>the</w:t>
      </w:r>
      <w:r>
        <w:rPr>
          <w:spacing w:val="-15"/>
        </w:rPr>
        <w:t> </w:t>
      </w:r>
      <w:r>
        <w:rPr/>
        <w:t>claims:</w:t>
      </w:r>
      <w:r>
        <w:rPr>
          <w:spacing w:val="-10"/>
        </w:rPr>
        <w:t> </w:t>
      </w:r>
      <w:r>
        <w:rPr/>
        <w:t>EndorseRank</w:t>
      </w:r>
      <w:r>
        <w:rPr>
          <w:spacing w:val="-15"/>
        </w:rPr>
        <w:t> </w:t>
      </w:r>
      <w:r>
        <w:rPr/>
        <w:t>is</w:t>
      </w:r>
      <w:r>
        <w:rPr>
          <w:spacing w:val="-15"/>
        </w:rPr>
        <w:t> </w:t>
      </w:r>
      <w:r>
        <w:rPr/>
        <w:t>a</w:t>
      </w:r>
      <w:r>
        <w:rPr>
          <w:spacing w:val="-15"/>
        </w:rPr>
        <w:t> </w:t>
      </w:r>
      <w:r>
        <w:rPr/>
        <w:t>credible,</w:t>
      </w:r>
      <w:r>
        <w:rPr>
          <w:spacing w:val="-15"/>
        </w:rPr>
        <w:t> </w:t>
      </w:r>
      <w:r>
        <w:rPr/>
        <w:t>efficient,</w:t>
      </w:r>
      <w:r>
        <w:rPr>
          <w:spacing w:val="-15"/>
        </w:rPr>
        <w:t> </w:t>
      </w:r>
      <w:r>
        <w:rPr/>
        <w:t>allowance-specific</w:t>
      </w:r>
      <w:r>
        <w:rPr>
          <w:spacing w:val="-15"/>
        </w:rPr>
        <w:t> </w:t>
      </w:r>
      <w:r>
        <w:rPr>
          <w:spacing w:val="-2"/>
        </w:rPr>
        <w:t>social</w:t>
      </w:r>
    </w:p>
    <w:p>
      <w:pPr>
        <w:pStyle w:val="BodyText"/>
        <w:spacing w:before="19"/>
        <w:ind w:left="274"/>
        <w:jc w:val="both"/>
      </w:pPr>
      <w:r>
        <w:rPr>
          <w:i/>
        </w:rPr>
        <w:t>이러한 제한 사항은 청구를 제한합니다. EndorseRank는 신뢰할 수 있고 효율적이며 수당별 소셜 서비스입니다.</w:t>
      </w:r>
    </w:p>
    <w:p>
      <w:pPr>
        <w:pStyle w:val="BodyText"/>
        <w:spacing w:after="0"/>
        <w:jc w:val="both"/>
        <w:sectPr>
          <w:pgSz w:w="11910" w:h="16840"/>
          <w:pgMar w:header="0" w:footer="2115" w:top="1840" w:bottom="2300" w:left="992" w:right="708"/>
        </w:sectPr>
      </w:pPr>
    </w:p>
    <w:p>
      <w:pPr>
        <w:pStyle w:val="BodyText"/>
        <w:spacing w:line="396" w:lineRule="auto" w:before="72"/>
        <w:ind w:left="282" w:right="556"/>
      </w:pPr>
      <w:r>
        <w:rPr/>
        <w:t>reputation</w:t>
      </w:r>
      <w:r>
        <w:rPr>
          <w:spacing w:val="-15"/>
        </w:rPr>
        <w:t> </w:t>
      </w:r>
      <w:r>
        <w:rPr/>
        <w:t>method</w:t>
      </w:r>
      <w:r>
        <w:rPr>
          <w:spacing w:val="-15"/>
        </w:rPr>
        <w:t> </w:t>
      </w:r>
      <w:r>
        <w:rPr/>
        <w:t>on</w:t>
      </w:r>
      <w:r>
        <w:rPr>
          <w:spacing w:val="-15"/>
        </w:rPr>
        <w:t> </w:t>
      </w:r>
      <w:r>
        <w:rPr/>
        <w:t>the</w:t>
      </w:r>
      <w:r>
        <w:rPr>
          <w:spacing w:val="-15"/>
        </w:rPr>
        <w:t> </w:t>
      </w:r>
      <w:r>
        <w:rPr/>
        <w:t>studied</w:t>
      </w:r>
      <w:r>
        <w:rPr>
          <w:spacing w:val="-15"/>
        </w:rPr>
        <w:t> </w:t>
      </w:r>
      <w:r>
        <w:rPr/>
        <w:t>cohort</w:t>
      </w:r>
      <w:r>
        <w:rPr>
          <w:spacing w:val="-15"/>
        </w:rPr>
        <w:t> </w:t>
      </w:r>
      <w:r>
        <w:rPr/>
        <w:t>and</w:t>
      </w:r>
      <w:r>
        <w:rPr>
          <w:spacing w:val="-15"/>
        </w:rPr>
        <w:t> </w:t>
      </w:r>
      <w:r>
        <w:rPr/>
        <w:t>window;</w:t>
      </w:r>
      <w:r>
        <w:rPr>
          <w:spacing w:val="-15"/>
        </w:rPr>
        <w:t> </w:t>
      </w:r>
      <w:r>
        <w:rPr/>
        <w:t>it</w:t>
      </w:r>
      <w:r>
        <w:rPr>
          <w:spacing w:val="-15"/>
        </w:rPr>
        <w:t> </w:t>
      </w:r>
      <w:r>
        <w:rPr/>
        <w:t>is</w:t>
      </w:r>
      <w:r>
        <w:rPr>
          <w:spacing w:val="-15"/>
        </w:rPr>
        <w:t> </w:t>
      </w:r>
      <w:r>
        <w:rPr/>
        <w:t>not</w:t>
      </w:r>
      <w:r>
        <w:rPr>
          <w:spacing w:val="-15"/>
        </w:rPr>
        <w:t> </w:t>
      </w:r>
      <w:r>
        <w:rPr/>
        <w:t>a</w:t>
      </w:r>
      <w:r>
        <w:rPr>
          <w:spacing w:val="-15"/>
        </w:rPr>
        <w:t> </w:t>
      </w:r>
      <w:r>
        <w:rPr/>
        <w:t>universal</w:t>
      </w:r>
      <w:r>
        <w:rPr>
          <w:spacing w:val="-15"/>
        </w:rPr>
        <w:t> </w:t>
      </w:r>
      <w:r>
        <w:rPr/>
        <w:t>credit</w:t>
      </w:r>
      <w:r>
        <w:rPr>
          <w:spacing w:val="-15"/>
        </w:rPr>
        <w:t> </w:t>
      </w:r>
      <w:r>
        <w:rPr/>
        <w:t>score,</w:t>
      </w:r>
      <w:r>
        <w:rPr>
          <w:spacing w:val="-15"/>
        </w:rPr>
        <w:t> </w:t>
      </w:r>
      <w:r>
        <w:rPr/>
        <w:t>a</w:t>
      </w:r>
      <w:r>
        <w:rPr>
          <w:spacing w:val="-15"/>
        </w:rPr>
        <w:t> </w:t>
      </w:r>
      <w:r>
        <w:rPr/>
        <w:t>Sybil-proof identity system, or a replacement for protocol-level collateralization </w:t>
      </w:r>
      <w:hyperlink w:history="true" w:anchor="_bookmark159">
        <w:r>
          <w:rPr>
            <w:vertAlign w:val="superscript"/>
          </w:rPr>
          <w:t>[26]</w:t>
        </w:r>
      </w:hyperlink>
      <w:r>
        <w:rPr>
          <w:vertAlign w:val="superscript"/>
        </w:rPr>
        <w:t>,</w:t>
      </w:r>
      <w:hyperlink w:history="true" w:anchor="_bookmark181">
        <w:r>
          <w:rPr>
            <w:vertAlign w:val="superscript"/>
          </w:rPr>
          <w:t>[48]</w:t>
        </w:r>
      </w:hyperlink>
      <w:r>
        <w:rPr>
          <w:vertAlign w:val="baseline"/>
        </w:rPr>
        <w:t>.</w:t>
      </w:r>
    </w:p>
    <w:p>
      <w:pPr>
        <w:pStyle w:val="BodyText"/>
        <w:spacing w:line="396" w:lineRule="auto" w:before="72"/>
        <w:ind w:left="282" w:right="556"/>
      </w:pPr>
      <w:r>
        <w:rPr>
          <w:i/>
        </w:rPr>
        <w:t>연구된 코호트 및 창구에 대한 평판 방법은 보편적인 신용 점수, Sybil 증명 신원 시스템 또는 프로토콜 수준 담보를 대체하는 것이 아닙니다[26],[48].</w:t>
      </w:r>
    </w:p>
    <w:p>
      <w:pPr>
        <w:pStyle w:val="BodyText"/>
        <w:spacing w:after="0" w:line="396" w:lineRule="auto"/>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Conclusion and Future Work" w:id="245"/>
      <w:bookmarkEnd w:id="245"/>
      <w:r>
        <w:rPr>
          <w:b w:val="0"/>
        </w:rPr>
      </w:r>
      <w:bookmarkStart w:name="_bookmark128" w:id="246"/>
      <w:bookmarkEnd w:id="246"/>
      <w:r>
        <w:rPr>
          <w:b w:val="0"/>
        </w:rPr>
      </w:r>
      <w:r>
        <w:rPr/>
        <w:t>Conclusion</w:t>
      </w:r>
      <w:r>
        <w:rPr>
          <w:spacing w:val="5"/>
        </w:rPr>
        <w:t> </w:t>
      </w:r>
      <w:r>
        <w:rPr/>
        <w:t>and</w:t>
      </w:r>
      <w:r>
        <w:rPr>
          <w:spacing w:val="6"/>
        </w:rPr>
        <w:t> </w:t>
      </w:r>
      <w:r>
        <w:rPr/>
        <w:t>Future</w:t>
      </w:r>
      <w:r>
        <w:rPr>
          <w:spacing w:val="5"/>
        </w:rPr>
        <w:t> </w:t>
      </w:r>
      <w:r>
        <w:rPr>
          <w:spacing w:val="-4"/>
        </w:rPr>
        <w:t>Work</w:t>
      </w:r>
    </w:p>
    <w:p>
      <w:pPr>
        <w:pStyle w:val="Heading1"/>
        <w:numPr>
          <w:ilvl w:val="0"/>
          <w:numId w:val="8"/>
        </w:numPr>
        <w:tabs>
          <w:tab w:pos="625" w:val="left" w:leader="none"/>
        </w:tabs>
        <w:spacing w:line="240" w:lineRule="auto" w:before="0" w:after="0"/>
        <w:ind w:left="625" w:right="0" w:hanging="343"/>
        <w:jc w:val="both"/>
      </w:pPr>
      <w:r>
        <w:rPr>
          <w:i/>
        </w:rPr>
        <w:t>결론 및 향후 작업</w:t>
      </w:r>
    </w:p>
    <w:p>
      <w:pPr>
        <w:pStyle w:val="BodyText"/>
        <w:spacing w:before="28"/>
        <w:rPr>
          <w:b/>
          <w:sz w:val="34"/>
        </w:rPr>
      </w:pPr>
    </w:p>
    <w:p>
      <w:pPr>
        <w:pStyle w:val="BodyText"/>
        <w:spacing w:line="396" w:lineRule="auto"/>
        <w:ind w:left="282" w:right="533" w:hanging="8"/>
        <w:jc w:val="both"/>
      </w:pPr>
      <w:r>
        <w:rPr/>
        <w:t>This</w:t>
      </w:r>
      <w:r>
        <w:rPr>
          <w:spacing w:val="-7"/>
        </w:rPr>
        <w:t> </w:t>
      </w:r>
      <w:r>
        <w:rPr/>
        <w:t>chapter</w:t>
      </w:r>
      <w:r>
        <w:rPr>
          <w:spacing w:val="-7"/>
        </w:rPr>
        <w:t> </w:t>
      </w:r>
      <w:r>
        <w:rPr/>
        <w:t>synthesizes</w:t>
      </w:r>
      <w:r>
        <w:rPr>
          <w:spacing w:val="-7"/>
        </w:rPr>
        <w:t> </w:t>
      </w:r>
      <w:r>
        <w:rPr/>
        <w:t>the</w:t>
      </w:r>
      <w:r>
        <w:rPr>
          <w:spacing w:val="-7"/>
        </w:rPr>
        <w:t> </w:t>
      </w:r>
      <w:r>
        <w:rPr/>
        <w:t>dissertation,</w:t>
      </w:r>
      <w:r>
        <w:rPr>
          <w:spacing w:val="-6"/>
        </w:rPr>
        <w:t> </w:t>
      </w:r>
      <w:r>
        <w:rPr/>
        <w:t>states</w:t>
      </w:r>
      <w:r>
        <w:rPr>
          <w:spacing w:val="-7"/>
        </w:rPr>
        <w:t> </w:t>
      </w:r>
      <w:r>
        <w:rPr/>
        <w:t>the</w:t>
      </w:r>
      <w:r>
        <w:rPr>
          <w:spacing w:val="-7"/>
        </w:rPr>
        <w:t> </w:t>
      </w:r>
      <w:r>
        <w:rPr/>
        <w:t>original</w:t>
      </w:r>
      <w:r>
        <w:rPr>
          <w:spacing w:val="-7"/>
        </w:rPr>
        <w:t> </w:t>
      </w:r>
      <w:r>
        <w:rPr/>
        <w:t>contribution</w:t>
      </w:r>
      <w:r>
        <w:rPr>
          <w:spacing w:val="-7"/>
        </w:rPr>
        <w:t> </w:t>
      </w:r>
      <w:r>
        <w:rPr/>
        <w:t>to</w:t>
      </w:r>
      <w:r>
        <w:rPr>
          <w:spacing w:val="-7"/>
        </w:rPr>
        <w:t> </w:t>
      </w:r>
      <w:r>
        <w:rPr/>
        <w:t>knowledge,</w:t>
      </w:r>
      <w:r>
        <w:rPr>
          <w:spacing w:val="-6"/>
        </w:rPr>
        <w:t> </w:t>
      </w:r>
      <w:r>
        <w:rPr/>
        <w:t>revisits</w:t>
      </w:r>
      <w:r>
        <w:rPr>
          <w:spacing w:val="-7"/>
        </w:rPr>
        <w:t> </w:t>
      </w:r>
      <w:r>
        <w:rPr/>
        <w:t>the </w:t>
      </w:r>
      <w:r>
        <w:rPr>
          <w:spacing w:val="-2"/>
        </w:rPr>
        <w:t>research</w:t>
      </w:r>
      <w:r>
        <w:rPr>
          <w:spacing w:val="-3"/>
        </w:rPr>
        <w:t> </w:t>
      </w:r>
      <w:r>
        <w:rPr>
          <w:spacing w:val="-2"/>
        </w:rPr>
        <w:t>questions, and</w:t>
      </w:r>
      <w:r>
        <w:rPr>
          <w:spacing w:val="-3"/>
        </w:rPr>
        <w:t> </w:t>
      </w:r>
      <w:r>
        <w:rPr>
          <w:spacing w:val="-2"/>
        </w:rPr>
        <w:t>outlines</w:t>
      </w:r>
      <w:r>
        <w:rPr>
          <w:spacing w:val="-3"/>
        </w:rPr>
        <w:t> </w:t>
      </w:r>
      <w:r>
        <w:rPr>
          <w:spacing w:val="-2"/>
        </w:rPr>
        <w:t>future</w:t>
      </w:r>
      <w:r>
        <w:rPr>
          <w:spacing w:val="-3"/>
        </w:rPr>
        <w:t> </w:t>
      </w:r>
      <w:r>
        <w:rPr>
          <w:spacing w:val="-2"/>
        </w:rPr>
        <w:t>work</w:t>
      </w:r>
      <w:r>
        <w:rPr>
          <w:spacing w:val="-3"/>
        </w:rPr>
        <w:t> </w:t>
      </w:r>
      <w:r>
        <w:rPr>
          <w:spacing w:val="-2"/>
        </w:rPr>
        <w:t>on</w:t>
      </w:r>
      <w:r>
        <w:rPr>
          <w:spacing w:val="-3"/>
        </w:rPr>
        <w:t> </w:t>
      </w:r>
      <w:r>
        <w:rPr>
          <w:spacing w:val="-2"/>
        </w:rPr>
        <w:t>cross-protocol</w:t>
      </w:r>
      <w:r>
        <w:rPr>
          <w:spacing w:val="-3"/>
        </w:rPr>
        <w:t> </w:t>
      </w:r>
      <w:r>
        <w:rPr>
          <w:spacing w:val="-2"/>
        </w:rPr>
        <w:t>validation, adversarial</w:t>
      </w:r>
      <w:r>
        <w:rPr>
          <w:spacing w:val="-3"/>
        </w:rPr>
        <w:t> </w:t>
      </w:r>
      <w:r>
        <w:rPr>
          <w:spacing w:val="-2"/>
        </w:rPr>
        <w:t>manipulation, </w:t>
      </w:r>
      <w:bookmarkStart w:name="Summary of findings" w:id="247"/>
      <w:bookmarkEnd w:id="247"/>
      <w:r>
        <w:rPr>
          <w:w w:val="99"/>
        </w:rPr>
      </w:r>
      <w:bookmarkStart w:name="_bookmark129" w:id="248"/>
      <w:bookmarkEnd w:id="248"/>
      <w:r>
        <w:rPr/>
        <w:t>hybrid</w:t>
      </w:r>
      <w:r>
        <w:rPr/>
        <w:t> methods, and live oracle integration.</w:t>
      </w:r>
    </w:p>
    <w:p>
      <w:pPr>
        <w:pStyle w:val="BodyText"/>
        <w:spacing w:line="396" w:lineRule="auto"/>
        <w:ind w:left="282" w:right="533" w:hanging="8"/>
        <w:jc w:val="both"/>
      </w:pPr>
      <w:r>
        <w:rPr>
          <w:i/>
        </w:rPr>
        <w:t>이 장에서는 논문을 종합하고, 지식에 대한 원래 기여를 설명하고, 연구 질문을 재검토하고, 프로토콜 간 검증, 적대적 조작, 하이브리드 방법 및 라이브 오라클 통합에 대한 향후 작업의 개요를 설명합니다.</w:t>
      </w:r>
    </w:p>
    <w:p>
      <w:pPr>
        <w:pStyle w:val="BodyText"/>
        <w:spacing w:before="161"/>
      </w:pPr>
    </w:p>
    <w:p>
      <w:pPr>
        <w:pStyle w:val="Heading2"/>
        <w:numPr>
          <w:ilvl w:val="1"/>
          <w:numId w:val="8"/>
        </w:numPr>
        <w:tabs>
          <w:tab w:pos="783" w:val="left" w:leader="none"/>
        </w:tabs>
        <w:spacing w:line="240" w:lineRule="auto" w:before="1" w:after="0"/>
        <w:ind w:left="783" w:right="0" w:hanging="501"/>
        <w:jc w:val="left"/>
      </w:pPr>
      <w:r>
        <w:rPr/>
        <w:t>Summary</w:t>
      </w:r>
      <w:r>
        <w:rPr>
          <w:spacing w:val="15"/>
        </w:rPr>
        <w:t> </w:t>
      </w:r>
      <w:r>
        <w:rPr/>
        <w:t>of</w:t>
      </w:r>
      <w:r>
        <w:rPr>
          <w:spacing w:val="15"/>
        </w:rPr>
        <w:t> </w:t>
      </w:r>
      <w:r>
        <w:rPr>
          <w:spacing w:val="-2"/>
        </w:rPr>
        <w:t>findings</w:t>
      </w:r>
    </w:p>
    <w:p>
      <w:pPr>
        <w:pStyle w:val="Heading2"/>
        <w:numPr>
          <w:ilvl w:val="1"/>
          <w:numId w:val="8"/>
        </w:numPr>
        <w:tabs>
          <w:tab w:pos="783" w:val="left" w:leader="none"/>
        </w:tabs>
        <w:spacing w:line="240" w:lineRule="auto" w:before="1" w:after="0"/>
        <w:ind w:left="783" w:right="0" w:hanging="501"/>
        <w:jc w:val="left"/>
      </w:pPr>
      <w:r>
        <w:rPr>
          <w:i/>
        </w:rPr>
        <w:t>결과 요약</w:t>
      </w:r>
    </w:p>
    <w:p>
      <w:pPr>
        <w:pStyle w:val="BodyText"/>
        <w:spacing w:before="23"/>
        <w:rPr>
          <w:b/>
          <w:sz w:val="28"/>
        </w:rPr>
      </w:pPr>
    </w:p>
    <w:p>
      <w:pPr>
        <w:pStyle w:val="BodyText"/>
        <w:spacing w:line="386" w:lineRule="auto" w:before="1"/>
        <w:ind w:left="273" w:right="523" w:firstLine="1"/>
        <w:jc w:val="both"/>
      </w:pPr>
      <w:r>
        <w:rPr/>
        <w:t>This</w:t>
      </w:r>
      <w:r>
        <w:rPr>
          <w:spacing w:val="-10"/>
        </w:rPr>
        <w:t> </w:t>
      </w:r>
      <w:r>
        <w:rPr/>
        <w:t>dissertation</w:t>
      </w:r>
      <w:r>
        <w:rPr>
          <w:spacing w:val="-10"/>
        </w:rPr>
        <w:t> </w:t>
      </w:r>
      <w:r>
        <w:rPr/>
        <w:t>formulated</w:t>
      </w:r>
      <w:r>
        <w:rPr>
          <w:spacing w:val="-10"/>
        </w:rPr>
        <w:t> </w:t>
      </w:r>
      <w:r>
        <w:rPr/>
        <w:t>EndorseRank,</w:t>
      </w:r>
      <w:r>
        <w:rPr>
          <w:spacing w:val="-9"/>
        </w:rPr>
        <w:t> </w:t>
      </w:r>
      <w:r>
        <w:rPr/>
        <w:t>a</w:t>
      </w:r>
      <w:r>
        <w:rPr>
          <w:spacing w:val="-10"/>
        </w:rPr>
        <w:t> </w:t>
      </w:r>
      <w:r>
        <w:rPr/>
        <w:t>PageRank</w:t>
      </w:r>
      <w:r>
        <w:rPr>
          <w:spacing w:val="-10"/>
        </w:rPr>
        <w:t> </w:t>
      </w:r>
      <w:r>
        <w:rPr/>
        <w:t>method</w:t>
      </w:r>
      <w:r>
        <w:rPr>
          <w:spacing w:val="-10"/>
        </w:rPr>
        <w:t> </w:t>
      </w:r>
      <w:r>
        <w:rPr/>
        <w:t>on</w:t>
      </w:r>
      <w:r>
        <w:rPr>
          <w:spacing w:val="-10"/>
        </w:rPr>
        <w:t> </w:t>
      </w:r>
      <w:r>
        <w:rPr/>
        <w:t>a</w:t>
      </w:r>
      <w:r>
        <w:rPr>
          <w:spacing w:val="-10"/>
        </w:rPr>
        <w:t> </w:t>
      </w:r>
      <w:r>
        <w:rPr/>
        <w:t>latest-allowance</w:t>
      </w:r>
      <w:r>
        <w:rPr>
          <w:spacing w:val="-10"/>
        </w:rPr>
        <w:t> </w:t>
      </w:r>
      <w:r>
        <w:rPr/>
        <w:t>endorsement graph</w:t>
      </w:r>
      <w:r>
        <w:rPr>
          <w:spacing w:val="-5"/>
        </w:rPr>
        <w:t> </w:t>
      </w:r>
      <w:r>
        <w:rPr/>
        <w:t>that</w:t>
      </w:r>
      <w:r>
        <w:rPr>
          <w:spacing w:val="-5"/>
        </w:rPr>
        <w:t> </w:t>
      </w:r>
      <w:r>
        <w:rPr/>
        <w:t>produces</w:t>
      </w:r>
      <w:r>
        <w:rPr>
          <w:spacing w:val="-5"/>
        </w:rPr>
        <w:t> </w:t>
      </w:r>
      <w:r>
        <w:rPr/>
        <w:t>an</w:t>
      </w:r>
      <w:r>
        <w:rPr>
          <w:spacing w:val="-5"/>
        </w:rPr>
        <w:t> </w:t>
      </w:r>
      <w:r>
        <w:rPr/>
        <w:t>on-chain</w:t>
      </w:r>
      <w:r>
        <w:rPr>
          <w:spacing w:val="-4"/>
        </w:rPr>
        <w:t> </w:t>
      </w:r>
      <w:r>
        <w:rPr/>
        <w:t>reputation</w:t>
      </w:r>
      <w:r>
        <w:rPr>
          <w:spacing w:val="-5"/>
        </w:rPr>
        <w:t> </w:t>
      </w:r>
      <w:r>
        <w:rPr/>
        <w:t>score</w:t>
      </w:r>
      <w:r>
        <w:rPr>
          <w:spacing w:val="-4"/>
        </w:rPr>
        <w:t> </w:t>
      </w:r>
      <w:r>
        <w:rPr/>
        <w:t>on</w:t>
      </w:r>
      <w:r>
        <w:rPr>
          <w:spacing w:val="-5"/>
        </w:rPr>
        <w:t> </w:t>
      </w:r>
      <w:r>
        <w:rPr/>
        <w:t>Arbitrum</w:t>
      </w:r>
      <w:r>
        <w:rPr>
          <w:spacing w:val="-4"/>
        </w:rPr>
        <w:t> </w:t>
      </w:r>
      <w:r>
        <w:rPr/>
        <w:t>One,</w:t>
      </w:r>
      <w:r>
        <w:rPr>
          <w:spacing w:val="-4"/>
        </w:rPr>
        <w:t> </w:t>
      </w:r>
      <w:r>
        <w:rPr/>
        <w:t>and</w:t>
      </w:r>
      <w:r>
        <w:rPr>
          <w:spacing w:val="-5"/>
        </w:rPr>
        <w:t> </w:t>
      </w:r>
      <w:r>
        <w:rPr/>
        <w:t>evaluated</w:t>
      </w:r>
      <w:r>
        <w:rPr>
          <w:spacing w:val="-4"/>
        </w:rPr>
        <w:t> </w:t>
      </w:r>
      <w:r>
        <w:rPr/>
        <w:t>it</w:t>
      </w:r>
      <w:r>
        <w:rPr>
          <w:spacing w:val="-5"/>
        </w:rPr>
        <w:t> </w:t>
      </w:r>
      <w:r>
        <w:rPr/>
        <w:t>against</w:t>
      </w:r>
      <w:r>
        <w:rPr>
          <w:spacing w:val="-4"/>
        </w:rPr>
        <w:t> </w:t>
      </w:r>
      <w:r>
        <w:rPr/>
        <w:t>Adap-</w:t>
      </w:r>
      <w:r>
        <w:rPr>
          <w:spacing w:val="-2"/>
        </w:rPr>
        <w:t>tive</w:t>
      </w:r>
      <w:r>
        <w:rPr>
          <w:spacing w:val="-7"/>
        </w:rPr>
        <w:t> </w:t>
      </w:r>
      <w:r>
        <w:rPr>
          <w:spacing w:val="-2"/>
        </w:rPr>
        <w:t>Weighted</w:t>
      </w:r>
      <w:r>
        <w:rPr>
          <w:spacing w:val="-7"/>
        </w:rPr>
        <w:t> </w:t>
      </w:r>
      <w:r>
        <w:rPr>
          <w:spacing w:val="-2"/>
        </w:rPr>
        <w:t>PageRank</w:t>
      </w:r>
      <w:r>
        <w:rPr>
          <w:spacing w:val="-7"/>
        </w:rPr>
        <w:t> </w:t>
      </w:r>
      <w:r>
        <w:rPr>
          <w:spacing w:val="-2"/>
        </w:rPr>
        <w:t>(AWP),</w:t>
      </w:r>
      <w:r>
        <w:rPr>
          <w:spacing w:val="-7"/>
        </w:rPr>
        <w:t> </w:t>
      </w:r>
      <w:r>
        <w:rPr>
          <w:spacing w:val="-2"/>
        </w:rPr>
        <w:t>the</w:t>
      </w:r>
      <w:r>
        <w:rPr>
          <w:spacing w:val="-7"/>
        </w:rPr>
        <w:t> </w:t>
      </w:r>
      <w:r>
        <w:rPr>
          <w:spacing w:val="-2"/>
        </w:rPr>
        <w:t>transfer-graph</w:t>
      </w:r>
      <w:r>
        <w:rPr>
          <w:spacing w:val="-7"/>
        </w:rPr>
        <w:t> </w:t>
      </w:r>
      <w:r>
        <w:rPr>
          <w:spacing w:val="-2"/>
        </w:rPr>
        <w:t>baseline</w:t>
      </w:r>
      <w:r>
        <w:rPr>
          <w:spacing w:val="-7"/>
        </w:rPr>
        <w:t> </w:t>
      </w:r>
      <w:r>
        <w:rPr>
          <w:spacing w:val="-2"/>
        </w:rPr>
        <w:t>of</w:t>
      </w:r>
      <w:r>
        <w:rPr>
          <w:spacing w:val="-6"/>
        </w:rPr>
        <w:t> </w:t>
      </w:r>
      <w:r>
        <w:rPr>
          <w:spacing w:val="-2"/>
        </w:rPr>
        <w:t>Do</w:t>
      </w:r>
      <w:r>
        <w:rPr>
          <w:spacing w:val="-7"/>
        </w:rPr>
        <w:t> </w:t>
      </w:r>
      <w:r>
        <w:rPr>
          <w:spacing w:val="-2"/>
        </w:rPr>
        <w:t>et</w:t>
      </w:r>
      <w:r>
        <w:rPr>
          <w:spacing w:val="-6"/>
        </w:rPr>
        <w:t> </w:t>
      </w:r>
      <w:r>
        <w:rPr>
          <w:spacing w:val="-2"/>
        </w:rPr>
        <w:t>al.</w:t>
      </w:r>
      <w:hyperlink w:history="true" w:anchor="_bookmark149">
        <w:r>
          <w:rPr>
            <w:spacing w:val="-2"/>
            <w:vertAlign w:val="superscript"/>
          </w:rPr>
          <w:t>[16]</w:t>
        </w:r>
      </w:hyperlink>
      <w:r>
        <w:rPr>
          <w:spacing w:val="-2"/>
          <w:vertAlign w:val="baseline"/>
        </w:rPr>
        <w:t>,</w:t>
      </w:r>
      <w:r>
        <w:rPr>
          <w:spacing w:val="-4"/>
          <w:vertAlign w:val="baseline"/>
        </w:rPr>
        <w:t> </w:t>
      </w:r>
      <w:r>
        <w:rPr>
          <w:spacing w:val="-2"/>
          <w:vertAlign w:val="baseline"/>
        </w:rPr>
        <w:t>on</w:t>
      </w:r>
      <w:r>
        <w:rPr>
          <w:spacing w:val="-7"/>
          <w:vertAlign w:val="baseline"/>
        </w:rPr>
        <w:t> </w:t>
      </w:r>
      <w:r>
        <w:rPr>
          <w:spacing w:val="-2"/>
          <w:vertAlign w:val="baseline"/>
        </w:rPr>
        <w:t>an</w:t>
      </w:r>
      <w:r>
        <w:rPr>
          <w:spacing w:val="-7"/>
          <w:vertAlign w:val="baseline"/>
        </w:rPr>
        <w:t> </w:t>
      </w:r>
      <w:r>
        <w:rPr>
          <w:spacing w:val="-2"/>
          <w:vertAlign w:val="baseline"/>
        </w:rPr>
        <w:t>identical</w:t>
      </w:r>
      <w:r>
        <w:rPr>
          <w:spacing w:val="-6"/>
          <w:vertAlign w:val="baseline"/>
        </w:rPr>
        <w:t> </w:t>
      </w:r>
      <w:r>
        <w:rPr>
          <w:spacing w:val="-2"/>
          <w:vertAlign w:val="baseline"/>
        </w:rPr>
        <w:t>matched </w:t>
      </w:r>
      <w:r>
        <w:rPr>
          <w:vertAlign w:val="baseline"/>
        </w:rPr>
        <w:t>wallet cohort (</w:t>
      </w:r>
      <w:r>
        <w:rPr>
          <w:rFonts w:ascii="Calibri"/>
          <w:i/>
          <w:vertAlign w:val="baseline"/>
        </w:rPr>
        <w:t>n </w:t>
      </w:r>
      <w:r>
        <w:rPr>
          <w:rFonts w:ascii="Calibri"/>
          <w:vertAlign w:val="baseline"/>
        </w:rPr>
        <w:t>= 5</w:t>
      </w:r>
      <w:r>
        <w:rPr>
          <w:rFonts w:ascii="Calibri"/>
          <w:i/>
          <w:vertAlign w:val="baseline"/>
        </w:rPr>
        <w:t>,</w:t>
      </w:r>
      <w:r>
        <w:rPr>
          <w:rFonts w:ascii="Calibri"/>
          <w:vertAlign w:val="baseline"/>
        </w:rPr>
        <w:t>521</w:t>
      </w:r>
      <w:r>
        <w:rPr>
          <w:vertAlign w:val="baseline"/>
        </w:rPr>
        <w:t>).</w:t>
      </w:r>
      <w:r>
        <w:rPr>
          <w:spacing w:val="38"/>
          <w:vertAlign w:val="baseline"/>
        </w:rPr>
        <w:t> </w:t>
      </w:r>
      <w:r>
        <w:rPr>
          <w:vertAlign w:val="baseline"/>
        </w:rPr>
        <w:t>Validation used five proxy families and GMX V2 perpetual outcomes over the observation window 2025-12-01 to 2026-05-31 (</w:t>
      </w:r>
      <w:r>
        <w:rPr>
          <w:rFonts w:ascii="Calibri"/>
          <w:vertAlign w:val="baseline"/>
        </w:rPr>
        <w:t>365</w:t>
      </w:r>
      <w:r>
        <w:rPr>
          <w:rFonts w:ascii="Calibri"/>
          <w:i/>
          <w:vertAlign w:val="baseline"/>
        </w:rPr>
        <w:t>,</w:t>
      </w:r>
      <w:r>
        <w:rPr>
          <w:rFonts w:ascii="Calibri"/>
          <w:vertAlign w:val="baseline"/>
        </w:rPr>
        <w:t>488 </w:t>
      </w:r>
      <w:r>
        <w:rPr>
          <w:vertAlign w:val="baseline"/>
        </w:rPr>
        <w:t>decoded </w:t>
      </w:r>
      <w:r>
        <w:rPr>
          <w:rFonts w:ascii="Calibri"/>
          <w:vertAlign w:val="baseline"/>
        </w:rPr>
        <w:t>PositionDecrease </w:t>
      </w:r>
      <w:r>
        <w:rPr>
          <w:vertAlign w:val="baseline"/>
        </w:rPr>
        <w:t>events, </w:t>
      </w:r>
      <w:r>
        <w:rPr>
          <w:rFonts w:ascii="Calibri"/>
          <w:vertAlign w:val="baseline"/>
        </w:rPr>
        <w:t>14</w:t>
      </w:r>
      <w:r>
        <w:rPr>
          <w:rFonts w:ascii="Calibri"/>
          <w:i/>
          <w:vertAlign w:val="baseline"/>
        </w:rPr>
        <w:t>,</w:t>
      </w:r>
      <w:r>
        <w:rPr>
          <w:rFonts w:ascii="Calibri"/>
          <w:vertAlign w:val="baseline"/>
        </w:rPr>
        <w:t>727 </w:t>
      </w:r>
      <w:r>
        <w:rPr>
          <w:vertAlign w:val="baseline"/>
        </w:rPr>
        <w:t>EndorseRank edges, and </w:t>
      </w:r>
      <w:r>
        <w:rPr>
          <w:rFonts w:ascii="Calibri"/>
          <w:vertAlign w:val="baseline"/>
        </w:rPr>
        <w:t>137</w:t>
      </w:r>
      <w:r>
        <w:rPr>
          <w:rFonts w:ascii="Calibri"/>
          <w:i/>
          <w:vertAlign w:val="baseline"/>
        </w:rPr>
        <w:t>,</w:t>
      </w:r>
      <w:r>
        <w:rPr>
          <w:rFonts w:ascii="Calibri"/>
          <w:vertAlign w:val="baseline"/>
        </w:rPr>
        <w:t>087 </w:t>
      </w:r>
      <w:r>
        <w:rPr>
          <w:vertAlign w:val="baseline"/>
        </w:rPr>
        <w:t>AWP edges).</w:t>
      </w:r>
    </w:p>
    <w:p>
      <w:pPr>
        <w:pStyle w:val="BodyText"/>
        <w:spacing w:line="386" w:lineRule="auto" w:before="1"/>
        <w:ind w:left="273" w:right="523" w:firstLine="1"/>
        <w:jc w:val="both"/>
      </w:pPr>
      <w:r>
        <w:rPr>
          <w:i/>
        </w:rPr>
        <w:t>이 논문은 Arbitrum One에 대한 온체인 평판 점수를 생성하는 최신 허용 승인 그래프의 PageRank 방법인 EndorseRank를 공식화하고 이를 Do et al.[16]의 전송 그래프 기준인 Adaptive Weighted PageRank(AWP)와 동일하게 일치하는 지갑 코호트(n = 5,521). 검증에서는 2025년 12월 1일부터 2026년 5월 31일까지 관찰 기간 동안 5개의 프록시 계열과 GMX V2 영구 결과를 사용했습니다(디코딩된 PositionDecrease 이벤트 365,488개, EndorseRank 에지 ​​14,727개, AWP 에지 137,087개).</w:t>
      </w:r>
    </w:p>
    <w:p>
      <w:pPr>
        <w:pStyle w:val="BodyText"/>
        <w:spacing w:before="4"/>
        <w:ind w:left="274"/>
        <w:jc w:val="both"/>
      </w:pPr>
      <w:r>
        <w:rPr/>
        <w:t>The</w:t>
      </w:r>
      <w:r>
        <w:rPr>
          <w:spacing w:val="-13"/>
        </w:rPr>
        <w:t> </w:t>
      </w:r>
      <w:r>
        <w:rPr/>
        <w:t>primary</w:t>
      </w:r>
      <w:r>
        <w:rPr>
          <w:spacing w:val="-12"/>
        </w:rPr>
        <w:t> </w:t>
      </w:r>
      <w:r>
        <w:rPr/>
        <w:t>findings</w:t>
      </w:r>
      <w:r>
        <w:rPr>
          <w:spacing w:val="-12"/>
        </w:rPr>
        <w:t> </w:t>
      </w:r>
      <w:r>
        <w:rPr/>
        <w:t>for</w:t>
      </w:r>
      <w:r>
        <w:rPr>
          <w:spacing w:val="-13"/>
        </w:rPr>
        <w:t> </w:t>
      </w:r>
      <w:r>
        <w:rPr/>
        <w:t>the</w:t>
      </w:r>
      <w:r>
        <w:rPr>
          <w:spacing w:val="-12"/>
        </w:rPr>
        <w:t> </w:t>
      </w:r>
      <w:r>
        <w:rPr/>
        <w:t>EndorseRank–AWP</w:t>
      </w:r>
      <w:r>
        <w:rPr>
          <w:spacing w:val="-12"/>
        </w:rPr>
        <w:t> </w:t>
      </w:r>
      <w:r>
        <w:rPr/>
        <w:t>comparison</w:t>
      </w:r>
      <w:r>
        <w:rPr>
          <w:spacing w:val="-12"/>
        </w:rPr>
        <w:t> </w:t>
      </w:r>
      <w:r>
        <w:rPr/>
        <w:t>are</w:t>
      </w:r>
      <w:r>
        <w:rPr>
          <w:spacing w:val="-13"/>
        </w:rPr>
        <w:t> </w:t>
      </w:r>
      <w:r>
        <w:rPr/>
        <w:t>as</w:t>
      </w:r>
      <w:r>
        <w:rPr>
          <w:spacing w:val="-12"/>
        </w:rPr>
        <w:t> </w:t>
      </w:r>
      <w:r>
        <w:rPr>
          <w:spacing w:val="-2"/>
        </w:rPr>
        <w:t>follows.</w:t>
      </w:r>
    </w:p>
    <w:p>
      <w:pPr>
        <w:pStyle w:val="BodyText"/>
        <w:spacing w:before="4"/>
        <w:ind w:left="274"/>
        <w:jc w:val="both"/>
      </w:pPr>
      <w:r>
        <w:rPr>
          <w:i/>
        </w:rPr>
        <w:t>EndorseRank~AWP 비교에 대한 주요 결과는 다음과 같습니다.</w:t>
      </w:r>
    </w:p>
    <w:p>
      <w:pPr>
        <w:pStyle w:val="BodyText"/>
        <w:spacing w:line="388" w:lineRule="auto" w:before="194"/>
        <w:ind w:left="273" w:right="524" w:firstLine="8"/>
        <w:jc w:val="both"/>
      </w:pPr>
      <w:r>
        <w:rPr/>
        <w:t>On reputation structure (RQ1), EndorseRank and AWP yield partially overlapping yet construct-distinct</w:t>
      </w:r>
      <w:r>
        <w:rPr>
          <w:spacing w:val="-15"/>
        </w:rPr>
        <w:t> </w:t>
      </w:r>
      <w:r>
        <w:rPr/>
        <w:t>orderings.</w:t>
      </w:r>
      <w:r>
        <w:rPr>
          <w:spacing w:val="9"/>
        </w:rPr>
        <w:t> </w:t>
      </w:r>
      <w:r>
        <w:rPr/>
        <w:t>Inter-method</w:t>
      </w:r>
      <w:r>
        <w:rPr>
          <w:spacing w:val="-15"/>
        </w:rPr>
        <w:t> </w:t>
      </w:r>
      <w:r>
        <w:rPr/>
        <w:t>Kendall</w:t>
      </w:r>
      <w:r>
        <w:rPr>
          <w:spacing w:val="-15"/>
        </w:rPr>
        <w:t> </w:t>
      </w:r>
      <w:r>
        <w:rPr>
          <w:rFonts w:ascii="Calibri" w:hAnsi="Calibri"/>
          <w:i/>
        </w:rPr>
        <w:t>τ</w:t>
      </w:r>
      <w:r>
        <w:rPr>
          <w:rFonts w:ascii="Calibri" w:hAnsi="Calibri"/>
          <w:i/>
          <w:spacing w:val="15"/>
        </w:rPr>
        <w:t> </w:t>
      </w:r>
      <w:r>
        <w:rPr/>
        <w:t>between</w:t>
      </w:r>
      <w:r>
        <w:rPr>
          <w:spacing w:val="-15"/>
        </w:rPr>
        <w:t> </w:t>
      </w:r>
      <w:r>
        <w:rPr/>
        <w:t>the</w:t>
      </w:r>
      <w:r>
        <w:rPr>
          <w:spacing w:val="-15"/>
        </w:rPr>
        <w:t> </w:t>
      </w:r>
      <w:r>
        <w:rPr/>
        <w:t>two</w:t>
      </w:r>
      <w:r>
        <w:rPr>
          <w:spacing w:val="-15"/>
        </w:rPr>
        <w:t> </w:t>
      </w:r>
      <w:r>
        <w:rPr/>
        <w:t>score</w:t>
      </w:r>
      <w:r>
        <w:rPr>
          <w:spacing w:val="-15"/>
        </w:rPr>
        <w:t> </w:t>
      </w:r>
      <w:r>
        <w:rPr/>
        <w:t>vectors</w:t>
      </w:r>
      <w:r>
        <w:rPr>
          <w:spacing w:val="-15"/>
        </w:rPr>
        <w:t> </w:t>
      </w:r>
      <w:r>
        <w:rPr/>
        <w:t>is</w:t>
      </w:r>
      <w:r>
        <w:rPr>
          <w:spacing w:val="-15"/>
        </w:rPr>
        <w:t> </w:t>
      </w:r>
      <w:r>
        <w:rPr>
          <w:rFonts w:ascii="Calibri" w:hAnsi="Calibri"/>
        </w:rPr>
        <w:t>0</w:t>
      </w:r>
      <w:r>
        <w:rPr>
          <w:rFonts w:ascii="Calibri" w:hAnsi="Calibri"/>
          <w:i/>
        </w:rPr>
        <w:t>.</w:t>
      </w:r>
      <w:r>
        <w:rPr>
          <w:rFonts w:ascii="Calibri" w:hAnsi="Calibri"/>
        </w:rPr>
        <w:t>316</w:t>
      </w:r>
      <w:r>
        <w:rPr/>
        <w:t>,</w:t>
      </w:r>
      <w:r>
        <w:rPr>
          <w:spacing w:val="-14"/>
        </w:rPr>
        <w:t> </w:t>
      </w:r>
      <w:r>
        <w:rPr/>
        <w:t>within</w:t>
      </w:r>
      <w:r>
        <w:rPr>
          <w:spacing w:val="-15"/>
        </w:rPr>
        <w:t> </w:t>
      </w:r>
      <w:r>
        <w:rPr/>
        <w:t>the</w:t>
      </w:r>
      <w:r>
        <w:rPr>
          <w:spacing w:val="-15"/>
        </w:rPr>
        <w:t> </w:t>
      </w:r>
      <w:r>
        <w:rPr/>
        <w:t>weak-to-moderate band:</w:t>
      </w:r>
      <w:r>
        <w:rPr>
          <w:spacing w:val="40"/>
        </w:rPr>
        <w:t> </w:t>
      </w:r>
      <w:r>
        <w:rPr/>
        <w:t>correlation is present, but allowance and transfer graphs emphasize different wallet relationships. H1 is supported.</w:t>
      </w:r>
    </w:p>
    <w:p>
      <w:pPr>
        <w:pStyle w:val="BodyText"/>
        <w:spacing w:line="388" w:lineRule="auto" w:before="194"/>
        <w:ind w:left="273" w:right="524" w:firstLine="8"/>
        <w:jc w:val="both"/>
      </w:pPr>
      <w:r>
        <w:rPr>
          <w:i/>
        </w:rPr>
        <w:t>평판 구조(RQ1)에서 EndorseRank 및 AWP는 부분적으로 겹치지만 구조적으로 구별되는 순서를 생성합니다. 두 점수 벡터 간의 방법 간 Kendall τ는 약~중간 대역 내에서 0.316입니다. 상관 관계가 존재하지만 허용량 및 이체 그래프는 서로 다른 지갑 관계를 강조합니다. H1이 지원됩니다.</w:t>
      </w:r>
    </w:p>
    <w:p>
      <w:pPr>
        <w:pStyle w:val="BodyText"/>
        <w:spacing w:line="340" w:lineRule="auto" w:before="24"/>
        <w:ind w:left="282" w:right="524"/>
        <w:jc w:val="both"/>
      </w:pPr>
      <w:r>
        <w:rPr/>
        <w:t>On</w:t>
      </w:r>
      <w:r>
        <w:rPr>
          <w:spacing w:val="-6"/>
        </w:rPr>
        <w:t> </w:t>
      </w:r>
      <w:r>
        <w:rPr/>
        <w:t>social-method</w:t>
      </w:r>
      <w:r>
        <w:rPr>
          <w:spacing w:val="-6"/>
        </w:rPr>
        <w:t> </w:t>
      </w:r>
      <w:r>
        <w:rPr/>
        <w:t>alignment</w:t>
      </w:r>
      <w:r>
        <w:rPr>
          <w:spacing w:val="-6"/>
        </w:rPr>
        <w:t> </w:t>
      </w:r>
      <w:r>
        <w:rPr/>
        <w:t>(RQ2),</w:t>
      </w:r>
      <w:r>
        <w:rPr>
          <w:spacing w:val="-6"/>
        </w:rPr>
        <w:t> </w:t>
      </w:r>
      <w:r>
        <w:rPr/>
        <w:t>construct-specific</w:t>
      </w:r>
      <w:r>
        <w:rPr>
          <w:spacing w:val="-6"/>
        </w:rPr>
        <w:t> </w:t>
      </w:r>
      <w:r>
        <w:rPr/>
        <w:t>winners</w:t>
      </w:r>
      <w:r>
        <w:rPr>
          <w:spacing w:val="-6"/>
        </w:rPr>
        <w:t> </w:t>
      </w:r>
      <w:r>
        <w:rPr/>
        <w:t>emerge. EndorseRank</w:t>
      </w:r>
      <w:r>
        <w:rPr>
          <w:spacing w:val="-6"/>
        </w:rPr>
        <w:t> </w:t>
      </w:r>
      <w:r>
        <w:rPr/>
        <w:t>leads</w:t>
      </w:r>
      <w:r>
        <w:rPr>
          <w:spacing w:val="-6"/>
        </w:rPr>
        <w:t> </w:t>
      </w:r>
      <w:r>
        <w:rPr/>
        <w:t>on</w:t>
      </w:r>
      <w:r>
        <w:rPr>
          <w:spacing w:val="-6"/>
        </w:rPr>
        <w:t> </w:t>
      </w:r>
      <w:r>
        <w:rPr/>
        <w:t>al-lowance</w:t>
      </w:r>
      <w:r>
        <w:rPr>
          <w:spacing w:val="-6"/>
        </w:rPr>
        <w:t> </w:t>
      </w:r>
      <w:r>
        <w:rPr/>
        <w:t>proxies</w:t>
      </w:r>
      <w:r>
        <w:rPr>
          <w:spacing w:val="-6"/>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7"/>
          <w:w w:val="125"/>
        </w:rPr>
        <w:t> </w:t>
      </w:r>
      <w:r>
        <w:rPr>
          <w:rFonts w:ascii="Calibri" w:hAnsi="Calibri"/>
        </w:rPr>
        <w:t>0</w:t>
      </w:r>
      <w:r>
        <w:rPr>
          <w:rFonts w:ascii="Calibri" w:hAnsi="Calibri"/>
          <w:i/>
        </w:rPr>
        <w:t>.</w:t>
      </w:r>
      <w:r>
        <w:rPr>
          <w:rFonts w:ascii="Calibri" w:hAnsi="Calibri"/>
        </w:rPr>
        <w:t>355 </w:t>
      </w:r>
      <w:r>
        <w:rPr/>
        <w:t>versus</w:t>
      </w:r>
      <w:r>
        <w:rPr>
          <w:spacing w:val="-6"/>
        </w:rPr>
        <w:t> </w:t>
      </w:r>
      <w:r>
        <w:rPr/>
        <w:t>AWP</w:t>
      </w:r>
      <w:r>
        <w:rPr>
          <w:spacing w:val="-6"/>
        </w:rPr>
        <w:t> </w:t>
      </w:r>
      <w:r>
        <w:rPr>
          <w:rFonts w:ascii="Lucida Sans Unicode" w:hAnsi="Lucida Sans Unicode"/>
        </w:rPr>
        <w:t>—</w:t>
      </w:r>
      <w:r>
        <w:rPr>
          <w:rFonts w:ascii="Calibri" w:hAnsi="Calibri"/>
        </w:rPr>
        <w:t>0</w:t>
      </w:r>
      <w:r>
        <w:rPr>
          <w:rFonts w:ascii="Calibri" w:hAnsi="Calibri"/>
          <w:i/>
        </w:rPr>
        <w:t>.</w:t>
      </w:r>
      <w:r>
        <w:rPr>
          <w:rFonts w:ascii="Calibri" w:hAnsi="Calibri"/>
        </w:rPr>
        <w:t>030</w:t>
      </w:r>
      <w:r>
        <w:rPr/>
        <w:t>);</w:t>
      </w:r>
      <w:r>
        <w:rPr>
          <w:spacing w:val="-5"/>
        </w:rPr>
        <w:t> </w:t>
      </w:r>
      <w:r>
        <w:rPr/>
        <w:t>AWP</w:t>
      </w:r>
      <w:r>
        <w:rPr>
          <w:spacing w:val="-6"/>
        </w:rPr>
        <w:t> </w:t>
      </w:r>
      <w:r>
        <w:rPr/>
        <w:t>leads</w:t>
      </w:r>
      <w:r>
        <w:rPr>
          <w:spacing w:val="-6"/>
        </w:rPr>
        <w:t> </w:t>
      </w:r>
      <w:r>
        <w:rPr/>
        <w:t>on</w:t>
      </w:r>
      <w:r>
        <w:rPr>
          <w:spacing w:val="-6"/>
        </w:rPr>
        <w:t> </w:t>
      </w:r>
      <w:r>
        <w:rPr/>
        <w:t>transfer</w:t>
      </w:r>
      <w:r>
        <w:rPr>
          <w:spacing w:val="-6"/>
        </w:rPr>
        <w:t> </w:t>
      </w:r>
      <w:r>
        <w:rPr/>
        <w:t>proxies</w:t>
      </w:r>
      <w:r>
        <w:rPr>
          <w:spacing w:val="-6"/>
        </w:rPr>
        <w:t> </w:t>
      </w:r>
      <w:r>
        <w:rPr/>
        <w:t>(</w:t>
      </w:r>
      <w:r>
        <w:rPr>
          <w:rFonts w:ascii="Calibri" w:hAnsi="Calibri"/>
          <w:i/>
        </w:rPr>
        <w:t>τ</w:t>
      </w:r>
      <w:r>
        <w:rPr>
          <w:rFonts w:ascii="Calibri" w:hAnsi="Calibri"/>
          <w:i/>
          <w:w w:val="125"/>
        </w:rPr>
        <w:t> </w:t>
      </w:r>
      <w:r>
        <w:rPr>
          <w:rFonts w:ascii="Calibri" w:hAnsi="Calibri"/>
          <w:w w:val="125"/>
        </w:rPr>
        <w:t>=</w:t>
      </w:r>
      <w:r>
        <w:rPr>
          <w:rFonts w:ascii="Calibri" w:hAnsi="Calibri"/>
          <w:spacing w:val="-7"/>
          <w:w w:val="125"/>
        </w:rPr>
        <w:t> </w:t>
      </w:r>
      <w:r>
        <w:rPr>
          <w:rFonts w:ascii="Calibri" w:hAnsi="Calibri"/>
        </w:rPr>
        <w:t>0</w:t>
      </w:r>
      <w:r>
        <w:rPr>
          <w:rFonts w:ascii="Calibri" w:hAnsi="Calibri"/>
          <w:i/>
        </w:rPr>
        <w:t>.</w:t>
      </w:r>
      <w:r>
        <w:rPr>
          <w:rFonts w:ascii="Calibri" w:hAnsi="Calibri"/>
        </w:rPr>
        <w:t>534 </w:t>
      </w:r>
      <w:r>
        <w:rPr/>
        <w:t>ver-sus</w:t>
      </w:r>
      <w:r>
        <w:rPr>
          <w:spacing w:val="-7"/>
        </w:rPr>
        <w:t> </w:t>
      </w:r>
      <w:r>
        <w:rPr/>
        <w:t>EndorseRank</w:t>
      </w:r>
      <w:r>
        <w:rPr>
          <w:spacing w:val="-6"/>
        </w:rPr>
        <w:t> </w:t>
      </w:r>
      <w:r>
        <w:rPr>
          <w:rFonts w:ascii="Calibri" w:hAnsi="Calibri"/>
        </w:rPr>
        <w:t>0</w:t>
      </w:r>
      <w:r>
        <w:rPr>
          <w:rFonts w:ascii="Calibri" w:hAnsi="Calibri"/>
          <w:i/>
        </w:rPr>
        <w:t>.</w:t>
      </w:r>
      <w:r>
        <w:rPr>
          <w:rFonts w:ascii="Calibri" w:hAnsi="Calibri"/>
        </w:rPr>
        <w:t>333</w:t>
      </w:r>
      <w:r>
        <w:rPr/>
        <w:t>)</w:t>
      </w:r>
      <w:r>
        <w:rPr>
          <w:spacing w:val="-7"/>
        </w:rPr>
        <w:t> </w:t>
      </w:r>
      <w:r>
        <w:rPr/>
        <w:t>and</w:t>
      </w:r>
      <w:r>
        <w:rPr>
          <w:spacing w:val="-7"/>
        </w:rPr>
        <w:t> </w:t>
      </w:r>
      <w:r>
        <w:rPr/>
        <w:t>on</w:t>
      </w:r>
      <w:r>
        <w:rPr>
          <w:spacing w:val="-7"/>
        </w:rPr>
        <w:t> </w:t>
      </w:r>
      <w:r>
        <w:rPr/>
        <w:t>most</w:t>
      </w:r>
      <w:r>
        <w:rPr>
          <w:spacing w:val="-7"/>
        </w:rPr>
        <w:t> </w:t>
      </w:r>
      <w:r>
        <w:rPr/>
        <w:t>social-outcome</w:t>
      </w:r>
      <w:r>
        <w:rPr>
          <w:spacing w:val="-7"/>
        </w:rPr>
        <w:t> </w:t>
      </w:r>
      <w:r>
        <w:rPr/>
        <w:t>families.</w:t>
      </w:r>
      <w:r>
        <w:rPr>
          <w:spacing w:val="17"/>
        </w:rPr>
        <w:t> </w:t>
      </w:r>
      <w:r>
        <w:rPr/>
        <w:t>On</w:t>
      </w:r>
      <w:r>
        <w:rPr>
          <w:spacing w:val="-7"/>
        </w:rPr>
        <w:t> </w:t>
      </w:r>
      <w:r>
        <w:rPr/>
        <w:t>trading-success</w:t>
      </w:r>
      <w:r>
        <w:rPr>
          <w:spacing w:val="-7"/>
        </w:rPr>
        <w:t> </w:t>
      </w:r>
      <w:r>
        <w:rPr/>
        <w:t>proxies</w:t>
      </w:r>
      <w:r>
        <w:rPr>
          <w:spacing w:val="-6"/>
        </w:rPr>
        <w:t> </w:t>
      </w:r>
      <w:r>
        <w:rPr>
          <w:spacing w:val="-2"/>
        </w:rPr>
        <w:t>specif-</w:t>
      </w:r>
    </w:p>
    <w:p>
      <w:pPr>
        <w:pStyle w:val="BodyText"/>
        <w:spacing w:line="340" w:lineRule="auto" w:before="24"/>
        <w:ind w:left="282" w:right="524"/>
        <w:jc w:val="both"/>
      </w:pPr>
      <w:r>
        <w:rPr>
          <w:i/>
        </w:rPr>
        <w:t>사회적 방법 정렬(RQ2)에서는 구성별 승자가 나타납니다. EndorseRank는 수당 프록시(τ = 0.355 대 AWP -0.030)에서 선두이고, AWP는 이전 프록시(τ = 0.534 대 EndorseRank 0.333)와 대부분의 사회적 결과 가족에서 선두입니다. 거래 성공 프록시에 대한 구체적인 내용은 다음과 같습니다.</w:t>
      </w:r>
    </w:p>
    <w:p>
      <w:pPr>
        <w:pStyle w:val="BodyText"/>
        <w:spacing w:line="376" w:lineRule="auto" w:before="34"/>
        <w:ind w:left="282" w:right="524"/>
        <w:jc w:val="both"/>
      </w:pPr>
      <w:r>
        <w:rPr/>
        <w:t>ically, AWP exceeds EndorseRank (</w:t>
      </w:r>
      <w:r>
        <w:rPr>
          <w:rFonts w:ascii="Calibri" w:hAnsi="Calibri"/>
          <w:i/>
        </w:rPr>
        <w:t>τ</w:t>
      </w:r>
      <w:r>
        <w:rPr>
          <w:rFonts w:ascii="Calibri" w:hAnsi="Calibri"/>
          <w:i/>
          <w:spacing w:val="40"/>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179 </w:t>
      </w:r>
      <w:r>
        <w:rPr/>
        <w:t>versus </w:t>
      </w:r>
      <w:r>
        <w:rPr>
          <w:rFonts w:ascii="Calibri" w:hAnsi="Calibri"/>
        </w:rPr>
        <w:t>0</w:t>
      </w:r>
      <w:r>
        <w:rPr>
          <w:rFonts w:ascii="Calibri" w:hAnsi="Calibri"/>
          <w:i/>
        </w:rPr>
        <w:t>.</w:t>
      </w:r>
      <w:r>
        <w:rPr>
          <w:rFonts w:ascii="Calibri" w:hAnsi="Calibri"/>
        </w:rPr>
        <w:t>096</w:t>
      </w:r>
      <w:r>
        <w:rPr/>
        <w:t>).</w:t>
      </w:r>
      <w:r>
        <w:rPr>
          <w:spacing w:val="40"/>
        </w:rPr>
        <w:t> </w:t>
      </w:r>
      <w:r>
        <w:rPr/>
        <w:t>H2 is supported in its construct-specific form: neither social method universally dominates.</w:t>
      </w:r>
    </w:p>
    <w:p>
      <w:pPr>
        <w:pStyle w:val="BodyText"/>
        <w:spacing w:line="376" w:lineRule="auto" w:before="34"/>
        <w:ind w:left="282" w:right="524"/>
        <w:jc w:val="both"/>
      </w:pPr>
      <w:r>
        <w:rPr>
          <w:i/>
        </w:rPr>
        <w:t>실제로 AWP는 EndorseRank를 초과합니다(τ = 0.179 대 0.096). H2는 구조별 형태로 지원됩니다. 즉, 사회적 방법이 보편적으로 지배적이지는 않습니다.</w:t>
      </w:r>
    </w:p>
    <w:p>
      <w:pPr>
        <w:pStyle w:val="BodyText"/>
        <w:spacing w:before="37"/>
        <w:ind w:left="282"/>
        <w:jc w:val="both"/>
      </w:pPr>
      <w:r>
        <w:rPr/>
        <w:t>On</w:t>
      </w:r>
      <w:r>
        <w:rPr>
          <w:spacing w:val="13"/>
        </w:rPr>
        <w:t> </w:t>
      </w:r>
      <w:r>
        <w:rPr/>
        <w:t>computational</w:t>
      </w:r>
      <w:r>
        <w:rPr>
          <w:spacing w:val="13"/>
        </w:rPr>
        <w:t> </w:t>
      </w:r>
      <w:r>
        <w:rPr/>
        <w:t>efficiency</w:t>
      </w:r>
      <w:r>
        <w:rPr>
          <w:spacing w:val="14"/>
        </w:rPr>
        <w:t> </w:t>
      </w:r>
      <w:r>
        <w:rPr/>
        <w:t>(RQ3),</w:t>
      </w:r>
      <w:r>
        <w:rPr>
          <w:spacing w:val="19"/>
        </w:rPr>
        <w:t> </w:t>
      </w:r>
      <w:r>
        <w:rPr/>
        <w:t>EndorseRank</w:t>
      </w:r>
      <w:r>
        <w:rPr>
          <w:spacing w:val="13"/>
        </w:rPr>
        <w:t> </w:t>
      </w:r>
      <w:r>
        <w:rPr/>
        <w:t>requires</w:t>
      </w:r>
      <w:r>
        <w:rPr>
          <w:spacing w:val="13"/>
        </w:rPr>
        <w:t> </w:t>
      </w:r>
      <w:r>
        <w:rPr/>
        <w:t>less</w:t>
      </w:r>
      <w:r>
        <w:rPr>
          <w:spacing w:val="14"/>
        </w:rPr>
        <w:t> </w:t>
      </w:r>
      <w:r>
        <w:rPr/>
        <w:t>PageRank</w:t>
      </w:r>
      <w:r>
        <w:rPr>
          <w:spacing w:val="13"/>
        </w:rPr>
        <w:t> </w:t>
      </w:r>
      <w:r>
        <w:rPr/>
        <w:t>wall-clock</w:t>
      </w:r>
      <w:r>
        <w:rPr>
          <w:spacing w:val="14"/>
        </w:rPr>
        <w:t> </w:t>
      </w:r>
      <w:r>
        <w:rPr/>
        <w:t>time</w:t>
      </w:r>
      <w:r>
        <w:rPr>
          <w:spacing w:val="13"/>
        </w:rPr>
        <w:t> </w:t>
      </w:r>
      <w:r>
        <w:rPr>
          <w:spacing w:val="-4"/>
        </w:rPr>
        <w:t>than</w:t>
      </w:r>
    </w:p>
    <w:p>
      <w:pPr>
        <w:pStyle w:val="BodyText"/>
        <w:spacing w:before="37"/>
        <w:ind w:left="282"/>
        <w:jc w:val="both"/>
      </w:pPr>
      <w:r>
        <w:rPr>
          <w:i/>
        </w:rPr>
        <w:t>계산 효율성(RQ3)에서 EndorseRank는 PageRank보다 더 적은 벽시계 시간을 필요로 합니다.</w:t>
      </w:r>
    </w:p>
    <w:p>
      <w:pPr>
        <w:pStyle w:val="BodyText"/>
        <w:spacing w:after="0"/>
        <w:jc w:val="both"/>
        <w:sectPr>
          <w:pgSz w:w="11910" w:h="16840"/>
          <w:pgMar w:header="0" w:footer="2115" w:top="1920" w:bottom="2300" w:left="992" w:right="708"/>
        </w:sectPr>
      </w:pPr>
    </w:p>
    <w:p>
      <w:pPr>
        <w:pStyle w:val="BodyText"/>
        <w:spacing w:line="345" w:lineRule="auto" w:before="68"/>
        <w:ind w:left="276" w:right="564" w:hanging="3"/>
        <w:jc w:val="both"/>
      </w:pPr>
      <w:r>
        <w:rPr/>
        <w:t>AWP</w:t>
      </w:r>
      <w:r>
        <w:rPr>
          <w:spacing w:val="-1"/>
        </w:rPr>
        <w:t> </w:t>
      </w:r>
      <w:r>
        <w:rPr/>
        <w:t>on the matched cohort and on the expanded wallet pool.</w:t>
      </w:r>
      <w:r>
        <w:rPr>
          <w:spacing w:val="23"/>
        </w:rPr>
        <w:t> </w:t>
      </w:r>
      <w:r>
        <w:rPr/>
        <w:t>At </w:t>
      </w:r>
      <w:r>
        <w:rPr>
          <w:rFonts w:ascii="Calibri" w:hAnsi="Calibri"/>
          <w:i/>
        </w:rPr>
        <w:t>n </w:t>
      </w:r>
      <w:r>
        <w:rPr>
          <w:rFonts w:ascii="Calibri" w:hAnsi="Calibri"/>
        </w:rPr>
        <w:t>= 5</w:t>
      </w:r>
      <w:r>
        <w:rPr>
          <w:rFonts w:ascii="Calibri" w:hAnsi="Calibri"/>
          <w:i/>
        </w:rPr>
        <w:t>,</w:t>
      </w:r>
      <w:r>
        <w:rPr>
          <w:rFonts w:ascii="Calibri" w:hAnsi="Calibri"/>
        </w:rPr>
        <w:t>521</w:t>
      </w:r>
      <w:r>
        <w:rPr/>
        <w:t>, runtimes are </w:t>
      </w:r>
      <w:r>
        <w:rPr>
          <w:rFonts w:ascii="Calibri" w:hAnsi="Calibri"/>
        </w:rPr>
        <w:t>2</w:t>
      </w:r>
      <w:r>
        <w:rPr>
          <w:rFonts w:ascii="Calibri" w:hAnsi="Calibri"/>
          <w:i/>
        </w:rPr>
        <w:t>.</w:t>
      </w:r>
      <w:r>
        <w:rPr>
          <w:rFonts w:ascii="Calibri" w:hAnsi="Calibri"/>
        </w:rPr>
        <w:t>105</w:t>
      </w:r>
      <w:r>
        <w:rPr>
          <w:rFonts w:ascii="Calibri" w:hAnsi="Calibri"/>
          <w:spacing w:val="-14"/>
        </w:rPr>
        <w:t> </w:t>
      </w:r>
      <w:r>
        <w:rPr/>
        <w:t>s versus</w:t>
      </w:r>
      <w:r>
        <w:rPr>
          <w:spacing w:val="2"/>
        </w:rPr>
        <w:t> </w:t>
      </w:r>
      <w:r>
        <w:rPr>
          <w:rFonts w:ascii="Calibri" w:hAnsi="Calibri"/>
        </w:rPr>
        <w:t>18</w:t>
      </w:r>
      <w:r>
        <w:rPr>
          <w:rFonts w:ascii="Calibri" w:hAnsi="Calibri"/>
          <w:i/>
        </w:rPr>
        <w:t>.</w:t>
      </w:r>
      <w:r>
        <w:rPr>
          <w:rFonts w:ascii="Calibri" w:hAnsi="Calibri"/>
        </w:rPr>
        <w:t>711</w:t>
      </w:r>
      <w:r>
        <w:rPr>
          <w:rFonts w:ascii="Calibri" w:hAnsi="Calibri"/>
          <w:spacing w:val="-14"/>
        </w:rPr>
        <w:t> </w:t>
      </w:r>
      <w:r>
        <w:rPr/>
        <w:t>s</w:t>
      </w:r>
      <w:r>
        <w:rPr>
          <w:spacing w:val="3"/>
        </w:rPr>
        <w:t> </w:t>
      </w:r>
      <w:r>
        <w:rPr/>
        <w:t>(</w:t>
      </w:r>
      <w:r>
        <w:rPr>
          <w:rFonts w:ascii="Lucida Sans Unicode" w:hAnsi="Lucida Sans Unicode"/>
        </w:rPr>
        <w:t>≈</w:t>
      </w:r>
      <w:r>
        <w:rPr>
          <w:rFonts w:ascii="Lucida Sans Unicode" w:hAnsi="Lucida Sans Unicode"/>
          <w:spacing w:val="4"/>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t>).</w:t>
      </w:r>
      <w:r>
        <w:rPr>
          <w:spacing w:val="38"/>
        </w:rPr>
        <w:t> </w:t>
      </w:r>
      <w:r>
        <w:rPr/>
        <w:t>Pool</w:t>
      </w:r>
      <w:r>
        <w:rPr>
          <w:spacing w:val="4"/>
        </w:rPr>
        <w:t> </w:t>
      </w:r>
      <w:r>
        <w:rPr/>
        <w:t>scaling</w:t>
      </w:r>
      <w:r>
        <w:rPr>
          <w:spacing w:val="3"/>
        </w:rPr>
        <w:t> </w:t>
      </w:r>
      <w:r>
        <w:rPr/>
        <w:t>preserves</w:t>
      </w:r>
      <w:r>
        <w:rPr>
          <w:spacing w:val="4"/>
        </w:rPr>
        <w:t> </w:t>
      </w:r>
      <w:r>
        <w:rPr/>
        <w:t>the</w:t>
      </w:r>
      <w:r>
        <w:rPr>
          <w:spacing w:val="3"/>
        </w:rPr>
        <w:t> </w:t>
      </w:r>
      <w:r>
        <w:rPr/>
        <w:t>advantage</w:t>
      </w:r>
      <w:r>
        <w:rPr>
          <w:spacing w:val="4"/>
        </w:rPr>
        <w:t> </w:t>
      </w:r>
      <w:r>
        <w:rPr/>
        <w:t>at</w:t>
      </w:r>
      <w:r>
        <w:rPr>
          <w:spacing w:val="3"/>
        </w:rPr>
        <w:t> </w:t>
      </w:r>
      <w:r>
        <w:rPr>
          <w:rFonts w:ascii="Calibri" w:hAnsi="Calibri"/>
          <w:i/>
        </w:rPr>
        <w:t>n</w:t>
      </w:r>
      <w:r>
        <w:rPr>
          <w:rFonts w:ascii="Calibri" w:hAnsi="Calibri"/>
          <w:i/>
          <w:spacing w:val="26"/>
        </w:rPr>
        <w:t> </w:t>
      </w:r>
      <w:r>
        <w:rPr>
          <w:rFonts w:ascii="Calibri" w:hAnsi="Calibri"/>
        </w:rPr>
        <w:t>=</w:t>
      </w:r>
      <w:r>
        <w:rPr>
          <w:rFonts w:ascii="Calibri" w:hAnsi="Calibri"/>
          <w:spacing w:val="25"/>
        </w:rPr>
        <w:t> </w:t>
      </w:r>
      <w:r>
        <w:rPr>
          <w:rFonts w:ascii="Calibri" w:hAnsi="Calibri"/>
        </w:rPr>
        <w:t>10</w:t>
      </w:r>
      <w:r>
        <w:rPr>
          <w:rFonts w:ascii="Calibri" w:hAnsi="Calibri"/>
          <w:i/>
        </w:rPr>
        <w:t>,</w:t>
      </w:r>
      <w:r>
        <w:rPr>
          <w:rFonts w:ascii="Calibri" w:hAnsi="Calibri"/>
        </w:rPr>
        <w:t>000</w:t>
      </w:r>
      <w:r>
        <w:rPr>
          <w:rFonts w:ascii="Calibri" w:hAnsi="Calibri"/>
          <w:spacing w:val="10"/>
        </w:rPr>
        <w:t> </w:t>
      </w:r>
      <w:r>
        <w:rPr/>
        <w:t>(</w:t>
      </w:r>
      <w:r>
        <w:rPr>
          <w:rFonts w:ascii="Lucida Sans Unicode" w:hAnsi="Lucida Sans Unicode"/>
        </w:rPr>
        <w:t>≈</w:t>
      </w:r>
      <w:r>
        <w:rPr>
          <w:rFonts w:ascii="Lucida Sans Unicode" w:hAnsi="Lucida Sans Unicode"/>
          <w:spacing w:val="4"/>
        </w:rPr>
        <w:t> </w:t>
      </w:r>
      <w:r>
        <w:rPr>
          <w:rFonts w:ascii="Calibri" w:hAnsi="Calibri"/>
        </w:rPr>
        <w:t>10</w:t>
      </w:r>
      <w:r>
        <w:rPr>
          <w:rFonts w:ascii="Calibri" w:hAnsi="Calibri"/>
          <w:i/>
        </w:rPr>
        <w:t>.</w:t>
      </w:r>
      <w:r>
        <w:rPr>
          <w:rFonts w:ascii="Calibri" w:hAnsi="Calibri"/>
        </w:rPr>
        <w:t>4</w:t>
      </w:r>
      <w:r>
        <w:rPr>
          <w:rFonts w:ascii="Lucida Sans Unicode" w:hAnsi="Lucida Sans Unicode"/>
        </w:rPr>
        <w:t>×</w:t>
      </w:r>
      <w:r>
        <w:rPr/>
        <w:t>)</w:t>
      </w:r>
      <w:r>
        <w:rPr>
          <w:spacing w:val="3"/>
        </w:rPr>
        <w:t> </w:t>
      </w:r>
      <w:r>
        <w:rPr/>
        <w:t>and</w:t>
      </w:r>
      <w:r>
        <w:rPr>
          <w:spacing w:val="4"/>
        </w:rPr>
        <w:t> </w:t>
      </w:r>
      <w:r>
        <w:rPr>
          <w:spacing w:val="-5"/>
        </w:rPr>
        <w:t>at</w:t>
      </w:r>
    </w:p>
    <w:p>
      <w:pPr>
        <w:pStyle w:val="BodyText"/>
        <w:spacing w:line="345" w:lineRule="auto" w:before="68"/>
        <w:ind w:left="276" w:right="564" w:hanging="3"/>
        <w:jc w:val="both"/>
      </w:pPr>
      <w:r>
        <w:rPr>
          <w:i/>
        </w:rPr>
        <w:t>AWP 일치하는 코호트 및 확장된 지갑 풀에서. n = 5,521에서 실행 시간은 2.105초 대 18.711초(© 8.9×)입니다. 풀 스케일링은 n = 10,000(약 10.4×) 및</w:t>
      </w:r>
    </w:p>
    <w:p>
      <w:pPr>
        <w:pStyle w:val="BodyText"/>
        <w:spacing w:line="294" w:lineRule="exact"/>
        <w:ind w:left="282"/>
        <w:jc w:val="both"/>
      </w:pPr>
      <w:r>
        <w:rPr>
          <w:rFonts w:ascii="Calibri" w:hAnsi="Calibri"/>
          <w:i/>
        </w:rPr>
        <w:t>N</w:t>
      </w:r>
      <w:r>
        <w:rPr>
          <w:rFonts w:ascii="Calibri" w:hAnsi="Calibri"/>
          <w:i/>
          <w:spacing w:val="50"/>
        </w:rPr>
        <w:t> </w:t>
      </w:r>
      <w:r>
        <w:rPr>
          <w:rFonts w:ascii="Calibri" w:hAnsi="Calibri"/>
        </w:rPr>
        <w:t>=</w:t>
      </w:r>
      <w:r>
        <w:rPr>
          <w:rFonts w:ascii="Calibri" w:hAnsi="Calibri"/>
          <w:spacing w:val="25"/>
        </w:rPr>
        <w:t> </w:t>
      </w:r>
      <w:r>
        <w:rPr>
          <w:rFonts w:ascii="Calibri" w:hAnsi="Calibri"/>
        </w:rPr>
        <w:t>31</w:t>
      </w:r>
      <w:r>
        <w:rPr>
          <w:rFonts w:ascii="Calibri" w:hAnsi="Calibri"/>
          <w:i/>
        </w:rPr>
        <w:t>,</w:t>
      </w:r>
      <w:r>
        <w:rPr>
          <w:rFonts w:ascii="Calibri" w:hAnsi="Calibri"/>
        </w:rPr>
        <w:t>612</w:t>
      </w:r>
      <w:r>
        <w:rPr>
          <w:rFonts w:ascii="Calibri" w:hAnsi="Calibri"/>
          <w:spacing w:val="12"/>
        </w:rPr>
        <w:t> </w:t>
      </w:r>
      <w:r>
        <w:rPr/>
        <w:t>(</w:t>
      </w:r>
      <w:r>
        <w:rPr>
          <w:rFonts w:ascii="Lucida Sans Unicode" w:hAnsi="Lucida Sans Unicode"/>
        </w:rPr>
        <w:t>≈</w:t>
      </w:r>
      <w:r>
        <w:rPr>
          <w:rFonts w:ascii="Lucida Sans Unicode" w:hAnsi="Lucida Sans Unicode"/>
          <w:spacing w:val="4"/>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t>).</w:t>
      </w:r>
      <w:r>
        <w:rPr>
          <w:spacing w:val="39"/>
        </w:rPr>
        <w:t> </w:t>
      </w:r>
      <w:r>
        <w:rPr/>
        <w:t>Robustness</w:t>
      </w:r>
      <w:r>
        <w:rPr>
          <w:spacing w:val="5"/>
        </w:rPr>
        <w:t> </w:t>
      </w:r>
      <w:r>
        <w:rPr/>
        <w:t>checks</w:t>
      </w:r>
      <w:r>
        <w:rPr>
          <w:spacing w:val="5"/>
        </w:rPr>
        <w:t> </w:t>
      </w:r>
      <w:r>
        <w:rPr/>
        <w:t>on</w:t>
      </w:r>
      <w:r>
        <w:rPr>
          <w:spacing w:val="5"/>
        </w:rPr>
        <w:t> </w:t>
      </w:r>
      <w:r>
        <w:rPr/>
        <w:t>damping</w:t>
      </w:r>
      <w:r>
        <w:rPr>
          <w:spacing w:val="5"/>
        </w:rPr>
        <w:t> </w:t>
      </w:r>
      <w:r>
        <w:rPr/>
        <w:t>and</w:t>
      </w:r>
      <w:r>
        <w:rPr>
          <w:spacing w:val="6"/>
        </w:rPr>
        <w:t> </w:t>
      </w:r>
      <w:r>
        <w:rPr/>
        <w:t>top-token</w:t>
      </w:r>
      <w:r>
        <w:rPr>
          <w:spacing w:val="4"/>
        </w:rPr>
        <w:t> </w:t>
      </w:r>
      <w:r>
        <w:rPr/>
        <w:t>subgraphs</w:t>
      </w:r>
      <w:r>
        <w:rPr>
          <w:spacing w:val="6"/>
        </w:rPr>
        <w:t> </w:t>
      </w:r>
      <w:r>
        <w:rPr/>
        <w:t>do</w:t>
      </w:r>
      <w:r>
        <w:rPr>
          <w:spacing w:val="4"/>
        </w:rPr>
        <w:t> </w:t>
      </w:r>
      <w:r>
        <w:rPr/>
        <w:t>not</w:t>
      </w:r>
      <w:r>
        <w:rPr>
          <w:spacing w:val="6"/>
        </w:rPr>
        <w:t> </w:t>
      </w:r>
      <w:r>
        <w:rPr>
          <w:spacing w:val="-2"/>
        </w:rPr>
        <w:t>overturn</w:t>
      </w:r>
    </w:p>
    <w:p>
      <w:pPr>
        <w:pStyle w:val="BodyText"/>
        <w:spacing w:line="294" w:lineRule="exact"/>
        <w:ind w:left="282"/>
        <w:jc w:val="both"/>
      </w:pPr>
      <w:r>
        <w:rPr>
          <w:i/>
        </w:rPr>
        <w:t>N = 31,612(≒ 9.4×). 댐핑 및 상위 토큰 하위 그래프에 대한 견고성 검사가 뒤집히지 않습니다.</w:t>
      </w:r>
    </w:p>
    <w:p>
      <w:pPr>
        <w:pStyle w:val="BodyText"/>
        <w:spacing w:line="396" w:lineRule="auto" w:before="127"/>
        <w:ind w:left="282" w:right="563"/>
        <w:jc w:val="both"/>
      </w:pPr>
      <w:r>
        <w:rPr/>
        <w:t>the</w:t>
      </w:r>
      <w:r>
        <w:rPr>
          <w:spacing w:val="-15"/>
        </w:rPr>
        <w:t> </w:t>
      </w:r>
      <w:r>
        <w:rPr/>
        <w:t>efficiency–alignment</w:t>
      </w:r>
      <w:r>
        <w:rPr>
          <w:spacing w:val="-15"/>
        </w:rPr>
        <w:t> </w:t>
      </w:r>
      <w:r>
        <w:rPr/>
        <w:t>pattern.</w:t>
      </w:r>
      <w:r>
        <w:rPr>
          <w:spacing w:val="7"/>
        </w:rPr>
        <w:t> </w:t>
      </w:r>
      <w:r>
        <w:rPr/>
        <w:t>H3</w:t>
      </w:r>
      <w:r>
        <w:rPr>
          <w:spacing w:val="-15"/>
        </w:rPr>
        <w:t> </w:t>
      </w:r>
      <w:r>
        <w:rPr/>
        <w:t>is</w:t>
      </w:r>
      <w:r>
        <w:rPr>
          <w:spacing w:val="-15"/>
        </w:rPr>
        <w:t> </w:t>
      </w:r>
      <w:r>
        <w:rPr/>
        <w:t>supported</w:t>
      </w:r>
      <w:r>
        <w:rPr>
          <w:spacing w:val="-15"/>
        </w:rPr>
        <w:t> </w:t>
      </w:r>
      <w:r>
        <w:rPr/>
        <w:t>(Claim</w:t>
      </w:r>
      <w:r>
        <w:rPr>
          <w:spacing w:val="-15"/>
        </w:rPr>
        <w:t> </w:t>
      </w:r>
      <w:r>
        <w:rPr/>
        <w:t>C1);</w:t>
      </w:r>
      <w:r>
        <w:rPr>
          <w:spacing w:val="-13"/>
        </w:rPr>
        <w:t> </w:t>
      </w:r>
      <w:r>
        <w:rPr/>
        <w:t>together</w:t>
      </w:r>
      <w:r>
        <w:rPr>
          <w:spacing w:val="-15"/>
        </w:rPr>
        <w:t> </w:t>
      </w:r>
      <w:r>
        <w:rPr/>
        <w:t>with</w:t>
      </w:r>
      <w:r>
        <w:rPr>
          <w:spacing w:val="-15"/>
        </w:rPr>
        <w:t> </w:t>
      </w:r>
      <w:r>
        <w:rPr/>
        <w:t>alignment</w:t>
      </w:r>
      <w:r>
        <w:rPr>
          <w:spacing w:val="-15"/>
        </w:rPr>
        <w:t> </w:t>
      </w:r>
      <w:r>
        <w:rPr/>
        <w:t>results,</w:t>
      </w:r>
      <w:r>
        <w:rPr>
          <w:spacing w:val="-14"/>
        </w:rPr>
        <w:t> </w:t>
      </w:r>
      <w:r>
        <w:rPr/>
        <w:t>this feeds Claim C4.</w:t>
      </w:r>
    </w:p>
    <w:p>
      <w:pPr>
        <w:pStyle w:val="BodyText"/>
        <w:spacing w:line="396" w:lineRule="auto" w:before="127"/>
        <w:ind w:left="282" w:right="563"/>
        <w:jc w:val="both"/>
      </w:pPr>
      <w:r>
        <w:rPr>
          <w:i/>
        </w:rPr>
        <w:t>효율성 정렬 패턴. H3이 지원됩니다(클레임 C1). 이는 정렬 결과와 함께 클레임 C4를 제공합니다.</w:t>
      </w:r>
    </w:p>
    <w:p>
      <w:pPr>
        <w:pStyle w:val="BodyText"/>
        <w:spacing w:line="396" w:lineRule="auto" w:before="15"/>
        <w:ind w:left="282" w:right="564"/>
        <w:jc w:val="both"/>
      </w:pPr>
      <w:r>
        <w:rPr/>
        <w:t>On validation frames (RQ4), transfer proxies yield stronger rank alignment than trading-success proxies</w:t>
      </w:r>
      <w:r>
        <w:rPr>
          <w:spacing w:val="-7"/>
        </w:rPr>
        <w:t> </w:t>
      </w:r>
      <w:r>
        <w:rPr/>
        <w:t>for</w:t>
      </w:r>
      <w:r>
        <w:rPr>
          <w:spacing w:val="-7"/>
        </w:rPr>
        <w:t> </w:t>
      </w:r>
      <w:r>
        <w:rPr/>
        <w:t>both</w:t>
      </w:r>
      <w:r>
        <w:rPr>
          <w:spacing w:val="-7"/>
        </w:rPr>
        <w:t> </w:t>
      </w:r>
      <w:r>
        <w:rPr/>
        <w:t>social</w:t>
      </w:r>
      <w:r>
        <w:rPr>
          <w:spacing w:val="-7"/>
        </w:rPr>
        <w:t> </w:t>
      </w:r>
      <w:r>
        <w:rPr/>
        <w:t>methods. Outcome-based</w:t>
      </w:r>
      <w:r>
        <w:rPr>
          <w:spacing w:val="-7"/>
        </w:rPr>
        <w:t> </w:t>
      </w:r>
      <w:r>
        <w:rPr/>
        <w:t>proxies</w:t>
      </w:r>
      <w:r>
        <w:rPr>
          <w:spacing w:val="-7"/>
        </w:rPr>
        <w:t> </w:t>
      </w:r>
      <w:r>
        <w:rPr/>
        <w:t>show</w:t>
      </w:r>
      <w:r>
        <w:rPr>
          <w:spacing w:val="-7"/>
        </w:rPr>
        <w:t> </w:t>
      </w:r>
      <w:r>
        <w:rPr/>
        <w:t>weak</w:t>
      </w:r>
      <w:r>
        <w:rPr>
          <w:spacing w:val="-7"/>
        </w:rPr>
        <w:t> </w:t>
      </w:r>
      <w:r>
        <w:rPr/>
        <w:t>alignment</w:t>
      </w:r>
      <w:r>
        <w:rPr>
          <w:spacing w:val="-7"/>
        </w:rPr>
        <w:t> </w:t>
      </w:r>
      <w:r>
        <w:rPr/>
        <w:t>overall,</w:t>
      </w:r>
      <w:r>
        <w:rPr>
          <w:spacing w:val="-7"/>
        </w:rPr>
        <w:t> </w:t>
      </w:r>
      <w:r>
        <w:rPr/>
        <w:t>indicating that</w:t>
      </w:r>
      <w:r>
        <w:rPr>
          <w:spacing w:val="-15"/>
        </w:rPr>
        <w:t> </w:t>
      </w:r>
      <w:r>
        <w:rPr/>
        <w:t>social-method</w:t>
      </w:r>
      <w:r>
        <w:rPr>
          <w:spacing w:val="-15"/>
        </w:rPr>
        <w:t> </w:t>
      </w:r>
      <w:r>
        <w:rPr/>
        <w:t>rankings</w:t>
      </w:r>
      <w:r>
        <w:rPr>
          <w:spacing w:val="-15"/>
        </w:rPr>
        <w:t> </w:t>
      </w:r>
      <w:r>
        <w:rPr/>
        <w:t>align</w:t>
      </w:r>
      <w:r>
        <w:rPr>
          <w:spacing w:val="-15"/>
        </w:rPr>
        <w:t> </w:t>
      </w:r>
      <w:r>
        <w:rPr/>
        <w:t>more</w:t>
      </w:r>
      <w:r>
        <w:rPr>
          <w:spacing w:val="-15"/>
        </w:rPr>
        <w:t> </w:t>
      </w:r>
      <w:r>
        <w:rPr/>
        <w:t>strongly</w:t>
      </w:r>
      <w:r>
        <w:rPr>
          <w:spacing w:val="-15"/>
        </w:rPr>
        <w:t> </w:t>
      </w:r>
      <w:r>
        <w:rPr/>
        <w:t>with</w:t>
      </w:r>
      <w:r>
        <w:rPr>
          <w:spacing w:val="-15"/>
        </w:rPr>
        <w:t> </w:t>
      </w:r>
      <w:r>
        <w:rPr/>
        <w:t>transfer</w:t>
      </w:r>
      <w:r>
        <w:rPr>
          <w:spacing w:val="-15"/>
        </w:rPr>
        <w:t> </w:t>
      </w:r>
      <w:r>
        <w:rPr/>
        <w:t>centrality</w:t>
      </w:r>
      <w:r>
        <w:rPr>
          <w:spacing w:val="-15"/>
        </w:rPr>
        <w:t> </w:t>
      </w:r>
      <w:r>
        <w:rPr/>
        <w:t>than</w:t>
      </w:r>
      <w:r>
        <w:rPr>
          <w:spacing w:val="-15"/>
        </w:rPr>
        <w:t> </w:t>
      </w:r>
      <w:r>
        <w:rPr/>
        <w:t>with</w:t>
      </w:r>
      <w:r>
        <w:rPr>
          <w:spacing w:val="-15"/>
        </w:rPr>
        <w:t> </w:t>
      </w:r>
      <w:r>
        <w:rPr/>
        <w:t>perpetual</w:t>
      </w:r>
      <w:r>
        <w:rPr>
          <w:spacing w:val="-15"/>
        </w:rPr>
        <w:t> </w:t>
      </w:r>
      <w:r>
        <w:rPr/>
        <w:t>trading profitability on this sample.</w:t>
      </w:r>
    </w:p>
    <w:p>
      <w:pPr>
        <w:pStyle w:val="BodyText"/>
        <w:spacing w:line="396" w:lineRule="auto" w:before="15"/>
        <w:ind w:left="282" w:right="564"/>
        <w:jc w:val="both"/>
      </w:pPr>
      <w:r>
        <w:rPr>
          <w:i/>
        </w:rPr>
        <w:t>검증 프레임(RQ4)에서 전송 프록시는 두 소셜 방법 모두에서 거래 성공 프록시보다 더 강력한 순위 정렬을 생성합니다. 결과 기반 프록시는 전반적으로 약한 정렬을 보여주며, 이는 이 샘플에서 사회적 방법 순위가 영구 거래 수익성보다 전송 중심성과 더 강하게 정렬됨을 나타냅니다.</w:t>
      </w:r>
    </w:p>
    <w:p>
      <w:pPr>
        <w:pStyle w:val="BodyText"/>
        <w:spacing w:line="384" w:lineRule="auto" w:before="14"/>
        <w:ind w:left="282" w:right="548" w:hanging="9"/>
        <w:jc w:val="both"/>
      </w:pPr>
      <w:r>
        <w:rPr/>
        <w:t>As a supplementary finding (SRQ1), GF-PR achieves the highest trading-success mean </w:t>
      </w:r>
      <w:r>
        <w:rPr>
          <w:rFonts w:ascii="Calibri" w:hAnsi="Calibri"/>
          <w:i/>
        </w:rPr>
        <w:t>τ</w:t>
      </w:r>
      <w:r>
        <w:rPr>
          <w:rFonts w:ascii="Calibri" w:hAnsi="Calibri"/>
          <w:i/>
          <w:spacing w:val="31"/>
        </w:rPr>
        <w:t> </w:t>
      </w:r>
      <w:r>
        <w:rPr/>
        <w:t>(</w:t>
      </w:r>
      <w:r>
        <w:rPr>
          <w:rFonts w:ascii="Calibri" w:hAnsi="Calibri"/>
        </w:rPr>
        <w:t>0</w:t>
      </w:r>
      <w:r>
        <w:rPr>
          <w:rFonts w:ascii="Calibri" w:hAnsi="Calibri"/>
          <w:i/>
        </w:rPr>
        <w:t>.</w:t>
      </w:r>
      <w:r>
        <w:rPr>
          <w:rFonts w:ascii="Calibri" w:hAnsi="Calibri"/>
        </w:rPr>
        <w:t>583</w:t>
      </w:r>
      <w:r>
        <w:rPr/>
        <w:t>) and inverse-risk mean </w:t>
      </w:r>
      <w:r>
        <w:rPr>
          <w:rFonts w:ascii="Calibri" w:hAnsi="Calibri"/>
          <w:i/>
        </w:rPr>
        <w:t>τ</w:t>
      </w:r>
      <w:r>
        <w:rPr>
          <w:rFonts w:ascii="Calibri" w:hAnsi="Calibri"/>
          <w:i/>
          <w:spacing w:val="40"/>
        </w:rPr>
        <w:t> </w:t>
      </w:r>
      <w:r>
        <w:rPr/>
        <w:t>(</w:t>
      </w:r>
      <w:r>
        <w:rPr>
          <w:rFonts w:ascii="Calibri" w:hAnsi="Calibri"/>
        </w:rPr>
        <w:t>0</w:t>
      </w:r>
      <w:r>
        <w:rPr>
          <w:rFonts w:ascii="Calibri" w:hAnsi="Calibri"/>
          <w:i/>
        </w:rPr>
        <w:t>.</w:t>
      </w:r>
      <w:r>
        <w:rPr>
          <w:rFonts w:ascii="Calibri" w:hAnsi="Calibri"/>
        </w:rPr>
        <w:t>376</w:t>
      </w:r>
      <w:r>
        <w:rPr/>
        <w:t>) by construction, illustrating construct overlap when ranking on outcome</w:t>
      </w:r>
      <w:r>
        <w:rPr>
          <w:spacing w:val="-1"/>
        </w:rPr>
        <w:t> </w:t>
      </w:r>
      <w:r>
        <w:rPr/>
        <w:t>flow.</w:t>
      </w:r>
      <w:r>
        <w:rPr>
          <w:spacing w:val="24"/>
        </w:rPr>
        <w:t> </w:t>
      </w:r>
      <w:r>
        <w:rPr/>
        <w:t>GF-PR</w:t>
      </w:r>
      <w:r>
        <w:rPr>
          <w:spacing w:val="-1"/>
        </w:rPr>
        <w:t> </w:t>
      </w:r>
      <w:r>
        <w:rPr/>
        <w:t>bounds</w:t>
      </w:r>
      <w:r>
        <w:rPr>
          <w:spacing w:val="-1"/>
        </w:rPr>
        <w:t> </w:t>
      </w:r>
      <w:r>
        <w:rPr/>
        <w:t>trading-outcome</w:t>
      </w:r>
      <w:r>
        <w:rPr>
          <w:spacing w:val="-1"/>
        </w:rPr>
        <w:t> </w:t>
      </w:r>
      <w:r>
        <w:rPr/>
        <w:t>proxy</w:t>
      </w:r>
      <w:r>
        <w:rPr>
          <w:spacing w:val="-1"/>
        </w:rPr>
        <w:t> </w:t>
      </w:r>
      <w:r>
        <w:rPr/>
        <w:t>interpretation</w:t>
      </w:r>
      <w:r>
        <w:rPr>
          <w:spacing w:val="-1"/>
        </w:rPr>
        <w:t> </w:t>
      </w:r>
      <w:r>
        <w:rPr/>
        <w:t>for</w:t>
      </w:r>
      <w:r>
        <w:rPr>
          <w:spacing w:val="-1"/>
        </w:rPr>
        <w:t> </w:t>
      </w:r>
      <w:r>
        <w:rPr/>
        <w:t>social</w:t>
      </w:r>
      <w:r>
        <w:rPr>
          <w:spacing w:val="-1"/>
        </w:rPr>
        <w:t> </w:t>
      </w:r>
      <w:r>
        <w:rPr/>
        <w:t>methods</w:t>
      </w:r>
      <w:r>
        <w:rPr>
          <w:spacing w:val="-1"/>
        </w:rPr>
        <w:t> </w:t>
      </w:r>
      <w:r>
        <w:rPr/>
        <w:t>and</w:t>
      </w:r>
      <w:r>
        <w:rPr>
          <w:spacing w:val="-1"/>
        </w:rPr>
        <w:t> </w:t>
      </w:r>
      <w:r>
        <w:rPr/>
        <w:t>is</w:t>
      </w:r>
      <w:r>
        <w:rPr>
          <w:spacing w:val="-1"/>
        </w:rPr>
        <w:t> </w:t>
      </w:r>
      <w:r>
        <w:rPr/>
        <w:t>not a deployable social reputation score (Claim SC1).</w:t>
      </w:r>
    </w:p>
    <w:p>
      <w:pPr>
        <w:pStyle w:val="BodyText"/>
        <w:spacing w:line="384" w:lineRule="auto" w:before="14"/>
        <w:ind w:left="282" w:right="548" w:hanging="9"/>
        <w:jc w:val="both"/>
      </w:pPr>
      <w:r>
        <w:rPr>
          <w:i/>
        </w:rPr>
        <w:t>보충 조사 결과(SRQ1)로서 GF-PR은 구성을 통해 가장 높은 거래 성공 평균 τ(0.583)와 역위험 평균 τ(0.376)를 달성하여 결과 흐름에 순위를 매길 때 구성 중복을 보여줍니다. GF-PR은 사회적 방법에 대한 거래 결과 대리 해석의 범위를 제한하며 배포 가능한 사회적 평판 점수가 아닙니다(청구 SC1).</w:t>
      </w:r>
    </w:p>
    <w:p>
      <w:pPr>
        <w:pStyle w:val="BodyText"/>
        <w:spacing w:line="396" w:lineRule="auto" w:before="24"/>
        <w:ind w:left="282" w:right="559"/>
        <w:jc w:val="both"/>
      </w:pPr>
      <w:r>
        <w:rPr/>
        <w:t>Collectively, Claims C1–C4 establish an efficiency–alignment trade-off:</w:t>
      </w:r>
      <w:r>
        <w:rPr>
          <w:spacing w:val="40"/>
        </w:rPr>
        <w:t> </w:t>
      </w:r>
      <w:r>
        <w:rPr/>
        <w:t>EndorseRank offers substantially lower PageRank cost and stronger allowance-construct validity, while AWP offers stronger transfer and social-outcome alignment.</w:t>
      </w:r>
      <w:r>
        <w:rPr>
          <w:spacing w:val="40"/>
        </w:rPr>
        <w:t> </w:t>
      </w:r>
      <w:r>
        <w:rPr/>
        <w:t>The appropriate choice depends on whether operators prioritize authorization semantics and refresh latency or transfer-hub detection and </w:t>
      </w:r>
      <w:bookmarkStart w:name="Original contribution to knowledge" w:id="249"/>
      <w:bookmarkEnd w:id="249"/>
      <w:r>
        <w:rPr>
          <w:w w:val="99"/>
        </w:rPr>
      </w:r>
      <w:bookmarkStart w:name="_bookmark130" w:id="250"/>
      <w:bookmarkEnd w:id="250"/>
      <w:r>
        <w:rPr/>
        <w:t>outcome</w:t>
      </w:r>
      <w:r>
        <w:rPr/>
        <w:t> co-movement.</w:t>
      </w:r>
    </w:p>
    <w:p>
      <w:pPr>
        <w:pStyle w:val="BodyText"/>
        <w:spacing w:line="396" w:lineRule="auto" w:before="24"/>
        <w:ind w:left="282" w:right="559"/>
        <w:jc w:val="both"/>
      </w:pPr>
      <w:r>
        <w:rPr>
          <w:i/>
        </w:rPr>
        <w:t>종합적으로, 청구 C1~C4는 효율성-조정 균형을 설정합니다. EndorseRank는 상당히 낮은 PageRank 비용과 더 강력한 수당 구성 타당성을 제공하는 반면, AWP는 더 강력한 이전 및 사회적 결과 조정을 제공합니다. 적절한 선택은 운영자가 인증 의미 및 새로 고침 대기 시간 또는 전송 허브 감지 및 결과 공동 이동의 우선 순위를 정하는지 여부에 따라 달라집니다.</w:t>
      </w:r>
    </w:p>
    <w:p>
      <w:pPr>
        <w:pStyle w:val="BodyText"/>
        <w:spacing w:before="163"/>
      </w:pPr>
    </w:p>
    <w:p>
      <w:pPr>
        <w:pStyle w:val="Heading2"/>
        <w:numPr>
          <w:ilvl w:val="1"/>
          <w:numId w:val="8"/>
        </w:numPr>
        <w:tabs>
          <w:tab w:pos="783" w:val="left" w:leader="none"/>
        </w:tabs>
        <w:spacing w:line="240" w:lineRule="auto" w:before="0" w:after="0"/>
        <w:ind w:left="783" w:right="0" w:hanging="501"/>
        <w:jc w:val="left"/>
      </w:pPr>
      <w:r>
        <w:rPr/>
        <w:t>Original</w:t>
      </w:r>
      <w:r>
        <w:rPr>
          <w:spacing w:val="15"/>
        </w:rPr>
        <w:t> </w:t>
      </w:r>
      <w:r>
        <w:rPr/>
        <w:t>contribution</w:t>
      </w:r>
      <w:r>
        <w:rPr>
          <w:spacing w:val="16"/>
        </w:rPr>
        <w:t> </w:t>
      </w:r>
      <w:r>
        <w:rPr/>
        <w:t>to</w:t>
      </w:r>
      <w:r>
        <w:rPr>
          <w:spacing w:val="15"/>
        </w:rPr>
        <w:t> </w:t>
      </w:r>
      <w:r>
        <w:rPr>
          <w:spacing w:val="-2"/>
        </w:rPr>
        <w:t>knowledge</w:t>
      </w:r>
    </w:p>
    <w:p>
      <w:pPr>
        <w:pStyle w:val="Heading2"/>
        <w:numPr>
          <w:ilvl w:val="1"/>
          <w:numId w:val="8"/>
        </w:numPr>
        <w:tabs>
          <w:tab w:pos="783" w:val="left" w:leader="none"/>
        </w:tabs>
        <w:spacing w:line="240" w:lineRule="auto" w:before="0" w:after="0"/>
        <w:ind w:left="783" w:right="0" w:hanging="501"/>
        <w:jc w:val="left"/>
      </w:pPr>
      <w:r>
        <w:rPr>
          <w:i/>
        </w:rPr>
        <w:t>지식에 대한 독창적인 기여</w:t>
      </w:r>
    </w:p>
    <w:p>
      <w:pPr>
        <w:pStyle w:val="BodyText"/>
        <w:spacing w:before="24"/>
        <w:rPr>
          <w:b/>
          <w:sz w:val="28"/>
        </w:rPr>
      </w:pPr>
    </w:p>
    <w:p>
      <w:pPr>
        <w:pStyle w:val="BodyText"/>
        <w:spacing w:line="396" w:lineRule="auto"/>
        <w:ind w:left="282" w:right="524" w:hanging="8"/>
        <w:jc w:val="both"/>
      </w:pPr>
      <w:r>
        <w:rPr/>
        <w:t>This dissertation contributes to on-chain reputation research and DeFi risk assessment in four re-</w:t>
      </w:r>
      <w:r>
        <w:rPr>
          <w:spacing w:val="-2"/>
        </w:rPr>
        <w:t>spects.</w:t>
      </w:r>
    </w:p>
    <w:p>
      <w:pPr>
        <w:pStyle w:val="BodyText"/>
        <w:spacing w:line="396" w:lineRule="auto"/>
        <w:ind w:left="282" w:right="524" w:hanging="8"/>
        <w:jc w:val="both"/>
      </w:pPr>
      <w:r>
        <w:rPr>
          <w:i/>
        </w:rPr>
        <w:t>이 논문은 네 가지 측면에서 온체인 평판 연구와 DeFi 위험 평가에 기여합니다.</w:t>
      </w:r>
    </w:p>
    <w:p>
      <w:pPr>
        <w:pStyle w:val="ListParagraph"/>
        <w:numPr>
          <w:ilvl w:val="0"/>
          <w:numId w:val="26"/>
        </w:numPr>
        <w:tabs>
          <w:tab w:pos="806" w:val="left" w:leader="none"/>
          <w:tab w:pos="808" w:val="left" w:leader="none"/>
        </w:tabs>
        <w:spacing w:line="388" w:lineRule="auto" w:before="62" w:after="0"/>
        <w:ind w:left="808" w:right="524" w:hanging="216"/>
        <w:jc w:val="both"/>
        <w:rPr>
          <w:sz w:val="24"/>
        </w:rPr>
      </w:pPr>
      <w:r>
        <w:rPr>
          <w:b/>
          <w:sz w:val="24"/>
        </w:rPr>
        <w:t>EndorseRank: </w:t>
      </w:r>
      <w:r>
        <w:rPr>
          <w:sz w:val="24"/>
        </w:rPr>
        <w:t>An allowance-based endorsement graph model.</w:t>
      </w:r>
      <w:r>
        <w:rPr>
          <w:spacing w:val="40"/>
          <w:sz w:val="24"/>
        </w:rPr>
        <w:t> </w:t>
      </w:r>
      <w:r>
        <w:rPr>
          <w:sz w:val="24"/>
        </w:rPr>
        <w:t>By treating latest ERC-20 </w:t>
      </w:r>
      <w:r>
        <w:rPr>
          <w:rFonts w:ascii="Calibri" w:hAnsi="Calibri"/>
          <w:sz w:val="24"/>
        </w:rPr>
        <w:t>approve </w:t>
      </w:r>
      <w:r>
        <w:rPr>
          <w:sz w:val="24"/>
        </w:rPr>
        <w:t>and EIP-2612 </w:t>
      </w:r>
      <w:r>
        <w:rPr>
          <w:rFonts w:ascii="Calibri" w:hAnsi="Calibri"/>
          <w:sz w:val="24"/>
        </w:rPr>
        <w:t>permit </w:t>
      </w:r>
      <w:r>
        <w:rPr>
          <w:sz w:val="24"/>
        </w:rPr>
        <w:t>authorizations as directed endorsement edges </w:t>
      </w:r>
      <w:hyperlink w:history="true" w:anchor="_bookmark151">
        <w:r>
          <w:rPr>
            <w:sz w:val="24"/>
            <w:vertAlign w:val="superscript"/>
          </w:rPr>
          <w:t>[18]</w:t>
        </w:r>
      </w:hyperlink>
      <w:r>
        <w:rPr>
          <w:sz w:val="24"/>
          <w:vertAlign w:val="superscript"/>
        </w:rPr>
        <w:t>,</w:t>
      </w:r>
      <w:hyperlink w:history="true" w:anchor="_bookmark152">
        <w:r>
          <w:rPr>
            <w:sz w:val="24"/>
            <w:vertAlign w:val="superscript"/>
          </w:rPr>
          <w:t>[19]</w:t>
        </w:r>
      </w:hyperlink>
      <w:r>
        <w:rPr>
          <w:sz w:val="24"/>
          <w:vertAlign w:val="baseline"/>
        </w:rPr>
        <w:t>, it ex-</w:t>
      </w:r>
      <w:r>
        <w:rPr>
          <w:spacing w:val="-2"/>
          <w:sz w:val="24"/>
          <w:vertAlign w:val="baseline"/>
        </w:rPr>
        <w:t>tends</w:t>
      </w:r>
      <w:r>
        <w:rPr>
          <w:spacing w:val="-8"/>
          <w:sz w:val="24"/>
          <w:vertAlign w:val="baseline"/>
        </w:rPr>
        <w:t> </w:t>
      </w:r>
      <w:r>
        <w:rPr>
          <w:spacing w:val="-2"/>
          <w:sz w:val="24"/>
          <w:vertAlign w:val="baseline"/>
        </w:rPr>
        <w:t>PageRank’s</w:t>
      </w:r>
      <w:r>
        <w:rPr>
          <w:spacing w:val="-9"/>
          <w:sz w:val="24"/>
          <w:vertAlign w:val="baseline"/>
        </w:rPr>
        <w:t> </w:t>
      </w:r>
      <w:r>
        <w:rPr>
          <w:spacing w:val="-2"/>
          <w:sz w:val="24"/>
          <w:vertAlign w:val="baseline"/>
        </w:rPr>
        <w:t>citation</w:t>
      </w:r>
      <w:r>
        <w:rPr>
          <w:spacing w:val="-8"/>
          <w:sz w:val="24"/>
          <w:vertAlign w:val="baseline"/>
        </w:rPr>
        <w:t> </w:t>
      </w:r>
      <w:r>
        <w:rPr>
          <w:spacing w:val="-2"/>
          <w:sz w:val="24"/>
          <w:vertAlign w:val="baseline"/>
        </w:rPr>
        <w:t>metaphor</w:t>
      </w:r>
      <w:r>
        <w:rPr>
          <w:spacing w:val="-8"/>
          <w:sz w:val="24"/>
          <w:vertAlign w:val="baseline"/>
        </w:rPr>
        <w:t> </w:t>
      </w:r>
      <w:hyperlink w:history="true" w:anchor="_bookmark141">
        <w:r>
          <w:rPr>
            <w:spacing w:val="-2"/>
            <w:sz w:val="24"/>
            <w:vertAlign w:val="superscript"/>
          </w:rPr>
          <w:t>[8]</w:t>
        </w:r>
      </w:hyperlink>
      <w:r>
        <w:rPr>
          <w:spacing w:val="-2"/>
          <w:sz w:val="24"/>
          <w:vertAlign w:val="superscript"/>
        </w:rPr>
        <w:t>,</w:t>
      </w:r>
      <w:hyperlink w:history="true" w:anchor="_bookmark182">
        <w:r>
          <w:rPr>
            <w:spacing w:val="-2"/>
            <w:sz w:val="24"/>
            <w:vertAlign w:val="superscript"/>
          </w:rPr>
          <w:t>[49]</w:t>
        </w:r>
      </w:hyperlink>
      <w:r>
        <w:rPr>
          <w:spacing w:val="-2"/>
          <w:sz w:val="24"/>
          <w:vertAlign w:val="baseline"/>
        </w:rPr>
        <w:t> from</w:t>
      </w:r>
      <w:r>
        <w:rPr>
          <w:spacing w:val="-8"/>
          <w:sz w:val="24"/>
          <w:vertAlign w:val="baseline"/>
        </w:rPr>
        <w:t> </w:t>
      </w:r>
      <w:r>
        <w:rPr>
          <w:spacing w:val="-2"/>
          <w:sz w:val="24"/>
          <w:vertAlign w:val="baseline"/>
        </w:rPr>
        <w:t>transfer</w:t>
      </w:r>
      <w:r>
        <w:rPr>
          <w:spacing w:val="-8"/>
          <w:sz w:val="24"/>
          <w:vertAlign w:val="baseline"/>
        </w:rPr>
        <w:t> </w:t>
      </w:r>
      <w:r>
        <w:rPr>
          <w:spacing w:val="-2"/>
          <w:sz w:val="24"/>
          <w:vertAlign w:val="baseline"/>
        </w:rPr>
        <w:t>graphs</w:t>
      </w:r>
      <w:r>
        <w:rPr>
          <w:spacing w:val="-8"/>
          <w:sz w:val="24"/>
          <w:vertAlign w:val="baseline"/>
        </w:rPr>
        <w:t> </w:t>
      </w:r>
      <w:hyperlink w:history="true" w:anchor="_bookmark149">
        <w:r>
          <w:rPr>
            <w:spacing w:val="-2"/>
            <w:sz w:val="24"/>
            <w:vertAlign w:val="superscript"/>
          </w:rPr>
          <w:t>[16]</w:t>
        </w:r>
      </w:hyperlink>
      <w:r>
        <w:rPr>
          <w:spacing w:val="-2"/>
          <w:sz w:val="24"/>
          <w:vertAlign w:val="baseline"/>
        </w:rPr>
        <w:t> to</w:t>
      </w:r>
      <w:r>
        <w:rPr>
          <w:spacing w:val="-8"/>
          <w:sz w:val="24"/>
          <w:vertAlign w:val="baseline"/>
        </w:rPr>
        <w:t> </w:t>
      </w:r>
      <w:r>
        <w:rPr>
          <w:spacing w:val="-2"/>
          <w:sz w:val="24"/>
          <w:vertAlign w:val="baseline"/>
        </w:rPr>
        <w:t>explicit</w:t>
      </w:r>
      <w:r>
        <w:rPr>
          <w:spacing w:val="-8"/>
          <w:sz w:val="24"/>
          <w:vertAlign w:val="baseline"/>
        </w:rPr>
        <w:t> </w:t>
      </w:r>
      <w:r>
        <w:rPr>
          <w:spacing w:val="-2"/>
          <w:sz w:val="24"/>
          <w:vertAlign w:val="baseline"/>
        </w:rPr>
        <w:t>spending</w:t>
      </w:r>
      <w:r>
        <w:rPr>
          <w:spacing w:val="-8"/>
          <w:sz w:val="24"/>
          <w:vertAlign w:val="baseline"/>
        </w:rPr>
        <w:t> </w:t>
      </w:r>
      <w:r>
        <w:rPr>
          <w:spacing w:val="-2"/>
          <w:sz w:val="24"/>
          <w:vertAlign w:val="baseline"/>
        </w:rPr>
        <w:t>delega-</w:t>
      </w:r>
      <w:r>
        <w:rPr>
          <w:sz w:val="24"/>
          <w:vertAlign w:val="baseline"/>
        </w:rPr>
        <w:t>tion. The</w:t>
      </w:r>
      <w:r>
        <w:rPr>
          <w:spacing w:val="-3"/>
          <w:sz w:val="24"/>
          <w:vertAlign w:val="baseline"/>
        </w:rPr>
        <w:t> </w:t>
      </w:r>
      <w:r>
        <w:rPr>
          <w:sz w:val="24"/>
          <w:vertAlign w:val="baseline"/>
        </w:rPr>
        <w:t>model</w:t>
      </w:r>
      <w:r>
        <w:rPr>
          <w:spacing w:val="-3"/>
          <w:sz w:val="24"/>
          <w:vertAlign w:val="baseline"/>
        </w:rPr>
        <w:t> </w:t>
      </w:r>
      <w:r>
        <w:rPr>
          <w:sz w:val="24"/>
          <w:vertAlign w:val="baseline"/>
        </w:rPr>
        <w:t>eliminates</w:t>
      </w:r>
      <w:r>
        <w:rPr>
          <w:spacing w:val="-3"/>
          <w:sz w:val="24"/>
          <w:vertAlign w:val="baseline"/>
        </w:rPr>
        <w:t> </w:t>
      </w:r>
      <w:r>
        <w:rPr>
          <w:sz w:val="24"/>
          <w:vertAlign w:val="baseline"/>
        </w:rPr>
        <w:t>temporal</w:t>
      </w:r>
      <w:r>
        <w:rPr>
          <w:spacing w:val="-3"/>
          <w:sz w:val="24"/>
          <w:vertAlign w:val="baseline"/>
        </w:rPr>
        <w:t> </w:t>
      </w:r>
      <w:r>
        <w:rPr>
          <w:sz w:val="24"/>
          <w:vertAlign w:val="baseline"/>
        </w:rPr>
        <w:t>decay</w:t>
      </w:r>
      <w:r>
        <w:rPr>
          <w:spacing w:val="-3"/>
          <w:sz w:val="24"/>
          <w:vertAlign w:val="baseline"/>
        </w:rPr>
        <w:t> </w:t>
      </w:r>
      <w:r>
        <w:rPr>
          <w:sz w:val="24"/>
          <w:vertAlign w:val="baseline"/>
        </w:rPr>
        <w:t>through</w:t>
      </w:r>
      <w:r>
        <w:rPr>
          <w:spacing w:val="-3"/>
          <w:sz w:val="24"/>
          <w:vertAlign w:val="baseline"/>
        </w:rPr>
        <w:t> </w:t>
      </w:r>
      <w:r>
        <w:rPr>
          <w:sz w:val="24"/>
          <w:vertAlign w:val="baseline"/>
        </w:rPr>
        <w:t>allowance</w:t>
      </w:r>
      <w:r>
        <w:rPr>
          <w:spacing w:val="-3"/>
          <w:sz w:val="24"/>
          <w:vertAlign w:val="baseline"/>
        </w:rPr>
        <w:t> </w:t>
      </w:r>
      <w:r>
        <w:rPr>
          <w:sz w:val="24"/>
          <w:vertAlign w:val="baseline"/>
        </w:rPr>
        <w:t>override</w:t>
      </w:r>
      <w:r>
        <w:rPr>
          <w:spacing w:val="-3"/>
          <w:sz w:val="24"/>
          <w:vertAlign w:val="baseline"/>
        </w:rPr>
        <w:t> </w:t>
      </w:r>
      <w:r>
        <w:rPr>
          <w:sz w:val="24"/>
          <w:vertAlign w:val="baseline"/>
        </w:rPr>
        <w:t>semantics</w:t>
      </w:r>
      <w:r>
        <w:rPr>
          <w:spacing w:val="-3"/>
          <w:sz w:val="24"/>
          <w:vertAlign w:val="baseline"/>
        </w:rPr>
        <w:t> </w:t>
      </w:r>
      <w:r>
        <w:rPr>
          <w:sz w:val="24"/>
          <w:vertAlign w:val="baseline"/>
        </w:rPr>
        <w:t>and</w:t>
      </w:r>
      <w:r>
        <w:rPr>
          <w:spacing w:val="-3"/>
          <w:sz w:val="24"/>
          <w:vertAlign w:val="baseline"/>
        </w:rPr>
        <w:t> </w:t>
      </w:r>
      <w:r>
        <w:rPr>
          <w:sz w:val="24"/>
          <w:vertAlign w:val="baseline"/>
        </w:rPr>
        <w:t>yields</w:t>
      </w:r>
    </w:p>
    <w:p>
      <w:pPr>
        <w:pStyle w:val="ListParagraph"/>
        <w:numPr>
          <w:ilvl w:val="0"/>
          <w:numId w:val="26"/>
        </w:numPr>
        <w:tabs>
          <w:tab w:pos="806" w:val="left" w:leader="none"/>
          <w:tab w:pos="808" w:val="left" w:leader="none"/>
        </w:tabs>
        <w:spacing w:line="388" w:lineRule="auto" w:before="62" w:after="0"/>
        <w:ind w:left="808" w:right="524" w:hanging="216"/>
        <w:jc w:val="both"/>
        <w:rPr>
          <w:sz w:val="24"/>
        </w:rPr>
      </w:pPr>
      <w:r>
        <w:rPr>
          <w:i/>
        </w:rPr>
        <w:t>EndorseRank: 수당 기반 보증 그래프 모델. 최신 ERC-20 승인 및 EIP-2612 허가 승인을 지시된 보증 가장자리[18],[19]로 처리하여 이전 그래프[16]에서 명시적인 지출 위임으로 PageRank의 인용 비유[8],[49]를 확장합니다. 모델은 허용치 재정의 의미론 및 수율을 통해 시간적 붕괴를 제거합니다.</w:t>
      </w:r>
    </w:p>
    <w:p>
      <w:pPr>
        <w:pStyle w:val="ListParagraph"/>
        <w:spacing w:after="0" w:line="388" w:lineRule="auto"/>
        <w:jc w:val="both"/>
        <w:rPr>
          <w:sz w:val="24"/>
        </w:rPr>
        <w:sectPr>
          <w:pgSz w:w="11910" w:h="16840"/>
          <w:pgMar w:header="0" w:footer="2115" w:top="1840" w:bottom="2300" w:left="992" w:right="708"/>
        </w:sectPr>
      </w:pPr>
    </w:p>
    <w:p>
      <w:pPr>
        <w:pStyle w:val="BodyText"/>
        <w:spacing w:before="68"/>
        <w:ind w:left="808"/>
        <w:jc w:val="both"/>
      </w:pPr>
      <w:r>
        <w:rPr/>
        <w:t>a</w:t>
      </w:r>
      <w:r>
        <w:rPr>
          <w:spacing w:val="-8"/>
        </w:rPr>
        <w:t> </w:t>
      </w:r>
      <w:r>
        <w:rPr/>
        <w:t>sparse</w:t>
      </w:r>
      <w:r>
        <w:rPr>
          <w:spacing w:val="-8"/>
        </w:rPr>
        <w:t> </w:t>
      </w:r>
      <w:r>
        <w:rPr/>
        <w:t>graph</w:t>
      </w:r>
      <w:r>
        <w:rPr>
          <w:spacing w:val="-8"/>
        </w:rPr>
        <w:t> </w:t>
      </w:r>
      <w:r>
        <w:rPr/>
        <w:t>(</w:t>
      </w:r>
      <w:r>
        <w:rPr>
          <w:rFonts w:ascii="Calibri"/>
        </w:rPr>
        <w:t>14</w:t>
      </w:r>
      <w:r>
        <w:rPr>
          <w:rFonts w:ascii="Calibri"/>
          <w:i/>
        </w:rPr>
        <w:t>,</w:t>
      </w:r>
      <w:r>
        <w:rPr>
          <w:rFonts w:ascii="Calibri"/>
        </w:rPr>
        <w:t>727</w:t>
      </w:r>
      <w:r>
        <w:rPr>
          <w:rFonts w:ascii="Calibri"/>
          <w:spacing w:val="-2"/>
        </w:rPr>
        <w:t> </w:t>
      </w:r>
      <w:r>
        <w:rPr/>
        <w:t>edges</w:t>
      </w:r>
      <w:r>
        <w:rPr>
          <w:spacing w:val="-8"/>
        </w:rPr>
        <w:t> </w:t>
      </w:r>
      <w:r>
        <w:rPr/>
        <w:t>on</w:t>
      </w:r>
      <w:r>
        <w:rPr>
          <w:spacing w:val="-7"/>
        </w:rPr>
        <w:t> </w:t>
      </w:r>
      <w:r>
        <w:rPr/>
        <w:t>the</w:t>
      </w:r>
      <w:r>
        <w:rPr>
          <w:spacing w:val="-8"/>
        </w:rPr>
        <w:t> </w:t>
      </w:r>
      <w:r>
        <w:rPr/>
        <w:t>matched</w:t>
      </w:r>
      <w:r>
        <w:rPr>
          <w:spacing w:val="-8"/>
        </w:rPr>
        <w:t> </w:t>
      </w:r>
      <w:r>
        <w:rPr/>
        <w:t>cohort)</w:t>
      </w:r>
      <w:r>
        <w:rPr>
          <w:spacing w:val="-8"/>
        </w:rPr>
        <w:t> </w:t>
      </w:r>
      <w:r>
        <w:rPr/>
        <w:t>suitable</w:t>
      </w:r>
      <w:r>
        <w:rPr>
          <w:spacing w:val="-8"/>
        </w:rPr>
        <w:t> </w:t>
      </w:r>
      <w:r>
        <w:rPr/>
        <w:t>for</w:t>
      </w:r>
      <w:r>
        <w:rPr>
          <w:spacing w:val="-8"/>
        </w:rPr>
        <w:t> </w:t>
      </w:r>
      <w:r>
        <w:rPr/>
        <w:t>frequent</w:t>
      </w:r>
      <w:r>
        <w:rPr>
          <w:spacing w:val="-7"/>
        </w:rPr>
        <w:t> </w:t>
      </w:r>
      <w:r>
        <w:rPr>
          <w:spacing w:val="-2"/>
        </w:rPr>
        <w:t>recomputation.</w:t>
      </w:r>
    </w:p>
    <w:p>
      <w:pPr>
        <w:pStyle w:val="BodyText"/>
        <w:spacing w:before="68"/>
        <w:ind w:left="808"/>
        <w:jc w:val="both"/>
      </w:pPr>
      <w:r>
        <w:rPr>
          <w:i/>
        </w:rPr>
        <w:t>빈번한 재계산에 적합한 희소 그래프(일치하는 코호트의 14,727개 가장자리).</w:t>
      </w:r>
    </w:p>
    <w:p>
      <w:pPr>
        <w:pStyle w:val="ListParagraph"/>
        <w:numPr>
          <w:ilvl w:val="0"/>
          <w:numId w:val="26"/>
        </w:numPr>
        <w:tabs>
          <w:tab w:pos="806" w:val="left" w:leader="none"/>
          <w:tab w:pos="808" w:val="left" w:leader="none"/>
        </w:tabs>
        <w:spacing w:line="396" w:lineRule="auto" w:before="204" w:after="0"/>
        <w:ind w:left="808" w:right="524" w:hanging="216"/>
        <w:jc w:val="both"/>
        <w:rPr>
          <w:sz w:val="24"/>
        </w:rPr>
      </w:pPr>
      <w:r>
        <w:rPr>
          <w:b/>
          <w:sz w:val="24"/>
        </w:rPr>
        <w:t>Five-proxy</w:t>
      </w:r>
      <w:r>
        <w:rPr>
          <w:b/>
          <w:spacing w:val="-13"/>
          <w:sz w:val="24"/>
        </w:rPr>
        <w:t> </w:t>
      </w:r>
      <w:r>
        <w:rPr>
          <w:b/>
          <w:sz w:val="24"/>
        </w:rPr>
        <w:t>domain</w:t>
      </w:r>
      <w:r>
        <w:rPr>
          <w:b/>
          <w:spacing w:val="-12"/>
          <w:sz w:val="24"/>
        </w:rPr>
        <w:t> </w:t>
      </w:r>
      <w:r>
        <w:rPr>
          <w:b/>
          <w:sz w:val="24"/>
        </w:rPr>
        <w:t>alignment</w:t>
      </w:r>
      <w:r>
        <w:rPr>
          <w:b/>
          <w:spacing w:val="-13"/>
          <w:sz w:val="24"/>
        </w:rPr>
        <w:t> </w:t>
      </w:r>
      <w:r>
        <w:rPr>
          <w:b/>
          <w:sz w:val="24"/>
        </w:rPr>
        <w:t>evaluation:</w:t>
      </w:r>
      <w:r>
        <w:rPr>
          <w:b/>
          <w:spacing w:val="9"/>
          <w:sz w:val="24"/>
        </w:rPr>
        <w:t> </w:t>
      </w:r>
      <w:r>
        <w:rPr>
          <w:sz w:val="24"/>
        </w:rPr>
        <w:t>Compares</w:t>
      </w:r>
      <w:r>
        <w:rPr>
          <w:spacing w:val="-13"/>
          <w:sz w:val="24"/>
        </w:rPr>
        <w:t> </w:t>
      </w:r>
      <w:r>
        <w:rPr>
          <w:sz w:val="24"/>
        </w:rPr>
        <w:t>EndorseRank</w:t>
      </w:r>
      <w:r>
        <w:rPr>
          <w:spacing w:val="-12"/>
          <w:sz w:val="24"/>
        </w:rPr>
        <w:t> </w:t>
      </w:r>
      <w:r>
        <w:rPr>
          <w:sz w:val="24"/>
        </w:rPr>
        <w:t>and</w:t>
      </w:r>
      <w:r>
        <w:rPr>
          <w:spacing w:val="-13"/>
          <w:sz w:val="24"/>
        </w:rPr>
        <w:t> </w:t>
      </w:r>
      <w:r>
        <w:rPr>
          <w:sz w:val="24"/>
        </w:rPr>
        <w:t>AWP</w:t>
      </w:r>
      <w:r>
        <w:rPr>
          <w:spacing w:val="-13"/>
          <w:sz w:val="24"/>
        </w:rPr>
        <w:t> </w:t>
      </w:r>
      <w:r>
        <w:rPr>
          <w:sz w:val="24"/>
        </w:rPr>
        <w:t>on</w:t>
      </w:r>
      <w:r>
        <w:rPr>
          <w:spacing w:val="-13"/>
          <w:sz w:val="24"/>
        </w:rPr>
        <w:t> </w:t>
      </w:r>
      <w:r>
        <w:rPr>
          <w:sz w:val="24"/>
        </w:rPr>
        <w:t>leveraged DeFi</w:t>
      </w:r>
      <w:r>
        <w:rPr>
          <w:spacing w:val="-13"/>
          <w:sz w:val="24"/>
        </w:rPr>
        <w:t> </w:t>
      </w:r>
      <w:r>
        <w:rPr>
          <w:sz w:val="24"/>
        </w:rPr>
        <w:t>activity</w:t>
      </w:r>
      <w:r>
        <w:rPr>
          <w:spacing w:val="-13"/>
          <w:sz w:val="24"/>
        </w:rPr>
        <w:t> </w:t>
      </w:r>
      <w:r>
        <w:rPr>
          <w:sz w:val="24"/>
        </w:rPr>
        <w:t>under</w:t>
      </w:r>
      <w:r>
        <w:rPr>
          <w:spacing w:val="-13"/>
          <w:sz w:val="24"/>
        </w:rPr>
        <w:t> </w:t>
      </w:r>
      <w:r>
        <w:rPr>
          <w:sz w:val="24"/>
        </w:rPr>
        <w:t>a</w:t>
      </w:r>
      <w:r>
        <w:rPr>
          <w:spacing w:val="-13"/>
          <w:sz w:val="24"/>
        </w:rPr>
        <w:t> </w:t>
      </w:r>
      <w:r>
        <w:rPr>
          <w:sz w:val="24"/>
        </w:rPr>
        <w:t>shared</w:t>
      </w:r>
      <w:r>
        <w:rPr>
          <w:spacing w:val="-13"/>
          <w:sz w:val="24"/>
        </w:rPr>
        <w:t> </w:t>
      </w:r>
      <w:r>
        <w:rPr>
          <w:sz w:val="24"/>
        </w:rPr>
        <w:t>cohort</w:t>
      </w:r>
      <w:r>
        <w:rPr>
          <w:spacing w:val="-13"/>
          <w:sz w:val="24"/>
        </w:rPr>
        <w:t> </w:t>
      </w:r>
      <w:r>
        <w:rPr>
          <w:sz w:val="24"/>
        </w:rPr>
        <w:t>and</w:t>
      </w:r>
      <w:r>
        <w:rPr>
          <w:spacing w:val="-13"/>
          <w:sz w:val="24"/>
        </w:rPr>
        <w:t> </w:t>
      </w:r>
      <w:r>
        <w:rPr>
          <w:sz w:val="24"/>
        </w:rPr>
        <w:t>window.</w:t>
      </w:r>
      <w:r>
        <w:rPr>
          <w:spacing w:val="13"/>
          <w:sz w:val="24"/>
        </w:rPr>
        <w:t> </w:t>
      </w:r>
      <w:r>
        <w:rPr>
          <w:sz w:val="24"/>
        </w:rPr>
        <w:t>Building</w:t>
      </w:r>
      <w:r>
        <w:rPr>
          <w:spacing w:val="-13"/>
          <w:sz w:val="24"/>
        </w:rPr>
        <w:t> </w:t>
      </w:r>
      <w:r>
        <w:rPr>
          <w:sz w:val="24"/>
        </w:rPr>
        <w:t>on</w:t>
      </w:r>
      <w:r>
        <w:rPr>
          <w:spacing w:val="-13"/>
          <w:sz w:val="24"/>
        </w:rPr>
        <w:t> </w:t>
      </w:r>
      <w:r>
        <w:rPr>
          <w:sz w:val="24"/>
        </w:rPr>
        <w:t>construct-validity</w:t>
      </w:r>
      <w:r>
        <w:rPr>
          <w:spacing w:val="-13"/>
          <w:sz w:val="24"/>
        </w:rPr>
        <w:t> </w:t>
      </w:r>
      <w:r>
        <w:rPr>
          <w:sz w:val="24"/>
        </w:rPr>
        <w:t>reasoning</w:t>
      </w:r>
      <w:r>
        <w:rPr>
          <w:spacing w:val="-13"/>
          <w:sz w:val="24"/>
        </w:rPr>
        <w:t> </w:t>
      </w:r>
      <w:hyperlink w:history="true" w:anchor="_bookmark147">
        <w:r>
          <w:rPr>
            <w:sz w:val="24"/>
            <w:vertAlign w:val="superscript"/>
          </w:rPr>
          <w:t>[14]</w:t>
        </w:r>
      </w:hyperlink>
      <w:r>
        <w:rPr>
          <w:sz w:val="24"/>
          <w:vertAlign w:val="baseline"/>
        </w:rPr>
        <w:t> and rank correlation measures </w:t>
      </w:r>
      <w:hyperlink w:history="true" w:anchor="_bookmark169">
        <w:r>
          <w:rPr>
            <w:sz w:val="24"/>
            <w:vertAlign w:val="superscript"/>
          </w:rPr>
          <w:t>[36]</w:t>
        </w:r>
      </w:hyperlink>
      <w:r>
        <w:rPr>
          <w:sz w:val="24"/>
          <w:vertAlign w:val="superscript"/>
        </w:rPr>
        <w:t>,</w:t>
      </w:r>
      <w:hyperlink w:history="true" w:anchor="_bookmark187">
        <w:r>
          <w:rPr>
            <w:sz w:val="24"/>
            <w:vertAlign w:val="superscript"/>
          </w:rPr>
          <w:t>[54]</w:t>
        </w:r>
      </w:hyperlink>
      <w:r>
        <w:rPr>
          <w:sz w:val="24"/>
          <w:vertAlign w:val="baseline"/>
        </w:rPr>
        <w:t>, the evaluation separates transfer, allowance, inverse-risk, Sybil-adjusted stability, and trading-success families.</w:t>
      </w:r>
      <w:r>
        <w:rPr>
          <w:spacing w:val="34"/>
          <w:sz w:val="24"/>
          <w:vertAlign w:val="baseline"/>
        </w:rPr>
        <w:t> </w:t>
      </w:r>
      <w:r>
        <w:rPr>
          <w:sz w:val="24"/>
          <w:vertAlign w:val="baseline"/>
        </w:rPr>
        <w:t>The result is a construct-specific map of strengths rather than a single global ranking—a methodological template for future on-chain score comparisons.</w:t>
      </w:r>
    </w:p>
    <w:p>
      <w:pPr>
        <w:pStyle w:val="ListParagraph"/>
        <w:numPr>
          <w:ilvl w:val="0"/>
          <w:numId w:val="26"/>
        </w:numPr>
        <w:tabs>
          <w:tab w:pos="806" w:val="left" w:leader="none"/>
          <w:tab w:pos="808" w:val="left" w:leader="none"/>
        </w:tabs>
        <w:spacing w:line="396" w:lineRule="auto" w:before="204" w:after="0"/>
        <w:ind w:left="808" w:right="524" w:hanging="216"/>
        <w:jc w:val="both"/>
        <w:rPr>
          <w:sz w:val="24"/>
        </w:rPr>
      </w:pPr>
      <w:r>
        <w:rPr>
          <w:i/>
        </w:rPr>
        <w:t>5개 프록시 도메인 정렬 평가: 공유 코호트 및 창에서 활용된 DeFi 활동에 대한 EndorseRank 및 AWP를 비교합니다. 구성 타당성 추론[14] 및 순위 상관 측정[36],[54]을 기반으로 평가는 이전, 허용, 역위험, Sybil 조정 안정성 및 거래 성공 계열을 분리합니다. 그 결과, 단일 글로벌 순위가 아닌 구성별 강점 맵이 생성되었습니다. 이는 향후 온체인 점수 비교를 위한 방법론적 템플릿입니다.</w:t>
      </w:r>
    </w:p>
    <w:p>
      <w:pPr>
        <w:pStyle w:val="ListParagraph"/>
        <w:numPr>
          <w:ilvl w:val="0"/>
          <w:numId w:val="26"/>
        </w:numPr>
        <w:tabs>
          <w:tab w:pos="806" w:val="left" w:leader="none"/>
          <w:tab w:pos="808" w:val="left" w:leader="none"/>
        </w:tabs>
        <w:spacing w:line="396" w:lineRule="auto" w:before="43" w:after="0"/>
        <w:ind w:left="808" w:right="524" w:hanging="216"/>
        <w:jc w:val="both"/>
        <w:rPr>
          <w:sz w:val="24"/>
        </w:rPr>
      </w:pPr>
      <w:r>
        <w:rPr>
          <w:b/>
          <w:sz w:val="24"/>
        </w:rPr>
        <w:t>Reproducible open-source evaluation pipeline:</w:t>
      </w:r>
      <w:r>
        <w:rPr>
          <w:b/>
          <w:spacing w:val="40"/>
          <w:sz w:val="24"/>
        </w:rPr>
        <w:t> </w:t>
      </w:r>
      <w:r>
        <w:rPr>
          <w:sz w:val="24"/>
        </w:rPr>
        <w:t>Links extraction, graph construction, scoring, proxy computation, and LaTeX-ready tables to a machine-readable summary (Ap-pendix </w:t>
      </w:r>
      <w:hyperlink w:history="true" w:anchor="_bookmark198">
        <w:r>
          <w:rPr>
            <w:sz w:val="24"/>
          </w:rPr>
          <w:t>8.1</w:t>
        </w:r>
      </w:hyperlink>
      <w:r>
        <w:rPr>
          <w:sz w:val="24"/>
        </w:rPr>
        <w:t>).</w:t>
      </w:r>
      <w:r>
        <w:rPr>
          <w:spacing w:val="40"/>
          <w:sz w:val="24"/>
        </w:rPr>
        <w:t> </w:t>
      </w:r>
      <w:r>
        <w:rPr>
          <w:sz w:val="24"/>
        </w:rPr>
        <w:t>Auditability of decentralized credit-related scores is a recognized concern </w:t>
      </w:r>
      <w:hyperlink w:history="true" w:anchor="_bookmark181">
        <w:r>
          <w:rPr>
            <w:sz w:val="24"/>
            <w:vertAlign w:val="superscript"/>
          </w:rPr>
          <w:t>[48]</w:t>
        </w:r>
      </w:hyperlink>
      <w:r>
        <w:rPr>
          <w:sz w:val="24"/>
          <w:vertAlign w:val="baseline"/>
        </w:rPr>
        <w:t>; the pipeline makes the empirical claims independently verifiable.</w:t>
      </w:r>
    </w:p>
    <w:p>
      <w:pPr>
        <w:pStyle w:val="ListParagraph"/>
        <w:numPr>
          <w:ilvl w:val="0"/>
          <w:numId w:val="26"/>
        </w:numPr>
        <w:tabs>
          <w:tab w:pos="806" w:val="left" w:leader="none"/>
          <w:tab w:pos="808" w:val="left" w:leader="none"/>
        </w:tabs>
        <w:spacing w:line="396" w:lineRule="auto" w:before="43" w:after="0"/>
        <w:ind w:left="808" w:right="524" w:hanging="216"/>
        <w:jc w:val="both"/>
        <w:rPr>
          <w:sz w:val="24"/>
        </w:rPr>
      </w:pPr>
      <w:r>
        <w:rPr>
          <w:i/>
        </w:rPr>
        <w:t>재현 가능한 오픈 소스 평가 파이프라인: 추출, 그래프 구성, 채점, 프록시 계산 및 LaTeX 지원 테이블을 기계가 읽을 수 있는 요약에 연결합니다(Ap-pendix 8.1). 분산된 신용 관련 점수의 감사 가능성은 인식된 우려 사항입니다[48]. 파이프라인은 경험적 주장을 독립적으로 검증 가능하게 만듭니다.</w:t>
      </w:r>
    </w:p>
    <w:p>
      <w:pPr>
        <w:pStyle w:val="ListParagraph"/>
        <w:numPr>
          <w:ilvl w:val="0"/>
          <w:numId w:val="26"/>
        </w:numPr>
        <w:tabs>
          <w:tab w:pos="806" w:val="left" w:leader="none"/>
          <w:tab w:pos="808" w:val="left" w:leader="none"/>
        </w:tabs>
        <w:spacing w:line="386" w:lineRule="auto" w:before="41" w:after="0"/>
        <w:ind w:left="808" w:right="558" w:hanging="216"/>
        <w:jc w:val="both"/>
        <w:rPr>
          <w:sz w:val="24"/>
        </w:rPr>
      </w:pPr>
      <w:r>
        <w:rPr>
          <w:b/>
          <w:sz w:val="24"/>
        </w:rPr>
        <w:t>GF-PR</w:t>
      </w:r>
      <w:r>
        <w:rPr>
          <w:b/>
          <w:spacing w:val="-15"/>
          <w:sz w:val="24"/>
        </w:rPr>
        <w:t> </w:t>
      </w:r>
      <w:r>
        <w:rPr>
          <w:b/>
          <w:sz w:val="24"/>
        </w:rPr>
        <w:t>ceiling</w:t>
      </w:r>
      <w:r>
        <w:rPr>
          <w:b/>
          <w:spacing w:val="-15"/>
          <w:sz w:val="24"/>
        </w:rPr>
        <w:t> </w:t>
      </w:r>
      <w:r>
        <w:rPr>
          <w:b/>
          <w:sz w:val="24"/>
        </w:rPr>
        <w:t>analysis:</w:t>
      </w:r>
      <w:r>
        <w:rPr>
          <w:b/>
          <w:spacing w:val="-15"/>
          <w:sz w:val="24"/>
        </w:rPr>
        <w:t> </w:t>
      </w:r>
      <w:r>
        <w:rPr>
          <w:sz w:val="24"/>
        </w:rPr>
        <w:t>Clarifies</w:t>
      </w:r>
      <w:r>
        <w:rPr>
          <w:spacing w:val="-15"/>
          <w:sz w:val="24"/>
        </w:rPr>
        <w:t> </w:t>
      </w:r>
      <w:r>
        <w:rPr>
          <w:sz w:val="24"/>
        </w:rPr>
        <w:t>construct</w:t>
      </w:r>
      <w:r>
        <w:rPr>
          <w:spacing w:val="-15"/>
          <w:sz w:val="24"/>
        </w:rPr>
        <w:t> </w:t>
      </w:r>
      <w:r>
        <w:rPr>
          <w:sz w:val="24"/>
        </w:rPr>
        <w:t>overlap</w:t>
      </w:r>
      <w:r>
        <w:rPr>
          <w:spacing w:val="-15"/>
          <w:sz w:val="24"/>
        </w:rPr>
        <w:t> </w:t>
      </w:r>
      <w:r>
        <w:rPr>
          <w:sz w:val="24"/>
        </w:rPr>
        <w:t>on</w:t>
      </w:r>
      <w:r>
        <w:rPr>
          <w:spacing w:val="-15"/>
          <w:sz w:val="24"/>
        </w:rPr>
        <w:t> </w:t>
      </w:r>
      <w:r>
        <w:rPr>
          <w:sz w:val="24"/>
        </w:rPr>
        <w:t>trading-outcome</w:t>
      </w:r>
      <w:r>
        <w:rPr>
          <w:spacing w:val="-15"/>
          <w:sz w:val="24"/>
        </w:rPr>
        <w:t> </w:t>
      </w:r>
      <w:r>
        <w:rPr>
          <w:sz w:val="24"/>
        </w:rPr>
        <w:t>proxies</w:t>
      </w:r>
      <w:r>
        <w:rPr>
          <w:spacing w:val="-15"/>
          <w:sz w:val="24"/>
        </w:rPr>
        <w:t> </w:t>
      </w:r>
      <w:r>
        <w:rPr>
          <w:sz w:val="24"/>
        </w:rPr>
        <w:t>(SRQ1).</w:t>
      </w:r>
      <w:r>
        <w:rPr>
          <w:spacing w:val="2"/>
          <w:sz w:val="24"/>
        </w:rPr>
        <w:t> </w:t>
      </w:r>
      <w:r>
        <w:rPr>
          <w:sz w:val="24"/>
        </w:rPr>
        <w:t>By ranking</w:t>
      </w:r>
      <w:r>
        <w:rPr>
          <w:spacing w:val="-2"/>
          <w:sz w:val="24"/>
        </w:rPr>
        <w:t> </w:t>
      </w:r>
      <w:r>
        <w:rPr>
          <w:sz w:val="24"/>
        </w:rPr>
        <w:t>directly</w:t>
      </w:r>
      <w:r>
        <w:rPr>
          <w:spacing w:val="-2"/>
          <w:sz w:val="24"/>
        </w:rPr>
        <w:t> </w:t>
      </w:r>
      <w:r>
        <w:rPr>
          <w:sz w:val="24"/>
        </w:rPr>
        <w:t>on</w:t>
      </w:r>
      <w:r>
        <w:rPr>
          <w:spacing w:val="-2"/>
          <w:sz w:val="24"/>
        </w:rPr>
        <w:t> </w:t>
      </w:r>
      <w:r>
        <w:rPr>
          <w:sz w:val="24"/>
        </w:rPr>
        <w:t>GMX</w:t>
      </w:r>
      <w:r>
        <w:rPr>
          <w:spacing w:val="-2"/>
          <w:sz w:val="24"/>
        </w:rPr>
        <w:t> </w:t>
      </w:r>
      <w:r>
        <w:rPr>
          <w:sz w:val="24"/>
        </w:rPr>
        <w:t>PnL</w:t>
      </w:r>
      <w:r>
        <w:rPr>
          <w:spacing w:val="-2"/>
          <w:sz w:val="24"/>
        </w:rPr>
        <w:t> </w:t>
      </w:r>
      <w:r>
        <w:rPr>
          <w:sz w:val="24"/>
        </w:rPr>
        <w:t>flow,</w:t>
      </w:r>
      <w:r>
        <w:rPr>
          <w:spacing w:val="-2"/>
          <w:sz w:val="24"/>
        </w:rPr>
        <w:t> </w:t>
      </w:r>
      <w:r>
        <w:rPr>
          <w:sz w:val="24"/>
        </w:rPr>
        <w:t>GF-PR</w:t>
      </w:r>
      <w:r>
        <w:rPr>
          <w:spacing w:val="-2"/>
          <w:sz w:val="24"/>
        </w:rPr>
        <w:t> </w:t>
      </w:r>
      <w:r>
        <w:rPr>
          <w:sz w:val="24"/>
        </w:rPr>
        <w:t>sets</w:t>
      </w:r>
      <w:r>
        <w:rPr>
          <w:spacing w:val="-2"/>
          <w:sz w:val="24"/>
        </w:rPr>
        <w:t> </w:t>
      </w:r>
      <w:r>
        <w:rPr>
          <w:sz w:val="24"/>
        </w:rPr>
        <w:t>an</w:t>
      </w:r>
      <w:r>
        <w:rPr>
          <w:spacing w:val="-2"/>
          <w:sz w:val="24"/>
        </w:rPr>
        <w:t> </w:t>
      </w:r>
      <w:r>
        <w:rPr>
          <w:sz w:val="24"/>
        </w:rPr>
        <w:t>outcome-native</w:t>
      </w:r>
      <w:r>
        <w:rPr>
          <w:spacing w:val="-2"/>
          <w:sz w:val="24"/>
        </w:rPr>
        <w:t> </w:t>
      </w:r>
      <w:r>
        <w:rPr>
          <w:sz w:val="24"/>
        </w:rPr>
        <w:t>upper</w:t>
      </w:r>
      <w:r>
        <w:rPr>
          <w:spacing w:val="-2"/>
          <w:sz w:val="24"/>
        </w:rPr>
        <w:t> </w:t>
      </w:r>
      <w:r>
        <w:rPr>
          <w:sz w:val="24"/>
        </w:rPr>
        <w:t>bound</w:t>
      </w:r>
      <w:r>
        <w:rPr>
          <w:spacing w:val="-2"/>
          <w:sz w:val="24"/>
        </w:rPr>
        <w:t> </w:t>
      </w:r>
      <w:r>
        <w:rPr>
          <w:sz w:val="24"/>
        </w:rPr>
        <w:t>(</w:t>
      </w:r>
      <w:r>
        <w:rPr>
          <w:rFonts w:ascii="Calibri" w:hAnsi="Calibri"/>
          <w:i/>
          <w:sz w:val="24"/>
        </w:rPr>
        <w:t>τ</w:t>
      </w:r>
      <w:r>
        <w:rPr>
          <w:rFonts w:ascii="Calibri" w:hAnsi="Calibri"/>
          <w:i/>
          <w:spacing w:val="25"/>
          <w:w w:val="125"/>
          <w:sz w:val="24"/>
        </w:rPr>
        <w:t> </w:t>
      </w:r>
      <w:r>
        <w:rPr>
          <w:rFonts w:ascii="Calibri" w:hAnsi="Calibri"/>
          <w:w w:val="125"/>
          <w:sz w:val="24"/>
        </w:rPr>
        <w:t>=</w:t>
      </w:r>
      <w:r>
        <w:rPr>
          <w:rFonts w:ascii="Calibri" w:hAnsi="Calibri"/>
          <w:spacing w:val="-1"/>
          <w:w w:val="125"/>
          <w:sz w:val="24"/>
        </w:rPr>
        <w:t> </w:t>
      </w:r>
      <w:r>
        <w:rPr>
          <w:rFonts w:ascii="Calibri" w:hAnsi="Calibri"/>
          <w:sz w:val="24"/>
        </w:rPr>
        <w:t>0</w:t>
      </w:r>
      <w:r>
        <w:rPr>
          <w:rFonts w:ascii="Calibri" w:hAnsi="Calibri"/>
          <w:i/>
          <w:sz w:val="24"/>
        </w:rPr>
        <w:t>.</w:t>
      </w:r>
      <w:r>
        <w:rPr>
          <w:rFonts w:ascii="Calibri" w:hAnsi="Calibri"/>
          <w:sz w:val="24"/>
        </w:rPr>
        <w:t>583 </w:t>
      </w:r>
      <w:r>
        <w:rPr>
          <w:sz w:val="24"/>
        </w:rPr>
        <w:t>on</w:t>
      </w:r>
      <w:r>
        <w:rPr>
          <w:spacing w:val="-8"/>
          <w:sz w:val="24"/>
        </w:rPr>
        <w:t> </w:t>
      </w:r>
      <w:r>
        <w:rPr>
          <w:sz w:val="24"/>
        </w:rPr>
        <w:t>trading</w:t>
      </w:r>
      <w:r>
        <w:rPr>
          <w:spacing w:val="-8"/>
          <w:sz w:val="24"/>
        </w:rPr>
        <w:t> </w:t>
      </w:r>
      <w:r>
        <w:rPr>
          <w:sz w:val="24"/>
        </w:rPr>
        <w:t>success;</w:t>
      </w:r>
      <w:r>
        <w:rPr>
          <w:spacing w:val="-6"/>
          <w:sz w:val="24"/>
        </w:rPr>
        <w:t> </w:t>
      </w:r>
      <w:r>
        <w:rPr>
          <w:rFonts w:ascii="Calibri" w:hAnsi="Calibri"/>
          <w:i/>
          <w:sz w:val="24"/>
        </w:rPr>
        <w:t>τ</w:t>
      </w:r>
      <w:r>
        <w:rPr>
          <w:rFonts w:ascii="Calibri" w:hAnsi="Calibri"/>
          <w:i/>
          <w:spacing w:val="22"/>
          <w:w w:val="125"/>
          <w:sz w:val="24"/>
        </w:rPr>
        <w:t> </w:t>
      </w:r>
      <w:r>
        <w:rPr>
          <w:rFonts w:ascii="Calibri" w:hAnsi="Calibri"/>
          <w:w w:val="125"/>
          <w:sz w:val="24"/>
        </w:rPr>
        <w:t>=</w:t>
      </w:r>
      <w:r>
        <w:rPr>
          <w:rFonts w:ascii="Calibri" w:hAnsi="Calibri"/>
          <w:spacing w:val="-5"/>
          <w:w w:val="125"/>
          <w:sz w:val="24"/>
        </w:rPr>
        <w:t> </w:t>
      </w:r>
      <w:r>
        <w:rPr>
          <w:rFonts w:ascii="Calibri" w:hAnsi="Calibri"/>
          <w:sz w:val="24"/>
        </w:rPr>
        <w:t>0</w:t>
      </w:r>
      <w:r>
        <w:rPr>
          <w:rFonts w:ascii="Calibri" w:hAnsi="Calibri"/>
          <w:i/>
          <w:sz w:val="24"/>
        </w:rPr>
        <w:t>.</w:t>
      </w:r>
      <w:r>
        <w:rPr>
          <w:rFonts w:ascii="Calibri" w:hAnsi="Calibri"/>
          <w:sz w:val="24"/>
        </w:rPr>
        <w:t>376</w:t>
      </w:r>
      <w:r>
        <w:rPr>
          <w:rFonts w:ascii="Calibri" w:hAnsi="Calibri"/>
          <w:spacing w:val="-2"/>
          <w:sz w:val="24"/>
        </w:rPr>
        <w:t> </w:t>
      </w:r>
      <w:r>
        <w:rPr>
          <w:sz w:val="24"/>
        </w:rPr>
        <w:t>on</w:t>
      </w:r>
      <w:r>
        <w:rPr>
          <w:spacing w:val="-8"/>
          <w:sz w:val="24"/>
        </w:rPr>
        <w:t> </w:t>
      </w:r>
      <w:r>
        <w:rPr>
          <w:sz w:val="24"/>
        </w:rPr>
        <w:t>inverse</w:t>
      </w:r>
      <w:r>
        <w:rPr>
          <w:spacing w:val="-8"/>
          <w:sz w:val="24"/>
        </w:rPr>
        <w:t> </w:t>
      </w:r>
      <w:r>
        <w:rPr>
          <w:sz w:val="24"/>
        </w:rPr>
        <w:t>risk)</w:t>
      </w:r>
      <w:r>
        <w:rPr>
          <w:spacing w:val="-8"/>
          <w:sz w:val="24"/>
        </w:rPr>
        <w:t> </w:t>
      </w:r>
      <w:r>
        <w:rPr>
          <w:sz w:val="24"/>
        </w:rPr>
        <w:t>against</w:t>
      </w:r>
      <w:r>
        <w:rPr>
          <w:spacing w:val="-8"/>
          <w:sz w:val="24"/>
        </w:rPr>
        <w:t> </w:t>
      </w:r>
      <w:r>
        <w:rPr>
          <w:sz w:val="24"/>
        </w:rPr>
        <w:t>which</w:t>
      </w:r>
      <w:r>
        <w:rPr>
          <w:spacing w:val="-8"/>
          <w:sz w:val="24"/>
        </w:rPr>
        <w:t> </w:t>
      </w:r>
      <w:r>
        <w:rPr>
          <w:sz w:val="24"/>
        </w:rPr>
        <w:t>social-method</w:t>
      </w:r>
      <w:r>
        <w:rPr>
          <w:spacing w:val="-8"/>
          <w:sz w:val="24"/>
        </w:rPr>
        <w:t> </w:t>
      </w:r>
      <w:r>
        <w:rPr>
          <w:sz w:val="24"/>
        </w:rPr>
        <w:t>alignment</w:t>
      </w:r>
      <w:r>
        <w:rPr>
          <w:spacing w:val="-8"/>
          <w:sz w:val="24"/>
        </w:rPr>
        <w:t> </w:t>
      </w:r>
      <w:r>
        <w:rPr>
          <w:sz w:val="24"/>
        </w:rPr>
        <w:t>can</w:t>
      </w:r>
      <w:r>
        <w:rPr>
          <w:spacing w:val="-8"/>
          <w:sz w:val="24"/>
        </w:rPr>
        <w:t> </w:t>
      </w:r>
      <w:r>
        <w:rPr>
          <w:sz w:val="24"/>
        </w:rPr>
        <w:t>be interpreted without mistaking shared inputs for social validity.</w:t>
      </w:r>
      <w:r>
        <w:rPr>
          <w:spacing w:val="40"/>
          <w:sz w:val="24"/>
        </w:rPr>
        <w:t> </w:t>
      </w:r>
      <w:r>
        <w:rPr>
          <w:sz w:val="24"/>
        </w:rPr>
        <w:t>Supplementary contribution </w:t>
      </w:r>
      <w:r>
        <w:rPr>
          <w:spacing w:val="-2"/>
          <w:sz w:val="24"/>
        </w:rPr>
        <w:t>only.</w:t>
      </w:r>
    </w:p>
    <w:p>
      <w:pPr>
        <w:pStyle w:val="ListParagraph"/>
        <w:numPr>
          <w:ilvl w:val="0"/>
          <w:numId w:val="26"/>
        </w:numPr>
        <w:tabs>
          <w:tab w:pos="806" w:val="left" w:leader="none"/>
          <w:tab w:pos="808" w:val="left" w:leader="none"/>
        </w:tabs>
        <w:spacing w:line="386" w:lineRule="auto" w:before="41" w:after="0"/>
        <w:ind w:left="808" w:right="558" w:hanging="216"/>
        <w:jc w:val="both"/>
        <w:rPr>
          <w:sz w:val="24"/>
        </w:rPr>
      </w:pPr>
      <w:r>
        <w:rPr>
          <w:i/>
        </w:rPr>
        <w:t>GF-PR 상한 분석: 거래 결과 프록시(SRQ1)의 구성 중복을 명확히 합니다. GMX PnL 흐름에 직접 순위를 매김으로써 GF-PR은 공유 입력을 사회적 타당도로 착각하지 않고 사회적 방법 정렬을 해석할 수 있는 결과 기반 상한(거래 성공의 경우 τ = 0.583, 역위험의 경우 τ = 0.376)을 설정합니다. 보충 기여만 가능합니다.</w:t>
      </w:r>
    </w:p>
    <w:p>
      <w:pPr>
        <w:pStyle w:val="BodyText"/>
        <w:spacing w:line="396" w:lineRule="auto" w:before="66"/>
        <w:ind w:left="282" w:right="524"/>
        <w:jc w:val="both"/>
      </w:pPr>
      <w:r>
        <w:rPr/>
        <w:t>Relative to prior graph-reputation and DeFi credit work </w:t>
      </w:r>
      <w:hyperlink w:history="true" w:anchor="_bookmark149">
        <w:r>
          <w:rPr>
            <w:vertAlign w:val="superscript"/>
          </w:rPr>
          <w:t>[16]</w:t>
        </w:r>
      </w:hyperlink>
      <w:r>
        <w:rPr>
          <w:vertAlign w:val="superscript"/>
        </w:rPr>
        <w:t>,</w:t>
      </w:r>
      <w:hyperlink w:history="true" w:anchor="_bookmark160">
        <w:r>
          <w:rPr>
            <w:vertAlign w:val="superscript"/>
          </w:rPr>
          <w:t>[27]</w:t>
        </w:r>
      </w:hyperlink>
      <w:r>
        <w:rPr>
          <w:vertAlign w:val="superscript"/>
        </w:rPr>
        <w:t>,</w:t>
      </w:r>
      <w:hyperlink w:history="true" w:anchor="_bookmark162">
        <w:r>
          <w:rPr>
            <w:vertAlign w:val="superscript"/>
          </w:rPr>
          <w:t>[29]</w:t>
        </w:r>
      </w:hyperlink>
      <w:r>
        <w:rPr>
          <w:vertAlign w:val="superscript"/>
        </w:rPr>
        <w:t>,</w:t>
      </w:r>
      <w:hyperlink w:history="true" w:anchor="_bookmark168">
        <w:r>
          <w:rPr>
            <w:vertAlign w:val="superscript"/>
          </w:rPr>
          <w:t>[35]</w:t>
        </w:r>
      </w:hyperlink>
      <w:r>
        <w:rPr>
          <w:vertAlign w:val="superscript"/>
        </w:rPr>
        <w:t>,</w:t>
      </w:r>
      <w:hyperlink w:history="true" w:anchor="_bookmark172">
        <w:r>
          <w:rPr>
            <w:vertAlign w:val="superscript"/>
          </w:rPr>
          <w:t>[39]</w:t>
        </w:r>
      </w:hyperlink>
      <w:r>
        <w:rPr>
          <w:vertAlign w:val="superscript"/>
        </w:rPr>
        <w:t>,</w:t>
      </w:r>
      <w:hyperlink w:history="true" w:anchor="_bookmark177">
        <w:r>
          <w:rPr>
            <w:vertAlign w:val="superscript"/>
          </w:rPr>
          <w:t>[44]</w:t>
        </w:r>
      </w:hyperlink>
      <w:r>
        <w:rPr>
          <w:vertAlign w:val="baseline"/>
        </w:rPr>
        <w:t>, the original knowl-edge contribution is the demonstration that allowance-graph PageRank is a distinct, efficient, and allowance-valid</w:t>
      </w:r>
      <w:r>
        <w:rPr>
          <w:spacing w:val="-14"/>
          <w:vertAlign w:val="baseline"/>
        </w:rPr>
        <w:t> </w:t>
      </w:r>
      <w:r>
        <w:rPr>
          <w:vertAlign w:val="baseline"/>
        </w:rPr>
        <w:t>social</w:t>
      </w:r>
      <w:r>
        <w:rPr>
          <w:spacing w:val="-14"/>
          <w:vertAlign w:val="baseline"/>
        </w:rPr>
        <w:t> </w:t>
      </w:r>
      <w:r>
        <w:rPr>
          <w:vertAlign w:val="baseline"/>
        </w:rPr>
        <w:t>reputation</w:t>
      </w:r>
      <w:r>
        <w:rPr>
          <w:spacing w:val="-14"/>
          <w:vertAlign w:val="baseline"/>
        </w:rPr>
        <w:t> </w:t>
      </w:r>
      <w:r>
        <w:rPr>
          <w:vertAlign w:val="baseline"/>
        </w:rPr>
        <w:t>construct</w:t>
      </w:r>
      <w:r>
        <w:rPr>
          <w:spacing w:val="-14"/>
          <w:vertAlign w:val="baseline"/>
        </w:rPr>
        <w:t> </w:t>
      </w:r>
      <w:r>
        <w:rPr>
          <w:vertAlign w:val="baseline"/>
        </w:rPr>
        <w:t>on</w:t>
      </w:r>
      <w:r>
        <w:rPr>
          <w:spacing w:val="-14"/>
          <w:vertAlign w:val="baseline"/>
        </w:rPr>
        <w:t> </w:t>
      </w:r>
      <w:r>
        <w:rPr>
          <w:vertAlign w:val="baseline"/>
        </w:rPr>
        <w:t>Arbitrum</w:t>
      </w:r>
      <w:r>
        <w:rPr>
          <w:spacing w:val="-14"/>
          <w:vertAlign w:val="baseline"/>
        </w:rPr>
        <w:t> </w:t>
      </w:r>
      <w:r>
        <w:rPr>
          <w:vertAlign w:val="baseline"/>
        </w:rPr>
        <w:t>One</w:t>
      </w:r>
      <w:r>
        <w:rPr>
          <w:spacing w:val="-14"/>
          <w:vertAlign w:val="baseline"/>
        </w:rPr>
        <w:t> </w:t>
      </w:r>
      <w:r>
        <w:rPr>
          <w:vertAlign w:val="baseline"/>
        </w:rPr>
        <w:t>leveraged</w:t>
      </w:r>
      <w:r>
        <w:rPr>
          <w:spacing w:val="-14"/>
          <w:vertAlign w:val="baseline"/>
        </w:rPr>
        <w:t> </w:t>
      </w:r>
      <w:r>
        <w:rPr>
          <w:vertAlign w:val="baseline"/>
        </w:rPr>
        <w:t>trading</w:t>
      </w:r>
      <w:r>
        <w:rPr>
          <w:spacing w:val="-14"/>
          <w:vertAlign w:val="baseline"/>
        </w:rPr>
        <w:t> </w:t>
      </w:r>
      <w:r>
        <w:rPr>
          <w:vertAlign w:val="baseline"/>
        </w:rPr>
        <w:t>data—not</w:t>
      </w:r>
      <w:r>
        <w:rPr>
          <w:spacing w:val="-14"/>
          <w:vertAlign w:val="baseline"/>
        </w:rPr>
        <w:t> </w:t>
      </w:r>
      <w:r>
        <w:rPr>
          <w:vertAlign w:val="baseline"/>
        </w:rPr>
        <w:t>a</w:t>
      </w:r>
      <w:r>
        <w:rPr>
          <w:spacing w:val="-14"/>
          <w:vertAlign w:val="baseline"/>
        </w:rPr>
        <w:t> </w:t>
      </w:r>
      <w:r>
        <w:rPr>
          <w:vertAlign w:val="baseline"/>
        </w:rPr>
        <w:t>drop-in approximation of transfer-graph AWP, and not a substitute for collateralization </w:t>
      </w:r>
      <w:hyperlink w:history="true" w:anchor="_bookmark159">
        <w:r>
          <w:rPr>
            <w:vertAlign w:val="superscript"/>
          </w:rPr>
          <w:t>[26]</w:t>
        </w:r>
      </w:hyperlink>
      <w:r>
        <w:rPr>
          <w:vertAlign w:val="superscript"/>
        </w:rPr>
        <w:t>,</w:t>
      </w:r>
      <w:hyperlink w:history="true" w:anchor="_bookmark161">
        <w:r>
          <w:rPr>
            <w:vertAlign w:val="superscript"/>
          </w:rPr>
          <w:t>[28]</w:t>
        </w:r>
      </w:hyperlink>
      <w:r>
        <w:rPr>
          <w:vertAlign w:val="superscript"/>
        </w:rPr>
        <w:t>,</w:t>
      </w:r>
      <w:hyperlink w:history="true" w:anchor="_bookmark186">
        <w:r>
          <w:rPr>
            <w:vertAlign w:val="superscript"/>
          </w:rPr>
          <w:t>[53]</w:t>
        </w:r>
      </w:hyperlink>
      <w:r>
        <w:rPr>
          <w:vertAlign w:val="superscript"/>
        </w:rPr>
        <w:t>,</w:t>
      </w:r>
      <w:hyperlink w:history="true" w:anchor="_bookmark192">
        <w:r>
          <w:rPr>
            <w:vertAlign w:val="superscript"/>
          </w:rPr>
          <w:t>[59]</w:t>
        </w:r>
      </w:hyperlink>
      <w:r>
        <w:rPr>
          <w:vertAlign w:val="baseline"/>
        </w:rPr>
        <w:t>.</w:t>
      </w:r>
    </w:p>
    <w:p>
      <w:pPr>
        <w:pStyle w:val="BodyText"/>
        <w:spacing w:line="396" w:lineRule="auto" w:before="66"/>
        <w:ind w:left="282" w:right="524"/>
        <w:jc w:val="both"/>
      </w:pPr>
      <w:r>
        <w:rPr>
          <w:i/>
        </w:rPr>
        <w:t>이전 그래프 평판 및 DeFi 신용 작업[16],[27],[29],[35],[39],[44]과 비교하여 원래 지식 기여는 허용 그래프 PageRank가 Arbitrum One 활용 거래 데이터에 대한 독특하고 효율적이며 허용 유효한 사회적 평판 구성임을 입증하는 것이며 전송 그래프의 드롭인 근사치가 아닙니다. AWP이며 담보를 대체하지 않습니다[26],[28],[53],[59].</w:t>
      </w:r>
    </w:p>
    <w:p>
      <w:pPr>
        <w:pStyle w:val="BodyText"/>
        <w:spacing w:line="381" w:lineRule="auto" w:before="18"/>
        <w:ind w:left="270" w:right="521" w:firstLine="3"/>
        <w:jc w:val="both"/>
      </w:pPr>
      <w:r>
        <w:rPr/>
        <w:t>Authorization graphs and payment graphs are therefore not interchangeable reputation substrates. </w:t>
      </w:r>
      <w:r>
        <w:rPr>
          <w:spacing w:val="-2"/>
        </w:rPr>
        <w:t>They</w:t>
      </w:r>
      <w:r>
        <w:rPr>
          <w:spacing w:val="-13"/>
        </w:rPr>
        <w:t> </w:t>
      </w:r>
      <w:r>
        <w:rPr>
          <w:spacing w:val="-2"/>
        </w:rPr>
        <w:t>differ</w:t>
      </w:r>
      <w:r>
        <w:rPr>
          <w:spacing w:val="-13"/>
        </w:rPr>
        <w:t> </w:t>
      </w:r>
      <w:r>
        <w:rPr>
          <w:spacing w:val="-2"/>
        </w:rPr>
        <w:t>in</w:t>
      </w:r>
      <w:r>
        <w:rPr>
          <w:spacing w:val="-13"/>
        </w:rPr>
        <w:t> </w:t>
      </w:r>
      <w:r>
        <w:rPr>
          <w:spacing w:val="-2"/>
        </w:rPr>
        <w:t>sparsity</w:t>
      </w:r>
      <w:r>
        <w:rPr>
          <w:spacing w:val="-13"/>
        </w:rPr>
        <w:t> </w:t>
      </w:r>
      <w:r>
        <w:rPr>
          <w:spacing w:val="-2"/>
        </w:rPr>
        <w:t>(</w:t>
      </w:r>
      <w:r>
        <w:rPr>
          <w:rFonts w:ascii="Calibri" w:hAnsi="Calibri"/>
          <w:spacing w:val="-2"/>
        </w:rPr>
        <w:t>14</w:t>
      </w:r>
      <w:r>
        <w:rPr>
          <w:rFonts w:ascii="Calibri" w:hAnsi="Calibri"/>
          <w:i/>
          <w:spacing w:val="-2"/>
        </w:rPr>
        <w:t>,</w:t>
      </w:r>
      <w:r>
        <w:rPr>
          <w:rFonts w:ascii="Calibri" w:hAnsi="Calibri"/>
          <w:spacing w:val="-2"/>
        </w:rPr>
        <w:t>727</w:t>
      </w:r>
      <w:r>
        <w:rPr>
          <w:rFonts w:ascii="Calibri" w:hAnsi="Calibri"/>
          <w:spacing w:val="-7"/>
        </w:rPr>
        <w:t> </w:t>
      </w:r>
      <w:r>
        <w:rPr>
          <w:spacing w:val="-2"/>
        </w:rPr>
        <w:t>versus</w:t>
      </w:r>
      <w:r>
        <w:rPr>
          <w:spacing w:val="-13"/>
        </w:rPr>
        <w:t> </w:t>
      </w:r>
      <w:r>
        <w:rPr>
          <w:rFonts w:ascii="Calibri" w:hAnsi="Calibri"/>
          <w:spacing w:val="-2"/>
        </w:rPr>
        <w:t>137</w:t>
      </w:r>
      <w:r>
        <w:rPr>
          <w:rFonts w:ascii="Calibri" w:hAnsi="Calibri"/>
          <w:i/>
          <w:spacing w:val="-2"/>
        </w:rPr>
        <w:t>,</w:t>
      </w:r>
      <w:r>
        <w:rPr>
          <w:rFonts w:ascii="Calibri" w:hAnsi="Calibri"/>
          <w:spacing w:val="-2"/>
        </w:rPr>
        <w:t>087</w:t>
      </w:r>
      <w:r>
        <w:rPr>
          <w:rFonts w:ascii="Calibri" w:hAnsi="Calibri"/>
          <w:spacing w:val="-7"/>
        </w:rPr>
        <w:t> </w:t>
      </w:r>
      <w:r>
        <w:rPr>
          <w:spacing w:val="-2"/>
        </w:rPr>
        <w:t>edges</w:t>
      </w:r>
      <w:r>
        <w:rPr>
          <w:spacing w:val="-13"/>
        </w:rPr>
        <w:t> </w:t>
      </w:r>
      <w:r>
        <w:rPr>
          <w:spacing w:val="-2"/>
        </w:rPr>
        <w:t>on</w:t>
      </w:r>
      <w:r>
        <w:rPr>
          <w:spacing w:val="-13"/>
        </w:rPr>
        <w:t> </w:t>
      </w:r>
      <w:r>
        <w:rPr>
          <w:spacing w:val="-2"/>
        </w:rPr>
        <w:t>the</w:t>
      </w:r>
      <w:r>
        <w:rPr>
          <w:spacing w:val="-13"/>
        </w:rPr>
        <w:t> </w:t>
      </w:r>
      <w:r>
        <w:rPr>
          <w:spacing w:val="-2"/>
        </w:rPr>
        <w:t>matched</w:t>
      </w:r>
      <w:r>
        <w:rPr>
          <w:spacing w:val="-13"/>
        </w:rPr>
        <w:t> </w:t>
      </w:r>
      <w:r>
        <w:rPr>
          <w:spacing w:val="-2"/>
        </w:rPr>
        <w:t>cohort),</w:t>
      </w:r>
      <w:r>
        <w:rPr>
          <w:spacing w:val="-9"/>
        </w:rPr>
        <w:t> </w:t>
      </w:r>
      <w:r>
        <w:rPr>
          <w:spacing w:val="-2"/>
        </w:rPr>
        <w:t>runtime</w:t>
      </w:r>
      <w:r>
        <w:rPr>
          <w:spacing w:val="-13"/>
        </w:rPr>
        <w:t> </w:t>
      </w:r>
      <w:r>
        <w:rPr>
          <w:spacing w:val="-2"/>
        </w:rPr>
        <w:t>(</w:t>
      </w:r>
      <w:r>
        <w:rPr>
          <w:rFonts w:ascii="Calibri" w:hAnsi="Calibri"/>
          <w:spacing w:val="-2"/>
        </w:rPr>
        <w:t>2</w:t>
      </w:r>
      <w:r>
        <w:rPr>
          <w:rFonts w:ascii="Calibri" w:hAnsi="Calibri"/>
          <w:i/>
          <w:spacing w:val="-2"/>
        </w:rPr>
        <w:t>.</w:t>
      </w:r>
      <w:r>
        <w:rPr>
          <w:rFonts w:ascii="Calibri" w:hAnsi="Calibri"/>
          <w:spacing w:val="-2"/>
        </w:rPr>
        <w:t>105</w:t>
      </w:r>
      <w:r>
        <w:rPr>
          <w:rFonts w:ascii="Calibri" w:hAnsi="Calibri"/>
          <w:spacing w:val="-7"/>
        </w:rPr>
        <w:t> </w:t>
      </w:r>
      <w:r>
        <w:rPr>
          <w:spacing w:val="-2"/>
        </w:rPr>
        <w:t>s</w:t>
      </w:r>
      <w:r>
        <w:rPr>
          <w:spacing w:val="-13"/>
        </w:rPr>
        <w:t> </w:t>
      </w:r>
      <w:r>
        <w:rPr>
          <w:spacing w:val="-2"/>
        </w:rPr>
        <w:t>versus </w:t>
      </w:r>
      <w:r>
        <w:rPr>
          <w:rFonts w:ascii="Calibri" w:hAnsi="Calibri"/>
        </w:rPr>
        <w:t>18</w:t>
      </w:r>
      <w:r>
        <w:rPr>
          <w:rFonts w:ascii="Calibri" w:hAnsi="Calibri"/>
          <w:i/>
        </w:rPr>
        <w:t>.</w:t>
      </w:r>
      <w:r>
        <w:rPr>
          <w:rFonts w:ascii="Calibri" w:hAnsi="Calibri"/>
        </w:rPr>
        <w:t>711</w:t>
      </w:r>
      <w:r>
        <w:rPr>
          <w:rFonts w:ascii="Calibri" w:hAnsi="Calibri"/>
          <w:spacing w:val="-13"/>
        </w:rPr>
        <w:t> </w:t>
      </w:r>
      <w:r>
        <w:rPr/>
        <w:t>s), and alignment profiles (allowance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355 </w:t>
      </w:r>
      <w:r>
        <w:rPr/>
        <w:t>for EndorseRank; transfer </w:t>
      </w:r>
      <w:r>
        <w:rPr>
          <w:rFonts w:ascii="Calibri" w:hAnsi="Calibri"/>
          <w:i/>
        </w:rPr>
        <w:t>τ</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534 </w:t>
      </w:r>
      <w:r>
        <w:rPr/>
        <w:t>for </w:t>
      </w:r>
      <w:bookmarkStart w:name="Future work" w:id="251"/>
      <w:bookmarkEnd w:id="251"/>
      <w:r>
        <w:rPr>
          <w:w w:val="99"/>
        </w:rPr>
      </w:r>
      <w:bookmarkStart w:name="_bookmark131" w:id="252"/>
      <w:bookmarkEnd w:id="252"/>
      <w:r>
        <w:rPr/>
        <w:t>A</w:t>
      </w:r>
      <w:r>
        <w:rPr/>
        <w:t>WP), and they should be validated against proxies that match their intended semantics </w:t>
      </w:r>
      <w:hyperlink w:history="true" w:anchor="_bookmark147">
        <w:r>
          <w:rPr>
            <w:vertAlign w:val="superscript"/>
          </w:rPr>
          <w:t>[14]</w:t>
        </w:r>
      </w:hyperlink>
      <w:r>
        <w:rPr>
          <w:vertAlign w:val="baseline"/>
        </w:rPr>
        <w:t>.</w:t>
      </w:r>
    </w:p>
    <w:p>
      <w:pPr>
        <w:pStyle w:val="BodyText"/>
        <w:spacing w:line="381" w:lineRule="auto" w:before="18"/>
        <w:ind w:left="270" w:right="521" w:firstLine="3"/>
        <w:jc w:val="both"/>
      </w:pPr>
      <w:r>
        <w:rPr>
          <w:i/>
        </w:rPr>
        <w:t>따라서 승인 그래프와 지불 그래프는 상호 교환 가능한 평판 기반이 아닙니다. 희소성(일치하는 코호트의 14,727개 대 137,087개 가장자리), 런타임(2.105초 대 18.711초) 및 정렬 프로필(EndorseRank의 경우 허용 τ = 0.355, AWP의 경우 전송 τ = 0.534)이 다르며 의도한 의미 체계와 일치하는 프록시에 대해 유효성을 검사해야 합니다. [14].</w:t>
      </w:r>
    </w:p>
    <w:p>
      <w:pPr>
        <w:pStyle w:val="BodyText"/>
        <w:spacing w:after="0" w:line="381" w:lineRule="auto"/>
        <w:jc w:val="both"/>
        <w:sectPr>
          <w:pgSz w:w="11910" w:h="16840"/>
          <w:pgMar w:header="0" w:footer="2115" w:top="1840" w:bottom="2300" w:left="992" w:right="708"/>
        </w:sectPr>
      </w:pPr>
    </w:p>
    <w:p>
      <w:pPr>
        <w:pStyle w:val="Heading2"/>
        <w:numPr>
          <w:ilvl w:val="1"/>
          <w:numId w:val="8"/>
        </w:numPr>
        <w:tabs>
          <w:tab w:pos="783" w:val="left" w:leader="none"/>
        </w:tabs>
        <w:spacing w:line="240" w:lineRule="auto" w:before="112" w:after="0"/>
        <w:ind w:left="783" w:right="0" w:hanging="501"/>
        <w:jc w:val="left"/>
      </w:pPr>
      <w:r>
        <w:rPr/>
        <w:t>Future</w:t>
      </w:r>
      <w:r>
        <w:rPr>
          <w:spacing w:val="11"/>
        </w:rPr>
        <w:t> </w:t>
      </w:r>
      <w:r>
        <w:rPr>
          <w:spacing w:val="-4"/>
        </w:rPr>
        <w:t>work</w:t>
      </w:r>
    </w:p>
    <w:p>
      <w:pPr>
        <w:pStyle w:val="Heading2"/>
        <w:numPr>
          <w:ilvl w:val="1"/>
          <w:numId w:val="8"/>
        </w:numPr>
        <w:tabs>
          <w:tab w:pos="783" w:val="left" w:leader="none"/>
        </w:tabs>
        <w:spacing w:line="240" w:lineRule="auto" w:before="112" w:after="0"/>
        <w:ind w:left="783" w:right="0" w:hanging="501"/>
        <w:jc w:val="left"/>
      </w:pPr>
      <w:r>
        <w:rPr>
          <w:i/>
        </w:rPr>
        <w:t>미래의 일</w:t>
      </w:r>
    </w:p>
    <w:p>
      <w:pPr>
        <w:pStyle w:val="BodyText"/>
        <w:spacing w:before="24"/>
        <w:rPr>
          <w:b/>
          <w:sz w:val="28"/>
        </w:rPr>
      </w:pPr>
    </w:p>
    <w:p>
      <w:pPr>
        <w:pStyle w:val="BodyText"/>
        <w:ind w:left="282"/>
      </w:pPr>
      <w:r>
        <w:rPr/>
        <w:t>Several</w:t>
      </w:r>
      <w:r>
        <w:rPr>
          <w:spacing w:val="-8"/>
        </w:rPr>
        <w:t> </w:t>
      </w:r>
      <w:r>
        <w:rPr/>
        <w:t>extensions</w:t>
      </w:r>
      <w:r>
        <w:rPr>
          <w:spacing w:val="-8"/>
        </w:rPr>
        <w:t> </w:t>
      </w:r>
      <w:r>
        <w:rPr/>
        <w:t>follow</w:t>
      </w:r>
      <w:r>
        <w:rPr>
          <w:spacing w:val="-8"/>
        </w:rPr>
        <w:t> </w:t>
      </w:r>
      <w:r>
        <w:rPr/>
        <w:t>from</w:t>
      </w:r>
      <w:r>
        <w:rPr>
          <w:spacing w:val="-8"/>
        </w:rPr>
        <w:t> </w:t>
      </w:r>
      <w:r>
        <w:rPr/>
        <w:t>the</w:t>
      </w:r>
      <w:r>
        <w:rPr>
          <w:spacing w:val="-8"/>
        </w:rPr>
        <w:t> </w:t>
      </w:r>
      <w:r>
        <w:rPr/>
        <w:t>limitations</w:t>
      </w:r>
      <w:r>
        <w:rPr>
          <w:spacing w:val="-8"/>
        </w:rPr>
        <w:t> </w:t>
      </w:r>
      <w:r>
        <w:rPr/>
        <w:t>in</w:t>
      </w:r>
      <w:r>
        <w:rPr>
          <w:spacing w:val="-8"/>
        </w:rPr>
        <w:t> </w:t>
      </w:r>
      <w:r>
        <w:rPr/>
        <w:t>Chapter</w:t>
      </w:r>
      <w:r>
        <w:rPr>
          <w:spacing w:val="-7"/>
        </w:rPr>
        <w:t> </w:t>
      </w:r>
      <w:hyperlink w:history="true" w:anchor="_bookmark114">
        <w:r>
          <w:rPr/>
          <w:t>5</w:t>
        </w:r>
      </w:hyperlink>
      <w:r>
        <w:rPr>
          <w:spacing w:val="-8"/>
        </w:rPr>
        <w:t> </w:t>
      </w:r>
      <w:r>
        <w:rPr/>
        <w:t>and</w:t>
      </w:r>
      <w:r>
        <w:rPr>
          <w:spacing w:val="-7"/>
        </w:rPr>
        <w:t> </w:t>
      </w:r>
      <w:r>
        <w:rPr/>
        <w:t>the</w:t>
      </w:r>
      <w:r>
        <w:rPr>
          <w:spacing w:val="-8"/>
        </w:rPr>
        <w:t> </w:t>
      </w:r>
      <w:r>
        <w:rPr/>
        <w:t>scope</w:t>
      </w:r>
      <w:r>
        <w:rPr>
          <w:spacing w:val="-8"/>
        </w:rPr>
        <w:t> </w:t>
      </w:r>
      <w:r>
        <w:rPr/>
        <w:t>of</w:t>
      </w:r>
      <w:r>
        <w:rPr>
          <w:spacing w:val="-8"/>
        </w:rPr>
        <w:t> </w:t>
      </w:r>
      <w:r>
        <w:rPr/>
        <w:t>this</w:t>
      </w:r>
      <w:r>
        <w:rPr>
          <w:spacing w:val="-8"/>
        </w:rPr>
        <w:t> </w:t>
      </w:r>
      <w:r>
        <w:rPr>
          <w:spacing w:val="-2"/>
        </w:rPr>
        <w:t>study.</w:t>
      </w:r>
    </w:p>
    <w:p>
      <w:pPr>
        <w:pStyle w:val="BodyText"/>
        <w:ind w:left="282"/>
      </w:pPr>
      <w:r>
        <w:rPr>
          <w:i/>
        </w:rPr>
        <w:t>5장의 제한 사항과 본 연구의 범위에서 몇 가지 확장이 이루어졌습니다.</w:t>
      </w:r>
    </w:p>
    <w:p>
      <w:pPr>
        <w:pStyle w:val="BodyText"/>
        <w:spacing w:before="24"/>
      </w:pPr>
    </w:p>
    <w:p>
      <w:pPr>
        <w:pStyle w:val="ListParagraph"/>
        <w:numPr>
          <w:ilvl w:val="0"/>
          <w:numId w:val="27"/>
        </w:numPr>
        <w:tabs>
          <w:tab w:pos="806" w:val="left" w:leader="none"/>
          <w:tab w:pos="808" w:val="left" w:leader="none"/>
        </w:tabs>
        <w:spacing w:line="396" w:lineRule="auto" w:before="0" w:after="0"/>
        <w:ind w:left="808" w:right="524" w:hanging="216"/>
        <w:jc w:val="both"/>
        <w:rPr>
          <w:sz w:val="24"/>
        </w:rPr>
      </w:pPr>
      <w:r>
        <w:rPr>
          <w:b/>
          <w:sz w:val="24"/>
        </w:rPr>
        <w:t>Cross-protocol and cross-chain validation:</w:t>
      </w:r>
      <w:r>
        <w:rPr>
          <w:b/>
          <w:spacing w:val="35"/>
          <w:sz w:val="24"/>
        </w:rPr>
        <w:t> </w:t>
      </w:r>
      <w:r>
        <w:rPr>
          <w:sz w:val="24"/>
        </w:rPr>
        <w:t>Replication on other perpetual markets, lend-ing protocols, and Layer-2 or Layer-1 networks would test whether the allowance–transfer trade-off</w:t>
      </w:r>
      <w:r>
        <w:rPr>
          <w:spacing w:val="28"/>
          <w:sz w:val="24"/>
        </w:rPr>
        <w:t> </w:t>
      </w:r>
      <w:r>
        <w:rPr>
          <w:sz w:val="24"/>
        </w:rPr>
        <w:t>generalizes</w:t>
      </w:r>
      <w:r>
        <w:rPr>
          <w:spacing w:val="28"/>
          <w:sz w:val="24"/>
        </w:rPr>
        <w:t> </w:t>
      </w:r>
      <w:r>
        <w:rPr>
          <w:sz w:val="24"/>
        </w:rPr>
        <w:t>beyond</w:t>
      </w:r>
      <w:r>
        <w:rPr>
          <w:spacing w:val="28"/>
          <w:sz w:val="24"/>
        </w:rPr>
        <w:t> </w:t>
      </w:r>
      <w:r>
        <w:rPr>
          <w:sz w:val="24"/>
        </w:rPr>
        <w:t>Arbitrum</w:t>
      </w:r>
      <w:r>
        <w:rPr>
          <w:spacing w:val="28"/>
          <w:sz w:val="24"/>
        </w:rPr>
        <w:t> </w:t>
      </w:r>
      <w:r>
        <w:rPr>
          <w:sz w:val="24"/>
        </w:rPr>
        <w:t>One</w:t>
      </w:r>
      <w:r>
        <w:rPr>
          <w:spacing w:val="28"/>
          <w:sz w:val="24"/>
        </w:rPr>
        <w:t> </w:t>
      </w:r>
      <w:r>
        <w:rPr>
          <w:sz w:val="24"/>
        </w:rPr>
        <w:t>and</w:t>
      </w:r>
      <w:r>
        <w:rPr>
          <w:spacing w:val="28"/>
          <w:sz w:val="24"/>
        </w:rPr>
        <w:t> </w:t>
      </w:r>
      <w:r>
        <w:rPr>
          <w:sz w:val="24"/>
        </w:rPr>
        <w:t>GMX</w:t>
      </w:r>
      <w:r>
        <w:rPr>
          <w:spacing w:val="29"/>
          <w:sz w:val="24"/>
        </w:rPr>
        <w:t> </w:t>
      </w:r>
      <w:r>
        <w:rPr>
          <w:sz w:val="24"/>
        </w:rPr>
        <w:t>V2</w:t>
      </w:r>
      <w:r>
        <w:rPr>
          <w:spacing w:val="29"/>
          <w:sz w:val="24"/>
        </w:rPr>
        <w:t> </w:t>
      </w:r>
      <w:hyperlink w:history="true" w:anchor="_bookmark186">
        <w:r>
          <w:rPr>
            <w:sz w:val="24"/>
            <w:vertAlign w:val="superscript"/>
          </w:rPr>
          <w:t>[53]</w:t>
        </w:r>
      </w:hyperlink>
      <w:r>
        <w:rPr>
          <w:sz w:val="24"/>
          <w:vertAlign w:val="superscript"/>
        </w:rPr>
        <w:t>,</w:t>
      </w:r>
      <w:hyperlink w:history="true" w:anchor="_bookmark192">
        <w:r>
          <w:rPr>
            <w:sz w:val="24"/>
            <w:vertAlign w:val="superscript"/>
          </w:rPr>
          <w:t>[59]</w:t>
        </w:r>
      </w:hyperlink>
      <w:r>
        <w:rPr>
          <w:sz w:val="24"/>
          <w:vertAlign w:val="baseline"/>
        </w:rPr>
        <w:t>.</w:t>
      </w:r>
      <w:r>
        <w:rPr>
          <w:spacing w:val="80"/>
          <w:sz w:val="24"/>
          <w:vertAlign w:val="baseline"/>
        </w:rPr>
        <w:t> </w:t>
      </w:r>
      <w:r>
        <w:rPr>
          <w:sz w:val="24"/>
          <w:vertAlign w:val="baseline"/>
        </w:rPr>
        <w:t>Where</w:t>
      </w:r>
      <w:r>
        <w:rPr>
          <w:spacing w:val="29"/>
          <w:sz w:val="24"/>
          <w:vertAlign w:val="baseline"/>
        </w:rPr>
        <w:t> </w:t>
      </w:r>
      <w:r>
        <w:rPr>
          <w:sz w:val="24"/>
          <w:vertAlign w:val="baseline"/>
        </w:rPr>
        <w:t>lending</w:t>
      </w:r>
      <w:r>
        <w:rPr>
          <w:spacing w:val="28"/>
          <w:sz w:val="24"/>
          <w:vertAlign w:val="baseline"/>
        </w:rPr>
        <w:t> </w:t>
      </w:r>
      <w:r>
        <w:rPr>
          <w:sz w:val="24"/>
          <w:vertAlign w:val="baseline"/>
        </w:rPr>
        <w:t>default or liquidation labels are denser, credit-ground-truth validation can complement the trading-success frame used here </w:t>
      </w:r>
      <w:hyperlink w:history="true" w:anchor="_bookmark159">
        <w:r>
          <w:rPr>
            <w:sz w:val="24"/>
            <w:vertAlign w:val="superscript"/>
          </w:rPr>
          <w:t>[26]</w:t>
        </w:r>
      </w:hyperlink>
      <w:r>
        <w:rPr>
          <w:sz w:val="24"/>
          <w:vertAlign w:val="superscript"/>
        </w:rPr>
        <w:t>,</w:t>
      </w:r>
      <w:hyperlink w:history="true" w:anchor="_bookmark177">
        <w:r>
          <w:rPr>
            <w:sz w:val="24"/>
            <w:vertAlign w:val="superscript"/>
          </w:rPr>
          <w:t>[44]</w:t>
        </w:r>
      </w:hyperlink>
      <w:r>
        <w:rPr>
          <w:sz w:val="24"/>
          <w:vertAlign w:val="baseline"/>
        </w:rPr>
        <w:t>.</w:t>
      </w:r>
      <w:r>
        <w:rPr>
          <w:spacing w:val="40"/>
          <w:sz w:val="24"/>
          <w:vertAlign w:val="baseline"/>
        </w:rPr>
        <w:t> </w:t>
      </w:r>
      <w:r>
        <w:rPr>
          <w:sz w:val="24"/>
          <w:vertAlign w:val="baseline"/>
        </w:rPr>
        <w:t>Cross-chain GMX deployments and alternative L2s offer natural replication sites with comparable event schemas.</w:t>
      </w:r>
    </w:p>
    <w:p>
      <w:pPr>
        <w:pStyle w:val="ListParagraph"/>
        <w:numPr>
          <w:ilvl w:val="0"/>
          <w:numId w:val="27"/>
        </w:numPr>
        <w:tabs>
          <w:tab w:pos="806" w:val="left" w:leader="none"/>
          <w:tab w:pos="808" w:val="left" w:leader="none"/>
        </w:tabs>
        <w:spacing w:line="396" w:lineRule="auto" w:before="0" w:after="0"/>
        <w:ind w:left="808" w:right="524" w:hanging="216"/>
        <w:jc w:val="both"/>
        <w:rPr>
          <w:sz w:val="24"/>
        </w:rPr>
      </w:pPr>
      <w:r>
        <w:rPr>
          <w:i/>
        </w:rPr>
        <w:t>프로토콜 간 및 체인 간 검증: 다른 영구 시장, 대출 프로토콜, 레이어 2 또는 레이어 1 네트워크에서의 복제는 허용량-이전 트레이드 오프가 Arbitrum One 및 GMX V2 [53],[59] 이상으로 일반화되는지 여부를 테스트합니다. 대출 불이행 또는 청산 레이블이 더 조밀한 경우 신용-실측-진실 검증은 여기에서 사용된 거래 성공 프레임을 보완할 수 있습니다[26],[44]. 크로스체인 GMX 배포 및 대체 L2는 유사한 이벤트 스키마를 갖춘 자연 복제 사이트를 제공합니다.</w:t>
      </w:r>
    </w:p>
    <w:p>
      <w:pPr>
        <w:pStyle w:val="ListParagraph"/>
        <w:numPr>
          <w:ilvl w:val="0"/>
          <w:numId w:val="27"/>
        </w:numPr>
        <w:tabs>
          <w:tab w:pos="797" w:val="left" w:leader="none"/>
          <w:tab w:pos="799" w:val="left" w:leader="none"/>
        </w:tabs>
        <w:spacing w:line="391" w:lineRule="auto" w:before="43" w:after="0"/>
        <w:ind w:left="799" w:right="523" w:hanging="207"/>
        <w:jc w:val="both"/>
        <w:rPr>
          <w:sz w:val="24"/>
        </w:rPr>
      </w:pPr>
      <w:r>
        <w:rPr>
          <w:b/>
          <w:sz w:val="24"/>
        </w:rPr>
        <w:t>Adversarial evaluation:</w:t>
      </w:r>
      <w:r>
        <w:rPr>
          <w:b/>
          <w:spacing w:val="40"/>
          <w:sz w:val="24"/>
        </w:rPr>
        <w:t> </w:t>
      </w:r>
      <w:r>
        <w:rPr>
          <w:sz w:val="24"/>
        </w:rPr>
        <w:t>The Sybil cost model in Chapter </w:t>
      </w:r>
      <w:hyperlink w:history="true" w:anchor="_bookmark114">
        <w:r>
          <w:rPr>
            <w:sz w:val="24"/>
          </w:rPr>
          <w:t>5</w:t>
        </w:r>
      </w:hyperlink>
      <w:r>
        <w:rPr>
          <w:sz w:val="24"/>
        </w:rPr>
        <w:t> is analytical.</w:t>
      </w:r>
      <w:r>
        <w:rPr>
          <w:spacing w:val="40"/>
          <w:sz w:val="24"/>
        </w:rPr>
        <w:t> </w:t>
      </w:r>
      <w:r>
        <w:rPr>
          <w:sz w:val="24"/>
        </w:rPr>
        <w:t>Empirical red-teaming—including wash approvals, coordinated spender farms, and strategic revocation—would</w:t>
      </w:r>
      <w:r>
        <w:rPr>
          <w:spacing w:val="-11"/>
          <w:sz w:val="24"/>
        </w:rPr>
        <w:t> </w:t>
      </w:r>
      <w:r>
        <w:rPr>
          <w:sz w:val="24"/>
        </w:rPr>
        <w:t>quantify</w:t>
      </w:r>
      <w:r>
        <w:rPr>
          <w:spacing w:val="-11"/>
          <w:sz w:val="24"/>
        </w:rPr>
        <w:t> </w:t>
      </w:r>
      <w:r>
        <w:rPr>
          <w:sz w:val="24"/>
        </w:rPr>
        <w:t>realized</w:t>
      </w:r>
      <w:r>
        <w:rPr>
          <w:spacing w:val="-11"/>
          <w:sz w:val="24"/>
        </w:rPr>
        <w:t> </w:t>
      </w:r>
      <w:r>
        <w:rPr>
          <w:sz w:val="24"/>
        </w:rPr>
        <w:t>attack</w:t>
      </w:r>
      <w:r>
        <w:rPr>
          <w:spacing w:val="-11"/>
          <w:sz w:val="24"/>
        </w:rPr>
        <w:t> </w:t>
      </w:r>
      <w:r>
        <w:rPr>
          <w:sz w:val="24"/>
        </w:rPr>
        <w:t>cost-effectiveness</w:t>
      </w:r>
      <w:r>
        <w:rPr>
          <w:spacing w:val="-11"/>
          <w:sz w:val="24"/>
        </w:rPr>
        <w:t> </w:t>
      </w:r>
      <w:r>
        <w:rPr>
          <w:sz w:val="24"/>
        </w:rPr>
        <w:t>under</w:t>
      </w:r>
      <w:r>
        <w:rPr>
          <w:spacing w:val="-11"/>
          <w:sz w:val="24"/>
        </w:rPr>
        <w:t> </w:t>
      </w:r>
      <w:r>
        <w:rPr>
          <w:sz w:val="24"/>
        </w:rPr>
        <w:t>live</w:t>
      </w:r>
      <w:r>
        <w:rPr>
          <w:spacing w:val="-11"/>
          <w:sz w:val="24"/>
        </w:rPr>
        <w:t> </w:t>
      </w:r>
      <w:r>
        <w:rPr>
          <w:sz w:val="24"/>
        </w:rPr>
        <w:t>fee</w:t>
      </w:r>
      <w:r>
        <w:rPr>
          <w:spacing w:val="-11"/>
          <w:sz w:val="24"/>
        </w:rPr>
        <w:t> </w:t>
      </w:r>
      <w:r>
        <w:rPr>
          <w:sz w:val="24"/>
        </w:rPr>
        <w:t>markets</w:t>
      </w:r>
      <w:r>
        <w:rPr>
          <w:spacing w:val="-11"/>
          <w:sz w:val="24"/>
        </w:rPr>
        <w:t> </w:t>
      </w:r>
      <w:r>
        <w:rPr>
          <w:sz w:val="24"/>
        </w:rPr>
        <w:t>and</w:t>
      </w:r>
      <w:r>
        <w:rPr>
          <w:spacing w:val="-11"/>
          <w:sz w:val="24"/>
        </w:rPr>
        <w:t> </w:t>
      </w:r>
      <w:r>
        <w:rPr>
          <w:sz w:val="24"/>
        </w:rPr>
        <w:t>detection</w:t>
      </w:r>
      <w:r>
        <w:rPr>
          <w:spacing w:val="-11"/>
          <w:sz w:val="24"/>
        </w:rPr>
        <w:t> </w:t>
      </w:r>
      <w:r>
        <w:rPr>
          <w:sz w:val="24"/>
        </w:rPr>
        <w:t>heuris-tics </w:t>
      </w:r>
      <w:hyperlink w:history="true" w:anchor="_bookmark150">
        <w:r>
          <w:rPr>
            <w:sz w:val="24"/>
            <w:vertAlign w:val="superscript"/>
          </w:rPr>
          <w:t>[17]</w:t>
        </w:r>
      </w:hyperlink>
      <w:r>
        <w:rPr>
          <w:sz w:val="24"/>
          <w:vertAlign w:val="baseline"/>
        </w:rPr>
        <w:t>.</w:t>
      </w:r>
      <w:r>
        <w:rPr>
          <w:spacing w:val="40"/>
          <w:sz w:val="24"/>
          <w:vertAlign w:val="baseline"/>
        </w:rPr>
        <w:t> </w:t>
      </w:r>
      <w:r>
        <w:rPr>
          <w:sz w:val="24"/>
          <w:vertAlign w:val="baseline"/>
        </w:rPr>
        <w:t>Sybil clustering on </w:t>
      </w:r>
      <w:r>
        <w:rPr>
          <w:rFonts w:ascii="Calibri" w:hAnsi="Calibri"/>
          <w:i/>
          <w:sz w:val="24"/>
          <w:vertAlign w:val="baseline"/>
        </w:rPr>
        <w:t>G</w:t>
      </w:r>
      <w:r>
        <w:rPr>
          <w:sz w:val="24"/>
          <w:vertAlign w:val="subscript"/>
        </w:rPr>
        <w:t>approve</w:t>
      </w:r>
      <w:r>
        <w:rPr>
          <w:sz w:val="24"/>
          <w:vertAlign w:val="baseline"/>
        </w:rPr>
        <w:t> and comparison with transfer-graph manipulation costs are</w:t>
      </w:r>
      <w:r>
        <w:rPr>
          <w:spacing w:val="-10"/>
          <w:sz w:val="24"/>
          <w:vertAlign w:val="baseline"/>
        </w:rPr>
        <w:t> </w:t>
      </w:r>
      <w:r>
        <w:rPr>
          <w:sz w:val="24"/>
          <w:vertAlign w:val="baseline"/>
        </w:rPr>
        <w:t>natural</w:t>
      </w:r>
      <w:r>
        <w:rPr>
          <w:spacing w:val="-10"/>
          <w:sz w:val="24"/>
          <w:vertAlign w:val="baseline"/>
        </w:rPr>
        <w:t> </w:t>
      </w:r>
      <w:r>
        <w:rPr>
          <w:sz w:val="24"/>
          <w:vertAlign w:val="baseline"/>
        </w:rPr>
        <w:t>next</w:t>
      </w:r>
      <w:r>
        <w:rPr>
          <w:spacing w:val="-10"/>
          <w:sz w:val="24"/>
          <w:vertAlign w:val="baseline"/>
        </w:rPr>
        <w:t> </w:t>
      </w:r>
      <w:r>
        <w:rPr>
          <w:sz w:val="24"/>
          <w:vertAlign w:val="baseline"/>
        </w:rPr>
        <w:t>experiments.</w:t>
      </w:r>
      <w:r>
        <w:rPr>
          <w:spacing w:val="11"/>
          <w:sz w:val="24"/>
          <w:vertAlign w:val="baseline"/>
        </w:rPr>
        <w:t> </w:t>
      </w:r>
      <w:r>
        <w:rPr>
          <w:sz w:val="24"/>
          <w:vertAlign w:val="baseline"/>
        </w:rPr>
        <w:t>Such</w:t>
      </w:r>
      <w:r>
        <w:rPr>
          <w:spacing w:val="-10"/>
          <w:sz w:val="24"/>
          <w:vertAlign w:val="baseline"/>
        </w:rPr>
        <w:t> </w:t>
      </w:r>
      <w:r>
        <w:rPr>
          <w:sz w:val="24"/>
          <w:vertAlign w:val="baseline"/>
        </w:rPr>
        <w:t>work</w:t>
      </w:r>
      <w:r>
        <w:rPr>
          <w:spacing w:val="-10"/>
          <w:sz w:val="24"/>
          <w:vertAlign w:val="baseline"/>
        </w:rPr>
        <w:t> </w:t>
      </w:r>
      <w:r>
        <w:rPr>
          <w:sz w:val="24"/>
          <w:vertAlign w:val="baseline"/>
        </w:rPr>
        <w:t>would</w:t>
      </w:r>
      <w:r>
        <w:rPr>
          <w:spacing w:val="-10"/>
          <w:sz w:val="24"/>
          <w:vertAlign w:val="baseline"/>
        </w:rPr>
        <w:t> </w:t>
      </w:r>
      <w:r>
        <w:rPr>
          <w:sz w:val="24"/>
          <w:vertAlign w:val="baseline"/>
        </w:rPr>
        <w:t>also</w:t>
      </w:r>
      <w:r>
        <w:rPr>
          <w:spacing w:val="-10"/>
          <w:sz w:val="24"/>
          <w:vertAlign w:val="baseline"/>
        </w:rPr>
        <w:t> </w:t>
      </w:r>
      <w:r>
        <w:rPr>
          <w:sz w:val="24"/>
          <w:vertAlign w:val="baseline"/>
        </w:rPr>
        <w:t>stress-test</w:t>
      </w:r>
      <w:r>
        <w:rPr>
          <w:spacing w:val="-10"/>
          <w:sz w:val="24"/>
          <w:vertAlign w:val="baseline"/>
        </w:rPr>
        <w:t> </w:t>
      </w:r>
      <w:r>
        <w:rPr>
          <w:sz w:val="24"/>
          <w:vertAlign w:val="baseline"/>
        </w:rPr>
        <w:t>whether</w:t>
      </w:r>
      <w:r>
        <w:rPr>
          <w:spacing w:val="-10"/>
          <w:sz w:val="24"/>
          <w:vertAlign w:val="baseline"/>
        </w:rPr>
        <w:t> </w:t>
      </w:r>
      <w:r>
        <w:rPr>
          <w:sz w:val="24"/>
          <w:vertAlign w:val="baseline"/>
        </w:rPr>
        <w:t>Sybil-adjusted</w:t>
      </w:r>
      <w:r>
        <w:rPr>
          <w:spacing w:val="-10"/>
          <w:sz w:val="24"/>
          <w:vertAlign w:val="baseline"/>
        </w:rPr>
        <w:t> </w:t>
      </w:r>
      <w:r>
        <w:rPr>
          <w:sz w:val="24"/>
          <w:vertAlign w:val="baseline"/>
        </w:rPr>
        <w:t>stabil-ity proxies remain informative under active adversaries.</w:t>
      </w:r>
    </w:p>
    <w:p>
      <w:pPr>
        <w:pStyle w:val="ListParagraph"/>
        <w:numPr>
          <w:ilvl w:val="0"/>
          <w:numId w:val="27"/>
        </w:numPr>
        <w:tabs>
          <w:tab w:pos="797" w:val="left" w:leader="none"/>
          <w:tab w:pos="799" w:val="left" w:leader="none"/>
        </w:tabs>
        <w:spacing w:line="391" w:lineRule="auto" w:before="43" w:after="0"/>
        <w:ind w:left="799" w:right="523" w:hanging="207"/>
        <w:jc w:val="both"/>
        <w:rPr>
          <w:sz w:val="24"/>
        </w:rPr>
      </w:pPr>
      <w:r>
        <w:rPr>
          <w:i/>
        </w:rPr>
        <w:t>적대적 평가: 5장의 Sybil 비용 모델은 분석적입니다. 워시 승인, 공동 지출 팜, 전략적 철회를 포함한 경험적 레드팀 구성은 라이브 수수료 시장 및 탐지 휴리스틱에서 실현된 공격 비용 효율성을 정량화합니다[17]. Sybil Gapprove에서의 클러스터링과 전송 그래프 조작 비용 비교는 다음 실험에서 자연스러운 현상입니다. 이러한 작업은 또한 Sybil 조정된 안정성 프록시가 활동적인 적들에게도 여전히 유용한 정보를 제공하는지 여부를 스트레스 테스트할 것입니다.</w:t>
      </w:r>
    </w:p>
    <w:p>
      <w:pPr>
        <w:pStyle w:val="ListParagraph"/>
        <w:numPr>
          <w:ilvl w:val="0"/>
          <w:numId w:val="27"/>
        </w:numPr>
        <w:tabs>
          <w:tab w:pos="806" w:val="left" w:leader="none"/>
          <w:tab w:pos="808" w:val="left" w:leader="none"/>
        </w:tabs>
        <w:spacing w:line="396" w:lineRule="auto" w:before="49" w:after="0"/>
        <w:ind w:left="808" w:right="522" w:hanging="216"/>
        <w:jc w:val="both"/>
        <w:rPr>
          <w:sz w:val="24"/>
        </w:rPr>
      </w:pPr>
      <w:r>
        <w:rPr>
          <w:b/>
          <w:sz w:val="24"/>
        </w:rPr>
        <w:t>Hybrid social and outcome-aware methods:</w:t>
      </w:r>
      <w:r>
        <w:rPr>
          <w:b/>
          <w:spacing w:val="38"/>
          <w:sz w:val="24"/>
        </w:rPr>
        <w:t> </w:t>
      </w:r>
      <w:r>
        <w:rPr>
          <w:sz w:val="24"/>
        </w:rPr>
        <w:t>Operators may combine endorsement-graph </w:t>
      </w:r>
      <w:r>
        <w:rPr>
          <w:spacing w:val="-2"/>
          <w:sz w:val="24"/>
        </w:rPr>
        <w:t>features</w:t>
      </w:r>
      <w:r>
        <w:rPr>
          <w:spacing w:val="-4"/>
          <w:sz w:val="24"/>
        </w:rPr>
        <w:t> </w:t>
      </w:r>
      <w:r>
        <w:rPr>
          <w:spacing w:val="-2"/>
          <w:sz w:val="24"/>
        </w:rPr>
        <w:t>with</w:t>
      </w:r>
      <w:r>
        <w:rPr>
          <w:spacing w:val="-4"/>
          <w:sz w:val="24"/>
        </w:rPr>
        <w:t> </w:t>
      </w:r>
      <w:r>
        <w:rPr>
          <w:spacing w:val="-2"/>
          <w:sz w:val="24"/>
        </w:rPr>
        <w:t>transfer-graph</w:t>
      </w:r>
      <w:r>
        <w:rPr>
          <w:spacing w:val="-4"/>
          <w:sz w:val="24"/>
        </w:rPr>
        <w:t> </w:t>
      </w:r>
      <w:r>
        <w:rPr>
          <w:spacing w:val="-2"/>
          <w:sz w:val="24"/>
        </w:rPr>
        <w:t>features, or</w:t>
      </w:r>
      <w:r>
        <w:rPr>
          <w:spacing w:val="-4"/>
          <w:sz w:val="24"/>
        </w:rPr>
        <w:t> </w:t>
      </w:r>
      <w:r>
        <w:rPr>
          <w:spacing w:val="-2"/>
          <w:sz w:val="24"/>
        </w:rPr>
        <w:t>with</w:t>
      </w:r>
      <w:r>
        <w:rPr>
          <w:spacing w:val="-4"/>
          <w:sz w:val="24"/>
        </w:rPr>
        <w:t> </w:t>
      </w:r>
      <w:r>
        <w:rPr>
          <w:spacing w:val="-2"/>
          <w:sz w:val="24"/>
        </w:rPr>
        <w:t>DeFi-informed</w:t>
      </w:r>
      <w:r>
        <w:rPr>
          <w:spacing w:val="-4"/>
          <w:sz w:val="24"/>
        </w:rPr>
        <w:t> </w:t>
      </w:r>
      <w:r>
        <w:rPr>
          <w:spacing w:val="-2"/>
          <w:sz w:val="24"/>
        </w:rPr>
        <w:t>representation</w:t>
      </w:r>
      <w:r>
        <w:rPr>
          <w:spacing w:val="-4"/>
          <w:sz w:val="24"/>
        </w:rPr>
        <w:t> </w:t>
      </w:r>
      <w:r>
        <w:rPr>
          <w:spacing w:val="-2"/>
          <w:sz w:val="24"/>
        </w:rPr>
        <w:t>learning</w:t>
      </w:r>
      <w:r>
        <w:rPr>
          <w:spacing w:val="-4"/>
          <w:sz w:val="24"/>
        </w:rPr>
        <w:t> </w:t>
      </w:r>
      <w:hyperlink w:history="true" w:anchor="_bookmark172">
        <w:r>
          <w:rPr>
            <w:spacing w:val="-2"/>
            <w:sz w:val="24"/>
            <w:vertAlign w:val="superscript"/>
          </w:rPr>
          <w:t>[39]</w:t>
        </w:r>
      </w:hyperlink>
      <w:r>
        <w:rPr>
          <w:spacing w:val="-2"/>
          <w:sz w:val="24"/>
          <w:vertAlign w:val="baseline"/>
        </w:rPr>
        <w:t>, while </w:t>
      </w:r>
      <w:r>
        <w:rPr>
          <w:sz w:val="24"/>
          <w:vertAlign w:val="baseline"/>
        </w:rPr>
        <w:t>preserving the auditability emphasized by Packin and Lev-Aretz</w:t>
      </w:r>
      <w:hyperlink w:history="true" w:anchor="_bookmark181">
        <w:r>
          <w:rPr>
            <w:sz w:val="24"/>
            <w:vertAlign w:val="superscript"/>
          </w:rPr>
          <w:t>[48]</w:t>
        </w:r>
      </w:hyperlink>
      <w:r>
        <w:rPr>
          <w:sz w:val="24"/>
          <w:vertAlign w:val="baseline"/>
        </w:rPr>
        <w:t>.</w:t>
      </w:r>
      <w:r>
        <w:rPr>
          <w:spacing w:val="40"/>
          <w:sz w:val="24"/>
          <w:vertAlign w:val="baseline"/>
        </w:rPr>
        <w:t> </w:t>
      </w:r>
      <w:r>
        <w:rPr>
          <w:sz w:val="24"/>
          <w:vertAlign w:val="baseline"/>
        </w:rPr>
        <w:t>Outcome-native diag-nostics in the spirit of GF-PR can remain on a supplementary track for bounding trading-outcome proxy evaluation without being deployed as social scores.</w:t>
      </w:r>
      <w:r>
        <w:rPr>
          <w:spacing w:val="40"/>
          <w:sz w:val="24"/>
          <w:vertAlign w:val="baseline"/>
        </w:rPr>
        <w:t> </w:t>
      </w:r>
      <w:r>
        <w:rPr>
          <w:sz w:val="24"/>
          <w:vertAlign w:val="baseline"/>
        </w:rPr>
        <w:t>Hybrid designs should report construct-specific alignment rather than a single aggregate metric, following the five-proxy template of this dissertation.</w:t>
      </w:r>
    </w:p>
    <w:p>
      <w:pPr>
        <w:pStyle w:val="ListParagraph"/>
        <w:numPr>
          <w:ilvl w:val="0"/>
          <w:numId w:val="27"/>
        </w:numPr>
        <w:tabs>
          <w:tab w:pos="806" w:val="left" w:leader="none"/>
          <w:tab w:pos="808" w:val="left" w:leader="none"/>
        </w:tabs>
        <w:spacing w:line="396" w:lineRule="auto" w:before="49" w:after="0"/>
        <w:ind w:left="808" w:right="522" w:hanging="216"/>
        <w:jc w:val="both"/>
        <w:rPr>
          <w:sz w:val="24"/>
        </w:rPr>
      </w:pPr>
      <w:r>
        <w:rPr>
          <w:i/>
        </w:rPr>
        <w:t>하이브리드 소셜 및 결과 인식 방법: 운영자는 Packin 및 Lev-Aretz[48]가 강조한 감사 가능성을 유지하면서 보증 그래프 기능을 전송 그래프 기능 또는 DeFi 정보 표현 학습[39]과 결합할 수 있습니다. GF-PR 정신에 따른 결과 기반 진단은 사회적 점수로 배포되지 않고 제한된 거래 결과 대리 평가를 위한 보충 트랙에 남아 있을 수 있습니다. 하이브리드 설계는 이 논문의 5개 프록시 템플릿에 따라 단일 집계 메트릭이 아닌 구성별 정렬을 보고해야 합니다.</w:t>
      </w:r>
    </w:p>
    <w:p>
      <w:pPr>
        <w:pStyle w:val="ListParagraph"/>
        <w:numPr>
          <w:ilvl w:val="0"/>
          <w:numId w:val="27"/>
        </w:numPr>
        <w:tabs>
          <w:tab w:pos="806" w:val="left" w:leader="none"/>
          <w:tab w:pos="808" w:val="left" w:leader="none"/>
        </w:tabs>
        <w:spacing w:line="391" w:lineRule="auto" w:before="44" w:after="0"/>
        <w:ind w:left="808" w:right="524" w:hanging="216"/>
        <w:jc w:val="both"/>
        <w:rPr>
          <w:sz w:val="24"/>
        </w:rPr>
      </w:pPr>
      <w:r>
        <w:rPr>
          <w:b/>
          <w:sz w:val="24"/>
        </w:rPr>
        <w:t>Live oracles and governance tooling:</w:t>
      </w:r>
      <w:r>
        <w:rPr>
          <w:b/>
          <w:spacing w:val="40"/>
          <w:sz w:val="24"/>
        </w:rPr>
        <w:t> </w:t>
      </w:r>
      <w:r>
        <w:rPr>
          <w:sz w:val="24"/>
        </w:rPr>
        <w:t>Integration with risk oracles, liquidation prioritiza-tion,</w:t>
      </w:r>
      <w:r>
        <w:rPr>
          <w:spacing w:val="-8"/>
          <w:sz w:val="24"/>
        </w:rPr>
        <w:t> </w:t>
      </w:r>
      <w:r>
        <w:rPr>
          <w:sz w:val="24"/>
        </w:rPr>
        <w:t>and</w:t>
      </w:r>
      <w:r>
        <w:rPr>
          <w:spacing w:val="-5"/>
          <w:sz w:val="24"/>
        </w:rPr>
        <w:t> </w:t>
      </w:r>
      <w:r>
        <w:rPr>
          <w:sz w:val="24"/>
        </w:rPr>
        <w:t>governance</w:t>
      </w:r>
      <w:r>
        <w:rPr>
          <w:spacing w:val="-5"/>
          <w:sz w:val="24"/>
        </w:rPr>
        <w:t> </w:t>
      </w:r>
      <w:r>
        <w:rPr>
          <w:sz w:val="24"/>
        </w:rPr>
        <w:t>dashboards</w:t>
      </w:r>
      <w:r>
        <w:rPr>
          <w:spacing w:val="-6"/>
          <w:sz w:val="24"/>
        </w:rPr>
        <w:t> </w:t>
      </w:r>
      <w:r>
        <w:rPr>
          <w:sz w:val="24"/>
        </w:rPr>
        <w:t>would</w:t>
      </w:r>
      <w:r>
        <w:rPr>
          <w:spacing w:val="-5"/>
          <w:sz w:val="24"/>
        </w:rPr>
        <w:t> </w:t>
      </w:r>
      <w:r>
        <w:rPr>
          <w:sz w:val="24"/>
        </w:rPr>
        <w:t>test</w:t>
      </w:r>
      <w:r>
        <w:rPr>
          <w:spacing w:val="-5"/>
          <w:sz w:val="24"/>
        </w:rPr>
        <w:t> </w:t>
      </w:r>
      <w:r>
        <w:rPr>
          <w:sz w:val="24"/>
        </w:rPr>
        <w:t>whether</w:t>
      </w:r>
      <w:r>
        <w:rPr>
          <w:spacing w:val="-5"/>
          <w:sz w:val="24"/>
        </w:rPr>
        <w:t> </w:t>
      </w:r>
      <w:r>
        <w:rPr>
          <w:sz w:val="24"/>
        </w:rPr>
        <w:t>EndorseRank’s</w:t>
      </w:r>
      <w:r>
        <w:rPr>
          <w:spacing w:val="-6"/>
          <w:sz w:val="24"/>
        </w:rPr>
        <w:t> </w:t>
      </w:r>
      <w:r>
        <w:rPr>
          <w:sz w:val="24"/>
        </w:rPr>
        <w:t>runtime</w:t>
      </w:r>
      <w:r>
        <w:rPr>
          <w:spacing w:val="-5"/>
          <w:sz w:val="24"/>
        </w:rPr>
        <w:t> </w:t>
      </w:r>
      <w:r>
        <w:rPr>
          <w:sz w:val="24"/>
        </w:rPr>
        <w:t>profile</w:t>
      </w:r>
      <w:r>
        <w:rPr>
          <w:spacing w:val="-5"/>
          <w:sz w:val="24"/>
        </w:rPr>
        <w:t> </w:t>
      </w:r>
      <w:r>
        <w:rPr>
          <w:sz w:val="24"/>
        </w:rPr>
        <w:t>(</w:t>
      </w:r>
      <w:r>
        <w:rPr>
          <w:rFonts w:ascii="Calibri" w:hAnsi="Calibri"/>
          <w:sz w:val="24"/>
        </w:rPr>
        <w:t>2</w:t>
      </w:r>
      <w:r>
        <w:rPr>
          <w:rFonts w:ascii="Calibri" w:hAnsi="Calibri"/>
          <w:i/>
          <w:sz w:val="24"/>
        </w:rPr>
        <w:t>.</w:t>
      </w:r>
      <w:r>
        <w:rPr>
          <w:rFonts w:ascii="Calibri" w:hAnsi="Calibri"/>
          <w:sz w:val="24"/>
        </w:rPr>
        <w:t>105</w:t>
      </w:r>
      <w:r>
        <w:rPr>
          <w:rFonts w:ascii="Calibri" w:hAnsi="Calibri"/>
          <w:spacing w:val="-14"/>
          <w:sz w:val="24"/>
        </w:rPr>
        <w:t> </w:t>
      </w:r>
      <w:r>
        <w:rPr>
          <w:sz w:val="24"/>
        </w:rPr>
        <w:t>s on the matched cohort; order-of-magnitude gains on the expanded pool) sustains production refresh cadences.</w:t>
      </w:r>
      <w:r>
        <w:rPr>
          <w:spacing w:val="40"/>
          <w:sz w:val="24"/>
        </w:rPr>
        <w:t> </w:t>
      </w:r>
      <w:r>
        <w:rPr>
          <w:sz w:val="24"/>
        </w:rPr>
        <w:t>Careful interface design is required so that ordinal graph scores are not over-interpreted</w:t>
      </w:r>
      <w:r>
        <w:rPr>
          <w:spacing w:val="-6"/>
          <w:sz w:val="24"/>
        </w:rPr>
        <w:t> </w:t>
      </w:r>
      <w:r>
        <w:rPr>
          <w:sz w:val="24"/>
        </w:rPr>
        <w:t>as</w:t>
      </w:r>
      <w:r>
        <w:rPr>
          <w:spacing w:val="-6"/>
          <w:sz w:val="24"/>
        </w:rPr>
        <w:t> </w:t>
      </w:r>
      <w:r>
        <w:rPr>
          <w:sz w:val="24"/>
        </w:rPr>
        <w:t>consumer</w:t>
      </w:r>
      <w:r>
        <w:rPr>
          <w:spacing w:val="-5"/>
          <w:sz w:val="24"/>
        </w:rPr>
        <w:t> </w:t>
      </w:r>
      <w:r>
        <w:rPr>
          <w:sz w:val="24"/>
        </w:rPr>
        <w:t>credit</w:t>
      </w:r>
      <w:r>
        <w:rPr>
          <w:spacing w:val="-6"/>
          <w:sz w:val="24"/>
        </w:rPr>
        <w:t> </w:t>
      </w:r>
      <w:r>
        <w:rPr>
          <w:sz w:val="24"/>
        </w:rPr>
        <w:t>ratings.</w:t>
      </w:r>
      <w:r>
        <w:rPr>
          <w:spacing w:val="18"/>
          <w:sz w:val="24"/>
        </w:rPr>
        <w:t> </w:t>
      </w:r>
      <w:r>
        <w:rPr>
          <w:sz w:val="24"/>
        </w:rPr>
        <w:t>Human-in-the-loop</w:t>
      </w:r>
      <w:r>
        <w:rPr>
          <w:spacing w:val="-5"/>
          <w:sz w:val="24"/>
        </w:rPr>
        <w:t> </w:t>
      </w:r>
      <w:r>
        <w:rPr>
          <w:sz w:val="24"/>
        </w:rPr>
        <w:t>safeguards</w:t>
      </w:r>
      <w:r>
        <w:rPr>
          <w:spacing w:val="-6"/>
          <w:sz w:val="24"/>
        </w:rPr>
        <w:t> </w:t>
      </w:r>
      <w:r>
        <w:rPr>
          <w:sz w:val="24"/>
        </w:rPr>
        <w:t>remain</w:t>
      </w:r>
      <w:r>
        <w:rPr>
          <w:spacing w:val="-6"/>
          <w:sz w:val="24"/>
        </w:rPr>
        <w:t> </w:t>
      </w:r>
      <w:r>
        <w:rPr>
          <w:sz w:val="24"/>
        </w:rPr>
        <w:t>appropri-</w:t>
      </w:r>
    </w:p>
    <w:p>
      <w:pPr>
        <w:pStyle w:val="ListParagraph"/>
        <w:numPr>
          <w:ilvl w:val="0"/>
          <w:numId w:val="27"/>
        </w:numPr>
        <w:tabs>
          <w:tab w:pos="806" w:val="left" w:leader="none"/>
          <w:tab w:pos="808" w:val="left" w:leader="none"/>
        </w:tabs>
        <w:spacing w:line="391" w:lineRule="auto" w:before="44" w:after="0"/>
        <w:ind w:left="808" w:right="524" w:hanging="216"/>
        <w:jc w:val="both"/>
        <w:rPr>
          <w:sz w:val="24"/>
        </w:rPr>
      </w:pPr>
      <w:r>
        <w:rPr>
          <w:i/>
        </w:rPr>
        <w:t>라이브 오라클 및 거버넌스 도구: 위험 오라클, 청산 우선 순위 지정 및 거버넌스 대시보드와의 통합을 통해 EndorseRank의 런타임 프로필(일치하는 코호트에서 2.105초, 확장된 풀에서 수십 배의 이득)이 프로덕션 갱신 흐름을 유지하는지 여부를 테스트합니다. 순서형 그래프 점수가 소비자 신용등급으로 과도하게 해석되지 않도록 세심한 인터페이스 디자인이 필요합니다. 인간 참여형(Human-In-The-Loop) 보호 장치가 적절하게 유지됩니다.</w:t>
      </w:r>
    </w:p>
    <w:p>
      <w:pPr>
        <w:pStyle w:val="ListParagraph"/>
        <w:spacing w:after="0" w:line="391" w:lineRule="auto"/>
        <w:jc w:val="both"/>
        <w:rPr>
          <w:sz w:val="24"/>
        </w:rPr>
        <w:sectPr>
          <w:pgSz w:w="11910" w:h="16840"/>
          <w:pgMar w:header="0" w:footer="2115" w:top="1920" w:bottom="2300" w:left="992" w:right="708"/>
        </w:sectPr>
      </w:pPr>
    </w:p>
    <w:p>
      <w:pPr>
        <w:pStyle w:val="BodyText"/>
        <w:spacing w:before="72"/>
        <w:ind w:left="808"/>
        <w:jc w:val="both"/>
      </w:pPr>
      <w:r>
        <w:rPr/>
        <w:t>ate</w:t>
      </w:r>
      <w:r>
        <w:rPr>
          <w:spacing w:val="-8"/>
        </w:rPr>
        <w:t> </w:t>
      </w:r>
      <w:r>
        <w:rPr/>
        <w:t>wherever</w:t>
      </w:r>
      <w:r>
        <w:rPr>
          <w:spacing w:val="-8"/>
        </w:rPr>
        <w:t> </w:t>
      </w:r>
      <w:r>
        <w:rPr/>
        <w:t>scores</w:t>
      </w:r>
      <w:r>
        <w:rPr>
          <w:spacing w:val="-8"/>
        </w:rPr>
        <w:t> </w:t>
      </w:r>
      <w:r>
        <w:rPr/>
        <w:t>gate</w:t>
      </w:r>
      <w:r>
        <w:rPr>
          <w:spacing w:val="-8"/>
        </w:rPr>
        <w:t> </w:t>
      </w:r>
      <w:r>
        <w:rPr/>
        <w:t>access</w:t>
      </w:r>
      <w:r>
        <w:rPr>
          <w:spacing w:val="-8"/>
        </w:rPr>
        <w:t> </w:t>
      </w:r>
      <w:r>
        <w:rPr/>
        <w:t>to</w:t>
      </w:r>
      <w:r>
        <w:rPr>
          <w:spacing w:val="-8"/>
        </w:rPr>
        <w:t> </w:t>
      </w:r>
      <w:r>
        <w:rPr/>
        <w:t>financial</w:t>
      </w:r>
      <w:r>
        <w:rPr>
          <w:spacing w:val="-8"/>
        </w:rPr>
        <w:t> </w:t>
      </w:r>
      <w:r>
        <w:rPr>
          <w:spacing w:val="-2"/>
        </w:rPr>
        <w:t>services.</w:t>
      </w:r>
    </w:p>
    <w:p>
      <w:pPr>
        <w:pStyle w:val="BodyText"/>
        <w:spacing w:before="72"/>
        <w:ind w:left="808"/>
        <w:jc w:val="both"/>
      </w:pPr>
      <w:r>
        <w:rPr>
          <w:i/>
        </w:rPr>
        <w:t>금융 서비스를 이용할 수 있는 곳이라면 어디든 먹었습니다.</w:t>
      </w:r>
    </w:p>
    <w:p>
      <w:pPr>
        <w:pStyle w:val="ListParagraph"/>
        <w:numPr>
          <w:ilvl w:val="0"/>
          <w:numId w:val="27"/>
        </w:numPr>
        <w:tabs>
          <w:tab w:pos="802" w:val="left" w:leader="none"/>
          <w:tab w:pos="806" w:val="left" w:leader="none"/>
        </w:tabs>
        <w:spacing w:line="396" w:lineRule="auto" w:before="217" w:after="0"/>
        <w:ind w:left="802" w:right="523" w:hanging="210"/>
        <w:jc w:val="both"/>
        <w:rPr>
          <w:sz w:val="24"/>
        </w:rPr>
      </w:pPr>
      <w:r>
        <w:rPr>
          <w:spacing w:val="-15"/>
          <w:sz w:val="24"/>
        </w:rPr>
        <w:t> </w:t>
      </w:r>
      <w:r>
        <w:rPr>
          <w:b/>
          <w:sz w:val="24"/>
        </w:rPr>
        <w:t>Collateral-differentiation</w:t>
      </w:r>
      <w:r>
        <w:rPr>
          <w:b/>
          <w:spacing w:val="-8"/>
          <w:sz w:val="24"/>
        </w:rPr>
        <w:t> </w:t>
      </w:r>
      <w:r>
        <w:rPr>
          <w:b/>
          <w:sz w:val="24"/>
        </w:rPr>
        <w:t>experiments:</w:t>
      </w:r>
      <w:r>
        <w:rPr>
          <w:b/>
          <w:spacing w:val="40"/>
          <w:sz w:val="24"/>
        </w:rPr>
        <w:t> </w:t>
      </w:r>
      <w:r>
        <w:rPr>
          <w:sz w:val="24"/>
        </w:rPr>
        <w:t>Section </w:t>
      </w:r>
      <w:hyperlink w:history="true" w:anchor="_bookmark119">
        <w:r>
          <w:rPr>
            <w:sz w:val="24"/>
          </w:rPr>
          <w:t>5.4.4</w:t>
        </w:r>
      </w:hyperlink>
      <w:r>
        <w:rPr>
          <w:sz w:val="24"/>
        </w:rPr>
        <w:t> argues that protocols can capture value through fee tiers, utilization, and monitoring cost without treating reputation as a col-lateral</w:t>
      </w:r>
      <w:r>
        <w:rPr>
          <w:spacing w:val="-5"/>
          <w:sz w:val="24"/>
        </w:rPr>
        <w:t> </w:t>
      </w:r>
      <w:r>
        <w:rPr>
          <w:sz w:val="24"/>
        </w:rPr>
        <w:t>substitute. Controlled</w:t>
      </w:r>
      <w:r>
        <w:rPr>
          <w:spacing w:val="-5"/>
          <w:sz w:val="24"/>
        </w:rPr>
        <w:t> </w:t>
      </w:r>
      <w:r>
        <w:rPr>
          <w:sz w:val="24"/>
        </w:rPr>
        <w:t>A/B</w:t>
      </w:r>
      <w:r>
        <w:rPr>
          <w:spacing w:val="-5"/>
          <w:sz w:val="24"/>
        </w:rPr>
        <w:t> </w:t>
      </w:r>
      <w:r>
        <w:rPr>
          <w:sz w:val="24"/>
        </w:rPr>
        <w:t>deployments</w:t>
      </w:r>
      <w:r>
        <w:rPr>
          <w:spacing w:val="-6"/>
          <w:sz w:val="24"/>
        </w:rPr>
        <w:t> </w:t>
      </w:r>
      <w:r>
        <w:rPr>
          <w:sz w:val="24"/>
        </w:rPr>
        <w:t>that</w:t>
      </w:r>
      <w:r>
        <w:rPr>
          <w:spacing w:val="-5"/>
          <w:sz w:val="24"/>
        </w:rPr>
        <w:t> </w:t>
      </w:r>
      <w:r>
        <w:rPr>
          <w:sz w:val="24"/>
        </w:rPr>
        <w:t>modestly</w:t>
      </w:r>
      <w:r>
        <w:rPr>
          <w:spacing w:val="-5"/>
          <w:sz w:val="24"/>
        </w:rPr>
        <w:t> </w:t>
      </w:r>
      <w:r>
        <w:rPr>
          <w:sz w:val="24"/>
        </w:rPr>
        <w:t>differentiate</w:t>
      </w:r>
      <w:r>
        <w:rPr>
          <w:spacing w:val="-5"/>
          <w:sz w:val="24"/>
        </w:rPr>
        <w:t> </w:t>
      </w:r>
      <w:r>
        <w:rPr>
          <w:sz w:val="24"/>
        </w:rPr>
        <w:t>collateral</w:t>
      </w:r>
      <w:r>
        <w:rPr>
          <w:spacing w:val="-5"/>
          <w:sz w:val="24"/>
        </w:rPr>
        <w:t> </w:t>
      </w:r>
      <w:r>
        <w:rPr>
          <w:sz w:val="24"/>
        </w:rPr>
        <w:t>or</w:t>
      </w:r>
      <w:r>
        <w:rPr>
          <w:spacing w:val="-5"/>
          <w:sz w:val="24"/>
        </w:rPr>
        <w:t> </w:t>
      </w:r>
      <w:r>
        <w:rPr>
          <w:sz w:val="24"/>
        </w:rPr>
        <w:t>limit-</w:t>
      </w:r>
      <w:r>
        <w:rPr>
          <w:spacing w:val="-2"/>
          <w:sz w:val="24"/>
        </w:rPr>
        <w:t>increase</w:t>
      </w:r>
      <w:r>
        <w:rPr>
          <w:spacing w:val="-7"/>
          <w:sz w:val="24"/>
        </w:rPr>
        <w:t> </w:t>
      </w:r>
      <w:r>
        <w:rPr>
          <w:spacing w:val="-2"/>
          <w:sz w:val="24"/>
        </w:rPr>
        <w:t>cadence</w:t>
      </w:r>
      <w:r>
        <w:rPr>
          <w:spacing w:val="-7"/>
          <w:sz w:val="24"/>
        </w:rPr>
        <w:t> </w:t>
      </w:r>
      <w:r>
        <w:rPr>
          <w:spacing w:val="-2"/>
          <w:sz w:val="24"/>
        </w:rPr>
        <w:t>by</w:t>
      </w:r>
      <w:r>
        <w:rPr>
          <w:spacing w:val="-7"/>
          <w:sz w:val="24"/>
        </w:rPr>
        <w:t> </w:t>
      </w:r>
      <w:r>
        <w:rPr>
          <w:spacing w:val="-2"/>
          <w:sz w:val="24"/>
        </w:rPr>
        <w:t>EndorseRank</w:t>
      </w:r>
      <w:r>
        <w:rPr>
          <w:spacing w:val="-7"/>
          <w:sz w:val="24"/>
        </w:rPr>
        <w:t> </w:t>
      </w:r>
      <w:r>
        <w:rPr>
          <w:spacing w:val="-2"/>
          <w:sz w:val="24"/>
        </w:rPr>
        <w:t>or</w:t>
      </w:r>
      <w:r>
        <w:rPr>
          <w:spacing w:val="-7"/>
          <w:sz w:val="24"/>
        </w:rPr>
        <w:t> </w:t>
      </w:r>
      <w:r>
        <w:rPr>
          <w:spacing w:val="-2"/>
          <w:sz w:val="24"/>
        </w:rPr>
        <w:t>AWP</w:t>
      </w:r>
      <w:r>
        <w:rPr>
          <w:spacing w:val="-7"/>
          <w:sz w:val="24"/>
        </w:rPr>
        <w:t> </w:t>
      </w:r>
      <w:r>
        <w:rPr>
          <w:spacing w:val="-2"/>
          <w:sz w:val="24"/>
        </w:rPr>
        <w:t>bands—with</w:t>
      </w:r>
      <w:r>
        <w:rPr>
          <w:spacing w:val="-7"/>
          <w:sz w:val="24"/>
        </w:rPr>
        <w:t> </w:t>
      </w:r>
      <w:r>
        <w:rPr>
          <w:spacing w:val="-2"/>
          <w:sz w:val="24"/>
        </w:rPr>
        <w:t>explicit</w:t>
      </w:r>
      <w:r>
        <w:rPr>
          <w:spacing w:val="-7"/>
          <w:sz w:val="24"/>
        </w:rPr>
        <w:t> </w:t>
      </w:r>
      <w:r>
        <w:rPr>
          <w:spacing w:val="-2"/>
          <w:sz w:val="24"/>
        </w:rPr>
        <w:t>stop-loss</w:t>
      </w:r>
      <w:r>
        <w:rPr>
          <w:spacing w:val="-7"/>
          <w:sz w:val="24"/>
        </w:rPr>
        <w:t> </w:t>
      </w:r>
      <w:r>
        <w:rPr>
          <w:spacing w:val="-2"/>
          <w:sz w:val="24"/>
        </w:rPr>
        <w:t>rules</w:t>
      </w:r>
      <w:r>
        <w:rPr>
          <w:spacing w:val="-7"/>
          <w:sz w:val="24"/>
        </w:rPr>
        <w:t> </w:t>
      </w:r>
      <w:r>
        <w:rPr>
          <w:spacing w:val="-2"/>
          <w:sz w:val="24"/>
        </w:rPr>
        <w:t>and</w:t>
      </w:r>
      <w:r>
        <w:rPr>
          <w:spacing w:val="-7"/>
          <w:sz w:val="24"/>
        </w:rPr>
        <w:t> </w:t>
      </w:r>
      <w:r>
        <w:rPr>
          <w:spacing w:val="-2"/>
          <w:sz w:val="24"/>
        </w:rPr>
        <w:t>disclosure </w:t>
      </w:r>
      <w:r>
        <w:rPr>
          <w:sz w:val="24"/>
        </w:rPr>
        <w:t>of</w:t>
      </w:r>
      <w:r>
        <w:rPr>
          <w:spacing w:val="-13"/>
          <w:sz w:val="24"/>
        </w:rPr>
        <w:t> </w:t>
      </w:r>
      <w:r>
        <w:rPr>
          <w:sz w:val="24"/>
        </w:rPr>
        <w:t>weak</w:t>
      </w:r>
      <w:r>
        <w:rPr>
          <w:spacing w:val="-13"/>
          <w:sz w:val="24"/>
        </w:rPr>
        <w:t> </w:t>
      </w:r>
      <w:r>
        <w:rPr>
          <w:sz w:val="24"/>
        </w:rPr>
        <w:t>trading-success</w:t>
      </w:r>
      <w:r>
        <w:rPr>
          <w:spacing w:val="-13"/>
          <w:sz w:val="24"/>
        </w:rPr>
        <w:t> </w:t>
      </w:r>
      <w:r>
        <w:rPr>
          <w:sz w:val="24"/>
        </w:rPr>
        <w:t>alignment—would</w:t>
      </w:r>
      <w:r>
        <w:rPr>
          <w:spacing w:val="-13"/>
          <w:sz w:val="24"/>
        </w:rPr>
        <w:t> </w:t>
      </w:r>
      <w:r>
        <w:rPr>
          <w:sz w:val="24"/>
        </w:rPr>
        <w:t>test</w:t>
      </w:r>
      <w:r>
        <w:rPr>
          <w:spacing w:val="-13"/>
          <w:sz w:val="24"/>
        </w:rPr>
        <w:t> </w:t>
      </w:r>
      <w:r>
        <w:rPr>
          <w:sz w:val="24"/>
        </w:rPr>
        <w:t>whether</w:t>
      </w:r>
      <w:r>
        <w:rPr>
          <w:spacing w:val="-13"/>
          <w:sz w:val="24"/>
        </w:rPr>
        <w:t> </w:t>
      </w:r>
      <w:r>
        <w:rPr>
          <w:sz w:val="24"/>
        </w:rPr>
        <w:t>such</w:t>
      </w:r>
      <w:r>
        <w:rPr>
          <w:spacing w:val="-13"/>
          <w:sz w:val="24"/>
        </w:rPr>
        <w:t> </w:t>
      </w:r>
      <w:r>
        <w:rPr>
          <w:sz w:val="24"/>
        </w:rPr>
        <w:t>policies</w:t>
      </w:r>
      <w:r>
        <w:rPr>
          <w:spacing w:val="-13"/>
          <w:sz w:val="24"/>
        </w:rPr>
        <w:t> </w:t>
      </w:r>
      <w:r>
        <w:rPr>
          <w:sz w:val="24"/>
        </w:rPr>
        <w:t>increase</w:t>
      </w:r>
      <w:r>
        <w:rPr>
          <w:spacing w:val="-13"/>
          <w:sz w:val="24"/>
        </w:rPr>
        <w:t> </w:t>
      </w:r>
      <w:r>
        <w:rPr>
          <w:sz w:val="24"/>
        </w:rPr>
        <w:t>volume</w:t>
      </w:r>
      <w:r>
        <w:rPr>
          <w:spacing w:val="-13"/>
          <w:sz w:val="24"/>
        </w:rPr>
        <w:t> </w:t>
      </w:r>
      <w:r>
        <w:rPr>
          <w:sz w:val="24"/>
        </w:rPr>
        <w:t>or</w:t>
      </w:r>
      <w:r>
        <w:rPr>
          <w:spacing w:val="-13"/>
          <w:sz w:val="24"/>
        </w:rPr>
        <w:t> </w:t>
      </w:r>
      <w:r>
        <w:rPr>
          <w:sz w:val="24"/>
        </w:rPr>
        <w:t>uti-lization without elevating default or liquidation rates.</w:t>
      </w:r>
      <w:r>
        <w:rPr>
          <w:spacing w:val="40"/>
          <w:sz w:val="24"/>
        </w:rPr>
        <w:t> </w:t>
      </w:r>
      <w:r>
        <w:rPr>
          <w:sz w:val="24"/>
        </w:rPr>
        <w:t>Until such evidence exists, collateral reduction remains an adoption hypothesis rather than an empirical claim of this dissertation.</w:t>
      </w:r>
    </w:p>
    <w:p>
      <w:pPr>
        <w:pStyle w:val="ListParagraph"/>
        <w:numPr>
          <w:ilvl w:val="0"/>
          <w:numId w:val="27"/>
        </w:numPr>
        <w:tabs>
          <w:tab w:pos="802" w:val="left" w:leader="none"/>
          <w:tab w:pos="806" w:val="left" w:leader="none"/>
        </w:tabs>
        <w:spacing w:line="396" w:lineRule="auto" w:before="217" w:after="0"/>
        <w:ind w:left="802" w:right="523" w:hanging="210"/>
        <w:jc w:val="both"/>
        <w:rPr>
          <w:sz w:val="24"/>
        </w:rPr>
      </w:pPr>
      <w:r>
        <w:rPr>
          <w:i/>
        </w:rPr>
        <w:t>담보 차별화 실험: 섹션 5.4.4에서는 평판을 담보 대체물로 취급하지 않고도 프로토콜이 수수료 계층, 활용 및 모니터링 비용을 통해 가치를 포착할 수 있다고 주장합니다. EndorseRank 또는 AWP 대역별로 담보 또는 한도 증가 주기를 적당히 차별화하는 통제된 A/B 배포는 명시적인 손실 정지 규칙과 약한 거래 성공 조정 공개를 통해 이러한 정책이 채무 불이행 또는 청산율을 높이지 않고 거래량 또는 활용도를 증가시키는지 여부를 테스트할 것입니다. 그러한 증거가 존재할 때까지 담보 감소는 이 논문의 실증적 주장이라기보다는 채택 가설로 남아 있습니다.</w:t>
      </w:r>
    </w:p>
    <w:p>
      <w:pPr>
        <w:pStyle w:val="ListParagraph"/>
        <w:numPr>
          <w:ilvl w:val="0"/>
          <w:numId w:val="27"/>
        </w:numPr>
        <w:tabs>
          <w:tab w:pos="797" w:val="left" w:leader="none"/>
          <w:tab w:pos="802" w:val="left" w:leader="none"/>
        </w:tabs>
        <w:spacing w:line="396" w:lineRule="auto" w:before="45" w:after="0"/>
        <w:ind w:left="802" w:right="524" w:hanging="210"/>
        <w:jc w:val="both"/>
        <w:rPr>
          <w:sz w:val="24"/>
        </w:rPr>
      </w:pPr>
      <w:r>
        <w:rPr>
          <w:b/>
          <w:sz w:val="24"/>
        </w:rPr>
        <w:t>Adoption</w:t>
      </w:r>
      <w:r>
        <w:rPr>
          <w:b/>
          <w:spacing w:val="-15"/>
          <w:sz w:val="24"/>
        </w:rPr>
        <w:t> </w:t>
      </w:r>
      <w:r>
        <w:rPr>
          <w:b/>
          <w:sz w:val="24"/>
        </w:rPr>
        <w:t>pathway</w:t>
      </w:r>
      <w:r>
        <w:rPr>
          <w:b/>
          <w:spacing w:val="-15"/>
          <w:sz w:val="24"/>
        </w:rPr>
        <w:t> </w:t>
      </w:r>
      <w:r>
        <w:rPr>
          <w:b/>
          <w:sz w:val="24"/>
        </w:rPr>
        <w:t>and</w:t>
      </w:r>
      <w:r>
        <w:rPr>
          <w:b/>
          <w:spacing w:val="-15"/>
          <w:sz w:val="24"/>
        </w:rPr>
        <w:t> </w:t>
      </w:r>
      <w:r>
        <w:rPr>
          <w:b/>
          <w:sz w:val="24"/>
        </w:rPr>
        <w:t>reputation</w:t>
      </w:r>
      <w:r>
        <w:rPr>
          <w:b/>
          <w:spacing w:val="-15"/>
          <w:sz w:val="24"/>
        </w:rPr>
        <w:t> </w:t>
      </w:r>
      <w:r>
        <w:rPr>
          <w:b/>
          <w:sz w:val="24"/>
        </w:rPr>
        <w:t>multiples:</w:t>
      </w:r>
      <w:r>
        <w:rPr>
          <w:b/>
          <w:spacing w:val="-15"/>
          <w:sz w:val="24"/>
        </w:rPr>
        <w:t> </w:t>
      </w:r>
      <w:r>
        <w:rPr>
          <w:sz w:val="24"/>
        </w:rPr>
        <w:t>Longitudinal</w:t>
      </w:r>
      <w:r>
        <w:rPr>
          <w:spacing w:val="-15"/>
          <w:sz w:val="24"/>
        </w:rPr>
        <w:t> </w:t>
      </w:r>
      <w:r>
        <w:rPr>
          <w:sz w:val="24"/>
        </w:rPr>
        <w:t>studies</w:t>
      </w:r>
      <w:r>
        <w:rPr>
          <w:spacing w:val="-15"/>
          <w:sz w:val="24"/>
        </w:rPr>
        <w:t> </w:t>
      </w:r>
      <w:r>
        <w:rPr>
          <w:sz w:val="24"/>
        </w:rPr>
        <w:t>of</w:t>
      </w:r>
      <w:r>
        <w:rPr>
          <w:spacing w:val="-15"/>
          <w:sz w:val="24"/>
        </w:rPr>
        <w:t> </w:t>
      </w:r>
      <w:r>
        <w:rPr>
          <w:sz w:val="24"/>
        </w:rPr>
        <w:t>protocols</w:t>
      </w:r>
      <w:r>
        <w:rPr>
          <w:spacing w:val="-15"/>
          <w:sz w:val="24"/>
        </w:rPr>
        <w:t> </w:t>
      </w:r>
      <w:r>
        <w:rPr>
          <w:sz w:val="24"/>
        </w:rPr>
        <w:t>that</w:t>
      </w:r>
      <w:r>
        <w:rPr>
          <w:spacing w:val="-15"/>
          <w:sz w:val="24"/>
        </w:rPr>
        <w:t> </w:t>
      </w:r>
      <w:r>
        <w:rPr>
          <w:sz w:val="24"/>
        </w:rPr>
        <w:t>publish recomputable social ranks would clarify whether a shared ordinal vocabulary spreads across venues</w:t>
      </w:r>
      <w:r>
        <w:rPr>
          <w:spacing w:val="-12"/>
          <w:sz w:val="24"/>
        </w:rPr>
        <w:t> </w:t>
      </w:r>
      <w:r>
        <w:rPr>
          <w:sz w:val="24"/>
        </w:rPr>
        <w:t>in</w:t>
      </w:r>
      <w:r>
        <w:rPr>
          <w:spacing w:val="-12"/>
          <w:sz w:val="24"/>
        </w:rPr>
        <w:t> </w:t>
      </w:r>
      <w:r>
        <w:rPr>
          <w:sz w:val="24"/>
        </w:rPr>
        <w:t>the</w:t>
      </w:r>
      <w:r>
        <w:rPr>
          <w:spacing w:val="-12"/>
          <w:sz w:val="24"/>
        </w:rPr>
        <w:t> </w:t>
      </w:r>
      <w:r>
        <w:rPr>
          <w:sz w:val="24"/>
        </w:rPr>
        <w:t>manner</w:t>
      </w:r>
      <w:r>
        <w:rPr>
          <w:spacing w:val="-12"/>
          <w:sz w:val="24"/>
        </w:rPr>
        <w:t> </w:t>
      </w:r>
      <w:r>
        <w:rPr>
          <w:sz w:val="24"/>
        </w:rPr>
        <w:t>of</w:t>
      </w:r>
      <w:r>
        <w:rPr>
          <w:spacing w:val="-12"/>
          <w:sz w:val="24"/>
        </w:rPr>
        <w:t> </w:t>
      </w:r>
      <w:r>
        <w:rPr>
          <w:sz w:val="24"/>
        </w:rPr>
        <w:t>valuation</w:t>
      </w:r>
      <w:r>
        <w:rPr>
          <w:spacing w:val="-12"/>
          <w:sz w:val="24"/>
        </w:rPr>
        <w:t> </w:t>
      </w:r>
      <w:r>
        <w:rPr>
          <w:sz w:val="24"/>
        </w:rPr>
        <w:t>multiples</w:t>
      </w:r>
      <w:r>
        <w:rPr>
          <w:spacing w:val="-12"/>
          <w:sz w:val="24"/>
        </w:rPr>
        <w:t> </w:t>
      </w:r>
      <w:r>
        <w:rPr>
          <w:sz w:val="24"/>
        </w:rPr>
        <w:t>(Section</w:t>
      </w:r>
      <w:r>
        <w:rPr>
          <w:spacing w:val="-12"/>
          <w:sz w:val="24"/>
        </w:rPr>
        <w:t> </w:t>
      </w:r>
      <w:hyperlink w:history="true" w:anchor="_bookmark120">
        <w:r>
          <w:rPr>
            <w:sz w:val="24"/>
          </w:rPr>
          <w:t>5.4.5</w:t>
        </w:r>
      </w:hyperlink>
      <w:r>
        <w:rPr>
          <w:sz w:val="24"/>
        </w:rPr>
        <w:t>).</w:t>
      </w:r>
      <w:r>
        <w:rPr>
          <w:spacing w:val="10"/>
          <w:sz w:val="24"/>
        </w:rPr>
        <w:t> </w:t>
      </w:r>
      <w:r>
        <w:rPr>
          <w:sz w:val="24"/>
        </w:rPr>
        <w:t>Metrics</w:t>
      </w:r>
      <w:r>
        <w:rPr>
          <w:spacing w:val="-12"/>
          <w:sz w:val="24"/>
        </w:rPr>
        <w:t> </w:t>
      </w:r>
      <w:r>
        <w:rPr>
          <w:sz w:val="24"/>
        </w:rPr>
        <w:t>of</w:t>
      </w:r>
      <w:r>
        <w:rPr>
          <w:spacing w:val="-12"/>
          <w:sz w:val="24"/>
        </w:rPr>
        <w:t> </w:t>
      </w:r>
      <w:r>
        <w:rPr>
          <w:sz w:val="24"/>
        </w:rPr>
        <w:t>interest</w:t>
      </w:r>
      <w:r>
        <w:rPr>
          <w:spacing w:val="-12"/>
          <w:sz w:val="24"/>
        </w:rPr>
        <w:t> </w:t>
      </w:r>
      <w:r>
        <w:rPr>
          <w:sz w:val="24"/>
        </w:rPr>
        <w:t>include</w:t>
      </w:r>
      <w:r>
        <w:rPr>
          <w:spacing w:val="-12"/>
          <w:sz w:val="24"/>
        </w:rPr>
        <w:t> </w:t>
      </w:r>
      <w:r>
        <w:rPr>
          <w:sz w:val="24"/>
        </w:rPr>
        <w:t>cross-protocol score correlation, fee-tier uptake, monitoring-cost deltas, and Sybil-filter efficacy under live reward programs.</w:t>
      </w:r>
    </w:p>
    <w:p>
      <w:pPr>
        <w:pStyle w:val="ListParagraph"/>
        <w:numPr>
          <w:ilvl w:val="0"/>
          <w:numId w:val="27"/>
        </w:numPr>
        <w:tabs>
          <w:tab w:pos="797" w:val="left" w:leader="none"/>
          <w:tab w:pos="802" w:val="left" w:leader="none"/>
        </w:tabs>
        <w:spacing w:line="396" w:lineRule="auto" w:before="45" w:after="0"/>
        <w:ind w:left="802" w:right="524" w:hanging="210"/>
        <w:jc w:val="both"/>
        <w:rPr>
          <w:sz w:val="24"/>
        </w:rPr>
      </w:pPr>
      <w:r>
        <w:rPr>
          <w:i/>
        </w:rPr>
        <w:t>채택 경로 및 평판 배수: 재계산 가능한 사회적 순위를 게시하는 프로토콜에 대한 종단 연구는 공유 서수 어휘가 평가 배수 방식으로 장소 전체에 퍼지는지 여부를 명확히 할 것입니다(섹션 5.4.5). 관심 측정 항목에는 프로토콜 간 점수 상관 관계, 수수료 계층 활용, 모니터링 비용 델타 및 실시간 보상 프로그램에 따른 Sybil 필터 효율성이 포함됩니다.</w:t>
      </w:r>
    </w:p>
    <w:p>
      <w:pPr>
        <w:pStyle w:val="ListParagraph"/>
        <w:numPr>
          <w:ilvl w:val="0"/>
          <w:numId w:val="27"/>
        </w:numPr>
        <w:tabs>
          <w:tab w:pos="797" w:val="left" w:leader="none"/>
          <w:tab w:pos="799" w:val="left" w:leader="none"/>
        </w:tabs>
        <w:spacing w:line="391" w:lineRule="auto" w:before="42" w:after="0"/>
        <w:ind w:left="799" w:right="523" w:hanging="207"/>
        <w:jc w:val="both"/>
        <w:rPr>
          <w:sz w:val="24"/>
        </w:rPr>
      </w:pPr>
      <w:r>
        <w:rPr>
          <w:b/>
          <w:sz w:val="24"/>
        </w:rPr>
        <w:t>Archived baselines and richer authorization semantics:</w:t>
      </w:r>
      <w:r>
        <w:rPr>
          <w:b/>
          <w:spacing w:val="40"/>
          <w:sz w:val="24"/>
        </w:rPr>
        <w:t> </w:t>
      </w:r>
      <w:r>
        <w:rPr>
          <w:sz w:val="24"/>
        </w:rPr>
        <w:t>Extended baselines archived in Appendix </w:t>
      </w:r>
      <w:hyperlink w:history="true" w:anchor="_bookmark198">
        <w:r>
          <w:rPr>
            <w:sz w:val="24"/>
          </w:rPr>
          <w:t>8.1</w:t>
        </w:r>
      </w:hyperlink>
      <w:r>
        <w:rPr>
          <w:sz w:val="24"/>
        </w:rPr>
        <w:t> can be revisited when additional social-graph semantics are needed.</w:t>
      </w:r>
      <w:r>
        <w:rPr>
          <w:spacing w:val="40"/>
          <w:sz w:val="24"/>
        </w:rPr>
        <w:t> </w:t>
      </w:r>
      <w:r>
        <w:rPr>
          <w:sz w:val="24"/>
        </w:rPr>
        <w:t>Richer authorization events—including protocol-specific delegation logs where available—may re-fine endorsement edge definitions beyond ERC-20 allowances alone.</w:t>
      </w:r>
      <w:r>
        <w:rPr>
          <w:spacing w:val="40"/>
          <w:sz w:val="24"/>
        </w:rPr>
        <w:t> </w:t>
      </w:r>
      <w:r>
        <w:rPr>
          <w:sz w:val="24"/>
        </w:rPr>
        <w:t>Longer observation windows and additional market regimes would further stress-test stability of the reported </w:t>
      </w:r>
      <w:r>
        <w:rPr>
          <w:rFonts w:ascii="Calibri" w:hAnsi="Calibri"/>
          <w:i/>
          <w:sz w:val="24"/>
        </w:rPr>
        <w:t>τ </w:t>
      </w:r>
      <w:r>
        <w:rPr>
          <w:spacing w:val="-2"/>
          <w:sz w:val="24"/>
        </w:rPr>
        <w:t>profiles.</w:t>
      </w:r>
    </w:p>
    <w:p>
      <w:pPr>
        <w:pStyle w:val="ListParagraph"/>
        <w:numPr>
          <w:ilvl w:val="0"/>
          <w:numId w:val="27"/>
        </w:numPr>
        <w:tabs>
          <w:tab w:pos="797" w:val="left" w:leader="none"/>
          <w:tab w:pos="799" w:val="left" w:leader="none"/>
        </w:tabs>
        <w:spacing w:line="391" w:lineRule="auto" w:before="42" w:after="0"/>
        <w:ind w:left="799" w:right="523" w:hanging="207"/>
        <w:jc w:val="both"/>
        <w:rPr>
          <w:sz w:val="24"/>
        </w:rPr>
      </w:pPr>
      <w:r>
        <w:rPr>
          <w:i/>
        </w:rPr>
        <w:t>보관된 기준선 및 더욱 풍부한 인증 의미 체계: 추가 소셜 그래프 의미 체계가 필요할 때 부록 8.1에 보관된 확장 기준선을 다시 방문할 수 있습니다. 가능한 경우 프로토콜별 위임 로그를 포함하여 더욱 풍부한 인증 이벤트를 통해 ERC-20 허용 범위를 넘어서는 보증 가장자리 정의를 재정의할 수 있습니다. 관찰 기간이 길어지고 시장 제도가 추가되면 보고된 τ 프로파일의 스트레스 테스트 안정성이 더욱 높아질 것입니다.</w:t>
      </w:r>
    </w:p>
    <w:p>
      <w:pPr>
        <w:pStyle w:val="BodyText"/>
        <w:spacing w:before="170"/>
      </w:pPr>
    </w:p>
    <w:p>
      <w:pPr>
        <w:pStyle w:val="Heading2"/>
        <w:numPr>
          <w:ilvl w:val="1"/>
          <w:numId w:val="8"/>
        </w:numPr>
        <w:tabs>
          <w:tab w:pos="783" w:val="left" w:leader="none"/>
        </w:tabs>
        <w:spacing w:line="240" w:lineRule="auto" w:before="0" w:after="0"/>
        <w:ind w:left="783" w:right="0" w:hanging="501"/>
        <w:jc w:val="left"/>
      </w:pPr>
      <w:bookmarkStart w:name="Closing reflection" w:id="253"/>
      <w:bookmarkEnd w:id="253"/>
      <w:r>
        <w:rPr>
          <w:b w:val="0"/>
        </w:rPr>
      </w:r>
      <w:bookmarkStart w:name="_bookmark132" w:id="254"/>
      <w:bookmarkEnd w:id="254"/>
      <w:r>
        <w:rPr>
          <w:b w:val="0"/>
        </w:rPr>
      </w:r>
      <w:r>
        <w:rPr/>
        <w:t>Closing</w:t>
      </w:r>
      <w:r>
        <w:rPr>
          <w:spacing w:val="19"/>
        </w:rPr>
        <w:t> </w:t>
      </w:r>
      <w:r>
        <w:rPr>
          <w:spacing w:val="-2"/>
        </w:rPr>
        <w:t>reflection</w:t>
      </w:r>
    </w:p>
    <w:p>
      <w:pPr>
        <w:pStyle w:val="Heading2"/>
        <w:numPr>
          <w:ilvl w:val="1"/>
          <w:numId w:val="8"/>
        </w:numPr>
        <w:tabs>
          <w:tab w:pos="783" w:val="left" w:leader="none"/>
        </w:tabs>
        <w:spacing w:line="240" w:lineRule="auto" w:before="0" w:after="0"/>
        <w:ind w:left="783" w:right="0" w:hanging="501"/>
        <w:jc w:val="left"/>
      </w:pPr>
      <w:r>
        <w:rPr>
          <w:i/>
        </w:rPr>
        <w:t>마무리 반영</w:t>
      </w:r>
    </w:p>
    <w:p>
      <w:pPr>
        <w:pStyle w:val="BodyText"/>
        <w:spacing w:before="24"/>
        <w:rPr>
          <w:b/>
          <w:sz w:val="28"/>
        </w:rPr>
      </w:pPr>
    </w:p>
    <w:p>
      <w:pPr>
        <w:pStyle w:val="BodyText"/>
        <w:ind w:left="282"/>
        <w:jc w:val="both"/>
      </w:pPr>
      <w:r>
        <w:rPr/>
        <w:t>On-chain</w:t>
      </w:r>
      <w:r>
        <w:rPr>
          <w:spacing w:val="-15"/>
        </w:rPr>
        <w:t> </w:t>
      </w:r>
      <w:r>
        <w:rPr/>
        <w:t>reputation</w:t>
      </w:r>
      <w:r>
        <w:rPr>
          <w:spacing w:val="-15"/>
        </w:rPr>
        <w:t> </w:t>
      </w:r>
      <w:r>
        <w:rPr/>
        <w:t>will</w:t>
      </w:r>
      <w:r>
        <w:rPr>
          <w:spacing w:val="-14"/>
        </w:rPr>
        <w:t> </w:t>
      </w:r>
      <w:r>
        <w:rPr/>
        <w:t>not</w:t>
      </w:r>
      <w:r>
        <w:rPr>
          <w:spacing w:val="-15"/>
        </w:rPr>
        <w:t> </w:t>
      </w:r>
      <w:r>
        <w:rPr/>
        <w:t>dissolve</w:t>
      </w:r>
      <w:r>
        <w:rPr>
          <w:spacing w:val="-14"/>
        </w:rPr>
        <w:t> </w:t>
      </w:r>
      <w:r>
        <w:rPr/>
        <w:t>the</w:t>
      </w:r>
      <w:r>
        <w:rPr>
          <w:spacing w:val="-15"/>
        </w:rPr>
        <w:t> </w:t>
      </w:r>
      <w:r>
        <w:rPr/>
        <w:t>need</w:t>
      </w:r>
      <w:r>
        <w:rPr>
          <w:spacing w:val="-14"/>
        </w:rPr>
        <w:t> </w:t>
      </w:r>
      <w:r>
        <w:rPr/>
        <w:t>for</w:t>
      </w:r>
      <w:r>
        <w:rPr>
          <w:spacing w:val="-15"/>
        </w:rPr>
        <w:t> </w:t>
      </w:r>
      <w:r>
        <w:rPr/>
        <w:t>collateral</w:t>
      </w:r>
      <w:r>
        <w:rPr>
          <w:spacing w:val="-15"/>
        </w:rPr>
        <w:t> </w:t>
      </w:r>
      <w:r>
        <w:rPr/>
        <w:t>in</w:t>
      </w:r>
      <w:r>
        <w:rPr>
          <w:spacing w:val="-14"/>
        </w:rPr>
        <w:t> </w:t>
      </w:r>
      <w:r>
        <w:rPr/>
        <w:t>adversarial,</w:t>
      </w:r>
      <w:r>
        <w:rPr>
          <w:spacing w:val="-14"/>
        </w:rPr>
        <w:t> </w:t>
      </w:r>
      <w:r>
        <w:rPr/>
        <w:t>pseudonymous</w:t>
      </w:r>
      <w:r>
        <w:rPr>
          <w:spacing w:val="-14"/>
        </w:rPr>
        <w:t> </w:t>
      </w:r>
      <w:r>
        <w:rPr>
          <w:spacing w:val="-2"/>
        </w:rPr>
        <w:t>markets</w:t>
      </w:r>
    </w:p>
    <w:p>
      <w:pPr>
        <w:pStyle w:val="BodyText"/>
        <w:ind w:left="282"/>
        <w:jc w:val="both"/>
      </w:pPr>
      <w:r>
        <w:rPr>
          <w:i/>
        </w:rPr>
        <w:t>온체인 평판은 적대적인 익명 시장에서 담보의 필요성을 해소하지 않습니다.</w:t>
      </w:r>
    </w:p>
    <w:p>
      <w:pPr>
        <w:pStyle w:val="BodyText"/>
        <w:spacing w:line="396" w:lineRule="auto" w:before="181"/>
        <w:ind w:left="282" w:right="557"/>
        <w:jc w:val="both"/>
      </w:pPr>
      <w:hyperlink w:history="true" w:anchor="_bookmark159">
        <w:r>
          <w:rPr>
            <w:vertAlign w:val="superscript"/>
          </w:rPr>
          <w:t>[26]</w:t>
        </w:r>
      </w:hyperlink>
      <w:r>
        <w:rPr>
          <w:vertAlign w:val="superscript"/>
        </w:rPr>
        <w:t>,</w:t>
      </w:r>
      <w:hyperlink w:history="true" w:anchor="_bookmark186">
        <w:r>
          <w:rPr>
            <w:vertAlign w:val="superscript"/>
          </w:rPr>
          <w:t>[53]</w:t>
        </w:r>
      </w:hyperlink>
      <w:r>
        <w:rPr>
          <w:vertAlign w:val="baseline"/>
        </w:rPr>
        <w:t>.</w:t>
      </w:r>
      <w:r>
        <w:rPr>
          <w:spacing w:val="35"/>
          <w:vertAlign w:val="baseline"/>
        </w:rPr>
        <w:t> </w:t>
      </w:r>
      <w:r>
        <w:rPr>
          <w:vertAlign w:val="baseline"/>
        </w:rPr>
        <w:t>It can, however, make behavioral structure legible.</w:t>
      </w:r>
      <w:r>
        <w:rPr>
          <w:spacing w:val="35"/>
          <w:vertAlign w:val="baseline"/>
        </w:rPr>
        <w:t> </w:t>
      </w:r>
      <w:r>
        <w:rPr>
          <w:vertAlign w:val="baseline"/>
        </w:rPr>
        <w:t>This dissertation shows that legibility depends</w:t>
      </w:r>
      <w:r>
        <w:rPr>
          <w:spacing w:val="-14"/>
          <w:vertAlign w:val="baseline"/>
        </w:rPr>
        <w:t> </w:t>
      </w:r>
      <w:r>
        <w:rPr>
          <w:vertAlign w:val="baseline"/>
        </w:rPr>
        <w:t>on</w:t>
      </w:r>
      <w:r>
        <w:rPr>
          <w:spacing w:val="-14"/>
          <w:vertAlign w:val="baseline"/>
        </w:rPr>
        <w:t> </w:t>
      </w:r>
      <w:r>
        <w:rPr>
          <w:vertAlign w:val="baseline"/>
        </w:rPr>
        <w:t>which</w:t>
      </w:r>
      <w:r>
        <w:rPr>
          <w:spacing w:val="-14"/>
          <w:vertAlign w:val="baseline"/>
        </w:rPr>
        <w:t> </w:t>
      </w:r>
      <w:r>
        <w:rPr>
          <w:vertAlign w:val="baseline"/>
        </w:rPr>
        <w:t>edges</w:t>
      </w:r>
      <w:r>
        <w:rPr>
          <w:spacing w:val="-13"/>
          <w:vertAlign w:val="baseline"/>
        </w:rPr>
        <w:t> </w:t>
      </w:r>
      <w:r>
        <w:rPr>
          <w:vertAlign w:val="baseline"/>
        </w:rPr>
        <w:t>we</w:t>
      </w:r>
      <w:r>
        <w:rPr>
          <w:spacing w:val="-14"/>
          <w:vertAlign w:val="baseline"/>
        </w:rPr>
        <w:t> </w:t>
      </w:r>
      <w:r>
        <w:rPr>
          <w:vertAlign w:val="baseline"/>
        </w:rPr>
        <w:t>choose</w:t>
      </w:r>
      <w:r>
        <w:rPr>
          <w:spacing w:val="-14"/>
          <w:vertAlign w:val="baseline"/>
        </w:rPr>
        <w:t> </w:t>
      </w:r>
      <w:r>
        <w:rPr>
          <w:vertAlign w:val="baseline"/>
        </w:rPr>
        <w:t>to</w:t>
      </w:r>
      <w:r>
        <w:rPr>
          <w:spacing w:val="-13"/>
          <w:vertAlign w:val="baseline"/>
        </w:rPr>
        <w:t> </w:t>
      </w:r>
      <w:r>
        <w:rPr>
          <w:vertAlign w:val="baseline"/>
        </w:rPr>
        <w:t>read.</w:t>
      </w:r>
      <w:r>
        <w:rPr>
          <w:spacing w:val="10"/>
          <w:vertAlign w:val="baseline"/>
        </w:rPr>
        <w:t> </w:t>
      </w:r>
      <w:r>
        <w:rPr>
          <w:vertAlign w:val="baseline"/>
        </w:rPr>
        <w:t>Transfers</w:t>
      </w:r>
      <w:r>
        <w:rPr>
          <w:spacing w:val="-14"/>
          <w:vertAlign w:val="baseline"/>
        </w:rPr>
        <w:t> </w:t>
      </w:r>
      <w:r>
        <w:rPr>
          <w:vertAlign w:val="baseline"/>
        </w:rPr>
        <w:t>tell</w:t>
      </w:r>
      <w:r>
        <w:rPr>
          <w:spacing w:val="-14"/>
          <w:vertAlign w:val="baseline"/>
        </w:rPr>
        <w:t> </w:t>
      </w:r>
      <w:r>
        <w:rPr>
          <w:vertAlign w:val="baseline"/>
        </w:rPr>
        <w:t>a</w:t>
      </w:r>
      <w:r>
        <w:rPr>
          <w:spacing w:val="-14"/>
          <w:vertAlign w:val="baseline"/>
        </w:rPr>
        <w:t> </w:t>
      </w:r>
      <w:r>
        <w:rPr>
          <w:vertAlign w:val="baseline"/>
        </w:rPr>
        <w:t>story</w:t>
      </w:r>
      <w:r>
        <w:rPr>
          <w:spacing w:val="-13"/>
          <w:vertAlign w:val="baseline"/>
        </w:rPr>
        <w:t> </w:t>
      </w:r>
      <w:r>
        <w:rPr>
          <w:vertAlign w:val="baseline"/>
        </w:rPr>
        <w:t>about</w:t>
      </w:r>
      <w:r>
        <w:rPr>
          <w:spacing w:val="-14"/>
          <w:vertAlign w:val="baseline"/>
        </w:rPr>
        <w:t> </w:t>
      </w:r>
      <w:r>
        <w:rPr>
          <w:vertAlign w:val="baseline"/>
        </w:rPr>
        <w:t>economic</w:t>
      </w:r>
      <w:r>
        <w:rPr>
          <w:spacing w:val="-14"/>
          <w:vertAlign w:val="baseline"/>
        </w:rPr>
        <w:t> </w:t>
      </w:r>
      <w:r>
        <w:rPr>
          <w:vertAlign w:val="baseline"/>
        </w:rPr>
        <w:t>flow;</w:t>
      </w:r>
      <w:r>
        <w:rPr>
          <w:spacing w:val="-10"/>
          <w:vertAlign w:val="baseline"/>
        </w:rPr>
        <w:t> </w:t>
      </w:r>
      <w:r>
        <w:rPr>
          <w:vertAlign w:val="baseline"/>
        </w:rPr>
        <w:t>allowances tell</w:t>
      </w:r>
      <w:r>
        <w:rPr>
          <w:spacing w:val="-5"/>
          <w:vertAlign w:val="baseline"/>
        </w:rPr>
        <w:t> </w:t>
      </w:r>
      <w:r>
        <w:rPr>
          <w:vertAlign w:val="baseline"/>
        </w:rPr>
        <w:t>a</w:t>
      </w:r>
      <w:r>
        <w:rPr>
          <w:spacing w:val="-5"/>
          <w:vertAlign w:val="baseline"/>
        </w:rPr>
        <w:t> </w:t>
      </w:r>
      <w:r>
        <w:rPr>
          <w:vertAlign w:val="baseline"/>
        </w:rPr>
        <w:t>story</w:t>
      </w:r>
      <w:r>
        <w:rPr>
          <w:spacing w:val="-5"/>
          <w:vertAlign w:val="baseline"/>
        </w:rPr>
        <w:t> </w:t>
      </w:r>
      <w:r>
        <w:rPr>
          <w:vertAlign w:val="baseline"/>
        </w:rPr>
        <w:t>about</w:t>
      </w:r>
      <w:r>
        <w:rPr>
          <w:spacing w:val="-5"/>
          <w:vertAlign w:val="baseline"/>
        </w:rPr>
        <w:t> </w:t>
      </w:r>
      <w:r>
        <w:rPr>
          <w:vertAlign w:val="baseline"/>
        </w:rPr>
        <w:t>delegated</w:t>
      </w:r>
      <w:r>
        <w:rPr>
          <w:spacing w:val="-5"/>
          <w:vertAlign w:val="baseline"/>
        </w:rPr>
        <w:t> </w:t>
      </w:r>
      <w:r>
        <w:rPr>
          <w:vertAlign w:val="baseline"/>
        </w:rPr>
        <w:t>authority.</w:t>
      </w:r>
      <w:r>
        <w:rPr>
          <w:spacing w:val="15"/>
          <w:vertAlign w:val="baseline"/>
        </w:rPr>
        <w:t> </w:t>
      </w:r>
      <w:r>
        <w:rPr>
          <w:vertAlign w:val="baseline"/>
        </w:rPr>
        <w:t>PageRank</w:t>
      </w:r>
      <w:r>
        <w:rPr>
          <w:spacing w:val="-5"/>
          <w:vertAlign w:val="baseline"/>
        </w:rPr>
        <w:t> </w:t>
      </w:r>
      <w:r>
        <w:rPr>
          <w:vertAlign w:val="baseline"/>
        </w:rPr>
        <w:t>can</w:t>
      </w:r>
      <w:r>
        <w:rPr>
          <w:spacing w:val="-5"/>
          <w:vertAlign w:val="baseline"/>
        </w:rPr>
        <w:t> </w:t>
      </w:r>
      <w:r>
        <w:rPr>
          <w:vertAlign w:val="baseline"/>
        </w:rPr>
        <w:t>narrate</w:t>
      </w:r>
      <w:r>
        <w:rPr>
          <w:spacing w:val="-5"/>
          <w:vertAlign w:val="baseline"/>
        </w:rPr>
        <w:t> </w:t>
      </w:r>
      <w:r>
        <w:rPr>
          <w:vertAlign w:val="baseline"/>
        </w:rPr>
        <w:t>either</w:t>
      </w:r>
      <w:r>
        <w:rPr>
          <w:spacing w:val="-5"/>
          <w:vertAlign w:val="baseline"/>
        </w:rPr>
        <w:t> </w:t>
      </w:r>
      <w:r>
        <w:rPr>
          <w:vertAlign w:val="baseline"/>
        </w:rPr>
        <w:t>story,</w:t>
      </w:r>
      <w:r>
        <w:rPr>
          <w:spacing w:val="-5"/>
          <w:vertAlign w:val="baseline"/>
        </w:rPr>
        <w:t> </w:t>
      </w:r>
      <w:r>
        <w:rPr>
          <w:vertAlign w:val="baseline"/>
        </w:rPr>
        <w:t>but</w:t>
      </w:r>
      <w:r>
        <w:rPr>
          <w:spacing w:val="-5"/>
          <w:vertAlign w:val="baseline"/>
        </w:rPr>
        <w:t> </w:t>
      </w:r>
      <w:r>
        <w:rPr>
          <w:vertAlign w:val="baseline"/>
        </w:rPr>
        <w:t>not</w:t>
      </w:r>
      <w:r>
        <w:rPr>
          <w:spacing w:val="-4"/>
          <w:vertAlign w:val="baseline"/>
        </w:rPr>
        <w:t> </w:t>
      </w:r>
      <w:r>
        <w:rPr>
          <w:vertAlign w:val="baseline"/>
        </w:rPr>
        <w:t>both</w:t>
      </w:r>
      <w:r>
        <w:rPr>
          <w:spacing w:val="-5"/>
          <w:vertAlign w:val="baseline"/>
        </w:rPr>
        <w:t> </w:t>
      </w:r>
      <w:r>
        <w:rPr>
          <w:vertAlign w:val="baseline"/>
        </w:rPr>
        <w:t>at</w:t>
      </w:r>
      <w:r>
        <w:rPr>
          <w:spacing w:val="-4"/>
          <w:vertAlign w:val="baseline"/>
        </w:rPr>
        <w:t> </w:t>
      </w:r>
      <w:r>
        <w:rPr>
          <w:vertAlign w:val="baseline"/>
        </w:rPr>
        <w:t>once</w:t>
      </w:r>
      <w:r>
        <w:rPr>
          <w:spacing w:val="-5"/>
          <w:vertAlign w:val="baseline"/>
        </w:rPr>
        <w:t> </w:t>
      </w:r>
      <w:r>
        <w:rPr>
          <w:vertAlign w:val="baseline"/>
        </w:rPr>
        <w:t>with the same ranking.</w:t>
      </w:r>
      <w:r>
        <w:rPr>
          <w:spacing w:val="40"/>
          <w:vertAlign w:val="baseline"/>
        </w:rPr>
        <w:t> </w:t>
      </w:r>
      <w:r>
        <w:rPr>
          <w:vertAlign w:val="baseline"/>
        </w:rPr>
        <w:t>EndorseRank commits to the authorization narrative, documents its costs and</w:t>
      </w:r>
    </w:p>
    <w:p>
      <w:pPr>
        <w:pStyle w:val="BodyText"/>
        <w:spacing w:line="396" w:lineRule="auto" w:before="181"/>
        <w:ind w:left="282" w:right="557"/>
        <w:jc w:val="both"/>
      </w:pPr>
      <w:r>
        <w:rPr>
          <w:i/>
        </w:rPr>
        <w:t>[26],[53]. 그러나 행동 구조를 읽기 쉽게 만들 수 있습니다. 이 논문은 가독성이 우리가 읽기로 선택한 가장자리에 따라 달라진다는 것을 보여줍니다. 이전은 경제적 흐름에 대한 이야기를 말해주고, 수당은 위임된 권한에 대한 이야기를 말해줍니다. PageRank는 두 가지 이야기 중 하나를 설명할 수 있지만 동일한 순위로 두 가지 이야기를 동시에 설명할 수는 없습니다. EndorseRank는 승인 설명을 약속하고 비용을 문서화하며</w:t>
      </w:r>
    </w:p>
    <w:p>
      <w:pPr>
        <w:pStyle w:val="BodyText"/>
        <w:spacing w:after="0" w:line="396" w:lineRule="auto"/>
        <w:jc w:val="both"/>
        <w:sectPr>
          <w:pgSz w:w="11910" w:h="16840"/>
          <w:pgMar w:header="0" w:footer="2115" w:top="1840" w:bottom="2300" w:left="992" w:right="708"/>
        </w:sectPr>
      </w:pPr>
    </w:p>
    <w:p>
      <w:pPr>
        <w:pStyle w:val="BodyText"/>
        <w:spacing w:before="72"/>
        <w:ind w:left="282"/>
        <w:jc w:val="both"/>
      </w:pPr>
      <w:r>
        <w:rPr/>
        <w:t>benefits,</w:t>
      </w:r>
      <w:r>
        <w:rPr>
          <w:spacing w:val="-10"/>
        </w:rPr>
        <w:t> </w:t>
      </w:r>
      <w:r>
        <w:rPr/>
        <w:t>and</w:t>
      </w:r>
      <w:r>
        <w:rPr>
          <w:spacing w:val="-9"/>
        </w:rPr>
        <w:t> </w:t>
      </w:r>
      <w:r>
        <w:rPr/>
        <w:t>refuses</w:t>
      </w:r>
      <w:r>
        <w:rPr>
          <w:spacing w:val="-9"/>
        </w:rPr>
        <w:t> </w:t>
      </w:r>
      <w:r>
        <w:rPr/>
        <w:t>to</w:t>
      </w:r>
      <w:r>
        <w:rPr>
          <w:spacing w:val="-10"/>
        </w:rPr>
        <w:t> </w:t>
      </w:r>
      <w:r>
        <w:rPr/>
        <w:t>confuse</w:t>
      </w:r>
      <w:r>
        <w:rPr>
          <w:spacing w:val="-9"/>
        </w:rPr>
        <w:t> </w:t>
      </w:r>
      <w:r>
        <w:rPr/>
        <w:t>outcome-native</w:t>
      </w:r>
      <w:r>
        <w:rPr>
          <w:spacing w:val="-9"/>
        </w:rPr>
        <w:t> </w:t>
      </w:r>
      <w:r>
        <w:rPr/>
        <w:t>ceilings</w:t>
      </w:r>
      <w:r>
        <w:rPr>
          <w:spacing w:val="-9"/>
        </w:rPr>
        <w:t> </w:t>
      </w:r>
      <w:r>
        <w:rPr/>
        <w:t>with</w:t>
      </w:r>
      <w:r>
        <w:rPr>
          <w:spacing w:val="-10"/>
        </w:rPr>
        <w:t> </w:t>
      </w:r>
      <w:r>
        <w:rPr/>
        <w:t>social</w:t>
      </w:r>
      <w:r>
        <w:rPr>
          <w:spacing w:val="-9"/>
        </w:rPr>
        <w:t> </w:t>
      </w:r>
      <w:r>
        <w:rPr/>
        <w:t>reputation</w:t>
      </w:r>
      <w:r>
        <w:rPr>
          <w:spacing w:val="-9"/>
        </w:rPr>
        <w:t> </w:t>
      </w:r>
      <w:r>
        <w:rPr>
          <w:spacing w:val="-2"/>
        </w:rPr>
        <w:t>evidence.</w:t>
      </w:r>
    </w:p>
    <w:p>
      <w:pPr>
        <w:pStyle w:val="BodyText"/>
        <w:spacing w:before="72"/>
        <w:ind w:left="282"/>
        <w:jc w:val="both"/>
      </w:pPr>
      <w:r>
        <w:rPr>
          <w:i/>
        </w:rPr>
        <w:t>혜택을 누리고 결과 기반 상한선과 사회적 평판 증거를 혼동하는 것을 거부합니다.</w:t>
      </w:r>
    </w:p>
    <w:p>
      <w:pPr>
        <w:pStyle w:val="BodyText"/>
        <w:spacing w:line="396" w:lineRule="auto" w:before="194"/>
        <w:ind w:left="282" w:right="560" w:hanging="8"/>
        <w:jc w:val="both"/>
      </w:pPr>
      <w:r>
        <w:rPr/>
        <w:t>The practical upshot is modest and actionable.</w:t>
      </w:r>
      <w:r>
        <w:rPr>
          <w:spacing w:val="40"/>
        </w:rPr>
        <w:t> </w:t>
      </w:r>
      <w:r>
        <w:rPr/>
        <w:t>If a protocol or researcher needs a fast, auditable score</w:t>
      </w:r>
      <w:r>
        <w:rPr>
          <w:spacing w:val="-13"/>
        </w:rPr>
        <w:t> </w:t>
      </w:r>
      <w:r>
        <w:rPr/>
        <w:t>of</w:t>
      </w:r>
      <w:r>
        <w:rPr>
          <w:spacing w:val="-13"/>
        </w:rPr>
        <w:t> </w:t>
      </w:r>
      <w:r>
        <w:rPr/>
        <w:t>who</w:t>
      </w:r>
      <w:r>
        <w:rPr>
          <w:spacing w:val="-13"/>
        </w:rPr>
        <w:t> </w:t>
      </w:r>
      <w:r>
        <w:rPr/>
        <w:t>is</w:t>
      </w:r>
      <w:r>
        <w:rPr>
          <w:spacing w:val="-13"/>
        </w:rPr>
        <w:t> </w:t>
      </w:r>
      <w:r>
        <w:rPr/>
        <w:t>trusted</w:t>
      </w:r>
      <w:r>
        <w:rPr>
          <w:spacing w:val="-13"/>
        </w:rPr>
        <w:t> </w:t>
      </w:r>
      <w:r>
        <w:rPr/>
        <w:t>to</w:t>
      </w:r>
      <w:r>
        <w:rPr>
          <w:spacing w:val="-13"/>
        </w:rPr>
        <w:t> </w:t>
      </w:r>
      <w:r>
        <w:rPr/>
        <w:t>spend,</w:t>
      </w:r>
      <w:r>
        <w:rPr>
          <w:spacing w:val="-11"/>
        </w:rPr>
        <w:t> </w:t>
      </w:r>
      <w:r>
        <w:rPr/>
        <w:t>EndorseRank</w:t>
      </w:r>
      <w:r>
        <w:rPr>
          <w:spacing w:val="-13"/>
        </w:rPr>
        <w:t> </w:t>
      </w:r>
      <w:r>
        <w:rPr/>
        <w:t>is</w:t>
      </w:r>
      <w:r>
        <w:rPr>
          <w:spacing w:val="-13"/>
        </w:rPr>
        <w:t> </w:t>
      </w:r>
      <w:r>
        <w:rPr/>
        <w:t>a</w:t>
      </w:r>
      <w:r>
        <w:rPr>
          <w:spacing w:val="-13"/>
        </w:rPr>
        <w:t> </w:t>
      </w:r>
      <w:r>
        <w:rPr/>
        <w:t>credible</w:t>
      </w:r>
      <w:r>
        <w:rPr>
          <w:spacing w:val="-13"/>
        </w:rPr>
        <w:t> </w:t>
      </w:r>
      <w:r>
        <w:rPr/>
        <w:t>instrument</w:t>
      </w:r>
      <w:r>
        <w:rPr>
          <w:spacing w:val="-13"/>
        </w:rPr>
        <w:t> </w:t>
      </w:r>
      <w:r>
        <w:rPr/>
        <w:t>on</w:t>
      </w:r>
      <w:r>
        <w:rPr>
          <w:spacing w:val="-13"/>
        </w:rPr>
        <w:t> </w:t>
      </w:r>
      <w:r>
        <w:rPr/>
        <w:t>Arbitrum</w:t>
      </w:r>
      <w:r>
        <w:rPr>
          <w:spacing w:val="-13"/>
        </w:rPr>
        <w:t> </w:t>
      </w:r>
      <w:r>
        <w:rPr/>
        <w:t>One</w:t>
      </w:r>
      <w:r>
        <w:rPr>
          <w:spacing w:val="-13"/>
        </w:rPr>
        <w:t> </w:t>
      </w:r>
      <w:r>
        <w:rPr/>
        <w:t>data</w:t>
      </w:r>
      <w:r>
        <w:rPr>
          <w:spacing w:val="-13"/>
        </w:rPr>
        <w:t> </w:t>
      </w:r>
      <w:r>
        <w:rPr/>
        <w:t>of</w:t>
      </w:r>
      <w:r>
        <w:rPr>
          <w:spacing w:val="-13"/>
        </w:rPr>
        <w:t> </w:t>
      </w:r>
      <w:r>
        <w:rPr/>
        <w:t>the kind</w:t>
      </w:r>
      <w:r>
        <w:rPr>
          <w:spacing w:val="-11"/>
        </w:rPr>
        <w:t> </w:t>
      </w:r>
      <w:r>
        <w:rPr/>
        <w:t>studied</w:t>
      </w:r>
      <w:r>
        <w:rPr>
          <w:spacing w:val="-11"/>
        </w:rPr>
        <w:t> </w:t>
      </w:r>
      <w:r>
        <w:rPr/>
        <w:t>here.</w:t>
      </w:r>
      <w:r>
        <w:rPr>
          <w:spacing w:val="10"/>
        </w:rPr>
        <w:t> </w:t>
      </w:r>
      <w:r>
        <w:rPr/>
        <w:t>If</w:t>
      </w:r>
      <w:r>
        <w:rPr>
          <w:spacing w:val="-11"/>
        </w:rPr>
        <w:t> </w:t>
      </w:r>
      <w:r>
        <w:rPr/>
        <w:t>the</w:t>
      </w:r>
      <w:r>
        <w:rPr>
          <w:spacing w:val="-11"/>
        </w:rPr>
        <w:t> </w:t>
      </w:r>
      <w:r>
        <w:rPr/>
        <w:t>goal</w:t>
      </w:r>
      <w:r>
        <w:rPr>
          <w:spacing w:val="-11"/>
        </w:rPr>
        <w:t> </w:t>
      </w:r>
      <w:r>
        <w:rPr/>
        <w:t>is</w:t>
      </w:r>
      <w:r>
        <w:rPr>
          <w:spacing w:val="-11"/>
        </w:rPr>
        <w:t> </w:t>
      </w:r>
      <w:r>
        <w:rPr/>
        <w:t>to</w:t>
      </w:r>
      <w:r>
        <w:rPr>
          <w:spacing w:val="-11"/>
        </w:rPr>
        <w:t> </w:t>
      </w:r>
      <w:r>
        <w:rPr/>
        <w:t>find</w:t>
      </w:r>
      <w:r>
        <w:rPr>
          <w:spacing w:val="-11"/>
        </w:rPr>
        <w:t> </w:t>
      </w:r>
      <w:r>
        <w:rPr/>
        <w:t>transfer</w:t>
      </w:r>
      <w:r>
        <w:rPr>
          <w:spacing w:val="-11"/>
        </w:rPr>
        <w:t> </w:t>
      </w:r>
      <w:r>
        <w:rPr/>
        <w:t>hubs</w:t>
      </w:r>
      <w:r>
        <w:rPr>
          <w:spacing w:val="-11"/>
        </w:rPr>
        <w:t> </w:t>
      </w:r>
      <w:r>
        <w:rPr/>
        <w:t>or</w:t>
      </w:r>
      <w:r>
        <w:rPr>
          <w:spacing w:val="-11"/>
        </w:rPr>
        <w:t> </w:t>
      </w:r>
      <w:r>
        <w:rPr/>
        <w:t>to</w:t>
      </w:r>
      <w:r>
        <w:rPr>
          <w:spacing w:val="-11"/>
        </w:rPr>
        <w:t> </w:t>
      </w:r>
      <w:r>
        <w:rPr/>
        <w:t>track</w:t>
      </w:r>
      <w:r>
        <w:rPr>
          <w:spacing w:val="-11"/>
        </w:rPr>
        <w:t> </w:t>
      </w:r>
      <w:r>
        <w:rPr/>
        <w:t>activity-correlated</w:t>
      </w:r>
      <w:r>
        <w:rPr>
          <w:spacing w:val="-11"/>
        </w:rPr>
        <w:t> </w:t>
      </w:r>
      <w:r>
        <w:rPr/>
        <w:t>outcomes,</w:t>
      </w:r>
      <w:r>
        <w:rPr>
          <w:spacing w:val="-10"/>
        </w:rPr>
        <w:t> </w:t>
      </w:r>
      <w:r>
        <w:rPr/>
        <w:t>AWP remains</w:t>
      </w:r>
      <w:r>
        <w:rPr>
          <w:spacing w:val="-6"/>
        </w:rPr>
        <w:t> </w:t>
      </w:r>
      <w:r>
        <w:rPr/>
        <w:t>stronger</w:t>
      </w:r>
      <w:r>
        <w:rPr>
          <w:spacing w:val="-6"/>
        </w:rPr>
        <w:t> </w:t>
      </w:r>
      <w:r>
        <w:rPr/>
        <w:t>among</w:t>
      </w:r>
      <w:r>
        <w:rPr>
          <w:spacing w:val="-5"/>
        </w:rPr>
        <w:t> </w:t>
      </w:r>
      <w:r>
        <w:rPr/>
        <w:t>social</w:t>
      </w:r>
      <w:r>
        <w:rPr>
          <w:spacing w:val="-6"/>
        </w:rPr>
        <w:t> </w:t>
      </w:r>
      <w:r>
        <w:rPr/>
        <w:t>methods. If</w:t>
      </w:r>
      <w:r>
        <w:rPr>
          <w:spacing w:val="-6"/>
        </w:rPr>
        <w:t> </w:t>
      </w:r>
      <w:r>
        <w:rPr/>
        <w:t>the</w:t>
      </w:r>
      <w:r>
        <w:rPr>
          <w:spacing w:val="-5"/>
        </w:rPr>
        <w:t> </w:t>
      </w:r>
      <w:r>
        <w:rPr/>
        <w:t>goal</w:t>
      </w:r>
      <w:r>
        <w:rPr>
          <w:spacing w:val="-6"/>
        </w:rPr>
        <w:t> </w:t>
      </w:r>
      <w:r>
        <w:rPr/>
        <w:t>is</w:t>
      </w:r>
      <w:r>
        <w:rPr>
          <w:spacing w:val="-6"/>
        </w:rPr>
        <w:t> </w:t>
      </w:r>
      <w:r>
        <w:rPr/>
        <w:t>to</w:t>
      </w:r>
      <w:r>
        <w:rPr>
          <w:spacing w:val="-5"/>
        </w:rPr>
        <w:t> </w:t>
      </w:r>
      <w:r>
        <w:rPr/>
        <w:t>predict</w:t>
      </w:r>
      <w:r>
        <w:rPr>
          <w:spacing w:val="-6"/>
        </w:rPr>
        <w:t> </w:t>
      </w:r>
      <w:r>
        <w:rPr/>
        <w:t>trading</w:t>
      </w:r>
      <w:r>
        <w:rPr>
          <w:spacing w:val="-6"/>
        </w:rPr>
        <w:t> </w:t>
      </w:r>
      <w:r>
        <w:rPr/>
        <w:t>profits</w:t>
      </w:r>
      <w:r>
        <w:rPr>
          <w:spacing w:val="-5"/>
        </w:rPr>
        <w:t> </w:t>
      </w:r>
      <w:r>
        <w:rPr/>
        <w:t>from</w:t>
      </w:r>
      <w:r>
        <w:rPr>
          <w:spacing w:val="-6"/>
        </w:rPr>
        <w:t> </w:t>
      </w:r>
      <w:r>
        <w:rPr/>
        <w:t>social</w:t>
      </w:r>
      <w:r>
        <w:rPr>
          <w:spacing w:val="-6"/>
        </w:rPr>
        <w:t> </w:t>
      </w:r>
      <w:r>
        <w:rPr/>
        <w:t>graphs alone, neither method is sufficient—and GF-PR warns against evaluations that bake the answer into the graph.</w:t>
      </w:r>
    </w:p>
    <w:p>
      <w:pPr>
        <w:pStyle w:val="BodyText"/>
        <w:spacing w:line="396" w:lineRule="auto" w:before="194"/>
        <w:ind w:left="282" w:right="560" w:hanging="8"/>
        <w:jc w:val="both"/>
      </w:pPr>
      <w:r>
        <w:rPr>
          <w:i/>
        </w:rPr>
        <w:t>실질적인 결과는 적당하고 실행 가능합니다. 프로토콜이나 연구원이 누가 신뢰할 수 있는지에 대한 빠르고 감사 가능한 점수가 필요한 경우 EndorseRank는 여기에서 연구된 종류의 Arbitrum One 데이터에 대한 신뢰할 수 있는 도구입니다. 목표가 환승 허브를 찾거나 활동 관련 결과를 추적하는 것이라면 AWP는 사회적 방법 중에서 더 강력합니다. 목표가 소셜 그래프만으로 거래 수익을 예측하는 것이라면 두 방법 모두 충분하지 않습니다. GF-PR은 답을 그래프에 반영하는 평가에 대해 경고합니다.</w:t>
      </w:r>
    </w:p>
    <w:p>
      <w:pPr>
        <w:pStyle w:val="BodyText"/>
        <w:spacing w:line="388" w:lineRule="auto" w:before="21"/>
        <w:ind w:left="282" w:right="558" w:hanging="8"/>
        <w:jc w:val="both"/>
      </w:pPr>
      <w:r>
        <w:rPr>
          <w:spacing w:val="-2"/>
        </w:rPr>
        <w:t>This</w:t>
      </w:r>
      <w:r>
        <w:rPr>
          <w:spacing w:val="-9"/>
        </w:rPr>
        <w:t> </w:t>
      </w:r>
      <w:r>
        <w:rPr>
          <w:spacing w:val="-2"/>
        </w:rPr>
        <w:t>dissertation</w:t>
      </w:r>
      <w:r>
        <w:rPr>
          <w:spacing w:val="-9"/>
        </w:rPr>
        <w:t> </w:t>
      </w:r>
      <w:r>
        <w:rPr>
          <w:spacing w:val="-2"/>
        </w:rPr>
        <w:t>reports</w:t>
      </w:r>
      <w:r>
        <w:rPr>
          <w:spacing w:val="-9"/>
        </w:rPr>
        <w:t> </w:t>
      </w:r>
      <w:r>
        <w:rPr>
          <w:spacing w:val="-2"/>
        </w:rPr>
        <w:t>primary</w:t>
      </w:r>
      <w:r>
        <w:rPr>
          <w:spacing w:val="-9"/>
        </w:rPr>
        <w:t> </w:t>
      </w:r>
      <w:r>
        <w:rPr>
          <w:spacing w:val="-2"/>
        </w:rPr>
        <w:t>empirical</w:t>
      </w:r>
      <w:r>
        <w:rPr>
          <w:spacing w:val="-9"/>
        </w:rPr>
        <w:t> </w:t>
      </w:r>
      <w:r>
        <w:rPr>
          <w:spacing w:val="-2"/>
        </w:rPr>
        <w:t>claims</w:t>
      </w:r>
      <w:r>
        <w:rPr>
          <w:spacing w:val="-9"/>
        </w:rPr>
        <w:t> </w:t>
      </w:r>
      <w:r>
        <w:rPr>
          <w:spacing w:val="-2"/>
        </w:rPr>
        <w:t>C1–C4</w:t>
      </w:r>
      <w:r>
        <w:rPr>
          <w:spacing w:val="-7"/>
        </w:rPr>
        <w:t> </w:t>
      </w:r>
      <w:r>
        <w:rPr>
          <w:spacing w:val="-2"/>
        </w:rPr>
        <w:t>addressing</w:t>
      </w:r>
      <w:r>
        <w:rPr>
          <w:spacing w:val="-9"/>
        </w:rPr>
        <w:t> </w:t>
      </w:r>
      <w:r>
        <w:rPr>
          <w:spacing w:val="-2"/>
        </w:rPr>
        <w:t>RQ1–RQ4</w:t>
      </w:r>
      <w:r>
        <w:rPr>
          <w:spacing w:val="-9"/>
        </w:rPr>
        <w:t> </w:t>
      </w:r>
      <w:r>
        <w:rPr>
          <w:spacing w:val="-2"/>
        </w:rPr>
        <w:t>and</w:t>
      </w:r>
      <w:r>
        <w:rPr>
          <w:spacing w:val="-9"/>
        </w:rPr>
        <w:t> </w:t>
      </w:r>
      <w:r>
        <w:rPr>
          <w:spacing w:val="-2"/>
        </w:rPr>
        <w:t>supplementary </w:t>
      </w:r>
      <w:r>
        <w:rPr/>
        <w:t>claim SC1 (SRQ1) on a matched Arbitrum One wallet cohort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w:t>
      </w:r>
      <w:r>
        <w:rPr>
          <w:rFonts w:ascii="Calibri" w:hAnsi="Calibri"/>
          <w:i/>
        </w:rPr>
        <w:t>,</w:t>
      </w:r>
      <w:r>
        <w:rPr>
          <w:rFonts w:ascii="Calibri" w:hAnsi="Calibri"/>
        </w:rPr>
        <w:t>521</w:t>
      </w:r>
      <w:r>
        <w:rPr/>
        <w:t>).</w:t>
      </w:r>
      <w:r>
        <w:rPr>
          <w:spacing w:val="40"/>
        </w:rPr>
        <w:t> </w:t>
      </w:r>
      <w:r>
        <w:rPr/>
        <w:t>EndorseRank stands as</w:t>
      </w:r>
      <w:r>
        <w:rPr>
          <w:spacing w:val="-14"/>
        </w:rPr>
        <w:t> </w:t>
      </w:r>
      <w:r>
        <w:rPr/>
        <w:t>an</w:t>
      </w:r>
      <w:r>
        <w:rPr>
          <w:spacing w:val="-14"/>
        </w:rPr>
        <w:t> </w:t>
      </w:r>
      <w:r>
        <w:rPr/>
        <w:t>efficient,</w:t>
      </w:r>
      <w:r>
        <w:rPr>
          <w:spacing w:val="-14"/>
        </w:rPr>
        <w:t> </w:t>
      </w:r>
      <w:r>
        <w:rPr/>
        <w:t>allowance-specific</w:t>
      </w:r>
      <w:r>
        <w:rPr>
          <w:spacing w:val="-14"/>
        </w:rPr>
        <w:t> </w:t>
      </w:r>
      <w:r>
        <w:rPr/>
        <w:t>alternative</w:t>
      </w:r>
      <w:r>
        <w:rPr>
          <w:spacing w:val="-14"/>
        </w:rPr>
        <w:t> </w:t>
      </w:r>
      <w:r>
        <w:rPr/>
        <w:t>to</w:t>
      </w:r>
      <w:r>
        <w:rPr>
          <w:spacing w:val="-14"/>
        </w:rPr>
        <w:t> </w:t>
      </w:r>
      <w:r>
        <w:rPr/>
        <w:t>transfer-based</w:t>
      </w:r>
      <w:r>
        <w:rPr>
          <w:spacing w:val="-14"/>
        </w:rPr>
        <w:t> </w:t>
      </w:r>
      <w:r>
        <w:rPr/>
        <w:t>AWP</w:t>
      </w:r>
      <w:r>
        <w:rPr>
          <w:spacing w:val="-14"/>
        </w:rPr>
        <w:t> </w:t>
      </w:r>
      <w:r>
        <w:rPr/>
        <w:t>for</w:t>
      </w:r>
      <w:r>
        <w:rPr>
          <w:spacing w:val="-14"/>
        </w:rPr>
        <w:t> </w:t>
      </w:r>
      <w:r>
        <w:rPr/>
        <w:t>on-chain</w:t>
      </w:r>
      <w:r>
        <w:rPr>
          <w:spacing w:val="-14"/>
        </w:rPr>
        <w:t> </w:t>
      </w:r>
      <w:r>
        <w:rPr/>
        <w:t>reputation</w:t>
      </w:r>
      <w:r>
        <w:rPr>
          <w:spacing w:val="-14"/>
        </w:rPr>
        <w:t> </w:t>
      </w:r>
      <w:r>
        <w:rPr/>
        <w:t>under pseudonymity:</w:t>
      </w:r>
      <w:r>
        <w:rPr>
          <w:spacing w:val="47"/>
        </w:rPr>
        <w:t> </w:t>
      </w:r>
      <w:r>
        <w:rPr/>
        <w:t>distinct</w:t>
      </w:r>
      <w:r>
        <w:rPr>
          <w:spacing w:val="12"/>
        </w:rPr>
        <w:t> </w:t>
      </w:r>
      <w:r>
        <w:rPr/>
        <w:t>in</w:t>
      </w:r>
      <w:r>
        <w:rPr>
          <w:spacing w:val="13"/>
        </w:rPr>
        <w:t> </w:t>
      </w:r>
      <w:r>
        <w:rPr/>
        <w:t>ranking</w:t>
      </w:r>
      <w:r>
        <w:rPr>
          <w:spacing w:val="12"/>
        </w:rPr>
        <w:t> </w:t>
      </w:r>
      <w:r>
        <w:rPr/>
        <w:t>geometry</w:t>
      </w:r>
      <w:r>
        <w:rPr>
          <w:spacing w:val="12"/>
        </w:rPr>
        <w:t> </w:t>
      </w:r>
      <w:r>
        <w:rPr/>
        <w:t>(inter-method</w:t>
      </w:r>
      <w:r>
        <w:rPr>
          <w:spacing w:val="12"/>
        </w:rPr>
        <w:t> </w:t>
      </w:r>
      <w:r>
        <w:rPr>
          <w:rFonts w:ascii="Calibri" w:hAnsi="Calibri"/>
          <w:i/>
        </w:rPr>
        <w:t>τ</w:t>
      </w:r>
      <w:r>
        <w:rPr>
          <w:rFonts w:ascii="Calibri" w:hAnsi="Calibri"/>
          <w:i/>
          <w:spacing w:val="55"/>
          <w:w w:val="125"/>
        </w:rPr>
        <w:t> </w:t>
      </w:r>
      <w:r>
        <w:rPr>
          <w:rFonts w:ascii="Calibri" w:hAnsi="Calibri"/>
          <w:w w:val="125"/>
        </w:rPr>
        <w:t>=</w:t>
      </w:r>
      <w:r>
        <w:rPr>
          <w:rFonts w:ascii="Calibri" w:hAnsi="Calibri"/>
          <w:spacing w:val="30"/>
          <w:w w:val="125"/>
        </w:rPr>
        <w:t> </w:t>
      </w:r>
      <w:r>
        <w:rPr>
          <w:rFonts w:ascii="Calibri" w:hAnsi="Calibri"/>
        </w:rPr>
        <w:t>0</w:t>
      </w:r>
      <w:r>
        <w:rPr>
          <w:rFonts w:ascii="Calibri" w:hAnsi="Calibri"/>
          <w:i/>
        </w:rPr>
        <w:t>.</w:t>
      </w:r>
      <w:r>
        <w:rPr>
          <w:rFonts w:ascii="Calibri" w:hAnsi="Calibri"/>
        </w:rPr>
        <w:t>316</w:t>
      </w:r>
      <w:r>
        <w:rPr/>
        <w:t>),</w:t>
      </w:r>
      <w:r>
        <w:rPr>
          <w:spacing w:val="16"/>
        </w:rPr>
        <w:t> </w:t>
      </w:r>
      <w:r>
        <w:rPr/>
        <w:t>aligned</w:t>
      </w:r>
      <w:r>
        <w:rPr>
          <w:spacing w:val="13"/>
        </w:rPr>
        <w:t> </w:t>
      </w:r>
      <w:r>
        <w:rPr/>
        <w:t>with</w:t>
      </w:r>
      <w:r>
        <w:rPr>
          <w:spacing w:val="12"/>
        </w:rPr>
        <w:t> </w:t>
      </w:r>
      <w:r>
        <w:rPr/>
        <w:t>its</w:t>
      </w:r>
      <w:r>
        <w:rPr>
          <w:spacing w:val="12"/>
        </w:rPr>
        <w:t> </w:t>
      </w:r>
      <w:r>
        <w:rPr>
          <w:spacing w:val="-2"/>
        </w:rPr>
        <w:t>primary</w:t>
      </w:r>
    </w:p>
    <w:p>
      <w:pPr>
        <w:pStyle w:val="BodyText"/>
        <w:spacing w:line="388" w:lineRule="auto" w:before="21"/>
        <w:ind w:left="282" w:right="558" w:hanging="8"/>
        <w:jc w:val="both"/>
      </w:pPr>
      <w:r>
        <w:rPr>
          <w:i/>
        </w:rPr>
        <w:t>이 논문은 일치하는 Arbitrum One 지갑 코호트(n = 5,521)에 대한 RQ1~RQ4를 다루는 기본 경험적 주장 C1~C4와 보충 주장 SC1(SRQ1)을 보고합니다. EndorseRank는 가명 하의 온체인 평판을 위한 전송 기반 AWP에 대한 효율적이고 허용량별 대안입니다. 순위 구조(방법 간 τ = 0.316)가 뚜렷하며 기본과 일치합니다.</w:t>
      </w:r>
    </w:p>
    <w:p>
      <w:pPr>
        <w:pStyle w:val="BodyText"/>
        <w:spacing w:line="312" w:lineRule="exact"/>
        <w:ind w:left="282"/>
        <w:jc w:val="both"/>
      </w:pPr>
      <w:r>
        <w:rPr/>
        <w:t>construct</w:t>
      </w:r>
      <w:r>
        <w:rPr>
          <w:spacing w:val="-12"/>
        </w:rPr>
        <w:t> </w:t>
      </w:r>
      <w:r>
        <w:rPr/>
        <w:t>(allowance</w:t>
      </w:r>
      <w:r>
        <w:rPr>
          <w:spacing w:val="-9"/>
        </w:rPr>
        <w:t> </w:t>
      </w:r>
      <w:r>
        <w:rPr>
          <w:rFonts w:ascii="Calibri" w:hAnsi="Calibri"/>
          <w:i/>
        </w:rPr>
        <w:t>τ</w:t>
      </w:r>
      <w:r>
        <w:rPr>
          <w:rFonts w:ascii="Calibri" w:hAnsi="Calibri"/>
          <w:i/>
          <w:spacing w:val="35"/>
        </w:rPr>
        <w:t> </w:t>
      </w:r>
      <w:r>
        <w:rPr>
          <w:rFonts w:ascii="Calibri" w:hAnsi="Calibri"/>
        </w:rPr>
        <w:t>=</w:t>
      </w:r>
      <w:r>
        <w:rPr>
          <w:rFonts w:ascii="Calibri" w:hAnsi="Calibri"/>
          <w:spacing w:val="9"/>
        </w:rPr>
        <w:t> </w:t>
      </w:r>
      <w:r>
        <w:rPr>
          <w:rFonts w:ascii="Calibri" w:hAnsi="Calibri"/>
        </w:rPr>
        <w:t>0</w:t>
      </w:r>
      <w:r>
        <w:rPr>
          <w:rFonts w:ascii="Calibri" w:hAnsi="Calibri"/>
          <w:i/>
        </w:rPr>
        <w:t>.</w:t>
      </w:r>
      <w:r>
        <w:rPr>
          <w:rFonts w:ascii="Calibri" w:hAnsi="Calibri"/>
        </w:rPr>
        <w:t>355</w:t>
      </w:r>
      <w:r>
        <w:rPr/>
        <w:t>),</w:t>
      </w:r>
      <w:r>
        <w:rPr>
          <w:spacing w:val="-7"/>
        </w:rPr>
        <w:t> </w:t>
      </w:r>
      <w:r>
        <w:rPr/>
        <w:t>and</w:t>
      </w:r>
      <w:r>
        <w:rPr>
          <w:spacing w:val="-10"/>
        </w:rPr>
        <w:t> </w:t>
      </w:r>
      <w:r>
        <w:rPr/>
        <w:t>approximately</w:t>
      </w:r>
      <w:r>
        <w:rPr>
          <w:spacing w:val="-9"/>
        </w:rPr>
        <w:t> </w:t>
      </w:r>
      <w:r>
        <w:rPr>
          <w:rFonts w:ascii="Calibri" w:hAnsi="Calibri"/>
        </w:rPr>
        <w:t>8</w:t>
      </w:r>
      <w:r>
        <w:rPr>
          <w:rFonts w:ascii="Calibri" w:hAnsi="Calibri"/>
          <w:i/>
        </w:rPr>
        <w:t>.</w:t>
      </w:r>
      <w:r>
        <w:rPr>
          <w:rFonts w:ascii="Calibri" w:hAnsi="Calibri"/>
        </w:rPr>
        <w:t>9</w:t>
      </w:r>
      <w:r>
        <w:rPr>
          <w:rFonts w:ascii="Lucida Sans Unicode" w:hAnsi="Lucida Sans Unicode"/>
        </w:rPr>
        <w:t>×</w:t>
      </w:r>
      <w:r>
        <w:rPr>
          <w:rFonts w:ascii="Lucida Sans Unicode" w:hAnsi="Lucida Sans Unicode"/>
          <w:spacing w:val="-23"/>
        </w:rPr>
        <w:t> </w:t>
      </w:r>
      <w:r>
        <w:rPr/>
        <w:t>faster</w:t>
      </w:r>
      <w:r>
        <w:rPr>
          <w:spacing w:val="-10"/>
        </w:rPr>
        <w:t> </w:t>
      </w:r>
      <w:r>
        <w:rPr/>
        <w:t>to</w:t>
      </w:r>
      <w:r>
        <w:rPr>
          <w:spacing w:val="-9"/>
        </w:rPr>
        <w:t> </w:t>
      </w:r>
      <w:r>
        <w:rPr/>
        <w:t>compute</w:t>
      </w:r>
      <w:r>
        <w:rPr>
          <w:spacing w:val="-10"/>
        </w:rPr>
        <w:t> </w:t>
      </w:r>
      <w:r>
        <w:rPr/>
        <w:t>on</w:t>
      </w:r>
      <w:r>
        <w:rPr>
          <w:spacing w:val="-9"/>
        </w:rPr>
        <w:t> </w:t>
      </w:r>
      <w:r>
        <w:rPr/>
        <w:t>the</w:t>
      </w:r>
      <w:r>
        <w:rPr>
          <w:spacing w:val="-10"/>
        </w:rPr>
        <w:t> </w:t>
      </w:r>
      <w:r>
        <w:rPr/>
        <w:t>studied</w:t>
      </w:r>
      <w:r>
        <w:rPr>
          <w:spacing w:val="-9"/>
        </w:rPr>
        <w:t> </w:t>
      </w:r>
      <w:r>
        <w:rPr>
          <w:spacing w:val="-2"/>
        </w:rPr>
        <w:t>sample,</w:t>
      </w:r>
    </w:p>
    <w:p>
      <w:pPr>
        <w:pStyle w:val="BodyText"/>
        <w:spacing w:line="312" w:lineRule="exact"/>
        <w:ind w:left="282"/>
        <w:jc w:val="both"/>
      </w:pPr>
      <w:r>
        <w:rPr>
          <w:i/>
        </w:rPr>
        <w:t>구성(공차 τ = 0.355), 연구된 샘플에 대한 계산이 약 8.9배 더 빠릅니다.</w:t>
      </w:r>
    </w:p>
    <w:p>
      <w:pPr>
        <w:pStyle w:val="BodyText"/>
        <w:spacing w:before="88"/>
        <w:ind w:left="273"/>
        <w:jc w:val="both"/>
      </w:pPr>
      <w:r>
        <w:rPr>
          <w:w w:val="105"/>
        </w:rPr>
        <w:t>with sustained advantages</w:t>
      </w:r>
      <w:r>
        <w:rPr>
          <w:spacing w:val="2"/>
          <w:w w:val="105"/>
        </w:rPr>
        <w:t> </w:t>
      </w:r>
      <w:r>
        <w:rPr>
          <w:w w:val="105"/>
        </w:rPr>
        <w:t>on the</w:t>
      </w:r>
      <w:r>
        <w:rPr>
          <w:spacing w:val="1"/>
          <w:w w:val="105"/>
        </w:rPr>
        <w:t> </w:t>
      </w:r>
      <w:r>
        <w:rPr>
          <w:w w:val="105"/>
        </w:rPr>
        <w:t>expanded</w:t>
      </w:r>
      <w:r>
        <w:rPr>
          <w:spacing w:val="1"/>
          <w:w w:val="105"/>
        </w:rPr>
        <w:t> </w:t>
      </w:r>
      <w:r>
        <w:rPr>
          <w:w w:val="105"/>
        </w:rPr>
        <w:t>wallet pool</w:t>
      </w:r>
      <w:r>
        <w:rPr>
          <w:spacing w:val="1"/>
          <w:w w:val="105"/>
        </w:rPr>
        <w:t> </w:t>
      </w:r>
      <w:r>
        <w:rPr>
          <w:w w:val="105"/>
        </w:rPr>
        <w:t>(</w:t>
      </w:r>
      <w:r>
        <w:rPr>
          <w:rFonts w:ascii="Lucida Sans Unicode" w:hAnsi="Lucida Sans Unicode"/>
          <w:w w:val="105"/>
        </w:rPr>
        <w:t>≈</w:t>
      </w:r>
      <w:r>
        <w:rPr>
          <w:rFonts w:ascii="Lucida Sans Unicode" w:hAnsi="Lucida Sans Unicode"/>
          <w:spacing w:val="14"/>
          <w:w w:val="105"/>
        </w:rPr>
        <w:t> </w:t>
      </w:r>
      <w:r>
        <w:rPr>
          <w:rFonts w:ascii="Calibri" w:hAnsi="Calibri"/>
          <w:w w:val="105"/>
        </w:rPr>
        <w:t>10</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15"/>
          <w:w w:val="105"/>
        </w:rPr>
        <w:t> </w:t>
      </w:r>
      <w:r>
        <w:rPr>
          <w:w w:val="105"/>
        </w:rPr>
        <w:t>at</w:t>
      </w:r>
      <w:r>
        <w:rPr>
          <w:spacing w:val="1"/>
          <w:w w:val="105"/>
        </w:rPr>
        <w:t> </w:t>
      </w:r>
      <w:r>
        <w:rPr>
          <w:rFonts w:ascii="Calibri" w:hAnsi="Calibri"/>
          <w:i/>
          <w:w w:val="105"/>
        </w:rPr>
        <w:t>n</w:t>
      </w:r>
      <w:r>
        <w:rPr>
          <w:rFonts w:ascii="Calibri" w:hAnsi="Calibri"/>
          <w:i/>
          <w:spacing w:val="27"/>
          <w:w w:val="125"/>
        </w:rPr>
        <w:t> </w:t>
      </w:r>
      <w:r>
        <w:rPr>
          <w:rFonts w:ascii="Calibri" w:hAnsi="Calibri"/>
          <w:w w:val="125"/>
        </w:rPr>
        <w:t>=</w:t>
      </w:r>
      <w:r>
        <w:rPr>
          <w:rFonts w:ascii="Calibri" w:hAnsi="Calibri"/>
          <w:spacing w:val="26"/>
          <w:w w:val="125"/>
        </w:rPr>
        <w:t> </w:t>
      </w:r>
      <w:r>
        <w:rPr>
          <w:rFonts w:ascii="Calibri" w:hAnsi="Calibri"/>
          <w:w w:val="105"/>
        </w:rPr>
        <w:t>10</w:t>
      </w:r>
      <w:r>
        <w:rPr>
          <w:rFonts w:ascii="Calibri" w:hAnsi="Calibri"/>
          <w:i/>
          <w:w w:val="105"/>
        </w:rPr>
        <w:t>,</w:t>
      </w:r>
      <w:r>
        <w:rPr>
          <w:rFonts w:ascii="Calibri" w:hAnsi="Calibri"/>
          <w:w w:val="105"/>
        </w:rPr>
        <w:t>000</w:t>
      </w:r>
      <w:r>
        <w:rPr>
          <w:w w:val="105"/>
        </w:rPr>
        <w:t>;</w:t>
      </w:r>
      <w:r>
        <w:rPr>
          <w:spacing w:val="11"/>
          <w:w w:val="105"/>
        </w:rPr>
        <w:t> </w:t>
      </w:r>
      <w:r>
        <w:rPr>
          <w:rFonts w:ascii="Lucida Sans Unicode" w:hAnsi="Lucida Sans Unicode"/>
          <w:w w:val="105"/>
        </w:rPr>
        <w:t>≈</w:t>
      </w:r>
      <w:r>
        <w:rPr>
          <w:rFonts w:ascii="Lucida Sans Unicode" w:hAnsi="Lucida Sans Unicode"/>
          <w:spacing w:val="14"/>
          <w:w w:val="105"/>
        </w:rPr>
        <w:t> </w:t>
      </w:r>
      <w:r>
        <w:rPr>
          <w:rFonts w:ascii="Calibri" w:hAnsi="Calibri"/>
          <w:w w:val="105"/>
        </w:rPr>
        <w:t>9</w:t>
      </w:r>
      <w:r>
        <w:rPr>
          <w:rFonts w:ascii="Calibri" w:hAnsi="Calibri"/>
          <w:i/>
          <w:w w:val="105"/>
        </w:rPr>
        <w:t>.</w:t>
      </w:r>
      <w:r>
        <w:rPr>
          <w:rFonts w:ascii="Calibri" w:hAnsi="Calibri"/>
          <w:w w:val="105"/>
        </w:rPr>
        <w:t>4</w:t>
      </w:r>
      <w:r>
        <w:rPr>
          <w:rFonts w:ascii="Lucida Sans Unicode" w:hAnsi="Lucida Sans Unicode"/>
          <w:w w:val="105"/>
        </w:rPr>
        <w:t>×</w:t>
      </w:r>
      <w:r>
        <w:rPr>
          <w:rFonts w:ascii="Lucida Sans Unicode" w:hAnsi="Lucida Sans Unicode"/>
          <w:spacing w:val="-15"/>
          <w:w w:val="105"/>
        </w:rPr>
        <w:t> </w:t>
      </w:r>
      <w:r>
        <w:rPr>
          <w:spacing w:val="-5"/>
          <w:w w:val="105"/>
        </w:rPr>
        <w:t>at</w:t>
      </w:r>
    </w:p>
    <w:p>
      <w:pPr>
        <w:pStyle w:val="BodyText"/>
        <w:spacing w:before="88"/>
        <w:ind w:left="273"/>
        <w:jc w:val="both"/>
      </w:pPr>
      <w:r>
        <w:rPr>
          <w:i/>
        </w:rPr>
        <w:t>확장된 지갑 풀에서 지속적인 이점을 누리고 있습니다(n = 10,000에서 ≒ 10.4×, n = 10,000에서 ≒ 9.4×).</w:t>
      </w:r>
    </w:p>
    <w:p>
      <w:pPr>
        <w:pStyle w:val="BodyText"/>
        <w:spacing w:line="376" w:lineRule="auto" w:before="122"/>
        <w:ind w:left="282" w:right="563"/>
        <w:jc w:val="both"/>
      </w:pPr>
      <w:r>
        <w:rPr>
          <w:rFonts w:ascii="Calibri"/>
          <w:i/>
        </w:rPr>
        <w:t>N</w:t>
      </w:r>
      <w:r>
        <w:rPr>
          <w:rFonts w:ascii="Calibri"/>
          <w:i/>
          <w:spacing w:val="40"/>
        </w:rPr>
        <w:t> </w:t>
      </w:r>
      <w:r>
        <w:rPr>
          <w:rFonts w:ascii="Calibri"/>
        </w:rPr>
        <w:t>=</w:t>
      </w:r>
      <w:r>
        <w:rPr>
          <w:rFonts w:ascii="Calibri"/>
          <w:spacing w:val="31"/>
        </w:rPr>
        <w:t> </w:t>
      </w:r>
      <w:r>
        <w:rPr>
          <w:rFonts w:ascii="Calibri"/>
        </w:rPr>
        <w:t>31</w:t>
      </w:r>
      <w:r>
        <w:rPr>
          <w:rFonts w:ascii="Calibri"/>
          <w:i/>
        </w:rPr>
        <w:t>,</w:t>
      </w:r>
      <w:r>
        <w:rPr>
          <w:rFonts w:ascii="Calibri"/>
        </w:rPr>
        <w:t>612</w:t>
      </w:r>
      <w:r>
        <w:rPr/>
        <w:t>).</w:t>
      </w:r>
      <w:r>
        <w:rPr>
          <w:spacing w:val="40"/>
        </w:rPr>
        <w:t> </w:t>
      </w:r>
      <w:r>
        <w:rPr/>
        <w:t>Those properties motivate continued research on authorization-aware trust signals </w:t>
      </w:r>
      <w:r>
        <w:rPr>
          <w:w w:val="105"/>
        </w:rPr>
        <w:t>in decentralized markets.</w:t>
      </w:r>
    </w:p>
    <w:p>
      <w:pPr>
        <w:pStyle w:val="BodyText"/>
        <w:spacing w:line="376" w:lineRule="auto" w:before="122"/>
        <w:ind w:left="282" w:right="563"/>
        <w:jc w:val="both"/>
      </w:pPr>
      <w:r>
        <w:rPr>
          <w:i/>
        </w:rPr>
        <w:t>N = 31,612). 이러한 속성은 분산 시장에서 인증 인식 신뢰 신호에 대한 지속적인 연구에 동기를 부여합니다.</w:t>
      </w:r>
    </w:p>
    <w:p>
      <w:pPr>
        <w:pStyle w:val="BodyText"/>
        <w:spacing w:after="0" w:line="376" w:lineRule="auto"/>
        <w:jc w:val="both"/>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left"/>
      </w:pPr>
      <w:bookmarkStart w:name="_bookmark142" w:id="255"/>
      <w:bookmarkEnd w:id="255"/>
      <w:r>
        <w:rPr>
          <w:b w:val="0"/>
        </w:rPr>
      </w:r>
      <w:bookmarkStart w:name="References" w:id="256"/>
      <w:bookmarkEnd w:id="256"/>
      <w:r>
        <w:rPr>
          <w:b w:val="0"/>
        </w:rPr>
      </w:r>
      <w:bookmarkStart w:name="_bookmark133" w:id="257"/>
      <w:bookmarkEnd w:id="257"/>
      <w:r>
        <w:rPr>
          <w:b w:val="0"/>
        </w:rPr>
      </w:r>
      <w:r>
        <w:rPr>
          <w:spacing w:val="-2"/>
        </w:rPr>
        <w:t>References</w:t>
      </w:r>
    </w:p>
    <w:p>
      <w:pPr>
        <w:pStyle w:val="Heading1"/>
        <w:numPr>
          <w:ilvl w:val="0"/>
          <w:numId w:val="8"/>
        </w:numPr>
        <w:tabs>
          <w:tab w:pos="625" w:val="left" w:leader="none"/>
        </w:tabs>
        <w:spacing w:line="240" w:lineRule="auto" w:before="0" w:after="0"/>
        <w:ind w:left="625" w:right="0" w:hanging="343"/>
        <w:jc w:val="left"/>
      </w:pPr>
      <w:r>
        <w:rPr>
          <w:i/>
        </w:rPr>
        <w:t>참고문헌</w:t>
      </w:r>
    </w:p>
    <w:p>
      <w:pPr>
        <w:pStyle w:val="BodyText"/>
        <w:spacing w:before="28"/>
        <w:rPr>
          <w:b/>
          <w:sz w:val="34"/>
        </w:rPr>
      </w:pPr>
    </w:p>
    <w:p>
      <w:pPr>
        <w:pStyle w:val="ListParagraph"/>
        <w:numPr>
          <w:ilvl w:val="0"/>
          <w:numId w:val="28"/>
        </w:numPr>
        <w:tabs>
          <w:tab w:pos="690" w:val="left" w:leader="none"/>
          <w:tab w:pos="692" w:val="left" w:leader="none"/>
        </w:tabs>
        <w:spacing w:line="396" w:lineRule="auto" w:before="0" w:after="0"/>
        <w:ind w:left="692" w:right="523" w:hanging="411"/>
        <w:jc w:val="both"/>
        <w:rPr>
          <w:sz w:val="24"/>
        </w:rPr>
      </w:pPr>
      <w:bookmarkStart w:name="_bookmark134" w:id="258"/>
      <w:bookmarkEnd w:id="258"/>
      <w:r>
        <w:rPr/>
      </w:r>
      <w:r>
        <w:rPr>
          <w:sz w:val="24"/>
        </w:rPr>
        <w:t>Akerlof, G. A. (1970).</w:t>
      </w:r>
      <w:r>
        <w:rPr>
          <w:spacing w:val="36"/>
          <w:sz w:val="24"/>
        </w:rPr>
        <w:t> </w:t>
      </w:r>
      <w:r>
        <w:rPr>
          <w:sz w:val="24"/>
        </w:rPr>
        <w:t>The market for “lemons”: Quality uncertainty and the market mecha-nism. </w:t>
      </w:r>
      <w:r>
        <w:rPr>
          <w:i/>
          <w:sz w:val="24"/>
        </w:rPr>
        <w:t>The Quarterly Journal of Economics</w:t>
      </w:r>
      <w:r>
        <w:rPr>
          <w:sz w:val="24"/>
        </w:rPr>
        <w:t>, </w:t>
      </w:r>
      <w:r>
        <w:rPr>
          <w:i/>
          <w:sz w:val="24"/>
        </w:rPr>
        <w:t>84</w:t>
      </w:r>
      <w:r>
        <w:rPr>
          <w:sz w:val="24"/>
        </w:rPr>
        <w:t>(3), 488–500. </w:t>
      </w:r>
      <w:hyperlink r:id="rId26">
        <w:r>
          <w:rPr>
            <w:sz w:val="24"/>
          </w:rPr>
          <w:t>doi:10.2307/1879431</w:t>
        </w:r>
      </w:hyperlink>
    </w:p>
    <w:p>
      <w:pPr>
        <w:pStyle w:val="ListParagraph"/>
        <w:numPr>
          <w:ilvl w:val="0"/>
          <w:numId w:val="28"/>
        </w:numPr>
        <w:tabs>
          <w:tab w:pos="690" w:val="left" w:leader="none"/>
          <w:tab w:pos="692" w:val="left" w:leader="none"/>
        </w:tabs>
        <w:spacing w:line="396" w:lineRule="auto" w:before="0" w:after="0"/>
        <w:ind w:left="692" w:right="523" w:hanging="411"/>
        <w:jc w:val="both"/>
        <w:rPr>
          <w:sz w:val="24"/>
        </w:rPr>
      </w:pPr>
      <w:r>
        <w:rPr>
          <w:i/>
        </w:rPr>
        <w:t>Akerlof, G.A.(1970). “레몬” 시장: 품질 불확실성과 시장 메커니즘. 분기별 경제 저널, 84(3), 488-500. 도이:10.2307/1879431</w:t>
      </w:r>
    </w:p>
    <w:p>
      <w:pPr>
        <w:pStyle w:val="ListParagraph"/>
        <w:numPr>
          <w:ilvl w:val="0"/>
          <w:numId w:val="28"/>
        </w:numPr>
        <w:tabs>
          <w:tab w:pos="691" w:val="left" w:leader="none"/>
        </w:tabs>
        <w:spacing w:line="240" w:lineRule="auto" w:before="86" w:after="0"/>
        <w:ind w:left="691" w:right="0" w:hanging="409"/>
        <w:jc w:val="left"/>
        <w:rPr>
          <w:sz w:val="24"/>
        </w:rPr>
      </w:pPr>
      <w:bookmarkStart w:name="_bookmark135" w:id="259"/>
      <w:bookmarkEnd w:id="259"/>
      <w:r>
        <w:rPr/>
      </w:r>
      <w:r>
        <w:rPr>
          <w:spacing w:val="-2"/>
          <w:sz w:val="24"/>
        </w:rPr>
        <w:t>Angeris,</w:t>
      </w:r>
      <w:r>
        <w:rPr>
          <w:spacing w:val="-7"/>
          <w:sz w:val="24"/>
        </w:rPr>
        <w:t> </w:t>
      </w:r>
      <w:r>
        <w:rPr>
          <w:spacing w:val="-2"/>
          <w:sz w:val="24"/>
        </w:rPr>
        <w:t>G.,</w:t>
      </w:r>
      <w:r>
        <w:rPr>
          <w:spacing w:val="-7"/>
          <w:sz w:val="24"/>
        </w:rPr>
        <w:t> </w:t>
      </w:r>
      <w:r>
        <w:rPr>
          <w:spacing w:val="-2"/>
          <w:sz w:val="24"/>
        </w:rPr>
        <w:t>&amp;</w:t>
      </w:r>
      <w:r>
        <w:rPr>
          <w:spacing w:val="-11"/>
          <w:sz w:val="24"/>
        </w:rPr>
        <w:t> </w:t>
      </w:r>
      <w:r>
        <w:rPr>
          <w:spacing w:val="-2"/>
          <w:sz w:val="24"/>
        </w:rPr>
        <w:t>Chitra,</w:t>
      </w:r>
      <w:r>
        <w:rPr>
          <w:spacing w:val="-7"/>
          <w:sz w:val="24"/>
        </w:rPr>
        <w:t> </w:t>
      </w:r>
      <w:r>
        <w:rPr>
          <w:spacing w:val="-2"/>
          <w:sz w:val="24"/>
        </w:rPr>
        <w:t>T.</w:t>
      </w:r>
      <w:r>
        <w:rPr>
          <w:spacing w:val="-10"/>
          <w:sz w:val="24"/>
        </w:rPr>
        <w:t> </w:t>
      </w:r>
      <w:r>
        <w:rPr>
          <w:spacing w:val="-2"/>
          <w:sz w:val="24"/>
        </w:rPr>
        <w:t>(2020).</w:t>
      </w:r>
      <w:r>
        <w:rPr>
          <w:spacing w:val="21"/>
          <w:sz w:val="24"/>
        </w:rPr>
        <w:t> </w:t>
      </w:r>
      <w:r>
        <w:rPr>
          <w:spacing w:val="-2"/>
          <w:sz w:val="24"/>
        </w:rPr>
        <w:t>Improved</w:t>
      </w:r>
      <w:r>
        <w:rPr>
          <w:spacing w:val="-10"/>
          <w:sz w:val="24"/>
        </w:rPr>
        <w:t> </w:t>
      </w:r>
      <w:r>
        <w:rPr>
          <w:spacing w:val="-2"/>
          <w:sz w:val="24"/>
        </w:rPr>
        <w:t>price</w:t>
      </w:r>
      <w:r>
        <w:rPr>
          <w:spacing w:val="-10"/>
          <w:sz w:val="24"/>
        </w:rPr>
        <w:t> </w:t>
      </w:r>
      <w:r>
        <w:rPr>
          <w:spacing w:val="-2"/>
          <w:sz w:val="24"/>
        </w:rPr>
        <w:t>oracles:</w:t>
      </w:r>
      <w:r>
        <w:rPr>
          <w:spacing w:val="19"/>
          <w:sz w:val="24"/>
        </w:rPr>
        <w:t> </w:t>
      </w:r>
      <w:r>
        <w:rPr>
          <w:spacing w:val="-2"/>
          <w:sz w:val="24"/>
        </w:rPr>
        <w:t>Constant</w:t>
      </w:r>
      <w:r>
        <w:rPr>
          <w:spacing w:val="-10"/>
          <w:sz w:val="24"/>
        </w:rPr>
        <w:t> </w:t>
      </w:r>
      <w:r>
        <w:rPr>
          <w:spacing w:val="-2"/>
          <w:sz w:val="24"/>
        </w:rPr>
        <w:t>function</w:t>
      </w:r>
      <w:r>
        <w:rPr>
          <w:spacing w:val="-10"/>
          <w:sz w:val="24"/>
        </w:rPr>
        <w:t> </w:t>
      </w:r>
      <w:r>
        <w:rPr>
          <w:spacing w:val="-2"/>
          <w:sz w:val="24"/>
        </w:rPr>
        <w:t>market</w:t>
      </w:r>
      <w:r>
        <w:rPr>
          <w:spacing w:val="-11"/>
          <w:sz w:val="24"/>
        </w:rPr>
        <w:t> </w:t>
      </w:r>
      <w:r>
        <w:rPr>
          <w:spacing w:val="-2"/>
          <w:sz w:val="24"/>
        </w:rPr>
        <w:t>makers.</w:t>
      </w:r>
      <w:r>
        <w:rPr>
          <w:spacing w:val="22"/>
          <w:sz w:val="24"/>
        </w:rPr>
        <w:t> </w:t>
      </w:r>
      <w:r>
        <w:rPr>
          <w:spacing w:val="-5"/>
          <w:sz w:val="24"/>
        </w:rPr>
        <w:t>In</w:t>
      </w:r>
    </w:p>
    <w:p>
      <w:pPr>
        <w:pStyle w:val="ListParagraph"/>
        <w:numPr>
          <w:ilvl w:val="0"/>
          <w:numId w:val="28"/>
        </w:numPr>
        <w:tabs>
          <w:tab w:pos="691" w:val="left" w:leader="none"/>
        </w:tabs>
        <w:spacing w:line="240" w:lineRule="auto" w:before="86" w:after="0"/>
        <w:ind w:left="691" w:right="0" w:hanging="409"/>
        <w:jc w:val="left"/>
        <w:rPr>
          <w:sz w:val="24"/>
        </w:rPr>
      </w:pPr>
      <w:r>
        <w:rPr>
          <w:i/>
        </w:rPr>
        <w:t>Angeris, G., &amp; Chitra, T. (2020). 향상된 가격 오라클: 지속적인 기능의 시장 조성자. ~ 안에</w:t>
      </w:r>
    </w:p>
    <w:p>
      <w:pPr>
        <w:spacing w:before="180"/>
        <w:ind w:left="692" w:right="0" w:firstLine="0"/>
        <w:jc w:val="left"/>
        <w:rPr>
          <w:sz w:val="24"/>
        </w:rPr>
      </w:pPr>
      <w:r>
        <w:rPr>
          <w:i/>
          <w:sz w:val="24"/>
        </w:rPr>
        <w:t>Proceedings</w:t>
      </w:r>
      <w:r>
        <w:rPr>
          <w:i/>
          <w:spacing w:val="-15"/>
          <w:sz w:val="24"/>
        </w:rPr>
        <w:t> </w:t>
      </w:r>
      <w:r>
        <w:rPr>
          <w:i/>
          <w:sz w:val="24"/>
        </w:rPr>
        <w:t>of</w:t>
      </w:r>
      <w:r>
        <w:rPr>
          <w:i/>
          <w:spacing w:val="-14"/>
          <w:sz w:val="24"/>
        </w:rPr>
        <w:t> </w:t>
      </w:r>
      <w:r>
        <w:rPr>
          <w:i/>
          <w:sz w:val="24"/>
        </w:rPr>
        <w:t>the</w:t>
      </w:r>
      <w:r>
        <w:rPr>
          <w:i/>
          <w:spacing w:val="-13"/>
          <w:sz w:val="24"/>
        </w:rPr>
        <w:t> </w:t>
      </w:r>
      <w:r>
        <w:rPr>
          <w:i/>
          <w:sz w:val="24"/>
        </w:rPr>
        <w:t>2nd</w:t>
      </w:r>
      <w:r>
        <w:rPr>
          <w:i/>
          <w:spacing w:val="-14"/>
          <w:sz w:val="24"/>
        </w:rPr>
        <w:t> </w:t>
      </w:r>
      <w:r>
        <w:rPr>
          <w:i/>
          <w:sz w:val="24"/>
        </w:rPr>
        <w:t>ACM</w:t>
      </w:r>
      <w:r>
        <w:rPr>
          <w:i/>
          <w:spacing w:val="-13"/>
          <w:sz w:val="24"/>
        </w:rPr>
        <w:t> </w:t>
      </w:r>
      <w:r>
        <w:rPr>
          <w:i/>
          <w:sz w:val="24"/>
        </w:rPr>
        <w:t>Conference</w:t>
      </w:r>
      <w:r>
        <w:rPr>
          <w:i/>
          <w:spacing w:val="-14"/>
          <w:sz w:val="24"/>
        </w:rPr>
        <w:t> </w:t>
      </w:r>
      <w:r>
        <w:rPr>
          <w:i/>
          <w:sz w:val="24"/>
        </w:rPr>
        <w:t>on</w:t>
      </w:r>
      <w:r>
        <w:rPr>
          <w:i/>
          <w:spacing w:val="-15"/>
          <w:sz w:val="24"/>
        </w:rPr>
        <w:t> </w:t>
      </w:r>
      <w:r>
        <w:rPr>
          <w:i/>
          <w:sz w:val="24"/>
        </w:rPr>
        <w:t>Advances</w:t>
      </w:r>
      <w:r>
        <w:rPr>
          <w:i/>
          <w:spacing w:val="-13"/>
          <w:sz w:val="24"/>
        </w:rPr>
        <w:t> </w:t>
      </w:r>
      <w:r>
        <w:rPr>
          <w:i/>
          <w:sz w:val="24"/>
        </w:rPr>
        <w:t>in</w:t>
      </w:r>
      <w:r>
        <w:rPr>
          <w:i/>
          <w:spacing w:val="-14"/>
          <w:sz w:val="24"/>
        </w:rPr>
        <w:t> </w:t>
      </w:r>
      <w:r>
        <w:rPr>
          <w:i/>
          <w:sz w:val="24"/>
        </w:rPr>
        <w:t>Financial</w:t>
      </w:r>
      <w:r>
        <w:rPr>
          <w:i/>
          <w:spacing w:val="-13"/>
          <w:sz w:val="24"/>
        </w:rPr>
        <w:t> </w:t>
      </w:r>
      <w:r>
        <w:rPr>
          <w:i/>
          <w:sz w:val="24"/>
        </w:rPr>
        <w:t>Technologies</w:t>
      </w:r>
      <w:r>
        <w:rPr>
          <w:i/>
          <w:spacing w:val="-14"/>
          <w:sz w:val="24"/>
        </w:rPr>
        <w:t> </w:t>
      </w:r>
      <w:r>
        <w:rPr>
          <w:sz w:val="24"/>
        </w:rPr>
        <w:t>(pp.</w:t>
      </w:r>
      <w:r>
        <w:rPr>
          <w:spacing w:val="3"/>
          <w:sz w:val="24"/>
        </w:rPr>
        <w:t> </w:t>
      </w:r>
      <w:r>
        <w:rPr>
          <w:sz w:val="24"/>
        </w:rPr>
        <w:t>80–</w:t>
      </w:r>
      <w:r>
        <w:rPr>
          <w:spacing w:val="-4"/>
          <w:sz w:val="24"/>
        </w:rPr>
        <w:t>91).</w:t>
      </w:r>
    </w:p>
    <w:p>
      <w:pPr>
        <w:spacing w:before="180"/>
        <w:ind w:left="692" w:right="0" w:firstLine="0"/>
        <w:jc w:val="left"/>
        <w:rPr>
          <w:sz w:val="24"/>
        </w:rPr>
      </w:pPr>
      <w:r>
        <w:rPr>
          <w:i/>
        </w:rPr>
        <w:t>금융 기술 발전에 관한 제2차 ACM 컨퍼런스 진행(pp. 80-91).</w:t>
      </w:r>
    </w:p>
    <w:p>
      <w:pPr>
        <w:pStyle w:val="BodyText"/>
        <w:spacing w:before="181"/>
        <w:ind w:left="684"/>
      </w:pPr>
      <w:r>
        <w:rPr/>
        <w:t>ACM.</w:t>
      </w:r>
      <w:r>
        <w:rPr>
          <w:spacing w:val="-8"/>
        </w:rPr>
        <w:t> </w:t>
      </w:r>
      <w:hyperlink r:id="rId27">
        <w:r>
          <w:rPr>
            <w:spacing w:val="-2"/>
          </w:rPr>
          <w:t>doi:10.1145/3419614.3423251</w:t>
        </w:r>
      </w:hyperlink>
    </w:p>
    <w:p>
      <w:pPr>
        <w:pStyle w:val="BodyText"/>
        <w:spacing w:before="181"/>
        <w:ind w:left="684"/>
      </w:pPr>
      <w:r>
        <w:rPr>
          <w:i/>
        </w:rPr>
        <w:t>ACM. 도이:10.1145/3419614.3423251</w:t>
      </w:r>
    </w:p>
    <w:p>
      <w:pPr>
        <w:pStyle w:val="ListParagraph"/>
        <w:numPr>
          <w:ilvl w:val="0"/>
          <w:numId w:val="28"/>
        </w:numPr>
        <w:tabs>
          <w:tab w:pos="690" w:val="left" w:leader="none"/>
          <w:tab w:pos="692" w:val="left" w:leader="none"/>
        </w:tabs>
        <w:spacing w:line="396" w:lineRule="auto" w:before="264" w:after="0"/>
        <w:ind w:left="692" w:right="564" w:hanging="411"/>
        <w:jc w:val="both"/>
        <w:rPr>
          <w:sz w:val="24"/>
        </w:rPr>
      </w:pPr>
      <w:bookmarkStart w:name="_bookmark136" w:id="260"/>
      <w:bookmarkEnd w:id="260"/>
      <w:r>
        <w:rPr/>
      </w:r>
      <w:r>
        <w:rPr>
          <w:sz w:val="24"/>
        </w:rPr>
        <w:t>Antonopoulos,</w:t>
      </w:r>
      <w:r>
        <w:rPr>
          <w:spacing w:val="-15"/>
          <w:sz w:val="24"/>
        </w:rPr>
        <w:t> </w:t>
      </w:r>
      <w:r>
        <w:rPr>
          <w:sz w:val="24"/>
        </w:rPr>
        <w:t>A.</w:t>
      </w:r>
      <w:r>
        <w:rPr>
          <w:spacing w:val="-15"/>
          <w:sz w:val="24"/>
        </w:rPr>
        <w:t> </w:t>
      </w:r>
      <w:r>
        <w:rPr>
          <w:sz w:val="24"/>
        </w:rPr>
        <w:t>M.,</w:t>
      </w:r>
      <w:r>
        <w:rPr>
          <w:spacing w:val="-15"/>
          <w:sz w:val="24"/>
        </w:rPr>
        <w:t> </w:t>
      </w:r>
      <w:r>
        <w:rPr>
          <w:sz w:val="24"/>
        </w:rPr>
        <w:t>&amp;</w:t>
      </w:r>
      <w:r>
        <w:rPr>
          <w:spacing w:val="-15"/>
          <w:sz w:val="24"/>
        </w:rPr>
        <w:t> </w:t>
      </w:r>
      <w:r>
        <w:rPr>
          <w:sz w:val="24"/>
        </w:rPr>
        <w:t>Wood,</w:t>
      </w:r>
      <w:r>
        <w:rPr>
          <w:spacing w:val="-15"/>
          <w:sz w:val="24"/>
        </w:rPr>
        <w:t> </w:t>
      </w:r>
      <w:r>
        <w:rPr>
          <w:sz w:val="24"/>
        </w:rPr>
        <w:t>G.</w:t>
      </w:r>
      <w:r>
        <w:rPr>
          <w:spacing w:val="-15"/>
          <w:sz w:val="24"/>
        </w:rPr>
        <w:t> </w:t>
      </w:r>
      <w:r>
        <w:rPr>
          <w:sz w:val="24"/>
        </w:rPr>
        <w:t>(2018).</w:t>
      </w:r>
      <w:r>
        <w:rPr>
          <w:spacing w:val="-15"/>
          <w:sz w:val="24"/>
        </w:rPr>
        <w:t> </w:t>
      </w:r>
      <w:r>
        <w:rPr>
          <w:i/>
          <w:sz w:val="24"/>
        </w:rPr>
        <w:t>Mastering</w:t>
      </w:r>
      <w:r>
        <w:rPr>
          <w:i/>
          <w:spacing w:val="-15"/>
          <w:sz w:val="24"/>
        </w:rPr>
        <w:t> </w:t>
      </w:r>
      <w:r>
        <w:rPr>
          <w:i/>
          <w:sz w:val="24"/>
        </w:rPr>
        <w:t>Ethereum:</w:t>
      </w:r>
      <w:r>
        <w:rPr>
          <w:i/>
          <w:spacing w:val="-15"/>
          <w:sz w:val="24"/>
        </w:rPr>
        <w:t> </w:t>
      </w:r>
      <w:r>
        <w:rPr>
          <w:i/>
          <w:sz w:val="24"/>
        </w:rPr>
        <w:t>Building</w:t>
      </w:r>
      <w:r>
        <w:rPr>
          <w:i/>
          <w:spacing w:val="-15"/>
          <w:sz w:val="24"/>
        </w:rPr>
        <w:t> </w:t>
      </w:r>
      <w:r>
        <w:rPr>
          <w:i/>
          <w:sz w:val="24"/>
        </w:rPr>
        <w:t>smart</w:t>
      </w:r>
      <w:r>
        <w:rPr>
          <w:i/>
          <w:spacing w:val="-15"/>
          <w:sz w:val="24"/>
        </w:rPr>
        <w:t> </w:t>
      </w:r>
      <w:r>
        <w:rPr>
          <w:i/>
          <w:sz w:val="24"/>
        </w:rPr>
        <w:t>contracts</w:t>
      </w:r>
      <w:r>
        <w:rPr>
          <w:i/>
          <w:spacing w:val="-15"/>
          <w:sz w:val="24"/>
        </w:rPr>
        <w:t> </w:t>
      </w:r>
      <w:r>
        <w:rPr>
          <w:i/>
          <w:sz w:val="24"/>
        </w:rPr>
        <w:t>and DApps</w:t>
      </w:r>
      <w:r>
        <w:rPr>
          <w:sz w:val="24"/>
        </w:rPr>
        <w:t>. O’Reilly Media.</w:t>
      </w:r>
    </w:p>
    <w:p>
      <w:pPr>
        <w:pStyle w:val="ListParagraph"/>
        <w:numPr>
          <w:ilvl w:val="0"/>
          <w:numId w:val="28"/>
        </w:numPr>
        <w:tabs>
          <w:tab w:pos="690" w:val="left" w:leader="none"/>
          <w:tab w:pos="692" w:val="left" w:leader="none"/>
        </w:tabs>
        <w:spacing w:line="396" w:lineRule="auto" w:before="264" w:after="0"/>
        <w:ind w:left="692" w:right="564" w:hanging="411"/>
        <w:jc w:val="both"/>
        <w:rPr>
          <w:sz w:val="24"/>
        </w:rPr>
      </w:pPr>
      <w:r>
        <w:rPr>
          <w:i/>
        </w:rPr>
        <w:t>Antonopoulos, A. M., &amp; Wood, G. (2018). 이더리움 마스터하기: 스마트 계약 및 DApp 구축. 오라일리 미디어.</w:t>
      </w:r>
    </w:p>
    <w:p>
      <w:pPr>
        <w:pStyle w:val="ListParagraph"/>
        <w:numPr>
          <w:ilvl w:val="0"/>
          <w:numId w:val="28"/>
        </w:numPr>
        <w:tabs>
          <w:tab w:pos="690" w:val="left" w:leader="none"/>
          <w:tab w:pos="692" w:val="left" w:leader="none"/>
        </w:tabs>
        <w:spacing w:line="396" w:lineRule="auto" w:before="86" w:after="0"/>
        <w:ind w:left="692" w:right="524" w:hanging="411"/>
        <w:jc w:val="both"/>
        <w:rPr>
          <w:sz w:val="24"/>
        </w:rPr>
      </w:pPr>
      <w:bookmarkStart w:name="_bookmark137" w:id="261"/>
      <w:bookmarkEnd w:id="261"/>
      <w:r>
        <w:rPr/>
      </w:r>
      <w:r>
        <w:rPr>
          <w:sz w:val="24"/>
        </w:rPr>
        <w:t>Auer,</w:t>
      </w:r>
      <w:r>
        <w:rPr>
          <w:spacing w:val="-10"/>
          <w:sz w:val="24"/>
        </w:rPr>
        <w:t> </w:t>
      </w:r>
      <w:r>
        <w:rPr>
          <w:sz w:val="24"/>
        </w:rPr>
        <w:t>R.,</w:t>
      </w:r>
      <w:r>
        <w:rPr>
          <w:spacing w:val="-9"/>
          <w:sz w:val="24"/>
        </w:rPr>
        <w:t> </w:t>
      </w:r>
      <w:r>
        <w:rPr>
          <w:sz w:val="24"/>
        </w:rPr>
        <w:t>Haslhofer,</w:t>
      </w:r>
      <w:r>
        <w:rPr>
          <w:spacing w:val="-10"/>
          <w:sz w:val="24"/>
        </w:rPr>
        <w:t> </w:t>
      </w:r>
      <w:r>
        <w:rPr>
          <w:sz w:val="24"/>
        </w:rPr>
        <w:t>B.,</w:t>
      </w:r>
      <w:r>
        <w:rPr>
          <w:spacing w:val="-9"/>
          <w:sz w:val="24"/>
        </w:rPr>
        <w:t> </w:t>
      </w:r>
      <w:r>
        <w:rPr>
          <w:sz w:val="24"/>
        </w:rPr>
        <w:t>Kitzler,</w:t>
      </w:r>
      <w:r>
        <w:rPr>
          <w:spacing w:val="-10"/>
          <w:sz w:val="24"/>
        </w:rPr>
        <w:t> </w:t>
      </w:r>
      <w:r>
        <w:rPr>
          <w:sz w:val="24"/>
        </w:rPr>
        <w:t>S.,</w:t>
      </w:r>
      <w:r>
        <w:rPr>
          <w:spacing w:val="-9"/>
          <w:sz w:val="24"/>
        </w:rPr>
        <w:t> </w:t>
      </w:r>
      <w:r>
        <w:rPr>
          <w:sz w:val="24"/>
        </w:rPr>
        <w:t>Saggese,</w:t>
      </w:r>
      <w:r>
        <w:rPr>
          <w:spacing w:val="-10"/>
          <w:sz w:val="24"/>
        </w:rPr>
        <w:t> </w:t>
      </w:r>
      <w:r>
        <w:rPr>
          <w:sz w:val="24"/>
        </w:rPr>
        <w:t>P.,</w:t>
      </w:r>
      <w:r>
        <w:rPr>
          <w:spacing w:val="-10"/>
          <w:sz w:val="24"/>
        </w:rPr>
        <w:t> </w:t>
      </w:r>
      <w:r>
        <w:rPr>
          <w:sz w:val="24"/>
        </w:rPr>
        <w:t>&amp;</w:t>
      </w:r>
      <w:r>
        <w:rPr>
          <w:spacing w:val="-10"/>
          <w:sz w:val="24"/>
        </w:rPr>
        <w:t> </w:t>
      </w:r>
      <w:r>
        <w:rPr>
          <w:sz w:val="24"/>
        </w:rPr>
        <w:t>Victor,</w:t>
      </w:r>
      <w:r>
        <w:rPr>
          <w:spacing w:val="-10"/>
          <w:sz w:val="24"/>
        </w:rPr>
        <w:t> </w:t>
      </w:r>
      <w:r>
        <w:rPr>
          <w:sz w:val="24"/>
        </w:rPr>
        <w:t>F.</w:t>
      </w:r>
      <w:r>
        <w:rPr>
          <w:spacing w:val="-10"/>
          <w:sz w:val="24"/>
        </w:rPr>
        <w:t> </w:t>
      </w:r>
      <w:r>
        <w:rPr>
          <w:sz w:val="24"/>
        </w:rPr>
        <w:t>(2023).</w:t>
      </w:r>
      <w:r>
        <w:rPr>
          <w:spacing w:val="9"/>
          <w:sz w:val="24"/>
        </w:rPr>
        <w:t> </w:t>
      </w:r>
      <w:r>
        <w:rPr>
          <w:i/>
          <w:sz w:val="24"/>
        </w:rPr>
        <w:t>The</w:t>
      </w:r>
      <w:r>
        <w:rPr>
          <w:i/>
          <w:spacing w:val="-10"/>
          <w:sz w:val="24"/>
        </w:rPr>
        <w:t> </w:t>
      </w:r>
      <w:r>
        <w:rPr>
          <w:i/>
          <w:sz w:val="24"/>
        </w:rPr>
        <w:t>technology</w:t>
      </w:r>
      <w:r>
        <w:rPr>
          <w:i/>
          <w:spacing w:val="-10"/>
          <w:sz w:val="24"/>
        </w:rPr>
        <w:t> </w:t>
      </w:r>
      <w:r>
        <w:rPr>
          <w:i/>
          <w:sz w:val="24"/>
        </w:rPr>
        <w:t>of</w:t>
      </w:r>
      <w:r>
        <w:rPr>
          <w:i/>
          <w:spacing w:val="-9"/>
          <w:sz w:val="24"/>
        </w:rPr>
        <w:t> </w:t>
      </w:r>
      <w:r>
        <w:rPr>
          <w:i/>
          <w:sz w:val="24"/>
        </w:rPr>
        <w:t>decen-tralized finance (DeFi) </w:t>
      </w:r>
      <w:r>
        <w:rPr>
          <w:sz w:val="24"/>
        </w:rPr>
        <w:t>(BIS Working Papers No. 1066). Bank for International Settlements.</w:t>
      </w:r>
    </w:p>
    <w:p>
      <w:pPr>
        <w:pStyle w:val="ListParagraph"/>
        <w:numPr>
          <w:ilvl w:val="0"/>
          <w:numId w:val="28"/>
        </w:numPr>
        <w:tabs>
          <w:tab w:pos="690" w:val="left" w:leader="none"/>
          <w:tab w:pos="692" w:val="left" w:leader="none"/>
        </w:tabs>
        <w:spacing w:line="396" w:lineRule="auto" w:before="86" w:after="0"/>
        <w:ind w:left="692" w:right="524" w:hanging="411"/>
        <w:jc w:val="both"/>
        <w:rPr>
          <w:sz w:val="24"/>
        </w:rPr>
      </w:pPr>
      <w:r>
        <w:rPr>
          <w:i/>
        </w:rPr>
        <w:t>Auer, R., Haslhofer, B., Kitzler, S., Saggese, P., &amp; Victor, F. (2023). 탈중앙화 금융 기술(DeFi)(BIS Working Papers No. 1066). 국제결제은행.</w:t>
      </w:r>
    </w:p>
    <w:p>
      <w:pPr>
        <w:pStyle w:val="ListParagraph"/>
        <w:numPr>
          <w:ilvl w:val="0"/>
          <w:numId w:val="28"/>
        </w:numPr>
        <w:tabs>
          <w:tab w:pos="684" w:val="left" w:leader="none"/>
          <w:tab w:pos="690" w:val="left" w:leader="none"/>
        </w:tabs>
        <w:spacing w:line="396" w:lineRule="auto" w:before="86" w:after="0"/>
        <w:ind w:left="684" w:right="524" w:hanging="403"/>
        <w:jc w:val="both"/>
        <w:rPr>
          <w:sz w:val="24"/>
        </w:rPr>
      </w:pPr>
      <w:bookmarkStart w:name="_bookmark138" w:id="262"/>
      <w:bookmarkEnd w:id="262"/>
      <w:r>
        <w:rPr/>
      </w:r>
      <w:r>
        <w:rPr>
          <w:sz w:val="24"/>
        </w:rPr>
        <w:tab/>
        <w:t>Bartoletti, M., Chiang, J. H., &amp; Lluch-Lafuente, A. (2021).</w:t>
      </w:r>
      <w:r>
        <w:rPr>
          <w:spacing w:val="29"/>
          <w:sz w:val="24"/>
        </w:rPr>
        <w:t> </w:t>
      </w:r>
      <w:r>
        <w:rPr>
          <w:sz w:val="24"/>
        </w:rPr>
        <w:t>SoK: Lending pools in decentral-ized</w:t>
      </w:r>
      <w:r>
        <w:rPr>
          <w:spacing w:val="-15"/>
          <w:sz w:val="24"/>
        </w:rPr>
        <w:t> </w:t>
      </w:r>
      <w:r>
        <w:rPr>
          <w:sz w:val="24"/>
        </w:rPr>
        <w:t>finance.</w:t>
      </w:r>
      <w:r>
        <w:rPr>
          <w:spacing w:val="-15"/>
          <w:sz w:val="24"/>
        </w:rPr>
        <w:t> </w:t>
      </w:r>
      <w:r>
        <w:rPr>
          <w:sz w:val="24"/>
        </w:rPr>
        <w:t>In</w:t>
      </w:r>
      <w:r>
        <w:rPr>
          <w:spacing w:val="-15"/>
          <w:sz w:val="24"/>
        </w:rPr>
        <w:t> </w:t>
      </w:r>
      <w:r>
        <w:rPr>
          <w:i/>
          <w:sz w:val="24"/>
        </w:rPr>
        <w:t>Financial</w:t>
      </w:r>
      <w:r>
        <w:rPr>
          <w:i/>
          <w:spacing w:val="-15"/>
          <w:sz w:val="24"/>
        </w:rPr>
        <w:t> </w:t>
      </w:r>
      <w:r>
        <w:rPr>
          <w:i/>
          <w:sz w:val="24"/>
        </w:rPr>
        <w:t>Cryptography</w:t>
      </w:r>
      <w:r>
        <w:rPr>
          <w:i/>
          <w:spacing w:val="-15"/>
          <w:sz w:val="24"/>
        </w:rPr>
        <w:t> </w:t>
      </w:r>
      <w:r>
        <w:rPr>
          <w:i/>
          <w:sz w:val="24"/>
        </w:rPr>
        <w:t>and</w:t>
      </w:r>
      <w:r>
        <w:rPr>
          <w:i/>
          <w:spacing w:val="-15"/>
          <w:sz w:val="24"/>
        </w:rPr>
        <w:t> </w:t>
      </w:r>
      <w:r>
        <w:rPr>
          <w:i/>
          <w:sz w:val="24"/>
        </w:rPr>
        <w:t>Data</w:t>
      </w:r>
      <w:r>
        <w:rPr>
          <w:i/>
          <w:spacing w:val="-15"/>
          <w:sz w:val="24"/>
        </w:rPr>
        <w:t> </w:t>
      </w:r>
      <w:r>
        <w:rPr>
          <w:i/>
          <w:sz w:val="24"/>
        </w:rPr>
        <w:t>Security. FC</w:t>
      </w:r>
      <w:r>
        <w:rPr>
          <w:i/>
          <w:spacing w:val="-15"/>
          <w:sz w:val="24"/>
        </w:rPr>
        <w:t> </w:t>
      </w:r>
      <w:r>
        <w:rPr>
          <w:i/>
          <w:sz w:val="24"/>
        </w:rPr>
        <w:t>2021</w:t>
      </w:r>
      <w:r>
        <w:rPr>
          <w:i/>
          <w:spacing w:val="-15"/>
          <w:sz w:val="24"/>
        </w:rPr>
        <w:t> </w:t>
      </w:r>
      <w:r>
        <w:rPr>
          <w:i/>
          <w:sz w:val="24"/>
        </w:rPr>
        <w:t>International</w:t>
      </w:r>
      <w:r>
        <w:rPr>
          <w:i/>
          <w:spacing w:val="-15"/>
          <w:sz w:val="24"/>
        </w:rPr>
        <w:t> </w:t>
      </w:r>
      <w:r>
        <w:rPr>
          <w:i/>
          <w:sz w:val="24"/>
        </w:rPr>
        <w:t>Workshops </w:t>
      </w:r>
      <w:r>
        <w:rPr>
          <w:sz w:val="24"/>
        </w:rPr>
        <w:t>(pp. 553–578). Springer. </w:t>
      </w:r>
      <w:hyperlink r:id="rId28">
        <w:r>
          <w:rPr>
            <w:sz w:val="24"/>
          </w:rPr>
          <w:t>doi:10.1007/978-3-662-63958-0_40</w:t>
        </w:r>
      </w:hyperlink>
    </w:p>
    <w:p>
      <w:pPr>
        <w:pStyle w:val="ListParagraph"/>
        <w:numPr>
          <w:ilvl w:val="0"/>
          <w:numId w:val="28"/>
        </w:numPr>
        <w:tabs>
          <w:tab w:pos="684" w:val="left" w:leader="none"/>
          <w:tab w:pos="690" w:val="left" w:leader="none"/>
        </w:tabs>
        <w:spacing w:line="396" w:lineRule="auto" w:before="86" w:after="0"/>
        <w:ind w:left="684" w:right="524" w:hanging="403"/>
        <w:jc w:val="both"/>
        <w:rPr>
          <w:sz w:val="24"/>
        </w:rPr>
      </w:pPr>
      <w:r>
        <w:rPr>
          <w:i/>
        </w:rPr>
        <w:tab/>
        <w:t>Bartoletti, M., Chiang, J.H., &amp; Lluch-Lafuente, A. (2021). SoK: 분산형 금융의 대출 풀. 금융 암호화 및 데이터 보안. FC 2021 국제 워크숍(pp. 553–578). 뛰는 것. 도이:10.1007/978-3-662-63958-0_40</w:t>
      </w:r>
    </w:p>
    <w:p>
      <w:pPr>
        <w:pStyle w:val="ListParagraph"/>
        <w:numPr>
          <w:ilvl w:val="0"/>
          <w:numId w:val="28"/>
        </w:numPr>
        <w:tabs>
          <w:tab w:pos="690" w:val="left" w:leader="none"/>
          <w:tab w:pos="692" w:val="left" w:leader="none"/>
        </w:tabs>
        <w:spacing w:line="396" w:lineRule="auto" w:before="87" w:after="0"/>
        <w:ind w:left="692" w:right="522" w:hanging="411"/>
        <w:jc w:val="both"/>
        <w:rPr>
          <w:sz w:val="24"/>
        </w:rPr>
      </w:pPr>
      <w:bookmarkStart w:name="_bookmark139" w:id="263"/>
      <w:bookmarkEnd w:id="263"/>
      <w:r>
        <w:rPr/>
      </w:r>
      <w:r>
        <w:rPr>
          <w:sz w:val="24"/>
        </w:rPr>
        <w:t>Basu,</w:t>
      </w:r>
      <w:r>
        <w:rPr>
          <w:spacing w:val="-5"/>
          <w:sz w:val="24"/>
        </w:rPr>
        <w:t> </w:t>
      </w:r>
      <w:r>
        <w:rPr>
          <w:sz w:val="24"/>
        </w:rPr>
        <w:t>S.</w:t>
      </w:r>
      <w:r>
        <w:rPr>
          <w:spacing w:val="-5"/>
          <w:sz w:val="24"/>
        </w:rPr>
        <w:t> </w:t>
      </w:r>
      <w:r>
        <w:rPr>
          <w:sz w:val="24"/>
        </w:rPr>
        <w:t>(1977).</w:t>
      </w:r>
      <w:r>
        <w:rPr>
          <w:spacing w:val="16"/>
          <w:sz w:val="24"/>
        </w:rPr>
        <w:t> </w:t>
      </w:r>
      <w:r>
        <w:rPr>
          <w:sz w:val="24"/>
        </w:rPr>
        <w:t>Investment</w:t>
      </w:r>
      <w:r>
        <w:rPr>
          <w:spacing w:val="-5"/>
          <w:sz w:val="24"/>
        </w:rPr>
        <w:t> </w:t>
      </w:r>
      <w:r>
        <w:rPr>
          <w:sz w:val="24"/>
        </w:rPr>
        <w:t>performance</w:t>
      </w:r>
      <w:r>
        <w:rPr>
          <w:spacing w:val="-6"/>
          <w:sz w:val="24"/>
        </w:rPr>
        <w:t> </w:t>
      </w:r>
      <w:r>
        <w:rPr>
          <w:sz w:val="24"/>
        </w:rPr>
        <w:t>of</w:t>
      </w:r>
      <w:r>
        <w:rPr>
          <w:spacing w:val="-6"/>
          <w:sz w:val="24"/>
        </w:rPr>
        <w:t> </w:t>
      </w:r>
      <w:r>
        <w:rPr>
          <w:sz w:val="24"/>
        </w:rPr>
        <w:t>common</w:t>
      </w:r>
      <w:r>
        <w:rPr>
          <w:spacing w:val="-5"/>
          <w:sz w:val="24"/>
        </w:rPr>
        <w:t> </w:t>
      </w:r>
      <w:r>
        <w:rPr>
          <w:sz w:val="24"/>
        </w:rPr>
        <w:t>stocks</w:t>
      </w:r>
      <w:r>
        <w:rPr>
          <w:spacing w:val="-6"/>
          <w:sz w:val="24"/>
        </w:rPr>
        <w:t> </w:t>
      </w:r>
      <w:r>
        <w:rPr>
          <w:sz w:val="24"/>
        </w:rPr>
        <w:t>in</w:t>
      </w:r>
      <w:r>
        <w:rPr>
          <w:spacing w:val="-5"/>
          <w:sz w:val="24"/>
        </w:rPr>
        <w:t> </w:t>
      </w:r>
      <w:r>
        <w:rPr>
          <w:sz w:val="24"/>
        </w:rPr>
        <w:t>relation</w:t>
      </w:r>
      <w:r>
        <w:rPr>
          <w:spacing w:val="-6"/>
          <w:sz w:val="24"/>
        </w:rPr>
        <w:t> </w:t>
      </w:r>
      <w:r>
        <w:rPr>
          <w:sz w:val="24"/>
        </w:rPr>
        <w:t>to</w:t>
      </w:r>
      <w:r>
        <w:rPr>
          <w:spacing w:val="-5"/>
          <w:sz w:val="24"/>
        </w:rPr>
        <w:t> </w:t>
      </w:r>
      <w:r>
        <w:rPr>
          <w:sz w:val="24"/>
        </w:rPr>
        <w:t>their</w:t>
      </w:r>
      <w:r>
        <w:rPr>
          <w:spacing w:val="-6"/>
          <w:sz w:val="24"/>
        </w:rPr>
        <w:t> </w:t>
      </w:r>
      <w:r>
        <w:rPr>
          <w:sz w:val="24"/>
        </w:rPr>
        <w:t>price-earnings ratios:</w:t>
      </w:r>
      <w:r>
        <w:rPr>
          <w:spacing w:val="40"/>
          <w:sz w:val="24"/>
        </w:rPr>
        <w:t> </w:t>
      </w:r>
      <w:r>
        <w:rPr>
          <w:sz w:val="24"/>
        </w:rPr>
        <w:t>A test of the efficient market hypothesis.</w:t>
      </w:r>
      <w:r>
        <w:rPr>
          <w:spacing w:val="40"/>
          <w:sz w:val="24"/>
        </w:rPr>
        <w:t> </w:t>
      </w:r>
      <w:r>
        <w:rPr>
          <w:i/>
          <w:sz w:val="24"/>
        </w:rPr>
        <w:t>The Journal of Finance</w:t>
      </w:r>
      <w:r>
        <w:rPr>
          <w:sz w:val="24"/>
        </w:rPr>
        <w:t>, </w:t>
      </w:r>
      <w:r>
        <w:rPr>
          <w:i/>
          <w:sz w:val="24"/>
        </w:rPr>
        <w:t>32</w:t>
      </w:r>
      <w:r>
        <w:rPr>
          <w:sz w:val="24"/>
        </w:rPr>
        <w:t>(3), 663–682. </w:t>
      </w:r>
      <w:hyperlink r:id="rId29">
        <w:r>
          <w:rPr>
            <w:spacing w:val="-2"/>
            <w:sz w:val="24"/>
          </w:rPr>
          <w:t>doi:10.1111/j.1540-6261.1977.tb01979.x</w:t>
        </w:r>
      </w:hyperlink>
    </w:p>
    <w:p>
      <w:pPr>
        <w:pStyle w:val="ListParagraph"/>
        <w:numPr>
          <w:ilvl w:val="0"/>
          <w:numId w:val="28"/>
        </w:numPr>
        <w:tabs>
          <w:tab w:pos="690" w:val="left" w:leader="none"/>
          <w:tab w:pos="692" w:val="left" w:leader="none"/>
        </w:tabs>
        <w:spacing w:line="396" w:lineRule="auto" w:before="87" w:after="0"/>
        <w:ind w:left="692" w:right="522" w:hanging="411"/>
        <w:jc w:val="both"/>
        <w:rPr>
          <w:sz w:val="24"/>
        </w:rPr>
      </w:pPr>
      <w:r>
        <w:rPr>
          <w:i/>
        </w:rPr>
        <w:t>바수, S. (1977). 주가수익률에 따른 보통주의 투자성과: 효율적 시장가설에 대한 검정. 금융저널, 32(3), 663-682. doi:10.1111/j.1540-6261.1977.tb01979.x</w:t>
      </w:r>
    </w:p>
    <w:p>
      <w:pPr>
        <w:pStyle w:val="ListParagraph"/>
        <w:numPr>
          <w:ilvl w:val="0"/>
          <w:numId w:val="28"/>
        </w:numPr>
        <w:tabs>
          <w:tab w:pos="690" w:val="left" w:leader="none"/>
          <w:tab w:pos="692" w:val="left" w:leader="none"/>
        </w:tabs>
        <w:spacing w:line="396" w:lineRule="auto" w:before="87" w:after="0"/>
        <w:ind w:left="692" w:right="524" w:hanging="411"/>
        <w:jc w:val="both"/>
        <w:rPr>
          <w:sz w:val="24"/>
        </w:rPr>
      </w:pPr>
      <w:bookmarkStart w:name="_bookmark140" w:id="264"/>
      <w:bookmarkEnd w:id="264"/>
      <w:r>
        <w:rPr/>
      </w:r>
      <w:r>
        <w:rPr>
          <w:sz w:val="24"/>
        </w:rPr>
        <w:t>Bonneau,</w:t>
      </w:r>
      <w:r>
        <w:rPr>
          <w:spacing w:val="-15"/>
          <w:sz w:val="24"/>
        </w:rPr>
        <w:t> </w:t>
      </w:r>
      <w:r>
        <w:rPr>
          <w:sz w:val="24"/>
        </w:rPr>
        <w:t>J.,</w:t>
      </w:r>
      <w:r>
        <w:rPr>
          <w:spacing w:val="-15"/>
          <w:sz w:val="24"/>
        </w:rPr>
        <w:t> </w:t>
      </w:r>
      <w:r>
        <w:rPr>
          <w:sz w:val="24"/>
        </w:rPr>
        <w:t>Miller,</w:t>
      </w:r>
      <w:r>
        <w:rPr>
          <w:spacing w:val="-15"/>
          <w:sz w:val="24"/>
        </w:rPr>
        <w:t> </w:t>
      </w:r>
      <w:r>
        <w:rPr>
          <w:sz w:val="24"/>
        </w:rPr>
        <w:t>A.,</w:t>
      </w:r>
      <w:r>
        <w:rPr>
          <w:spacing w:val="-15"/>
          <w:sz w:val="24"/>
        </w:rPr>
        <w:t> </w:t>
      </w:r>
      <w:r>
        <w:rPr>
          <w:sz w:val="24"/>
        </w:rPr>
        <w:t>Clark,</w:t>
      </w:r>
      <w:r>
        <w:rPr>
          <w:spacing w:val="-15"/>
          <w:sz w:val="24"/>
        </w:rPr>
        <w:t> </w:t>
      </w:r>
      <w:r>
        <w:rPr>
          <w:sz w:val="24"/>
        </w:rPr>
        <w:t>J.,</w:t>
      </w:r>
      <w:r>
        <w:rPr>
          <w:spacing w:val="-15"/>
          <w:sz w:val="24"/>
        </w:rPr>
        <w:t> </w:t>
      </w:r>
      <w:r>
        <w:rPr>
          <w:sz w:val="24"/>
        </w:rPr>
        <w:t>Narayanan,</w:t>
      </w:r>
      <w:r>
        <w:rPr>
          <w:spacing w:val="-15"/>
          <w:sz w:val="24"/>
        </w:rPr>
        <w:t> </w:t>
      </w:r>
      <w:r>
        <w:rPr>
          <w:sz w:val="24"/>
        </w:rPr>
        <w:t>A.,</w:t>
      </w:r>
      <w:r>
        <w:rPr>
          <w:spacing w:val="-15"/>
          <w:sz w:val="24"/>
        </w:rPr>
        <w:t> </w:t>
      </w:r>
      <w:r>
        <w:rPr>
          <w:sz w:val="24"/>
        </w:rPr>
        <w:t>Kroll,</w:t>
      </w:r>
      <w:r>
        <w:rPr>
          <w:spacing w:val="-15"/>
          <w:sz w:val="24"/>
        </w:rPr>
        <w:t> </w:t>
      </w:r>
      <w:r>
        <w:rPr>
          <w:sz w:val="24"/>
        </w:rPr>
        <w:t>J.</w:t>
      </w:r>
      <w:r>
        <w:rPr>
          <w:spacing w:val="-15"/>
          <w:sz w:val="24"/>
        </w:rPr>
        <w:t> </w:t>
      </w:r>
      <w:r>
        <w:rPr>
          <w:sz w:val="24"/>
        </w:rPr>
        <w:t>A.,</w:t>
      </w:r>
      <w:r>
        <w:rPr>
          <w:spacing w:val="-15"/>
          <w:sz w:val="24"/>
        </w:rPr>
        <w:t> </w:t>
      </w:r>
      <w:r>
        <w:rPr>
          <w:sz w:val="24"/>
        </w:rPr>
        <w:t>&amp;</w:t>
      </w:r>
      <w:r>
        <w:rPr>
          <w:spacing w:val="-15"/>
          <w:sz w:val="24"/>
        </w:rPr>
        <w:t> </w:t>
      </w:r>
      <w:r>
        <w:rPr>
          <w:sz w:val="24"/>
        </w:rPr>
        <w:t>Felten,</w:t>
      </w:r>
      <w:r>
        <w:rPr>
          <w:spacing w:val="-15"/>
          <w:sz w:val="24"/>
        </w:rPr>
        <w:t> </w:t>
      </w:r>
      <w:r>
        <w:rPr>
          <w:sz w:val="24"/>
        </w:rPr>
        <w:t>E.</w:t>
      </w:r>
      <w:r>
        <w:rPr>
          <w:spacing w:val="-15"/>
          <w:sz w:val="24"/>
        </w:rPr>
        <w:t> </w:t>
      </w:r>
      <w:r>
        <w:rPr>
          <w:sz w:val="24"/>
        </w:rPr>
        <w:t>W.</w:t>
      </w:r>
      <w:r>
        <w:rPr>
          <w:spacing w:val="-15"/>
          <w:sz w:val="24"/>
        </w:rPr>
        <w:t> </w:t>
      </w:r>
      <w:r>
        <w:rPr>
          <w:sz w:val="24"/>
        </w:rPr>
        <w:t>(2015).</w:t>
      </w:r>
      <w:r>
        <w:rPr>
          <w:spacing w:val="3"/>
          <w:sz w:val="24"/>
        </w:rPr>
        <w:t> </w:t>
      </w:r>
      <w:r>
        <w:rPr>
          <w:sz w:val="24"/>
        </w:rPr>
        <w:t>SoK:</w:t>
      </w:r>
      <w:r>
        <w:rPr>
          <w:spacing w:val="-15"/>
          <w:sz w:val="24"/>
        </w:rPr>
        <w:t> </w:t>
      </w:r>
      <w:r>
        <w:rPr>
          <w:sz w:val="24"/>
        </w:rPr>
        <w:t>Re-search</w:t>
      </w:r>
      <w:r>
        <w:rPr>
          <w:spacing w:val="-15"/>
          <w:sz w:val="24"/>
        </w:rPr>
        <w:t> </w:t>
      </w:r>
      <w:r>
        <w:rPr>
          <w:sz w:val="24"/>
        </w:rPr>
        <w:t>perspectives</w:t>
      </w:r>
      <w:r>
        <w:rPr>
          <w:spacing w:val="-15"/>
          <w:sz w:val="24"/>
        </w:rPr>
        <w:t> </w:t>
      </w:r>
      <w:r>
        <w:rPr>
          <w:sz w:val="24"/>
        </w:rPr>
        <w:t>and</w:t>
      </w:r>
      <w:r>
        <w:rPr>
          <w:spacing w:val="-15"/>
          <w:sz w:val="24"/>
        </w:rPr>
        <w:t> </w:t>
      </w:r>
      <w:r>
        <w:rPr>
          <w:sz w:val="24"/>
        </w:rPr>
        <w:t>challenges</w:t>
      </w:r>
      <w:r>
        <w:rPr>
          <w:spacing w:val="-15"/>
          <w:sz w:val="24"/>
        </w:rPr>
        <w:t> </w:t>
      </w:r>
      <w:r>
        <w:rPr>
          <w:sz w:val="24"/>
        </w:rPr>
        <w:t>for</w:t>
      </w:r>
      <w:r>
        <w:rPr>
          <w:spacing w:val="-15"/>
          <w:sz w:val="24"/>
        </w:rPr>
        <w:t> </w:t>
      </w:r>
      <w:r>
        <w:rPr>
          <w:sz w:val="24"/>
        </w:rPr>
        <w:t>Bitcoin</w:t>
      </w:r>
      <w:r>
        <w:rPr>
          <w:spacing w:val="-15"/>
          <w:sz w:val="24"/>
        </w:rPr>
        <w:t> </w:t>
      </w:r>
      <w:r>
        <w:rPr>
          <w:sz w:val="24"/>
        </w:rPr>
        <w:t>and</w:t>
      </w:r>
      <w:r>
        <w:rPr>
          <w:spacing w:val="-15"/>
          <w:sz w:val="24"/>
        </w:rPr>
        <w:t> </w:t>
      </w:r>
      <w:r>
        <w:rPr>
          <w:sz w:val="24"/>
        </w:rPr>
        <w:t>cryptocurrencies. In</w:t>
      </w:r>
      <w:r>
        <w:rPr>
          <w:spacing w:val="-15"/>
          <w:sz w:val="24"/>
        </w:rPr>
        <w:t> </w:t>
      </w:r>
      <w:r>
        <w:rPr>
          <w:i/>
          <w:sz w:val="24"/>
        </w:rPr>
        <w:t>2015</w:t>
      </w:r>
      <w:r>
        <w:rPr>
          <w:i/>
          <w:spacing w:val="-15"/>
          <w:sz w:val="24"/>
        </w:rPr>
        <w:t> </w:t>
      </w:r>
      <w:r>
        <w:rPr>
          <w:i/>
          <w:sz w:val="24"/>
        </w:rPr>
        <w:t>IEEE</w:t>
      </w:r>
      <w:r>
        <w:rPr>
          <w:i/>
          <w:spacing w:val="-15"/>
          <w:sz w:val="24"/>
        </w:rPr>
        <w:t> </w:t>
      </w:r>
      <w:r>
        <w:rPr>
          <w:i/>
          <w:sz w:val="24"/>
        </w:rPr>
        <w:t>Symposium on Security and Privacy </w:t>
      </w:r>
      <w:r>
        <w:rPr>
          <w:sz w:val="24"/>
        </w:rPr>
        <w:t>(pp. 104–121). IEEE. </w:t>
      </w:r>
      <w:hyperlink r:id="rId30">
        <w:r>
          <w:rPr>
            <w:sz w:val="24"/>
          </w:rPr>
          <w:t>doi:10.1109/SP.2015.14</w:t>
        </w:r>
      </w:hyperlink>
    </w:p>
    <w:p>
      <w:pPr>
        <w:pStyle w:val="ListParagraph"/>
        <w:numPr>
          <w:ilvl w:val="0"/>
          <w:numId w:val="28"/>
        </w:numPr>
        <w:tabs>
          <w:tab w:pos="690" w:val="left" w:leader="none"/>
          <w:tab w:pos="692" w:val="left" w:leader="none"/>
        </w:tabs>
        <w:spacing w:line="396" w:lineRule="auto" w:before="87" w:after="0"/>
        <w:ind w:left="692" w:right="524" w:hanging="411"/>
        <w:jc w:val="both"/>
        <w:rPr>
          <w:sz w:val="24"/>
        </w:rPr>
      </w:pPr>
      <w:r>
        <w:rPr>
          <w:i/>
        </w:rPr>
        <w:t>Bonneau, J., Miller, A., Clark, J., Narayanan, A., Kroll, J. A., &amp; Felten, E. W. (2015). SoK: 비트코인과 암호화폐에 대한 관점과 과제를 연구합니다. 2015년 보안 및 개인 정보 보호에 관한 IEEE 심포지엄(104~121페이지). IEEE. doi:10.1109/SP.2015.14</w:t>
      </w:r>
    </w:p>
    <w:p>
      <w:pPr>
        <w:pStyle w:val="ListParagraph"/>
        <w:numPr>
          <w:ilvl w:val="0"/>
          <w:numId w:val="28"/>
        </w:numPr>
        <w:tabs>
          <w:tab w:pos="686" w:val="left" w:leader="none"/>
          <w:tab w:pos="690" w:val="left" w:leader="none"/>
        </w:tabs>
        <w:spacing w:line="396" w:lineRule="auto" w:before="87" w:after="0"/>
        <w:ind w:left="686" w:right="523" w:hanging="405"/>
        <w:jc w:val="both"/>
        <w:rPr>
          <w:sz w:val="24"/>
        </w:rPr>
      </w:pPr>
      <w:bookmarkStart w:name="_bookmark141" w:id="265"/>
      <w:bookmarkEnd w:id="265"/>
      <w:r>
        <w:rPr/>
      </w:r>
      <w:r>
        <w:rPr>
          <w:sz w:val="24"/>
        </w:rPr>
        <w:tab/>
        <w:t>Brin,</w:t>
      </w:r>
      <w:r>
        <w:rPr>
          <w:spacing w:val="40"/>
          <w:sz w:val="24"/>
        </w:rPr>
        <w:t> </w:t>
      </w:r>
      <w:r>
        <w:rPr>
          <w:sz w:val="24"/>
        </w:rPr>
        <w:t>S.,</w:t>
      </w:r>
      <w:r>
        <w:rPr>
          <w:spacing w:val="40"/>
          <w:sz w:val="24"/>
        </w:rPr>
        <w:t> </w:t>
      </w:r>
      <w:r>
        <w:rPr>
          <w:sz w:val="24"/>
        </w:rPr>
        <w:t>&amp;</w:t>
      </w:r>
      <w:r>
        <w:rPr>
          <w:spacing w:val="39"/>
          <w:sz w:val="24"/>
        </w:rPr>
        <w:t> </w:t>
      </w:r>
      <w:r>
        <w:rPr>
          <w:sz w:val="24"/>
        </w:rPr>
        <w:t>Page,</w:t>
      </w:r>
      <w:r>
        <w:rPr>
          <w:spacing w:val="40"/>
          <w:sz w:val="24"/>
        </w:rPr>
        <w:t> </w:t>
      </w:r>
      <w:r>
        <w:rPr>
          <w:sz w:val="24"/>
        </w:rPr>
        <w:t>L.</w:t>
      </w:r>
      <w:r>
        <w:rPr>
          <w:spacing w:val="39"/>
          <w:sz w:val="24"/>
        </w:rPr>
        <w:t> </w:t>
      </w:r>
      <w:r>
        <w:rPr>
          <w:sz w:val="24"/>
        </w:rPr>
        <w:t>(1998).</w:t>
      </w:r>
      <w:r>
        <w:rPr>
          <w:spacing w:val="80"/>
          <w:w w:val="150"/>
          <w:sz w:val="24"/>
        </w:rPr>
        <w:t> </w:t>
      </w:r>
      <w:r>
        <w:rPr>
          <w:sz w:val="24"/>
        </w:rPr>
        <w:t>The</w:t>
      </w:r>
      <w:r>
        <w:rPr>
          <w:spacing w:val="39"/>
          <w:sz w:val="24"/>
        </w:rPr>
        <w:t> </w:t>
      </w:r>
      <w:r>
        <w:rPr>
          <w:sz w:val="24"/>
        </w:rPr>
        <w:t>anatomy</w:t>
      </w:r>
      <w:r>
        <w:rPr>
          <w:spacing w:val="39"/>
          <w:sz w:val="24"/>
        </w:rPr>
        <w:t> </w:t>
      </w:r>
      <w:r>
        <w:rPr>
          <w:sz w:val="24"/>
        </w:rPr>
        <w:t>of</w:t>
      </w:r>
      <w:r>
        <w:rPr>
          <w:spacing w:val="40"/>
          <w:sz w:val="24"/>
        </w:rPr>
        <w:t> </w:t>
      </w:r>
      <w:r>
        <w:rPr>
          <w:sz w:val="24"/>
        </w:rPr>
        <w:t>a</w:t>
      </w:r>
      <w:r>
        <w:rPr>
          <w:spacing w:val="39"/>
          <w:sz w:val="24"/>
        </w:rPr>
        <w:t> </w:t>
      </w:r>
      <w:r>
        <w:rPr>
          <w:sz w:val="24"/>
        </w:rPr>
        <w:t>large-scale</w:t>
      </w:r>
      <w:r>
        <w:rPr>
          <w:spacing w:val="39"/>
          <w:sz w:val="24"/>
        </w:rPr>
        <w:t> </w:t>
      </w:r>
      <w:r>
        <w:rPr>
          <w:sz w:val="24"/>
        </w:rPr>
        <w:t>hypertextual</w:t>
      </w:r>
      <w:r>
        <w:rPr>
          <w:spacing w:val="39"/>
          <w:sz w:val="24"/>
        </w:rPr>
        <w:t> </w:t>
      </w:r>
      <w:r>
        <w:rPr>
          <w:sz w:val="24"/>
        </w:rPr>
        <w:t>web</w:t>
      </w:r>
      <w:r>
        <w:rPr>
          <w:spacing w:val="40"/>
          <w:sz w:val="24"/>
        </w:rPr>
        <w:t> </w:t>
      </w:r>
      <w:r>
        <w:rPr>
          <w:sz w:val="24"/>
        </w:rPr>
        <w:t>search</w:t>
      </w:r>
      <w:r>
        <w:rPr>
          <w:spacing w:val="39"/>
          <w:sz w:val="24"/>
        </w:rPr>
        <w:t> </w:t>
      </w:r>
      <w:r>
        <w:rPr>
          <w:sz w:val="24"/>
        </w:rPr>
        <w:t>en-gine.</w:t>
      </w:r>
      <w:r>
        <w:rPr>
          <w:spacing w:val="40"/>
          <w:sz w:val="24"/>
        </w:rPr>
        <w:t> </w:t>
      </w:r>
      <w:r>
        <w:rPr>
          <w:i/>
          <w:sz w:val="24"/>
        </w:rPr>
        <w:t>Computer Networks and ISDN Systems</w:t>
      </w:r>
      <w:r>
        <w:rPr>
          <w:sz w:val="24"/>
        </w:rPr>
        <w:t>, </w:t>
      </w:r>
      <w:r>
        <w:rPr>
          <w:i/>
          <w:sz w:val="24"/>
        </w:rPr>
        <w:t>30</w:t>
      </w:r>
      <w:r>
        <w:rPr>
          <w:sz w:val="24"/>
        </w:rPr>
        <w:t>(1–7), 107–117.</w:t>
      </w:r>
      <w:r>
        <w:rPr>
          <w:spacing w:val="40"/>
          <w:sz w:val="24"/>
        </w:rPr>
        <w:t> </w:t>
      </w:r>
      <w:hyperlink r:id="rId31">
        <w:r>
          <w:rPr>
            <w:sz w:val="24"/>
          </w:rPr>
          <w:t>doi:10.1016/S0169-</w:t>
        </w:r>
      </w:hyperlink>
      <w:hyperlink r:id="rId31">
        <w:r>
          <w:rPr>
            <w:spacing w:val="-2"/>
            <w:sz w:val="24"/>
          </w:rPr>
          <w:t>7552(98)00110-X</w:t>
        </w:r>
      </w:hyperlink>
    </w:p>
    <w:p>
      <w:pPr>
        <w:pStyle w:val="ListParagraph"/>
        <w:numPr>
          <w:ilvl w:val="0"/>
          <w:numId w:val="28"/>
        </w:numPr>
        <w:tabs>
          <w:tab w:pos="686" w:val="left" w:leader="none"/>
          <w:tab w:pos="690" w:val="left" w:leader="none"/>
        </w:tabs>
        <w:spacing w:line="396" w:lineRule="auto" w:before="87" w:after="0"/>
        <w:ind w:left="686" w:right="523" w:hanging="405"/>
        <w:jc w:val="both"/>
        <w:rPr>
          <w:sz w:val="24"/>
        </w:rPr>
      </w:pPr>
      <w:r>
        <w:rPr>
          <w:i/>
        </w:rPr>
        <w:tab/>
        <w:t>브린, S., &amp; 페이지, L.(1998). 대규모 하이퍼텍스트 웹 검색 엔진의 구조. 컴퓨터 네트워크 및 ISDN 시스템, 30(1–7), 107–117. 도이:10.1016/S0169-7552(98)00110-X</w:t>
      </w:r>
    </w:p>
    <w:p>
      <w:pPr>
        <w:pStyle w:val="ListParagraph"/>
        <w:spacing w:after="0" w:line="396" w:lineRule="auto"/>
        <w:jc w:val="both"/>
        <w:rPr>
          <w:sz w:val="24"/>
        </w:rPr>
        <w:sectPr>
          <w:pgSz w:w="11910" w:h="16840"/>
          <w:pgMar w:header="0" w:footer="2115" w:top="1920" w:bottom="2300" w:left="992" w:right="708"/>
        </w:sectPr>
      </w:pPr>
    </w:p>
    <w:p>
      <w:pPr>
        <w:pStyle w:val="ListParagraph"/>
        <w:numPr>
          <w:ilvl w:val="0"/>
          <w:numId w:val="28"/>
        </w:numPr>
        <w:tabs>
          <w:tab w:pos="690" w:val="left" w:leader="none"/>
          <w:tab w:pos="692" w:val="left" w:leader="none"/>
        </w:tabs>
        <w:spacing w:line="396" w:lineRule="auto" w:before="72" w:after="0"/>
        <w:ind w:left="692" w:right="522" w:hanging="411"/>
        <w:jc w:val="both"/>
        <w:rPr>
          <w:sz w:val="24"/>
        </w:rPr>
      </w:pPr>
      <w:r>
        <w:rPr>
          <w:sz w:val="24"/>
        </w:rPr>
        <w:t>Buterin,</w:t>
      </w:r>
      <w:r>
        <w:rPr>
          <w:spacing w:val="-2"/>
          <w:sz w:val="24"/>
        </w:rPr>
        <w:t> </w:t>
      </w:r>
      <w:r>
        <w:rPr>
          <w:sz w:val="24"/>
        </w:rPr>
        <w:t>V.</w:t>
      </w:r>
      <w:r>
        <w:rPr>
          <w:spacing w:val="-4"/>
          <w:sz w:val="24"/>
        </w:rPr>
        <w:t> </w:t>
      </w:r>
      <w:r>
        <w:rPr>
          <w:sz w:val="24"/>
        </w:rPr>
        <w:t>(2014).</w:t>
      </w:r>
      <w:r>
        <w:rPr>
          <w:spacing w:val="25"/>
          <w:sz w:val="24"/>
        </w:rPr>
        <w:t> </w:t>
      </w:r>
      <w:r>
        <w:rPr>
          <w:i/>
          <w:sz w:val="24"/>
        </w:rPr>
        <w:t>A</w:t>
      </w:r>
      <w:r>
        <w:rPr>
          <w:i/>
          <w:spacing w:val="-4"/>
          <w:sz w:val="24"/>
        </w:rPr>
        <w:t> </w:t>
      </w:r>
      <w:r>
        <w:rPr>
          <w:i/>
          <w:sz w:val="24"/>
        </w:rPr>
        <w:t>next-generation</w:t>
      </w:r>
      <w:r>
        <w:rPr>
          <w:i/>
          <w:spacing w:val="-4"/>
          <w:sz w:val="24"/>
        </w:rPr>
        <w:t> </w:t>
      </w:r>
      <w:r>
        <w:rPr>
          <w:i/>
          <w:sz w:val="24"/>
        </w:rPr>
        <w:t>smart</w:t>
      </w:r>
      <w:r>
        <w:rPr>
          <w:i/>
          <w:spacing w:val="-4"/>
          <w:sz w:val="24"/>
        </w:rPr>
        <w:t> </w:t>
      </w:r>
      <w:r>
        <w:rPr>
          <w:i/>
          <w:sz w:val="24"/>
        </w:rPr>
        <w:t>contract</w:t>
      </w:r>
      <w:r>
        <w:rPr>
          <w:i/>
          <w:spacing w:val="-3"/>
          <w:sz w:val="24"/>
        </w:rPr>
        <w:t> </w:t>
      </w:r>
      <w:r>
        <w:rPr>
          <w:i/>
          <w:sz w:val="24"/>
        </w:rPr>
        <w:t>and</w:t>
      </w:r>
      <w:r>
        <w:rPr>
          <w:i/>
          <w:spacing w:val="-4"/>
          <w:sz w:val="24"/>
        </w:rPr>
        <w:t> </w:t>
      </w:r>
      <w:r>
        <w:rPr>
          <w:i/>
          <w:sz w:val="24"/>
        </w:rPr>
        <w:t>decentralized</w:t>
      </w:r>
      <w:r>
        <w:rPr>
          <w:i/>
          <w:spacing w:val="-4"/>
          <w:sz w:val="24"/>
        </w:rPr>
        <w:t> </w:t>
      </w:r>
      <w:r>
        <w:rPr>
          <w:i/>
          <w:sz w:val="24"/>
        </w:rPr>
        <w:t>application</w:t>
      </w:r>
      <w:r>
        <w:rPr>
          <w:i/>
          <w:spacing w:val="-4"/>
          <w:sz w:val="24"/>
        </w:rPr>
        <w:t> </w:t>
      </w:r>
      <w:r>
        <w:rPr>
          <w:i/>
          <w:sz w:val="24"/>
        </w:rPr>
        <w:t>platform</w:t>
      </w:r>
      <w:r>
        <w:rPr>
          <w:sz w:val="24"/>
        </w:rPr>
        <w:t>. Ethereum Foundation.</w:t>
      </w:r>
    </w:p>
    <w:p>
      <w:pPr>
        <w:pStyle w:val="ListParagraph"/>
        <w:numPr>
          <w:ilvl w:val="0"/>
          <w:numId w:val="28"/>
        </w:numPr>
        <w:tabs>
          <w:tab w:pos="690" w:val="left" w:leader="none"/>
          <w:tab w:pos="692" w:val="left" w:leader="none"/>
        </w:tabs>
        <w:spacing w:line="396" w:lineRule="auto" w:before="72" w:after="0"/>
        <w:ind w:left="692" w:right="522" w:hanging="411"/>
        <w:jc w:val="both"/>
        <w:rPr>
          <w:sz w:val="24"/>
        </w:rPr>
      </w:pPr>
      <w:r>
        <w:rPr>
          <w:i/>
        </w:rPr>
        <w:t>부테린, V. (2014). 차세대 스마트 계약 및 분산형 애플리케이션 플랫폼입니다. 이더리움 재단.</w:t>
      </w:r>
    </w:p>
    <w:p>
      <w:pPr>
        <w:pStyle w:val="ListParagraph"/>
        <w:numPr>
          <w:ilvl w:val="0"/>
          <w:numId w:val="28"/>
        </w:numPr>
        <w:tabs>
          <w:tab w:pos="691" w:val="left" w:leader="none"/>
        </w:tabs>
        <w:spacing w:line="240" w:lineRule="auto" w:before="86" w:after="0"/>
        <w:ind w:left="691" w:right="0" w:hanging="529"/>
        <w:jc w:val="both"/>
        <w:rPr>
          <w:sz w:val="24"/>
        </w:rPr>
      </w:pPr>
      <w:bookmarkStart w:name="_bookmark143" w:id="266"/>
      <w:bookmarkEnd w:id="266"/>
      <w:r>
        <w:rPr/>
      </w:r>
      <w:r>
        <w:rPr>
          <w:sz w:val="24"/>
        </w:rPr>
        <w:t>Capponi,</w:t>
      </w:r>
      <w:r>
        <w:rPr>
          <w:spacing w:val="20"/>
          <w:sz w:val="24"/>
        </w:rPr>
        <w:t> </w:t>
      </w:r>
      <w:r>
        <w:rPr>
          <w:sz w:val="24"/>
        </w:rPr>
        <w:t>A.,</w:t>
      </w:r>
      <w:r>
        <w:rPr>
          <w:spacing w:val="22"/>
          <w:sz w:val="24"/>
        </w:rPr>
        <w:t> </w:t>
      </w:r>
      <w:r>
        <w:rPr>
          <w:sz w:val="24"/>
        </w:rPr>
        <w:t>&amp;</w:t>
      </w:r>
      <w:r>
        <w:rPr>
          <w:spacing w:val="16"/>
          <w:sz w:val="24"/>
        </w:rPr>
        <w:t> </w:t>
      </w:r>
      <w:r>
        <w:rPr>
          <w:sz w:val="24"/>
        </w:rPr>
        <w:t>Jia,</w:t>
      </w:r>
      <w:r>
        <w:rPr>
          <w:spacing w:val="22"/>
          <w:sz w:val="24"/>
        </w:rPr>
        <w:t> </w:t>
      </w:r>
      <w:r>
        <w:rPr>
          <w:sz w:val="24"/>
        </w:rPr>
        <w:t>R.</w:t>
      </w:r>
      <w:r>
        <w:rPr>
          <w:spacing w:val="16"/>
          <w:sz w:val="24"/>
        </w:rPr>
        <w:t> </w:t>
      </w:r>
      <w:r>
        <w:rPr>
          <w:sz w:val="24"/>
        </w:rPr>
        <w:t>(2021).</w:t>
      </w:r>
      <w:r>
        <w:rPr>
          <w:spacing w:val="77"/>
          <w:sz w:val="24"/>
        </w:rPr>
        <w:t> </w:t>
      </w:r>
      <w:r>
        <w:rPr>
          <w:sz w:val="24"/>
        </w:rPr>
        <w:t>The</w:t>
      </w:r>
      <w:r>
        <w:rPr>
          <w:spacing w:val="16"/>
          <w:sz w:val="24"/>
        </w:rPr>
        <w:t> </w:t>
      </w:r>
      <w:r>
        <w:rPr>
          <w:sz w:val="24"/>
        </w:rPr>
        <w:t>adoption</w:t>
      </w:r>
      <w:r>
        <w:rPr>
          <w:spacing w:val="16"/>
          <w:sz w:val="24"/>
        </w:rPr>
        <w:t> </w:t>
      </w:r>
      <w:r>
        <w:rPr>
          <w:sz w:val="24"/>
        </w:rPr>
        <w:t>of</w:t>
      </w:r>
      <w:r>
        <w:rPr>
          <w:spacing w:val="16"/>
          <w:sz w:val="24"/>
        </w:rPr>
        <w:t> </w:t>
      </w:r>
      <w:r>
        <w:rPr>
          <w:sz w:val="24"/>
        </w:rPr>
        <w:t>blockchain-based</w:t>
      </w:r>
      <w:r>
        <w:rPr>
          <w:spacing w:val="17"/>
          <w:sz w:val="24"/>
        </w:rPr>
        <w:t> </w:t>
      </w:r>
      <w:r>
        <w:rPr>
          <w:sz w:val="24"/>
        </w:rPr>
        <w:t>decentralized</w:t>
      </w:r>
      <w:r>
        <w:rPr>
          <w:spacing w:val="16"/>
          <w:sz w:val="24"/>
        </w:rPr>
        <w:t> </w:t>
      </w:r>
      <w:r>
        <w:rPr>
          <w:spacing w:val="-2"/>
          <w:sz w:val="24"/>
        </w:rPr>
        <w:t>exchanges.</w:t>
      </w:r>
    </w:p>
    <w:p>
      <w:pPr>
        <w:pStyle w:val="ListParagraph"/>
        <w:numPr>
          <w:ilvl w:val="0"/>
          <w:numId w:val="28"/>
        </w:numPr>
        <w:tabs>
          <w:tab w:pos="691" w:val="left" w:leader="none"/>
        </w:tabs>
        <w:spacing w:line="240" w:lineRule="auto" w:before="86" w:after="0"/>
        <w:ind w:left="691" w:right="0" w:hanging="529"/>
        <w:jc w:val="both"/>
        <w:rPr>
          <w:sz w:val="24"/>
        </w:rPr>
      </w:pPr>
      <w:r>
        <w:rPr>
          <w:i/>
        </w:rPr>
        <w:t>Capponi, A., &amp; Jia, R.(2021). 블록체인 기반 탈중앙화 거래소 채택.</w:t>
      </w:r>
    </w:p>
    <w:p>
      <w:pPr>
        <w:spacing w:before="181"/>
        <w:ind w:left="692" w:right="0" w:firstLine="0"/>
        <w:jc w:val="both"/>
        <w:rPr>
          <w:sz w:val="24"/>
        </w:rPr>
      </w:pPr>
      <w:r>
        <w:rPr>
          <w:i/>
          <w:sz w:val="24"/>
        </w:rPr>
        <w:t>arXiv</w:t>
      </w:r>
      <w:r>
        <w:rPr>
          <w:i/>
          <w:spacing w:val="-13"/>
          <w:sz w:val="24"/>
        </w:rPr>
        <w:t> </w:t>
      </w:r>
      <w:r>
        <w:rPr>
          <w:i/>
          <w:sz w:val="24"/>
        </w:rPr>
        <w:t>preprint</w:t>
      </w:r>
      <w:r>
        <w:rPr>
          <w:i/>
          <w:spacing w:val="-8"/>
          <w:sz w:val="24"/>
        </w:rPr>
        <w:t> </w:t>
      </w:r>
      <w:r>
        <w:rPr>
          <w:spacing w:val="-2"/>
          <w:sz w:val="24"/>
        </w:rPr>
        <w:t>arXiv:2103.08842.</w:t>
      </w:r>
    </w:p>
    <w:p>
      <w:pPr>
        <w:spacing w:before="181"/>
        <w:ind w:left="692" w:right="0" w:firstLine="0"/>
        <w:jc w:val="both"/>
        <w:rPr>
          <w:sz w:val="24"/>
        </w:rPr>
      </w:pPr>
      <w:r>
        <w:rPr>
          <w:i/>
        </w:rPr>
        <w:t>arXiv 사전 인쇄 arXiv:2103.08842.</w:t>
      </w:r>
    </w:p>
    <w:p>
      <w:pPr>
        <w:pStyle w:val="ListParagraph"/>
        <w:numPr>
          <w:ilvl w:val="0"/>
          <w:numId w:val="28"/>
        </w:numPr>
        <w:tabs>
          <w:tab w:pos="692" w:val="left" w:leader="none"/>
        </w:tabs>
        <w:spacing w:line="396" w:lineRule="auto" w:before="264" w:after="0"/>
        <w:ind w:left="692" w:right="564" w:hanging="521"/>
        <w:jc w:val="both"/>
        <w:rPr>
          <w:sz w:val="24"/>
        </w:rPr>
      </w:pPr>
      <w:bookmarkStart w:name="_bookmark144" w:id="267"/>
      <w:bookmarkEnd w:id="267"/>
      <w:r>
        <w:rPr/>
      </w:r>
      <w:r>
        <w:rPr>
          <w:sz w:val="24"/>
        </w:rPr>
        <w:t>Carter,</w:t>
      </w:r>
      <w:r>
        <w:rPr>
          <w:spacing w:val="-5"/>
          <w:sz w:val="24"/>
        </w:rPr>
        <w:t> </w:t>
      </w:r>
      <w:r>
        <w:rPr>
          <w:sz w:val="24"/>
        </w:rPr>
        <w:t>N.,</w:t>
      </w:r>
      <w:r>
        <w:rPr>
          <w:spacing w:val="-5"/>
          <w:sz w:val="24"/>
        </w:rPr>
        <w:t> </w:t>
      </w:r>
      <w:r>
        <w:rPr>
          <w:sz w:val="24"/>
        </w:rPr>
        <w:t>&amp;</w:t>
      </w:r>
      <w:r>
        <w:rPr>
          <w:spacing w:val="-5"/>
          <w:sz w:val="24"/>
        </w:rPr>
        <w:t> </w:t>
      </w:r>
      <w:r>
        <w:rPr>
          <w:sz w:val="24"/>
        </w:rPr>
        <w:t>Jeng,</w:t>
      </w:r>
      <w:r>
        <w:rPr>
          <w:spacing w:val="-5"/>
          <w:sz w:val="24"/>
        </w:rPr>
        <w:t> </w:t>
      </w:r>
      <w:r>
        <w:rPr>
          <w:sz w:val="24"/>
        </w:rPr>
        <w:t>L.</w:t>
      </w:r>
      <w:r>
        <w:rPr>
          <w:spacing w:val="-5"/>
          <w:sz w:val="24"/>
        </w:rPr>
        <w:t> </w:t>
      </w:r>
      <w:r>
        <w:rPr>
          <w:sz w:val="24"/>
        </w:rPr>
        <w:t>(2021). DeFi</w:t>
      </w:r>
      <w:r>
        <w:rPr>
          <w:spacing w:val="-5"/>
          <w:sz w:val="24"/>
        </w:rPr>
        <w:t> </w:t>
      </w:r>
      <w:r>
        <w:rPr>
          <w:sz w:val="24"/>
        </w:rPr>
        <w:t>protocol</w:t>
      </w:r>
      <w:r>
        <w:rPr>
          <w:spacing w:val="-5"/>
          <w:sz w:val="24"/>
        </w:rPr>
        <w:t> </w:t>
      </w:r>
      <w:r>
        <w:rPr>
          <w:sz w:val="24"/>
        </w:rPr>
        <w:t>risks: The</w:t>
      </w:r>
      <w:r>
        <w:rPr>
          <w:spacing w:val="-5"/>
          <w:sz w:val="24"/>
        </w:rPr>
        <w:t> </w:t>
      </w:r>
      <w:r>
        <w:rPr>
          <w:sz w:val="24"/>
        </w:rPr>
        <w:t>paradox</w:t>
      </w:r>
      <w:r>
        <w:rPr>
          <w:spacing w:val="-5"/>
          <w:sz w:val="24"/>
        </w:rPr>
        <w:t> </w:t>
      </w:r>
      <w:r>
        <w:rPr>
          <w:sz w:val="24"/>
        </w:rPr>
        <w:t>of</w:t>
      </w:r>
      <w:r>
        <w:rPr>
          <w:spacing w:val="-5"/>
          <w:sz w:val="24"/>
        </w:rPr>
        <w:t> </w:t>
      </w:r>
      <w:r>
        <w:rPr>
          <w:sz w:val="24"/>
        </w:rPr>
        <w:t>DeFi. In</w:t>
      </w:r>
      <w:r>
        <w:rPr>
          <w:spacing w:val="-6"/>
          <w:sz w:val="24"/>
        </w:rPr>
        <w:t> </w:t>
      </w:r>
      <w:r>
        <w:rPr>
          <w:i/>
          <w:sz w:val="24"/>
        </w:rPr>
        <w:t>Regtech,</w:t>
      </w:r>
      <w:r>
        <w:rPr>
          <w:i/>
          <w:spacing w:val="-5"/>
          <w:sz w:val="24"/>
        </w:rPr>
        <w:t> </w:t>
      </w:r>
      <w:r>
        <w:rPr>
          <w:i/>
          <w:sz w:val="24"/>
        </w:rPr>
        <w:t>Suptech and Beyond: Innovation and Technology in Financial Services</w:t>
      </w:r>
      <w:r>
        <w:rPr>
          <w:sz w:val="24"/>
        </w:rPr>
        <w:t>. Risk Books.</w:t>
      </w:r>
    </w:p>
    <w:p>
      <w:pPr>
        <w:pStyle w:val="ListParagraph"/>
        <w:numPr>
          <w:ilvl w:val="0"/>
          <w:numId w:val="28"/>
        </w:numPr>
        <w:tabs>
          <w:tab w:pos="692" w:val="left" w:leader="none"/>
        </w:tabs>
        <w:spacing w:line="396" w:lineRule="auto" w:before="264" w:after="0"/>
        <w:ind w:left="692" w:right="564" w:hanging="521"/>
        <w:jc w:val="both"/>
        <w:rPr>
          <w:sz w:val="24"/>
        </w:rPr>
      </w:pPr>
      <w:r>
        <w:rPr>
          <w:i/>
        </w:rPr>
        <w:t>카터, N., &amp; Jeng, L.(2021). DeFi 프로토콜 위험: DeFi의 역설. Regtech, Suptech 및 그 너머: 금융 서비스의 혁신과 기술. 위험 도서.</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45" w:id="268"/>
      <w:bookmarkEnd w:id="268"/>
      <w:r>
        <w:rPr/>
      </w:r>
      <w:r>
        <w:rPr>
          <w:sz w:val="24"/>
        </w:rPr>
        <w:t>Chen,</w:t>
      </w:r>
      <w:r>
        <w:rPr>
          <w:spacing w:val="40"/>
          <w:sz w:val="24"/>
        </w:rPr>
        <w:t> </w:t>
      </w:r>
      <w:r>
        <w:rPr>
          <w:sz w:val="24"/>
        </w:rPr>
        <w:t>Y.,</w:t>
      </w:r>
      <w:r>
        <w:rPr>
          <w:spacing w:val="40"/>
          <w:sz w:val="24"/>
        </w:rPr>
        <w:t> </w:t>
      </w:r>
      <w:r>
        <w:rPr>
          <w:sz w:val="24"/>
        </w:rPr>
        <w:t>&amp; Bellavitis,</w:t>
      </w:r>
      <w:r>
        <w:rPr>
          <w:spacing w:val="40"/>
          <w:sz w:val="24"/>
        </w:rPr>
        <w:t> </w:t>
      </w:r>
      <w:r>
        <w:rPr>
          <w:sz w:val="24"/>
        </w:rPr>
        <w:t>C. (2020).</w:t>
      </w:r>
      <w:r>
        <w:rPr>
          <w:spacing w:val="80"/>
          <w:sz w:val="24"/>
        </w:rPr>
        <w:t> </w:t>
      </w:r>
      <w:r>
        <w:rPr>
          <w:sz w:val="24"/>
        </w:rPr>
        <w:t>Blockchain disruption and decentralized finance:</w:t>
      </w:r>
      <w:r>
        <w:rPr>
          <w:spacing w:val="40"/>
          <w:sz w:val="24"/>
        </w:rPr>
        <w:t> </w:t>
      </w:r>
      <w:r>
        <w:rPr>
          <w:sz w:val="24"/>
        </w:rPr>
        <w:t>The rise of decentralized business models.</w:t>
      </w:r>
      <w:r>
        <w:rPr>
          <w:spacing w:val="40"/>
          <w:sz w:val="24"/>
        </w:rPr>
        <w:t> </w:t>
      </w:r>
      <w:r>
        <w:rPr>
          <w:i/>
          <w:sz w:val="24"/>
        </w:rPr>
        <w:t>Journal of Business Venturing Insights</w:t>
      </w:r>
      <w:r>
        <w:rPr>
          <w:sz w:val="24"/>
        </w:rPr>
        <w:t>, </w:t>
      </w:r>
      <w:r>
        <w:rPr>
          <w:i/>
          <w:sz w:val="24"/>
        </w:rPr>
        <w:t>13</w:t>
      </w:r>
      <w:r>
        <w:rPr>
          <w:sz w:val="24"/>
        </w:rPr>
        <w:t>, e00151. </w:t>
      </w:r>
      <w:hyperlink r:id="rId32">
        <w:r>
          <w:rPr>
            <w:spacing w:val="-2"/>
            <w:sz w:val="24"/>
          </w:rPr>
          <w:t>doi:10.1016/j.jbvi.2019.e00151</w:t>
        </w:r>
      </w:hyperlink>
    </w:p>
    <w:p>
      <w:pPr>
        <w:pStyle w:val="ListParagraph"/>
        <w:numPr>
          <w:ilvl w:val="0"/>
          <w:numId w:val="28"/>
        </w:numPr>
        <w:tabs>
          <w:tab w:pos="692" w:val="left" w:leader="none"/>
        </w:tabs>
        <w:spacing w:line="396" w:lineRule="auto" w:before="86" w:after="0"/>
        <w:ind w:left="692" w:right="522" w:hanging="530"/>
        <w:jc w:val="both"/>
        <w:rPr>
          <w:sz w:val="24"/>
        </w:rPr>
      </w:pPr>
      <w:r>
        <w:rPr>
          <w:i/>
        </w:rPr>
        <w:t>Chen, Y., &amp; Bellavitis, C. (2020). 블록체인 파괴와 분산형 금융: 분산형 비즈니스 모델의 부상. 비즈니스 벤처링 통찰력 저널, 13, e00151. doi:10.1016/j.jbvi.2019.e00151</w:t>
      </w:r>
    </w:p>
    <w:p>
      <w:pPr>
        <w:pStyle w:val="ListParagraph"/>
        <w:numPr>
          <w:ilvl w:val="0"/>
          <w:numId w:val="28"/>
        </w:numPr>
        <w:tabs>
          <w:tab w:pos="692" w:val="left" w:leader="none"/>
        </w:tabs>
        <w:spacing w:line="396" w:lineRule="auto" w:before="87" w:after="0"/>
        <w:ind w:left="692" w:right="564" w:hanging="530"/>
        <w:jc w:val="both"/>
        <w:rPr>
          <w:sz w:val="24"/>
        </w:rPr>
      </w:pPr>
      <w:bookmarkStart w:name="_bookmark146" w:id="269"/>
      <w:bookmarkEnd w:id="269"/>
      <w:r>
        <w:rPr/>
      </w:r>
      <w:r>
        <w:rPr>
          <w:sz w:val="24"/>
        </w:rPr>
        <w:t>Cong,</w:t>
      </w:r>
      <w:r>
        <w:rPr>
          <w:spacing w:val="-6"/>
          <w:sz w:val="24"/>
        </w:rPr>
        <w:t> </w:t>
      </w:r>
      <w:r>
        <w:rPr>
          <w:sz w:val="24"/>
        </w:rPr>
        <w:t>L.</w:t>
      </w:r>
      <w:r>
        <w:rPr>
          <w:spacing w:val="-7"/>
          <w:sz w:val="24"/>
        </w:rPr>
        <w:t> </w:t>
      </w:r>
      <w:r>
        <w:rPr>
          <w:sz w:val="24"/>
        </w:rPr>
        <w:t>W.,</w:t>
      </w:r>
      <w:r>
        <w:rPr>
          <w:spacing w:val="-6"/>
          <w:sz w:val="24"/>
        </w:rPr>
        <w:t> </w:t>
      </w:r>
      <w:r>
        <w:rPr>
          <w:sz w:val="24"/>
        </w:rPr>
        <w:t>Li,</w:t>
      </w:r>
      <w:r>
        <w:rPr>
          <w:spacing w:val="-5"/>
          <w:sz w:val="24"/>
        </w:rPr>
        <w:t> </w:t>
      </w:r>
      <w:r>
        <w:rPr>
          <w:sz w:val="24"/>
        </w:rPr>
        <w:t>Y.,</w:t>
      </w:r>
      <w:r>
        <w:rPr>
          <w:spacing w:val="-6"/>
          <w:sz w:val="24"/>
        </w:rPr>
        <w:t> </w:t>
      </w:r>
      <w:r>
        <w:rPr>
          <w:sz w:val="24"/>
        </w:rPr>
        <w:t>&amp;</w:t>
      </w:r>
      <w:r>
        <w:rPr>
          <w:spacing w:val="-6"/>
          <w:sz w:val="24"/>
        </w:rPr>
        <w:t> </w:t>
      </w:r>
      <w:r>
        <w:rPr>
          <w:sz w:val="24"/>
        </w:rPr>
        <w:t>Wang,</w:t>
      </w:r>
      <w:r>
        <w:rPr>
          <w:spacing w:val="-6"/>
          <w:sz w:val="24"/>
        </w:rPr>
        <w:t> </w:t>
      </w:r>
      <w:r>
        <w:rPr>
          <w:sz w:val="24"/>
        </w:rPr>
        <w:t>N.</w:t>
      </w:r>
      <w:r>
        <w:rPr>
          <w:spacing w:val="-7"/>
          <w:sz w:val="24"/>
        </w:rPr>
        <w:t> </w:t>
      </w:r>
      <w:r>
        <w:rPr>
          <w:sz w:val="24"/>
        </w:rPr>
        <w:t>(2021). Tokenomics: Dynamic</w:t>
      </w:r>
      <w:r>
        <w:rPr>
          <w:spacing w:val="-7"/>
          <w:sz w:val="24"/>
        </w:rPr>
        <w:t> </w:t>
      </w:r>
      <w:r>
        <w:rPr>
          <w:sz w:val="24"/>
        </w:rPr>
        <w:t>adoption</w:t>
      </w:r>
      <w:r>
        <w:rPr>
          <w:spacing w:val="-7"/>
          <w:sz w:val="24"/>
        </w:rPr>
        <w:t> </w:t>
      </w:r>
      <w:r>
        <w:rPr>
          <w:sz w:val="24"/>
        </w:rPr>
        <w:t>and</w:t>
      </w:r>
      <w:r>
        <w:rPr>
          <w:spacing w:val="-7"/>
          <w:sz w:val="24"/>
        </w:rPr>
        <w:t> </w:t>
      </w:r>
      <w:r>
        <w:rPr>
          <w:sz w:val="24"/>
        </w:rPr>
        <w:t>valuation. </w:t>
      </w:r>
      <w:r>
        <w:rPr>
          <w:i/>
          <w:sz w:val="24"/>
        </w:rPr>
        <w:t>The Review of Financial Studies</w:t>
      </w:r>
      <w:r>
        <w:rPr>
          <w:sz w:val="24"/>
        </w:rPr>
        <w:t>, </w:t>
      </w:r>
      <w:r>
        <w:rPr>
          <w:i/>
          <w:sz w:val="24"/>
        </w:rPr>
        <w:t>34</w:t>
      </w:r>
      <w:r>
        <w:rPr>
          <w:sz w:val="24"/>
        </w:rPr>
        <w:t>(3), 1105–1155. </w:t>
      </w:r>
      <w:hyperlink r:id="rId33">
        <w:r>
          <w:rPr>
            <w:sz w:val="24"/>
          </w:rPr>
          <w:t>doi:10.1093/rfs/hhaa089</w:t>
        </w:r>
      </w:hyperlink>
    </w:p>
    <w:p>
      <w:pPr>
        <w:pStyle w:val="ListParagraph"/>
        <w:numPr>
          <w:ilvl w:val="0"/>
          <w:numId w:val="28"/>
        </w:numPr>
        <w:tabs>
          <w:tab w:pos="692" w:val="left" w:leader="none"/>
        </w:tabs>
        <w:spacing w:line="396" w:lineRule="auto" w:before="87" w:after="0"/>
        <w:ind w:left="692" w:right="564" w:hanging="530"/>
        <w:jc w:val="both"/>
        <w:rPr>
          <w:sz w:val="24"/>
        </w:rPr>
      </w:pPr>
      <w:r>
        <w:rPr>
          <w:i/>
        </w:rPr>
        <w:t>Cong, L. W., Li, Y., &amp; Wang, N. (2021). 토큰경제학: 역동적인 채택 및 가치 평가. 금융 연구 검토, 34(3), 1105-1155. doi:10.1093/rfs/hhaa089</w:t>
      </w:r>
    </w:p>
    <w:p>
      <w:pPr>
        <w:pStyle w:val="ListParagraph"/>
        <w:numPr>
          <w:ilvl w:val="0"/>
          <w:numId w:val="28"/>
        </w:numPr>
        <w:tabs>
          <w:tab w:pos="692" w:val="left" w:leader="none"/>
        </w:tabs>
        <w:spacing w:line="396" w:lineRule="auto" w:before="86" w:after="0"/>
        <w:ind w:left="692" w:right="563" w:hanging="530"/>
        <w:jc w:val="both"/>
        <w:rPr>
          <w:sz w:val="24"/>
        </w:rPr>
      </w:pPr>
      <w:bookmarkStart w:name="_bookmark147" w:id="270"/>
      <w:bookmarkEnd w:id="270"/>
      <w:r>
        <w:rPr/>
      </w:r>
      <w:r>
        <w:rPr>
          <w:spacing w:val="-2"/>
          <w:sz w:val="24"/>
        </w:rPr>
        <w:t>Cronbach,</w:t>
      </w:r>
      <w:r>
        <w:rPr>
          <w:spacing w:val="-13"/>
          <w:sz w:val="24"/>
        </w:rPr>
        <w:t> </w:t>
      </w:r>
      <w:r>
        <w:rPr>
          <w:spacing w:val="-2"/>
          <w:sz w:val="24"/>
        </w:rPr>
        <w:t>L.</w:t>
      </w:r>
      <w:r>
        <w:rPr>
          <w:spacing w:val="-13"/>
          <w:sz w:val="24"/>
        </w:rPr>
        <w:t> </w:t>
      </w:r>
      <w:r>
        <w:rPr>
          <w:spacing w:val="-2"/>
          <w:sz w:val="24"/>
        </w:rPr>
        <w:t>J.,</w:t>
      </w:r>
      <w:r>
        <w:rPr>
          <w:spacing w:val="-13"/>
          <w:sz w:val="24"/>
        </w:rPr>
        <w:t> </w:t>
      </w:r>
      <w:r>
        <w:rPr>
          <w:spacing w:val="-2"/>
          <w:sz w:val="24"/>
        </w:rPr>
        <w:t>&amp;</w:t>
      </w:r>
      <w:r>
        <w:rPr>
          <w:spacing w:val="-13"/>
          <w:sz w:val="24"/>
        </w:rPr>
        <w:t> </w:t>
      </w:r>
      <w:r>
        <w:rPr>
          <w:spacing w:val="-2"/>
          <w:sz w:val="24"/>
        </w:rPr>
        <w:t>Meehl,</w:t>
      </w:r>
      <w:r>
        <w:rPr>
          <w:spacing w:val="-13"/>
          <w:sz w:val="24"/>
        </w:rPr>
        <w:t> </w:t>
      </w:r>
      <w:r>
        <w:rPr>
          <w:spacing w:val="-2"/>
          <w:sz w:val="24"/>
        </w:rPr>
        <w:t>P.</w:t>
      </w:r>
      <w:r>
        <w:rPr>
          <w:spacing w:val="-13"/>
          <w:sz w:val="24"/>
        </w:rPr>
        <w:t> </w:t>
      </w:r>
      <w:r>
        <w:rPr>
          <w:spacing w:val="-2"/>
          <w:sz w:val="24"/>
        </w:rPr>
        <w:t>E.</w:t>
      </w:r>
      <w:r>
        <w:rPr>
          <w:spacing w:val="-13"/>
          <w:sz w:val="24"/>
        </w:rPr>
        <w:t> </w:t>
      </w:r>
      <w:r>
        <w:rPr>
          <w:spacing w:val="-2"/>
          <w:sz w:val="24"/>
        </w:rPr>
        <w:t>(1955).</w:t>
      </w:r>
      <w:r>
        <w:rPr>
          <w:spacing w:val="16"/>
          <w:sz w:val="24"/>
        </w:rPr>
        <w:t> </w:t>
      </w:r>
      <w:r>
        <w:rPr>
          <w:spacing w:val="-2"/>
          <w:sz w:val="24"/>
        </w:rPr>
        <w:t>Construct</w:t>
      </w:r>
      <w:r>
        <w:rPr>
          <w:spacing w:val="-13"/>
          <w:sz w:val="24"/>
        </w:rPr>
        <w:t> </w:t>
      </w:r>
      <w:r>
        <w:rPr>
          <w:spacing w:val="-2"/>
          <w:sz w:val="24"/>
        </w:rPr>
        <w:t>validity</w:t>
      </w:r>
      <w:r>
        <w:rPr>
          <w:spacing w:val="-13"/>
          <w:sz w:val="24"/>
        </w:rPr>
        <w:t> </w:t>
      </w:r>
      <w:r>
        <w:rPr>
          <w:spacing w:val="-2"/>
          <w:sz w:val="24"/>
        </w:rPr>
        <w:t>in</w:t>
      </w:r>
      <w:r>
        <w:rPr>
          <w:spacing w:val="-13"/>
          <w:sz w:val="24"/>
        </w:rPr>
        <w:t> </w:t>
      </w:r>
      <w:r>
        <w:rPr>
          <w:spacing w:val="-2"/>
          <w:sz w:val="24"/>
        </w:rPr>
        <w:t>psychological</w:t>
      </w:r>
      <w:r>
        <w:rPr>
          <w:spacing w:val="-13"/>
          <w:sz w:val="24"/>
        </w:rPr>
        <w:t> </w:t>
      </w:r>
      <w:r>
        <w:rPr>
          <w:spacing w:val="-2"/>
          <w:sz w:val="24"/>
        </w:rPr>
        <w:t>tests.</w:t>
      </w:r>
      <w:r>
        <w:rPr>
          <w:spacing w:val="22"/>
          <w:sz w:val="24"/>
        </w:rPr>
        <w:t> </w:t>
      </w:r>
      <w:r>
        <w:rPr>
          <w:i/>
          <w:spacing w:val="-2"/>
          <w:sz w:val="24"/>
        </w:rPr>
        <w:t>Psychological </w:t>
      </w:r>
      <w:r>
        <w:rPr>
          <w:i/>
          <w:sz w:val="24"/>
        </w:rPr>
        <w:t>Bulletin</w:t>
      </w:r>
      <w:r>
        <w:rPr>
          <w:sz w:val="24"/>
        </w:rPr>
        <w:t>, </w:t>
      </w:r>
      <w:r>
        <w:rPr>
          <w:i/>
          <w:sz w:val="24"/>
        </w:rPr>
        <w:t>52</w:t>
      </w:r>
      <w:r>
        <w:rPr>
          <w:sz w:val="24"/>
        </w:rPr>
        <w:t>(4), 281–302. </w:t>
      </w:r>
      <w:hyperlink r:id="rId34">
        <w:r>
          <w:rPr>
            <w:sz w:val="24"/>
          </w:rPr>
          <w:t>doi:10.1037/h0040957</w:t>
        </w:r>
      </w:hyperlink>
    </w:p>
    <w:p>
      <w:pPr>
        <w:pStyle w:val="ListParagraph"/>
        <w:numPr>
          <w:ilvl w:val="0"/>
          <w:numId w:val="28"/>
        </w:numPr>
        <w:tabs>
          <w:tab w:pos="692" w:val="left" w:leader="none"/>
        </w:tabs>
        <w:spacing w:line="396" w:lineRule="auto" w:before="86" w:after="0"/>
        <w:ind w:left="692" w:right="563" w:hanging="530"/>
        <w:jc w:val="both"/>
        <w:rPr>
          <w:sz w:val="24"/>
        </w:rPr>
      </w:pPr>
      <w:r>
        <w:rPr>
          <w:i/>
        </w:rPr>
        <w:t>Cronbach, L. J., &amp; Meehl, P. E. (1955). 심리 테스트에서 타당성을 구축합니다. 심리 게시판, 52(4), 281-302. 도이:10.1037/h0040957</w:t>
      </w:r>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bookmarkStart w:name="_bookmark148" w:id="271"/>
      <w:bookmarkEnd w:id="271"/>
      <w:r>
        <w:rPr/>
      </w:r>
      <w:r>
        <w:rPr>
          <w:sz w:val="24"/>
        </w:rPr>
        <w:tab/>
        <w:t>Daian, P., Goldfeder, S., Kell, T., Li, Y., Zhao, X., Bentov, I., Breidenbach, L., &amp; Juels, A. (2020).</w:t>
      </w:r>
      <w:r>
        <w:rPr>
          <w:spacing w:val="40"/>
          <w:sz w:val="24"/>
        </w:rPr>
        <w:t> </w:t>
      </w:r>
      <w:r>
        <w:rPr>
          <w:sz w:val="24"/>
        </w:rPr>
        <w:t>Flash Boys 2.0:</w:t>
      </w:r>
      <w:r>
        <w:rPr>
          <w:spacing w:val="40"/>
          <w:sz w:val="24"/>
        </w:rPr>
        <w:t> </w:t>
      </w:r>
      <w:r>
        <w:rPr>
          <w:sz w:val="24"/>
        </w:rPr>
        <w:t>Frontrunning in decentralized exchanges, miner extractable value, and consensus</w:t>
      </w:r>
      <w:r>
        <w:rPr>
          <w:spacing w:val="1"/>
          <w:sz w:val="24"/>
        </w:rPr>
        <w:t> </w:t>
      </w:r>
      <w:r>
        <w:rPr>
          <w:sz w:val="24"/>
        </w:rPr>
        <w:t>instability.</w:t>
      </w:r>
      <w:r>
        <w:rPr>
          <w:spacing w:val="34"/>
          <w:sz w:val="24"/>
        </w:rPr>
        <w:t> </w:t>
      </w:r>
      <w:r>
        <w:rPr>
          <w:sz w:val="24"/>
        </w:rPr>
        <w:t>In</w:t>
      </w:r>
      <w:r>
        <w:rPr>
          <w:spacing w:val="1"/>
          <w:sz w:val="24"/>
        </w:rPr>
        <w:t> </w:t>
      </w:r>
      <w:r>
        <w:rPr>
          <w:i/>
          <w:sz w:val="24"/>
        </w:rPr>
        <w:t>2020</w:t>
      </w:r>
      <w:r>
        <w:rPr>
          <w:i/>
          <w:spacing w:val="1"/>
          <w:sz w:val="24"/>
        </w:rPr>
        <w:t> </w:t>
      </w:r>
      <w:r>
        <w:rPr>
          <w:i/>
          <w:sz w:val="24"/>
        </w:rPr>
        <w:t>IEEE Symposium</w:t>
      </w:r>
      <w:r>
        <w:rPr>
          <w:i/>
          <w:spacing w:val="1"/>
          <w:sz w:val="24"/>
        </w:rPr>
        <w:t> </w:t>
      </w:r>
      <w:r>
        <w:rPr>
          <w:i/>
          <w:sz w:val="24"/>
        </w:rPr>
        <w:t>on</w:t>
      </w:r>
      <w:r>
        <w:rPr>
          <w:i/>
          <w:spacing w:val="1"/>
          <w:sz w:val="24"/>
        </w:rPr>
        <w:t> </w:t>
      </w:r>
      <w:r>
        <w:rPr>
          <w:i/>
          <w:sz w:val="24"/>
        </w:rPr>
        <w:t>Security</w:t>
      </w:r>
      <w:r>
        <w:rPr>
          <w:i/>
          <w:spacing w:val="1"/>
          <w:sz w:val="24"/>
        </w:rPr>
        <w:t> </w:t>
      </w:r>
      <w:r>
        <w:rPr>
          <w:i/>
          <w:sz w:val="24"/>
        </w:rPr>
        <w:t>and Privacy</w:t>
      </w:r>
      <w:r>
        <w:rPr>
          <w:i/>
          <w:spacing w:val="1"/>
          <w:sz w:val="24"/>
        </w:rPr>
        <w:t> </w:t>
      </w:r>
      <w:r>
        <w:rPr>
          <w:sz w:val="24"/>
        </w:rPr>
        <w:t>(pp.</w:t>
      </w:r>
      <w:r>
        <w:rPr>
          <w:spacing w:val="35"/>
          <w:sz w:val="24"/>
        </w:rPr>
        <w:t> </w:t>
      </w:r>
      <w:r>
        <w:rPr>
          <w:sz w:val="24"/>
        </w:rPr>
        <w:t>910–</w:t>
      </w:r>
      <w:r>
        <w:rPr>
          <w:spacing w:val="-2"/>
          <w:sz w:val="24"/>
        </w:rPr>
        <w:t>927).</w:t>
      </w:r>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r>
        <w:rPr>
          <w:i/>
        </w:rPr>
        <w:tab/>
        <w:t>Daian, P., Goldfeder, S., Kell, T., Li, Y., Zhao, X., Bentov, I., Breidenbach, L., &amp; Juels, A. (2020). Flash Boys 2.0: 분산형 거래소, 채굴자 추출 가능한 가치 및 합의 불안정성에서 선두를 달리고 있습니다. 2020년 IEEE 보안 및 개인 정보 보호 심포지엄(페이지 910–927).</w:t>
      </w:r>
    </w:p>
    <w:p>
      <w:pPr>
        <w:pStyle w:val="BodyText"/>
        <w:spacing w:before="3"/>
        <w:ind w:left="692"/>
        <w:jc w:val="both"/>
      </w:pPr>
      <w:r>
        <w:rPr/>
        <w:t>IEEE.</w:t>
      </w:r>
      <w:r>
        <w:rPr>
          <w:spacing w:val="-7"/>
        </w:rPr>
        <w:t> </w:t>
      </w:r>
      <w:hyperlink r:id="rId35">
        <w:r>
          <w:rPr>
            <w:spacing w:val="-2"/>
          </w:rPr>
          <w:t>doi:10.1109/SP40000.2020.00040</w:t>
        </w:r>
      </w:hyperlink>
    </w:p>
    <w:p>
      <w:pPr>
        <w:pStyle w:val="ListParagraph"/>
        <w:numPr>
          <w:ilvl w:val="0"/>
          <w:numId w:val="28"/>
        </w:numPr>
        <w:tabs>
          <w:tab w:pos="692" w:val="left" w:leader="none"/>
        </w:tabs>
        <w:spacing w:line="396" w:lineRule="auto" w:before="264" w:after="0"/>
        <w:ind w:left="692" w:right="522" w:hanging="530"/>
        <w:jc w:val="both"/>
        <w:rPr>
          <w:sz w:val="24"/>
        </w:rPr>
      </w:pPr>
      <w:bookmarkStart w:name="_bookmark149" w:id="272"/>
      <w:bookmarkEnd w:id="272"/>
      <w:r>
        <w:rPr/>
      </w:r>
      <w:r>
        <w:rPr>
          <w:sz w:val="24"/>
        </w:rPr>
        <w:t>Do,</w:t>
      </w:r>
      <w:r>
        <w:rPr>
          <w:spacing w:val="40"/>
          <w:sz w:val="24"/>
        </w:rPr>
        <w:t> </w:t>
      </w:r>
      <w:r>
        <w:rPr>
          <w:sz w:val="24"/>
        </w:rPr>
        <w:t>H.,</w:t>
      </w:r>
      <w:r>
        <w:rPr>
          <w:spacing w:val="40"/>
          <w:sz w:val="24"/>
        </w:rPr>
        <w:t> </w:t>
      </w:r>
      <w:r>
        <w:rPr>
          <w:sz w:val="24"/>
        </w:rPr>
        <w:t>&amp;</w:t>
      </w:r>
      <w:r>
        <w:rPr>
          <w:spacing w:val="40"/>
          <w:sz w:val="24"/>
        </w:rPr>
        <w:t> </w:t>
      </w:r>
      <w:r>
        <w:rPr>
          <w:sz w:val="24"/>
        </w:rPr>
        <w:t>Do,</w:t>
      </w:r>
      <w:r>
        <w:rPr>
          <w:spacing w:val="40"/>
          <w:sz w:val="24"/>
        </w:rPr>
        <w:t> </w:t>
      </w:r>
      <w:r>
        <w:rPr>
          <w:sz w:val="24"/>
        </w:rPr>
        <w:t>T.</w:t>
      </w:r>
      <w:r>
        <w:rPr>
          <w:spacing w:val="40"/>
          <w:sz w:val="24"/>
        </w:rPr>
        <w:t> </w:t>
      </w:r>
      <w:r>
        <w:rPr>
          <w:sz w:val="24"/>
        </w:rPr>
        <w:t>(2023).</w:t>
      </w:r>
      <w:r>
        <w:rPr>
          <w:spacing w:val="80"/>
          <w:w w:val="150"/>
          <w:sz w:val="24"/>
        </w:rPr>
        <w:t> </w:t>
      </w:r>
      <w:r>
        <w:rPr>
          <w:sz w:val="24"/>
        </w:rPr>
        <w:t>PageRank</w:t>
      </w:r>
      <w:r>
        <w:rPr>
          <w:spacing w:val="40"/>
          <w:sz w:val="24"/>
        </w:rPr>
        <w:t> </w:t>
      </w:r>
      <w:r>
        <w:rPr>
          <w:sz w:val="24"/>
        </w:rPr>
        <w:t>and</w:t>
      </w:r>
      <w:r>
        <w:rPr>
          <w:spacing w:val="40"/>
          <w:sz w:val="24"/>
        </w:rPr>
        <w:t> </w:t>
      </w:r>
      <w:r>
        <w:rPr>
          <w:sz w:val="24"/>
        </w:rPr>
        <w:t>HodgeRank</w:t>
      </w:r>
      <w:r>
        <w:rPr>
          <w:spacing w:val="40"/>
          <w:sz w:val="24"/>
        </w:rPr>
        <w:t> </w:t>
      </w:r>
      <w:r>
        <w:rPr>
          <w:sz w:val="24"/>
        </w:rPr>
        <w:t>on</w:t>
      </w:r>
      <w:r>
        <w:rPr>
          <w:spacing w:val="40"/>
          <w:sz w:val="24"/>
        </w:rPr>
        <w:t> </w:t>
      </w:r>
      <w:r>
        <w:rPr>
          <w:sz w:val="24"/>
        </w:rPr>
        <w:t>Ethereum</w:t>
      </w:r>
      <w:r>
        <w:rPr>
          <w:spacing w:val="40"/>
          <w:sz w:val="24"/>
        </w:rPr>
        <w:t> </w:t>
      </w:r>
      <w:r>
        <w:rPr>
          <w:sz w:val="24"/>
        </w:rPr>
        <w:t>transactions:</w:t>
      </w:r>
      <w:r>
        <w:rPr>
          <w:spacing w:val="80"/>
          <w:sz w:val="24"/>
        </w:rPr>
        <w:t> </w:t>
      </w:r>
      <w:r>
        <w:rPr>
          <w:sz w:val="24"/>
        </w:rPr>
        <w:t>A measure for social credit.</w:t>
      </w:r>
      <w:r>
        <w:rPr>
          <w:spacing w:val="40"/>
          <w:sz w:val="24"/>
        </w:rPr>
        <w:t> </w:t>
      </w:r>
      <w:r>
        <w:rPr>
          <w:i/>
          <w:sz w:val="24"/>
        </w:rPr>
        <w:t>International Journal of Software Innovation</w:t>
      </w:r>
      <w:r>
        <w:rPr>
          <w:sz w:val="24"/>
        </w:rPr>
        <w:t>, </w:t>
      </w:r>
      <w:r>
        <w:rPr>
          <w:i/>
          <w:sz w:val="24"/>
        </w:rPr>
        <w:t>11</w:t>
      </w:r>
      <w:r>
        <w:rPr>
          <w:sz w:val="24"/>
        </w:rPr>
        <w:t>(1), 1–13. </w:t>
      </w:r>
      <w:hyperlink r:id="rId36">
        <w:r>
          <w:rPr>
            <w:spacing w:val="-2"/>
            <w:sz w:val="24"/>
          </w:rPr>
          <w:t>doi:10.4018/IJSI.315737</w:t>
        </w:r>
      </w:hyperlink>
    </w:p>
    <w:p>
      <w:pPr>
        <w:pStyle w:val="ListParagraph"/>
        <w:numPr>
          <w:ilvl w:val="0"/>
          <w:numId w:val="28"/>
        </w:numPr>
        <w:tabs>
          <w:tab w:pos="692" w:val="left" w:leader="none"/>
        </w:tabs>
        <w:spacing w:line="396" w:lineRule="auto" w:before="264" w:after="0"/>
        <w:ind w:left="692" w:right="522" w:hanging="530"/>
        <w:jc w:val="both"/>
        <w:rPr>
          <w:sz w:val="24"/>
        </w:rPr>
      </w:pPr>
      <w:r>
        <w:rPr>
          <w:i/>
        </w:rPr>
        <w:t>도, H., &amp; 도, T.(2023). PageRank 및 이더리움 거래의 HodgeRank: 사회적 신용에 대한 척도. 국제 소프트웨어 혁신 저널, 11(1), 1–13. doi:10.4018/IJSI.315737</w:t>
      </w:r>
    </w:p>
    <w:p>
      <w:pPr>
        <w:pStyle w:val="ListParagraph"/>
        <w:numPr>
          <w:ilvl w:val="0"/>
          <w:numId w:val="28"/>
        </w:numPr>
        <w:tabs>
          <w:tab w:pos="692" w:val="left" w:leader="none"/>
        </w:tabs>
        <w:spacing w:line="396" w:lineRule="auto" w:before="87" w:after="0"/>
        <w:ind w:left="692" w:right="522" w:hanging="530"/>
        <w:jc w:val="both"/>
        <w:rPr>
          <w:sz w:val="24"/>
        </w:rPr>
      </w:pPr>
      <w:bookmarkStart w:name="_bookmark150" w:id="273"/>
      <w:bookmarkEnd w:id="273"/>
      <w:r>
        <w:rPr/>
      </w:r>
      <w:r>
        <w:rPr>
          <w:sz w:val="24"/>
        </w:rPr>
        <w:t>Douceur, J. R. (2002).</w:t>
      </w:r>
      <w:r>
        <w:rPr>
          <w:spacing w:val="40"/>
          <w:sz w:val="24"/>
        </w:rPr>
        <w:t> </w:t>
      </w:r>
      <w:r>
        <w:rPr>
          <w:sz w:val="24"/>
        </w:rPr>
        <w:t>The Sybil attack.</w:t>
      </w:r>
      <w:r>
        <w:rPr>
          <w:spacing w:val="40"/>
          <w:sz w:val="24"/>
        </w:rPr>
        <w:t> </w:t>
      </w:r>
      <w:r>
        <w:rPr>
          <w:sz w:val="24"/>
        </w:rPr>
        <w:t>In </w:t>
      </w:r>
      <w:r>
        <w:rPr>
          <w:i/>
          <w:sz w:val="24"/>
        </w:rPr>
        <w:t>Peer-to-Peer Systems </w:t>
      </w:r>
      <w:r>
        <w:rPr>
          <w:sz w:val="24"/>
        </w:rPr>
        <w:t>(pp.</w:t>
      </w:r>
      <w:r>
        <w:rPr>
          <w:spacing w:val="40"/>
          <w:sz w:val="24"/>
        </w:rPr>
        <w:t> </w:t>
      </w:r>
      <w:r>
        <w:rPr>
          <w:sz w:val="24"/>
        </w:rPr>
        <w:t>251–260).</w:t>
      </w:r>
      <w:r>
        <w:rPr>
          <w:spacing w:val="40"/>
          <w:sz w:val="24"/>
        </w:rPr>
        <w:t> </w:t>
      </w:r>
      <w:r>
        <w:rPr>
          <w:sz w:val="24"/>
        </w:rPr>
        <w:t>Springer. </w:t>
      </w:r>
      <w:hyperlink r:id="rId37">
        <w:r>
          <w:rPr>
            <w:spacing w:val="-2"/>
            <w:sz w:val="24"/>
          </w:rPr>
          <w:t>doi:10.1007/3-540-45748-8_24</w:t>
        </w:r>
      </w:hyperlink>
    </w:p>
    <w:p>
      <w:pPr>
        <w:pStyle w:val="ListParagraph"/>
        <w:numPr>
          <w:ilvl w:val="0"/>
          <w:numId w:val="28"/>
        </w:numPr>
        <w:tabs>
          <w:tab w:pos="692" w:val="left" w:leader="none"/>
        </w:tabs>
        <w:spacing w:line="396" w:lineRule="auto" w:before="87" w:after="0"/>
        <w:ind w:left="692" w:right="522" w:hanging="530"/>
        <w:jc w:val="both"/>
        <w:rPr>
          <w:sz w:val="24"/>
        </w:rPr>
      </w:pPr>
      <w:r>
        <w:rPr>
          <w:i/>
        </w:rPr>
        <w:t>Douceur, J.R.(2002). Sybil 공격. P2P 시스템(pp. 251–260). 뛰는 것. 도이:10.1007/3-540-45748-8_24</w:t>
      </w:r>
    </w:p>
    <w:p>
      <w:pPr>
        <w:pStyle w:val="ListParagraph"/>
        <w:numPr>
          <w:ilvl w:val="0"/>
          <w:numId w:val="28"/>
        </w:numPr>
        <w:tabs>
          <w:tab w:pos="691" w:val="left" w:leader="none"/>
        </w:tabs>
        <w:spacing w:line="240" w:lineRule="auto" w:before="86" w:after="0"/>
        <w:ind w:left="691" w:right="0" w:hanging="529"/>
        <w:jc w:val="both"/>
        <w:rPr>
          <w:sz w:val="24"/>
        </w:rPr>
      </w:pPr>
      <w:bookmarkStart w:name="_bookmark151" w:id="274"/>
      <w:bookmarkEnd w:id="274"/>
      <w:r>
        <w:rPr/>
      </w:r>
      <w:r>
        <w:rPr>
          <w:sz w:val="24"/>
        </w:rPr>
        <w:t>Ethereum</w:t>
      </w:r>
      <w:r>
        <w:rPr>
          <w:spacing w:val="-10"/>
          <w:sz w:val="24"/>
        </w:rPr>
        <w:t> </w:t>
      </w:r>
      <w:r>
        <w:rPr>
          <w:sz w:val="24"/>
        </w:rPr>
        <w:t>Improvement</w:t>
      </w:r>
      <w:r>
        <w:rPr>
          <w:spacing w:val="-9"/>
          <w:sz w:val="24"/>
        </w:rPr>
        <w:t> </w:t>
      </w:r>
      <w:r>
        <w:rPr>
          <w:sz w:val="24"/>
        </w:rPr>
        <w:t>Proposals.</w:t>
      </w:r>
      <w:r>
        <w:rPr>
          <w:spacing w:val="8"/>
          <w:sz w:val="24"/>
        </w:rPr>
        <w:t> </w:t>
      </w:r>
      <w:r>
        <w:rPr>
          <w:sz w:val="24"/>
        </w:rPr>
        <w:t>(2015).</w:t>
      </w:r>
      <w:r>
        <w:rPr>
          <w:spacing w:val="8"/>
          <w:sz w:val="24"/>
        </w:rPr>
        <w:t> </w:t>
      </w:r>
      <w:r>
        <w:rPr>
          <w:sz w:val="24"/>
        </w:rPr>
        <w:t>ERC-20</w:t>
      </w:r>
      <w:r>
        <w:rPr>
          <w:spacing w:val="-9"/>
          <w:sz w:val="24"/>
        </w:rPr>
        <w:t> </w:t>
      </w:r>
      <w:r>
        <w:rPr>
          <w:sz w:val="24"/>
        </w:rPr>
        <w:t>token</w:t>
      </w:r>
      <w:r>
        <w:rPr>
          <w:spacing w:val="-9"/>
          <w:sz w:val="24"/>
        </w:rPr>
        <w:t> </w:t>
      </w:r>
      <w:r>
        <w:rPr>
          <w:sz w:val="24"/>
        </w:rPr>
        <w:t>standard</w:t>
      </w:r>
      <w:r>
        <w:rPr>
          <w:spacing w:val="-9"/>
          <w:sz w:val="24"/>
        </w:rPr>
        <w:t> </w:t>
      </w:r>
      <w:r>
        <w:rPr>
          <w:sz w:val="24"/>
        </w:rPr>
        <w:t>(EIP-20).</w:t>
      </w:r>
      <w:r>
        <w:rPr>
          <w:spacing w:val="8"/>
          <w:sz w:val="24"/>
        </w:rPr>
        <w:t> </w:t>
      </w:r>
      <w:hyperlink r:id="rId38">
        <w:r>
          <w:rPr>
            <w:sz w:val="24"/>
          </w:rPr>
          <w:t>EIP-</w:t>
        </w:r>
        <w:r>
          <w:rPr>
            <w:spacing w:val="-5"/>
            <w:sz w:val="24"/>
          </w:rPr>
          <w:t>20</w:t>
        </w:r>
      </w:hyperlink>
    </w:p>
    <w:p>
      <w:pPr>
        <w:pStyle w:val="ListParagraph"/>
        <w:numPr>
          <w:ilvl w:val="0"/>
          <w:numId w:val="28"/>
        </w:numPr>
        <w:tabs>
          <w:tab w:pos="691" w:val="left" w:leader="none"/>
        </w:tabs>
        <w:spacing w:line="240" w:lineRule="auto" w:before="86" w:after="0"/>
        <w:ind w:left="691" w:right="0" w:hanging="529"/>
        <w:jc w:val="both"/>
        <w:rPr>
          <w:sz w:val="24"/>
        </w:rPr>
      </w:pPr>
      <w:r>
        <w:rPr>
          <w:i/>
        </w:rPr>
        <w:t>이더리움 개선 제안. (2015). ERC-20 토큰 표준(EIP-20). EIP-20</w:t>
      </w:r>
    </w:p>
    <w:p>
      <w:pPr>
        <w:pStyle w:val="ListParagraph"/>
        <w:numPr>
          <w:ilvl w:val="0"/>
          <w:numId w:val="28"/>
        </w:numPr>
        <w:tabs>
          <w:tab w:pos="691" w:val="left" w:leader="none"/>
        </w:tabs>
        <w:spacing w:line="240" w:lineRule="auto" w:before="264" w:after="0"/>
        <w:ind w:left="691" w:right="0" w:hanging="529"/>
        <w:jc w:val="both"/>
        <w:rPr>
          <w:sz w:val="24"/>
        </w:rPr>
      </w:pPr>
      <w:bookmarkStart w:name="_bookmark152" w:id="275"/>
      <w:bookmarkEnd w:id="275"/>
      <w:r>
        <w:rPr/>
      </w:r>
      <w:r>
        <w:rPr>
          <w:sz w:val="24"/>
        </w:rPr>
        <w:t>Ethereum</w:t>
      </w:r>
      <w:r>
        <w:rPr>
          <w:spacing w:val="-10"/>
          <w:sz w:val="24"/>
        </w:rPr>
        <w:t> </w:t>
      </w:r>
      <w:r>
        <w:rPr>
          <w:sz w:val="24"/>
        </w:rPr>
        <w:t>Improvement</w:t>
      </w:r>
      <w:r>
        <w:rPr>
          <w:spacing w:val="-10"/>
          <w:sz w:val="24"/>
        </w:rPr>
        <w:t> </w:t>
      </w:r>
      <w:r>
        <w:rPr>
          <w:sz w:val="24"/>
        </w:rPr>
        <w:t>Proposals.</w:t>
      </w:r>
      <w:r>
        <w:rPr>
          <w:spacing w:val="7"/>
          <w:sz w:val="24"/>
        </w:rPr>
        <w:t> </w:t>
      </w:r>
      <w:r>
        <w:rPr>
          <w:sz w:val="24"/>
        </w:rPr>
        <w:t>(2020).</w:t>
      </w:r>
      <w:r>
        <w:rPr>
          <w:spacing w:val="8"/>
          <w:sz w:val="24"/>
        </w:rPr>
        <w:t> </w:t>
      </w:r>
      <w:r>
        <w:rPr>
          <w:sz w:val="24"/>
        </w:rPr>
        <w:t>ERC-20</w:t>
      </w:r>
      <w:r>
        <w:rPr>
          <w:spacing w:val="-10"/>
          <w:sz w:val="24"/>
        </w:rPr>
        <w:t> </w:t>
      </w:r>
      <w:r>
        <w:rPr>
          <w:sz w:val="24"/>
        </w:rPr>
        <w:t>permit</w:t>
      </w:r>
      <w:r>
        <w:rPr>
          <w:spacing w:val="-10"/>
          <w:sz w:val="24"/>
        </w:rPr>
        <w:t> </w:t>
      </w:r>
      <w:r>
        <w:rPr>
          <w:sz w:val="24"/>
        </w:rPr>
        <w:t>extension</w:t>
      </w:r>
      <w:r>
        <w:rPr>
          <w:spacing w:val="-9"/>
          <w:sz w:val="24"/>
        </w:rPr>
        <w:t> </w:t>
      </w:r>
      <w:r>
        <w:rPr>
          <w:sz w:val="24"/>
        </w:rPr>
        <w:t>(EIP-2612).</w:t>
      </w:r>
      <w:r>
        <w:rPr>
          <w:spacing w:val="6"/>
          <w:sz w:val="24"/>
        </w:rPr>
        <w:t> </w:t>
      </w:r>
      <w:hyperlink r:id="rId39">
        <w:r>
          <w:rPr>
            <w:sz w:val="24"/>
          </w:rPr>
          <w:t>EIP-</w:t>
        </w:r>
        <w:r>
          <w:rPr>
            <w:spacing w:val="-4"/>
            <w:sz w:val="24"/>
          </w:rPr>
          <w:t>2612</w:t>
        </w:r>
      </w:hyperlink>
    </w:p>
    <w:p>
      <w:pPr>
        <w:pStyle w:val="ListParagraph"/>
        <w:numPr>
          <w:ilvl w:val="0"/>
          <w:numId w:val="28"/>
        </w:numPr>
        <w:tabs>
          <w:tab w:pos="691" w:val="left" w:leader="none"/>
        </w:tabs>
        <w:spacing w:line="240" w:lineRule="auto" w:before="264" w:after="0"/>
        <w:ind w:left="691" w:right="0" w:hanging="529"/>
        <w:jc w:val="both"/>
        <w:rPr>
          <w:sz w:val="24"/>
        </w:rPr>
      </w:pPr>
      <w:r>
        <w:rPr>
          <w:i/>
        </w:rPr>
        <w:t>이더리움 개선 제안. (2020). ERC-20 허가 연장(EIP-2612). EIP-2612</w:t>
      </w:r>
    </w:p>
    <w:p>
      <w:pPr>
        <w:pStyle w:val="ListParagraph"/>
        <w:numPr>
          <w:ilvl w:val="0"/>
          <w:numId w:val="28"/>
        </w:numPr>
        <w:tabs>
          <w:tab w:pos="691" w:val="left" w:leader="none"/>
        </w:tabs>
        <w:spacing w:line="240" w:lineRule="auto" w:before="265" w:after="0"/>
        <w:ind w:left="691" w:right="0" w:hanging="529"/>
        <w:jc w:val="both"/>
        <w:rPr>
          <w:i/>
          <w:sz w:val="24"/>
        </w:rPr>
      </w:pPr>
      <w:bookmarkStart w:name="_bookmark153" w:id="276"/>
      <w:bookmarkEnd w:id="276"/>
      <w:r>
        <w:rPr/>
      </w:r>
      <w:r>
        <w:rPr>
          <w:sz w:val="24"/>
        </w:rPr>
        <w:t>Fama,</w:t>
      </w:r>
      <w:r>
        <w:rPr>
          <w:spacing w:val="-12"/>
          <w:sz w:val="24"/>
        </w:rPr>
        <w:t> </w:t>
      </w:r>
      <w:r>
        <w:rPr>
          <w:sz w:val="24"/>
        </w:rPr>
        <w:t>E.</w:t>
      </w:r>
      <w:r>
        <w:rPr>
          <w:spacing w:val="-13"/>
          <w:sz w:val="24"/>
        </w:rPr>
        <w:t> </w:t>
      </w:r>
      <w:r>
        <w:rPr>
          <w:sz w:val="24"/>
        </w:rPr>
        <w:t>F.,</w:t>
      </w:r>
      <w:r>
        <w:rPr>
          <w:spacing w:val="-12"/>
          <w:sz w:val="24"/>
        </w:rPr>
        <w:t> </w:t>
      </w:r>
      <w:r>
        <w:rPr>
          <w:sz w:val="24"/>
        </w:rPr>
        <w:t>&amp;</w:t>
      </w:r>
      <w:r>
        <w:rPr>
          <w:spacing w:val="-13"/>
          <w:sz w:val="24"/>
        </w:rPr>
        <w:t> </w:t>
      </w:r>
      <w:r>
        <w:rPr>
          <w:sz w:val="24"/>
        </w:rPr>
        <w:t>French,</w:t>
      </w:r>
      <w:r>
        <w:rPr>
          <w:spacing w:val="-11"/>
          <w:sz w:val="24"/>
        </w:rPr>
        <w:t> </w:t>
      </w:r>
      <w:r>
        <w:rPr>
          <w:sz w:val="24"/>
        </w:rPr>
        <w:t>K.</w:t>
      </w:r>
      <w:r>
        <w:rPr>
          <w:spacing w:val="-13"/>
          <w:sz w:val="24"/>
        </w:rPr>
        <w:t> </w:t>
      </w:r>
      <w:r>
        <w:rPr>
          <w:sz w:val="24"/>
        </w:rPr>
        <w:t>R.</w:t>
      </w:r>
      <w:r>
        <w:rPr>
          <w:spacing w:val="-13"/>
          <w:sz w:val="24"/>
        </w:rPr>
        <w:t> </w:t>
      </w:r>
      <w:r>
        <w:rPr>
          <w:sz w:val="24"/>
        </w:rPr>
        <w:t>(1992).</w:t>
      </w:r>
      <w:r>
        <w:rPr>
          <w:spacing w:val="9"/>
          <w:sz w:val="24"/>
        </w:rPr>
        <w:t> </w:t>
      </w:r>
      <w:r>
        <w:rPr>
          <w:sz w:val="24"/>
        </w:rPr>
        <w:t>The</w:t>
      </w:r>
      <w:r>
        <w:rPr>
          <w:spacing w:val="-13"/>
          <w:sz w:val="24"/>
        </w:rPr>
        <w:t> </w:t>
      </w:r>
      <w:r>
        <w:rPr>
          <w:sz w:val="24"/>
        </w:rPr>
        <w:t>cross-section</w:t>
      </w:r>
      <w:r>
        <w:rPr>
          <w:spacing w:val="-13"/>
          <w:sz w:val="24"/>
        </w:rPr>
        <w:t> </w:t>
      </w:r>
      <w:r>
        <w:rPr>
          <w:sz w:val="24"/>
        </w:rPr>
        <w:t>of</w:t>
      </w:r>
      <w:r>
        <w:rPr>
          <w:spacing w:val="-13"/>
          <w:sz w:val="24"/>
        </w:rPr>
        <w:t> </w:t>
      </w:r>
      <w:r>
        <w:rPr>
          <w:sz w:val="24"/>
        </w:rPr>
        <w:t>expected</w:t>
      </w:r>
      <w:r>
        <w:rPr>
          <w:spacing w:val="-12"/>
          <w:sz w:val="24"/>
        </w:rPr>
        <w:t> </w:t>
      </w:r>
      <w:r>
        <w:rPr>
          <w:sz w:val="24"/>
        </w:rPr>
        <w:t>stock</w:t>
      </w:r>
      <w:r>
        <w:rPr>
          <w:spacing w:val="-13"/>
          <w:sz w:val="24"/>
        </w:rPr>
        <w:t> </w:t>
      </w:r>
      <w:r>
        <w:rPr>
          <w:sz w:val="24"/>
        </w:rPr>
        <w:t>returns.</w:t>
      </w:r>
      <w:r>
        <w:rPr>
          <w:spacing w:val="8"/>
          <w:sz w:val="24"/>
        </w:rPr>
        <w:t> </w:t>
      </w:r>
      <w:r>
        <w:rPr>
          <w:i/>
          <w:sz w:val="24"/>
        </w:rPr>
        <w:t>The</w:t>
      </w:r>
      <w:r>
        <w:rPr>
          <w:i/>
          <w:spacing w:val="-12"/>
          <w:sz w:val="24"/>
        </w:rPr>
        <w:t> </w:t>
      </w:r>
      <w:r>
        <w:rPr>
          <w:i/>
          <w:spacing w:val="-2"/>
          <w:sz w:val="24"/>
        </w:rPr>
        <w:t>Journal</w:t>
      </w:r>
    </w:p>
    <w:p>
      <w:pPr>
        <w:pStyle w:val="ListParagraph"/>
        <w:numPr>
          <w:ilvl w:val="0"/>
          <w:numId w:val="28"/>
        </w:numPr>
        <w:tabs>
          <w:tab w:pos="691" w:val="left" w:leader="none"/>
        </w:tabs>
        <w:spacing w:line="240" w:lineRule="auto" w:before="265" w:after="0"/>
        <w:ind w:left="691" w:right="0" w:hanging="529"/>
        <w:jc w:val="both"/>
        <w:rPr>
          <w:i/>
          <w:sz w:val="24"/>
        </w:rPr>
      </w:pPr>
      <w:r>
        <w:rPr>
          <w:i/>
        </w:rPr>
        <w:t>Fama, E. F., &amp; French, K. R.(1992). 예상 주식 수익률의 단면입니다. 저널</w:t>
      </w:r>
    </w:p>
    <w:p>
      <w:pPr>
        <w:pStyle w:val="ListParagraph"/>
        <w:spacing w:after="0" w:line="240" w:lineRule="auto"/>
        <w:jc w:val="both"/>
        <w:rPr>
          <w:i/>
          <w:sz w:val="24"/>
        </w:rPr>
        <w:sectPr>
          <w:pgSz w:w="11910" w:h="16840"/>
          <w:pgMar w:header="0" w:footer="2115" w:top="1840" w:bottom="2300" w:left="992" w:right="708"/>
        </w:sectPr>
      </w:pPr>
    </w:p>
    <w:p>
      <w:pPr>
        <w:pStyle w:val="BodyText"/>
        <w:spacing w:before="72"/>
        <w:ind w:left="692"/>
      </w:pPr>
      <w:bookmarkStart w:name="_bookmark164" w:id="277"/>
      <w:bookmarkEnd w:id="277"/>
      <w:r>
        <w:rPr/>
      </w:r>
      <w:r>
        <w:rPr>
          <w:i/>
        </w:rPr>
        <w:t>of</w:t>
      </w:r>
      <w:r>
        <w:rPr>
          <w:i/>
          <w:spacing w:val="-15"/>
        </w:rPr>
        <w:t> </w:t>
      </w:r>
      <w:r>
        <w:rPr>
          <w:i/>
        </w:rPr>
        <w:t>Finance</w:t>
      </w:r>
      <w:r>
        <w:rPr/>
        <w:t>,</w:t>
      </w:r>
      <w:r>
        <w:rPr>
          <w:spacing w:val="-15"/>
        </w:rPr>
        <w:t> </w:t>
      </w:r>
      <w:r>
        <w:rPr>
          <w:i/>
        </w:rPr>
        <w:t>47</w:t>
      </w:r>
      <w:r>
        <w:rPr/>
        <w:t>(2),</w:t>
      </w:r>
      <w:r>
        <w:rPr>
          <w:spacing w:val="-15"/>
        </w:rPr>
        <w:t> </w:t>
      </w:r>
      <w:r>
        <w:rPr/>
        <w:t>427–465.</w:t>
      </w:r>
      <w:r>
        <w:rPr>
          <w:spacing w:val="-7"/>
        </w:rPr>
        <w:t> </w:t>
      </w:r>
      <w:hyperlink r:id="rId40">
        <w:r>
          <w:rPr/>
          <w:t>doi:10.1111/j.1540-</w:t>
        </w:r>
        <w:r>
          <w:rPr>
            <w:spacing w:val="-2"/>
          </w:rPr>
          <w:t>6261.1992.tb04398.x</w:t>
        </w:r>
      </w:hyperlink>
    </w:p>
    <w:p>
      <w:pPr>
        <w:pStyle w:val="BodyText"/>
        <w:spacing w:before="72"/>
        <w:ind w:left="692"/>
      </w:pPr>
      <w:r>
        <w:rPr>
          <w:i/>
        </w:rPr>
        <w:t>재무, 47(2), 427-465. doi:10.1111/j.1540-6261.1992.tb04398.x</w:t>
      </w:r>
    </w:p>
    <w:p>
      <w:pPr>
        <w:pStyle w:val="ListParagraph"/>
        <w:numPr>
          <w:ilvl w:val="0"/>
          <w:numId w:val="28"/>
        </w:numPr>
        <w:tabs>
          <w:tab w:pos="692" w:val="left" w:leader="none"/>
        </w:tabs>
        <w:spacing w:line="396" w:lineRule="auto" w:before="264" w:after="0"/>
        <w:ind w:left="692" w:right="523" w:hanging="530"/>
        <w:jc w:val="both"/>
        <w:rPr>
          <w:sz w:val="24"/>
        </w:rPr>
      </w:pPr>
      <w:bookmarkStart w:name="_bookmark154" w:id="278"/>
      <w:bookmarkEnd w:id="278"/>
      <w:r>
        <w:rPr/>
      </w:r>
      <w:r>
        <w:rPr>
          <w:sz w:val="24"/>
        </w:rPr>
        <w:t>Ferreira, M. V. X., &amp; Parkes, D. C. (2023).</w:t>
      </w:r>
      <w:r>
        <w:rPr>
          <w:spacing w:val="40"/>
          <w:sz w:val="24"/>
        </w:rPr>
        <w:t> </w:t>
      </w:r>
      <w:r>
        <w:rPr>
          <w:sz w:val="24"/>
        </w:rPr>
        <w:t>Credible decentralized exchange design via ver-ifiable sequencing rules.</w:t>
      </w:r>
      <w:r>
        <w:rPr>
          <w:spacing w:val="40"/>
          <w:sz w:val="24"/>
        </w:rPr>
        <w:t> </w:t>
      </w:r>
      <w:r>
        <w:rPr>
          <w:sz w:val="24"/>
        </w:rPr>
        <w:t>In </w:t>
      </w:r>
      <w:r>
        <w:rPr>
          <w:i/>
          <w:sz w:val="24"/>
        </w:rPr>
        <w:t>Proceedings of the 55th Annual ACM Symposium on Theory of Computing </w:t>
      </w:r>
      <w:r>
        <w:rPr>
          <w:sz w:val="24"/>
        </w:rPr>
        <w:t>(pp. 723–736). ACM.</w:t>
      </w:r>
    </w:p>
    <w:p>
      <w:pPr>
        <w:pStyle w:val="ListParagraph"/>
        <w:numPr>
          <w:ilvl w:val="0"/>
          <w:numId w:val="28"/>
        </w:numPr>
        <w:tabs>
          <w:tab w:pos="692" w:val="left" w:leader="none"/>
        </w:tabs>
        <w:spacing w:line="396" w:lineRule="auto" w:before="264" w:after="0"/>
        <w:ind w:left="692" w:right="523" w:hanging="530"/>
        <w:jc w:val="both"/>
        <w:rPr>
          <w:sz w:val="24"/>
        </w:rPr>
      </w:pPr>
      <w:r>
        <w:rPr>
          <w:i/>
        </w:rPr>
        <w:t>페레이라, M.V.X., &amp; 파크스, D.C.(2023). 검증 가능한 시퀀싱 규칙을 통한 신뢰할 수 있는 분산형 거래소 설계. 컴퓨팅 이론에 관한 제55회 연례 ACM 심포지엄 진행 중(pp. 723–736). ACM.</w:t>
      </w:r>
    </w:p>
    <w:p>
      <w:pPr>
        <w:pStyle w:val="ListParagraph"/>
        <w:numPr>
          <w:ilvl w:val="0"/>
          <w:numId w:val="28"/>
        </w:numPr>
        <w:tabs>
          <w:tab w:pos="685" w:val="left" w:leader="none"/>
          <w:tab w:pos="691" w:val="left" w:leader="none"/>
        </w:tabs>
        <w:spacing w:line="396" w:lineRule="auto" w:before="87" w:after="0"/>
        <w:ind w:left="685" w:right="522" w:hanging="523"/>
        <w:jc w:val="both"/>
        <w:rPr>
          <w:sz w:val="24"/>
        </w:rPr>
      </w:pPr>
      <w:bookmarkStart w:name="_bookmark155" w:id="279"/>
      <w:bookmarkEnd w:id="279"/>
      <w:r>
        <w:rPr/>
      </w:r>
      <w:r>
        <w:rPr>
          <w:sz w:val="24"/>
        </w:rPr>
        <w:tab/>
        <w:t>Gervais,</w:t>
      </w:r>
      <w:r>
        <w:rPr>
          <w:spacing w:val="27"/>
          <w:sz w:val="24"/>
        </w:rPr>
        <w:t> </w:t>
      </w:r>
      <w:r>
        <w:rPr>
          <w:sz w:val="24"/>
        </w:rPr>
        <w:t>A.,</w:t>
      </w:r>
      <w:r>
        <w:rPr>
          <w:spacing w:val="27"/>
          <w:sz w:val="24"/>
        </w:rPr>
        <w:t> </w:t>
      </w:r>
      <w:r>
        <w:rPr>
          <w:sz w:val="24"/>
        </w:rPr>
        <w:t>Karame,</w:t>
      </w:r>
      <w:r>
        <w:rPr>
          <w:spacing w:val="28"/>
          <w:sz w:val="24"/>
        </w:rPr>
        <w:t> </w:t>
      </w:r>
      <w:r>
        <w:rPr>
          <w:sz w:val="24"/>
        </w:rPr>
        <w:t>G. O.,</w:t>
      </w:r>
      <w:r>
        <w:rPr>
          <w:spacing w:val="27"/>
          <w:sz w:val="24"/>
        </w:rPr>
        <w:t> </w:t>
      </w:r>
      <w:r>
        <w:rPr>
          <w:sz w:val="24"/>
        </w:rPr>
        <w:t>Wüst,</w:t>
      </w:r>
      <w:r>
        <w:rPr>
          <w:spacing w:val="28"/>
          <w:sz w:val="24"/>
        </w:rPr>
        <w:t> </w:t>
      </w:r>
      <w:r>
        <w:rPr>
          <w:sz w:val="24"/>
        </w:rPr>
        <w:t>K.,</w:t>
      </w:r>
      <w:r>
        <w:rPr>
          <w:spacing w:val="27"/>
          <w:sz w:val="24"/>
        </w:rPr>
        <w:t> </w:t>
      </w:r>
      <w:r>
        <w:rPr>
          <w:sz w:val="24"/>
        </w:rPr>
        <w:t>Glykantzis,</w:t>
      </w:r>
      <w:r>
        <w:rPr>
          <w:spacing w:val="28"/>
          <w:sz w:val="24"/>
        </w:rPr>
        <w:t> </w:t>
      </w:r>
      <w:r>
        <w:rPr>
          <w:sz w:val="24"/>
        </w:rPr>
        <w:t>V.,</w:t>
      </w:r>
      <w:r>
        <w:rPr>
          <w:spacing w:val="27"/>
          <w:sz w:val="24"/>
        </w:rPr>
        <w:t> </w:t>
      </w:r>
      <w:r>
        <w:rPr>
          <w:sz w:val="24"/>
        </w:rPr>
        <w:t>Ritzdorf,</w:t>
      </w:r>
      <w:r>
        <w:rPr>
          <w:spacing w:val="28"/>
          <w:sz w:val="24"/>
        </w:rPr>
        <w:t> </w:t>
      </w:r>
      <w:r>
        <w:rPr>
          <w:sz w:val="24"/>
        </w:rPr>
        <w:t>H.,</w:t>
      </w:r>
      <w:r>
        <w:rPr>
          <w:spacing w:val="27"/>
          <w:sz w:val="24"/>
        </w:rPr>
        <w:t> </w:t>
      </w:r>
      <w:r>
        <w:rPr>
          <w:sz w:val="24"/>
        </w:rPr>
        <w:t>&amp; Capkun,</w:t>
      </w:r>
      <w:r>
        <w:rPr>
          <w:spacing w:val="28"/>
          <w:sz w:val="24"/>
        </w:rPr>
        <w:t> </w:t>
      </w:r>
      <w:r>
        <w:rPr>
          <w:sz w:val="24"/>
        </w:rPr>
        <w:t>S. (2016). On the security and performance of proof of work blockchains.</w:t>
      </w:r>
      <w:r>
        <w:rPr>
          <w:spacing w:val="40"/>
          <w:sz w:val="24"/>
        </w:rPr>
        <w:t> </w:t>
      </w:r>
      <w:r>
        <w:rPr>
          <w:sz w:val="24"/>
        </w:rPr>
        <w:t>In </w:t>
      </w:r>
      <w:r>
        <w:rPr>
          <w:i/>
          <w:sz w:val="24"/>
        </w:rPr>
        <w:t>Proceedings of the 2016 ACM SIGSAC Conference on Computer and Communications Security </w:t>
      </w:r>
      <w:r>
        <w:rPr>
          <w:sz w:val="24"/>
        </w:rPr>
        <w:t>(pp.</w:t>
      </w:r>
      <w:r>
        <w:rPr>
          <w:spacing w:val="40"/>
          <w:sz w:val="24"/>
        </w:rPr>
        <w:t> </w:t>
      </w:r>
      <w:r>
        <w:rPr>
          <w:sz w:val="24"/>
        </w:rPr>
        <w:t>3–16).</w:t>
      </w:r>
      <w:r>
        <w:rPr>
          <w:spacing w:val="40"/>
          <w:sz w:val="24"/>
        </w:rPr>
        <w:t> </w:t>
      </w:r>
      <w:r>
        <w:rPr>
          <w:sz w:val="24"/>
        </w:rPr>
        <w:t>ACM. </w:t>
      </w:r>
      <w:hyperlink r:id="rId41">
        <w:r>
          <w:rPr>
            <w:spacing w:val="-2"/>
            <w:sz w:val="24"/>
          </w:rPr>
          <w:t>doi:10.1145/2976749.2978341</w:t>
        </w:r>
      </w:hyperlink>
    </w:p>
    <w:p>
      <w:pPr>
        <w:pStyle w:val="ListParagraph"/>
        <w:numPr>
          <w:ilvl w:val="0"/>
          <w:numId w:val="28"/>
        </w:numPr>
        <w:tabs>
          <w:tab w:pos="685" w:val="left" w:leader="none"/>
          <w:tab w:pos="691" w:val="left" w:leader="none"/>
        </w:tabs>
        <w:spacing w:line="396" w:lineRule="auto" w:before="87" w:after="0"/>
        <w:ind w:left="685" w:right="522" w:hanging="523"/>
        <w:jc w:val="both"/>
        <w:rPr>
          <w:sz w:val="24"/>
        </w:rPr>
      </w:pPr>
      <w:r>
        <w:rPr>
          <w:i/>
        </w:rPr>
        <w:tab/>
        <w:t>Gervais, A., Karame, G. O., Wüst, K., Glykantzis, V., Ritzdorf, H., &amp; Capkun, S. (2016). 작업 증명 블록체인의 보안 및 성능에 대해. 컴퓨터 및 통신 보안에 관한 2016 ACM SIGSAC 컨퍼런스 진행(3~16페이지). ACM. 도이:10.1145/2976749.2978341</w:t>
      </w:r>
    </w:p>
    <w:p>
      <w:pPr>
        <w:pStyle w:val="ListParagraph"/>
        <w:numPr>
          <w:ilvl w:val="0"/>
          <w:numId w:val="28"/>
        </w:numPr>
        <w:tabs>
          <w:tab w:pos="691" w:val="left" w:leader="none"/>
        </w:tabs>
        <w:spacing w:line="240" w:lineRule="auto" w:before="89" w:after="0"/>
        <w:ind w:left="691" w:right="0" w:hanging="529"/>
        <w:jc w:val="both"/>
        <w:rPr>
          <w:sz w:val="24"/>
        </w:rPr>
      </w:pPr>
      <w:bookmarkStart w:name="_bookmark156" w:id="280"/>
      <w:bookmarkEnd w:id="280"/>
      <w:r>
        <w:rPr/>
      </w:r>
      <w:r>
        <w:rPr>
          <w:sz w:val="24"/>
        </w:rPr>
        <w:t>GMX.</w:t>
      </w:r>
      <w:r>
        <w:rPr>
          <w:spacing w:val="-8"/>
          <w:sz w:val="24"/>
        </w:rPr>
        <w:t> </w:t>
      </w:r>
      <w:r>
        <w:rPr>
          <w:sz w:val="24"/>
        </w:rPr>
        <w:t>(n.d.).</w:t>
      </w:r>
      <w:r>
        <w:rPr>
          <w:spacing w:val="11"/>
          <w:sz w:val="24"/>
        </w:rPr>
        <w:t> </w:t>
      </w:r>
      <w:r>
        <w:rPr>
          <w:i/>
          <w:sz w:val="24"/>
        </w:rPr>
        <w:t>GMX</w:t>
      </w:r>
      <w:r>
        <w:rPr>
          <w:i/>
          <w:spacing w:val="-7"/>
          <w:sz w:val="24"/>
        </w:rPr>
        <w:t> </w:t>
      </w:r>
      <w:r>
        <w:rPr>
          <w:i/>
          <w:sz w:val="24"/>
        </w:rPr>
        <w:t>V2</w:t>
      </w:r>
      <w:r>
        <w:rPr>
          <w:i/>
          <w:spacing w:val="-7"/>
          <w:sz w:val="24"/>
        </w:rPr>
        <w:t> </w:t>
      </w:r>
      <w:r>
        <w:rPr>
          <w:i/>
          <w:sz w:val="24"/>
        </w:rPr>
        <w:t>documentation</w:t>
      </w:r>
      <w:r>
        <w:rPr>
          <w:sz w:val="24"/>
        </w:rPr>
        <w:t>.</w:t>
      </w:r>
      <w:r>
        <w:rPr>
          <w:spacing w:val="11"/>
          <w:sz w:val="24"/>
        </w:rPr>
        <w:t> </w:t>
      </w:r>
      <w:hyperlink r:id="rId42">
        <w:r>
          <w:rPr>
            <w:spacing w:val="-2"/>
            <w:sz w:val="24"/>
          </w:rPr>
          <w:t>docs.gmx.io</w:t>
        </w:r>
      </w:hyperlink>
    </w:p>
    <w:p>
      <w:pPr>
        <w:pStyle w:val="ListParagraph"/>
        <w:numPr>
          <w:ilvl w:val="0"/>
          <w:numId w:val="28"/>
        </w:numPr>
        <w:tabs>
          <w:tab w:pos="691" w:val="left" w:leader="none"/>
        </w:tabs>
        <w:spacing w:line="240" w:lineRule="auto" w:before="89" w:after="0"/>
        <w:ind w:left="691" w:right="0" w:hanging="529"/>
        <w:jc w:val="both"/>
        <w:rPr>
          <w:sz w:val="24"/>
        </w:rPr>
      </w:pPr>
      <w:r>
        <w:rPr>
          <w:i/>
        </w:rPr>
        <w:t>GMX. (n.d.). GMX V2 문서. docs.gmx.io</w:t>
      </w:r>
    </w:p>
    <w:p>
      <w:pPr>
        <w:pStyle w:val="ListParagraph"/>
        <w:numPr>
          <w:ilvl w:val="0"/>
          <w:numId w:val="28"/>
        </w:numPr>
        <w:tabs>
          <w:tab w:pos="691" w:val="left" w:leader="none"/>
        </w:tabs>
        <w:spacing w:line="240" w:lineRule="auto" w:before="264" w:after="0"/>
        <w:ind w:left="691" w:right="0" w:hanging="529"/>
        <w:jc w:val="both"/>
        <w:rPr>
          <w:sz w:val="24"/>
        </w:rPr>
      </w:pPr>
      <w:bookmarkStart w:name="_bookmark157" w:id="281"/>
      <w:bookmarkEnd w:id="281"/>
      <w:r>
        <w:rPr/>
      </w:r>
      <w:r>
        <w:rPr>
          <w:sz w:val="24"/>
        </w:rPr>
        <w:t>Graham,</w:t>
      </w:r>
      <w:r>
        <w:rPr>
          <w:spacing w:val="-8"/>
          <w:sz w:val="24"/>
        </w:rPr>
        <w:t> </w:t>
      </w:r>
      <w:r>
        <w:rPr>
          <w:sz w:val="24"/>
        </w:rPr>
        <w:t>B.,</w:t>
      </w:r>
      <w:r>
        <w:rPr>
          <w:spacing w:val="-8"/>
          <w:sz w:val="24"/>
        </w:rPr>
        <w:t> </w:t>
      </w:r>
      <w:r>
        <w:rPr>
          <w:sz w:val="24"/>
        </w:rPr>
        <w:t>&amp;</w:t>
      </w:r>
      <w:r>
        <w:rPr>
          <w:spacing w:val="-7"/>
          <w:sz w:val="24"/>
        </w:rPr>
        <w:t> </w:t>
      </w:r>
      <w:r>
        <w:rPr>
          <w:sz w:val="24"/>
        </w:rPr>
        <w:t>Dodd,</w:t>
      </w:r>
      <w:r>
        <w:rPr>
          <w:spacing w:val="-8"/>
          <w:sz w:val="24"/>
        </w:rPr>
        <w:t> </w:t>
      </w:r>
      <w:r>
        <w:rPr>
          <w:sz w:val="24"/>
        </w:rPr>
        <w:t>D.</w:t>
      </w:r>
      <w:r>
        <w:rPr>
          <w:spacing w:val="-7"/>
          <w:sz w:val="24"/>
        </w:rPr>
        <w:t> </w:t>
      </w:r>
      <w:r>
        <w:rPr>
          <w:sz w:val="24"/>
        </w:rPr>
        <w:t>L.</w:t>
      </w:r>
      <w:r>
        <w:rPr>
          <w:spacing w:val="-8"/>
          <w:sz w:val="24"/>
        </w:rPr>
        <w:t> </w:t>
      </w:r>
      <w:r>
        <w:rPr>
          <w:sz w:val="24"/>
        </w:rPr>
        <w:t>(1934).</w:t>
      </w:r>
      <w:r>
        <w:rPr>
          <w:spacing w:val="11"/>
          <w:sz w:val="24"/>
        </w:rPr>
        <w:t> </w:t>
      </w:r>
      <w:r>
        <w:rPr>
          <w:i/>
          <w:sz w:val="24"/>
        </w:rPr>
        <w:t>Security</w:t>
      </w:r>
      <w:r>
        <w:rPr>
          <w:i/>
          <w:spacing w:val="-8"/>
          <w:sz w:val="24"/>
        </w:rPr>
        <w:t> </w:t>
      </w:r>
      <w:r>
        <w:rPr>
          <w:i/>
          <w:sz w:val="24"/>
        </w:rPr>
        <w:t>analysis</w:t>
      </w:r>
      <w:r>
        <w:rPr>
          <w:sz w:val="24"/>
        </w:rPr>
        <w:t>.</w:t>
      </w:r>
      <w:r>
        <w:rPr>
          <w:spacing w:val="11"/>
          <w:sz w:val="24"/>
        </w:rPr>
        <w:t> </w:t>
      </w:r>
      <w:r>
        <w:rPr>
          <w:sz w:val="24"/>
        </w:rPr>
        <w:t>McGraw-</w:t>
      </w:r>
      <w:r>
        <w:rPr>
          <w:spacing w:val="-2"/>
          <w:sz w:val="24"/>
        </w:rPr>
        <w:t>Hill.</w:t>
      </w:r>
    </w:p>
    <w:p>
      <w:pPr>
        <w:pStyle w:val="ListParagraph"/>
        <w:numPr>
          <w:ilvl w:val="0"/>
          <w:numId w:val="28"/>
        </w:numPr>
        <w:tabs>
          <w:tab w:pos="691" w:val="left" w:leader="none"/>
        </w:tabs>
        <w:spacing w:line="240" w:lineRule="auto" w:before="264" w:after="0"/>
        <w:ind w:left="691" w:right="0" w:hanging="529"/>
        <w:jc w:val="both"/>
        <w:rPr>
          <w:sz w:val="24"/>
        </w:rPr>
      </w:pPr>
      <w:r>
        <w:rPr>
          <w:i/>
        </w:rPr>
        <w:t>그레이엄, B., &amp; 도드, D. L. (1934). 보안 분석. 맥그로힐.</w:t>
      </w:r>
    </w:p>
    <w:p>
      <w:pPr>
        <w:pStyle w:val="ListParagraph"/>
        <w:numPr>
          <w:ilvl w:val="0"/>
          <w:numId w:val="28"/>
        </w:numPr>
        <w:tabs>
          <w:tab w:pos="692" w:val="left" w:leader="none"/>
        </w:tabs>
        <w:spacing w:line="396" w:lineRule="auto" w:before="264" w:after="0"/>
        <w:ind w:left="692" w:right="522" w:hanging="530"/>
        <w:jc w:val="both"/>
        <w:rPr>
          <w:sz w:val="24"/>
        </w:rPr>
      </w:pPr>
      <w:bookmarkStart w:name="_bookmark158" w:id="282"/>
      <w:bookmarkEnd w:id="282"/>
      <w:r>
        <w:rPr/>
      </w:r>
      <w:r>
        <w:rPr>
          <w:sz w:val="24"/>
        </w:rPr>
        <w:t>Gudgeon, L., Moreno-Sanchez, P., Roos, S., McCorry, P., &amp; Gervais, A. (2020).</w:t>
      </w:r>
      <w:r>
        <w:rPr>
          <w:spacing w:val="40"/>
          <w:sz w:val="24"/>
        </w:rPr>
        <w:t> </w:t>
      </w:r>
      <w:r>
        <w:rPr>
          <w:sz w:val="24"/>
        </w:rPr>
        <w:t>SoK: Layer-two</w:t>
      </w:r>
      <w:r>
        <w:rPr>
          <w:spacing w:val="-15"/>
          <w:sz w:val="24"/>
        </w:rPr>
        <w:t> </w:t>
      </w:r>
      <w:r>
        <w:rPr>
          <w:sz w:val="24"/>
        </w:rPr>
        <w:t>blockchain</w:t>
      </w:r>
      <w:r>
        <w:rPr>
          <w:spacing w:val="-15"/>
          <w:sz w:val="24"/>
        </w:rPr>
        <w:t> </w:t>
      </w:r>
      <w:r>
        <w:rPr>
          <w:sz w:val="24"/>
        </w:rPr>
        <w:t>protocols.</w:t>
      </w:r>
      <w:r>
        <w:rPr>
          <w:spacing w:val="-3"/>
          <w:sz w:val="24"/>
        </w:rPr>
        <w:t> </w:t>
      </w:r>
      <w:r>
        <w:rPr>
          <w:sz w:val="24"/>
        </w:rPr>
        <w:t>In</w:t>
      </w:r>
      <w:r>
        <w:rPr>
          <w:spacing w:val="-15"/>
          <w:sz w:val="24"/>
        </w:rPr>
        <w:t> </w:t>
      </w:r>
      <w:r>
        <w:rPr>
          <w:i/>
          <w:sz w:val="24"/>
        </w:rPr>
        <w:t>Financial</w:t>
      </w:r>
      <w:r>
        <w:rPr>
          <w:i/>
          <w:spacing w:val="-15"/>
          <w:sz w:val="24"/>
        </w:rPr>
        <w:t> </w:t>
      </w:r>
      <w:r>
        <w:rPr>
          <w:i/>
          <w:sz w:val="24"/>
        </w:rPr>
        <w:t>Cryptography</w:t>
      </w:r>
      <w:r>
        <w:rPr>
          <w:i/>
          <w:spacing w:val="-15"/>
          <w:sz w:val="24"/>
        </w:rPr>
        <w:t> </w:t>
      </w:r>
      <w:r>
        <w:rPr>
          <w:i/>
          <w:sz w:val="24"/>
        </w:rPr>
        <w:t>and</w:t>
      </w:r>
      <w:r>
        <w:rPr>
          <w:i/>
          <w:spacing w:val="-15"/>
          <w:sz w:val="24"/>
        </w:rPr>
        <w:t> </w:t>
      </w:r>
      <w:r>
        <w:rPr>
          <w:i/>
          <w:sz w:val="24"/>
        </w:rPr>
        <w:t>Data</w:t>
      </w:r>
      <w:r>
        <w:rPr>
          <w:i/>
          <w:spacing w:val="-15"/>
          <w:sz w:val="24"/>
        </w:rPr>
        <w:t> </w:t>
      </w:r>
      <w:r>
        <w:rPr>
          <w:i/>
          <w:sz w:val="24"/>
        </w:rPr>
        <w:t>Security</w:t>
      </w:r>
      <w:r>
        <w:rPr>
          <w:i/>
          <w:spacing w:val="-15"/>
          <w:sz w:val="24"/>
        </w:rPr>
        <w:t> </w:t>
      </w:r>
      <w:r>
        <w:rPr>
          <w:sz w:val="24"/>
        </w:rPr>
        <w:t>(pp.</w:t>
      </w:r>
      <w:r>
        <w:rPr>
          <w:spacing w:val="7"/>
          <w:sz w:val="24"/>
        </w:rPr>
        <w:t> </w:t>
      </w:r>
      <w:r>
        <w:rPr>
          <w:sz w:val="24"/>
        </w:rPr>
        <w:t>201–</w:t>
      </w:r>
      <w:r>
        <w:rPr>
          <w:sz w:val="24"/>
        </w:rPr>
        <w:t>226).</w:t>
      </w:r>
    </w:p>
    <w:p>
      <w:pPr>
        <w:pStyle w:val="ListParagraph"/>
        <w:numPr>
          <w:ilvl w:val="0"/>
          <w:numId w:val="28"/>
        </w:numPr>
        <w:tabs>
          <w:tab w:pos="692" w:val="left" w:leader="none"/>
        </w:tabs>
        <w:spacing w:line="396" w:lineRule="auto" w:before="264" w:after="0"/>
        <w:ind w:left="692" w:right="522" w:hanging="530"/>
        <w:jc w:val="both"/>
        <w:rPr>
          <w:sz w:val="24"/>
        </w:rPr>
      </w:pPr>
      <w:r>
        <w:rPr>
          <w:i/>
        </w:rPr>
        <w:t>Gudgeon, L., 모레노-산체스, P., Roos, S., McCorry, P., &amp; Gervais, A. (2020). SoK: 레이어 2 블록체인 프로토콜. 금융 암호화 및 데이터 보안(pp. 201–226).</w:t>
      </w:r>
    </w:p>
    <w:p>
      <w:pPr>
        <w:pStyle w:val="BodyText"/>
        <w:spacing w:before="2"/>
        <w:ind w:left="692"/>
      </w:pPr>
      <w:r>
        <w:rPr>
          <w:spacing w:val="-2"/>
        </w:rPr>
        <w:t>Springer.</w:t>
      </w:r>
      <w:r>
        <w:rPr>
          <w:spacing w:val="40"/>
        </w:rPr>
        <w:t> </w:t>
      </w:r>
      <w:hyperlink r:id="rId43">
        <w:r>
          <w:rPr>
            <w:spacing w:val="-2"/>
          </w:rPr>
          <w:t>doi:10.1007/978-3-030-51280-</w:t>
        </w:r>
        <w:r>
          <w:rPr>
            <w:spacing w:val="-4"/>
          </w:rPr>
          <w:t>4_12</w:t>
        </w:r>
      </w:hyperlink>
    </w:p>
    <w:p>
      <w:pPr>
        <w:pStyle w:val="BodyText"/>
        <w:spacing w:before="2"/>
        <w:ind w:left="692"/>
      </w:pPr>
      <w:r>
        <w:rPr>
          <w:i/>
        </w:rPr>
        <w:t>뛰는 것. 도이:10.1007/978-3-030-51280-4_12</w:t>
      </w:r>
    </w:p>
    <w:p>
      <w:pPr>
        <w:pStyle w:val="ListParagraph"/>
        <w:numPr>
          <w:ilvl w:val="0"/>
          <w:numId w:val="28"/>
        </w:numPr>
        <w:tabs>
          <w:tab w:pos="692" w:val="left" w:leader="none"/>
        </w:tabs>
        <w:spacing w:line="396" w:lineRule="auto" w:before="264" w:after="0"/>
        <w:ind w:left="692" w:right="524" w:hanging="530"/>
        <w:jc w:val="both"/>
        <w:rPr>
          <w:sz w:val="24"/>
        </w:rPr>
      </w:pPr>
      <w:bookmarkStart w:name="_bookmark159" w:id="283"/>
      <w:bookmarkEnd w:id="283"/>
      <w:r>
        <w:rPr/>
      </w:r>
      <w:r>
        <w:rPr>
          <w:sz w:val="24"/>
        </w:rPr>
        <w:t>Gudgeon,</w:t>
      </w:r>
      <w:r>
        <w:rPr>
          <w:spacing w:val="-6"/>
          <w:sz w:val="24"/>
        </w:rPr>
        <w:t> </w:t>
      </w:r>
      <w:r>
        <w:rPr>
          <w:sz w:val="24"/>
        </w:rPr>
        <w:t>L.,</w:t>
      </w:r>
      <w:r>
        <w:rPr>
          <w:spacing w:val="-6"/>
          <w:sz w:val="24"/>
        </w:rPr>
        <w:t> </w:t>
      </w:r>
      <w:r>
        <w:rPr>
          <w:sz w:val="24"/>
        </w:rPr>
        <w:t>Perez,</w:t>
      </w:r>
      <w:r>
        <w:rPr>
          <w:spacing w:val="-6"/>
          <w:sz w:val="24"/>
        </w:rPr>
        <w:t> </w:t>
      </w:r>
      <w:r>
        <w:rPr>
          <w:sz w:val="24"/>
        </w:rPr>
        <w:t>D.,</w:t>
      </w:r>
      <w:r>
        <w:rPr>
          <w:spacing w:val="-6"/>
          <w:sz w:val="24"/>
        </w:rPr>
        <w:t> </w:t>
      </w:r>
      <w:r>
        <w:rPr>
          <w:sz w:val="24"/>
        </w:rPr>
        <w:t>Harz,</w:t>
      </w:r>
      <w:r>
        <w:rPr>
          <w:spacing w:val="-6"/>
          <w:sz w:val="24"/>
        </w:rPr>
        <w:t> </w:t>
      </w:r>
      <w:r>
        <w:rPr>
          <w:sz w:val="24"/>
        </w:rPr>
        <w:t>D.,</w:t>
      </w:r>
      <w:r>
        <w:rPr>
          <w:spacing w:val="-6"/>
          <w:sz w:val="24"/>
        </w:rPr>
        <w:t> </w:t>
      </w:r>
      <w:r>
        <w:rPr>
          <w:sz w:val="24"/>
        </w:rPr>
        <w:t>Livshits,</w:t>
      </w:r>
      <w:r>
        <w:rPr>
          <w:spacing w:val="-6"/>
          <w:sz w:val="24"/>
        </w:rPr>
        <w:t> </w:t>
      </w:r>
      <w:r>
        <w:rPr>
          <w:sz w:val="24"/>
        </w:rPr>
        <w:t>B.,</w:t>
      </w:r>
      <w:r>
        <w:rPr>
          <w:spacing w:val="-6"/>
          <w:sz w:val="24"/>
        </w:rPr>
        <w:t> </w:t>
      </w:r>
      <w:r>
        <w:rPr>
          <w:sz w:val="24"/>
        </w:rPr>
        <w:t>&amp;</w:t>
      </w:r>
      <w:r>
        <w:rPr>
          <w:spacing w:val="-6"/>
          <w:sz w:val="24"/>
        </w:rPr>
        <w:t> </w:t>
      </w:r>
      <w:r>
        <w:rPr>
          <w:sz w:val="24"/>
        </w:rPr>
        <w:t>Gervais,</w:t>
      </w:r>
      <w:r>
        <w:rPr>
          <w:spacing w:val="-6"/>
          <w:sz w:val="24"/>
        </w:rPr>
        <w:t> </w:t>
      </w:r>
      <w:r>
        <w:rPr>
          <w:sz w:val="24"/>
        </w:rPr>
        <w:t>A.</w:t>
      </w:r>
      <w:r>
        <w:rPr>
          <w:spacing w:val="-6"/>
          <w:sz w:val="24"/>
        </w:rPr>
        <w:t> </w:t>
      </w:r>
      <w:r>
        <w:rPr>
          <w:sz w:val="24"/>
        </w:rPr>
        <w:t>(2020). The</w:t>
      </w:r>
      <w:r>
        <w:rPr>
          <w:spacing w:val="-6"/>
          <w:sz w:val="24"/>
        </w:rPr>
        <w:t> </w:t>
      </w:r>
      <w:r>
        <w:rPr>
          <w:sz w:val="24"/>
        </w:rPr>
        <w:t>decentralized</w:t>
      </w:r>
      <w:r>
        <w:rPr>
          <w:spacing w:val="-6"/>
          <w:sz w:val="24"/>
        </w:rPr>
        <w:t> </w:t>
      </w:r>
      <w:r>
        <w:rPr>
          <w:sz w:val="24"/>
        </w:rPr>
        <w:t>finan-cial crisis. In </w:t>
      </w:r>
      <w:r>
        <w:rPr>
          <w:i/>
          <w:sz w:val="24"/>
        </w:rPr>
        <w:t>2020 Crypto Valley Conference on Blockchain Technology </w:t>
      </w:r>
      <w:r>
        <w:rPr>
          <w:sz w:val="24"/>
        </w:rPr>
        <w:t>(pp. 1–15). IEEE.</w:t>
      </w:r>
    </w:p>
    <w:p>
      <w:pPr>
        <w:pStyle w:val="ListParagraph"/>
        <w:numPr>
          <w:ilvl w:val="0"/>
          <w:numId w:val="28"/>
        </w:numPr>
        <w:tabs>
          <w:tab w:pos="692" w:val="left" w:leader="none"/>
        </w:tabs>
        <w:spacing w:line="396" w:lineRule="auto" w:before="264" w:after="0"/>
        <w:ind w:left="692" w:right="524" w:hanging="530"/>
        <w:jc w:val="both"/>
        <w:rPr>
          <w:sz w:val="24"/>
        </w:rPr>
      </w:pPr>
      <w:r>
        <w:rPr>
          <w:i/>
        </w:rPr>
        <w:t>Gudgeon, L., Perez, D., Harz, D., Livshits, B., &amp; Gervais, A. (2020). 분산형 금융 위기. 2020년 블록체인 기술에 관한 크립토밸리 컨퍼런스(1~15페이지). IEEE.</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60" w:id="284"/>
      <w:bookmarkEnd w:id="284"/>
      <w:r>
        <w:rPr/>
      </w:r>
      <w:r>
        <w:rPr>
          <w:sz w:val="24"/>
        </w:rPr>
        <w:t>Gyöngyi,</w:t>
      </w:r>
      <w:r>
        <w:rPr>
          <w:spacing w:val="-13"/>
          <w:sz w:val="24"/>
        </w:rPr>
        <w:t> </w:t>
      </w:r>
      <w:r>
        <w:rPr>
          <w:sz w:val="24"/>
        </w:rPr>
        <w:t>Z.,</w:t>
      </w:r>
      <w:r>
        <w:rPr>
          <w:spacing w:val="-13"/>
          <w:sz w:val="24"/>
        </w:rPr>
        <w:t> </w:t>
      </w:r>
      <w:r>
        <w:rPr>
          <w:sz w:val="24"/>
        </w:rPr>
        <w:t>Garcia-Molina,</w:t>
      </w:r>
      <w:r>
        <w:rPr>
          <w:spacing w:val="-13"/>
          <w:sz w:val="24"/>
        </w:rPr>
        <w:t> </w:t>
      </w:r>
      <w:r>
        <w:rPr>
          <w:sz w:val="24"/>
        </w:rPr>
        <w:t>H.,</w:t>
      </w:r>
      <w:r>
        <w:rPr>
          <w:spacing w:val="-13"/>
          <w:sz w:val="24"/>
        </w:rPr>
        <w:t> </w:t>
      </w:r>
      <w:r>
        <w:rPr>
          <w:sz w:val="24"/>
        </w:rPr>
        <w:t>&amp;</w:t>
      </w:r>
      <w:r>
        <w:rPr>
          <w:spacing w:val="-14"/>
          <w:sz w:val="24"/>
        </w:rPr>
        <w:t> </w:t>
      </w:r>
      <w:r>
        <w:rPr>
          <w:sz w:val="24"/>
        </w:rPr>
        <w:t>Pedersen,</w:t>
      </w:r>
      <w:r>
        <w:rPr>
          <w:spacing w:val="-13"/>
          <w:sz w:val="24"/>
        </w:rPr>
        <w:t> </w:t>
      </w:r>
      <w:r>
        <w:rPr>
          <w:sz w:val="24"/>
        </w:rPr>
        <w:t>J.</w:t>
      </w:r>
      <w:r>
        <w:rPr>
          <w:spacing w:val="-15"/>
          <w:sz w:val="24"/>
        </w:rPr>
        <w:t> </w:t>
      </w:r>
      <w:r>
        <w:rPr>
          <w:sz w:val="24"/>
        </w:rPr>
        <w:t>(2004).</w:t>
      </w:r>
      <w:r>
        <w:rPr>
          <w:spacing w:val="9"/>
          <w:sz w:val="24"/>
        </w:rPr>
        <w:t> </w:t>
      </w:r>
      <w:r>
        <w:rPr>
          <w:sz w:val="24"/>
        </w:rPr>
        <w:t>Combating</w:t>
      </w:r>
      <w:r>
        <w:rPr>
          <w:spacing w:val="-15"/>
          <w:sz w:val="24"/>
        </w:rPr>
        <w:t> </w:t>
      </w:r>
      <w:r>
        <w:rPr>
          <w:sz w:val="24"/>
        </w:rPr>
        <w:t>web</w:t>
      </w:r>
      <w:r>
        <w:rPr>
          <w:spacing w:val="-15"/>
          <w:sz w:val="24"/>
        </w:rPr>
        <w:t> </w:t>
      </w:r>
      <w:r>
        <w:rPr>
          <w:sz w:val="24"/>
        </w:rPr>
        <w:t>spam</w:t>
      </w:r>
      <w:r>
        <w:rPr>
          <w:spacing w:val="-15"/>
          <w:sz w:val="24"/>
        </w:rPr>
        <w:t> </w:t>
      </w:r>
      <w:r>
        <w:rPr>
          <w:sz w:val="24"/>
        </w:rPr>
        <w:t>with</w:t>
      </w:r>
      <w:r>
        <w:rPr>
          <w:spacing w:val="-15"/>
          <w:sz w:val="24"/>
        </w:rPr>
        <w:t> </w:t>
      </w:r>
      <w:r>
        <w:rPr>
          <w:sz w:val="24"/>
        </w:rPr>
        <w:t>TrustRank. In</w:t>
      </w:r>
      <w:r>
        <w:rPr>
          <w:spacing w:val="-8"/>
          <w:sz w:val="24"/>
        </w:rPr>
        <w:t> </w:t>
      </w:r>
      <w:r>
        <w:rPr>
          <w:i/>
          <w:sz w:val="24"/>
        </w:rPr>
        <w:t>Proceedings</w:t>
      </w:r>
      <w:r>
        <w:rPr>
          <w:i/>
          <w:spacing w:val="-8"/>
          <w:sz w:val="24"/>
        </w:rPr>
        <w:t> </w:t>
      </w:r>
      <w:r>
        <w:rPr>
          <w:i/>
          <w:sz w:val="24"/>
        </w:rPr>
        <w:t>of</w:t>
      </w:r>
      <w:r>
        <w:rPr>
          <w:i/>
          <w:spacing w:val="-8"/>
          <w:sz w:val="24"/>
        </w:rPr>
        <w:t> </w:t>
      </w:r>
      <w:r>
        <w:rPr>
          <w:i/>
          <w:sz w:val="24"/>
        </w:rPr>
        <w:t>the</w:t>
      </w:r>
      <w:r>
        <w:rPr>
          <w:i/>
          <w:spacing w:val="-8"/>
          <w:sz w:val="24"/>
        </w:rPr>
        <w:t> </w:t>
      </w:r>
      <w:r>
        <w:rPr>
          <w:i/>
          <w:sz w:val="24"/>
        </w:rPr>
        <w:t>Thirtieth</w:t>
      </w:r>
      <w:r>
        <w:rPr>
          <w:i/>
          <w:spacing w:val="-8"/>
          <w:sz w:val="24"/>
        </w:rPr>
        <w:t> </w:t>
      </w:r>
      <w:r>
        <w:rPr>
          <w:i/>
          <w:sz w:val="24"/>
        </w:rPr>
        <w:t>International</w:t>
      </w:r>
      <w:r>
        <w:rPr>
          <w:i/>
          <w:spacing w:val="-8"/>
          <w:sz w:val="24"/>
        </w:rPr>
        <w:t> </w:t>
      </w:r>
      <w:r>
        <w:rPr>
          <w:i/>
          <w:sz w:val="24"/>
        </w:rPr>
        <w:t>Conference</w:t>
      </w:r>
      <w:r>
        <w:rPr>
          <w:i/>
          <w:spacing w:val="-8"/>
          <w:sz w:val="24"/>
        </w:rPr>
        <w:t> </w:t>
      </w:r>
      <w:r>
        <w:rPr>
          <w:i/>
          <w:sz w:val="24"/>
        </w:rPr>
        <w:t>on</w:t>
      </w:r>
      <w:r>
        <w:rPr>
          <w:i/>
          <w:spacing w:val="-8"/>
          <w:sz w:val="24"/>
        </w:rPr>
        <w:t> </w:t>
      </w:r>
      <w:r>
        <w:rPr>
          <w:i/>
          <w:sz w:val="24"/>
        </w:rPr>
        <w:t>Very</w:t>
      </w:r>
      <w:r>
        <w:rPr>
          <w:i/>
          <w:spacing w:val="-8"/>
          <w:sz w:val="24"/>
        </w:rPr>
        <w:t> </w:t>
      </w:r>
      <w:r>
        <w:rPr>
          <w:i/>
          <w:sz w:val="24"/>
        </w:rPr>
        <w:t>Large</w:t>
      </w:r>
      <w:r>
        <w:rPr>
          <w:i/>
          <w:spacing w:val="-8"/>
          <w:sz w:val="24"/>
        </w:rPr>
        <w:t> </w:t>
      </w:r>
      <w:r>
        <w:rPr>
          <w:i/>
          <w:sz w:val="24"/>
        </w:rPr>
        <w:t>Data</w:t>
      </w:r>
      <w:r>
        <w:rPr>
          <w:i/>
          <w:spacing w:val="-8"/>
          <w:sz w:val="24"/>
        </w:rPr>
        <w:t> </w:t>
      </w:r>
      <w:r>
        <w:rPr>
          <w:i/>
          <w:sz w:val="24"/>
        </w:rPr>
        <w:t>Bases</w:t>
      </w:r>
      <w:r>
        <w:rPr>
          <w:i/>
          <w:spacing w:val="-8"/>
          <w:sz w:val="24"/>
        </w:rPr>
        <w:t> </w:t>
      </w:r>
      <w:r>
        <w:rPr>
          <w:sz w:val="24"/>
        </w:rPr>
        <w:t>(pp. 576–587). VLDB Endowment.</w:t>
      </w:r>
    </w:p>
    <w:p>
      <w:pPr>
        <w:pStyle w:val="ListParagraph"/>
        <w:numPr>
          <w:ilvl w:val="0"/>
          <w:numId w:val="28"/>
        </w:numPr>
        <w:tabs>
          <w:tab w:pos="692" w:val="left" w:leader="none"/>
        </w:tabs>
        <w:spacing w:line="396" w:lineRule="auto" w:before="86" w:after="0"/>
        <w:ind w:left="692" w:right="522" w:hanging="530"/>
        <w:jc w:val="both"/>
        <w:rPr>
          <w:sz w:val="24"/>
        </w:rPr>
      </w:pPr>
      <w:r>
        <w:rPr>
          <w:i/>
        </w:rPr>
        <w:t>Gyöngyi, Z., Garcia-Molina, H., &amp; Pedersen, J. (2004). TrustRank로 웹 스팸을 퇴치하세요. 초대형 데이터베이스에 관한 제30차 국제 회의 진행 중(pp. 576–587). VLDB 기부금.</w:t>
      </w:r>
    </w:p>
    <w:p>
      <w:pPr>
        <w:pStyle w:val="ListParagraph"/>
        <w:numPr>
          <w:ilvl w:val="0"/>
          <w:numId w:val="28"/>
        </w:numPr>
        <w:tabs>
          <w:tab w:pos="691" w:val="left" w:leader="none"/>
        </w:tabs>
        <w:spacing w:line="240" w:lineRule="auto" w:before="87" w:after="0"/>
        <w:ind w:left="691" w:right="0" w:hanging="529"/>
        <w:jc w:val="both"/>
        <w:rPr>
          <w:sz w:val="24"/>
        </w:rPr>
      </w:pPr>
      <w:bookmarkStart w:name="_bookmark161" w:id="285"/>
      <w:bookmarkEnd w:id="285"/>
      <w:r>
        <w:rPr/>
      </w:r>
      <w:r>
        <w:rPr>
          <w:sz w:val="24"/>
        </w:rPr>
        <w:t>Harvey,</w:t>
      </w:r>
      <w:r>
        <w:rPr>
          <w:spacing w:val="-14"/>
          <w:sz w:val="24"/>
        </w:rPr>
        <w:t> </w:t>
      </w:r>
      <w:r>
        <w:rPr>
          <w:sz w:val="24"/>
        </w:rPr>
        <w:t>C.</w:t>
      </w:r>
      <w:r>
        <w:rPr>
          <w:spacing w:val="-15"/>
          <w:sz w:val="24"/>
        </w:rPr>
        <w:t> </w:t>
      </w:r>
      <w:r>
        <w:rPr>
          <w:sz w:val="24"/>
        </w:rPr>
        <w:t>R.,</w:t>
      </w:r>
      <w:r>
        <w:rPr>
          <w:spacing w:val="-13"/>
          <w:sz w:val="24"/>
        </w:rPr>
        <w:t> </w:t>
      </w:r>
      <w:r>
        <w:rPr>
          <w:sz w:val="24"/>
        </w:rPr>
        <w:t>Ramachandran,</w:t>
      </w:r>
      <w:r>
        <w:rPr>
          <w:spacing w:val="-12"/>
          <w:sz w:val="24"/>
        </w:rPr>
        <w:t> </w:t>
      </w:r>
      <w:r>
        <w:rPr>
          <w:sz w:val="24"/>
        </w:rPr>
        <w:t>A.,</w:t>
      </w:r>
      <w:r>
        <w:rPr>
          <w:spacing w:val="-14"/>
          <w:sz w:val="24"/>
        </w:rPr>
        <w:t> </w:t>
      </w:r>
      <w:r>
        <w:rPr>
          <w:sz w:val="24"/>
        </w:rPr>
        <w:t>&amp;</w:t>
      </w:r>
      <w:r>
        <w:rPr>
          <w:spacing w:val="-15"/>
          <w:sz w:val="24"/>
        </w:rPr>
        <w:t> </w:t>
      </w:r>
      <w:r>
        <w:rPr>
          <w:sz w:val="24"/>
        </w:rPr>
        <w:t>Santoro,</w:t>
      </w:r>
      <w:r>
        <w:rPr>
          <w:spacing w:val="-12"/>
          <w:sz w:val="24"/>
        </w:rPr>
        <w:t> </w:t>
      </w:r>
      <w:r>
        <w:rPr>
          <w:sz w:val="24"/>
        </w:rPr>
        <w:t>J.</w:t>
      </w:r>
      <w:r>
        <w:rPr>
          <w:spacing w:val="-15"/>
          <w:sz w:val="24"/>
        </w:rPr>
        <w:t> </w:t>
      </w:r>
      <w:r>
        <w:rPr>
          <w:sz w:val="24"/>
        </w:rPr>
        <w:t>(2021).</w:t>
      </w:r>
      <w:r>
        <w:rPr>
          <w:spacing w:val="7"/>
          <w:sz w:val="24"/>
        </w:rPr>
        <w:t> </w:t>
      </w:r>
      <w:r>
        <w:rPr>
          <w:i/>
          <w:sz w:val="24"/>
        </w:rPr>
        <w:t>DeFi</w:t>
      </w:r>
      <w:r>
        <w:rPr>
          <w:i/>
          <w:spacing w:val="-14"/>
          <w:sz w:val="24"/>
        </w:rPr>
        <w:t> </w:t>
      </w:r>
      <w:r>
        <w:rPr>
          <w:i/>
          <w:sz w:val="24"/>
        </w:rPr>
        <w:t>and</w:t>
      </w:r>
      <w:r>
        <w:rPr>
          <w:i/>
          <w:spacing w:val="-15"/>
          <w:sz w:val="24"/>
        </w:rPr>
        <w:t> </w:t>
      </w:r>
      <w:r>
        <w:rPr>
          <w:i/>
          <w:sz w:val="24"/>
        </w:rPr>
        <w:t>the</w:t>
      </w:r>
      <w:r>
        <w:rPr>
          <w:i/>
          <w:spacing w:val="-14"/>
          <w:sz w:val="24"/>
        </w:rPr>
        <w:t> </w:t>
      </w:r>
      <w:r>
        <w:rPr>
          <w:i/>
          <w:sz w:val="24"/>
        </w:rPr>
        <w:t>future</w:t>
      </w:r>
      <w:r>
        <w:rPr>
          <w:i/>
          <w:spacing w:val="-15"/>
          <w:sz w:val="24"/>
        </w:rPr>
        <w:t> </w:t>
      </w:r>
      <w:r>
        <w:rPr>
          <w:i/>
          <w:sz w:val="24"/>
        </w:rPr>
        <w:t>of</w:t>
      </w:r>
      <w:r>
        <w:rPr>
          <w:i/>
          <w:spacing w:val="-15"/>
          <w:sz w:val="24"/>
        </w:rPr>
        <w:t> </w:t>
      </w:r>
      <w:r>
        <w:rPr>
          <w:i/>
          <w:sz w:val="24"/>
        </w:rPr>
        <w:t>finance</w:t>
      </w:r>
      <w:r>
        <w:rPr>
          <w:sz w:val="24"/>
        </w:rPr>
        <w:t>.</w:t>
      </w:r>
      <w:r>
        <w:rPr>
          <w:spacing w:val="8"/>
          <w:sz w:val="24"/>
        </w:rPr>
        <w:t> </w:t>
      </w:r>
      <w:r>
        <w:rPr>
          <w:spacing w:val="-2"/>
          <w:sz w:val="24"/>
        </w:rPr>
        <w:t>Wiley.</w:t>
      </w:r>
    </w:p>
    <w:p>
      <w:pPr>
        <w:pStyle w:val="ListParagraph"/>
        <w:numPr>
          <w:ilvl w:val="0"/>
          <w:numId w:val="28"/>
        </w:numPr>
        <w:tabs>
          <w:tab w:pos="691" w:val="left" w:leader="none"/>
        </w:tabs>
        <w:spacing w:line="240" w:lineRule="auto" w:before="87" w:after="0"/>
        <w:ind w:left="691" w:right="0" w:hanging="529"/>
        <w:jc w:val="both"/>
        <w:rPr>
          <w:sz w:val="24"/>
        </w:rPr>
      </w:pPr>
      <w:r>
        <w:rPr>
          <w:i/>
        </w:rPr>
        <w:t>Harvey, C. R., Ramachandran, A., &amp; Santoro, J. (2021). DeFi 그리고 금융의 미래. 와일리.</w:t>
      </w:r>
    </w:p>
    <w:p>
      <w:pPr>
        <w:pStyle w:val="ListParagraph"/>
        <w:numPr>
          <w:ilvl w:val="0"/>
          <w:numId w:val="28"/>
        </w:numPr>
        <w:tabs>
          <w:tab w:pos="692" w:val="left" w:leader="none"/>
        </w:tabs>
        <w:spacing w:line="396" w:lineRule="auto" w:before="265" w:after="0"/>
        <w:ind w:left="692" w:right="530" w:hanging="530"/>
        <w:jc w:val="both"/>
        <w:rPr>
          <w:sz w:val="24"/>
        </w:rPr>
      </w:pPr>
      <w:bookmarkStart w:name="_bookmark162" w:id="286"/>
      <w:bookmarkEnd w:id="286"/>
      <w:r>
        <w:rPr/>
      </w:r>
      <w:r>
        <w:rPr>
          <w:sz w:val="24"/>
        </w:rPr>
        <w:t>Hassija, V., Bansal, G., Chamola, V., Kumar, N., &amp; Guizani, M. (2020).</w:t>
      </w:r>
      <w:r>
        <w:rPr>
          <w:spacing w:val="40"/>
          <w:sz w:val="24"/>
        </w:rPr>
        <w:t> </w:t>
      </w:r>
      <w:r>
        <w:rPr>
          <w:sz w:val="24"/>
        </w:rPr>
        <w:t>Secure lending: Blockchain</w:t>
      </w:r>
      <w:r>
        <w:rPr>
          <w:spacing w:val="-8"/>
          <w:sz w:val="24"/>
        </w:rPr>
        <w:t> </w:t>
      </w:r>
      <w:r>
        <w:rPr>
          <w:sz w:val="24"/>
        </w:rPr>
        <w:t>and</w:t>
      </w:r>
      <w:r>
        <w:rPr>
          <w:spacing w:val="-8"/>
          <w:sz w:val="24"/>
        </w:rPr>
        <w:t> </w:t>
      </w:r>
      <w:r>
        <w:rPr>
          <w:sz w:val="24"/>
        </w:rPr>
        <w:t>prospect</w:t>
      </w:r>
      <w:r>
        <w:rPr>
          <w:spacing w:val="-8"/>
          <w:sz w:val="24"/>
        </w:rPr>
        <w:t> </w:t>
      </w:r>
      <w:r>
        <w:rPr>
          <w:sz w:val="24"/>
        </w:rPr>
        <w:t>theory-based</w:t>
      </w:r>
      <w:r>
        <w:rPr>
          <w:spacing w:val="-8"/>
          <w:sz w:val="24"/>
        </w:rPr>
        <w:t> </w:t>
      </w:r>
      <w:r>
        <w:rPr>
          <w:sz w:val="24"/>
        </w:rPr>
        <w:t>decentralized</w:t>
      </w:r>
      <w:r>
        <w:rPr>
          <w:spacing w:val="-8"/>
          <w:sz w:val="24"/>
        </w:rPr>
        <w:t> </w:t>
      </w:r>
      <w:r>
        <w:rPr>
          <w:sz w:val="24"/>
        </w:rPr>
        <w:t>credit</w:t>
      </w:r>
      <w:r>
        <w:rPr>
          <w:spacing w:val="-8"/>
          <w:sz w:val="24"/>
        </w:rPr>
        <w:t> </w:t>
      </w:r>
      <w:r>
        <w:rPr>
          <w:sz w:val="24"/>
        </w:rPr>
        <w:t>scoring</w:t>
      </w:r>
      <w:r>
        <w:rPr>
          <w:spacing w:val="-8"/>
          <w:sz w:val="24"/>
        </w:rPr>
        <w:t> </w:t>
      </w:r>
      <w:r>
        <w:rPr>
          <w:sz w:val="24"/>
        </w:rPr>
        <w:t>model.</w:t>
      </w:r>
      <w:r>
        <w:rPr>
          <w:spacing w:val="12"/>
          <w:sz w:val="24"/>
        </w:rPr>
        <w:t> </w:t>
      </w:r>
      <w:r>
        <w:rPr>
          <w:i/>
          <w:sz w:val="24"/>
        </w:rPr>
        <w:t>IEEE</w:t>
      </w:r>
      <w:r>
        <w:rPr>
          <w:i/>
          <w:spacing w:val="-8"/>
          <w:sz w:val="24"/>
        </w:rPr>
        <w:t> </w:t>
      </w:r>
      <w:r>
        <w:rPr>
          <w:i/>
          <w:sz w:val="24"/>
        </w:rPr>
        <w:t>Transactions on Network Science and Engineering</w:t>
      </w:r>
      <w:r>
        <w:rPr>
          <w:sz w:val="24"/>
        </w:rPr>
        <w:t>, </w:t>
      </w:r>
      <w:r>
        <w:rPr>
          <w:i/>
          <w:sz w:val="24"/>
        </w:rPr>
        <w:t>7</w:t>
      </w:r>
      <w:r>
        <w:rPr>
          <w:sz w:val="24"/>
        </w:rPr>
        <w:t>(4), 2566–2575. </w:t>
      </w:r>
      <w:hyperlink r:id="rId44">
        <w:r>
          <w:rPr>
            <w:sz w:val="24"/>
          </w:rPr>
          <w:t>doi:10.1109/TNSE.2020.2982488</w:t>
        </w:r>
      </w:hyperlink>
    </w:p>
    <w:p>
      <w:pPr>
        <w:pStyle w:val="ListParagraph"/>
        <w:numPr>
          <w:ilvl w:val="0"/>
          <w:numId w:val="28"/>
        </w:numPr>
        <w:tabs>
          <w:tab w:pos="692" w:val="left" w:leader="none"/>
        </w:tabs>
        <w:spacing w:line="396" w:lineRule="auto" w:before="265" w:after="0"/>
        <w:ind w:left="692" w:right="530" w:hanging="530"/>
        <w:jc w:val="both"/>
        <w:rPr>
          <w:sz w:val="24"/>
        </w:rPr>
      </w:pPr>
      <w:r>
        <w:rPr>
          <w:i/>
        </w:rPr>
        <w:t>Hassija, V., Bansal, G., Chamola, V., Kumar, N., &amp; Guizani, M. (2020). 안전한 대출: 블록체인 및 전망 이론 기반 분산형 신용 평가 모델. 네트워크 과학 및 엔지니어링에 관한 IEEE 거래, 7(4), 2566-2575. doi:10.1109/TNSE.2020.2982488</w:t>
      </w:r>
    </w:p>
    <w:p>
      <w:pPr>
        <w:pStyle w:val="ListParagraph"/>
        <w:numPr>
          <w:ilvl w:val="0"/>
          <w:numId w:val="28"/>
        </w:numPr>
        <w:tabs>
          <w:tab w:pos="692" w:val="left" w:leader="none"/>
        </w:tabs>
        <w:spacing w:line="396" w:lineRule="auto" w:before="87" w:after="0"/>
        <w:ind w:left="692" w:right="522" w:hanging="530"/>
        <w:jc w:val="both"/>
        <w:rPr>
          <w:sz w:val="24"/>
        </w:rPr>
      </w:pPr>
      <w:bookmarkStart w:name="_bookmark163" w:id="287"/>
      <w:bookmarkEnd w:id="287"/>
      <w:r>
        <w:rPr/>
      </w:r>
      <w:r>
        <w:rPr>
          <w:sz w:val="24"/>
        </w:rPr>
        <w:t>Haveliwala, T. H. (2003).</w:t>
      </w:r>
      <w:r>
        <w:rPr>
          <w:spacing w:val="40"/>
          <w:sz w:val="24"/>
        </w:rPr>
        <w:t> </w:t>
      </w:r>
      <w:r>
        <w:rPr>
          <w:sz w:val="24"/>
        </w:rPr>
        <w:t>Topic-sensitive PageRank: A context-sensitive ranking algorithm for web search.</w:t>
      </w:r>
      <w:r>
        <w:rPr>
          <w:spacing w:val="40"/>
          <w:sz w:val="24"/>
        </w:rPr>
        <w:t> </w:t>
      </w:r>
      <w:r>
        <w:rPr>
          <w:i/>
          <w:sz w:val="24"/>
        </w:rPr>
        <w:t>IEEE Transactions on Knowledge and Data Engineering</w:t>
      </w:r>
      <w:r>
        <w:rPr>
          <w:sz w:val="24"/>
        </w:rPr>
        <w:t>, </w:t>
      </w:r>
      <w:r>
        <w:rPr>
          <w:i/>
          <w:sz w:val="24"/>
        </w:rPr>
        <w:t>15</w:t>
      </w:r>
      <w:r>
        <w:rPr>
          <w:sz w:val="24"/>
        </w:rPr>
        <w:t>(4), 784–796. </w:t>
      </w:r>
      <w:hyperlink r:id="rId45">
        <w:r>
          <w:rPr>
            <w:spacing w:val="-2"/>
            <w:sz w:val="24"/>
          </w:rPr>
          <w:t>doi:10.1109/TKDE.2003.1208999</w:t>
        </w:r>
      </w:hyperlink>
    </w:p>
    <w:p>
      <w:pPr>
        <w:pStyle w:val="ListParagraph"/>
        <w:numPr>
          <w:ilvl w:val="0"/>
          <w:numId w:val="28"/>
        </w:numPr>
        <w:tabs>
          <w:tab w:pos="692" w:val="left" w:leader="none"/>
        </w:tabs>
        <w:spacing w:line="396" w:lineRule="auto" w:before="87" w:after="0"/>
        <w:ind w:left="692" w:right="522" w:hanging="530"/>
        <w:jc w:val="both"/>
        <w:rPr>
          <w:sz w:val="24"/>
        </w:rPr>
      </w:pPr>
      <w:r>
        <w:rPr>
          <w:i/>
        </w:rPr>
        <w:t>Haveliwala, T. H. (2003). 주제별 PageRank: 웹 검색을 위한 상황별 순위 알고리즘입니다. 지식 및 데이터 공학에 관한 IEEE 거래, 15(4), 784-796. doi:10.1109/TKDE.2003.1208999</w:t>
      </w:r>
    </w:p>
    <w:p>
      <w:pPr>
        <w:pStyle w:val="ListParagraph"/>
        <w:spacing w:after="0" w:line="396" w:lineRule="auto"/>
        <w:jc w:val="both"/>
        <w:rPr>
          <w:sz w:val="24"/>
        </w:rPr>
        <w:sectPr>
          <w:pgSz w:w="11910" w:h="16840"/>
          <w:pgMar w:header="0" w:footer="2115" w:top="1840" w:bottom="2300" w:left="992" w:right="708"/>
        </w:sectPr>
      </w:pPr>
    </w:p>
    <w:p>
      <w:pPr>
        <w:pStyle w:val="ListParagraph"/>
        <w:numPr>
          <w:ilvl w:val="0"/>
          <w:numId w:val="28"/>
        </w:numPr>
        <w:tabs>
          <w:tab w:pos="692" w:val="left" w:leader="none"/>
        </w:tabs>
        <w:spacing w:line="396" w:lineRule="auto" w:before="72" w:after="0"/>
        <w:ind w:left="692" w:right="522" w:hanging="530"/>
        <w:jc w:val="both"/>
        <w:rPr>
          <w:sz w:val="24"/>
        </w:rPr>
      </w:pPr>
      <w:bookmarkStart w:name="_bookmark174" w:id="288"/>
      <w:bookmarkEnd w:id="288"/>
      <w:r>
        <w:rPr/>
      </w:r>
      <w:r>
        <w:rPr>
          <w:sz w:val="24"/>
        </w:rPr>
        <w:t>Healy,</w:t>
      </w:r>
      <w:r>
        <w:rPr>
          <w:spacing w:val="73"/>
          <w:sz w:val="24"/>
        </w:rPr>
        <w:t> </w:t>
      </w:r>
      <w:r>
        <w:rPr>
          <w:sz w:val="24"/>
        </w:rPr>
        <w:t>P.</w:t>
      </w:r>
      <w:r>
        <w:rPr>
          <w:spacing w:val="40"/>
          <w:sz w:val="24"/>
        </w:rPr>
        <w:t> </w:t>
      </w:r>
      <w:r>
        <w:rPr>
          <w:sz w:val="24"/>
        </w:rPr>
        <w:t>M.,</w:t>
      </w:r>
      <w:r>
        <w:rPr>
          <w:spacing w:val="73"/>
          <w:sz w:val="24"/>
        </w:rPr>
        <w:t> </w:t>
      </w:r>
      <w:r>
        <w:rPr>
          <w:sz w:val="24"/>
        </w:rPr>
        <w:t>&amp;</w:t>
      </w:r>
      <w:r>
        <w:rPr>
          <w:spacing w:val="40"/>
          <w:sz w:val="24"/>
        </w:rPr>
        <w:t> </w:t>
      </w:r>
      <w:r>
        <w:rPr>
          <w:sz w:val="24"/>
        </w:rPr>
        <w:t>Wahlen,</w:t>
      </w:r>
      <w:r>
        <w:rPr>
          <w:spacing w:val="73"/>
          <w:sz w:val="24"/>
        </w:rPr>
        <w:t> </w:t>
      </w:r>
      <w:r>
        <w:rPr>
          <w:sz w:val="24"/>
        </w:rPr>
        <w:t>J.</w:t>
      </w:r>
      <w:r>
        <w:rPr>
          <w:spacing w:val="40"/>
          <w:sz w:val="24"/>
        </w:rPr>
        <w:t> </w:t>
      </w:r>
      <w:r>
        <w:rPr>
          <w:sz w:val="24"/>
        </w:rPr>
        <w:t>M.</w:t>
      </w:r>
      <w:r>
        <w:rPr>
          <w:spacing w:val="40"/>
          <w:sz w:val="24"/>
        </w:rPr>
        <w:t> </w:t>
      </w:r>
      <w:r>
        <w:rPr>
          <w:sz w:val="24"/>
        </w:rPr>
        <w:t>(1999).</w:t>
      </w:r>
      <w:r>
        <w:rPr>
          <w:spacing w:val="71"/>
          <w:sz w:val="24"/>
        </w:rPr>
        <w:t>  </w:t>
      </w:r>
      <w:r>
        <w:rPr>
          <w:sz w:val="24"/>
        </w:rPr>
        <w:t>A</w:t>
      </w:r>
      <w:r>
        <w:rPr>
          <w:spacing w:val="40"/>
          <w:sz w:val="24"/>
        </w:rPr>
        <w:t> </w:t>
      </w:r>
      <w:r>
        <w:rPr>
          <w:sz w:val="24"/>
        </w:rPr>
        <w:t>review</w:t>
      </w:r>
      <w:r>
        <w:rPr>
          <w:spacing w:val="40"/>
          <w:sz w:val="24"/>
        </w:rPr>
        <w:t> </w:t>
      </w:r>
      <w:r>
        <w:rPr>
          <w:sz w:val="24"/>
        </w:rPr>
        <w:t>of</w:t>
      </w:r>
      <w:r>
        <w:rPr>
          <w:spacing w:val="40"/>
          <w:sz w:val="24"/>
        </w:rPr>
        <w:t> </w:t>
      </w:r>
      <w:r>
        <w:rPr>
          <w:sz w:val="24"/>
        </w:rPr>
        <w:t>the</w:t>
      </w:r>
      <w:r>
        <w:rPr>
          <w:spacing w:val="40"/>
          <w:sz w:val="24"/>
        </w:rPr>
        <w:t> </w:t>
      </w:r>
      <w:r>
        <w:rPr>
          <w:sz w:val="24"/>
        </w:rPr>
        <w:t>earnings</w:t>
      </w:r>
      <w:r>
        <w:rPr>
          <w:spacing w:val="40"/>
          <w:sz w:val="24"/>
        </w:rPr>
        <w:t> </w:t>
      </w:r>
      <w:r>
        <w:rPr>
          <w:sz w:val="24"/>
        </w:rPr>
        <w:t>management</w:t>
      </w:r>
      <w:r>
        <w:rPr>
          <w:spacing w:val="40"/>
          <w:sz w:val="24"/>
        </w:rPr>
        <w:t> </w:t>
      </w:r>
      <w:r>
        <w:rPr>
          <w:sz w:val="24"/>
        </w:rPr>
        <w:t>liter-ature and its implications for standard setting.</w:t>
      </w:r>
      <w:r>
        <w:rPr>
          <w:spacing w:val="40"/>
          <w:sz w:val="24"/>
        </w:rPr>
        <w:t> </w:t>
      </w:r>
      <w:r>
        <w:rPr>
          <w:i/>
          <w:sz w:val="24"/>
        </w:rPr>
        <w:t>Accounting Horizons</w:t>
      </w:r>
      <w:r>
        <w:rPr>
          <w:sz w:val="24"/>
        </w:rPr>
        <w:t>, </w:t>
      </w:r>
      <w:r>
        <w:rPr>
          <w:i/>
          <w:sz w:val="24"/>
        </w:rPr>
        <w:t>13</w:t>
      </w:r>
      <w:r>
        <w:rPr>
          <w:sz w:val="24"/>
        </w:rPr>
        <w:t>(4), 365–383. </w:t>
      </w:r>
      <w:hyperlink r:id="rId46">
        <w:r>
          <w:rPr>
            <w:spacing w:val="-2"/>
            <w:sz w:val="24"/>
          </w:rPr>
          <w:t>doi:10.2308/acch.1999.13.4.365</w:t>
        </w:r>
      </w:hyperlink>
    </w:p>
    <w:p>
      <w:pPr>
        <w:pStyle w:val="ListParagraph"/>
        <w:numPr>
          <w:ilvl w:val="0"/>
          <w:numId w:val="28"/>
        </w:numPr>
        <w:tabs>
          <w:tab w:pos="692" w:val="left" w:leader="none"/>
        </w:tabs>
        <w:spacing w:line="396" w:lineRule="auto" w:before="72" w:after="0"/>
        <w:ind w:left="692" w:right="522" w:hanging="530"/>
        <w:jc w:val="both"/>
        <w:rPr>
          <w:sz w:val="24"/>
        </w:rPr>
      </w:pPr>
      <w:r>
        <w:rPr>
          <w:i/>
        </w:rPr>
        <w:t>Healy, P.M., &amp; Wahlen, J.M.(1999).  수익 관리 문헌과 표준 설정에 대한 의미를 검토합니다. 회계 지평, 13(4), 365-383. doi:10.2308/acch.1999.13.4.365</w:t>
      </w:r>
    </w:p>
    <w:p>
      <w:pPr>
        <w:pStyle w:val="ListParagraph"/>
        <w:numPr>
          <w:ilvl w:val="0"/>
          <w:numId w:val="28"/>
        </w:numPr>
        <w:tabs>
          <w:tab w:pos="692" w:val="left" w:leader="none"/>
        </w:tabs>
        <w:spacing w:line="396" w:lineRule="auto" w:before="87" w:after="0"/>
        <w:ind w:left="692" w:right="524" w:hanging="530"/>
        <w:jc w:val="both"/>
        <w:rPr>
          <w:sz w:val="24"/>
        </w:rPr>
      </w:pPr>
      <w:bookmarkStart w:name="_bookmark165" w:id="289"/>
      <w:bookmarkEnd w:id="289"/>
      <w:r>
        <w:rPr/>
      </w:r>
      <w:r>
        <w:rPr>
          <w:spacing w:val="-2"/>
          <w:sz w:val="24"/>
        </w:rPr>
        <w:t>Jeh,</w:t>
      </w:r>
      <w:r>
        <w:rPr>
          <w:spacing w:val="-13"/>
          <w:sz w:val="24"/>
        </w:rPr>
        <w:t> </w:t>
      </w:r>
      <w:r>
        <w:rPr>
          <w:spacing w:val="-2"/>
          <w:sz w:val="24"/>
        </w:rPr>
        <w:t>G.,</w:t>
      </w:r>
      <w:r>
        <w:rPr>
          <w:spacing w:val="-13"/>
          <w:sz w:val="24"/>
        </w:rPr>
        <w:t> </w:t>
      </w:r>
      <w:r>
        <w:rPr>
          <w:spacing w:val="-2"/>
          <w:sz w:val="24"/>
        </w:rPr>
        <w:t>&amp;</w:t>
      </w:r>
      <w:r>
        <w:rPr>
          <w:spacing w:val="-13"/>
          <w:sz w:val="24"/>
        </w:rPr>
        <w:t> </w:t>
      </w:r>
      <w:r>
        <w:rPr>
          <w:spacing w:val="-2"/>
          <w:sz w:val="24"/>
        </w:rPr>
        <w:t>Widom,</w:t>
      </w:r>
      <w:r>
        <w:rPr>
          <w:spacing w:val="-13"/>
          <w:sz w:val="24"/>
        </w:rPr>
        <w:t> </w:t>
      </w:r>
      <w:r>
        <w:rPr>
          <w:spacing w:val="-2"/>
          <w:sz w:val="24"/>
        </w:rPr>
        <w:t>J.</w:t>
      </w:r>
      <w:r>
        <w:rPr>
          <w:spacing w:val="-13"/>
          <w:sz w:val="24"/>
        </w:rPr>
        <w:t> </w:t>
      </w:r>
      <w:r>
        <w:rPr>
          <w:spacing w:val="-2"/>
          <w:sz w:val="24"/>
        </w:rPr>
        <w:t>(2003).</w:t>
      </w:r>
      <w:r>
        <w:rPr>
          <w:spacing w:val="9"/>
          <w:sz w:val="24"/>
        </w:rPr>
        <w:t> </w:t>
      </w:r>
      <w:r>
        <w:rPr>
          <w:spacing w:val="-2"/>
          <w:sz w:val="24"/>
        </w:rPr>
        <w:t>Scaling</w:t>
      </w:r>
      <w:r>
        <w:rPr>
          <w:spacing w:val="-13"/>
          <w:sz w:val="24"/>
        </w:rPr>
        <w:t> </w:t>
      </w:r>
      <w:r>
        <w:rPr>
          <w:spacing w:val="-2"/>
          <w:sz w:val="24"/>
        </w:rPr>
        <w:t>personalized</w:t>
      </w:r>
      <w:r>
        <w:rPr>
          <w:spacing w:val="-13"/>
          <w:sz w:val="24"/>
        </w:rPr>
        <w:t> </w:t>
      </w:r>
      <w:r>
        <w:rPr>
          <w:spacing w:val="-2"/>
          <w:sz w:val="24"/>
        </w:rPr>
        <w:t>web</w:t>
      </w:r>
      <w:r>
        <w:rPr>
          <w:spacing w:val="-13"/>
          <w:sz w:val="24"/>
        </w:rPr>
        <w:t> </w:t>
      </w:r>
      <w:r>
        <w:rPr>
          <w:spacing w:val="-2"/>
          <w:sz w:val="24"/>
        </w:rPr>
        <w:t>search.</w:t>
      </w:r>
      <w:r>
        <w:rPr>
          <w:spacing w:val="22"/>
          <w:sz w:val="24"/>
        </w:rPr>
        <w:t> </w:t>
      </w:r>
      <w:r>
        <w:rPr>
          <w:spacing w:val="-2"/>
          <w:sz w:val="24"/>
        </w:rPr>
        <w:t>In</w:t>
      </w:r>
      <w:r>
        <w:rPr>
          <w:spacing w:val="-13"/>
          <w:sz w:val="24"/>
        </w:rPr>
        <w:t> </w:t>
      </w:r>
      <w:r>
        <w:rPr>
          <w:i/>
          <w:spacing w:val="-2"/>
          <w:sz w:val="24"/>
        </w:rPr>
        <w:t>Proceedings</w:t>
      </w:r>
      <w:r>
        <w:rPr>
          <w:i/>
          <w:spacing w:val="-13"/>
          <w:sz w:val="24"/>
        </w:rPr>
        <w:t> </w:t>
      </w:r>
      <w:r>
        <w:rPr>
          <w:i/>
          <w:spacing w:val="-2"/>
          <w:sz w:val="24"/>
        </w:rPr>
        <w:t>of</w:t>
      </w:r>
      <w:r>
        <w:rPr>
          <w:i/>
          <w:spacing w:val="-13"/>
          <w:sz w:val="24"/>
        </w:rPr>
        <w:t> </w:t>
      </w:r>
      <w:r>
        <w:rPr>
          <w:i/>
          <w:spacing w:val="-2"/>
          <w:sz w:val="24"/>
        </w:rPr>
        <w:t>the</w:t>
      </w:r>
      <w:r>
        <w:rPr>
          <w:i/>
          <w:spacing w:val="-13"/>
          <w:sz w:val="24"/>
        </w:rPr>
        <w:t> </w:t>
      </w:r>
      <w:r>
        <w:rPr>
          <w:i/>
          <w:spacing w:val="-2"/>
          <w:sz w:val="24"/>
        </w:rPr>
        <w:t>12th</w:t>
      </w:r>
      <w:r>
        <w:rPr>
          <w:i/>
          <w:spacing w:val="-13"/>
          <w:sz w:val="24"/>
        </w:rPr>
        <w:t> </w:t>
      </w:r>
      <w:r>
        <w:rPr>
          <w:i/>
          <w:spacing w:val="-2"/>
          <w:sz w:val="24"/>
        </w:rPr>
        <w:t>Inter-</w:t>
      </w:r>
      <w:r>
        <w:rPr>
          <w:i/>
          <w:sz w:val="24"/>
        </w:rPr>
        <w:t>national Conference on World Wide Web </w:t>
      </w:r>
      <w:r>
        <w:rPr>
          <w:sz w:val="24"/>
        </w:rPr>
        <w:t>(pp. 271–279). ACM. </w:t>
      </w:r>
      <w:hyperlink r:id="rId47">
        <w:r>
          <w:rPr>
            <w:sz w:val="24"/>
          </w:rPr>
          <w:t>doi:10.1145/775152.775191</w:t>
        </w:r>
      </w:hyperlink>
    </w:p>
    <w:p>
      <w:pPr>
        <w:pStyle w:val="ListParagraph"/>
        <w:numPr>
          <w:ilvl w:val="0"/>
          <w:numId w:val="28"/>
        </w:numPr>
        <w:tabs>
          <w:tab w:pos="692" w:val="left" w:leader="none"/>
        </w:tabs>
        <w:spacing w:line="396" w:lineRule="auto" w:before="87" w:after="0"/>
        <w:ind w:left="692" w:right="524" w:hanging="530"/>
        <w:jc w:val="both"/>
        <w:rPr>
          <w:sz w:val="24"/>
        </w:rPr>
      </w:pPr>
      <w:r>
        <w:rPr>
          <w:i/>
        </w:rPr>
        <w:t>Jeh, G., &amp; Widom, J. (2003). 개인화된 웹 검색을 확장합니다. 제12차 월드와이드웹 국제회의 간행물(pp. 271–279). ACM. 도이:10.1145/775152.775191</w:t>
      </w:r>
    </w:p>
    <w:p>
      <w:pPr>
        <w:pStyle w:val="ListParagraph"/>
        <w:numPr>
          <w:ilvl w:val="0"/>
          <w:numId w:val="28"/>
        </w:numPr>
        <w:tabs>
          <w:tab w:pos="692" w:val="left" w:leader="none"/>
        </w:tabs>
        <w:spacing w:line="396" w:lineRule="auto" w:before="86" w:after="0"/>
        <w:ind w:left="692" w:right="563" w:hanging="530"/>
        <w:jc w:val="both"/>
        <w:rPr>
          <w:sz w:val="24"/>
        </w:rPr>
      </w:pPr>
      <w:bookmarkStart w:name="_bookmark166" w:id="290"/>
      <w:bookmarkEnd w:id="290"/>
      <w:r>
        <w:rPr/>
      </w:r>
      <w:r>
        <w:rPr>
          <w:sz w:val="24"/>
        </w:rPr>
        <w:t>John, K., O’Hara, M., &amp; Saleh, F. (2023).</w:t>
      </w:r>
      <w:r>
        <w:rPr>
          <w:spacing w:val="40"/>
          <w:sz w:val="24"/>
        </w:rPr>
        <w:t> </w:t>
      </w:r>
      <w:r>
        <w:rPr>
          <w:sz w:val="24"/>
        </w:rPr>
        <w:t>Bitcoin and beyond.</w:t>
      </w:r>
      <w:r>
        <w:rPr>
          <w:spacing w:val="40"/>
          <w:sz w:val="24"/>
        </w:rPr>
        <w:t> </w:t>
      </w:r>
      <w:r>
        <w:rPr>
          <w:i/>
          <w:sz w:val="24"/>
        </w:rPr>
        <w:t>Annual Review of Financial Economics</w:t>
      </w:r>
      <w:r>
        <w:rPr>
          <w:sz w:val="24"/>
        </w:rPr>
        <w:t>, </w:t>
      </w:r>
      <w:r>
        <w:rPr>
          <w:i/>
          <w:sz w:val="24"/>
        </w:rPr>
        <w:t>15</w:t>
      </w:r>
      <w:r>
        <w:rPr>
          <w:sz w:val="24"/>
        </w:rPr>
        <w:t>, 95–120.</w:t>
      </w:r>
    </w:p>
    <w:p>
      <w:pPr>
        <w:pStyle w:val="ListParagraph"/>
        <w:numPr>
          <w:ilvl w:val="0"/>
          <w:numId w:val="28"/>
        </w:numPr>
        <w:tabs>
          <w:tab w:pos="692" w:val="left" w:leader="none"/>
        </w:tabs>
        <w:spacing w:line="396" w:lineRule="auto" w:before="86" w:after="0"/>
        <w:ind w:left="692" w:right="563" w:hanging="530"/>
        <w:jc w:val="both"/>
        <w:rPr>
          <w:sz w:val="24"/>
        </w:rPr>
      </w:pPr>
      <w:r>
        <w:rPr>
          <w:i/>
        </w:rPr>
        <w:t>존, K., 오하라, M., &amp; 살레, F.(2023). 비트코인과 그 이상. 금융 경제학의 연례 검토, 15, 95-120.</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67" w:id="291"/>
      <w:bookmarkEnd w:id="291"/>
      <w:r>
        <w:rPr/>
      </w:r>
      <w:r>
        <w:rPr>
          <w:sz w:val="24"/>
        </w:rPr>
        <w:t>Kalodner, H., Goldfeder, S., Chen, X., Weinberg, S. M., &amp; Felten, E. W. (2018).</w:t>
      </w:r>
      <w:r>
        <w:rPr>
          <w:spacing w:val="40"/>
          <w:sz w:val="24"/>
        </w:rPr>
        <w:t> </w:t>
      </w:r>
      <w:r>
        <w:rPr>
          <w:sz w:val="24"/>
        </w:rPr>
        <w:t>Arbitrum: Scalable, private smart contracts.</w:t>
      </w:r>
      <w:r>
        <w:rPr>
          <w:spacing w:val="40"/>
          <w:sz w:val="24"/>
        </w:rPr>
        <w:t> </w:t>
      </w:r>
      <w:r>
        <w:rPr>
          <w:sz w:val="24"/>
        </w:rPr>
        <w:t>In </w:t>
      </w:r>
      <w:r>
        <w:rPr>
          <w:i/>
          <w:sz w:val="24"/>
        </w:rPr>
        <w:t>27th USENIX Security Symposium </w:t>
      </w:r>
      <w:r>
        <w:rPr>
          <w:sz w:val="24"/>
        </w:rPr>
        <w:t>(pp.</w:t>
      </w:r>
      <w:r>
        <w:rPr>
          <w:spacing w:val="40"/>
          <w:sz w:val="24"/>
        </w:rPr>
        <w:t> </w:t>
      </w:r>
      <w:r>
        <w:rPr>
          <w:sz w:val="24"/>
        </w:rPr>
        <w:t>1353–1370). USENIX Association.</w:t>
      </w:r>
    </w:p>
    <w:p>
      <w:pPr>
        <w:pStyle w:val="ListParagraph"/>
        <w:numPr>
          <w:ilvl w:val="0"/>
          <w:numId w:val="28"/>
        </w:numPr>
        <w:tabs>
          <w:tab w:pos="692" w:val="left" w:leader="none"/>
        </w:tabs>
        <w:spacing w:line="396" w:lineRule="auto" w:before="86" w:after="0"/>
        <w:ind w:left="692" w:right="522" w:hanging="530"/>
        <w:jc w:val="both"/>
        <w:rPr>
          <w:sz w:val="24"/>
        </w:rPr>
      </w:pPr>
      <w:r>
        <w:rPr>
          <w:i/>
        </w:rPr>
        <w:t>Kalodner, H., Goldfeder, S., Chen, X., Weinberg, S. M., &amp; Felten, E. W. (2018). Arbitrum: 확장 가능한 개인 스마트 계약. 제27회 USENIX 보안 심포지엄(pp. 1353–1370). USENIX 협회.</w:t>
      </w:r>
    </w:p>
    <w:p>
      <w:pPr>
        <w:pStyle w:val="ListParagraph"/>
        <w:numPr>
          <w:ilvl w:val="0"/>
          <w:numId w:val="28"/>
        </w:numPr>
        <w:tabs>
          <w:tab w:pos="692" w:val="left" w:leader="none"/>
        </w:tabs>
        <w:spacing w:line="396" w:lineRule="auto" w:before="87" w:after="0"/>
        <w:ind w:left="692" w:right="559" w:hanging="530"/>
        <w:jc w:val="both"/>
        <w:rPr>
          <w:sz w:val="24"/>
        </w:rPr>
      </w:pPr>
      <w:bookmarkStart w:name="_bookmark168" w:id="292"/>
      <w:bookmarkEnd w:id="292"/>
      <w:r>
        <w:rPr/>
      </w:r>
      <w:r>
        <w:rPr>
          <w:sz w:val="24"/>
        </w:rPr>
        <w:t>Kamvar, S. D., Schlosser, M. T., &amp; Garcia-Molina, H. (2003).</w:t>
      </w:r>
      <w:r>
        <w:rPr>
          <w:spacing w:val="34"/>
          <w:sz w:val="24"/>
        </w:rPr>
        <w:t> </w:t>
      </w:r>
      <w:r>
        <w:rPr>
          <w:sz w:val="24"/>
        </w:rPr>
        <w:t>The EigenTrust algorithm for reputation</w:t>
      </w:r>
      <w:r>
        <w:rPr>
          <w:spacing w:val="-15"/>
          <w:sz w:val="24"/>
        </w:rPr>
        <w:t> </w:t>
      </w:r>
      <w:r>
        <w:rPr>
          <w:sz w:val="24"/>
        </w:rPr>
        <w:t>management</w:t>
      </w:r>
      <w:r>
        <w:rPr>
          <w:spacing w:val="-15"/>
          <w:sz w:val="24"/>
        </w:rPr>
        <w:t> </w:t>
      </w:r>
      <w:r>
        <w:rPr>
          <w:sz w:val="24"/>
        </w:rPr>
        <w:t>in</w:t>
      </w:r>
      <w:r>
        <w:rPr>
          <w:spacing w:val="-15"/>
          <w:sz w:val="24"/>
        </w:rPr>
        <w:t> </w:t>
      </w:r>
      <w:r>
        <w:rPr>
          <w:sz w:val="24"/>
        </w:rPr>
        <w:t>P2P</w:t>
      </w:r>
      <w:r>
        <w:rPr>
          <w:spacing w:val="-15"/>
          <w:sz w:val="24"/>
        </w:rPr>
        <w:t> </w:t>
      </w:r>
      <w:r>
        <w:rPr>
          <w:sz w:val="24"/>
        </w:rPr>
        <w:t>networks.</w:t>
      </w:r>
      <w:r>
        <w:rPr>
          <w:spacing w:val="8"/>
          <w:sz w:val="24"/>
        </w:rPr>
        <w:t> </w:t>
      </w:r>
      <w:r>
        <w:rPr>
          <w:sz w:val="24"/>
        </w:rPr>
        <w:t>In</w:t>
      </w:r>
      <w:r>
        <w:rPr>
          <w:spacing w:val="-15"/>
          <w:sz w:val="24"/>
        </w:rPr>
        <w:t> </w:t>
      </w:r>
      <w:r>
        <w:rPr>
          <w:i/>
          <w:sz w:val="24"/>
        </w:rPr>
        <w:t>Proceedings</w:t>
      </w:r>
      <w:r>
        <w:rPr>
          <w:i/>
          <w:spacing w:val="-15"/>
          <w:sz w:val="24"/>
        </w:rPr>
        <w:t> </w:t>
      </w:r>
      <w:r>
        <w:rPr>
          <w:i/>
          <w:sz w:val="24"/>
        </w:rPr>
        <w:t>of</w:t>
      </w:r>
      <w:r>
        <w:rPr>
          <w:i/>
          <w:spacing w:val="-15"/>
          <w:sz w:val="24"/>
        </w:rPr>
        <w:t> </w:t>
      </w:r>
      <w:r>
        <w:rPr>
          <w:i/>
          <w:sz w:val="24"/>
        </w:rPr>
        <w:t>the</w:t>
      </w:r>
      <w:r>
        <w:rPr>
          <w:i/>
          <w:spacing w:val="-15"/>
          <w:sz w:val="24"/>
        </w:rPr>
        <w:t> </w:t>
      </w:r>
      <w:r>
        <w:rPr>
          <w:i/>
          <w:sz w:val="24"/>
        </w:rPr>
        <w:t>12th</w:t>
      </w:r>
      <w:r>
        <w:rPr>
          <w:i/>
          <w:spacing w:val="-15"/>
          <w:sz w:val="24"/>
        </w:rPr>
        <w:t> </w:t>
      </w:r>
      <w:r>
        <w:rPr>
          <w:i/>
          <w:sz w:val="24"/>
        </w:rPr>
        <w:t>International</w:t>
      </w:r>
      <w:r>
        <w:rPr>
          <w:i/>
          <w:spacing w:val="-15"/>
          <w:sz w:val="24"/>
        </w:rPr>
        <w:t> </w:t>
      </w:r>
      <w:r>
        <w:rPr>
          <w:i/>
          <w:sz w:val="24"/>
        </w:rPr>
        <w:t>Conference on World Wide Web </w:t>
      </w:r>
      <w:r>
        <w:rPr>
          <w:sz w:val="24"/>
        </w:rPr>
        <w:t>(pp. 640–651). ACM. </w:t>
      </w:r>
      <w:hyperlink r:id="rId48">
        <w:r>
          <w:rPr>
            <w:sz w:val="24"/>
          </w:rPr>
          <w:t>doi:10.1145/775152.775242</w:t>
        </w:r>
      </w:hyperlink>
    </w:p>
    <w:p>
      <w:pPr>
        <w:pStyle w:val="ListParagraph"/>
        <w:numPr>
          <w:ilvl w:val="0"/>
          <w:numId w:val="28"/>
        </w:numPr>
        <w:tabs>
          <w:tab w:pos="692" w:val="left" w:leader="none"/>
        </w:tabs>
        <w:spacing w:line="396" w:lineRule="auto" w:before="87" w:after="0"/>
        <w:ind w:left="692" w:right="559" w:hanging="530"/>
        <w:jc w:val="both"/>
        <w:rPr>
          <w:sz w:val="24"/>
        </w:rPr>
      </w:pPr>
      <w:r>
        <w:rPr>
          <w:i/>
        </w:rPr>
        <w:t>Kamvar, S.D., Schlosser, M.T., &amp; Garcia-Molina, H. (2003). P2P 네트워크의 평판 관리를 위한 EigenTrust 알고리즘. 제12차 월드와이드웹 국제회의 간행물(pp. 640-651). ACM. 도이:10.1145/775152.775242</w:t>
      </w:r>
    </w:p>
    <w:p>
      <w:pPr>
        <w:pStyle w:val="ListParagraph"/>
        <w:numPr>
          <w:ilvl w:val="0"/>
          <w:numId w:val="28"/>
        </w:numPr>
        <w:tabs>
          <w:tab w:pos="692" w:val="left" w:leader="none"/>
        </w:tabs>
        <w:spacing w:line="396" w:lineRule="auto" w:before="87" w:after="0"/>
        <w:ind w:left="692" w:right="522" w:hanging="530"/>
        <w:jc w:val="both"/>
        <w:rPr>
          <w:sz w:val="24"/>
        </w:rPr>
      </w:pPr>
      <w:bookmarkStart w:name="_bookmark169" w:id="293"/>
      <w:bookmarkEnd w:id="293"/>
      <w:r>
        <w:rPr/>
      </w:r>
      <w:r>
        <w:rPr>
          <w:sz w:val="24"/>
        </w:rPr>
        <w:t>Kendall, M. G. (1938).</w:t>
      </w:r>
      <w:r>
        <w:rPr>
          <w:spacing w:val="40"/>
          <w:sz w:val="24"/>
        </w:rPr>
        <w:t> </w:t>
      </w:r>
      <w:r>
        <w:rPr>
          <w:sz w:val="24"/>
        </w:rPr>
        <w:t>A new measure of rank correlation.</w:t>
      </w:r>
      <w:r>
        <w:rPr>
          <w:spacing w:val="40"/>
          <w:sz w:val="24"/>
        </w:rPr>
        <w:t> </w:t>
      </w:r>
      <w:r>
        <w:rPr>
          <w:i/>
          <w:sz w:val="24"/>
        </w:rPr>
        <w:t>Biometrika</w:t>
      </w:r>
      <w:r>
        <w:rPr>
          <w:sz w:val="24"/>
        </w:rPr>
        <w:t>, </w:t>
      </w:r>
      <w:r>
        <w:rPr>
          <w:i/>
          <w:sz w:val="24"/>
        </w:rPr>
        <w:t>30</w:t>
      </w:r>
      <w:r>
        <w:rPr>
          <w:sz w:val="24"/>
        </w:rPr>
        <w:t>(1/2), 81–93. </w:t>
      </w:r>
      <w:hyperlink r:id="rId49">
        <w:r>
          <w:rPr>
            <w:spacing w:val="-2"/>
            <w:sz w:val="24"/>
          </w:rPr>
          <w:t>doi:10.2307/2332226</w:t>
        </w:r>
      </w:hyperlink>
    </w:p>
    <w:p>
      <w:pPr>
        <w:pStyle w:val="ListParagraph"/>
        <w:numPr>
          <w:ilvl w:val="0"/>
          <w:numId w:val="28"/>
        </w:numPr>
        <w:tabs>
          <w:tab w:pos="692" w:val="left" w:leader="none"/>
        </w:tabs>
        <w:spacing w:line="396" w:lineRule="auto" w:before="87" w:after="0"/>
        <w:ind w:left="692" w:right="522" w:hanging="530"/>
        <w:jc w:val="both"/>
        <w:rPr>
          <w:sz w:val="24"/>
        </w:rPr>
      </w:pPr>
      <w:r>
        <w:rPr>
          <w:i/>
        </w:rPr>
        <w:t>Kendall, M.G.(1938). 순위 상관관계에 대한 새로운 척도입니다. 생체측정학, 30(1/2), 81–93. 도이:10.2307/2332226</w:t>
      </w:r>
    </w:p>
    <w:p>
      <w:pPr>
        <w:pStyle w:val="ListParagraph"/>
        <w:numPr>
          <w:ilvl w:val="0"/>
          <w:numId w:val="28"/>
        </w:numPr>
        <w:tabs>
          <w:tab w:pos="685" w:val="left" w:leader="none"/>
          <w:tab w:pos="691" w:val="left" w:leader="none"/>
        </w:tabs>
        <w:spacing w:line="396" w:lineRule="auto" w:before="86" w:after="0"/>
        <w:ind w:left="685" w:right="531" w:hanging="523"/>
        <w:jc w:val="both"/>
        <w:rPr>
          <w:sz w:val="24"/>
        </w:rPr>
      </w:pPr>
      <w:bookmarkStart w:name="_bookmark170" w:id="294"/>
      <w:bookmarkEnd w:id="294"/>
      <w:r>
        <w:rPr/>
      </w:r>
      <w:r>
        <w:rPr>
          <w:sz w:val="24"/>
        </w:rPr>
        <w:tab/>
        <w:t>Klages-Mundt, A., Harz, D., Gudgeon, L., Liu, J.-Y., &amp; Minca, A. (2020).</w:t>
      </w:r>
      <w:r>
        <w:rPr>
          <w:spacing w:val="40"/>
          <w:sz w:val="24"/>
        </w:rPr>
        <w:t> </w:t>
      </w:r>
      <w:r>
        <w:rPr>
          <w:sz w:val="24"/>
        </w:rPr>
        <w:t>Stablecoins 2.0: Economic</w:t>
      </w:r>
      <w:r>
        <w:rPr>
          <w:spacing w:val="-6"/>
          <w:sz w:val="24"/>
        </w:rPr>
        <w:t> </w:t>
      </w:r>
      <w:r>
        <w:rPr>
          <w:sz w:val="24"/>
        </w:rPr>
        <w:t>foundations</w:t>
      </w:r>
      <w:r>
        <w:rPr>
          <w:spacing w:val="-6"/>
          <w:sz w:val="24"/>
        </w:rPr>
        <w:t> </w:t>
      </w:r>
      <w:r>
        <w:rPr>
          <w:sz w:val="24"/>
        </w:rPr>
        <w:t>and</w:t>
      </w:r>
      <w:r>
        <w:rPr>
          <w:spacing w:val="-6"/>
          <w:sz w:val="24"/>
        </w:rPr>
        <w:t> </w:t>
      </w:r>
      <w:r>
        <w:rPr>
          <w:sz w:val="24"/>
        </w:rPr>
        <w:t>risk-based</w:t>
      </w:r>
      <w:r>
        <w:rPr>
          <w:spacing w:val="-6"/>
          <w:sz w:val="24"/>
        </w:rPr>
        <w:t> </w:t>
      </w:r>
      <w:r>
        <w:rPr>
          <w:sz w:val="24"/>
        </w:rPr>
        <w:t>models. In</w:t>
      </w:r>
      <w:r>
        <w:rPr>
          <w:spacing w:val="-6"/>
          <w:sz w:val="24"/>
        </w:rPr>
        <w:t> </w:t>
      </w:r>
      <w:r>
        <w:rPr>
          <w:i/>
          <w:sz w:val="24"/>
        </w:rPr>
        <w:t>Proceedings</w:t>
      </w:r>
      <w:r>
        <w:rPr>
          <w:i/>
          <w:spacing w:val="-6"/>
          <w:sz w:val="24"/>
        </w:rPr>
        <w:t> </w:t>
      </w:r>
      <w:r>
        <w:rPr>
          <w:i/>
          <w:sz w:val="24"/>
        </w:rPr>
        <w:t>of</w:t>
      </w:r>
      <w:r>
        <w:rPr>
          <w:i/>
          <w:spacing w:val="-6"/>
          <w:sz w:val="24"/>
        </w:rPr>
        <w:t> </w:t>
      </w:r>
      <w:r>
        <w:rPr>
          <w:i/>
          <w:sz w:val="24"/>
        </w:rPr>
        <w:t>the</w:t>
      </w:r>
      <w:r>
        <w:rPr>
          <w:i/>
          <w:spacing w:val="-6"/>
          <w:sz w:val="24"/>
        </w:rPr>
        <w:t> </w:t>
      </w:r>
      <w:r>
        <w:rPr>
          <w:i/>
          <w:sz w:val="24"/>
        </w:rPr>
        <w:t>2nd</w:t>
      </w:r>
      <w:r>
        <w:rPr>
          <w:i/>
          <w:spacing w:val="-6"/>
          <w:sz w:val="24"/>
        </w:rPr>
        <w:t> </w:t>
      </w:r>
      <w:r>
        <w:rPr>
          <w:i/>
          <w:sz w:val="24"/>
        </w:rPr>
        <w:t>ACM</w:t>
      </w:r>
      <w:r>
        <w:rPr>
          <w:i/>
          <w:spacing w:val="-6"/>
          <w:sz w:val="24"/>
        </w:rPr>
        <w:t> </w:t>
      </w:r>
      <w:r>
        <w:rPr>
          <w:i/>
          <w:sz w:val="24"/>
        </w:rPr>
        <w:t>Conference</w:t>
      </w:r>
      <w:r>
        <w:rPr>
          <w:i/>
          <w:spacing w:val="-6"/>
          <w:sz w:val="24"/>
        </w:rPr>
        <w:t> </w:t>
      </w:r>
      <w:r>
        <w:rPr>
          <w:i/>
          <w:sz w:val="24"/>
        </w:rPr>
        <w:t>on Advances in Financial Technologies </w:t>
      </w:r>
      <w:r>
        <w:rPr>
          <w:sz w:val="24"/>
        </w:rPr>
        <w:t>(pp. 59–79). ACM.</w:t>
      </w:r>
    </w:p>
    <w:p>
      <w:pPr>
        <w:pStyle w:val="ListParagraph"/>
        <w:numPr>
          <w:ilvl w:val="0"/>
          <w:numId w:val="28"/>
        </w:numPr>
        <w:tabs>
          <w:tab w:pos="685" w:val="left" w:leader="none"/>
          <w:tab w:pos="691" w:val="left" w:leader="none"/>
        </w:tabs>
        <w:spacing w:line="396" w:lineRule="auto" w:before="86" w:after="0"/>
        <w:ind w:left="685" w:right="531" w:hanging="523"/>
        <w:jc w:val="both"/>
        <w:rPr>
          <w:sz w:val="24"/>
        </w:rPr>
      </w:pPr>
      <w:r>
        <w:rPr>
          <w:i/>
        </w:rPr>
        <w:tab/>
        <w:t>Klages-Mundt, A., Harz, D., Gudgeon, L., Liu, J.-Y., &amp; Minca, A. (2020). Stablecoins 2.0: 경제 기반 및 위험 기반 모델. 금융 기술 발전에 관한 제2차 ACM 회의 진행 중(pp. 59-79). ACM.</w:t>
      </w:r>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bookmarkStart w:name="_bookmark171" w:id="295"/>
      <w:bookmarkEnd w:id="295"/>
      <w:r>
        <w:rPr/>
      </w:r>
      <w:r>
        <w:rPr>
          <w:sz w:val="24"/>
        </w:rPr>
        <w:tab/>
        <w:t>Kleinberg, J. M. (1999).</w:t>
      </w:r>
      <w:r>
        <w:rPr>
          <w:spacing w:val="37"/>
          <w:sz w:val="24"/>
        </w:rPr>
        <w:t> </w:t>
      </w:r>
      <w:r>
        <w:rPr>
          <w:sz w:val="24"/>
        </w:rPr>
        <w:t>Authoritative sources in a hyperlinked environment.</w:t>
      </w:r>
      <w:r>
        <w:rPr>
          <w:spacing w:val="37"/>
          <w:sz w:val="24"/>
        </w:rPr>
        <w:t> </w:t>
      </w:r>
      <w:r>
        <w:rPr>
          <w:i/>
          <w:sz w:val="24"/>
        </w:rPr>
        <w:t>Journal of the ACM</w:t>
      </w:r>
      <w:r>
        <w:rPr>
          <w:sz w:val="24"/>
        </w:rPr>
        <w:t>, </w:t>
      </w:r>
      <w:r>
        <w:rPr>
          <w:i/>
          <w:sz w:val="24"/>
        </w:rPr>
        <w:t>46</w:t>
      </w:r>
      <w:r>
        <w:rPr>
          <w:sz w:val="24"/>
        </w:rPr>
        <w:t>(5), 604–632. </w:t>
      </w:r>
      <w:hyperlink r:id="rId50">
        <w:r>
          <w:rPr>
            <w:sz w:val="24"/>
          </w:rPr>
          <w:t>doi:10.1145/324133.324140</w:t>
        </w:r>
      </w:hyperlink>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r>
        <w:rPr>
          <w:i/>
        </w:rPr>
        <w:tab/>
        <w:t>클라인버그, J.M.(1999). 하이퍼링크 환경의 신뢰할 수 있는 소스. ACM 저널, 46(5), 604–632. 도이:10.1145/324133.324140</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72" w:id="296"/>
      <w:bookmarkEnd w:id="296"/>
      <w:r>
        <w:rPr/>
      </w:r>
      <w:r>
        <w:rPr>
          <w:sz w:val="24"/>
        </w:rPr>
        <w:t>Kotb, M. O. (2023).</w:t>
      </w:r>
      <w:r>
        <w:rPr>
          <w:spacing w:val="40"/>
          <w:sz w:val="24"/>
        </w:rPr>
        <w:t> </w:t>
      </w:r>
      <w:r>
        <w:rPr>
          <w:sz w:val="24"/>
        </w:rPr>
        <w:t>Credit scoring using machine learning algorithms and blockchain tech-nology. In</w:t>
      </w:r>
      <w:r>
        <w:rPr>
          <w:spacing w:val="-7"/>
          <w:sz w:val="24"/>
        </w:rPr>
        <w:t> </w:t>
      </w:r>
      <w:r>
        <w:rPr>
          <w:i/>
          <w:sz w:val="24"/>
        </w:rPr>
        <w:t>2023</w:t>
      </w:r>
      <w:r>
        <w:rPr>
          <w:i/>
          <w:spacing w:val="-7"/>
          <w:sz w:val="24"/>
        </w:rPr>
        <w:t> </w:t>
      </w:r>
      <w:r>
        <w:rPr>
          <w:i/>
          <w:sz w:val="24"/>
        </w:rPr>
        <w:t>Intelligent</w:t>
      </w:r>
      <w:r>
        <w:rPr>
          <w:i/>
          <w:spacing w:val="-7"/>
          <w:sz w:val="24"/>
        </w:rPr>
        <w:t> </w:t>
      </w:r>
      <w:r>
        <w:rPr>
          <w:i/>
          <w:sz w:val="24"/>
        </w:rPr>
        <w:t>Methods,</w:t>
      </w:r>
      <w:r>
        <w:rPr>
          <w:i/>
          <w:spacing w:val="-7"/>
          <w:sz w:val="24"/>
        </w:rPr>
        <w:t> </w:t>
      </w:r>
      <w:r>
        <w:rPr>
          <w:i/>
          <w:sz w:val="24"/>
        </w:rPr>
        <w:t>Systems,</w:t>
      </w:r>
      <w:r>
        <w:rPr>
          <w:i/>
          <w:spacing w:val="-7"/>
          <w:sz w:val="24"/>
        </w:rPr>
        <w:t> </w:t>
      </w:r>
      <w:r>
        <w:rPr>
          <w:i/>
          <w:sz w:val="24"/>
        </w:rPr>
        <w:t>and</w:t>
      </w:r>
      <w:r>
        <w:rPr>
          <w:i/>
          <w:spacing w:val="-7"/>
          <w:sz w:val="24"/>
        </w:rPr>
        <w:t> </w:t>
      </w:r>
      <w:r>
        <w:rPr>
          <w:i/>
          <w:sz w:val="24"/>
        </w:rPr>
        <w:t>Applications</w:t>
      </w:r>
      <w:r>
        <w:rPr>
          <w:i/>
          <w:spacing w:val="-7"/>
          <w:sz w:val="24"/>
        </w:rPr>
        <w:t> </w:t>
      </w:r>
      <w:r>
        <w:rPr>
          <w:i/>
          <w:sz w:val="24"/>
        </w:rPr>
        <w:t>(IMSA)</w:t>
      </w:r>
      <w:r>
        <w:rPr>
          <w:i/>
          <w:spacing w:val="-7"/>
          <w:sz w:val="24"/>
        </w:rPr>
        <w:t> </w:t>
      </w:r>
      <w:r>
        <w:rPr>
          <w:sz w:val="24"/>
        </w:rPr>
        <w:t>(pp. 381–386). IEEE. </w:t>
      </w:r>
      <w:hyperlink r:id="rId51">
        <w:r>
          <w:rPr>
            <w:spacing w:val="-2"/>
            <w:sz w:val="24"/>
          </w:rPr>
          <w:t>doi:10.1109/IMSA58542.2023.10217411</w:t>
        </w:r>
      </w:hyperlink>
    </w:p>
    <w:p>
      <w:pPr>
        <w:pStyle w:val="ListParagraph"/>
        <w:numPr>
          <w:ilvl w:val="0"/>
          <w:numId w:val="28"/>
        </w:numPr>
        <w:tabs>
          <w:tab w:pos="692" w:val="left" w:leader="none"/>
        </w:tabs>
        <w:spacing w:line="396" w:lineRule="auto" w:before="86" w:after="0"/>
        <w:ind w:left="692" w:right="522" w:hanging="530"/>
        <w:jc w:val="both"/>
        <w:rPr>
          <w:sz w:val="24"/>
        </w:rPr>
      </w:pPr>
      <w:r>
        <w:rPr>
          <w:i/>
        </w:rPr>
        <w:t>Kotb, M.O.(2023). 기계학습 알고리즘과 블록체인 기술을 활용한 신용평가. 2023년 지능형 방법, 시스템 및 응용 프로그램(IMSA)(pp. 381–386). IEEE. doi:10.1109/IMSA58542.2023.10217411</w:t>
      </w:r>
    </w:p>
    <w:p>
      <w:pPr>
        <w:pStyle w:val="ListParagraph"/>
        <w:numPr>
          <w:ilvl w:val="0"/>
          <w:numId w:val="28"/>
        </w:numPr>
        <w:tabs>
          <w:tab w:pos="692" w:val="left" w:leader="none"/>
        </w:tabs>
        <w:spacing w:line="396" w:lineRule="auto" w:before="87" w:after="0"/>
        <w:ind w:left="692" w:right="563" w:hanging="530"/>
        <w:jc w:val="both"/>
        <w:rPr>
          <w:sz w:val="24"/>
        </w:rPr>
      </w:pPr>
      <w:bookmarkStart w:name="_bookmark173" w:id="297"/>
      <w:bookmarkEnd w:id="297"/>
      <w:r>
        <w:rPr/>
      </w:r>
      <w:r>
        <w:rPr>
          <w:sz w:val="24"/>
        </w:rPr>
        <w:t>Langville, A. N., &amp; Meyer, C. D. (2006).</w:t>
      </w:r>
      <w:r>
        <w:rPr>
          <w:spacing w:val="40"/>
          <w:sz w:val="24"/>
        </w:rPr>
        <w:t> </w:t>
      </w:r>
      <w:r>
        <w:rPr>
          <w:i/>
          <w:sz w:val="24"/>
        </w:rPr>
        <w:t>Google’s PageRank and beyond:</w:t>
      </w:r>
      <w:r>
        <w:rPr>
          <w:i/>
          <w:spacing w:val="40"/>
          <w:sz w:val="24"/>
        </w:rPr>
        <w:t> </w:t>
      </w:r>
      <w:r>
        <w:rPr>
          <w:i/>
          <w:sz w:val="24"/>
        </w:rPr>
        <w:t>The science of search engine rankings</w:t>
      </w:r>
      <w:r>
        <w:rPr>
          <w:sz w:val="24"/>
        </w:rPr>
        <w:t>. Princeton University Press.</w:t>
      </w:r>
    </w:p>
    <w:p>
      <w:pPr>
        <w:pStyle w:val="ListParagraph"/>
        <w:numPr>
          <w:ilvl w:val="0"/>
          <w:numId w:val="28"/>
        </w:numPr>
        <w:tabs>
          <w:tab w:pos="692" w:val="left" w:leader="none"/>
        </w:tabs>
        <w:spacing w:line="396" w:lineRule="auto" w:before="87" w:after="0"/>
        <w:ind w:left="692" w:right="563" w:hanging="530"/>
        <w:jc w:val="both"/>
        <w:rPr>
          <w:sz w:val="24"/>
        </w:rPr>
      </w:pPr>
      <w:r>
        <w:rPr>
          <w:i/>
        </w:rPr>
        <w:t>Langville, A.N., &amp; Meyer, C.D. (2006). Google의 PageRank 이상: 검색 엔진 순위의 과학 프린스턴 대학 출판부.</w:t>
      </w:r>
    </w:p>
    <w:p>
      <w:pPr>
        <w:pStyle w:val="ListParagraph"/>
        <w:spacing w:after="0" w:line="396" w:lineRule="auto"/>
        <w:jc w:val="both"/>
        <w:rPr>
          <w:sz w:val="24"/>
        </w:rPr>
        <w:sectPr>
          <w:pgSz w:w="11910" w:h="16840"/>
          <w:pgMar w:header="0" w:footer="2115" w:top="1840" w:bottom="2300" w:left="992" w:right="708"/>
        </w:sectPr>
      </w:pPr>
    </w:p>
    <w:p>
      <w:pPr>
        <w:pStyle w:val="ListParagraph"/>
        <w:numPr>
          <w:ilvl w:val="0"/>
          <w:numId w:val="28"/>
        </w:numPr>
        <w:tabs>
          <w:tab w:pos="692" w:val="left" w:leader="none"/>
        </w:tabs>
        <w:spacing w:line="396" w:lineRule="auto" w:before="72" w:after="0"/>
        <w:ind w:left="692" w:right="522" w:hanging="530"/>
        <w:jc w:val="both"/>
        <w:rPr>
          <w:sz w:val="24"/>
        </w:rPr>
      </w:pPr>
      <w:r>
        <w:rPr>
          <w:sz w:val="24"/>
        </w:rPr>
        <w:t>Lehar, A., &amp; Parlour, C. A. (2021).</w:t>
      </w:r>
      <w:r>
        <w:rPr>
          <w:spacing w:val="40"/>
          <w:sz w:val="24"/>
        </w:rPr>
        <w:t> </w:t>
      </w:r>
      <w:r>
        <w:rPr>
          <w:sz w:val="24"/>
        </w:rPr>
        <w:t>Decentralized exchanges.</w:t>
      </w:r>
      <w:r>
        <w:rPr>
          <w:spacing w:val="40"/>
          <w:sz w:val="24"/>
        </w:rPr>
        <w:t> </w:t>
      </w:r>
      <w:r>
        <w:rPr>
          <w:i/>
          <w:sz w:val="24"/>
        </w:rPr>
        <w:t>SSRN Electronic Journal</w:t>
      </w:r>
      <w:r>
        <w:rPr>
          <w:sz w:val="24"/>
        </w:rPr>
        <w:t>. </w:t>
      </w:r>
      <w:hyperlink r:id="rId52">
        <w:r>
          <w:rPr>
            <w:spacing w:val="-2"/>
            <w:sz w:val="24"/>
          </w:rPr>
          <w:t>doi:10.2139/ssrn.3905316</w:t>
        </w:r>
      </w:hyperlink>
    </w:p>
    <w:p>
      <w:pPr>
        <w:pStyle w:val="ListParagraph"/>
        <w:numPr>
          <w:ilvl w:val="0"/>
          <w:numId w:val="28"/>
        </w:numPr>
        <w:tabs>
          <w:tab w:pos="692" w:val="left" w:leader="none"/>
        </w:tabs>
        <w:spacing w:line="396" w:lineRule="auto" w:before="72" w:after="0"/>
        <w:ind w:left="692" w:right="522" w:hanging="530"/>
        <w:jc w:val="both"/>
        <w:rPr>
          <w:sz w:val="24"/>
        </w:rPr>
      </w:pPr>
      <w:r>
        <w:rPr>
          <w:i/>
        </w:rPr>
        <w:t>Lehar, A., &amp; Parlour, C.A.(2021). 탈중앙화 거래소. SSRN 전자 저널. doi:10.2139/ssrn.3905316</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75" w:id="298"/>
      <w:bookmarkEnd w:id="298"/>
      <w:r>
        <w:rPr/>
      </w:r>
      <w:r>
        <w:rPr>
          <w:sz w:val="24"/>
        </w:rPr>
        <w:t>Leskovec, J., Rajaraman, A., &amp; Ullman, J. D. (2020).</w:t>
      </w:r>
      <w:r>
        <w:rPr>
          <w:spacing w:val="40"/>
          <w:sz w:val="24"/>
        </w:rPr>
        <w:t> </w:t>
      </w:r>
      <w:r>
        <w:rPr>
          <w:i/>
          <w:sz w:val="24"/>
        </w:rPr>
        <w:t>Mining of massive datasets </w:t>
      </w:r>
      <w:r>
        <w:rPr>
          <w:sz w:val="24"/>
        </w:rPr>
        <w:t>(3rd ed.). Cambridge University Press.</w:t>
      </w:r>
    </w:p>
    <w:p>
      <w:pPr>
        <w:pStyle w:val="ListParagraph"/>
        <w:numPr>
          <w:ilvl w:val="0"/>
          <w:numId w:val="28"/>
        </w:numPr>
        <w:tabs>
          <w:tab w:pos="692" w:val="left" w:leader="none"/>
        </w:tabs>
        <w:spacing w:line="396" w:lineRule="auto" w:before="86" w:after="0"/>
        <w:ind w:left="692" w:right="522" w:hanging="530"/>
        <w:jc w:val="both"/>
        <w:rPr>
          <w:sz w:val="24"/>
        </w:rPr>
      </w:pPr>
      <w:r>
        <w:rPr>
          <w:i/>
        </w:rPr>
        <w:t>Leskovec, J., Rajaraman, A., &amp; Ullman, J. D. (2020). 대규모 데이터 세트 마이닝(3판). 케임브리지 대학 출판부.</w:t>
      </w:r>
    </w:p>
    <w:p>
      <w:pPr>
        <w:pStyle w:val="ListParagraph"/>
        <w:numPr>
          <w:ilvl w:val="0"/>
          <w:numId w:val="28"/>
        </w:numPr>
        <w:tabs>
          <w:tab w:pos="692" w:val="left" w:leader="none"/>
        </w:tabs>
        <w:spacing w:line="396" w:lineRule="auto" w:before="86" w:after="0"/>
        <w:ind w:left="692" w:right="565" w:hanging="530"/>
        <w:jc w:val="both"/>
        <w:rPr>
          <w:sz w:val="24"/>
        </w:rPr>
      </w:pPr>
      <w:bookmarkStart w:name="_bookmark176" w:id="299"/>
      <w:bookmarkEnd w:id="299"/>
      <w:r>
        <w:rPr/>
      </w:r>
      <w:r>
        <w:rPr>
          <w:sz w:val="24"/>
        </w:rPr>
        <w:t>Li, W., Bu, J., Li, X., &amp; Chen, X. (2022).</w:t>
      </w:r>
      <w:r>
        <w:rPr>
          <w:spacing w:val="37"/>
          <w:sz w:val="24"/>
        </w:rPr>
        <w:t> </w:t>
      </w:r>
      <w:r>
        <w:rPr>
          <w:sz w:val="24"/>
        </w:rPr>
        <w:t>Security analysis of DeFi: Vulnerabilities, attacks and advances. In </w:t>
      </w:r>
      <w:r>
        <w:rPr>
          <w:i/>
          <w:sz w:val="24"/>
        </w:rPr>
        <w:t>2022 IEEE International Conference on Blockchain </w:t>
      </w:r>
      <w:r>
        <w:rPr>
          <w:sz w:val="24"/>
        </w:rPr>
        <w:t>(pp. 488–493). IEEE.</w:t>
      </w:r>
    </w:p>
    <w:p>
      <w:pPr>
        <w:pStyle w:val="ListParagraph"/>
        <w:numPr>
          <w:ilvl w:val="0"/>
          <w:numId w:val="28"/>
        </w:numPr>
        <w:tabs>
          <w:tab w:pos="692" w:val="left" w:leader="none"/>
        </w:tabs>
        <w:spacing w:line="396" w:lineRule="auto" w:before="86" w:after="0"/>
        <w:ind w:left="692" w:right="565" w:hanging="530"/>
        <w:jc w:val="both"/>
        <w:rPr>
          <w:sz w:val="24"/>
        </w:rPr>
      </w:pPr>
      <w:r>
        <w:rPr>
          <w:i/>
        </w:rPr>
        <w:t>Li, W., Bu, J., Li, X., &amp; Chen, X. (2022). DeFi의 보안 분석: 취약점, 공격 및 발전. 2022년 IEEE 블록체인 국제 컨퍼런스(pp. 488–493). IEEE.</w:t>
      </w:r>
    </w:p>
    <w:p>
      <w:pPr>
        <w:pStyle w:val="ListParagraph"/>
        <w:numPr>
          <w:ilvl w:val="0"/>
          <w:numId w:val="28"/>
        </w:numPr>
        <w:tabs>
          <w:tab w:pos="692" w:val="left" w:leader="none"/>
        </w:tabs>
        <w:spacing w:line="396" w:lineRule="auto" w:before="86" w:after="0"/>
        <w:ind w:left="692" w:right="524" w:hanging="530"/>
        <w:jc w:val="both"/>
        <w:rPr>
          <w:sz w:val="24"/>
        </w:rPr>
      </w:pPr>
      <w:bookmarkStart w:name="_bookmark177" w:id="300"/>
      <w:bookmarkEnd w:id="300"/>
      <w:r>
        <w:rPr/>
      </w:r>
      <w:r>
        <w:rPr>
          <w:sz w:val="24"/>
        </w:rPr>
        <w:t>Lin, D., Wu, J., Fu, Q., Zheng, Z., &amp; Chen, T. (2024).</w:t>
      </w:r>
      <w:r>
        <w:rPr>
          <w:spacing w:val="40"/>
          <w:sz w:val="24"/>
        </w:rPr>
        <w:t> </w:t>
      </w:r>
      <w:r>
        <w:rPr>
          <w:sz w:val="24"/>
        </w:rPr>
        <w:t>RiskProp:</w:t>
      </w:r>
      <w:r>
        <w:rPr>
          <w:spacing w:val="40"/>
          <w:sz w:val="24"/>
        </w:rPr>
        <w:t> </w:t>
      </w:r>
      <w:r>
        <w:rPr>
          <w:sz w:val="24"/>
        </w:rPr>
        <w:t>Account risk rating on Ethereum</w:t>
      </w:r>
      <w:r>
        <w:rPr>
          <w:spacing w:val="-1"/>
          <w:sz w:val="24"/>
        </w:rPr>
        <w:t> </w:t>
      </w:r>
      <w:r>
        <w:rPr>
          <w:sz w:val="24"/>
        </w:rPr>
        <w:t>via de-anonymous score and network propagation.</w:t>
      </w:r>
      <w:r>
        <w:rPr>
          <w:spacing w:val="30"/>
          <w:sz w:val="24"/>
        </w:rPr>
        <w:t> </w:t>
      </w:r>
      <w:r>
        <w:rPr>
          <w:i/>
          <w:sz w:val="24"/>
        </w:rPr>
        <w:t>IEEE</w:t>
      </w:r>
      <w:r>
        <w:rPr>
          <w:i/>
          <w:spacing w:val="-1"/>
          <w:sz w:val="24"/>
        </w:rPr>
        <w:t> </w:t>
      </w:r>
      <w:r>
        <w:rPr>
          <w:i/>
          <w:sz w:val="24"/>
        </w:rPr>
        <w:t>Transactions</w:t>
      </w:r>
      <w:r>
        <w:rPr>
          <w:i/>
          <w:spacing w:val="-1"/>
          <w:sz w:val="24"/>
        </w:rPr>
        <w:t> </w:t>
      </w:r>
      <w:r>
        <w:rPr>
          <w:i/>
          <w:sz w:val="24"/>
        </w:rPr>
        <w:t>on Depend-able and Secure Computing</w:t>
      </w:r>
      <w:r>
        <w:rPr>
          <w:sz w:val="24"/>
        </w:rPr>
        <w:t>, </w:t>
      </w:r>
      <w:r>
        <w:rPr>
          <w:i/>
          <w:sz w:val="24"/>
        </w:rPr>
        <w:t>22</w:t>
      </w:r>
      <w:r>
        <w:rPr>
          <w:sz w:val="24"/>
        </w:rPr>
        <w:t>(3), 2132–2145. </w:t>
      </w:r>
      <w:hyperlink r:id="rId53">
        <w:r>
          <w:rPr>
            <w:sz w:val="24"/>
          </w:rPr>
          <w:t>doi:10.1109/TDSC.2024.3475825</w:t>
        </w:r>
      </w:hyperlink>
    </w:p>
    <w:p>
      <w:pPr>
        <w:pStyle w:val="ListParagraph"/>
        <w:numPr>
          <w:ilvl w:val="0"/>
          <w:numId w:val="28"/>
        </w:numPr>
        <w:tabs>
          <w:tab w:pos="692" w:val="left" w:leader="none"/>
        </w:tabs>
        <w:spacing w:line="396" w:lineRule="auto" w:before="86" w:after="0"/>
        <w:ind w:left="692" w:right="524" w:hanging="530"/>
        <w:jc w:val="both"/>
        <w:rPr>
          <w:sz w:val="24"/>
        </w:rPr>
      </w:pPr>
      <w:r>
        <w:rPr>
          <w:i/>
        </w:rPr>
        <w:t>Lin, D., Wu, J., Fu, Q., Zheng, Z., &amp; Chen, T. (2024). RiskProp: 익명 점수 및 네트워크 전파를 통한 이더리움의 계정 위험 등급. 신뢰할 수 있고 안전한 컴퓨팅에 관한 IEEE 트랜잭션, 22(3), 2132-2145. doi:10.1109/TDSC.2024.3475825</w:t>
      </w:r>
    </w:p>
    <w:p>
      <w:pPr>
        <w:pStyle w:val="ListParagraph"/>
        <w:numPr>
          <w:ilvl w:val="0"/>
          <w:numId w:val="28"/>
        </w:numPr>
        <w:tabs>
          <w:tab w:pos="692" w:val="left" w:leader="none"/>
        </w:tabs>
        <w:spacing w:line="396" w:lineRule="auto" w:before="87" w:after="0"/>
        <w:ind w:left="692" w:right="564" w:hanging="530"/>
        <w:jc w:val="both"/>
        <w:rPr>
          <w:sz w:val="24"/>
        </w:rPr>
      </w:pPr>
      <w:bookmarkStart w:name="_bookmark178" w:id="301"/>
      <w:bookmarkEnd w:id="301"/>
      <w:r>
        <w:rPr/>
      </w:r>
      <w:r>
        <w:rPr>
          <w:sz w:val="24"/>
        </w:rPr>
        <w:t>Makarov, I., &amp;</w:t>
      </w:r>
      <w:r>
        <w:rPr>
          <w:spacing w:val="-1"/>
          <w:sz w:val="24"/>
        </w:rPr>
        <w:t> </w:t>
      </w:r>
      <w:r>
        <w:rPr>
          <w:sz w:val="24"/>
        </w:rPr>
        <w:t>Schoar, A.</w:t>
      </w:r>
      <w:r>
        <w:rPr>
          <w:spacing w:val="-1"/>
          <w:sz w:val="24"/>
        </w:rPr>
        <w:t> </w:t>
      </w:r>
      <w:r>
        <w:rPr>
          <w:sz w:val="24"/>
        </w:rPr>
        <w:t>(2020).</w:t>
      </w:r>
      <w:r>
        <w:rPr>
          <w:spacing w:val="29"/>
          <w:sz w:val="24"/>
        </w:rPr>
        <w:t> </w:t>
      </w:r>
      <w:r>
        <w:rPr>
          <w:sz w:val="24"/>
        </w:rPr>
        <w:t>Trading</w:t>
      </w:r>
      <w:r>
        <w:rPr>
          <w:spacing w:val="-1"/>
          <w:sz w:val="24"/>
        </w:rPr>
        <w:t> </w:t>
      </w:r>
      <w:r>
        <w:rPr>
          <w:sz w:val="24"/>
        </w:rPr>
        <w:t>and</w:t>
      </w:r>
      <w:r>
        <w:rPr>
          <w:spacing w:val="-1"/>
          <w:sz w:val="24"/>
        </w:rPr>
        <w:t> </w:t>
      </w:r>
      <w:r>
        <w:rPr>
          <w:sz w:val="24"/>
        </w:rPr>
        <w:t>arbitrage</w:t>
      </w:r>
      <w:r>
        <w:rPr>
          <w:spacing w:val="-1"/>
          <w:sz w:val="24"/>
        </w:rPr>
        <w:t> </w:t>
      </w:r>
      <w:r>
        <w:rPr>
          <w:sz w:val="24"/>
        </w:rPr>
        <w:t>in</w:t>
      </w:r>
      <w:r>
        <w:rPr>
          <w:spacing w:val="-1"/>
          <w:sz w:val="24"/>
        </w:rPr>
        <w:t> </w:t>
      </w:r>
      <w:r>
        <w:rPr>
          <w:sz w:val="24"/>
        </w:rPr>
        <w:t>cryptocurrency</w:t>
      </w:r>
      <w:r>
        <w:rPr>
          <w:spacing w:val="-1"/>
          <w:sz w:val="24"/>
        </w:rPr>
        <w:t> </w:t>
      </w:r>
      <w:r>
        <w:rPr>
          <w:sz w:val="24"/>
        </w:rPr>
        <w:t>markets.</w:t>
      </w:r>
      <w:r>
        <w:rPr>
          <w:spacing w:val="29"/>
          <w:sz w:val="24"/>
        </w:rPr>
        <w:t> </w:t>
      </w:r>
      <w:r>
        <w:rPr>
          <w:i/>
          <w:sz w:val="24"/>
        </w:rPr>
        <w:t>Journal of Financial Economics</w:t>
      </w:r>
      <w:r>
        <w:rPr>
          <w:sz w:val="24"/>
        </w:rPr>
        <w:t>, </w:t>
      </w:r>
      <w:r>
        <w:rPr>
          <w:i/>
          <w:sz w:val="24"/>
        </w:rPr>
        <w:t>135</w:t>
      </w:r>
      <w:r>
        <w:rPr>
          <w:sz w:val="24"/>
        </w:rPr>
        <w:t>(2), 293–319. </w:t>
      </w:r>
      <w:hyperlink r:id="rId54">
        <w:r>
          <w:rPr>
            <w:sz w:val="24"/>
          </w:rPr>
          <w:t>doi:10.1016/j.jfineco.2019.07.001</w:t>
        </w:r>
      </w:hyperlink>
    </w:p>
    <w:p>
      <w:pPr>
        <w:pStyle w:val="ListParagraph"/>
        <w:numPr>
          <w:ilvl w:val="0"/>
          <w:numId w:val="28"/>
        </w:numPr>
        <w:tabs>
          <w:tab w:pos="692" w:val="left" w:leader="none"/>
        </w:tabs>
        <w:spacing w:line="396" w:lineRule="auto" w:before="87" w:after="0"/>
        <w:ind w:left="692" w:right="564" w:hanging="530"/>
        <w:jc w:val="both"/>
        <w:rPr>
          <w:sz w:val="24"/>
        </w:rPr>
      </w:pPr>
      <w:r>
        <w:rPr>
          <w:i/>
        </w:rPr>
        <w:t>Makarov, I., &amp; Schoar, A. (2020). 암호화폐 시장에서의 거래 및 차익거래. 금융경제학저널, 135(2), 293-319. doi:10.1016/j.jfineco.2019.07.001</w:t>
      </w:r>
    </w:p>
    <w:p>
      <w:pPr>
        <w:pStyle w:val="ListParagraph"/>
        <w:numPr>
          <w:ilvl w:val="0"/>
          <w:numId w:val="28"/>
        </w:numPr>
        <w:tabs>
          <w:tab w:pos="691" w:val="left" w:leader="none"/>
        </w:tabs>
        <w:spacing w:line="240" w:lineRule="auto" w:before="86" w:after="0"/>
        <w:ind w:left="691" w:right="0" w:hanging="529"/>
        <w:jc w:val="both"/>
        <w:rPr>
          <w:sz w:val="24"/>
        </w:rPr>
      </w:pPr>
      <w:bookmarkStart w:name="_bookmark179" w:id="302"/>
      <w:bookmarkEnd w:id="302"/>
      <w:r>
        <w:rPr/>
      </w:r>
      <w:r>
        <w:rPr>
          <w:sz w:val="24"/>
        </w:rPr>
        <w:t>Nakamoto,</w:t>
      </w:r>
      <w:r>
        <w:rPr>
          <w:spacing w:val="-11"/>
          <w:sz w:val="24"/>
        </w:rPr>
        <w:t> </w:t>
      </w:r>
      <w:r>
        <w:rPr>
          <w:sz w:val="24"/>
        </w:rPr>
        <w:t>S.</w:t>
      </w:r>
      <w:r>
        <w:rPr>
          <w:spacing w:val="-11"/>
          <w:sz w:val="24"/>
        </w:rPr>
        <w:t> </w:t>
      </w:r>
      <w:r>
        <w:rPr>
          <w:sz w:val="24"/>
        </w:rPr>
        <w:t>(2008).</w:t>
      </w:r>
      <w:r>
        <w:rPr>
          <w:spacing w:val="7"/>
          <w:sz w:val="24"/>
        </w:rPr>
        <w:t> </w:t>
      </w:r>
      <w:r>
        <w:rPr>
          <w:i/>
          <w:sz w:val="24"/>
        </w:rPr>
        <w:t>Bitcoin:</w:t>
      </w:r>
      <w:r>
        <w:rPr>
          <w:i/>
          <w:spacing w:val="6"/>
          <w:sz w:val="24"/>
        </w:rPr>
        <w:t> </w:t>
      </w:r>
      <w:r>
        <w:rPr>
          <w:i/>
          <w:sz w:val="24"/>
        </w:rPr>
        <w:t>A</w:t>
      </w:r>
      <w:r>
        <w:rPr>
          <w:i/>
          <w:spacing w:val="-11"/>
          <w:sz w:val="24"/>
        </w:rPr>
        <w:t> </w:t>
      </w:r>
      <w:r>
        <w:rPr>
          <w:i/>
          <w:sz w:val="24"/>
        </w:rPr>
        <w:t>peer-to-peer</w:t>
      </w:r>
      <w:r>
        <w:rPr>
          <w:i/>
          <w:spacing w:val="-10"/>
          <w:sz w:val="24"/>
        </w:rPr>
        <w:t> </w:t>
      </w:r>
      <w:r>
        <w:rPr>
          <w:i/>
          <w:sz w:val="24"/>
        </w:rPr>
        <w:t>electronic</w:t>
      </w:r>
      <w:r>
        <w:rPr>
          <w:i/>
          <w:spacing w:val="-11"/>
          <w:sz w:val="24"/>
        </w:rPr>
        <w:t> </w:t>
      </w:r>
      <w:r>
        <w:rPr>
          <w:i/>
          <w:sz w:val="24"/>
        </w:rPr>
        <w:t>cash</w:t>
      </w:r>
      <w:r>
        <w:rPr>
          <w:i/>
          <w:spacing w:val="-10"/>
          <w:sz w:val="24"/>
        </w:rPr>
        <w:t> </w:t>
      </w:r>
      <w:r>
        <w:rPr>
          <w:i/>
          <w:sz w:val="24"/>
        </w:rPr>
        <w:t>system</w:t>
      </w:r>
      <w:r>
        <w:rPr>
          <w:sz w:val="24"/>
        </w:rPr>
        <w:t>.</w:t>
      </w:r>
      <w:r>
        <w:rPr>
          <w:spacing w:val="6"/>
          <w:sz w:val="24"/>
        </w:rPr>
        <w:t> </w:t>
      </w:r>
      <w:hyperlink r:id="rId55">
        <w:r>
          <w:rPr>
            <w:spacing w:val="-2"/>
            <w:sz w:val="24"/>
          </w:rPr>
          <w:t>bitcoin.org/bitcoin.pdf</w:t>
        </w:r>
      </w:hyperlink>
    </w:p>
    <w:p>
      <w:pPr>
        <w:pStyle w:val="ListParagraph"/>
        <w:numPr>
          <w:ilvl w:val="0"/>
          <w:numId w:val="28"/>
        </w:numPr>
        <w:tabs>
          <w:tab w:pos="691" w:val="left" w:leader="none"/>
        </w:tabs>
        <w:spacing w:line="240" w:lineRule="auto" w:before="86" w:after="0"/>
        <w:ind w:left="691" w:right="0" w:hanging="529"/>
        <w:jc w:val="both"/>
        <w:rPr>
          <w:sz w:val="24"/>
        </w:rPr>
      </w:pPr>
      <w:r>
        <w:rPr>
          <w:i/>
        </w:rPr>
        <w:t>나카모토, S. (2008). 비트코인: P2P 전자 현금 시스템. bitcoin.org/bitcoin.pdf</w:t>
      </w:r>
    </w:p>
    <w:p>
      <w:pPr>
        <w:pStyle w:val="ListParagraph"/>
        <w:numPr>
          <w:ilvl w:val="0"/>
          <w:numId w:val="28"/>
        </w:numPr>
        <w:tabs>
          <w:tab w:pos="692" w:val="left" w:leader="none"/>
        </w:tabs>
        <w:spacing w:line="396" w:lineRule="auto" w:before="264" w:after="0"/>
        <w:ind w:left="692" w:right="524" w:hanging="530"/>
        <w:jc w:val="both"/>
        <w:rPr>
          <w:sz w:val="24"/>
        </w:rPr>
      </w:pPr>
      <w:bookmarkStart w:name="_bookmark180" w:id="303"/>
      <w:bookmarkEnd w:id="303"/>
      <w:r>
        <w:rPr/>
      </w:r>
      <w:r>
        <w:rPr>
          <w:sz w:val="24"/>
        </w:rPr>
        <w:t>Narayanan, A., Bonneau, J., Felten, E., Miller, A., &amp; Goldfeder, S. (2016).</w:t>
      </w:r>
      <w:r>
        <w:rPr>
          <w:spacing w:val="29"/>
          <w:sz w:val="24"/>
        </w:rPr>
        <w:t> </w:t>
      </w:r>
      <w:r>
        <w:rPr>
          <w:i/>
          <w:sz w:val="24"/>
        </w:rPr>
        <w:t>Bitcoin and cryp-tocurrency technologies</w:t>
      </w:r>
      <w:r>
        <w:rPr>
          <w:sz w:val="24"/>
        </w:rPr>
        <w:t>. Princeton University Press.</w:t>
      </w:r>
    </w:p>
    <w:p>
      <w:pPr>
        <w:pStyle w:val="ListParagraph"/>
        <w:numPr>
          <w:ilvl w:val="0"/>
          <w:numId w:val="28"/>
        </w:numPr>
        <w:tabs>
          <w:tab w:pos="692" w:val="left" w:leader="none"/>
        </w:tabs>
        <w:spacing w:line="396" w:lineRule="auto" w:before="264" w:after="0"/>
        <w:ind w:left="692" w:right="524" w:hanging="530"/>
        <w:jc w:val="both"/>
        <w:rPr>
          <w:sz w:val="24"/>
        </w:rPr>
      </w:pPr>
      <w:r>
        <w:rPr>
          <w:i/>
        </w:rPr>
        <w:t>Narayanan, A., Bonneau, J., Felten, E., Miller, A., &amp; Goldfeder, S. (2016). 비트코인과 암호화폐 기술. 프린스턴 대학 출판부.</w:t>
      </w:r>
    </w:p>
    <w:p>
      <w:pPr>
        <w:pStyle w:val="ListParagraph"/>
        <w:numPr>
          <w:ilvl w:val="0"/>
          <w:numId w:val="28"/>
        </w:numPr>
        <w:tabs>
          <w:tab w:pos="692" w:val="left" w:leader="none"/>
        </w:tabs>
        <w:spacing w:line="396" w:lineRule="auto" w:before="86" w:after="0"/>
        <w:ind w:left="692" w:right="564" w:hanging="530"/>
        <w:jc w:val="both"/>
        <w:rPr>
          <w:sz w:val="24"/>
        </w:rPr>
      </w:pPr>
      <w:bookmarkStart w:name="_bookmark181" w:id="304"/>
      <w:bookmarkEnd w:id="304"/>
      <w:r>
        <w:rPr/>
      </w:r>
      <w:r>
        <w:rPr>
          <w:sz w:val="24"/>
        </w:rPr>
        <w:t>Packin,</w:t>
      </w:r>
      <w:r>
        <w:rPr>
          <w:spacing w:val="-15"/>
          <w:sz w:val="24"/>
        </w:rPr>
        <w:t> </w:t>
      </w:r>
      <w:r>
        <w:rPr>
          <w:sz w:val="24"/>
        </w:rPr>
        <w:t>N.</w:t>
      </w:r>
      <w:r>
        <w:rPr>
          <w:spacing w:val="-15"/>
          <w:sz w:val="24"/>
        </w:rPr>
        <w:t> </w:t>
      </w:r>
      <w:r>
        <w:rPr>
          <w:sz w:val="24"/>
        </w:rPr>
        <w:t>G.,</w:t>
      </w:r>
      <w:r>
        <w:rPr>
          <w:spacing w:val="-15"/>
          <w:sz w:val="24"/>
        </w:rPr>
        <w:t> </w:t>
      </w:r>
      <w:r>
        <w:rPr>
          <w:sz w:val="24"/>
        </w:rPr>
        <w:t>&amp;</w:t>
      </w:r>
      <w:r>
        <w:rPr>
          <w:spacing w:val="-15"/>
          <w:sz w:val="24"/>
        </w:rPr>
        <w:t> </w:t>
      </w:r>
      <w:r>
        <w:rPr>
          <w:sz w:val="24"/>
        </w:rPr>
        <w:t>Lev-Aretz,</w:t>
      </w:r>
      <w:r>
        <w:rPr>
          <w:spacing w:val="-15"/>
          <w:sz w:val="24"/>
        </w:rPr>
        <w:t> </w:t>
      </w:r>
      <w:r>
        <w:rPr>
          <w:sz w:val="24"/>
        </w:rPr>
        <w:t>Y.</w:t>
      </w:r>
      <w:r>
        <w:rPr>
          <w:spacing w:val="-15"/>
          <w:sz w:val="24"/>
        </w:rPr>
        <w:t> </w:t>
      </w:r>
      <w:r>
        <w:rPr>
          <w:sz w:val="24"/>
        </w:rPr>
        <w:t>(2024). Decentralized</w:t>
      </w:r>
      <w:r>
        <w:rPr>
          <w:spacing w:val="-15"/>
          <w:sz w:val="24"/>
        </w:rPr>
        <w:t> </w:t>
      </w:r>
      <w:r>
        <w:rPr>
          <w:sz w:val="24"/>
        </w:rPr>
        <w:t>credit</w:t>
      </w:r>
      <w:r>
        <w:rPr>
          <w:spacing w:val="-15"/>
          <w:sz w:val="24"/>
        </w:rPr>
        <w:t> </w:t>
      </w:r>
      <w:r>
        <w:rPr>
          <w:sz w:val="24"/>
        </w:rPr>
        <w:t>scoring:</w:t>
      </w:r>
      <w:r>
        <w:rPr>
          <w:spacing w:val="6"/>
          <w:sz w:val="24"/>
        </w:rPr>
        <w:t> </w:t>
      </w:r>
      <w:r>
        <w:rPr>
          <w:sz w:val="24"/>
        </w:rPr>
        <w:t>Black</w:t>
      </w:r>
      <w:r>
        <w:rPr>
          <w:spacing w:val="-15"/>
          <w:sz w:val="24"/>
        </w:rPr>
        <w:t> </w:t>
      </w:r>
      <w:r>
        <w:rPr>
          <w:sz w:val="24"/>
        </w:rPr>
        <w:t>box</w:t>
      </w:r>
      <w:r>
        <w:rPr>
          <w:spacing w:val="-15"/>
          <w:sz w:val="24"/>
        </w:rPr>
        <w:t> </w:t>
      </w:r>
      <w:r>
        <w:rPr>
          <w:sz w:val="24"/>
        </w:rPr>
        <w:t>3.0.</w:t>
      </w:r>
      <w:r>
        <w:rPr>
          <w:spacing w:val="6"/>
          <w:sz w:val="24"/>
        </w:rPr>
        <w:t> </w:t>
      </w:r>
      <w:r>
        <w:rPr>
          <w:i/>
          <w:sz w:val="24"/>
        </w:rPr>
        <w:t>American Business Law Journal</w:t>
      </w:r>
      <w:r>
        <w:rPr>
          <w:sz w:val="24"/>
        </w:rPr>
        <w:t>, </w:t>
      </w:r>
      <w:r>
        <w:rPr>
          <w:i/>
          <w:sz w:val="24"/>
        </w:rPr>
        <w:t>61</w:t>
      </w:r>
      <w:r>
        <w:rPr>
          <w:sz w:val="24"/>
        </w:rPr>
        <w:t>(2), 91–111. </w:t>
      </w:r>
      <w:hyperlink r:id="rId56">
        <w:r>
          <w:rPr>
            <w:sz w:val="24"/>
          </w:rPr>
          <w:t>doi:10.2139/ssrn.4375920</w:t>
        </w:r>
      </w:hyperlink>
    </w:p>
    <w:p>
      <w:pPr>
        <w:pStyle w:val="ListParagraph"/>
        <w:numPr>
          <w:ilvl w:val="0"/>
          <w:numId w:val="28"/>
        </w:numPr>
        <w:tabs>
          <w:tab w:pos="692" w:val="left" w:leader="none"/>
        </w:tabs>
        <w:spacing w:line="396" w:lineRule="auto" w:before="86" w:after="0"/>
        <w:ind w:left="692" w:right="564" w:hanging="530"/>
        <w:jc w:val="both"/>
        <w:rPr>
          <w:sz w:val="24"/>
        </w:rPr>
      </w:pPr>
      <w:r>
        <w:rPr>
          <w:i/>
        </w:rPr>
        <w:t>Packin, N. G., &amp; Lev-Aretz, Y. (2024). 분산형 신용 점수: 블랙박스 3.0. 미국 비즈니스 법률 저널, 61(2), 91-111. doi:10.2139/ssrn.4375920</w:t>
      </w:r>
    </w:p>
    <w:p>
      <w:pPr>
        <w:pStyle w:val="ListParagraph"/>
        <w:numPr>
          <w:ilvl w:val="0"/>
          <w:numId w:val="28"/>
        </w:numPr>
        <w:tabs>
          <w:tab w:pos="692" w:val="left" w:leader="none"/>
        </w:tabs>
        <w:spacing w:line="396" w:lineRule="auto" w:before="86" w:after="0"/>
        <w:ind w:left="692" w:right="524" w:hanging="530"/>
        <w:jc w:val="both"/>
        <w:rPr>
          <w:sz w:val="24"/>
        </w:rPr>
      </w:pPr>
      <w:bookmarkStart w:name="_bookmark182" w:id="305"/>
      <w:bookmarkEnd w:id="305"/>
      <w:r>
        <w:rPr/>
      </w:r>
      <w:r>
        <w:rPr>
          <w:sz w:val="24"/>
        </w:rPr>
        <w:t>Page, L., Brin, S., Motwani, R., &amp; Winograd, T. (1998).</w:t>
      </w:r>
      <w:r>
        <w:rPr>
          <w:spacing w:val="40"/>
          <w:sz w:val="24"/>
        </w:rPr>
        <w:t> </w:t>
      </w:r>
      <w:r>
        <w:rPr>
          <w:i/>
          <w:sz w:val="24"/>
        </w:rPr>
        <w:t>The PageRank citation ranking: Bringing</w:t>
      </w:r>
      <w:r>
        <w:rPr>
          <w:i/>
          <w:spacing w:val="-4"/>
          <w:sz w:val="24"/>
        </w:rPr>
        <w:t> </w:t>
      </w:r>
      <w:r>
        <w:rPr>
          <w:i/>
          <w:sz w:val="24"/>
        </w:rPr>
        <w:t>order</w:t>
      </w:r>
      <w:r>
        <w:rPr>
          <w:i/>
          <w:spacing w:val="-4"/>
          <w:sz w:val="24"/>
        </w:rPr>
        <w:t> </w:t>
      </w:r>
      <w:r>
        <w:rPr>
          <w:i/>
          <w:sz w:val="24"/>
        </w:rPr>
        <w:t>to</w:t>
      </w:r>
      <w:r>
        <w:rPr>
          <w:i/>
          <w:spacing w:val="-4"/>
          <w:sz w:val="24"/>
        </w:rPr>
        <w:t> </w:t>
      </w:r>
      <w:r>
        <w:rPr>
          <w:i/>
          <w:sz w:val="24"/>
        </w:rPr>
        <w:t>the</w:t>
      </w:r>
      <w:r>
        <w:rPr>
          <w:i/>
          <w:spacing w:val="-4"/>
          <w:sz w:val="24"/>
        </w:rPr>
        <w:t> </w:t>
      </w:r>
      <w:r>
        <w:rPr>
          <w:i/>
          <w:sz w:val="24"/>
        </w:rPr>
        <w:t>web</w:t>
      </w:r>
      <w:r>
        <w:rPr>
          <w:i/>
          <w:spacing w:val="-4"/>
          <w:sz w:val="24"/>
        </w:rPr>
        <w:t> </w:t>
      </w:r>
      <w:r>
        <w:rPr>
          <w:sz w:val="24"/>
        </w:rPr>
        <w:t>(Technical</w:t>
      </w:r>
      <w:r>
        <w:rPr>
          <w:spacing w:val="-4"/>
          <w:sz w:val="24"/>
        </w:rPr>
        <w:t> </w:t>
      </w:r>
      <w:r>
        <w:rPr>
          <w:sz w:val="24"/>
        </w:rPr>
        <w:t>Report). Stanford</w:t>
      </w:r>
      <w:r>
        <w:rPr>
          <w:spacing w:val="-4"/>
          <w:sz w:val="24"/>
        </w:rPr>
        <w:t> </w:t>
      </w:r>
      <w:r>
        <w:rPr>
          <w:sz w:val="24"/>
        </w:rPr>
        <w:t>Digital</w:t>
      </w:r>
      <w:r>
        <w:rPr>
          <w:spacing w:val="-4"/>
          <w:sz w:val="24"/>
        </w:rPr>
        <w:t> </w:t>
      </w:r>
      <w:r>
        <w:rPr>
          <w:sz w:val="24"/>
        </w:rPr>
        <w:t>Library</w:t>
      </w:r>
      <w:r>
        <w:rPr>
          <w:spacing w:val="-4"/>
          <w:sz w:val="24"/>
        </w:rPr>
        <w:t> </w:t>
      </w:r>
      <w:r>
        <w:rPr>
          <w:sz w:val="24"/>
        </w:rPr>
        <w:t>Technologies</w:t>
      </w:r>
      <w:r>
        <w:rPr>
          <w:spacing w:val="-4"/>
          <w:sz w:val="24"/>
        </w:rPr>
        <w:t> </w:t>
      </w:r>
      <w:r>
        <w:rPr>
          <w:sz w:val="24"/>
        </w:rPr>
        <w:t>Project.</w:t>
      </w:r>
    </w:p>
    <w:p>
      <w:pPr>
        <w:pStyle w:val="ListParagraph"/>
        <w:numPr>
          <w:ilvl w:val="0"/>
          <w:numId w:val="28"/>
        </w:numPr>
        <w:tabs>
          <w:tab w:pos="692" w:val="left" w:leader="none"/>
        </w:tabs>
        <w:spacing w:line="396" w:lineRule="auto" w:before="86" w:after="0"/>
        <w:ind w:left="692" w:right="524" w:hanging="530"/>
        <w:jc w:val="both"/>
        <w:rPr>
          <w:sz w:val="24"/>
        </w:rPr>
      </w:pPr>
      <w:r>
        <w:rPr>
          <w:i/>
        </w:rPr>
        <w:t>페이지, L., 브린, S., Motwani, R., &amp; Winograd, T. (1998). PageRank 인용 순위: 웹에 질서를 부여합니다(기술 보고서). 스탠포드 디지털 도서관 기술 프로젝트.</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83" w:id="306"/>
      <w:bookmarkEnd w:id="306"/>
      <w:r>
        <w:rPr/>
      </w:r>
      <w:r>
        <w:rPr>
          <w:sz w:val="24"/>
        </w:rPr>
        <w:t>Perez, D., Werner, S. M., Xu, J., &amp; Livshits, B. (2021).</w:t>
      </w:r>
      <w:r>
        <w:rPr>
          <w:spacing w:val="40"/>
          <w:sz w:val="24"/>
        </w:rPr>
        <w:t> </w:t>
      </w:r>
      <w:r>
        <w:rPr>
          <w:sz w:val="24"/>
        </w:rPr>
        <w:t>Liquidations:</w:t>
      </w:r>
      <w:r>
        <w:rPr>
          <w:spacing w:val="33"/>
          <w:sz w:val="24"/>
        </w:rPr>
        <w:t> </w:t>
      </w:r>
      <w:r>
        <w:rPr>
          <w:sz w:val="24"/>
        </w:rPr>
        <w:t>DeFi on a knife-edge. In </w:t>
      </w:r>
      <w:r>
        <w:rPr>
          <w:i/>
          <w:sz w:val="24"/>
        </w:rPr>
        <w:t>Financial Cryptography and Data Security </w:t>
      </w:r>
      <w:r>
        <w:rPr>
          <w:sz w:val="24"/>
        </w:rPr>
        <w:t>(pp. 457–476). Springer.</w:t>
      </w:r>
    </w:p>
    <w:p>
      <w:pPr>
        <w:pStyle w:val="ListParagraph"/>
        <w:numPr>
          <w:ilvl w:val="0"/>
          <w:numId w:val="28"/>
        </w:numPr>
        <w:tabs>
          <w:tab w:pos="692" w:val="left" w:leader="none"/>
        </w:tabs>
        <w:spacing w:line="396" w:lineRule="auto" w:before="86" w:after="0"/>
        <w:ind w:left="692" w:right="522" w:hanging="530"/>
        <w:jc w:val="both"/>
        <w:rPr>
          <w:sz w:val="24"/>
        </w:rPr>
      </w:pPr>
      <w:r>
        <w:rPr>
          <w:i/>
        </w:rPr>
        <w:t>Perez, D., Werner, S. M., Xu, J., &amp; Livshits, B. (2021). 청산: DeFi 급박한 상황. 금융 암호화 및 데이터 보안(pp. 457–476). 뛰는 것.</w:t>
      </w:r>
    </w:p>
    <w:p>
      <w:pPr>
        <w:pStyle w:val="ListParagraph"/>
        <w:numPr>
          <w:ilvl w:val="0"/>
          <w:numId w:val="28"/>
        </w:numPr>
        <w:tabs>
          <w:tab w:pos="692" w:val="left" w:leader="none"/>
        </w:tabs>
        <w:spacing w:line="396" w:lineRule="auto" w:before="86" w:after="0"/>
        <w:ind w:left="692" w:right="522" w:hanging="530"/>
        <w:jc w:val="both"/>
        <w:rPr>
          <w:sz w:val="24"/>
        </w:rPr>
      </w:pPr>
      <w:bookmarkStart w:name="_bookmark184" w:id="307"/>
      <w:bookmarkEnd w:id="307"/>
      <w:r>
        <w:rPr/>
      </w:r>
      <w:r>
        <w:rPr>
          <w:sz w:val="24"/>
        </w:rPr>
        <w:t>Qin,</w:t>
      </w:r>
      <w:r>
        <w:rPr>
          <w:spacing w:val="-11"/>
          <w:sz w:val="24"/>
        </w:rPr>
        <w:t> </w:t>
      </w:r>
      <w:r>
        <w:rPr>
          <w:sz w:val="24"/>
        </w:rPr>
        <w:t>K.,</w:t>
      </w:r>
      <w:r>
        <w:rPr>
          <w:spacing w:val="-11"/>
          <w:sz w:val="24"/>
        </w:rPr>
        <w:t> </w:t>
      </w:r>
      <w:r>
        <w:rPr>
          <w:sz w:val="24"/>
        </w:rPr>
        <w:t>Zhou,</w:t>
      </w:r>
      <w:r>
        <w:rPr>
          <w:spacing w:val="-11"/>
          <w:sz w:val="24"/>
        </w:rPr>
        <w:t> </w:t>
      </w:r>
      <w:r>
        <w:rPr>
          <w:sz w:val="24"/>
        </w:rPr>
        <w:t>L.,</w:t>
      </w:r>
      <w:r>
        <w:rPr>
          <w:spacing w:val="-11"/>
          <w:sz w:val="24"/>
        </w:rPr>
        <w:t> </w:t>
      </w:r>
      <w:r>
        <w:rPr>
          <w:sz w:val="24"/>
        </w:rPr>
        <w:t>Livshits,</w:t>
      </w:r>
      <w:r>
        <w:rPr>
          <w:spacing w:val="-11"/>
          <w:sz w:val="24"/>
        </w:rPr>
        <w:t> </w:t>
      </w:r>
      <w:r>
        <w:rPr>
          <w:sz w:val="24"/>
        </w:rPr>
        <w:t>B.,</w:t>
      </w:r>
      <w:r>
        <w:rPr>
          <w:spacing w:val="-11"/>
          <w:sz w:val="24"/>
        </w:rPr>
        <w:t> </w:t>
      </w:r>
      <w:r>
        <w:rPr>
          <w:sz w:val="24"/>
        </w:rPr>
        <w:t>&amp;</w:t>
      </w:r>
      <w:r>
        <w:rPr>
          <w:spacing w:val="-13"/>
          <w:sz w:val="24"/>
        </w:rPr>
        <w:t> </w:t>
      </w:r>
      <w:r>
        <w:rPr>
          <w:sz w:val="24"/>
        </w:rPr>
        <w:t>Gervais,</w:t>
      </w:r>
      <w:r>
        <w:rPr>
          <w:spacing w:val="-11"/>
          <w:sz w:val="24"/>
        </w:rPr>
        <w:t> </w:t>
      </w:r>
      <w:r>
        <w:rPr>
          <w:sz w:val="24"/>
        </w:rPr>
        <w:t>A.</w:t>
      </w:r>
      <w:r>
        <w:rPr>
          <w:spacing w:val="-13"/>
          <w:sz w:val="24"/>
        </w:rPr>
        <w:t> </w:t>
      </w:r>
      <w:r>
        <w:rPr>
          <w:sz w:val="24"/>
        </w:rPr>
        <w:t>(2021).</w:t>
      </w:r>
      <w:r>
        <w:rPr>
          <w:spacing w:val="14"/>
          <w:sz w:val="24"/>
        </w:rPr>
        <w:t> </w:t>
      </w:r>
      <w:r>
        <w:rPr>
          <w:sz w:val="24"/>
        </w:rPr>
        <w:t>Attacking</w:t>
      </w:r>
      <w:r>
        <w:rPr>
          <w:spacing w:val="-13"/>
          <w:sz w:val="24"/>
        </w:rPr>
        <w:t> </w:t>
      </w:r>
      <w:r>
        <w:rPr>
          <w:sz w:val="24"/>
        </w:rPr>
        <w:t>the</w:t>
      </w:r>
      <w:r>
        <w:rPr>
          <w:spacing w:val="-13"/>
          <w:sz w:val="24"/>
        </w:rPr>
        <w:t> </w:t>
      </w:r>
      <w:r>
        <w:rPr>
          <w:sz w:val="24"/>
        </w:rPr>
        <w:t>DeFi</w:t>
      </w:r>
      <w:r>
        <w:rPr>
          <w:spacing w:val="-13"/>
          <w:sz w:val="24"/>
        </w:rPr>
        <w:t> </w:t>
      </w:r>
      <w:r>
        <w:rPr>
          <w:sz w:val="24"/>
        </w:rPr>
        <w:t>ecosystem</w:t>
      </w:r>
      <w:r>
        <w:rPr>
          <w:spacing w:val="-13"/>
          <w:sz w:val="24"/>
        </w:rPr>
        <w:t> </w:t>
      </w:r>
      <w:r>
        <w:rPr>
          <w:sz w:val="24"/>
        </w:rPr>
        <w:t>with</w:t>
      </w:r>
      <w:r>
        <w:rPr>
          <w:spacing w:val="-13"/>
          <w:sz w:val="24"/>
        </w:rPr>
        <w:t> </w:t>
      </w:r>
      <w:r>
        <w:rPr>
          <w:sz w:val="24"/>
        </w:rPr>
        <w:t>flash loans for fun and profit.</w:t>
      </w:r>
      <w:r>
        <w:rPr>
          <w:spacing w:val="36"/>
          <w:sz w:val="24"/>
        </w:rPr>
        <w:t> </w:t>
      </w:r>
      <w:r>
        <w:rPr>
          <w:sz w:val="24"/>
        </w:rPr>
        <w:t>In </w:t>
      </w:r>
      <w:r>
        <w:rPr>
          <w:i/>
          <w:sz w:val="24"/>
        </w:rPr>
        <w:t>Financial Cryptography and Data Security </w:t>
      </w:r>
      <w:r>
        <w:rPr>
          <w:sz w:val="24"/>
        </w:rPr>
        <w:t>(pp.</w:t>
      </w:r>
      <w:r>
        <w:rPr>
          <w:spacing w:val="36"/>
          <w:sz w:val="24"/>
        </w:rPr>
        <w:t> </w:t>
      </w:r>
      <w:r>
        <w:rPr>
          <w:sz w:val="24"/>
        </w:rPr>
        <w:t>3–25).</w:t>
      </w:r>
      <w:r>
        <w:rPr>
          <w:spacing w:val="36"/>
          <w:sz w:val="24"/>
        </w:rPr>
        <w:t> </w:t>
      </w:r>
      <w:r>
        <w:rPr>
          <w:sz w:val="24"/>
        </w:rPr>
        <w:t>Springer. </w:t>
      </w:r>
      <w:hyperlink r:id="rId57">
        <w:r>
          <w:rPr>
            <w:spacing w:val="-2"/>
            <w:sz w:val="24"/>
          </w:rPr>
          <w:t>doi:10.1007/978-3-662-64322-8_1</w:t>
        </w:r>
      </w:hyperlink>
    </w:p>
    <w:p>
      <w:pPr>
        <w:pStyle w:val="ListParagraph"/>
        <w:numPr>
          <w:ilvl w:val="0"/>
          <w:numId w:val="28"/>
        </w:numPr>
        <w:tabs>
          <w:tab w:pos="692" w:val="left" w:leader="none"/>
        </w:tabs>
        <w:spacing w:line="396" w:lineRule="auto" w:before="86" w:after="0"/>
        <w:ind w:left="692" w:right="522" w:hanging="530"/>
        <w:jc w:val="both"/>
        <w:rPr>
          <w:sz w:val="24"/>
        </w:rPr>
      </w:pPr>
      <w:r>
        <w:rPr>
          <w:i/>
        </w:rPr>
        <w:t>Qin, K., Zhou, L., Livshits, B., &amp; Gervais, A. (2021). 재미와 이익을 위해 플래시 대출로 DeFi 생태계를 공격합니다. 금융 암호화 및 데이터 보안(pp. 3–25). 뛰는 것. 도이:10.1007/978-3-662-64322-8_1</w:t>
      </w:r>
    </w:p>
    <w:p>
      <w:pPr>
        <w:pStyle w:val="ListParagraph"/>
        <w:numPr>
          <w:ilvl w:val="0"/>
          <w:numId w:val="28"/>
        </w:numPr>
        <w:tabs>
          <w:tab w:pos="692" w:val="left" w:leader="none"/>
        </w:tabs>
        <w:spacing w:line="396" w:lineRule="auto" w:before="87" w:after="0"/>
        <w:ind w:left="692" w:right="523" w:hanging="530"/>
        <w:jc w:val="both"/>
        <w:rPr>
          <w:i/>
          <w:sz w:val="24"/>
        </w:rPr>
      </w:pPr>
      <w:bookmarkStart w:name="_bookmark185" w:id="308"/>
      <w:bookmarkEnd w:id="308"/>
      <w:r>
        <w:rPr/>
      </w:r>
      <w:r>
        <w:rPr>
          <w:sz w:val="24"/>
        </w:rPr>
        <w:t>Resnick,</w:t>
      </w:r>
      <w:r>
        <w:rPr>
          <w:spacing w:val="-2"/>
          <w:sz w:val="24"/>
        </w:rPr>
        <w:t> </w:t>
      </w:r>
      <w:r>
        <w:rPr>
          <w:sz w:val="24"/>
        </w:rPr>
        <w:t>P.,</w:t>
      </w:r>
      <w:r>
        <w:rPr>
          <w:spacing w:val="-2"/>
          <w:sz w:val="24"/>
        </w:rPr>
        <w:t> </w:t>
      </w:r>
      <w:r>
        <w:rPr>
          <w:sz w:val="24"/>
        </w:rPr>
        <w:t>&amp;</w:t>
      </w:r>
      <w:r>
        <w:rPr>
          <w:spacing w:val="-3"/>
          <w:sz w:val="24"/>
        </w:rPr>
        <w:t> </w:t>
      </w:r>
      <w:r>
        <w:rPr>
          <w:sz w:val="24"/>
        </w:rPr>
        <w:t>Zeckhauser,</w:t>
      </w:r>
      <w:r>
        <w:rPr>
          <w:spacing w:val="-2"/>
          <w:sz w:val="24"/>
        </w:rPr>
        <w:t> </w:t>
      </w:r>
      <w:r>
        <w:rPr>
          <w:sz w:val="24"/>
        </w:rPr>
        <w:t>R.</w:t>
      </w:r>
      <w:r>
        <w:rPr>
          <w:spacing w:val="-3"/>
          <w:sz w:val="24"/>
        </w:rPr>
        <w:t> </w:t>
      </w:r>
      <w:r>
        <w:rPr>
          <w:sz w:val="24"/>
        </w:rPr>
        <w:t>(2002).</w:t>
      </w:r>
      <w:r>
        <w:rPr>
          <w:spacing w:val="25"/>
          <w:sz w:val="24"/>
        </w:rPr>
        <w:t> </w:t>
      </w:r>
      <w:r>
        <w:rPr>
          <w:sz w:val="24"/>
        </w:rPr>
        <w:t>Trust</w:t>
      </w:r>
      <w:r>
        <w:rPr>
          <w:spacing w:val="-4"/>
          <w:sz w:val="24"/>
        </w:rPr>
        <w:t> </w:t>
      </w:r>
      <w:r>
        <w:rPr>
          <w:sz w:val="24"/>
        </w:rPr>
        <w:t>among</w:t>
      </w:r>
      <w:r>
        <w:rPr>
          <w:spacing w:val="-3"/>
          <w:sz w:val="24"/>
        </w:rPr>
        <w:t> </w:t>
      </w:r>
      <w:r>
        <w:rPr>
          <w:sz w:val="24"/>
        </w:rPr>
        <w:t>strangers</w:t>
      </w:r>
      <w:r>
        <w:rPr>
          <w:spacing w:val="-4"/>
          <w:sz w:val="24"/>
        </w:rPr>
        <w:t> </w:t>
      </w:r>
      <w:r>
        <w:rPr>
          <w:sz w:val="24"/>
        </w:rPr>
        <w:t>in</w:t>
      </w:r>
      <w:r>
        <w:rPr>
          <w:spacing w:val="-3"/>
          <w:sz w:val="24"/>
        </w:rPr>
        <w:t> </w:t>
      </w:r>
      <w:r>
        <w:rPr>
          <w:sz w:val="24"/>
        </w:rPr>
        <w:t>Internet</w:t>
      </w:r>
      <w:r>
        <w:rPr>
          <w:spacing w:val="-3"/>
          <w:sz w:val="24"/>
        </w:rPr>
        <w:t> </w:t>
      </w:r>
      <w:r>
        <w:rPr>
          <w:sz w:val="24"/>
        </w:rPr>
        <w:t>transactions: Empir-ical analysis of eBay’s reputation system.</w:t>
      </w:r>
      <w:r>
        <w:rPr>
          <w:spacing w:val="32"/>
          <w:sz w:val="24"/>
        </w:rPr>
        <w:t> </w:t>
      </w:r>
      <w:r>
        <w:rPr>
          <w:sz w:val="24"/>
        </w:rPr>
        <w:t>In </w:t>
      </w:r>
      <w:r>
        <w:rPr>
          <w:i/>
          <w:sz w:val="24"/>
        </w:rPr>
        <w:t>The Economics of the Internet and E-commerce</w:t>
      </w:r>
    </w:p>
    <w:p>
      <w:pPr>
        <w:pStyle w:val="ListParagraph"/>
        <w:numPr>
          <w:ilvl w:val="0"/>
          <w:numId w:val="28"/>
        </w:numPr>
        <w:tabs>
          <w:tab w:pos="692" w:val="left" w:leader="none"/>
        </w:tabs>
        <w:spacing w:line="396" w:lineRule="auto" w:before="87" w:after="0"/>
        <w:ind w:left="692" w:right="523" w:hanging="530"/>
        <w:jc w:val="both"/>
        <w:rPr>
          <w:i/>
          <w:sz w:val="24"/>
        </w:rPr>
      </w:pPr>
      <w:r>
        <w:rPr>
          <w:i/>
        </w:rPr>
        <w:t>Resnick, P., &amp; Zeckhauser, R. (2002). 인터넷 거래에서 낯선 사람 사이의 신뢰: eBay 평판 시스템에 대한 실증 분석. 인터넷과 전자상거래 경제학</w:t>
      </w:r>
    </w:p>
    <w:p>
      <w:pPr>
        <w:pStyle w:val="ListParagraph"/>
        <w:spacing w:after="0" w:line="396" w:lineRule="auto"/>
        <w:jc w:val="both"/>
        <w:rPr>
          <w:i/>
          <w:sz w:val="24"/>
        </w:rPr>
        <w:sectPr>
          <w:pgSz w:w="11910" w:h="16840"/>
          <w:pgMar w:header="0" w:footer="2115" w:top="1840" w:bottom="2300" w:left="992" w:right="708"/>
        </w:sectPr>
      </w:pPr>
    </w:p>
    <w:p>
      <w:pPr>
        <w:pStyle w:val="BodyText"/>
        <w:spacing w:before="72"/>
        <w:ind w:left="684"/>
      </w:pPr>
      <w:r>
        <w:rPr/>
        <w:t>(pp.</w:t>
      </w:r>
      <w:r>
        <w:rPr>
          <w:spacing w:val="12"/>
        </w:rPr>
        <w:t> </w:t>
      </w:r>
      <w:r>
        <w:rPr/>
        <w:t>127–157).</w:t>
      </w:r>
      <w:r>
        <w:rPr>
          <w:spacing w:val="12"/>
        </w:rPr>
        <w:t> </w:t>
      </w:r>
      <w:r>
        <w:rPr>
          <w:spacing w:val="-2"/>
        </w:rPr>
        <w:t>Emerald.</w:t>
      </w:r>
    </w:p>
    <w:p>
      <w:pPr>
        <w:pStyle w:val="BodyText"/>
        <w:spacing w:before="72"/>
        <w:ind w:left="684"/>
      </w:pPr>
      <w:r>
        <w:rPr>
          <w:i/>
        </w:rPr>
        <w:t>(pp. 127–157). 에메랄드.</w:t>
      </w:r>
    </w:p>
    <w:p>
      <w:pPr>
        <w:pStyle w:val="ListParagraph"/>
        <w:numPr>
          <w:ilvl w:val="0"/>
          <w:numId w:val="28"/>
        </w:numPr>
        <w:tabs>
          <w:tab w:pos="686" w:val="left" w:leader="none"/>
          <w:tab w:pos="691" w:val="left" w:leader="none"/>
        </w:tabs>
        <w:spacing w:line="396" w:lineRule="auto" w:before="264" w:after="0"/>
        <w:ind w:left="686" w:right="524" w:hanging="524"/>
        <w:jc w:val="both"/>
        <w:rPr>
          <w:sz w:val="24"/>
        </w:rPr>
      </w:pPr>
      <w:bookmarkStart w:name="_bookmark186" w:id="309"/>
      <w:bookmarkEnd w:id="309"/>
      <w:r>
        <w:rPr/>
      </w:r>
      <w:r>
        <w:rPr>
          <w:sz w:val="24"/>
        </w:rPr>
        <w:tab/>
        <w:t>Schär, F. (2021).</w:t>
      </w:r>
      <w:r>
        <w:rPr>
          <w:spacing w:val="40"/>
          <w:sz w:val="24"/>
        </w:rPr>
        <w:t> </w:t>
      </w:r>
      <w:r>
        <w:rPr>
          <w:sz w:val="24"/>
        </w:rPr>
        <w:t>Decentralized finance: On blockchain- and smart contract-based financial markets.</w:t>
      </w:r>
      <w:r>
        <w:rPr>
          <w:spacing w:val="-15"/>
          <w:sz w:val="24"/>
        </w:rPr>
        <w:t> </w:t>
      </w:r>
      <w:r>
        <w:rPr>
          <w:i/>
          <w:sz w:val="24"/>
        </w:rPr>
        <w:t>Federal</w:t>
      </w:r>
      <w:r>
        <w:rPr>
          <w:i/>
          <w:spacing w:val="-15"/>
          <w:sz w:val="24"/>
        </w:rPr>
        <w:t> </w:t>
      </w:r>
      <w:r>
        <w:rPr>
          <w:i/>
          <w:sz w:val="24"/>
        </w:rPr>
        <w:t>Reserve</w:t>
      </w:r>
      <w:r>
        <w:rPr>
          <w:i/>
          <w:spacing w:val="-15"/>
          <w:sz w:val="24"/>
        </w:rPr>
        <w:t> </w:t>
      </w:r>
      <w:r>
        <w:rPr>
          <w:i/>
          <w:sz w:val="24"/>
        </w:rPr>
        <w:t>Bank</w:t>
      </w:r>
      <w:r>
        <w:rPr>
          <w:i/>
          <w:spacing w:val="-15"/>
          <w:sz w:val="24"/>
        </w:rPr>
        <w:t> </w:t>
      </w:r>
      <w:r>
        <w:rPr>
          <w:i/>
          <w:sz w:val="24"/>
        </w:rPr>
        <w:t>of</w:t>
      </w:r>
      <w:r>
        <w:rPr>
          <w:i/>
          <w:spacing w:val="-15"/>
          <w:sz w:val="24"/>
        </w:rPr>
        <w:t> </w:t>
      </w:r>
      <w:r>
        <w:rPr>
          <w:i/>
          <w:sz w:val="24"/>
        </w:rPr>
        <w:t>St.</w:t>
      </w:r>
      <w:r>
        <w:rPr>
          <w:i/>
          <w:spacing w:val="-15"/>
          <w:sz w:val="24"/>
        </w:rPr>
        <w:t> </w:t>
      </w:r>
      <w:r>
        <w:rPr>
          <w:i/>
          <w:sz w:val="24"/>
        </w:rPr>
        <w:t>Louis</w:t>
      </w:r>
      <w:r>
        <w:rPr>
          <w:i/>
          <w:spacing w:val="-15"/>
          <w:sz w:val="24"/>
        </w:rPr>
        <w:t> </w:t>
      </w:r>
      <w:r>
        <w:rPr>
          <w:i/>
          <w:sz w:val="24"/>
        </w:rPr>
        <w:t>Review</w:t>
      </w:r>
      <w:r>
        <w:rPr>
          <w:sz w:val="24"/>
        </w:rPr>
        <w:t>,</w:t>
      </w:r>
      <w:r>
        <w:rPr>
          <w:spacing w:val="-15"/>
          <w:sz w:val="24"/>
        </w:rPr>
        <w:t> </w:t>
      </w:r>
      <w:r>
        <w:rPr>
          <w:i/>
          <w:sz w:val="24"/>
        </w:rPr>
        <w:t>103</w:t>
      </w:r>
      <w:r>
        <w:rPr>
          <w:sz w:val="24"/>
        </w:rPr>
        <w:t>(2),</w:t>
      </w:r>
      <w:r>
        <w:rPr>
          <w:spacing w:val="-15"/>
          <w:sz w:val="24"/>
        </w:rPr>
        <w:t> </w:t>
      </w:r>
      <w:r>
        <w:rPr>
          <w:sz w:val="24"/>
        </w:rPr>
        <w:t>153–174.</w:t>
      </w:r>
      <w:r>
        <w:rPr>
          <w:spacing w:val="3"/>
          <w:sz w:val="24"/>
        </w:rPr>
        <w:t> </w:t>
      </w:r>
      <w:hyperlink r:id="rId58">
        <w:r>
          <w:rPr>
            <w:sz w:val="24"/>
          </w:rPr>
          <w:t>doi:10.20955/r.103.153-</w:t>
        </w:r>
      </w:hyperlink>
      <w:hyperlink r:id="rId58">
        <w:r>
          <w:rPr>
            <w:spacing w:val="-6"/>
            <w:sz w:val="24"/>
          </w:rPr>
          <w:t>74</w:t>
        </w:r>
      </w:hyperlink>
    </w:p>
    <w:p>
      <w:pPr>
        <w:pStyle w:val="ListParagraph"/>
        <w:numPr>
          <w:ilvl w:val="0"/>
          <w:numId w:val="28"/>
        </w:numPr>
        <w:tabs>
          <w:tab w:pos="686" w:val="left" w:leader="none"/>
          <w:tab w:pos="691" w:val="left" w:leader="none"/>
        </w:tabs>
        <w:spacing w:line="396" w:lineRule="auto" w:before="264" w:after="0"/>
        <w:ind w:left="686" w:right="524" w:hanging="524"/>
        <w:jc w:val="both"/>
        <w:rPr>
          <w:sz w:val="24"/>
        </w:rPr>
      </w:pPr>
      <w:r>
        <w:rPr>
          <w:i/>
        </w:rPr>
        <w:tab/>
        <w:t>Schär, F. (2021). 분산형 금융: 블록체인 및 스마트 계약 기반 금융 시장. 세인트루이스 연방준비은행 검토, 103(2), 153–174. doi:10.20955/r.103.153-74</w:t>
      </w:r>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bookmarkStart w:name="_bookmark187" w:id="310"/>
      <w:bookmarkEnd w:id="310"/>
      <w:r>
        <w:rPr/>
      </w:r>
      <w:r>
        <w:rPr>
          <w:sz w:val="24"/>
        </w:rPr>
        <w:tab/>
        <w:t>Spearman, C. (1904).</w:t>
      </w:r>
      <w:r>
        <w:rPr>
          <w:spacing w:val="40"/>
          <w:sz w:val="24"/>
        </w:rPr>
        <w:t> </w:t>
      </w:r>
      <w:r>
        <w:rPr>
          <w:sz w:val="24"/>
        </w:rPr>
        <w:t>The proof and measurement of association between two things.</w:t>
      </w:r>
      <w:r>
        <w:rPr>
          <w:spacing w:val="40"/>
          <w:sz w:val="24"/>
        </w:rPr>
        <w:t> </w:t>
      </w:r>
      <w:r>
        <w:rPr>
          <w:i/>
          <w:sz w:val="24"/>
        </w:rPr>
        <w:t>The American Journal of Psychology</w:t>
      </w:r>
      <w:r>
        <w:rPr>
          <w:sz w:val="24"/>
        </w:rPr>
        <w:t>, </w:t>
      </w:r>
      <w:r>
        <w:rPr>
          <w:i/>
          <w:sz w:val="24"/>
        </w:rPr>
        <w:t>15</w:t>
      </w:r>
      <w:r>
        <w:rPr>
          <w:sz w:val="24"/>
        </w:rPr>
        <w:t>(1), 72–101. </w:t>
      </w:r>
      <w:hyperlink r:id="rId59">
        <w:r>
          <w:rPr>
            <w:sz w:val="24"/>
          </w:rPr>
          <w:t>doi:10.2307/1412159</w:t>
        </w:r>
      </w:hyperlink>
    </w:p>
    <w:p>
      <w:pPr>
        <w:pStyle w:val="ListParagraph"/>
        <w:numPr>
          <w:ilvl w:val="0"/>
          <w:numId w:val="28"/>
        </w:numPr>
        <w:tabs>
          <w:tab w:pos="685" w:val="left" w:leader="none"/>
          <w:tab w:pos="691" w:val="left" w:leader="none"/>
        </w:tabs>
        <w:spacing w:line="396" w:lineRule="auto" w:before="87" w:after="0"/>
        <w:ind w:left="685" w:right="564" w:hanging="523"/>
        <w:jc w:val="both"/>
        <w:rPr>
          <w:sz w:val="24"/>
        </w:rPr>
      </w:pPr>
      <w:r>
        <w:rPr>
          <w:i/>
        </w:rPr>
        <w:tab/>
        <w:t>Spearman, C. (1904). 두 사물 사이의 연관성을 증명하고 측정하는 것입니다. 미국 심리학 저널, 15(1), 72–101. 도이:10.2307/1412159</w:t>
      </w:r>
    </w:p>
    <w:p>
      <w:pPr>
        <w:pStyle w:val="ListParagraph"/>
        <w:numPr>
          <w:ilvl w:val="0"/>
          <w:numId w:val="28"/>
        </w:numPr>
        <w:tabs>
          <w:tab w:pos="691" w:val="left" w:leader="none"/>
        </w:tabs>
        <w:spacing w:line="240" w:lineRule="auto" w:before="86" w:after="0"/>
        <w:ind w:left="691" w:right="0" w:hanging="529"/>
        <w:jc w:val="both"/>
        <w:rPr>
          <w:sz w:val="24"/>
        </w:rPr>
      </w:pPr>
      <w:bookmarkStart w:name="_bookmark188" w:id="311"/>
      <w:bookmarkEnd w:id="311"/>
      <w:r>
        <w:rPr/>
      </w:r>
      <w:r>
        <w:rPr>
          <w:sz w:val="24"/>
        </w:rPr>
        <w:t>Szabo,</w:t>
      </w:r>
      <w:r>
        <w:rPr>
          <w:spacing w:val="-2"/>
          <w:sz w:val="24"/>
        </w:rPr>
        <w:t> </w:t>
      </w:r>
      <w:r>
        <w:rPr>
          <w:sz w:val="24"/>
        </w:rPr>
        <w:t>N.</w:t>
      </w:r>
      <w:r>
        <w:rPr>
          <w:spacing w:val="-2"/>
          <w:sz w:val="24"/>
        </w:rPr>
        <w:t> </w:t>
      </w:r>
      <w:r>
        <w:rPr>
          <w:sz w:val="24"/>
        </w:rPr>
        <w:t>(1997).</w:t>
      </w:r>
      <w:r>
        <w:rPr>
          <w:spacing w:val="23"/>
          <w:sz w:val="24"/>
        </w:rPr>
        <w:t> </w:t>
      </w:r>
      <w:r>
        <w:rPr>
          <w:sz w:val="24"/>
        </w:rPr>
        <w:t>Formalizing</w:t>
      </w:r>
      <w:r>
        <w:rPr>
          <w:spacing w:val="-3"/>
          <w:sz w:val="24"/>
        </w:rPr>
        <w:t> </w:t>
      </w:r>
      <w:r>
        <w:rPr>
          <w:sz w:val="24"/>
        </w:rPr>
        <w:t>and</w:t>
      </w:r>
      <w:r>
        <w:rPr>
          <w:spacing w:val="-2"/>
          <w:sz w:val="24"/>
        </w:rPr>
        <w:t> </w:t>
      </w:r>
      <w:r>
        <w:rPr>
          <w:sz w:val="24"/>
        </w:rPr>
        <w:t>securing</w:t>
      </w:r>
      <w:r>
        <w:rPr>
          <w:spacing w:val="-3"/>
          <w:sz w:val="24"/>
        </w:rPr>
        <w:t> </w:t>
      </w:r>
      <w:r>
        <w:rPr>
          <w:sz w:val="24"/>
        </w:rPr>
        <w:t>relationships</w:t>
      </w:r>
      <w:r>
        <w:rPr>
          <w:spacing w:val="-3"/>
          <w:sz w:val="24"/>
        </w:rPr>
        <w:t> </w:t>
      </w:r>
      <w:r>
        <w:rPr>
          <w:sz w:val="24"/>
        </w:rPr>
        <w:t>on</w:t>
      </w:r>
      <w:r>
        <w:rPr>
          <w:spacing w:val="-2"/>
          <w:sz w:val="24"/>
        </w:rPr>
        <w:t> </w:t>
      </w:r>
      <w:r>
        <w:rPr>
          <w:sz w:val="24"/>
        </w:rPr>
        <w:t>public</w:t>
      </w:r>
      <w:r>
        <w:rPr>
          <w:spacing w:val="-4"/>
          <w:sz w:val="24"/>
        </w:rPr>
        <w:t> </w:t>
      </w:r>
      <w:r>
        <w:rPr>
          <w:sz w:val="24"/>
        </w:rPr>
        <w:t>networks.</w:t>
      </w:r>
      <w:r>
        <w:rPr>
          <w:spacing w:val="25"/>
          <w:sz w:val="24"/>
        </w:rPr>
        <w:t> </w:t>
      </w:r>
      <w:r>
        <w:rPr>
          <w:i/>
          <w:sz w:val="24"/>
        </w:rPr>
        <w:t>First</w:t>
      </w:r>
      <w:r>
        <w:rPr>
          <w:i/>
          <w:spacing w:val="-3"/>
          <w:sz w:val="24"/>
        </w:rPr>
        <w:t> </w:t>
      </w:r>
      <w:r>
        <w:rPr>
          <w:i/>
          <w:spacing w:val="-2"/>
          <w:sz w:val="24"/>
        </w:rPr>
        <w:t>Monday</w:t>
      </w:r>
      <w:r>
        <w:rPr>
          <w:spacing w:val="-2"/>
          <w:sz w:val="24"/>
        </w:rPr>
        <w:t>,</w:t>
      </w:r>
    </w:p>
    <w:p>
      <w:pPr>
        <w:pStyle w:val="ListParagraph"/>
        <w:numPr>
          <w:ilvl w:val="0"/>
          <w:numId w:val="28"/>
        </w:numPr>
        <w:tabs>
          <w:tab w:pos="691" w:val="left" w:leader="none"/>
        </w:tabs>
        <w:spacing w:line="240" w:lineRule="auto" w:before="86" w:after="0"/>
        <w:ind w:left="691" w:right="0" w:hanging="529"/>
        <w:jc w:val="both"/>
        <w:rPr>
          <w:sz w:val="24"/>
        </w:rPr>
      </w:pPr>
      <w:r>
        <w:rPr>
          <w:i/>
        </w:rPr>
        <w:t>Szabo, N. (1997). 공용 네트워크에서 관계를 공식화하고 보호합니다. 첫 번째 월요일,</w:t>
      </w:r>
    </w:p>
    <w:p>
      <w:pPr>
        <w:pStyle w:val="BodyText"/>
        <w:spacing w:before="181"/>
        <w:ind w:left="692"/>
      </w:pPr>
      <w:r>
        <w:rPr>
          <w:i/>
        </w:rPr>
        <w:t>2</w:t>
      </w:r>
      <w:r>
        <w:rPr/>
        <w:t>(9).</w:t>
      </w:r>
      <w:r>
        <w:rPr>
          <w:spacing w:val="13"/>
        </w:rPr>
        <w:t> </w:t>
      </w:r>
      <w:hyperlink r:id="rId60">
        <w:r>
          <w:rPr>
            <w:spacing w:val="-2"/>
          </w:rPr>
          <w:t>doi:10.5210/fm.v2i9.548</w:t>
        </w:r>
      </w:hyperlink>
    </w:p>
    <w:p>
      <w:pPr>
        <w:pStyle w:val="ListParagraph"/>
        <w:numPr>
          <w:ilvl w:val="0"/>
          <w:numId w:val="28"/>
        </w:numPr>
        <w:tabs>
          <w:tab w:pos="684" w:val="left" w:leader="none"/>
          <w:tab w:pos="691" w:val="left" w:leader="none"/>
        </w:tabs>
        <w:spacing w:line="396" w:lineRule="auto" w:before="264" w:after="0"/>
        <w:ind w:left="684" w:right="556" w:hanging="522"/>
        <w:jc w:val="both"/>
        <w:rPr>
          <w:sz w:val="24"/>
        </w:rPr>
      </w:pPr>
      <w:bookmarkStart w:name="_bookmark189" w:id="312"/>
      <w:bookmarkEnd w:id="312"/>
      <w:r>
        <w:rPr/>
      </w:r>
      <w:r>
        <w:rPr>
          <w:sz w:val="24"/>
        </w:rPr>
        <w:tab/>
        <w:t>Torres,</w:t>
      </w:r>
      <w:r>
        <w:rPr>
          <w:spacing w:val="-15"/>
          <w:sz w:val="24"/>
        </w:rPr>
        <w:t> </w:t>
      </w:r>
      <w:r>
        <w:rPr>
          <w:sz w:val="24"/>
        </w:rPr>
        <w:t>C.</w:t>
      </w:r>
      <w:r>
        <w:rPr>
          <w:spacing w:val="-15"/>
          <w:sz w:val="24"/>
        </w:rPr>
        <w:t> </w:t>
      </w:r>
      <w:r>
        <w:rPr>
          <w:sz w:val="24"/>
        </w:rPr>
        <w:t>F.,</w:t>
      </w:r>
      <w:r>
        <w:rPr>
          <w:spacing w:val="-15"/>
          <w:sz w:val="24"/>
        </w:rPr>
        <w:t> </w:t>
      </w:r>
      <w:r>
        <w:rPr>
          <w:sz w:val="24"/>
        </w:rPr>
        <w:t>Steichen,</w:t>
      </w:r>
      <w:r>
        <w:rPr>
          <w:spacing w:val="-15"/>
          <w:sz w:val="24"/>
        </w:rPr>
        <w:t> </w:t>
      </w:r>
      <w:r>
        <w:rPr>
          <w:sz w:val="24"/>
        </w:rPr>
        <w:t>M.,</w:t>
      </w:r>
      <w:r>
        <w:rPr>
          <w:spacing w:val="-15"/>
          <w:sz w:val="24"/>
        </w:rPr>
        <w:t> </w:t>
      </w:r>
      <w:r>
        <w:rPr>
          <w:sz w:val="24"/>
        </w:rPr>
        <w:t>&amp;</w:t>
      </w:r>
      <w:r>
        <w:rPr>
          <w:spacing w:val="-15"/>
          <w:sz w:val="24"/>
        </w:rPr>
        <w:t> </w:t>
      </w:r>
      <w:r>
        <w:rPr>
          <w:sz w:val="24"/>
        </w:rPr>
        <w:t>State,</w:t>
      </w:r>
      <w:r>
        <w:rPr>
          <w:spacing w:val="-15"/>
          <w:sz w:val="24"/>
        </w:rPr>
        <w:t> </w:t>
      </w:r>
      <w:r>
        <w:rPr>
          <w:sz w:val="24"/>
        </w:rPr>
        <w:t>R.</w:t>
      </w:r>
      <w:r>
        <w:rPr>
          <w:spacing w:val="-15"/>
          <w:sz w:val="24"/>
        </w:rPr>
        <w:t> </w:t>
      </w:r>
      <w:r>
        <w:rPr>
          <w:sz w:val="24"/>
        </w:rPr>
        <w:t>(2019).</w:t>
      </w:r>
      <w:r>
        <w:rPr>
          <w:spacing w:val="-15"/>
          <w:sz w:val="24"/>
        </w:rPr>
        <w:t> </w:t>
      </w:r>
      <w:r>
        <w:rPr>
          <w:sz w:val="24"/>
        </w:rPr>
        <w:t>The</w:t>
      </w:r>
      <w:r>
        <w:rPr>
          <w:spacing w:val="-15"/>
          <w:sz w:val="24"/>
        </w:rPr>
        <w:t> </w:t>
      </w:r>
      <w:r>
        <w:rPr>
          <w:sz w:val="24"/>
        </w:rPr>
        <w:t>art</w:t>
      </w:r>
      <w:r>
        <w:rPr>
          <w:spacing w:val="-15"/>
          <w:sz w:val="24"/>
        </w:rPr>
        <w:t> </w:t>
      </w:r>
      <w:r>
        <w:rPr>
          <w:sz w:val="24"/>
        </w:rPr>
        <w:t>of</w:t>
      </w:r>
      <w:r>
        <w:rPr>
          <w:spacing w:val="-15"/>
          <w:sz w:val="24"/>
        </w:rPr>
        <w:t> </w:t>
      </w:r>
      <w:r>
        <w:rPr>
          <w:sz w:val="24"/>
        </w:rPr>
        <w:t>the</w:t>
      </w:r>
      <w:r>
        <w:rPr>
          <w:spacing w:val="-15"/>
          <w:sz w:val="24"/>
        </w:rPr>
        <w:t> </w:t>
      </w:r>
      <w:r>
        <w:rPr>
          <w:sz w:val="24"/>
        </w:rPr>
        <w:t>scam:</w:t>
      </w:r>
      <w:r>
        <w:rPr>
          <w:spacing w:val="-11"/>
          <w:sz w:val="24"/>
        </w:rPr>
        <w:t> </w:t>
      </w:r>
      <w:r>
        <w:rPr>
          <w:sz w:val="24"/>
        </w:rPr>
        <w:t>Demystifying</w:t>
      </w:r>
      <w:r>
        <w:rPr>
          <w:spacing w:val="-15"/>
          <w:sz w:val="24"/>
        </w:rPr>
        <w:t> </w:t>
      </w:r>
      <w:r>
        <w:rPr>
          <w:sz w:val="24"/>
        </w:rPr>
        <w:t>honeypots</w:t>
      </w:r>
      <w:r>
        <w:rPr>
          <w:spacing w:val="-15"/>
          <w:sz w:val="24"/>
        </w:rPr>
        <w:t> </w:t>
      </w:r>
      <w:r>
        <w:rPr>
          <w:sz w:val="24"/>
        </w:rPr>
        <w:t>in Ethereum smart contracts. In </w:t>
      </w:r>
      <w:r>
        <w:rPr>
          <w:i/>
          <w:sz w:val="24"/>
        </w:rPr>
        <w:t>28th USENIX Security Symposium </w:t>
      </w:r>
      <w:r>
        <w:rPr>
          <w:sz w:val="24"/>
        </w:rPr>
        <w:t>(pp. 1591–1607). USENIX </w:t>
      </w:r>
      <w:r>
        <w:rPr>
          <w:spacing w:val="-2"/>
          <w:sz w:val="24"/>
        </w:rPr>
        <w:t>Association.</w:t>
      </w:r>
    </w:p>
    <w:p>
      <w:pPr>
        <w:pStyle w:val="ListParagraph"/>
        <w:numPr>
          <w:ilvl w:val="0"/>
          <w:numId w:val="28"/>
        </w:numPr>
        <w:tabs>
          <w:tab w:pos="684" w:val="left" w:leader="none"/>
          <w:tab w:pos="691" w:val="left" w:leader="none"/>
        </w:tabs>
        <w:spacing w:line="396" w:lineRule="auto" w:before="264" w:after="0"/>
        <w:ind w:left="684" w:right="556" w:hanging="522"/>
        <w:jc w:val="both"/>
        <w:rPr>
          <w:sz w:val="24"/>
        </w:rPr>
      </w:pPr>
      <w:r>
        <w:rPr>
          <w:i/>
        </w:rPr>
        <w:tab/>
        <w:t>토레스, C. F., Steichen, M., &amp; State, R. (2019). 사기의 기술: 이더리움 스마트 계약의 허니팟을 이해합니다. 제28회 USENIX 보안 심포지엄(pp. 1591–1607). USENIX 협회.</w:t>
      </w:r>
    </w:p>
    <w:p>
      <w:pPr>
        <w:pStyle w:val="ListParagraph"/>
        <w:numPr>
          <w:ilvl w:val="0"/>
          <w:numId w:val="28"/>
        </w:numPr>
        <w:tabs>
          <w:tab w:pos="692" w:val="left" w:leader="none"/>
        </w:tabs>
        <w:spacing w:line="396" w:lineRule="auto" w:before="87" w:after="0"/>
        <w:ind w:left="692" w:right="522" w:hanging="530"/>
        <w:jc w:val="both"/>
        <w:rPr>
          <w:sz w:val="24"/>
        </w:rPr>
      </w:pPr>
      <w:bookmarkStart w:name="_bookmark190" w:id="313"/>
      <w:bookmarkEnd w:id="313"/>
      <w:r>
        <w:rPr/>
      </w:r>
      <w:r>
        <w:rPr>
          <w:spacing w:val="-2"/>
          <w:sz w:val="24"/>
        </w:rPr>
        <w:t>Victor,</w:t>
      </w:r>
      <w:r>
        <w:rPr>
          <w:spacing w:val="-13"/>
          <w:sz w:val="24"/>
        </w:rPr>
        <w:t> </w:t>
      </w:r>
      <w:r>
        <w:rPr>
          <w:spacing w:val="-2"/>
          <w:sz w:val="24"/>
        </w:rPr>
        <w:t>F.,</w:t>
      </w:r>
      <w:r>
        <w:rPr>
          <w:spacing w:val="-13"/>
          <w:sz w:val="24"/>
        </w:rPr>
        <w:t> </w:t>
      </w:r>
      <w:r>
        <w:rPr>
          <w:spacing w:val="-2"/>
          <w:sz w:val="24"/>
        </w:rPr>
        <w:t>&amp;</w:t>
      </w:r>
      <w:r>
        <w:rPr>
          <w:spacing w:val="-13"/>
          <w:sz w:val="24"/>
        </w:rPr>
        <w:t> </w:t>
      </w:r>
      <w:r>
        <w:rPr>
          <w:spacing w:val="-2"/>
          <w:sz w:val="24"/>
        </w:rPr>
        <w:t>Weintraud,</w:t>
      </w:r>
      <w:r>
        <w:rPr>
          <w:spacing w:val="-13"/>
          <w:sz w:val="24"/>
        </w:rPr>
        <w:t> </w:t>
      </w:r>
      <w:r>
        <w:rPr>
          <w:spacing w:val="-2"/>
          <w:sz w:val="24"/>
        </w:rPr>
        <w:t>A.</w:t>
      </w:r>
      <w:r>
        <w:rPr>
          <w:spacing w:val="-13"/>
          <w:sz w:val="24"/>
        </w:rPr>
        <w:t> </w:t>
      </w:r>
      <w:r>
        <w:rPr>
          <w:spacing w:val="-2"/>
          <w:sz w:val="24"/>
        </w:rPr>
        <w:t>M.</w:t>
      </w:r>
      <w:r>
        <w:rPr>
          <w:spacing w:val="-13"/>
          <w:sz w:val="24"/>
        </w:rPr>
        <w:t> </w:t>
      </w:r>
      <w:r>
        <w:rPr>
          <w:spacing w:val="-2"/>
          <w:sz w:val="24"/>
        </w:rPr>
        <w:t>(2021).</w:t>
      </w:r>
      <w:r>
        <w:rPr>
          <w:spacing w:val="23"/>
          <w:sz w:val="24"/>
        </w:rPr>
        <w:t> </w:t>
      </w:r>
      <w:r>
        <w:rPr>
          <w:spacing w:val="-2"/>
          <w:sz w:val="24"/>
        </w:rPr>
        <w:t>Detecting</w:t>
      </w:r>
      <w:r>
        <w:rPr>
          <w:spacing w:val="-13"/>
          <w:sz w:val="24"/>
        </w:rPr>
        <w:t> </w:t>
      </w:r>
      <w:r>
        <w:rPr>
          <w:spacing w:val="-2"/>
          <w:sz w:val="24"/>
        </w:rPr>
        <w:t>and</w:t>
      </w:r>
      <w:r>
        <w:rPr>
          <w:spacing w:val="-13"/>
          <w:sz w:val="24"/>
        </w:rPr>
        <w:t> </w:t>
      </w:r>
      <w:r>
        <w:rPr>
          <w:spacing w:val="-2"/>
          <w:sz w:val="24"/>
        </w:rPr>
        <w:t>quantifying</w:t>
      </w:r>
      <w:r>
        <w:rPr>
          <w:spacing w:val="-13"/>
          <w:sz w:val="24"/>
        </w:rPr>
        <w:t> </w:t>
      </w:r>
      <w:r>
        <w:rPr>
          <w:spacing w:val="-2"/>
          <w:sz w:val="24"/>
        </w:rPr>
        <w:t>wash</w:t>
      </w:r>
      <w:r>
        <w:rPr>
          <w:spacing w:val="-13"/>
          <w:sz w:val="24"/>
        </w:rPr>
        <w:t> </w:t>
      </w:r>
      <w:r>
        <w:rPr>
          <w:spacing w:val="-2"/>
          <w:sz w:val="24"/>
        </w:rPr>
        <w:t>trading</w:t>
      </w:r>
      <w:r>
        <w:rPr>
          <w:spacing w:val="-13"/>
          <w:sz w:val="24"/>
        </w:rPr>
        <w:t> </w:t>
      </w:r>
      <w:r>
        <w:rPr>
          <w:spacing w:val="-2"/>
          <w:sz w:val="24"/>
        </w:rPr>
        <w:t>on</w:t>
      </w:r>
      <w:r>
        <w:rPr>
          <w:spacing w:val="-13"/>
          <w:sz w:val="24"/>
        </w:rPr>
        <w:t> </w:t>
      </w:r>
      <w:r>
        <w:rPr>
          <w:spacing w:val="-2"/>
          <w:sz w:val="24"/>
        </w:rPr>
        <w:t>decentralized </w:t>
      </w:r>
      <w:r>
        <w:rPr>
          <w:sz w:val="24"/>
        </w:rPr>
        <w:t>cryptocurrency exchanges.</w:t>
      </w:r>
      <w:r>
        <w:rPr>
          <w:spacing w:val="40"/>
          <w:sz w:val="24"/>
        </w:rPr>
        <w:t> </w:t>
      </w:r>
      <w:r>
        <w:rPr>
          <w:sz w:val="24"/>
        </w:rPr>
        <w:t>In </w:t>
      </w:r>
      <w:r>
        <w:rPr>
          <w:i/>
          <w:sz w:val="24"/>
        </w:rPr>
        <w:t>Proceedings of the Web Conference 2021 </w:t>
      </w:r>
      <w:r>
        <w:rPr>
          <w:sz w:val="24"/>
        </w:rPr>
        <w:t>(pp.</w:t>
      </w:r>
      <w:r>
        <w:rPr>
          <w:spacing w:val="40"/>
          <w:sz w:val="24"/>
        </w:rPr>
        <w:t> </w:t>
      </w:r>
      <w:r>
        <w:rPr>
          <w:sz w:val="24"/>
        </w:rPr>
        <w:t>23–32).</w:t>
      </w:r>
      <w:r>
        <w:rPr>
          <w:spacing w:val="40"/>
          <w:sz w:val="24"/>
        </w:rPr>
        <w:t> </w:t>
      </w:r>
      <w:r>
        <w:rPr>
          <w:sz w:val="24"/>
        </w:rPr>
        <w:t>ACM. </w:t>
      </w:r>
      <w:hyperlink r:id="rId61">
        <w:r>
          <w:rPr>
            <w:spacing w:val="-2"/>
            <w:sz w:val="24"/>
          </w:rPr>
          <w:t>doi:10.1145/3442381.3449824</w:t>
        </w:r>
      </w:hyperlink>
    </w:p>
    <w:p>
      <w:pPr>
        <w:pStyle w:val="ListParagraph"/>
        <w:numPr>
          <w:ilvl w:val="0"/>
          <w:numId w:val="28"/>
        </w:numPr>
        <w:tabs>
          <w:tab w:pos="692" w:val="left" w:leader="none"/>
        </w:tabs>
        <w:spacing w:line="396" w:lineRule="auto" w:before="87" w:after="0"/>
        <w:ind w:left="692" w:right="522" w:hanging="530"/>
        <w:jc w:val="both"/>
        <w:rPr>
          <w:sz w:val="24"/>
        </w:rPr>
      </w:pPr>
      <w:r>
        <w:rPr>
          <w:i/>
        </w:rPr>
        <w:t>Victor, F., &amp; Weintraud, A.M.(2021). 분산형 암호화폐 거래소에서 가장매매를 탐지하고 정량화합니다. 2021년 웹 컨퍼런스 진행(pp. 23–32). ACM. 도이:10.1145/3442381.3449824</w:t>
      </w:r>
    </w:p>
    <w:p>
      <w:pPr>
        <w:pStyle w:val="ListParagraph"/>
        <w:numPr>
          <w:ilvl w:val="0"/>
          <w:numId w:val="28"/>
        </w:numPr>
        <w:tabs>
          <w:tab w:pos="684" w:val="left" w:leader="none"/>
          <w:tab w:pos="691" w:val="left" w:leader="none"/>
        </w:tabs>
        <w:spacing w:line="396" w:lineRule="auto" w:before="87" w:after="0"/>
        <w:ind w:left="684" w:right="522" w:hanging="522"/>
        <w:jc w:val="both"/>
        <w:rPr>
          <w:sz w:val="24"/>
        </w:rPr>
      </w:pPr>
      <w:bookmarkStart w:name="_bookmark191" w:id="314"/>
      <w:bookmarkEnd w:id="314"/>
      <w:r>
        <w:rPr/>
      </w:r>
      <w:r>
        <w:rPr>
          <w:sz w:val="24"/>
        </w:rPr>
        <w:tab/>
        <w:t>Wang,</w:t>
      </w:r>
      <w:r>
        <w:rPr>
          <w:spacing w:val="-15"/>
          <w:sz w:val="24"/>
        </w:rPr>
        <w:t> </w:t>
      </w:r>
      <w:r>
        <w:rPr>
          <w:sz w:val="24"/>
        </w:rPr>
        <w:t>D.,</w:t>
      </w:r>
      <w:r>
        <w:rPr>
          <w:spacing w:val="-15"/>
          <w:sz w:val="24"/>
        </w:rPr>
        <w:t> </w:t>
      </w:r>
      <w:r>
        <w:rPr>
          <w:sz w:val="24"/>
        </w:rPr>
        <w:t>Wu,</w:t>
      </w:r>
      <w:r>
        <w:rPr>
          <w:spacing w:val="-15"/>
          <w:sz w:val="24"/>
        </w:rPr>
        <w:t> </w:t>
      </w:r>
      <w:r>
        <w:rPr>
          <w:sz w:val="24"/>
        </w:rPr>
        <w:t>S.,</w:t>
      </w:r>
      <w:r>
        <w:rPr>
          <w:spacing w:val="-15"/>
          <w:sz w:val="24"/>
        </w:rPr>
        <w:t> </w:t>
      </w:r>
      <w:r>
        <w:rPr>
          <w:sz w:val="24"/>
        </w:rPr>
        <w:t>Lin,</w:t>
      </w:r>
      <w:r>
        <w:rPr>
          <w:spacing w:val="-15"/>
          <w:sz w:val="24"/>
        </w:rPr>
        <w:t> </w:t>
      </w:r>
      <w:r>
        <w:rPr>
          <w:sz w:val="24"/>
        </w:rPr>
        <w:t>Z.,</w:t>
      </w:r>
      <w:r>
        <w:rPr>
          <w:spacing w:val="-15"/>
          <w:sz w:val="24"/>
        </w:rPr>
        <w:t> </w:t>
      </w:r>
      <w:r>
        <w:rPr>
          <w:sz w:val="24"/>
        </w:rPr>
        <w:t>Wu,</w:t>
      </w:r>
      <w:r>
        <w:rPr>
          <w:spacing w:val="-15"/>
          <w:sz w:val="24"/>
        </w:rPr>
        <w:t> </w:t>
      </w:r>
      <w:r>
        <w:rPr>
          <w:sz w:val="24"/>
        </w:rPr>
        <w:t>L.,</w:t>
      </w:r>
      <w:r>
        <w:rPr>
          <w:spacing w:val="-15"/>
          <w:sz w:val="24"/>
        </w:rPr>
        <w:t> </w:t>
      </w:r>
      <w:r>
        <w:rPr>
          <w:sz w:val="24"/>
        </w:rPr>
        <w:t>Yuan,</w:t>
      </w:r>
      <w:r>
        <w:rPr>
          <w:spacing w:val="-15"/>
          <w:sz w:val="24"/>
        </w:rPr>
        <w:t> </w:t>
      </w:r>
      <w:r>
        <w:rPr>
          <w:sz w:val="24"/>
        </w:rPr>
        <w:t>X.,</w:t>
      </w:r>
      <w:r>
        <w:rPr>
          <w:spacing w:val="-15"/>
          <w:sz w:val="24"/>
        </w:rPr>
        <w:t> </w:t>
      </w:r>
      <w:r>
        <w:rPr>
          <w:sz w:val="24"/>
        </w:rPr>
        <w:t>Zhou,</w:t>
      </w:r>
      <w:r>
        <w:rPr>
          <w:spacing w:val="-15"/>
          <w:sz w:val="24"/>
        </w:rPr>
        <w:t> </w:t>
      </w:r>
      <w:r>
        <w:rPr>
          <w:sz w:val="24"/>
        </w:rPr>
        <w:t>Y.,</w:t>
      </w:r>
      <w:r>
        <w:rPr>
          <w:spacing w:val="-15"/>
          <w:sz w:val="24"/>
        </w:rPr>
        <w:t> </w:t>
      </w:r>
      <w:r>
        <w:rPr>
          <w:sz w:val="24"/>
        </w:rPr>
        <w:t>Wang,</w:t>
      </w:r>
      <w:r>
        <w:rPr>
          <w:spacing w:val="-15"/>
          <w:sz w:val="24"/>
        </w:rPr>
        <w:t> </w:t>
      </w:r>
      <w:r>
        <w:rPr>
          <w:sz w:val="24"/>
        </w:rPr>
        <w:t>H.,</w:t>
      </w:r>
      <w:r>
        <w:rPr>
          <w:spacing w:val="-15"/>
          <w:sz w:val="24"/>
        </w:rPr>
        <w:t> </w:t>
      </w:r>
      <w:r>
        <w:rPr>
          <w:sz w:val="24"/>
        </w:rPr>
        <w:t>&amp;</w:t>
      </w:r>
      <w:r>
        <w:rPr>
          <w:spacing w:val="-15"/>
          <w:sz w:val="24"/>
        </w:rPr>
        <w:t> </w:t>
      </w:r>
      <w:r>
        <w:rPr>
          <w:sz w:val="24"/>
        </w:rPr>
        <w:t>Ren,</w:t>
      </w:r>
      <w:r>
        <w:rPr>
          <w:spacing w:val="-15"/>
          <w:sz w:val="24"/>
        </w:rPr>
        <w:t> </w:t>
      </w:r>
      <w:r>
        <w:rPr>
          <w:sz w:val="24"/>
        </w:rPr>
        <w:t>K.</w:t>
      </w:r>
      <w:r>
        <w:rPr>
          <w:spacing w:val="-15"/>
          <w:sz w:val="24"/>
        </w:rPr>
        <w:t> </w:t>
      </w:r>
      <w:r>
        <w:rPr>
          <w:sz w:val="24"/>
        </w:rPr>
        <w:t>(2021).</w:t>
      </w:r>
      <w:r>
        <w:rPr>
          <w:spacing w:val="-5"/>
          <w:sz w:val="24"/>
        </w:rPr>
        <w:t> </w:t>
      </w:r>
      <w:r>
        <w:rPr>
          <w:sz w:val="24"/>
        </w:rPr>
        <w:t>Towards</w:t>
      </w:r>
      <w:r>
        <w:rPr>
          <w:spacing w:val="-15"/>
          <w:sz w:val="24"/>
        </w:rPr>
        <w:t> </w:t>
      </w:r>
      <w:r>
        <w:rPr>
          <w:sz w:val="24"/>
        </w:rPr>
        <w:t>a first</w:t>
      </w:r>
      <w:r>
        <w:rPr>
          <w:spacing w:val="-13"/>
          <w:sz w:val="24"/>
        </w:rPr>
        <w:t> </w:t>
      </w:r>
      <w:r>
        <w:rPr>
          <w:sz w:val="24"/>
        </w:rPr>
        <w:t>step</w:t>
      </w:r>
      <w:r>
        <w:rPr>
          <w:spacing w:val="-13"/>
          <w:sz w:val="24"/>
        </w:rPr>
        <w:t> </w:t>
      </w:r>
      <w:r>
        <w:rPr>
          <w:sz w:val="24"/>
        </w:rPr>
        <w:t>to</w:t>
      </w:r>
      <w:r>
        <w:rPr>
          <w:spacing w:val="-13"/>
          <w:sz w:val="24"/>
        </w:rPr>
        <w:t> </w:t>
      </w:r>
      <w:r>
        <w:rPr>
          <w:sz w:val="24"/>
        </w:rPr>
        <w:t>understand</w:t>
      </w:r>
      <w:r>
        <w:rPr>
          <w:spacing w:val="-13"/>
          <w:sz w:val="24"/>
        </w:rPr>
        <w:t> </w:t>
      </w:r>
      <w:r>
        <w:rPr>
          <w:sz w:val="24"/>
        </w:rPr>
        <w:t>flash</w:t>
      </w:r>
      <w:r>
        <w:rPr>
          <w:spacing w:val="-13"/>
          <w:sz w:val="24"/>
        </w:rPr>
        <w:t> </w:t>
      </w:r>
      <w:r>
        <w:rPr>
          <w:sz w:val="24"/>
        </w:rPr>
        <w:t>loan</w:t>
      </w:r>
      <w:r>
        <w:rPr>
          <w:spacing w:val="-13"/>
          <w:sz w:val="24"/>
        </w:rPr>
        <w:t> </w:t>
      </w:r>
      <w:r>
        <w:rPr>
          <w:sz w:val="24"/>
        </w:rPr>
        <w:t>and</w:t>
      </w:r>
      <w:r>
        <w:rPr>
          <w:spacing w:val="-13"/>
          <w:sz w:val="24"/>
        </w:rPr>
        <w:t> </w:t>
      </w:r>
      <w:r>
        <w:rPr>
          <w:sz w:val="24"/>
        </w:rPr>
        <w:t>its</w:t>
      </w:r>
      <w:r>
        <w:rPr>
          <w:spacing w:val="-13"/>
          <w:sz w:val="24"/>
        </w:rPr>
        <w:t> </w:t>
      </w:r>
      <w:r>
        <w:rPr>
          <w:sz w:val="24"/>
        </w:rPr>
        <w:t>applications</w:t>
      </w:r>
      <w:r>
        <w:rPr>
          <w:spacing w:val="-13"/>
          <w:sz w:val="24"/>
        </w:rPr>
        <w:t> </w:t>
      </w:r>
      <w:r>
        <w:rPr>
          <w:sz w:val="24"/>
        </w:rPr>
        <w:t>in</w:t>
      </w:r>
      <w:r>
        <w:rPr>
          <w:spacing w:val="-13"/>
          <w:sz w:val="24"/>
        </w:rPr>
        <w:t> </w:t>
      </w:r>
      <w:r>
        <w:rPr>
          <w:sz w:val="24"/>
        </w:rPr>
        <w:t>DeFi</w:t>
      </w:r>
      <w:r>
        <w:rPr>
          <w:spacing w:val="-13"/>
          <w:sz w:val="24"/>
        </w:rPr>
        <w:t> </w:t>
      </w:r>
      <w:r>
        <w:rPr>
          <w:sz w:val="24"/>
        </w:rPr>
        <w:t>ecosystem.</w:t>
      </w:r>
      <w:r>
        <w:rPr>
          <w:spacing w:val="13"/>
          <w:sz w:val="24"/>
        </w:rPr>
        <w:t> </w:t>
      </w:r>
      <w:r>
        <w:rPr>
          <w:sz w:val="24"/>
        </w:rPr>
        <w:t>In</w:t>
      </w:r>
      <w:r>
        <w:rPr>
          <w:spacing w:val="-13"/>
          <w:sz w:val="24"/>
        </w:rPr>
        <w:t> </w:t>
      </w:r>
      <w:r>
        <w:rPr>
          <w:i/>
          <w:sz w:val="24"/>
        </w:rPr>
        <w:t>Proceedings</w:t>
      </w:r>
      <w:r>
        <w:rPr>
          <w:i/>
          <w:spacing w:val="-13"/>
          <w:sz w:val="24"/>
        </w:rPr>
        <w:t> </w:t>
      </w:r>
      <w:r>
        <w:rPr>
          <w:i/>
          <w:sz w:val="24"/>
        </w:rPr>
        <w:t>of</w:t>
      </w:r>
      <w:r>
        <w:rPr>
          <w:i/>
          <w:spacing w:val="-13"/>
          <w:sz w:val="24"/>
        </w:rPr>
        <w:t> </w:t>
      </w:r>
      <w:r>
        <w:rPr>
          <w:i/>
          <w:sz w:val="24"/>
        </w:rPr>
        <w:t>the Ninth International Workshop on Security in Blockchain and Cloud Computing </w:t>
      </w:r>
      <w:r>
        <w:rPr>
          <w:sz w:val="24"/>
        </w:rPr>
        <w:t>(pp.</w:t>
      </w:r>
      <w:r>
        <w:rPr>
          <w:spacing w:val="40"/>
          <w:sz w:val="24"/>
        </w:rPr>
        <w:t> </w:t>
      </w:r>
      <w:r>
        <w:rPr>
          <w:sz w:val="24"/>
        </w:rPr>
        <w:t>23–28). </w:t>
      </w:r>
      <w:r>
        <w:rPr>
          <w:spacing w:val="-4"/>
          <w:sz w:val="24"/>
        </w:rPr>
        <w:t>ACM.</w:t>
      </w:r>
    </w:p>
    <w:p>
      <w:pPr>
        <w:pStyle w:val="ListParagraph"/>
        <w:numPr>
          <w:ilvl w:val="0"/>
          <w:numId w:val="28"/>
        </w:numPr>
        <w:tabs>
          <w:tab w:pos="684" w:val="left" w:leader="none"/>
          <w:tab w:pos="691" w:val="left" w:leader="none"/>
        </w:tabs>
        <w:spacing w:line="396" w:lineRule="auto" w:before="87" w:after="0"/>
        <w:ind w:left="684" w:right="522" w:hanging="522"/>
        <w:jc w:val="both"/>
        <w:rPr>
          <w:sz w:val="24"/>
        </w:rPr>
      </w:pPr>
      <w:r>
        <w:rPr>
          <w:i/>
        </w:rPr>
        <w:tab/>
        <w:t>Wang, D., Wu, S., Lin, Z., Wu, L., Yuan, X., Zhou, Y., Wang, H., &amp; Ren, K. (2021). DeFi 생태계에서 플래시론과 그 활용을 이해하기 위한 첫 번째 단계입니다. 블록체인 및 클라우드 컴퓨팅 보안에 관한 제9차 국제 워크숍 진행 중(pp. 23–28). ACM.</w:t>
      </w:r>
    </w:p>
    <w:p>
      <w:pPr>
        <w:pStyle w:val="ListParagraph"/>
        <w:numPr>
          <w:ilvl w:val="0"/>
          <w:numId w:val="28"/>
        </w:numPr>
        <w:tabs>
          <w:tab w:pos="692" w:val="left" w:leader="none"/>
        </w:tabs>
        <w:spacing w:line="396" w:lineRule="auto" w:before="88" w:after="0"/>
        <w:ind w:left="692" w:right="522" w:hanging="530"/>
        <w:jc w:val="both"/>
        <w:rPr>
          <w:sz w:val="24"/>
        </w:rPr>
      </w:pPr>
      <w:bookmarkStart w:name="_bookmark192" w:id="315"/>
      <w:bookmarkEnd w:id="315"/>
      <w:r>
        <w:rPr/>
      </w:r>
      <w:r>
        <w:rPr>
          <w:sz w:val="24"/>
        </w:rPr>
        <w:t>Werner, S., Perez, D., Gudgeon, L., Klages-Mundt, A., Harz, D., &amp; Knottenbelt, W. (2022). SoK: Decentralized finance (DeFi).</w:t>
      </w:r>
      <w:r>
        <w:rPr>
          <w:spacing w:val="29"/>
          <w:sz w:val="24"/>
        </w:rPr>
        <w:t> </w:t>
      </w:r>
      <w:r>
        <w:rPr>
          <w:sz w:val="24"/>
        </w:rPr>
        <w:t>In </w:t>
      </w:r>
      <w:r>
        <w:rPr>
          <w:i/>
          <w:sz w:val="24"/>
        </w:rPr>
        <w:t>Proceedings of the 4th ACM Conference on Advances in Financial Technologies </w:t>
      </w:r>
      <w:r>
        <w:rPr>
          <w:sz w:val="24"/>
        </w:rPr>
        <w:t>(pp. 30–46). ACM. </w:t>
      </w:r>
      <w:hyperlink r:id="rId62">
        <w:r>
          <w:rPr>
            <w:sz w:val="24"/>
          </w:rPr>
          <w:t>doi:10.1145/3558535.3559780</w:t>
        </w:r>
      </w:hyperlink>
    </w:p>
    <w:p>
      <w:pPr>
        <w:pStyle w:val="ListParagraph"/>
        <w:numPr>
          <w:ilvl w:val="0"/>
          <w:numId w:val="28"/>
        </w:numPr>
        <w:tabs>
          <w:tab w:pos="692" w:val="left" w:leader="none"/>
        </w:tabs>
        <w:spacing w:line="396" w:lineRule="auto" w:before="88" w:after="0"/>
        <w:ind w:left="692" w:right="522" w:hanging="530"/>
        <w:jc w:val="both"/>
        <w:rPr>
          <w:sz w:val="24"/>
        </w:rPr>
      </w:pPr>
      <w:r>
        <w:rPr>
          <w:i/>
        </w:rPr>
        <w:t>Werner, S., Perez, D., Gudgeon, L., Klages-Mundt, A., Harz, D., &amp; Knottenbelt, W. (2022). SoK: 탈중앙화 금융(DeFi). 금융 기술 발전에 관한 제4차 ACM 회의 진행 중(pp. 30–46). ACM. 도이:10.1145/3558535.3559780</w:t>
      </w:r>
    </w:p>
    <w:p>
      <w:pPr>
        <w:pStyle w:val="ListParagraph"/>
        <w:numPr>
          <w:ilvl w:val="0"/>
          <w:numId w:val="28"/>
        </w:numPr>
        <w:tabs>
          <w:tab w:pos="684" w:val="left" w:leader="none"/>
          <w:tab w:pos="691" w:val="left" w:leader="none"/>
        </w:tabs>
        <w:spacing w:line="396" w:lineRule="auto" w:before="87" w:after="0"/>
        <w:ind w:left="684" w:right="564" w:hanging="522"/>
        <w:jc w:val="both"/>
        <w:rPr>
          <w:sz w:val="24"/>
        </w:rPr>
      </w:pPr>
      <w:bookmarkStart w:name="_bookmark193" w:id="316"/>
      <w:bookmarkEnd w:id="316"/>
      <w:r>
        <w:rPr/>
      </w:r>
      <w:r>
        <w:rPr>
          <w:sz w:val="24"/>
        </w:rPr>
        <w:tab/>
      </w:r>
      <w:r>
        <w:rPr>
          <w:spacing w:val="-2"/>
          <w:sz w:val="24"/>
        </w:rPr>
        <w:t>Wood,</w:t>
      </w:r>
      <w:r>
        <w:rPr>
          <w:spacing w:val="-7"/>
          <w:sz w:val="24"/>
        </w:rPr>
        <w:t> </w:t>
      </w:r>
      <w:r>
        <w:rPr>
          <w:spacing w:val="-2"/>
          <w:sz w:val="24"/>
        </w:rPr>
        <w:t>G.</w:t>
      </w:r>
      <w:r>
        <w:rPr>
          <w:spacing w:val="-10"/>
          <w:sz w:val="24"/>
        </w:rPr>
        <w:t> </w:t>
      </w:r>
      <w:r>
        <w:rPr>
          <w:spacing w:val="-2"/>
          <w:sz w:val="24"/>
        </w:rPr>
        <w:t>(2014).</w:t>
      </w:r>
      <w:r>
        <w:rPr>
          <w:spacing w:val="24"/>
          <w:sz w:val="24"/>
        </w:rPr>
        <w:t> </w:t>
      </w:r>
      <w:r>
        <w:rPr>
          <w:i/>
          <w:spacing w:val="-2"/>
          <w:sz w:val="24"/>
        </w:rPr>
        <w:t>Ethereum:</w:t>
      </w:r>
      <w:r>
        <w:rPr>
          <w:i/>
          <w:spacing w:val="20"/>
          <w:sz w:val="24"/>
        </w:rPr>
        <w:t> </w:t>
      </w:r>
      <w:r>
        <w:rPr>
          <w:i/>
          <w:spacing w:val="-2"/>
          <w:sz w:val="24"/>
        </w:rPr>
        <w:t>A</w:t>
      </w:r>
      <w:r>
        <w:rPr>
          <w:i/>
          <w:spacing w:val="-10"/>
          <w:sz w:val="24"/>
        </w:rPr>
        <w:t> </w:t>
      </w:r>
      <w:r>
        <w:rPr>
          <w:i/>
          <w:spacing w:val="-2"/>
          <w:sz w:val="24"/>
        </w:rPr>
        <w:t>secure</w:t>
      </w:r>
      <w:r>
        <w:rPr>
          <w:i/>
          <w:spacing w:val="-10"/>
          <w:sz w:val="24"/>
        </w:rPr>
        <w:t> </w:t>
      </w:r>
      <w:r>
        <w:rPr>
          <w:i/>
          <w:spacing w:val="-2"/>
          <w:sz w:val="24"/>
        </w:rPr>
        <w:t>decentralised</w:t>
      </w:r>
      <w:r>
        <w:rPr>
          <w:i/>
          <w:spacing w:val="-10"/>
          <w:sz w:val="24"/>
        </w:rPr>
        <w:t> </w:t>
      </w:r>
      <w:r>
        <w:rPr>
          <w:i/>
          <w:spacing w:val="-2"/>
          <w:sz w:val="24"/>
        </w:rPr>
        <w:t>generalised</w:t>
      </w:r>
      <w:r>
        <w:rPr>
          <w:i/>
          <w:spacing w:val="-10"/>
          <w:sz w:val="24"/>
        </w:rPr>
        <w:t> </w:t>
      </w:r>
      <w:r>
        <w:rPr>
          <w:i/>
          <w:spacing w:val="-2"/>
          <w:sz w:val="24"/>
        </w:rPr>
        <w:t>transaction</w:t>
      </w:r>
      <w:r>
        <w:rPr>
          <w:i/>
          <w:spacing w:val="-10"/>
          <w:sz w:val="24"/>
        </w:rPr>
        <w:t> </w:t>
      </w:r>
      <w:r>
        <w:rPr>
          <w:i/>
          <w:spacing w:val="-2"/>
          <w:sz w:val="24"/>
        </w:rPr>
        <w:t>ledger</w:t>
      </w:r>
      <w:r>
        <w:rPr>
          <w:i/>
          <w:spacing w:val="-5"/>
          <w:sz w:val="24"/>
        </w:rPr>
        <w:t> </w:t>
      </w:r>
      <w:r>
        <w:rPr>
          <w:spacing w:val="-2"/>
          <w:sz w:val="24"/>
        </w:rPr>
        <w:t>(Ethereum </w:t>
      </w:r>
      <w:r>
        <w:rPr>
          <w:sz w:val="24"/>
        </w:rPr>
        <w:t>Yellow Paper). Ethereum Project.</w:t>
      </w:r>
    </w:p>
    <w:p>
      <w:pPr>
        <w:pStyle w:val="ListParagraph"/>
        <w:numPr>
          <w:ilvl w:val="0"/>
          <w:numId w:val="28"/>
        </w:numPr>
        <w:tabs>
          <w:tab w:pos="684" w:val="left" w:leader="none"/>
          <w:tab w:pos="691" w:val="left" w:leader="none"/>
        </w:tabs>
        <w:spacing w:line="396" w:lineRule="auto" w:before="87" w:after="0"/>
        <w:ind w:left="684" w:right="564" w:hanging="522"/>
        <w:jc w:val="both"/>
        <w:rPr>
          <w:sz w:val="24"/>
        </w:rPr>
      </w:pPr>
      <w:r>
        <w:rPr>
          <w:i/>
        </w:rPr>
        <w:tab/>
        <w:t>우드, G. (2014). 이더리움(Ethereum): 안전한 분산형 일반 거래 원장(Ethereum Yellow Paper)입니다. 이더리움 프로젝트.</w:t>
      </w:r>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bookmarkStart w:name="_bookmark194" w:id="317"/>
      <w:bookmarkEnd w:id="317"/>
      <w:r>
        <w:rPr/>
      </w:r>
      <w:r>
        <w:rPr>
          <w:sz w:val="24"/>
        </w:rPr>
        <w:tab/>
        <w:t>Xu, J., Paruch, K., Cousaert, S., &amp; Feng, Y. (2023).</w:t>
      </w:r>
      <w:r>
        <w:rPr>
          <w:spacing w:val="40"/>
          <w:sz w:val="24"/>
        </w:rPr>
        <w:t> </w:t>
      </w:r>
      <w:r>
        <w:rPr>
          <w:sz w:val="24"/>
        </w:rPr>
        <w:t>SoK: Decentralized exchanges (DEX) with</w:t>
      </w:r>
      <w:r>
        <w:rPr>
          <w:spacing w:val="22"/>
          <w:sz w:val="24"/>
        </w:rPr>
        <w:t> </w:t>
      </w:r>
      <w:r>
        <w:rPr>
          <w:sz w:val="24"/>
        </w:rPr>
        <w:t>automated</w:t>
      </w:r>
      <w:r>
        <w:rPr>
          <w:spacing w:val="23"/>
          <w:sz w:val="24"/>
        </w:rPr>
        <w:t> </w:t>
      </w:r>
      <w:r>
        <w:rPr>
          <w:sz w:val="24"/>
        </w:rPr>
        <w:t>market</w:t>
      </w:r>
      <w:r>
        <w:rPr>
          <w:spacing w:val="23"/>
          <w:sz w:val="24"/>
        </w:rPr>
        <w:t> </w:t>
      </w:r>
      <w:r>
        <w:rPr>
          <w:sz w:val="24"/>
        </w:rPr>
        <w:t>maker</w:t>
      </w:r>
      <w:r>
        <w:rPr>
          <w:spacing w:val="22"/>
          <w:sz w:val="24"/>
        </w:rPr>
        <w:t> </w:t>
      </w:r>
      <w:r>
        <w:rPr>
          <w:sz w:val="24"/>
        </w:rPr>
        <w:t>(AMM)</w:t>
      </w:r>
      <w:r>
        <w:rPr>
          <w:spacing w:val="23"/>
          <w:sz w:val="24"/>
        </w:rPr>
        <w:t> </w:t>
      </w:r>
      <w:r>
        <w:rPr>
          <w:sz w:val="24"/>
        </w:rPr>
        <w:t>protocols.</w:t>
      </w:r>
      <w:r>
        <w:rPr>
          <w:spacing w:val="67"/>
          <w:w w:val="150"/>
          <w:sz w:val="24"/>
        </w:rPr>
        <w:t> </w:t>
      </w:r>
      <w:r>
        <w:rPr>
          <w:i/>
          <w:sz w:val="24"/>
        </w:rPr>
        <w:t>ACM</w:t>
      </w:r>
      <w:r>
        <w:rPr>
          <w:i/>
          <w:spacing w:val="23"/>
          <w:sz w:val="24"/>
        </w:rPr>
        <w:t> </w:t>
      </w:r>
      <w:r>
        <w:rPr>
          <w:i/>
          <w:sz w:val="24"/>
        </w:rPr>
        <w:t>Computing</w:t>
      </w:r>
      <w:r>
        <w:rPr>
          <w:i/>
          <w:spacing w:val="22"/>
          <w:sz w:val="24"/>
        </w:rPr>
        <w:t> </w:t>
      </w:r>
      <w:r>
        <w:rPr>
          <w:i/>
          <w:sz w:val="24"/>
        </w:rPr>
        <w:t>Surveys</w:t>
      </w:r>
      <w:r>
        <w:rPr>
          <w:sz w:val="24"/>
        </w:rPr>
        <w:t>,</w:t>
      </w:r>
      <w:r>
        <w:rPr>
          <w:spacing w:val="30"/>
          <w:sz w:val="24"/>
        </w:rPr>
        <w:t> </w:t>
      </w:r>
      <w:r>
        <w:rPr>
          <w:i/>
          <w:sz w:val="24"/>
        </w:rPr>
        <w:t>55</w:t>
      </w:r>
      <w:r>
        <w:rPr>
          <w:sz w:val="24"/>
        </w:rPr>
        <w:t>(11),</w:t>
      </w:r>
      <w:r>
        <w:rPr>
          <w:spacing w:val="29"/>
          <w:sz w:val="24"/>
        </w:rPr>
        <w:t> </w:t>
      </w:r>
      <w:r>
        <w:rPr>
          <w:sz w:val="24"/>
        </w:rPr>
        <w:t>1–</w:t>
      </w:r>
      <w:r>
        <w:rPr>
          <w:spacing w:val="-5"/>
          <w:sz w:val="24"/>
        </w:rPr>
        <w:t>50.</w:t>
      </w:r>
    </w:p>
    <w:p>
      <w:pPr>
        <w:pStyle w:val="ListParagraph"/>
        <w:numPr>
          <w:ilvl w:val="0"/>
          <w:numId w:val="28"/>
        </w:numPr>
        <w:tabs>
          <w:tab w:pos="684" w:val="left" w:leader="none"/>
          <w:tab w:pos="691" w:val="left" w:leader="none"/>
        </w:tabs>
        <w:spacing w:line="396" w:lineRule="auto" w:before="86" w:after="0"/>
        <w:ind w:left="684" w:right="522" w:hanging="522"/>
        <w:jc w:val="both"/>
        <w:rPr>
          <w:sz w:val="24"/>
        </w:rPr>
      </w:pPr>
      <w:r>
        <w:rPr>
          <w:i/>
        </w:rPr>
        <w:tab/>
        <w:t>Xu, J., Paruch, K., Cousaert, S., &amp; Feng, Y. (2023). SoK: 자동화된 시장 조성자(AMM) 프로토콜을 갖춘 분산형 거래소(DEX)입니다. ACM 컴퓨팅 설문조사, 55(11), 1–50.</w:t>
      </w:r>
    </w:p>
    <w:p>
      <w:pPr>
        <w:pStyle w:val="ListParagraph"/>
        <w:spacing w:after="0" w:line="396" w:lineRule="auto"/>
        <w:jc w:val="both"/>
        <w:rPr>
          <w:sz w:val="24"/>
        </w:rPr>
        <w:sectPr>
          <w:pgSz w:w="11910" w:h="16840"/>
          <w:pgMar w:header="0" w:footer="2115" w:top="1840" w:bottom="2300" w:left="992" w:right="708"/>
        </w:sectPr>
      </w:pPr>
    </w:p>
    <w:p>
      <w:pPr>
        <w:pStyle w:val="BodyText"/>
        <w:spacing w:before="72"/>
        <w:ind w:left="692"/>
      </w:pPr>
      <w:hyperlink r:id="rId63">
        <w:r>
          <w:rPr>
            <w:spacing w:val="-2"/>
          </w:rPr>
          <w:t>doi:10.1145/3570639</w:t>
        </w:r>
      </w:hyperlink>
    </w:p>
    <w:p>
      <w:pPr>
        <w:pStyle w:val="BodyText"/>
        <w:spacing w:before="72"/>
        <w:ind w:left="692"/>
      </w:pPr>
      <w:r>
        <w:rPr>
          <w:i/>
        </w:rPr>
        <w:t>도이:10.1145/3570639</w:t>
      </w:r>
    </w:p>
    <w:p>
      <w:pPr>
        <w:pStyle w:val="ListParagraph"/>
        <w:numPr>
          <w:ilvl w:val="0"/>
          <w:numId w:val="28"/>
        </w:numPr>
        <w:tabs>
          <w:tab w:pos="692" w:val="left" w:leader="none"/>
        </w:tabs>
        <w:spacing w:line="396" w:lineRule="auto" w:before="264" w:after="0"/>
        <w:ind w:left="692" w:right="564" w:hanging="530"/>
        <w:jc w:val="both"/>
        <w:rPr>
          <w:sz w:val="24"/>
        </w:rPr>
      </w:pPr>
      <w:bookmarkStart w:name="_bookmark195" w:id="318"/>
      <w:bookmarkEnd w:id="318"/>
      <w:r>
        <w:rPr/>
      </w:r>
      <w:r>
        <w:rPr>
          <w:sz w:val="24"/>
        </w:rPr>
        <w:t>Zetzsche, D. A., Arner, D. W., &amp; Buckley, R. P. (2020).</w:t>
      </w:r>
      <w:r>
        <w:rPr>
          <w:spacing w:val="40"/>
          <w:sz w:val="24"/>
        </w:rPr>
        <w:t> </w:t>
      </w:r>
      <w:r>
        <w:rPr>
          <w:sz w:val="24"/>
        </w:rPr>
        <w:t>Decentralized finance.</w:t>
      </w:r>
      <w:r>
        <w:rPr>
          <w:spacing w:val="40"/>
          <w:sz w:val="24"/>
        </w:rPr>
        <w:t> </w:t>
      </w:r>
      <w:r>
        <w:rPr>
          <w:i/>
          <w:sz w:val="24"/>
        </w:rPr>
        <w:t>Journal of Financial Regulation</w:t>
      </w:r>
      <w:r>
        <w:rPr>
          <w:sz w:val="24"/>
        </w:rPr>
        <w:t>, </w:t>
      </w:r>
      <w:r>
        <w:rPr>
          <w:i/>
          <w:sz w:val="24"/>
        </w:rPr>
        <w:t>6</w:t>
      </w:r>
      <w:r>
        <w:rPr>
          <w:sz w:val="24"/>
        </w:rPr>
        <w:t>(2), 172–203. </w:t>
      </w:r>
      <w:hyperlink r:id="rId64">
        <w:r>
          <w:rPr>
            <w:sz w:val="24"/>
          </w:rPr>
          <w:t>doi:10.1093/jfr/fjaa010</w:t>
        </w:r>
      </w:hyperlink>
    </w:p>
    <w:p>
      <w:pPr>
        <w:pStyle w:val="ListParagraph"/>
        <w:numPr>
          <w:ilvl w:val="0"/>
          <w:numId w:val="28"/>
        </w:numPr>
        <w:tabs>
          <w:tab w:pos="692" w:val="left" w:leader="none"/>
        </w:tabs>
        <w:spacing w:line="396" w:lineRule="auto" w:before="264" w:after="0"/>
        <w:ind w:left="692" w:right="564" w:hanging="530"/>
        <w:jc w:val="both"/>
        <w:rPr>
          <w:sz w:val="24"/>
        </w:rPr>
      </w:pPr>
      <w:r>
        <w:rPr>
          <w:i/>
        </w:rPr>
        <w:t>Zetzsche, D.A., Arner, D.W., &amp; Buckley, R.P.(2020). 탈중앙화 금융. 금융 규제 저널, 6(2), 172-203. doi:10.1093/jfr/fjaa010</w:t>
      </w:r>
    </w:p>
    <w:p>
      <w:pPr>
        <w:pStyle w:val="ListParagraph"/>
        <w:numPr>
          <w:ilvl w:val="0"/>
          <w:numId w:val="28"/>
        </w:numPr>
        <w:tabs>
          <w:tab w:pos="686" w:val="left" w:leader="none"/>
          <w:tab w:pos="691" w:val="left" w:leader="none"/>
        </w:tabs>
        <w:spacing w:line="396" w:lineRule="auto" w:before="86" w:after="0"/>
        <w:ind w:left="686" w:right="522" w:hanging="524"/>
        <w:jc w:val="both"/>
        <w:rPr>
          <w:sz w:val="24"/>
        </w:rPr>
      </w:pPr>
      <w:bookmarkStart w:name="_bookmark196" w:id="319"/>
      <w:bookmarkEnd w:id="319"/>
      <w:r>
        <w:rPr/>
      </w:r>
      <w:r>
        <w:rPr>
          <w:sz w:val="24"/>
        </w:rPr>
        <w:tab/>
        <w:t>Zhou,</w:t>
      </w:r>
      <w:r>
        <w:rPr>
          <w:spacing w:val="23"/>
          <w:sz w:val="24"/>
        </w:rPr>
        <w:t> </w:t>
      </w:r>
      <w:r>
        <w:rPr>
          <w:sz w:val="24"/>
        </w:rPr>
        <w:t>L.,</w:t>
      </w:r>
      <w:r>
        <w:rPr>
          <w:spacing w:val="23"/>
          <w:sz w:val="24"/>
        </w:rPr>
        <w:t> </w:t>
      </w:r>
      <w:r>
        <w:rPr>
          <w:sz w:val="24"/>
        </w:rPr>
        <w:t>Qin,</w:t>
      </w:r>
      <w:r>
        <w:rPr>
          <w:spacing w:val="23"/>
          <w:sz w:val="24"/>
        </w:rPr>
        <w:t> </w:t>
      </w:r>
      <w:r>
        <w:rPr>
          <w:sz w:val="24"/>
        </w:rPr>
        <w:t>K.,</w:t>
      </w:r>
      <w:r>
        <w:rPr>
          <w:spacing w:val="23"/>
          <w:sz w:val="24"/>
        </w:rPr>
        <w:t> </w:t>
      </w:r>
      <w:r>
        <w:rPr>
          <w:sz w:val="24"/>
        </w:rPr>
        <w:t>Torres,</w:t>
      </w:r>
      <w:r>
        <w:rPr>
          <w:spacing w:val="23"/>
          <w:sz w:val="24"/>
        </w:rPr>
        <w:t> </w:t>
      </w:r>
      <w:r>
        <w:rPr>
          <w:sz w:val="24"/>
        </w:rPr>
        <w:t>C. F.,</w:t>
      </w:r>
      <w:r>
        <w:rPr>
          <w:spacing w:val="22"/>
          <w:sz w:val="24"/>
        </w:rPr>
        <w:t> </w:t>
      </w:r>
      <w:r>
        <w:rPr>
          <w:sz w:val="24"/>
        </w:rPr>
        <w:t>Le,</w:t>
      </w:r>
      <w:r>
        <w:rPr>
          <w:spacing w:val="23"/>
          <w:sz w:val="24"/>
        </w:rPr>
        <w:t> </w:t>
      </w:r>
      <w:r>
        <w:rPr>
          <w:sz w:val="24"/>
        </w:rPr>
        <w:t>D. V.,</w:t>
      </w:r>
      <w:r>
        <w:rPr>
          <w:spacing w:val="22"/>
          <w:sz w:val="24"/>
        </w:rPr>
        <w:t> </w:t>
      </w:r>
      <w:r>
        <w:rPr>
          <w:sz w:val="24"/>
        </w:rPr>
        <w:t>&amp; Gervais,</w:t>
      </w:r>
      <w:r>
        <w:rPr>
          <w:spacing w:val="23"/>
          <w:sz w:val="24"/>
        </w:rPr>
        <w:t> </w:t>
      </w:r>
      <w:r>
        <w:rPr>
          <w:sz w:val="24"/>
        </w:rPr>
        <w:t>A. (2021).</w:t>
      </w:r>
      <w:r>
        <w:rPr>
          <w:spacing w:val="80"/>
          <w:sz w:val="24"/>
        </w:rPr>
        <w:t> </w:t>
      </w:r>
      <w:r>
        <w:rPr>
          <w:sz w:val="24"/>
        </w:rPr>
        <w:t>High-frequency trading on</w:t>
      </w:r>
      <w:r>
        <w:rPr>
          <w:spacing w:val="-2"/>
          <w:sz w:val="24"/>
        </w:rPr>
        <w:t> </w:t>
      </w:r>
      <w:r>
        <w:rPr>
          <w:sz w:val="24"/>
        </w:rPr>
        <w:t>decentralized</w:t>
      </w:r>
      <w:r>
        <w:rPr>
          <w:spacing w:val="-2"/>
          <w:sz w:val="24"/>
        </w:rPr>
        <w:t> </w:t>
      </w:r>
      <w:r>
        <w:rPr>
          <w:sz w:val="24"/>
        </w:rPr>
        <w:t>on-chain</w:t>
      </w:r>
      <w:r>
        <w:rPr>
          <w:spacing w:val="-1"/>
          <w:sz w:val="24"/>
        </w:rPr>
        <w:t> </w:t>
      </w:r>
      <w:r>
        <w:rPr>
          <w:sz w:val="24"/>
        </w:rPr>
        <w:t>exchanges.</w:t>
      </w:r>
      <w:r>
        <w:rPr>
          <w:spacing w:val="26"/>
          <w:sz w:val="24"/>
        </w:rPr>
        <w:t> </w:t>
      </w:r>
      <w:r>
        <w:rPr>
          <w:sz w:val="24"/>
        </w:rPr>
        <w:t>In</w:t>
      </w:r>
      <w:r>
        <w:rPr>
          <w:spacing w:val="-1"/>
          <w:sz w:val="24"/>
        </w:rPr>
        <w:t> </w:t>
      </w:r>
      <w:r>
        <w:rPr>
          <w:i/>
          <w:sz w:val="24"/>
        </w:rPr>
        <w:t>2021</w:t>
      </w:r>
      <w:r>
        <w:rPr>
          <w:i/>
          <w:spacing w:val="-2"/>
          <w:sz w:val="24"/>
        </w:rPr>
        <w:t> </w:t>
      </w:r>
      <w:r>
        <w:rPr>
          <w:i/>
          <w:sz w:val="24"/>
        </w:rPr>
        <w:t>IEEE</w:t>
      </w:r>
      <w:r>
        <w:rPr>
          <w:i/>
          <w:spacing w:val="-2"/>
          <w:sz w:val="24"/>
        </w:rPr>
        <w:t> </w:t>
      </w:r>
      <w:r>
        <w:rPr>
          <w:i/>
          <w:sz w:val="24"/>
        </w:rPr>
        <w:t>Symposium</w:t>
      </w:r>
      <w:r>
        <w:rPr>
          <w:i/>
          <w:spacing w:val="-1"/>
          <w:sz w:val="24"/>
        </w:rPr>
        <w:t> </w:t>
      </w:r>
      <w:r>
        <w:rPr>
          <w:i/>
          <w:sz w:val="24"/>
        </w:rPr>
        <w:t>on</w:t>
      </w:r>
      <w:r>
        <w:rPr>
          <w:i/>
          <w:spacing w:val="-2"/>
          <w:sz w:val="24"/>
        </w:rPr>
        <w:t> </w:t>
      </w:r>
      <w:r>
        <w:rPr>
          <w:i/>
          <w:sz w:val="24"/>
        </w:rPr>
        <w:t>Security</w:t>
      </w:r>
      <w:r>
        <w:rPr>
          <w:i/>
          <w:spacing w:val="-2"/>
          <w:sz w:val="24"/>
        </w:rPr>
        <w:t> </w:t>
      </w:r>
      <w:r>
        <w:rPr>
          <w:i/>
          <w:sz w:val="24"/>
        </w:rPr>
        <w:t>and</w:t>
      </w:r>
      <w:r>
        <w:rPr>
          <w:i/>
          <w:spacing w:val="-1"/>
          <w:sz w:val="24"/>
        </w:rPr>
        <w:t> </w:t>
      </w:r>
      <w:r>
        <w:rPr>
          <w:i/>
          <w:sz w:val="24"/>
        </w:rPr>
        <w:t>Privacy</w:t>
      </w:r>
      <w:r>
        <w:rPr>
          <w:i/>
          <w:spacing w:val="-2"/>
          <w:sz w:val="24"/>
        </w:rPr>
        <w:t> </w:t>
      </w:r>
      <w:r>
        <w:rPr>
          <w:sz w:val="24"/>
        </w:rPr>
        <w:t>(pp. 428–445). IEEE. </w:t>
      </w:r>
      <w:hyperlink r:id="rId65">
        <w:r>
          <w:rPr>
            <w:sz w:val="24"/>
          </w:rPr>
          <w:t>doi:10.1109/SP40001.2021.00027</w:t>
        </w:r>
      </w:hyperlink>
    </w:p>
    <w:p>
      <w:pPr>
        <w:pStyle w:val="ListParagraph"/>
        <w:numPr>
          <w:ilvl w:val="0"/>
          <w:numId w:val="28"/>
        </w:numPr>
        <w:tabs>
          <w:tab w:pos="686" w:val="left" w:leader="none"/>
          <w:tab w:pos="691" w:val="left" w:leader="none"/>
        </w:tabs>
        <w:spacing w:line="396" w:lineRule="auto" w:before="86" w:after="0"/>
        <w:ind w:left="686" w:right="522" w:hanging="524"/>
        <w:jc w:val="both"/>
        <w:rPr>
          <w:sz w:val="24"/>
        </w:rPr>
      </w:pPr>
      <w:r>
        <w:rPr>
          <w:i/>
        </w:rPr>
        <w:tab/>
        <w:t>Zhou, L., Qin, K., Torres, C. F., Le, D. V., &amp; Gervais, A. (2021). 분산형 온체인 거래소에서의 고주파 거래. 2021년 IEEE 보안 및 개인 정보 보호 심포지엄(pp. 428–445). IEEE. doi:10.1109/SP40001.2021.00027</w:t>
      </w:r>
    </w:p>
    <w:p>
      <w:pPr>
        <w:pStyle w:val="ListParagraph"/>
        <w:spacing w:after="0" w:line="396" w:lineRule="auto"/>
        <w:jc w:val="both"/>
        <w:rPr>
          <w:sz w:val="24"/>
        </w:rPr>
        <w:sectPr>
          <w:pgSz w:w="11910" w:h="16840"/>
          <w:pgMar w:header="0" w:footer="2115" w:top="1840" w:bottom="2300" w:left="992" w:right="708"/>
        </w:sectPr>
      </w:pPr>
    </w:p>
    <w:p>
      <w:pPr>
        <w:pStyle w:val="BodyText"/>
        <w:rPr>
          <w:sz w:val="34"/>
        </w:rPr>
      </w:pPr>
    </w:p>
    <w:p>
      <w:pPr>
        <w:pStyle w:val="BodyText"/>
        <w:spacing w:before="197"/>
        <w:rPr>
          <w:sz w:val="34"/>
        </w:rPr>
      </w:pPr>
    </w:p>
    <w:p>
      <w:pPr>
        <w:pStyle w:val="Heading1"/>
        <w:numPr>
          <w:ilvl w:val="0"/>
          <w:numId w:val="8"/>
        </w:numPr>
        <w:tabs>
          <w:tab w:pos="625" w:val="left" w:leader="none"/>
        </w:tabs>
        <w:spacing w:line="240" w:lineRule="auto" w:before="0" w:after="0"/>
        <w:ind w:left="625" w:right="0" w:hanging="343"/>
        <w:jc w:val="both"/>
      </w:pPr>
      <w:bookmarkStart w:name="Appendix" w:id="320"/>
      <w:bookmarkEnd w:id="320"/>
      <w:r>
        <w:rPr>
          <w:b w:val="0"/>
        </w:rPr>
      </w:r>
      <w:bookmarkStart w:name="_bookmark197" w:id="321"/>
      <w:bookmarkEnd w:id="321"/>
      <w:r>
        <w:rPr>
          <w:b w:val="0"/>
        </w:rPr>
      </w:r>
      <w:r>
        <w:rPr>
          <w:spacing w:val="-2"/>
        </w:rPr>
        <w:t>Appendix</w:t>
      </w:r>
    </w:p>
    <w:p>
      <w:pPr>
        <w:pStyle w:val="Heading1"/>
        <w:numPr>
          <w:ilvl w:val="0"/>
          <w:numId w:val="8"/>
        </w:numPr>
        <w:tabs>
          <w:tab w:pos="625" w:val="left" w:leader="none"/>
        </w:tabs>
        <w:spacing w:line="240" w:lineRule="auto" w:before="0" w:after="0"/>
        <w:ind w:left="625" w:right="0" w:hanging="343"/>
        <w:jc w:val="both"/>
      </w:pPr>
      <w:r>
        <w:rPr>
          <w:i/>
        </w:rPr>
        <w:t>부록</w:t>
      </w:r>
    </w:p>
    <w:p>
      <w:pPr>
        <w:pStyle w:val="BodyText"/>
        <w:spacing w:before="158"/>
        <w:rPr>
          <w:b/>
          <w:sz w:val="34"/>
        </w:rPr>
      </w:pPr>
    </w:p>
    <w:p>
      <w:pPr>
        <w:pStyle w:val="Heading2"/>
        <w:numPr>
          <w:ilvl w:val="1"/>
          <w:numId w:val="8"/>
        </w:numPr>
        <w:tabs>
          <w:tab w:pos="783" w:val="left" w:leader="none"/>
        </w:tabs>
        <w:spacing w:line="240" w:lineRule="auto" w:before="1" w:after="0"/>
        <w:ind w:left="783" w:right="0" w:hanging="501"/>
        <w:jc w:val="left"/>
      </w:pPr>
      <w:bookmarkStart w:name="Evaluation Pipeline and Reproducibility" w:id="322"/>
      <w:bookmarkEnd w:id="322"/>
      <w:r>
        <w:rPr>
          <w:b w:val="0"/>
        </w:rPr>
      </w:r>
      <w:bookmarkStart w:name="_bookmark198" w:id="323"/>
      <w:bookmarkEnd w:id="323"/>
      <w:r>
        <w:rPr>
          <w:b w:val="0"/>
        </w:rPr>
      </w:r>
      <w:r>
        <w:rPr/>
        <w:t>Evaluation</w:t>
      </w:r>
      <w:r>
        <w:rPr>
          <w:spacing w:val="15"/>
        </w:rPr>
        <w:t> </w:t>
      </w:r>
      <w:r>
        <w:rPr/>
        <w:t>Pipeline</w:t>
      </w:r>
      <w:r>
        <w:rPr>
          <w:spacing w:val="15"/>
        </w:rPr>
        <w:t> </w:t>
      </w:r>
      <w:r>
        <w:rPr/>
        <w:t>and</w:t>
      </w:r>
      <w:r>
        <w:rPr>
          <w:spacing w:val="16"/>
        </w:rPr>
        <w:t> </w:t>
      </w:r>
      <w:r>
        <w:rPr>
          <w:spacing w:val="-2"/>
        </w:rPr>
        <w:t>Reproducibility</w:t>
      </w:r>
    </w:p>
    <w:p>
      <w:pPr>
        <w:pStyle w:val="Heading2"/>
        <w:numPr>
          <w:ilvl w:val="1"/>
          <w:numId w:val="8"/>
        </w:numPr>
        <w:tabs>
          <w:tab w:pos="783" w:val="left" w:leader="none"/>
        </w:tabs>
        <w:spacing w:line="240" w:lineRule="auto" w:before="1" w:after="0"/>
        <w:ind w:left="783" w:right="0" w:hanging="501"/>
        <w:jc w:val="left"/>
      </w:pPr>
      <w:r>
        <w:rPr>
          <w:i/>
        </w:rPr>
        <w:t>평가 파이프라인 및 재현성</w:t>
      </w:r>
    </w:p>
    <w:p>
      <w:pPr>
        <w:pStyle w:val="BodyText"/>
        <w:spacing w:before="23"/>
        <w:rPr>
          <w:b/>
          <w:sz w:val="28"/>
        </w:rPr>
      </w:pPr>
    </w:p>
    <w:p>
      <w:pPr>
        <w:pStyle w:val="BodyText"/>
        <w:spacing w:line="396" w:lineRule="auto" w:before="1"/>
        <w:ind w:left="282" w:right="563" w:hanging="8"/>
        <w:jc w:val="both"/>
      </w:pPr>
      <w:r>
        <w:rPr/>
        <w:t>This appendix documents the evaluation pipeline that produced the numerics in Chapter </w:t>
      </w:r>
      <w:hyperlink w:history="true" w:anchor="_bookmark84">
        <w:r>
          <w:rPr/>
          <w:t>4</w:t>
        </w:r>
      </w:hyperlink>
      <w:r>
        <w:rPr/>
        <w:t>:</w:t>
      </w:r>
      <w:r>
        <w:rPr>
          <w:spacing w:val="40"/>
        </w:rPr>
        <w:t> </w:t>
      </w:r>
      <w:r>
        <w:rPr/>
        <w:t>data sources,</w:t>
      </w:r>
      <w:r>
        <w:rPr>
          <w:spacing w:val="-12"/>
        </w:rPr>
        <w:t> </w:t>
      </w:r>
      <w:r>
        <w:rPr/>
        <w:t>processing</w:t>
      </w:r>
      <w:r>
        <w:rPr>
          <w:spacing w:val="-12"/>
        </w:rPr>
        <w:t> </w:t>
      </w:r>
      <w:r>
        <w:rPr/>
        <w:t>stages,</w:t>
      </w:r>
      <w:r>
        <w:rPr>
          <w:spacing w:val="-12"/>
        </w:rPr>
        <w:t> </w:t>
      </w:r>
      <w:r>
        <w:rPr/>
        <w:t>default</w:t>
      </w:r>
      <w:r>
        <w:rPr>
          <w:spacing w:val="-12"/>
        </w:rPr>
        <w:t> </w:t>
      </w:r>
      <w:r>
        <w:rPr/>
        <w:t>parameters,</w:t>
      </w:r>
      <w:r>
        <w:rPr>
          <w:spacing w:val="-12"/>
        </w:rPr>
        <w:t> </w:t>
      </w:r>
      <w:r>
        <w:rPr/>
        <w:t>proxy</w:t>
      </w:r>
      <w:r>
        <w:rPr>
          <w:spacing w:val="-12"/>
        </w:rPr>
        <w:t> </w:t>
      </w:r>
      <w:r>
        <w:rPr/>
        <w:t>formulas,</w:t>
      </w:r>
      <w:r>
        <w:rPr>
          <w:spacing w:val="-12"/>
        </w:rPr>
        <w:t> </w:t>
      </w:r>
      <w:r>
        <w:rPr/>
        <w:t>and</w:t>
      </w:r>
      <w:r>
        <w:rPr>
          <w:spacing w:val="-12"/>
        </w:rPr>
        <w:t> </w:t>
      </w:r>
      <w:r>
        <w:rPr/>
        <w:t>a</w:t>
      </w:r>
      <w:r>
        <w:rPr>
          <w:spacing w:val="-12"/>
        </w:rPr>
        <w:t> </w:t>
      </w:r>
      <w:r>
        <w:rPr/>
        <w:t>glossary.</w:t>
      </w:r>
      <w:r>
        <w:rPr>
          <w:spacing w:val="8"/>
        </w:rPr>
        <w:t> </w:t>
      </w:r>
      <w:r>
        <w:rPr/>
        <w:t>All</w:t>
      </w:r>
      <w:r>
        <w:rPr>
          <w:spacing w:val="-12"/>
        </w:rPr>
        <w:t> </w:t>
      </w:r>
      <w:r>
        <w:rPr/>
        <w:t>quantities</w:t>
      </w:r>
      <w:r>
        <w:rPr>
          <w:spacing w:val="-12"/>
        </w:rPr>
        <w:t> </w:t>
      </w:r>
      <w:r>
        <w:rPr/>
        <w:t>cited here also appear in the main-text tables and figures; no external files are required to interpret the </w:t>
      </w:r>
      <w:bookmarkStart w:name="Pipeline stages" w:id="324"/>
      <w:bookmarkEnd w:id="324"/>
      <w:r>
        <w:rPr>
          <w:w w:val="99"/>
        </w:rPr>
      </w:r>
      <w:bookmarkStart w:name="_bookmark199" w:id="325"/>
      <w:bookmarkEnd w:id="325"/>
      <w:r>
        <w:rPr>
          <w:spacing w:val="-2"/>
        </w:rPr>
        <w:t>claims.</w:t>
      </w:r>
    </w:p>
    <w:p>
      <w:pPr>
        <w:pStyle w:val="BodyText"/>
        <w:spacing w:line="396" w:lineRule="auto" w:before="1"/>
        <w:ind w:left="282" w:right="563" w:hanging="8"/>
        <w:jc w:val="both"/>
      </w:pPr>
      <w:r>
        <w:rPr>
          <w:i/>
        </w:rPr>
        <w:t>이 부록에는 4장에서 수치를 생성한 평가 파이프라인(데이터 소스, 처리 단계, 기본 매개변수, 프록시 공식 및 용어집)이 문서화되어 있습니다. 여기에 인용된 모든 수량은 본문 표와 그림에도 표시되며 주장을 해석하는 데 외부 파일이 필요하지 않습니다.</w:t>
      </w:r>
    </w:p>
    <w:p>
      <w:pPr>
        <w:pStyle w:val="BodyText"/>
        <w:spacing w:before="9"/>
      </w:pPr>
    </w:p>
    <w:p>
      <w:pPr>
        <w:pStyle w:val="Heading4"/>
        <w:numPr>
          <w:ilvl w:val="2"/>
          <w:numId w:val="8"/>
        </w:numPr>
        <w:tabs>
          <w:tab w:pos="879" w:val="left" w:leader="none"/>
        </w:tabs>
        <w:spacing w:line="240" w:lineRule="auto" w:before="0" w:after="0"/>
        <w:ind w:left="879" w:right="0" w:hanging="597"/>
        <w:jc w:val="left"/>
      </w:pPr>
      <w:r>
        <w:rPr/>
        <w:t>Pipeline</w:t>
      </w:r>
      <w:r>
        <w:rPr>
          <w:spacing w:val="-10"/>
        </w:rPr>
        <w:t> </w:t>
      </w:r>
      <w:r>
        <w:rPr>
          <w:spacing w:val="-2"/>
        </w:rPr>
        <w:t>stages</w:t>
      </w:r>
    </w:p>
    <w:p>
      <w:pPr>
        <w:pStyle w:val="Heading4"/>
        <w:numPr>
          <w:ilvl w:val="2"/>
          <w:numId w:val="8"/>
        </w:numPr>
        <w:tabs>
          <w:tab w:pos="879" w:val="left" w:leader="none"/>
        </w:tabs>
        <w:spacing w:line="240" w:lineRule="auto" w:before="0" w:after="0"/>
        <w:ind w:left="879" w:right="0" w:hanging="597"/>
        <w:jc w:val="left"/>
      </w:pPr>
      <w:r>
        <w:rPr>
          <w:i/>
        </w:rPr>
        <w:t>파이프라인 단계</w:t>
      </w:r>
    </w:p>
    <w:p>
      <w:pPr>
        <w:pStyle w:val="BodyText"/>
        <w:spacing w:before="47"/>
        <w:rPr>
          <w:b/>
        </w:rPr>
      </w:pPr>
    </w:p>
    <w:p>
      <w:pPr>
        <w:pStyle w:val="BodyText"/>
        <w:spacing w:line="396" w:lineRule="auto"/>
        <w:ind w:left="282" w:right="558" w:hanging="8"/>
        <w:jc w:val="both"/>
      </w:pPr>
      <w:r>
        <w:rPr/>
        <w:t>The</w:t>
      </w:r>
      <w:r>
        <w:rPr>
          <w:spacing w:val="-15"/>
        </w:rPr>
        <w:t> </w:t>
      </w:r>
      <w:r>
        <w:rPr/>
        <w:t>evaluation</w:t>
      </w:r>
      <w:r>
        <w:rPr>
          <w:spacing w:val="-15"/>
        </w:rPr>
        <w:t> </w:t>
      </w:r>
      <w:r>
        <w:rPr/>
        <w:t>proceeds</w:t>
      </w:r>
      <w:r>
        <w:rPr>
          <w:spacing w:val="-15"/>
        </w:rPr>
        <w:t> </w:t>
      </w:r>
      <w:r>
        <w:rPr/>
        <w:t>in</w:t>
      </w:r>
      <w:r>
        <w:rPr>
          <w:spacing w:val="-15"/>
        </w:rPr>
        <w:t> </w:t>
      </w:r>
      <w:r>
        <w:rPr/>
        <w:t>three</w:t>
      </w:r>
      <w:r>
        <w:rPr>
          <w:spacing w:val="-15"/>
        </w:rPr>
        <w:t> </w:t>
      </w:r>
      <w:r>
        <w:rPr/>
        <w:t>stages</w:t>
      </w:r>
      <w:r>
        <w:rPr>
          <w:spacing w:val="-15"/>
        </w:rPr>
        <w:t> </w:t>
      </w:r>
      <w:r>
        <w:rPr/>
        <w:t>on</w:t>
      </w:r>
      <w:r>
        <w:rPr>
          <w:spacing w:val="-15"/>
        </w:rPr>
        <w:t> </w:t>
      </w:r>
      <w:r>
        <w:rPr/>
        <w:t>Arbitrum</w:t>
      </w:r>
      <w:r>
        <w:rPr>
          <w:spacing w:val="-15"/>
        </w:rPr>
        <w:t> </w:t>
      </w:r>
      <w:r>
        <w:rPr/>
        <w:t>One</w:t>
      </w:r>
      <w:r>
        <w:rPr>
          <w:spacing w:val="-15"/>
        </w:rPr>
        <w:t> </w:t>
      </w:r>
      <w:r>
        <w:rPr/>
        <w:t>over</w:t>
      </w:r>
      <w:r>
        <w:rPr>
          <w:spacing w:val="-15"/>
        </w:rPr>
        <w:t> </w:t>
      </w:r>
      <w:r>
        <w:rPr/>
        <w:t>the</w:t>
      </w:r>
      <w:r>
        <w:rPr>
          <w:spacing w:val="-15"/>
        </w:rPr>
        <w:t> </w:t>
      </w:r>
      <w:r>
        <w:rPr/>
        <w:t>observation</w:t>
      </w:r>
      <w:r>
        <w:rPr>
          <w:spacing w:val="-15"/>
        </w:rPr>
        <w:t> </w:t>
      </w:r>
      <w:r>
        <w:rPr/>
        <w:t>window</w:t>
      </w:r>
      <w:r>
        <w:rPr>
          <w:spacing w:val="-15"/>
        </w:rPr>
        <w:t> </w:t>
      </w:r>
      <w:r>
        <w:rPr/>
        <w:t>2025-12-01 to 2026-05-31 (UTC, inclusive).</w:t>
      </w:r>
    </w:p>
    <w:p>
      <w:pPr>
        <w:pStyle w:val="BodyText"/>
        <w:spacing w:line="396" w:lineRule="auto"/>
        <w:ind w:left="282" w:right="558" w:hanging="8"/>
        <w:jc w:val="both"/>
      </w:pPr>
      <w:r>
        <w:rPr>
          <w:i/>
        </w:rPr>
        <w:t>평가는 2025-12-01부터 2026-05-31(UTC 포함) 관찰 기간 동안 Arbitrum One에 3단계로 진행됩니다.</w:t>
      </w:r>
    </w:p>
    <w:p>
      <w:pPr>
        <w:pStyle w:val="ListParagraph"/>
        <w:numPr>
          <w:ilvl w:val="0"/>
          <w:numId w:val="29"/>
        </w:numPr>
        <w:tabs>
          <w:tab w:pos="847" w:val="left" w:leader="none"/>
          <w:tab w:pos="856" w:val="left" w:leader="none"/>
        </w:tabs>
        <w:spacing w:line="381" w:lineRule="auto" w:before="117" w:after="0"/>
        <w:ind w:left="856" w:right="524" w:hanging="311"/>
        <w:jc w:val="both"/>
        <w:rPr>
          <w:sz w:val="24"/>
        </w:rPr>
      </w:pPr>
      <w:r>
        <w:rPr>
          <w:b/>
          <w:spacing w:val="-2"/>
          <w:w w:val="105"/>
          <w:sz w:val="24"/>
        </w:rPr>
        <w:t>Trading-success</w:t>
      </w:r>
      <w:r>
        <w:rPr>
          <w:b/>
          <w:spacing w:val="-11"/>
          <w:w w:val="105"/>
          <w:sz w:val="24"/>
        </w:rPr>
        <w:t> </w:t>
      </w:r>
      <w:r>
        <w:rPr>
          <w:b/>
          <w:spacing w:val="-2"/>
          <w:w w:val="105"/>
          <w:sz w:val="24"/>
        </w:rPr>
        <w:t>labels:</w:t>
      </w:r>
      <w:r>
        <w:rPr>
          <w:b/>
          <w:spacing w:val="10"/>
          <w:w w:val="105"/>
          <w:sz w:val="24"/>
        </w:rPr>
        <w:t> </w:t>
      </w:r>
      <w:r>
        <w:rPr>
          <w:spacing w:val="-2"/>
          <w:w w:val="105"/>
          <w:sz w:val="24"/>
        </w:rPr>
        <w:t>Decode</w:t>
      </w:r>
      <w:r>
        <w:rPr>
          <w:spacing w:val="-11"/>
          <w:w w:val="105"/>
          <w:sz w:val="24"/>
        </w:rPr>
        <w:t> </w:t>
      </w:r>
      <w:r>
        <w:rPr>
          <w:spacing w:val="-2"/>
          <w:w w:val="105"/>
          <w:sz w:val="24"/>
        </w:rPr>
        <w:t>GMX</w:t>
      </w:r>
      <w:r>
        <w:rPr>
          <w:spacing w:val="-11"/>
          <w:w w:val="105"/>
          <w:sz w:val="24"/>
        </w:rPr>
        <w:t> </w:t>
      </w:r>
      <w:r>
        <w:rPr>
          <w:spacing w:val="-2"/>
          <w:w w:val="105"/>
          <w:sz w:val="24"/>
        </w:rPr>
        <w:t>V2</w:t>
      </w:r>
      <w:r>
        <w:rPr>
          <w:spacing w:val="-11"/>
          <w:w w:val="105"/>
          <w:sz w:val="24"/>
        </w:rPr>
        <w:t> </w:t>
      </w:r>
      <w:r>
        <w:rPr>
          <w:rFonts w:ascii="Calibri" w:hAnsi="Calibri"/>
          <w:spacing w:val="-2"/>
          <w:w w:val="105"/>
          <w:sz w:val="24"/>
        </w:rPr>
        <w:t>PositionDecrease</w:t>
      </w:r>
      <w:r>
        <w:rPr>
          <w:rFonts w:ascii="Calibri" w:hAnsi="Calibri"/>
          <w:spacing w:val="-4"/>
          <w:w w:val="105"/>
          <w:sz w:val="24"/>
        </w:rPr>
        <w:t> </w:t>
      </w:r>
      <w:r>
        <w:rPr>
          <w:spacing w:val="-2"/>
          <w:w w:val="105"/>
          <w:sz w:val="24"/>
        </w:rPr>
        <w:t>events</w:t>
      </w:r>
      <w:r>
        <w:rPr>
          <w:spacing w:val="-11"/>
          <w:w w:val="105"/>
          <w:sz w:val="24"/>
        </w:rPr>
        <w:t> </w:t>
      </w:r>
      <w:r>
        <w:rPr>
          <w:spacing w:val="-2"/>
          <w:w w:val="105"/>
          <w:sz w:val="24"/>
        </w:rPr>
        <w:t>from</w:t>
      </w:r>
      <w:r>
        <w:rPr>
          <w:spacing w:val="-11"/>
          <w:w w:val="105"/>
          <w:sz w:val="24"/>
        </w:rPr>
        <w:t> </w:t>
      </w:r>
      <w:r>
        <w:rPr>
          <w:spacing w:val="-2"/>
          <w:w w:val="105"/>
          <w:sz w:val="24"/>
        </w:rPr>
        <w:t>the</w:t>
      </w:r>
      <w:r>
        <w:rPr>
          <w:spacing w:val="-11"/>
          <w:w w:val="105"/>
          <w:sz w:val="24"/>
        </w:rPr>
        <w:t> </w:t>
      </w:r>
      <w:r>
        <w:rPr>
          <w:spacing w:val="-2"/>
          <w:w w:val="105"/>
          <w:sz w:val="24"/>
        </w:rPr>
        <w:t>public</w:t>
      </w:r>
      <w:r>
        <w:rPr>
          <w:spacing w:val="-11"/>
          <w:w w:val="105"/>
          <w:sz w:val="24"/>
        </w:rPr>
        <w:t> </w:t>
      </w:r>
      <w:r>
        <w:rPr>
          <w:spacing w:val="-2"/>
          <w:w w:val="105"/>
          <w:sz w:val="24"/>
        </w:rPr>
        <w:t>Big-</w:t>
      </w:r>
      <w:r>
        <w:rPr>
          <w:sz w:val="24"/>
        </w:rPr>
        <w:t>Query log table, recover wallet identity, realized PnL, position-size change, and liquidation flags,</w:t>
      </w:r>
      <w:r>
        <w:rPr>
          <w:spacing w:val="-3"/>
          <w:sz w:val="24"/>
        </w:rPr>
        <w:t> </w:t>
      </w:r>
      <w:r>
        <w:rPr>
          <w:sz w:val="24"/>
        </w:rPr>
        <w:t>and</w:t>
      </w:r>
      <w:r>
        <w:rPr>
          <w:spacing w:val="-4"/>
          <w:sz w:val="24"/>
        </w:rPr>
        <w:t> </w:t>
      </w:r>
      <w:r>
        <w:rPr>
          <w:sz w:val="24"/>
        </w:rPr>
        <w:t>retain</w:t>
      </w:r>
      <w:r>
        <w:rPr>
          <w:spacing w:val="-4"/>
          <w:sz w:val="24"/>
        </w:rPr>
        <w:t> </w:t>
      </w:r>
      <w:r>
        <w:rPr>
          <w:sz w:val="24"/>
        </w:rPr>
        <w:t>wallets</w:t>
      </w:r>
      <w:r>
        <w:rPr>
          <w:spacing w:val="-4"/>
          <w:sz w:val="24"/>
        </w:rPr>
        <w:t> </w:t>
      </w:r>
      <w:r>
        <w:rPr>
          <w:sz w:val="24"/>
        </w:rPr>
        <w:t>with</w:t>
      </w:r>
      <w:r>
        <w:rPr>
          <w:spacing w:val="-3"/>
          <w:sz w:val="24"/>
        </w:rPr>
        <w:t> </w:t>
      </w:r>
      <w:r>
        <w:rPr>
          <w:sz w:val="24"/>
        </w:rPr>
        <w:t>at</w:t>
      </w:r>
      <w:r>
        <w:rPr>
          <w:spacing w:val="-3"/>
          <w:sz w:val="24"/>
        </w:rPr>
        <w:t> </w:t>
      </w:r>
      <w:r>
        <w:rPr>
          <w:sz w:val="24"/>
        </w:rPr>
        <w:t>least</w:t>
      </w:r>
      <w:r>
        <w:rPr>
          <w:spacing w:val="-3"/>
          <w:sz w:val="24"/>
        </w:rPr>
        <w:t> </w:t>
      </w:r>
      <w:r>
        <w:rPr>
          <w:sz w:val="24"/>
        </w:rPr>
        <w:t>three</w:t>
      </w:r>
      <w:r>
        <w:rPr>
          <w:spacing w:val="-4"/>
          <w:sz w:val="24"/>
        </w:rPr>
        <w:t> </w:t>
      </w:r>
      <w:r>
        <w:rPr>
          <w:sz w:val="24"/>
        </w:rPr>
        <w:t>closes</w:t>
      </w:r>
      <w:r>
        <w:rPr>
          <w:spacing w:val="-4"/>
          <w:sz w:val="24"/>
        </w:rPr>
        <w:t> </w:t>
      </w:r>
      <w:r>
        <w:rPr>
          <w:sz w:val="24"/>
        </w:rPr>
        <w:t>as</w:t>
      </w:r>
      <w:r>
        <w:rPr>
          <w:spacing w:val="-3"/>
          <w:sz w:val="24"/>
        </w:rPr>
        <w:t> </w:t>
      </w:r>
      <w:r>
        <w:rPr>
          <w:sz w:val="24"/>
        </w:rPr>
        <w:t>the</w:t>
      </w:r>
      <w:r>
        <w:rPr>
          <w:spacing w:val="-4"/>
          <w:sz w:val="24"/>
        </w:rPr>
        <w:t> </w:t>
      </w:r>
      <w:r>
        <w:rPr>
          <w:sz w:val="24"/>
        </w:rPr>
        <w:t>matched</w:t>
      </w:r>
      <w:r>
        <w:rPr>
          <w:spacing w:val="-4"/>
          <w:sz w:val="24"/>
        </w:rPr>
        <w:t> </w:t>
      </w:r>
      <w:r>
        <w:rPr>
          <w:sz w:val="24"/>
        </w:rPr>
        <w:t>cohort</w:t>
      </w:r>
      <w:r>
        <w:rPr>
          <w:spacing w:val="-3"/>
          <w:sz w:val="24"/>
        </w:rPr>
        <w:t> </w:t>
      </w:r>
      <w:r>
        <w:rPr>
          <w:sz w:val="24"/>
        </w:rPr>
        <w:t>(</w:t>
      </w:r>
      <w:r>
        <w:rPr>
          <w:rFonts w:ascii="Calibri" w:hAnsi="Calibri"/>
          <w:i/>
          <w:sz w:val="24"/>
        </w:rPr>
        <w:t>n </w:t>
      </w:r>
      <w:r>
        <w:rPr>
          <w:rFonts w:ascii="Calibri" w:hAnsi="Calibri"/>
          <w:sz w:val="24"/>
        </w:rPr>
        <w:t>= 5</w:t>
      </w:r>
      <w:r>
        <w:rPr>
          <w:rFonts w:ascii="Calibri" w:hAnsi="Calibri"/>
          <w:i/>
          <w:sz w:val="24"/>
        </w:rPr>
        <w:t>,</w:t>
      </w:r>
      <w:r>
        <w:rPr>
          <w:rFonts w:ascii="Calibri" w:hAnsi="Calibri"/>
          <w:sz w:val="24"/>
        </w:rPr>
        <w:t>521</w:t>
      </w:r>
      <w:r>
        <w:rPr>
          <w:sz w:val="24"/>
        </w:rPr>
        <w:t>;</w:t>
      </w:r>
      <w:r>
        <w:rPr>
          <w:spacing w:val="-2"/>
          <w:sz w:val="24"/>
        </w:rPr>
        <w:t> </w:t>
      </w:r>
      <w:r>
        <w:rPr>
          <w:rFonts w:ascii="Calibri" w:hAnsi="Calibri"/>
          <w:sz w:val="24"/>
        </w:rPr>
        <w:t>365</w:t>
      </w:r>
      <w:r>
        <w:rPr>
          <w:rFonts w:ascii="Calibri" w:hAnsi="Calibri"/>
          <w:i/>
          <w:sz w:val="24"/>
        </w:rPr>
        <w:t>,</w:t>
      </w:r>
      <w:r>
        <w:rPr>
          <w:rFonts w:ascii="Calibri" w:hAnsi="Calibri"/>
          <w:sz w:val="24"/>
        </w:rPr>
        <w:t>488 </w:t>
      </w:r>
      <w:r>
        <w:rPr>
          <w:w w:val="105"/>
          <w:sz w:val="24"/>
        </w:rPr>
        <w:t>decoded closes).</w:t>
      </w:r>
    </w:p>
    <w:p>
      <w:pPr>
        <w:pStyle w:val="ListParagraph"/>
        <w:numPr>
          <w:ilvl w:val="0"/>
          <w:numId w:val="29"/>
        </w:numPr>
        <w:tabs>
          <w:tab w:pos="847" w:val="left" w:leader="none"/>
          <w:tab w:pos="856" w:val="left" w:leader="none"/>
        </w:tabs>
        <w:spacing w:line="381" w:lineRule="auto" w:before="117" w:after="0"/>
        <w:ind w:left="856" w:right="524" w:hanging="311"/>
        <w:jc w:val="both"/>
        <w:rPr>
          <w:sz w:val="24"/>
        </w:rPr>
      </w:pPr>
      <w:r>
        <w:rPr>
          <w:i/>
        </w:rPr>
        <w:t>거래 성공 라벨: 공개 Big-Query 로그 테이블에서 GMX V2 PositionDecrease 이벤트를 디코딩하고, 지갑 ID를 복구하고, 실현 손익, 포지션 규모 변경, 청산 플래그를 복구하고, 3개 이상의 마감이 있는 지갑을 일치하는 코호트(n = 5,521, 365,488 디코딩된 마감)로 유지합니다.</w:t>
      </w:r>
    </w:p>
    <w:p>
      <w:pPr>
        <w:pStyle w:val="ListParagraph"/>
        <w:numPr>
          <w:ilvl w:val="0"/>
          <w:numId w:val="29"/>
        </w:numPr>
        <w:tabs>
          <w:tab w:pos="847" w:val="left" w:leader="none"/>
          <w:tab w:pos="854" w:val="left" w:leader="none"/>
        </w:tabs>
        <w:spacing w:line="379" w:lineRule="auto" w:before="53" w:after="0"/>
        <w:ind w:left="847" w:right="523" w:hanging="303"/>
        <w:jc w:val="both"/>
        <w:rPr>
          <w:sz w:val="24"/>
        </w:rPr>
      </w:pPr>
      <w:r>
        <w:rPr>
          <w:b/>
          <w:w w:val="105"/>
          <w:sz w:val="24"/>
        </w:rPr>
        <w:t>Reputation</w:t>
      </w:r>
      <w:r>
        <w:rPr>
          <w:b/>
          <w:spacing w:val="-1"/>
          <w:w w:val="105"/>
          <w:sz w:val="24"/>
        </w:rPr>
        <w:t> </w:t>
      </w:r>
      <w:r>
        <w:rPr>
          <w:b/>
          <w:w w:val="105"/>
          <w:sz w:val="24"/>
        </w:rPr>
        <w:t>graphs</w:t>
      </w:r>
      <w:r>
        <w:rPr>
          <w:b/>
          <w:spacing w:val="-7"/>
          <w:w w:val="105"/>
          <w:sz w:val="24"/>
        </w:rPr>
        <w:t> </w:t>
      </w:r>
      <w:r>
        <w:rPr>
          <w:b/>
          <w:w w:val="105"/>
          <w:sz w:val="24"/>
        </w:rPr>
        <w:t>and</w:t>
      </w:r>
      <w:r>
        <w:rPr>
          <w:b/>
          <w:spacing w:val="-7"/>
          <w:w w:val="105"/>
          <w:sz w:val="24"/>
        </w:rPr>
        <w:t> </w:t>
      </w:r>
      <w:r>
        <w:rPr>
          <w:b/>
          <w:w w:val="105"/>
          <w:sz w:val="24"/>
        </w:rPr>
        <w:t>scores:</w:t>
      </w:r>
      <w:r>
        <w:rPr>
          <w:b/>
          <w:w w:val="105"/>
          <w:sz w:val="24"/>
        </w:rPr>
        <w:t> </w:t>
      </w:r>
      <w:r>
        <w:rPr>
          <w:w w:val="105"/>
          <w:sz w:val="24"/>
        </w:rPr>
        <w:t>Extract</w:t>
      </w:r>
      <w:r>
        <w:rPr>
          <w:spacing w:val="-7"/>
          <w:w w:val="105"/>
          <w:sz w:val="24"/>
        </w:rPr>
        <w:t> </w:t>
      </w:r>
      <w:r>
        <w:rPr>
          <w:w w:val="105"/>
          <w:sz w:val="24"/>
        </w:rPr>
        <w:t>ERC-20</w:t>
      </w:r>
      <w:r>
        <w:rPr>
          <w:spacing w:val="-7"/>
          <w:w w:val="105"/>
          <w:sz w:val="24"/>
        </w:rPr>
        <w:t> </w:t>
      </w:r>
      <w:r>
        <w:rPr>
          <w:rFonts w:ascii="Calibri" w:hAnsi="Calibri"/>
          <w:w w:val="105"/>
          <w:sz w:val="24"/>
        </w:rPr>
        <w:t>Approval </w:t>
      </w:r>
      <w:r>
        <w:rPr>
          <w:w w:val="105"/>
          <w:sz w:val="24"/>
        </w:rPr>
        <w:t>and</w:t>
      </w:r>
      <w:r>
        <w:rPr>
          <w:spacing w:val="-7"/>
          <w:w w:val="105"/>
          <w:sz w:val="24"/>
        </w:rPr>
        <w:t> </w:t>
      </w:r>
      <w:r>
        <w:rPr>
          <w:rFonts w:ascii="Calibri" w:hAnsi="Calibri"/>
          <w:w w:val="105"/>
          <w:sz w:val="24"/>
        </w:rPr>
        <w:t>Transfer </w:t>
      </w:r>
      <w:r>
        <w:rPr>
          <w:w w:val="105"/>
          <w:sz w:val="24"/>
        </w:rPr>
        <w:t>logs</w:t>
      </w:r>
      <w:r>
        <w:rPr>
          <w:spacing w:val="-7"/>
          <w:w w:val="105"/>
          <w:sz w:val="24"/>
        </w:rPr>
        <w:t> </w:t>
      </w:r>
      <w:r>
        <w:rPr>
          <w:w w:val="105"/>
          <w:sz w:val="24"/>
        </w:rPr>
        <w:t>for</w:t>
      </w:r>
      <w:r>
        <w:rPr>
          <w:spacing w:val="-7"/>
          <w:w w:val="105"/>
          <w:sz w:val="24"/>
        </w:rPr>
        <w:t> </w:t>
      </w:r>
      <w:r>
        <w:rPr>
          <w:w w:val="105"/>
          <w:sz w:val="24"/>
        </w:rPr>
        <w:t>cohort wallets</w:t>
      </w:r>
      <w:r>
        <w:rPr>
          <w:spacing w:val="-16"/>
          <w:w w:val="105"/>
          <w:sz w:val="24"/>
        </w:rPr>
        <w:t> </w:t>
      </w:r>
      <w:r>
        <w:rPr>
          <w:w w:val="105"/>
          <w:sz w:val="24"/>
        </w:rPr>
        <w:t>in</w:t>
      </w:r>
      <w:r>
        <w:rPr>
          <w:spacing w:val="-16"/>
          <w:w w:val="105"/>
          <w:sz w:val="24"/>
        </w:rPr>
        <w:t> </w:t>
      </w:r>
      <w:r>
        <w:rPr>
          <w:w w:val="105"/>
          <w:sz w:val="24"/>
        </w:rPr>
        <w:t>monthly</w:t>
      </w:r>
      <w:r>
        <w:rPr>
          <w:spacing w:val="-16"/>
          <w:w w:val="105"/>
          <w:sz w:val="24"/>
        </w:rPr>
        <w:t> </w:t>
      </w:r>
      <w:r>
        <w:rPr>
          <w:w w:val="105"/>
          <w:sz w:val="24"/>
        </w:rPr>
        <w:t>batches</w:t>
      </w:r>
      <w:r>
        <w:rPr>
          <w:spacing w:val="-15"/>
          <w:w w:val="105"/>
          <w:sz w:val="24"/>
        </w:rPr>
        <w:t> </w:t>
      </w:r>
      <w:r>
        <w:rPr>
          <w:w w:val="105"/>
          <w:sz w:val="24"/>
        </w:rPr>
        <w:t>(per-query</w:t>
      </w:r>
      <w:r>
        <w:rPr>
          <w:spacing w:val="-16"/>
          <w:w w:val="105"/>
          <w:sz w:val="24"/>
        </w:rPr>
        <w:t> </w:t>
      </w:r>
      <w:r>
        <w:rPr>
          <w:w w:val="105"/>
          <w:sz w:val="24"/>
        </w:rPr>
        <w:t>dry-run</w:t>
      </w:r>
      <w:r>
        <w:rPr>
          <w:spacing w:val="-16"/>
          <w:w w:val="105"/>
          <w:sz w:val="24"/>
        </w:rPr>
        <w:t> </w:t>
      </w:r>
      <w:r>
        <w:rPr>
          <w:w w:val="105"/>
          <w:sz w:val="24"/>
        </w:rPr>
        <w:t>and</w:t>
      </w:r>
      <w:r>
        <w:rPr>
          <w:spacing w:val="-16"/>
          <w:w w:val="105"/>
          <w:sz w:val="24"/>
        </w:rPr>
        <w:t> </w:t>
      </w:r>
      <w:r>
        <w:rPr>
          <w:w w:val="105"/>
          <w:sz w:val="24"/>
        </w:rPr>
        <w:t>a</w:t>
      </w:r>
      <w:r>
        <w:rPr>
          <w:spacing w:val="-15"/>
          <w:w w:val="105"/>
          <w:sz w:val="24"/>
        </w:rPr>
        <w:t> </w:t>
      </w:r>
      <w:r>
        <w:rPr>
          <w:rFonts w:ascii="Calibri" w:hAnsi="Calibri"/>
          <w:w w:val="105"/>
          <w:sz w:val="24"/>
        </w:rPr>
        <w:t>150</w:t>
      </w:r>
      <w:r>
        <w:rPr>
          <w:rFonts w:ascii="Calibri" w:hAnsi="Calibri"/>
          <w:spacing w:val="-15"/>
          <w:w w:val="105"/>
          <w:sz w:val="24"/>
        </w:rPr>
        <w:t> </w:t>
      </w:r>
      <w:r>
        <w:rPr>
          <w:w w:val="105"/>
          <w:sz w:val="24"/>
        </w:rPr>
        <w:t>GiB</w:t>
      </w:r>
      <w:r>
        <w:rPr>
          <w:spacing w:val="-15"/>
          <w:w w:val="105"/>
          <w:sz w:val="24"/>
        </w:rPr>
        <w:t> </w:t>
      </w:r>
      <w:r>
        <w:rPr>
          <w:w w:val="105"/>
          <w:sz w:val="24"/>
        </w:rPr>
        <w:t>abort</w:t>
      </w:r>
      <w:r>
        <w:rPr>
          <w:spacing w:val="-16"/>
          <w:w w:val="105"/>
          <w:sz w:val="24"/>
        </w:rPr>
        <w:t> </w:t>
      </w:r>
      <w:r>
        <w:rPr>
          <w:w w:val="105"/>
          <w:sz w:val="24"/>
        </w:rPr>
        <w:t>cap).</w:t>
      </w:r>
      <w:r>
        <w:rPr>
          <w:spacing w:val="22"/>
          <w:w w:val="105"/>
          <w:sz w:val="24"/>
        </w:rPr>
        <w:t> </w:t>
      </w:r>
      <w:r>
        <w:rPr>
          <w:w w:val="105"/>
          <w:sz w:val="24"/>
        </w:rPr>
        <w:t>Build</w:t>
      </w:r>
      <w:r>
        <w:rPr>
          <w:spacing w:val="-15"/>
          <w:w w:val="105"/>
          <w:sz w:val="24"/>
        </w:rPr>
        <w:t> </w:t>
      </w:r>
      <w:r>
        <w:rPr>
          <w:w w:val="105"/>
          <w:sz w:val="24"/>
        </w:rPr>
        <w:t>the</w:t>
      </w:r>
      <w:r>
        <w:rPr>
          <w:spacing w:val="-15"/>
          <w:w w:val="105"/>
          <w:sz w:val="24"/>
        </w:rPr>
        <w:t> </w:t>
      </w:r>
      <w:r>
        <w:rPr>
          <w:w w:val="105"/>
          <w:sz w:val="24"/>
        </w:rPr>
        <w:t>latest-</w:t>
      </w:r>
      <w:r>
        <w:rPr>
          <w:sz w:val="24"/>
        </w:rPr>
        <w:t>allowance</w:t>
      </w:r>
      <w:r>
        <w:rPr>
          <w:spacing w:val="-9"/>
          <w:sz w:val="24"/>
        </w:rPr>
        <w:t> </w:t>
      </w:r>
      <w:r>
        <w:rPr>
          <w:sz w:val="24"/>
        </w:rPr>
        <w:t>endorsement</w:t>
      </w:r>
      <w:r>
        <w:rPr>
          <w:spacing w:val="-9"/>
          <w:sz w:val="24"/>
        </w:rPr>
        <w:t> </w:t>
      </w:r>
      <w:r>
        <w:rPr>
          <w:sz w:val="24"/>
        </w:rPr>
        <w:t>graph</w:t>
      </w:r>
      <w:r>
        <w:rPr>
          <w:spacing w:val="-8"/>
          <w:sz w:val="24"/>
        </w:rPr>
        <w:t> </w:t>
      </w:r>
      <w:r>
        <w:rPr>
          <w:sz w:val="24"/>
        </w:rPr>
        <w:t>and</w:t>
      </w:r>
      <w:r>
        <w:rPr>
          <w:spacing w:val="-9"/>
          <w:sz w:val="24"/>
        </w:rPr>
        <w:t> </w:t>
      </w:r>
      <w:r>
        <w:rPr>
          <w:sz w:val="24"/>
        </w:rPr>
        <w:t>the</w:t>
      </w:r>
      <w:r>
        <w:rPr>
          <w:spacing w:val="-8"/>
          <w:sz w:val="24"/>
        </w:rPr>
        <w:t> </w:t>
      </w:r>
      <w:r>
        <w:rPr>
          <w:sz w:val="24"/>
        </w:rPr>
        <w:t>time-decayed</w:t>
      </w:r>
      <w:r>
        <w:rPr>
          <w:spacing w:val="-9"/>
          <w:sz w:val="24"/>
        </w:rPr>
        <w:t> </w:t>
      </w:r>
      <w:r>
        <w:rPr>
          <w:sz w:val="24"/>
        </w:rPr>
        <w:t>transfer</w:t>
      </w:r>
      <w:r>
        <w:rPr>
          <w:spacing w:val="-9"/>
          <w:sz w:val="24"/>
        </w:rPr>
        <w:t> </w:t>
      </w:r>
      <w:r>
        <w:rPr>
          <w:sz w:val="24"/>
        </w:rPr>
        <w:t>graph,</w:t>
      </w:r>
      <w:r>
        <w:rPr>
          <w:spacing w:val="-8"/>
          <w:sz w:val="24"/>
        </w:rPr>
        <w:t> </w:t>
      </w:r>
      <w:r>
        <w:rPr>
          <w:sz w:val="24"/>
        </w:rPr>
        <w:t>then</w:t>
      </w:r>
      <w:r>
        <w:rPr>
          <w:spacing w:val="-9"/>
          <w:sz w:val="24"/>
        </w:rPr>
        <w:t> </w:t>
      </w:r>
      <w:r>
        <w:rPr>
          <w:sz w:val="24"/>
        </w:rPr>
        <w:t>compute</w:t>
      </w:r>
      <w:r>
        <w:rPr>
          <w:spacing w:val="-8"/>
          <w:sz w:val="24"/>
        </w:rPr>
        <w:t> </w:t>
      </w:r>
      <w:r>
        <w:rPr>
          <w:sz w:val="24"/>
        </w:rPr>
        <w:t>EndorseR-</w:t>
      </w:r>
      <w:r>
        <w:rPr>
          <w:spacing w:val="-2"/>
          <w:w w:val="105"/>
          <w:sz w:val="24"/>
        </w:rPr>
        <w:t>ank,</w:t>
      </w:r>
      <w:r>
        <w:rPr>
          <w:spacing w:val="-12"/>
          <w:w w:val="105"/>
          <w:sz w:val="24"/>
        </w:rPr>
        <w:t> </w:t>
      </w:r>
      <w:r>
        <w:rPr>
          <w:spacing w:val="-2"/>
          <w:w w:val="105"/>
          <w:sz w:val="24"/>
        </w:rPr>
        <w:t>AWP,</w:t>
      </w:r>
      <w:r>
        <w:rPr>
          <w:spacing w:val="-14"/>
          <w:w w:val="105"/>
          <w:sz w:val="24"/>
        </w:rPr>
        <w:t> </w:t>
      </w:r>
      <w:r>
        <w:rPr>
          <w:spacing w:val="-2"/>
          <w:w w:val="105"/>
          <w:sz w:val="24"/>
        </w:rPr>
        <w:t>and</w:t>
      </w:r>
      <w:r>
        <w:rPr>
          <w:spacing w:val="-13"/>
          <w:w w:val="105"/>
          <w:sz w:val="24"/>
        </w:rPr>
        <w:t> </w:t>
      </w:r>
      <w:r>
        <w:rPr>
          <w:spacing w:val="-2"/>
          <w:w w:val="105"/>
          <w:sz w:val="24"/>
        </w:rPr>
        <w:t>supplementary</w:t>
      </w:r>
      <w:r>
        <w:rPr>
          <w:spacing w:val="-14"/>
          <w:w w:val="105"/>
          <w:sz w:val="24"/>
        </w:rPr>
        <w:t> </w:t>
      </w:r>
      <w:r>
        <w:rPr>
          <w:spacing w:val="-2"/>
          <w:w w:val="105"/>
          <w:sz w:val="24"/>
        </w:rPr>
        <w:t>GF-PR</w:t>
      </w:r>
      <w:r>
        <w:rPr>
          <w:spacing w:val="-13"/>
          <w:w w:val="105"/>
          <w:sz w:val="24"/>
        </w:rPr>
        <w:t> </w:t>
      </w:r>
      <w:r>
        <w:rPr>
          <w:spacing w:val="-2"/>
          <w:w w:val="105"/>
          <w:sz w:val="24"/>
        </w:rPr>
        <w:t>scores</w:t>
      </w:r>
      <w:r>
        <w:rPr>
          <w:spacing w:val="-14"/>
          <w:w w:val="105"/>
          <w:sz w:val="24"/>
        </w:rPr>
        <w:t> </w:t>
      </w:r>
      <w:r>
        <w:rPr>
          <w:spacing w:val="-2"/>
          <w:w w:val="105"/>
          <w:sz w:val="24"/>
        </w:rPr>
        <w:t>by</w:t>
      </w:r>
      <w:r>
        <w:rPr>
          <w:spacing w:val="-13"/>
          <w:w w:val="105"/>
          <w:sz w:val="24"/>
        </w:rPr>
        <w:t> </w:t>
      </w:r>
      <w:r>
        <w:rPr>
          <w:spacing w:val="-2"/>
          <w:w w:val="105"/>
          <w:sz w:val="24"/>
        </w:rPr>
        <w:t>power</w:t>
      </w:r>
      <w:r>
        <w:rPr>
          <w:spacing w:val="-14"/>
          <w:w w:val="105"/>
          <w:sz w:val="24"/>
        </w:rPr>
        <w:t> </w:t>
      </w:r>
      <w:r>
        <w:rPr>
          <w:spacing w:val="-2"/>
          <w:w w:val="105"/>
          <w:sz w:val="24"/>
        </w:rPr>
        <w:t>iteration</w:t>
      </w:r>
      <w:r>
        <w:rPr>
          <w:spacing w:val="-13"/>
          <w:w w:val="105"/>
          <w:sz w:val="24"/>
        </w:rPr>
        <w:t> </w:t>
      </w:r>
      <w:r>
        <w:rPr>
          <w:spacing w:val="-2"/>
          <w:w w:val="105"/>
          <w:sz w:val="24"/>
        </w:rPr>
        <w:t>(damping</w:t>
      </w:r>
      <w:r>
        <w:rPr>
          <w:spacing w:val="-14"/>
          <w:w w:val="105"/>
          <w:sz w:val="24"/>
        </w:rPr>
        <w:t> </w:t>
      </w:r>
      <w:r>
        <w:rPr>
          <w:rFonts w:ascii="Calibri" w:hAnsi="Calibri"/>
          <w:i/>
          <w:spacing w:val="-2"/>
          <w:w w:val="105"/>
          <w:sz w:val="24"/>
        </w:rPr>
        <w:t>d</w:t>
      </w:r>
      <w:r>
        <w:rPr>
          <w:rFonts w:ascii="Calibri" w:hAnsi="Calibri"/>
          <w:i/>
          <w:spacing w:val="-3"/>
          <w:w w:val="125"/>
          <w:sz w:val="24"/>
        </w:rPr>
        <w:t> </w:t>
      </w:r>
      <w:r>
        <w:rPr>
          <w:rFonts w:ascii="Calibri" w:hAnsi="Calibri"/>
          <w:spacing w:val="-2"/>
          <w:w w:val="125"/>
          <w:sz w:val="24"/>
        </w:rPr>
        <w:t>=</w:t>
      </w:r>
      <w:r>
        <w:rPr>
          <w:rFonts w:ascii="Calibri" w:hAnsi="Calibri"/>
          <w:spacing w:val="-3"/>
          <w:w w:val="125"/>
          <w:sz w:val="24"/>
        </w:rPr>
        <w:t> </w:t>
      </w:r>
      <w:r>
        <w:rPr>
          <w:rFonts w:ascii="Calibri" w:hAnsi="Calibri"/>
          <w:spacing w:val="-2"/>
          <w:w w:val="105"/>
          <w:sz w:val="24"/>
        </w:rPr>
        <w:t>0</w:t>
      </w:r>
      <w:r>
        <w:rPr>
          <w:rFonts w:ascii="Calibri" w:hAnsi="Calibri"/>
          <w:i/>
          <w:spacing w:val="-2"/>
          <w:w w:val="105"/>
          <w:sz w:val="24"/>
        </w:rPr>
        <w:t>.</w:t>
      </w:r>
      <w:r>
        <w:rPr>
          <w:rFonts w:ascii="Calibri" w:hAnsi="Calibri"/>
          <w:spacing w:val="-2"/>
          <w:w w:val="105"/>
          <w:sz w:val="24"/>
        </w:rPr>
        <w:t>85</w:t>
      </w:r>
      <w:r>
        <w:rPr>
          <w:spacing w:val="-2"/>
          <w:w w:val="105"/>
          <w:sz w:val="24"/>
        </w:rPr>
        <w:t>,</w:t>
      </w:r>
      <w:r>
        <w:rPr>
          <w:spacing w:val="-12"/>
          <w:w w:val="105"/>
          <w:sz w:val="24"/>
        </w:rPr>
        <w:t> </w:t>
      </w:r>
      <w:r>
        <w:rPr>
          <w:spacing w:val="-2"/>
          <w:w w:val="105"/>
          <w:sz w:val="24"/>
        </w:rPr>
        <w:t>toler-</w:t>
      </w:r>
      <w:r>
        <w:rPr>
          <w:w w:val="105"/>
          <w:sz w:val="24"/>
        </w:rPr>
        <w:t>ance </w:t>
      </w:r>
      <w:r>
        <w:rPr>
          <w:rFonts w:ascii="Calibri" w:hAnsi="Calibri"/>
          <w:w w:val="105"/>
          <w:sz w:val="24"/>
        </w:rPr>
        <w:t>10</w:t>
      </w:r>
      <w:r>
        <w:rPr>
          <w:rFonts w:ascii="Cambria" w:hAnsi="Cambria"/>
          <w:w w:val="105"/>
          <w:sz w:val="24"/>
          <w:vertAlign w:val="superscript"/>
        </w:rPr>
        <w:t>−</w:t>
      </w:r>
      <w:r>
        <w:rPr>
          <w:rFonts w:ascii="Calibri" w:hAnsi="Calibri"/>
          <w:w w:val="105"/>
          <w:sz w:val="24"/>
          <w:vertAlign w:val="superscript"/>
        </w:rPr>
        <w:t>8</w:t>
      </w:r>
      <w:r>
        <w:rPr>
          <w:w w:val="105"/>
          <w:sz w:val="24"/>
          <w:vertAlign w:val="baseline"/>
        </w:rPr>
        <w:t>, at most </w:t>
      </w:r>
      <w:r>
        <w:rPr>
          <w:rFonts w:ascii="Calibri" w:hAnsi="Calibri"/>
          <w:w w:val="105"/>
          <w:sz w:val="24"/>
          <w:vertAlign w:val="baseline"/>
        </w:rPr>
        <w:t>300 </w:t>
      </w:r>
      <w:r>
        <w:rPr>
          <w:w w:val="105"/>
          <w:sz w:val="24"/>
          <w:vertAlign w:val="baseline"/>
        </w:rPr>
        <w:t>iterations).</w:t>
      </w:r>
    </w:p>
    <w:p>
      <w:pPr>
        <w:pStyle w:val="ListParagraph"/>
        <w:numPr>
          <w:ilvl w:val="0"/>
          <w:numId w:val="29"/>
        </w:numPr>
        <w:tabs>
          <w:tab w:pos="847" w:val="left" w:leader="none"/>
          <w:tab w:pos="854" w:val="left" w:leader="none"/>
        </w:tabs>
        <w:spacing w:line="379" w:lineRule="auto" w:before="53" w:after="0"/>
        <w:ind w:left="847" w:right="523" w:hanging="303"/>
        <w:jc w:val="both"/>
        <w:rPr>
          <w:sz w:val="24"/>
        </w:rPr>
      </w:pPr>
      <w:r>
        <w:rPr>
          <w:i/>
        </w:rPr>
        <w:t>평판 그래프 및 점수: 코호트 지갑에 대한 ERC-20 승인 및 전송 로그를 월간 배치(쿼리별 테스트 실행 및 150GiB 중단 한도)로 추출합니다. 최신 허용 보증 그래프와 시간 감쇠 전송 그래프를 작성한 다음 EndorseR-ank, AWP 및 전력 반복(댐핑 d = 0.85, 허용 오차 10−8, 최대 300회 반복)별로 추가 GF-PR 점수를 계산합니다.</w:t>
      </w:r>
    </w:p>
    <w:p>
      <w:pPr>
        <w:pStyle w:val="ListParagraph"/>
        <w:numPr>
          <w:ilvl w:val="0"/>
          <w:numId w:val="29"/>
        </w:numPr>
        <w:tabs>
          <w:tab w:pos="856" w:val="left" w:leader="none"/>
        </w:tabs>
        <w:spacing w:line="388" w:lineRule="auto" w:before="36" w:after="0"/>
        <w:ind w:left="856" w:right="524" w:hanging="311"/>
        <w:jc w:val="both"/>
        <w:rPr>
          <w:sz w:val="24"/>
        </w:rPr>
      </w:pPr>
      <w:r>
        <w:rPr>
          <w:b/>
          <w:sz w:val="24"/>
        </w:rPr>
        <w:t>Proxies, alignment, and benchmarks:</w:t>
      </w:r>
      <w:r>
        <w:rPr>
          <w:b/>
          <w:spacing w:val="38"/>
          <w:sz w:val="24"/>
        </w:rPr>
        <w:t> </w:t>
      </w:r>
      <w:r>
        <w:rPr>
          <w:sz w:val="24"/>
        </w:rPr>
        <w:t>Compute the five proxy families defined in Chap-ter </w:t>
      </w:r>
      <w:hyperlink w:history="true" w:anchor="_bookmark48">
        <w:r>
          <w:rPr>
            <w:sz w:val="24"/>
          </w:rPr>
          <w:t>3</w:t>
        </w:r>
      </w:hyperlink>
      <w:r>
        <w:rPr>
          <w:sz w:val="24"/>
        </w:rPr>
        <w:t>, report Spearman </w:t>
      </w:r>
      <w:r>
        <w:rPr>
          <w:rFonts w:ascii="Calibri" w:hAnsi="Calibri"/>
          <w:i/>
          <w:sz w:val="24"/>
        </w:rPr>
        <w:t>ρ </w:t>
      </w:r>
      <w:r>
        <w:rPr>
          <w:sz w:val="24"/>
        </w:rPr>
        <w:t>and Kendall </w:t>
      </w:r>
      <w:r>
        <w:rPr>
          <w:rFonts w:ascii="Calibri" w:hAnsi="Calibri"/>
          <w:i/>
          <w:sz w:val="24"/>
        </w:rPr>
        <w:t>τ</w:t>
      </w:r>
      <w:r>
        <w:rPr>
          <w:rFonts w:ascii="Calibri" w:hAnsi="Calibri"/>
          <w:i/>
          <w:spacing w:val="35"/>
          <w:sz w:val="24"/>
        </w:rPr>
        <w:t> </w:t>
      </w:r>
      <w:r>
        <w:rPr>
          <w:sz w:val="24"/>
        </w:rPr>
        <w:t>against each score vector, time PageRank solves on pre-built edges (three-run averages), and run robustness sweeps over damping, top tokens, and sample size.</w:t>
      </w:r>
    </w:p>
    <w:p>
      <w:pPr>
        <w:pStyle w:val="ListParagraph"/>
        <w:numPr>
          <w:ilvl w:val="0"/>
          <w:numId w:val="29"/>
        </w:numPr>
        <w:tabs>
          <w:tab w:pos="856" w:val="left" w:leader="none"/>
        </w:tabs>
        <w:spacing w:line="388" w:lineRule="auto" w:before="36" w:after="0"/>
        <w:ind w:left="856" w:right="524" w:hanging="311"/>
        <w:jc w:val="both"/>
        <w:rPr>
          <w:sz w:val="24"/>
        </w:rPr>
      </w:pPr>
      <w:r>
        <w:rPr>
          <w:i/>
        </w:rPr>
        <w:t>프록시, 정렬 및 벤치마크: 3장에 정의된 5개의 프록시 계열을 계산하고, 각 점수 벡터에 대해 Spearman ρ 및 Kendall τ를 보고하고, 시간 PageRank는 사전 구축된 에지(3회 평균)에서 해결하고, 댐핑, 상위 토큰 및 샘플 크기에 대한 견고성 스윕을 실행합니다.</w:t>
      </w:r>
    </w:p>
    <w:p>
      <w:pPr>
        <w:pStyle w:val="ListParagraph"/>
        <w:spacing w:after="0" w:line="388" w:lineRule="auto"/>
        <w:jc w:val="both"/>
        <w:rPr>
          <w:sz w:val="24"/>
        </w:rPr>
        <w:sectPr>
          <w:pgSz w:w="11910" w:h="16840"/>
          <w:pgMar w:header="0" w:footer="2115" w:top="1920" w:bottom="2300" w:left="992" w:right="708"/>
        </w:sectPr>
      </w:pPr>
    </w:p>
    <w:p>
      <w:pPr>
        <w:pStyle w:val="BodyText"/>
        <w:spacing w:line="396" w:lineRule="auto" w:before="72"/>
        <w:ind w:left="282" w:right="563"/>
        <w:jc w:val="both"/>
      </w:pPr>
      <w:bookmarkStart w:name="Credit-delegation extract (deferred)" w:id="326"/>
      <w:bookmarkEnd w:id="326"/>
      <w:r>
        <w:rPr/>
      </w:r>
      <w:bookmarkStart w:name="_bookmark203" w:id="327"/>
      <w:bookmarkEnd w:id="327"/>
      <w:r>
        <w:rPr/>
      </w:r>
      <w:r>
        <w:rPr/>
        <w:t>Offline synthetic checks use the same scoring and alignment logic on fixture graphs (no cloud access) to validate implementation before real extraction.</w:t>
      </w:r>
      <w:r>
        <w:rPr>
          <w:spacing w:val="35"/>
        </w:rPr>
        <w:t> </w:t>
      </w:r>
      <w:r>
        <w:rPr/>
        <w:t>Real extraction requires Google Cloud </w:t>
      </w:r>
      <w:bookmarkStart w:name="BigQuery extraction design" w:id="328"/>
      <w:bookmarkEnd w:id="328"/>
      <w:r>
        <w:rPr>
          <w:w w:val="99"/>
        </w:rPr>
      </w:r>
      <w:bookmarkStart w:name="_bookmark200" w:id="329"/>
      <w:bookmarkEnd w:id="329"/>
      <w:r>
        <w:rPr/>
        <w:t>credential</w:t>
      </w:r>
      <w:r>
        <w:rPr/>
        <w:t>s and a billing project; scans target only the public Arbitrum One log dataset.</w:t>
      </w:r>
    </w:p>
    <w:p>
      <w:pPr>
        <w:pStyle w:val="BodyText"/>
        <w:spacing w:line="396" w:lineRule="auto" w:before="72"/>
        <w:ind w:left="282" w:right="563"/>
        <w:jc w:val="both"/>
      </w:pPr>
      <w:r>
        <w:rPr>
          <w:i/>
        </w:rPr>
        <w:t>오프라인 종합 검사는 고정 그래프(클라우드 액세스 없음)에서 동일한 채점 및 정렬 논리를 사용하여 실제 추출 전에 구현을 검증합니다. 실제 추출에는 Google Cloud 사용자 인증 정보와 결제 프로젝트가 필요합니다. 스캔에는 공개 Arbitrum One 로그 데이터 세트만 대상으로 합니다.</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spacing w:val="-2"/>
        </w:rPr>
        <w:t>BigQuery</w:t>
      </w:r>
      <w:r>
        <w:rPr>
          <w:spacing w:val="2"/>
        </w:rPr>
        <w:t> </w:t>
      </w:r>
      <w:r>
        <w:rPr>
          <w:spacing w:val="-2"/>
        </w:rPr>
        <w:t>extraction</w:t>
      </w:r>
      <w:r>
        <w:rPr>
          <w:spacing w:val="2"/>
        </w:rPr>
        <w:t> </w:t>
      </w:r>
      <w:r>
        <w:rPr>
          <w:spacing w:val="-2"/>
        </w:rPr>
        <w:t>design</w:t>
      </w:r>
    </w:p>
    <w:p>
      <w:pPr>
        <w:pStyle w:val="Heading4"/>
        <w:numPr>
          <w:ilvl w:val="2"/>
          <w:numId w:val="8"/>
        </w:numPr>
        <w:tabs>
          <w:tab w:pos="879" w:val="left" w:leader="none"/>
        </w:tabs>
        <w:spacing w:line="240" w:lineRule="auto" w:before="1" w:after="0"/>
        <w:ind w:left="879" w:right="0" w:hanging="597"/>
        <w:jc w:val="left"/>
      </w:pPr>
      <w:r>
        <w:rPr>
          <w:i/>
        </w:rPr>
        <w:t>BigQuery 추출 설계</w:t>
      </w:r>
    </w:p>
    <w:p>
      <w:pPr>
        <w:pStyle w:val="BodyText"/>
        <w:spacing w:before="42"/>
        <w:rPr>
          <w:b/>
        </w:rPr>
      </w:pPr>
    </w:p>
    <w:p>
      <w:pPr>
        <w:pStyle w:val="BodyText"/>
        <w:spacing w:line="384" w:lineRule="auto"/>
        <w:ind w:left="282" w:right="524"/>
        <w:jc w:val="both"/>
      </w:pPr>
      <w:r>
        <w:rPr/>
        <w:t>ERC-20 </w:t>
      </w:r>
      <w:r>
        <w:rPr>
          <w:rFonts w:ascii="Calibri" w:hAnsi="Calibri"/>
        </w:rPr>
        <w:t>Approval </w:t>
      </w:r>
      <w:r>
        <w:rPr/>
        <w:t>and </w:t>
      </w:r>
      <w:r>
        <w:rPr>
          <w:rFonts w:ascii="Calibri" w:hAnsi="Calibri"/>
        </w:rPr>
        <w:t>Transfer </w:t>
      </w:r>
      <w:r>
        <w:rPr/>
        <w:t>events are identified by their standard topic-</w:t>
      </w:r>
      <w:r>
        <w:rPr>
          <w:rFonts w:ascii="Calibri" w:hAnsi="Calibri"/>
        </w:rPr>
        <w:t>0 </w:t>
      </w:r>
      <w:r>
        <w:rPr/>
        <w:t>hashes and re-stricted to logs whose owner/spender or from/to address lies in the evaluation wallet list, so scan cost</w:t>
      </w:r>
      <w:r>
        <w:rPr>
          <w:spacing w:val="-8"/>
        </w:rPr>
        <w:t> </w:t>
      </w:r>
      <w:r>
        <w:rPr/>
        <w:t>scales</w:t>
      </w:r>
      <w:r>
        <w:rPr>
          <w:spacing w:val="-8"/>
        </w:rPr>
        <w:t> </w:t>
      </w:r>
      <w:r>
        <w:rPr/>
        <w:t>with</w:t>
      </w:r>
      <w:r>
        <w:rPr>
          <w:spacing w:val="-8"/>
        </w:rPr>
        <w:t> </w:t>
      </w:r>
      <w:r>
        <w:rPr/>
        <w:t>the</w:t>
      </w:r>
      <w:r>
        <w:rPr>
          <w:spacing w:val="-8"/>
        </w:rPr>
        <w:t> </w:t>
      </w:r>
      <w:r>
        <w:rPr/>
        <w:t>cohort</w:t>
      </w:r>
      <w:r>
        <w:rPr>
          <w:spacing w:val="-8"/>
        </w:rPr>
        <w:t> </w:t>
      </w:r>
      <w:r>
        <w:rPr/>
        <w:t>rather</w:t>
      </w:r>
      <w:r>
        <w:rPr>
          <w:spacing w:val="-8"/>
        </w:rPr>
        <w:t> </w:t>
      </w:r>
      <w:r>
        <w:rPr/>
        <w:t>than</w:t>
      </w:r>
      <w:r>
        <w:rPr>
          <w:spacing w:val="-8"/>
        </w:rPr>
        <w:t> </w:t>
      </w:r>
      <w:r>
        <w:rPr/>
        <w:t>the</w:t>
      </w:r>
      <w:r>
        <w:rPr>
          <w:spacing w:val="-8"/>
        </w:rPr>
        <w:t> </w:t>
      </w:r>
      <w:r>
        <w:rPr/>
        <w:t>full</w:t>
      </w:r>
      <w:r>
        <w:rPr>
          <w:spacing w:val="-8"/>
        </w:rPr>
        <w:t> </w:t>
      </w:r>
      <w:r>
        <w:rPr/>
        <w:t>chain.</w:t>
      </w:r>
      <w:r>
        <w:rPr>
          <w:spacing w:val="15"/>
        </w:rPr>
        <w:t> </w:t>
      </w:r>
      <w:r>
        <w:rPr/>
        <w:t>Monthly</w:t>
      </w:r>
      <w:r>
        <w:rPr>
          <w:spacing w:val="-8"/>
        </w:rPr>
        <w:t> </w:t>
      </w:r>
      <w:r>
        <w:rPr/>
        <w:t>batching</w:t>
      </w:r>
      <w:r>
        <w:rPr>
          <w:spacing w:val="-8"/>
        </w:rPr>
        <w:t> </w:t>
      </w:r>
      <w:r>
        <w:rPr/>
        <w:t>keeps</w:t>
      </w:r>
      <w:r>
        <w:rPr>
          <w:spacing w:val="-8"/>
        </w:rPr>
        <w:t> </w:t>
      </w:r>
      <w:r>
        <w:rPr/>
        <w:t>each</w:t>
      </w:r>
      <w:r>
        <w:rPr>
          <w:spacing w:val="-8"/>
        </w:rPr>
        <w:t> </w:t>
      </w:r>
      <w:r>
        <w:rPr/>
        <w:t>query</w:t>
      </w:r>
      <w:r>
        <w:rPr>
          <w:spacing w:val="-8"/>
        </w:rPr>
        <w:t> </w:t>
      </w:r>
      <w:r>
        <w:rPr/>
        <w:t>under</w:t>
      </w:r>
      <w:r>
        <w:rPr>
          <w:spacing w:val="-8"/>
        </w:rPr>
        <w:t> </w:t>
      </w:r>
      <w:r>
        <w:rPr/>
        <w:t>the operational byte cap. GMX V2 events are read from the </w:t>
      </w:r>
      <w:r>
        <w:rPr>
          <w:rFonts w:ascii="Calibri" w:hAnsi="Calibri"/>
        </w:rPr>
        <w:t>EventEmitter </w:t>
      </w:r>
      <w:r>
        <w:rPr/>
        <w:t>contract at </w:t>
      </w:r>
      <w:r>
        <w:rPr>
          <w:rFonts w:ascii="Calibri" w:hAnsi="Calibri"/>
        </w:rPr>
        <w:t>0xC8ee91A54 287DB53897056e12D9819156D3822Fb </w:t>
      </w:r>
      <w:r>
        <w:rPr/>
        <w:t>and decoded to key–value fields for </w:t>
      </w:r>
      <w:r>
        <w:rPr>
          <w:rFonts w:ascii="Calibri" w:hAnsi="Calibri"/>
        </w:rPr>
        <w:t>account</w:t>
      </w:r>
      <w:r>
        <w:rPr/>
        <w:t>, </w:t>
      </w:r>
      <w:r>
        <w:rPr>
          <w:rFonts w:ascii="Calibri" w:hAnsi="Calibri"/>
        </w:rPr>
        <w:t>basePnlU sd</w:t>
      </w:r>
      <w:r>
        <w:rPr/>
        <w:t>,</w:t>
      </w:r>
      <w:r>
        <w:rPr>
          <w:spacing w:val="32"/>
        </w:rPr>
        <w:t> </w:t>
      </w:r>
      <w:r>
        <w:rPr>
          <w:rFonts w:ascii="Calibri" w:hAnsi="Calibri"/>
        </w:rPr>
        <w:t>sizeDeltaUsd</w:t>
      </w:r>
      <w:r>
        <w:rPr/>
        <w:t>,</w:t>
      </w:r>
      <w:r>
        <w:rPr>
          <w:spacing w:val="32"/>
        </w:rPr>
        <w:t> </w:t>
      </w:r>
      <w:r>
        <w:rPr/>
        <w:t>and</w:t>
      </w:r>
      <w:r>
        <w:rPr>
          <w:spacing w:val="32"/>
        </w:rPr>
        <w:t> </w:t>
      </w:r>
      <w:r>
        <w:rPr/>
        <w:t>liquidation</w:t>
      </w:r>
      <w:r>
        <w:rPr>
          <w:spacing w:val="32"/>
        </w:rPr>
        <w:t> </w:t>
      </w:r>
      <w:r>
        <w:rPr/>
        <w:t>flags.</w:t>
      </w:r>
      <w:r>
        <w:rPr>
          <w:spacing w:val="40"/>
        </w:rPr>
        <w:t> </w:t>
      </w:r>
      <w:r>
        <w:rPr/>
        <w:t>Representative</w:t>
      </w:r>
      <w:r>
        <w:rPr>
          <w:spacing w:val="32"/>
        </w:rPr>
        <w:t> </w:t>
      </w:r>
      <w:r>
        <w:rPr/>
        <w:t>SQL</w:t>
      </w:r>
      <w:r>
        <w:rPr>
          <w:spacing w:val="32"/>
        </w:rPr>
        <w:t> </w:t>
      </w:r>
      <w:r>
        <w:rPr/>
        <w:t>patterns</w:t>
      </w:r>
      <w:r>
        <w:rPr>
          <w:spacing w:val="32"/>
        </w:rPr>
        <w:t> </w:t>
      </w:r>
      <w:r>
        <w:rPr/>
        <w:t>appear</w:t>
      </w:r>
      <w:r>
        <w:rPr>
          <w:spacing w:val="32"/>
        </w:rPr>
        <w:t> </w:t>
      </w:r>
      <w:r>
        <w:rPr/>
        <w:t>in</w:t>
      </w:r>
      <w:r>
        <w:rPr>
          <w:spacing w:val="32"/>
        </w:rPr>
        <w:t> </w:t>
      </w:r>
      <w:r>
        <w:rPr/>
        <w:t>Appendix</w:t>
      </w:r>
      <w:r>
        <w:rPr>
          <w:spacing w:val="32"/>
        </w:rPr>
        <w:t> </w:t>
      </w:r>
      <w:hyperlink w:history="true" w:anchor="_bookmark210">
        <w:r>
          <w:rPr/>
          <w:t>8.2</w:t>
        </w:r>
      </w:hyperlink>
      <w:r>
        <w:rPr/>
        <w:t>.</w:t>
      </w:r>
    </w:p>
    <w:p>
      <w:pPr>
        <w:pStyle w:val="BodyText"/>
        <w:spacing w:line="384" w:lineRule="auto"/>
        <w:ind w:left="282" w:right="524"/>
        <w:jc w:val="both"/>
      </w:pPr>
      <w:r>
        <w:rPr>
          <w:i/>
        </w:rPr>
        <w:t>ERC-20 승인 및 전송 이벤트는 표준 주제 0 해시로 식별되며 소유자/지출자 또는 보낸 사람/받는 사람 주소가 평가 지갑 목록에 있는 로그로 제한되므로 스캔 비용은 전체 체인이 아닌 집단을 기준으로 확장됩니다. 월별 일괄 처리는 각 쿼리를 작동 바이트 한도 아래로 유지합니다. GMX V2 이벤트는 0xC8ee91A54 287DB53897056e12D9819156D3822Fb의 EventEmitter 계약에서 읽혀지고 계정, basePnlU sd, sizeDeltaUsd 및 청산 플래그에 대한 키-값 필드로 디코딩됩니다. 대표적인 SQL 패턴은 부록 8.2에 나와 있습니다.</w:t>
      </w:r>
    </w:p>
    <w:p>
      <w:pPr>
        <w:pStyle w:val="BodyText"/>
        <w:spacing w:line="396" w:lineRule="auto"/>
        <w:ind w:left="282" w:right="564"/>
        <w:jc w:val="both"/>
      </w:pPr>
      <w:r>
        <w:rPr>
          <w:spacing w:val="-2"/>
        </w:rPr>
        <w:t>Extraction</w:t>
      </w:r>
      <w:r>
        <w:rPr>
          <w:spacing w:val="-5"/>
        </w:rPr>
        <w:t> </w:t>
      </w:r>
      <w:r>
        <w:rPr>
          <w:spacing w:val="-2"/>
        </w:rPr>
        <w:t>records</w:t>
      </w:r>
      <w:r>
        <w:rPr>
          <w:spacing w:val="-5"/>
        </w:rPr>
        <w:t> </w:t>
      </w:r>
      <w:r>
        <w:rPr>
          <w:spacing w:val="-2"/>
        </w:rPr>
        <w:t>(bytes</w:t>
      </w:r>
      <w:r>
        <w:rPr>
          <w:spacing w:val="-5"/>
        </w:rPr>
        <w:t> </w:t>
      </w:r>
      <w:r>
        <w:rPr>
          <w:spacing w:val="-2"/>
        </w:rPr>
        <w:t>processed, row</w:t>
      </w:r>
      <w:r>
        <w:rPr>
          <w:spacing w:val="-5"/>
        </w:rPr>
        <w:t> </w:t>
      </w:r>
      <w:r>
        <w:rPr>
          <w:spacing w:val="-2"/>
        </w:rPr>
        <w:t>counts, timestamps)</w:t>
      </w:r>
      <w:r>
        <w:rPr>
          <w:spacing w:val="-5"/>
        </w:rPr>
        <w:t> </w:t>
      </w:r>
      <w:r>
        <w:rPr>
          <w:spacing w:val="-2"/>
        </w:rPr>
        <w:t>are</w:t>
      </w:r>
      <w:r>
        <w:rPr>
          <w:spacing w:val="-5"/>
        </w:rPr>
        <w:t> </w:t>
      </w:r>
      <w:r>
        <w:rPr>
          <w:spacing w:val="-2"/>
        </w:rPr>
        <w:t>retained</w:t>
      </w:r>
      <w:r>
        <w:rPr>
          <w:spacing w:val="-5"/>
        </w:rPr>
        <w:t> </w:t>
      </w:r>
      <w:r>
        <w:rPr>
          <w:spacing w:val="-2"/>
        </w:rPr>
        <w:t>in</w:t>
      </w:r>
      <w:r>
        <w:rPr>
          <w:spacing w:val="-5"/>
        </w:rPr>
        <w:t> </w:t>
      </w:r>
      <w:r>
        <w:rPr>
          <w:spacing w:val="-2"/>
        </w:rPr>
        <w:t>the</w:t>
      </w:r>
      <w:r>
        <w:rPr>
          <w:spacing w:val="-4"/>
        </w:rPr>
        <w:t> </w:t>
      </w:r>
      <w:r>
        <w:rPr>
          <w:spacing w:val="-2"/>
        </w:rPr>
        <w:t>study’s</w:t>
      </w:r>
      <w:r>
        <w:rPr>
          <w:spacing w:val="-5"/>
        </w:rPr>
        <w:t> </w:t>
      </w:r>
      <w:r>
        <w:rPr>
          <w:spacing w:val="-2"/>
        </w:rPr>
        <w:t>acquisition </w:t>
      </w:r>
      <w:r>
        <w:rPr/>
        <w:t>log for auditability; the dissertation reports the resulting cohort sizes and edge counts rather than </w:t>
      </w:r>
      <w:bookmarkStart w:name="Scaling tables" w:id="330"/>
      <w:bookmarkEnd w:id="330"/>
      <w:r>
        <w:rPr>
          <w:w w:val="99"/>
        </w:rPr>
      </w:r>
      <w:bookmarkStart w:name="_bookmark201" w:id="331"/>
      <w:bookmarkEnd w:id="331"/>
      <w:r>
        <w:rPr/>
        <w:t>those</w:t>
      </w:r>
      <w:r>
        <w:rPr/>
        <w:t> operational logs.</w:t>
      </w:r>
    </w:p>
    <w:p>
      <w:pPr>
        <w:pStyle w:val="BodyText"/>
        <w:spacing w:line="396" w:lineRule="auto"/>
        <w:ind w:left="282" w:right="564"/>
        <w:jc w:val="both"/>
      </w:pPr>
      <w:r>
        <w:rPr>
          <w:i/>
        </w:rPr>
        <w:t>추출 기록(처리된 바이트, 행 수, 타임스탬프)은 감사 가능성을 위해 연구의 획득 로그에 보관됩니다. 논문에서는 해당 운영 로그가 아닌 결과 집단 크기 및 에지 수를 보고합니다.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Scaling</w:t>
      </w:r>
      <w:r>
        <w:rPr>
          <w:spacing w:val="-9"/>
        </w:rPr>
        <w:t> </w:t>
      </w:r>
      <w:r>
        <w:rPr>
          <w:spacing w:val="-2"/>
        </w:rPr>
        <w:t>tables</w:t>
      </w:r>
    </w:p>
    <w:p>
      <w:pPr>
        <w:pStyle w:val="Heading4"/>
        <w:numPr>
          <w:ilvl w:val="2"/>
          <w:numId w:val="8"/>
        </w:numPr>
        <w:tabs>
          <w:tab w:pos="879" w:val="left" w:leader="none"/>
        </w:tabs>
        <w:spacing w:line="240" w:lineRule="auto" w:before="0" w:after="0"/>
        <w:ind w:left="879" w:right="0" w:hanging="597"/>
        <w:jc w:val="left"/>
      </w:pPr>
      <w:r>
        <w:rPr>
          <w:i/>
        </w:rPr>
        <w:t>스케일링 테이블</w:t>
      </w:r>
    </w:p>
    <w:p>
      <w:pPr>
        <w:pStyle w:val="BodyText"/>
        <w:spacing w:before="7"/>
        <w:rPr>
          <w:b/>
        </w:rPr>
      </w:pPr>
    </w:p>
    <w:p>
      <w:pPr>
        <w:pStyle w:val="BodyText"/>
        <w:spacing w:line="321" w:lineRule="auto" w:before="1"/>
        <w:ind w:left="282" w:right="564" w:hanging="8"/>
        <w:jc w:val="both"/>
      </w:pPr>
      <w:r>
        <w:rPr/>
        <w:t>Table</w:t>
      </w:r>
      <w:r>
        <w:rPr>
          <w:spacing w:val="-3"/>
        </w:rPr>
        <w:t> </w:t>
      </w:r>
      <w:hyperlink w:history="true" w:anchor="_bookmark202">
        <w:r>
          <w:rPr/>
          <w:t>8.1</w:t>
        </w:r>
      </w:hyperlink>
      <w:r>
        <w:rPr>
          <w:spacing w:val="-2"/>
        </w:rPr>
        <w:t> </w:t>
      </w:r>
      <w:r>
        <w:rPr/>
        <w:t>reports</w:t>
      </w:r>
      <w:r>
        <w:rPr>
          <w:spacing w:val="-2"/>
        </w:rPr>
        <w:t> </w:t>
      </w:r>
      <w:r>
        <w:rPr/>
        <w:t>in-cohort</w:t>
      </w:r>
      <w:r>
        <w:rPr>
          <w:spacing w:val="-2"/>
        </w:rPr>
        <w:t> </w:t>
      </w:r>
      <w:r>
        <w:rPr/>
        <w:t>runtime</w:t>
      </w:r>
      <w:r>
        <w:rPr>
          <w:spacing w:val="-2"/>
        </w:rPr>
        <w:t> </w:t>
      </w:r>
      <w:r>
        <w:rPr/>
        <w:t>scaling</w:t>
      </w:r>
      <w:r>
        <w:rPr>
          <w:spacing w:val="-2"/>
        </w:rPr>
        <w:t> </w:t>
      </w:r>
      <w:r>
        <w:rPr/>
        <w:t>for</w:t>
      </w:r>
      <w:r>
        <w:rPr>
          <w:spacing w:val="-3"/>
        </w:rPr>
        <w:t> </w:t>
      </w:r>
      <w:r>
        <w:rPr>
          <w:rFonts w:ascii="Calibri" w:hAnsi="Calibri"/>
          <w:i/>
        </w:rPr>
        <w:t>n </w:t>
      </w:r>
      <w:r>
        <w:rPr>
          <w:rFonts w:ascii="Lucida Sans Unicode" w:hAnsi="Lucida Sans Unicode"/>
        </w:rPr>
        <w:t>≤</w:t>
      </w:r>
      <w:r>
        <w:rPr>
          <w:rFonts w:ascii="Lucida Sans Unicode" w:hAnsi="Lucida Sans Unicode"/>
          <w:spacing w:val="-8"/>
        </w:rPr>
        <w:t> </w:t>
      </w:r>
      <w:r>
        <w:rPr>
          <w:rFonts w:ascii="Calibri" w:hAnsi="Calibri"/>
        </w:rPr>
        <w:t>5</w:t>
      </w:r>
      <w:r>
        <w:rPr>
          <w:rFonts w:ascii="Calibri" w:hAnsi="Calibri"/>
          <w:i/>
        </w:rPr>
        <w:t>,</w:t>
      </w:r>
      <w:r>
        <w:rPr>
          <w:rFonts w:ascii="Calibri" w:hAnsi="Calibri"/>
        </w:rPr>
        <w:t>521</w:t>
      </w:r>
      <w:r>
        <w:rPr/>
        <w:t>.</w:t>
      </w:r>
      <w:r>
        <w:rPr>
          <w:spacing w:val="22"/>
        </w:rPr>
        <w:t> </w:t>
      </w:r>
      <w:r>
        <w:rPr/>
        <w:t>Robustness</w:t>
      </w:r>
      <w:r>
        <w:rPr>
          <w:spacing w:val="-2"/>
        </w:rPr>
        <w:t> </w:t>
      </w:r>
      <w:r>
        <w:rPr/>
        <w:t>tables</w:t>
      </w:r>
      <w:r>
        <w:rPr>
          <w:spacing w:val="-2"/>
        </w:rPr>
        <w:t> </w:t>
      </w:r>
      <w:r>
        <w:rPr/>
        <w:t>in</w:t>
      </w:r>
      <w:r>
        <w:rPr>
          <w:spacing w:val="-2"/>
        </w:rPr>
        <w:t> </w:t>
      </w:r>
      <w:r>
        <w:rPr/>
        <w:t>Chapter</w:t>
      </w:r>
      <w:r>
        <w:rPr>
          <w:spacing w:val="-2"/>
        </w:rPr>
        <w:t> </w:t>
      </w:r>
      <w:hyperlink w:history="true" w:anchor="_bookmark84">
        <w:r>
          <w:rPr/>
          <w:t>4</w:t>
        </w:r>
      </w:hyperlink>
      <w:r>
        <w:rPr>
          <w:spacing w:val="-2"/>
        </w:rPr>
        <w:t> </w:t>
      </w:r>
      <w:r>
        <w:rPr/>
        <w:t>use</w:t>
      </w:r>
      <w:r>
        <w:rPr>
          <w:spacing w:val="-2"/>
        </w:rPr>
        <w:t> </w:t>
      </w:r>
      <w:r>
        <w:rPr/>
        <w:t>the same solver settings and cohort definitions as the primary evaluation.</w:t>
      </w:r>
    </w:p>
    <w:p>
      <w:pPr>
        <w:pStyle w:val="BodyText"/>
        <w:spacing w:line="321" w:lineRule="auto" w:before="1"/>
        <w:ind w:left="282" w:right="564" w:hanging="8"/>
        <w:jc w:val="both"/>
      </w:pPr>
      <w:r>
        <w:rPr>
          <w:i/>
        </w:rPr>
        <w:t>표 8.1은 n ≤ 5,521에 대한 코호트 내 런타임 확장을 보고합니다. 4장의 견고성 표는 기본 평가와 동일한 솔버 설정 및 집단 정의를 사용합니다.</w:t>
      </w:r>
    </w:p>
    <w:p>
      <w:pPr>
        <w:pStyle w:val="BodyText"/>
        <w:spacing w:line="211" w:lineRule="auto" w:before="156"/>
        <w:ind w:left="282" w:right="564" w:hanging="8"/>
        <w:jc w:val="both"/>
      </w:pPr>
      <w:bookmarkStart w:name="_bookmark202" w:id="332"/>
      <w:bookmarkEnd w:id="332"/>
      <w:r>
        <w:rPr/>
      </w:r>
      <w:r>
        <w:rPr>
          <w:w w:val="105"/>
        </w:rPr>
        <w:t>Table</w:t>
      </w:r>
      <w:r>
        <w:rPr>
          <w:spacing w:val="-16"/>
          <w:w w:val="105"/>
        </w:rPr>
        <w:t> </w:t>
      </w:r>
      <w:r>
        <w:rPr>
          <w:w w:val="105"/>
        </w:rPr>
        <w:t>8.1:</w:t>
      </w:r>
      <w:r>
        <w:rPr>
          <w:spacing w:val="-6"/>
          <w:w w:val="105"/>
        </w:rPr>
        <w:t> </w:t>
      </w:r>
      <w:r>
        <w:rPr>
          <w:w w:val="105"/>
        </w:rPr>
        <w:t>In-cohort</w:t>
      </w:r>
      <w:r>
        <w:rPr>
          <w:spacing w:val="-16"/>
          <w:w w:val="105"/>
        </w:rPr>
        <w:t> </w:t>
      </w:r>
      <w:r>
        <w:rPr>
          <w:w w:val="105"/>
        </w:rPr>
        <w:t>runtime</w:t>
      </w:r>
      <w:r>
        <w:rPr>
          <w:spacing w:val="-16"/>
          <w:w w:val="105"/>
        </w:rPr>
        <w:t> </w:t>
      </w:r>
      <w:r>
        <w:rPr>
          <w:w w:val="105"/>
        </w:rPr>
        <w:t>scaling</w:t>
      </w:r>
      <w:r>
        <w:rPr>
          <w:spacing w:val="-16"/>
          <w:w w:val="105"/>
        </w:rPr>
        <w:t> </w:t>
      </w:r>
      <w:r>
        <w:rPr>
          <w:w w:val="105"/>
        </w:rPr>
        <w:t>(SHA256</w:t>
      </w:r>
      <w:r>
        <w:rPr>
          <w:spacing w:val="-15"/>
          <w:w w:val="105"/>
        </w:rPr>
        <w:t> </w:t>
      </w:r>
      <w:r>
        <w:rPr>
          <w:w w:val="105"/>
        </w:rPr>
        <w:t>seed</w:t>
      </w:r>
      <w:r>
        <w:rPr>
          <w:spacing w:val="-16"/>
          <w:w w:val="105"/>
        </w:rPr>
        <w:t> </w:t>
      </w:r>
      <w:r>
        <w:rPr>
          <w:rFonts w:ascii="Calibri" w:hAnsi="Calibri"/>
          <w:w w:val="105"/>
        </w:rPr>
        <w:t>benchmark-</w:t>
      </w:r>
      <w:r>
        <w:rPr>
          <w:rFonts w:ascii="Calibri" w:hAnsi="Calibri"/>
          <w:w w:val="120"/>
        </w:rPr>
        <w:t>scale-</w:t>
      </w:r>
      <w:r>
        <w:rPr>
          <w:rFonts w:ascii="Calibri" w:hAnsi="Calibri"/>
          <w:w w:val="105"/>
        </w:rPr>
        <w:t>v1</w:t>
      </w:r>
      <w:r>
        <w:rPr>
          <w:w w:val="105"/>
        </w:rPr>
        <w:t>;</w:t>
      </w:r>
      <w:r>
        <w:rPr>
          <w:spacing w:val="-14"/>
          <w:w w:val="105"/>
        </w:rPr>
        <w:t> </w:t>
      </w:r>
      <w:r>
        <w:rPr>
          <w:rFonts w:ascii="Calibri" w:hAnsi="Calibri"/>
          <w:i/>
          <w:w w:val="105"/>
        </w:rPr>
        <w:t>n</w:t>
      </w:r>
      <w:r>
        <w:rPr>
          <w:rFonts w:ascii="Calibri" w:hAnsi="Calibri"/>
          <w:i/>
          <w:w w:val="105"/>
        </w:rPr>
        <w:t> </w:t>
      </w:r>
      <w:r>
        <w:rPr>
          <w:rFonts w:ascii="Lucida Sans Unicode" w:hAnsi="Lucida Sans Unicode"/>
          <w:w w:val="105"/>
        </w:rPr>
        <w:t>≤</w:t>
      </w:r>
      <w:r>
        <w:rPr>
          <w:rFonts w:ascii="Lucida Sans Unicode" w:hAnsi="Lucida Sans Unicode"/>
          <w:spacing w:val="-20"/>
          <w:w w:val="105"/>
        </w:rPr>
        <w:t> </w:t>
      </w:r>
      <w:r>
        <w:rPr>
          <w:rFonts w:ascii="Calibri" w:hAnsi="Calibri"/>
          <w:w w:val="105"/>
        </w:rPr>
        <w:t>5</w:t>
      </w:r>
      <w:r>
        <w:rPr>
          <w:rFonts w:ascii="Calibri" w:hAnsi="Calibri"/>
          <w:i/>
          <w:w w:val="105"/>
        </w:rPr>
        <w:t>,</w:t>
      </w:r>
      <w:r>
        <w:rPr>
          <w:rFonts w:ascii="Calibri" w:hAnsi="Calibri"/>
          <w:w w:val="105"/>
        </w:rPr>
        <w:t>521</w:t>
      </w:r>
      <w:r>
        <w:rPr>
          <w:rFonts w:ascii="Calibri" w:hAnsi="Calibri"/>
          <w:spacing w:val="-11"/>
          <w:w w:val="105"/>
        </w:rPr>
        <w:t> </w:t>
      </w:r>
      <w:r>
        <w:rPr>
          <w:w w:val="105"/>
        </w:rPr>
        <w:t>matched GMX cohort).</w:t>
      </w:r>
    </w:p>
    <w:p>
      <w:pPr>
        <w:pStyle w:val="BodyText"/>
        <w:spacing w:line="211" w:lineRule="auto" w:before="156"/>
        <w:ind w:left="282" w:right="564" w:hanging="8"/>
        <w:jc w:val="both"/>
      </w:pPr>
      <w:r>
        <w:rPr>
          <w:i/>
        </w:rPr>
        <w:t>표 8.1: 집단 내 런타임 확장(SHA256 시드 벤치마크-규모-v1, n ≤ 5,521 일치 GMX 집단).</w:t>
      </w:r>
    </w:p>
    <w:p>
      <w:pPr>
        <w:pStyle w:val="BodyText"/>
        <w:spacing w:before="19"/>
        <w:rPr>
          <w:sz w:val="20"/>
        </w:rPr>
      </w:pPr>
    </w:p>
    <w:tbl>
      <w:tblPr>
        <w:tblW w:w="0" w:type="auto"/>
        <w:jc w:val="left"/>
        <w:tblInd w:w="2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
        <w:gridCol w:w="703"/>
        <w:gridCol w:w="892"/>
        <w:gridCol w:w="891"/>
        <w:gridCol w:w="768"/>
        <w:gridCol w:w="956"/>
      </w:tblGrid>
      <w:tr>
        <w:trPr>
          <w:trHeight w:val="381" w:hRule="atLeast"/>
        </w:trPr>
        <w:tc>
          <w:tcPr>
            <w:tcW w:w="576" w:type="dxa"/>
            <w:tcBorders>
              <w:top w:val="single" w:sz="8" w:space="0" w:color="000000"/>
              <w:bottom w:val="single" w:sz="6" w:space="0" w:color="000000"/>
            </w:tcBorders>
          </w:tcPr>
          <w:p>
            <w:pPr>
              <w:pStyle w:val="TableParagraph"/>
              <w:spacing w:before="49"/>
              <w:ind w:right="67"/>
              <w:jc w:val="right"/>
              <w:rPr>
                <w:rFonts w:ascii="Calibri"/>
                <w:i/>
                <w:sz w:val="22"/>
              </w:rPr>
            </w:pPr>
            <w:r>
              <w:rPr>
                <w:rFonts w:ascii="Calibri"/>
                <w:i/>
                <w:spacing w:val="-10"/>
                <w:w w:val="115"/>
                <w:sz w:val="22"/>
              </w:rPr>
              <w:t>n</w:t>
            </w:r>
          </w:p>
          <w:p>
            <w:pPr>
              <w:pStyle w:val="TableParagraph"/>
              <w:spacing w:before="49"/>
              <w:ind w:right="67"/>
              <w:jc w:val="right"/>
              <w:rPr>
                <w:rFonts w:ascii="Calibri"/>
                <w:i/>
                <w:sz w:val="22"/>
              </w:rPr>
            </w:pPr>
            <w:r>
              <w:rPr>
                <w:i/>
              </w:rPr>
              <w:t>N</w:t>
            </w:r>
          </w:p>
        </w:tc>
        <w:tc>
          <w:tcPr>
            <w:tcW w:w="703" w:type="dxa"/>
            <w:tcBorders>
              <w:top w:val="single" w:sz="8" w:space="0" w:color="000000"/>
              <w:bottom w:val="single" w:sz="6" w:space="0" w:color="000000"/>
            </w:tcBorders>
          </w:tcPr>
          <w:p>
            <w:pPr>
              <w:pStyle w:val="TableParagraph"/>
              <w:spacing w:before="53"/>
              <w:ind w:left="1" w:right="1"/>
              <w:rPr>
                <w:sz w:val="22"/>
              </w:rPr>
            </w:pPr>
            <w:r>
              <w:rPr>
                <w:sz w:val="22"/>
              </w:rPr>
              <w:t>ER</w:t>
            </w:r>
            <w:r>
              <w:rPr>
                <w:spacing w:val="-4"/>
                <w:sz w:val="22"/>
              </w:rPr>
              <w:t> </w:t>
            </w:r>
            <w:r>
              <w:rPr>
                <w:spacing w:val="-5"/>
                <w:sz w:val="22"/>
              </w:rPr>
              <w:t>(s)</w:t>
            </w:r>
          </w:p>
          <w:p>
            <w:pPr>
              <w:pStyle w:val="TableParagraph"/>
              <w:spacing w:before="53"/>
              <w:ind w:left="1" w:right="1"/>
              <w:rPr>
                <w:sz w:val="22"/>
              </w:rPr>
            </w:pPr>
            <w:r>
              <w:rPr>
                <w:i/>
              </w:rPr>
              <w:t>응급실(들)</w:t>
            </w:r>
          </w:p>
        </w:tc>
        <w:tc>
          <w:tcPr>
            <w:tcW w:w="892" w:type="dxa"/>
            <w:tcBorders>
              <w:top w:val="single" w:sz="8" w:space="0" w:color="000000"/>
              <w:bottom w:val="single" w:sz="6" w:space="0" w:color="000000"/>
            </w:tcBorders>
          </w:tcPr>
          <w:p>
            <w:pPr>
              <w:pStyle w:val="TableParagraph"/>
              <w:spacing w:before="53"/>
              <w:ind w:right="68"/>
              <w:jc w:val="right"/>
              <w:rPr>
                <w:sz w:val="22"/>
              </w:rPr>
            </w:pPr>
            <w:r>
              <w:rPr>
                <w:spacing w:val="-7"/>
                <w:sz w:val="22"/>
              </w:rPr>
              <w:t>AWP</w:t>
            </w:r>
            <w:r>
              <w:rPr>
                <w:spacing w:val="-4"/>
                <w:sz w:val="22"/>
              </w:rPr>
              <w:t> </w:t>
            </w:r>
            <w:r>
              <w:rPr>
                <w:spacing w:val="-5"/>
                <w:sz w:val="22"/>
              </w:rPr>
              <w:t>(s)</w:t>
            </w:r>
          </w:p>
          <w:p>
            <w:pPr>
              <w:pStyle w:val="TableParagraph"/>
              <w:spacing w:before="53"/>
              <w:ind w:right="68"/>
              <w:jc w:val="right"/>
              <w:rPr>
                <w:sz w:val="22"/>
              </w:rPr>
            </w:pPr>
            <w:r>
              <w:rPr>
                <w:i/>
              </w:rPr>
              <w:t>AWP(초)</w:t>
            </w:r>
          </w:p>
        </w:tc>
        <w:tc>
          <w:tcPr>
            <w:tcW w:w="891" w:type="dxa"/>
            <w:tcBorders>
              <w:top w:val="single" w:sz="8" w:space="0" w:color="000000"/>
              <w:bottom w:val="single" w:sz="6" w:space="0" w:color="000000"/>
            </w:tcBorders>
          </w:tcPr>
          <w:p>
            <w:pPr>
              <w:pStyle w:val="TableParagraph"/>
              <w:spacing w:before="53"/>
              <w:ind w:right="68"/>
              <w:jc w:val="right"/>
              <w:rPr>
                <w:sz w:val="22"/>
              </w:rPr>
            </w:pPr>
            <w:r>
              <w:rPr>
                <w:spacing w:val="-2"/>
                <w:sz w:val="22"/>
              </w:rPr>
              <w:t>Speedup</w:t>
            </w:r>
          </w:p>
          <w:p>
            <w:pPr>
              <w:pStyle w:val="TableParagraph"/>
              <w:spacing w:before="53"/>
              <w:ind w:right="68"/>
              <w:jc w:val="right"/>
              <w:rPr>
                <w:sz w:val="22"/>
              </w:rPr>
            </w:pPr>
            <w:r>
              <w:rPr>
                <w:i/>
              </w:rPr>
              <w:t>속도 향상</w:t>
            </w:r>
          </w:p>
        </w:tc>
        <w:tc>
          <w:tcPr>
            <w:tcW w:w="768" w:type="dxa"/>
            <w:tcBorders>
              <w:top w:val="single" w:sz="8" w:space="0" w:color="000000"/>
              <w:bottom w:val="single" w:sz="6" w:space="0" w:color="000000"/>
            </w:tcBorders>
          </w:tcPr>
          <w:p>
            <w:pPr>
              <w:pStyle w:val="TableParagraph"/>
              <w:spacing w:before="17"/>
              <w:rPr>
                <w:rFonts w:ascii="Lucida Sans Unicode"/>
                <w:sz w:val="22"/>
              </w:rPr>
            </w:pPr>
            <w:r>
              <w:rPr>
                <w:sz w:val="22"/>
              </w:rPr>
              <w:t>ER</w:t>
            </w:r>
            <w:r>
              <w:rPr>
                <w:spacing w:val="-4"/>
                <w:sz w:val="22"/>
              </w:rPr>
              <w:t> </w:t>
            </w:r>
            <w:r>
              <w:rPr>
                <w:rFonts w:ascii="Lucida Sans Unicode"/>
                <w:spacing w:val="-5"/>
                <w:sz w:val="22"/>
              </w:rPr>
              <w:t>|</w:t>
            </w:r>
            <w:r>
              <w:rPr>
                <w:rFonts w:ascii="Calibri"/>
                <w:i/>
                <w:spacing w:val="-5"/>
                <w:sz w:val="22"/>
              </w:rPr>
              <w:t>E</w:t>
            </w:r>
            <w:r>
              <w:rPr>
                <w:rFonts w:ascii="Lucida Sans Unicode"/>
                <w:spacing w:val="-5"/>
                <w:sz w:val="22"/>
              </w:rPr>
              <w:t>|</w:t>
            </w:r>
          </w:p>
          <w:p>
            <w:pPr>
              <w:pStyle w:val="TableParagraph"/>
              <w:spacing w:before="17"/>
              <w:rPr>
                <w:rFonts w:ascii="Lucida Sans Unicode"/>
                <w:sz w:val="22"/>
              </w:rPr>
            </w:pPr>
            <w:r>
              <w:rPr>
                <w:i/>
              </w:rPr>
              <w:t>응급실 |E|</w:t>
            </w:r>
          </w:p>
        </w:tc>
        <w:tc>
          <w:tcPr>
            <w:tcW w:w="956" w:type="dxa"/>
            <w:tcBorders>
              <w:top w:val="single" w:sz="8" w:space="0" w:color="000000"/>
              <w:bottom w:val="single" w:sz="6" w:space="0" w:color="000000"/>
            </w:tcBorders>
          </w:tcPr>
          <w:p>
            <w:pPr>
              <w:pStyle w:val="TableParagraph"/>
              <w:spacing w:before="17"/>
              <w:ind w:right="68"/>
              <w:jc w:val="right"/>
              <w:rPr>
                <w:rFonts w:ascii="Lucida Sans Unicode"/>
                <w:sz w:val="22"/>
              </w:rPr>
            </w:pPr>
            <w:r>
              <w:rPr>
                <w:spacing w:val="-7"/>
                <w:sz w:val="22"/>
              </w:rPr>
              <w:t>AWP</w:t>
            </w:r>
            <w:r>
              <w:rPr>
                <w:spacing w:val="-4"/>
                <w:sz w:val="22"/>
              </w:rPr>
              <w:t> </w:t>
            </w:r>
            <w:r>
              <w:rPr>
                <w:rFonts w:ascii="Lucida Sans Unicode"/>
                <w:spacing w:val="-5"/>
                <w:sz w:val="22"/>
              </w:rPr>
              <w:t>|</w:t>
            </w:r>
            <w:r>
              <w:rPr>
                <w:rFonts w:ascii="Calibri"/>
                <w:i/>
                <w:spacing w:val="-5"/>
                <w:sz w:val="22"/>
              </w:rPr>
              <w:t>E</w:t>
            </w:r>
            <w:r>
              <w:rPr>
                <w:rFonts w:ascii="Lucida Sans Unicode"/>
                <w:spacing w:val="-5"/>
                <w:sz w:val="22"/>
              </w:rPr>
              <w:t>|</w:t>
            </w:r>
          </w:p>
        </w:tc>
      </w:tr>
      <w:tr>
        <w:trPr>
          <w:trHeight w:val="323" w:hRule="atLeast"/>
        </w:trPr>
        <w:tc>
          <w:tcPr>
            <w:tcW w:w="576" w:type="dxa"/>
            <w:tcBorders>
              <w:top w:val="single" w:sz="6" w:space="0" w:color="000000"/>
            </w:tcBorders>
          </w:tcPr>
          <w:p>
            <w:pPr>
              <w:pStyle w:val="TableParagraph"/>
              <w:spacing w:line="251" w:lineRule="exact" w:before="52"/>
              <w:ind w:right="67"/>
              <w:jc w:val="right"/>
              <w:rPr>
                <w:sz w:val="22"/>
              </w:rPr>
            </w:pPr>
            <w:r>
              <w:rPr>
                <w:spacing w:val="-4"/>
                <w:sz w:val="22"/>
              </w:rPr>
              <w:t>1000</w:t>
            </w:r>
          </w:p>
        </w:tc>
        <w:tc>
          <w:tcPr>
            <w:tcW w:w="703" w:type="dxa"/>
            <w:tcBorders>
              <w:top w:val="single" w:sz="6" w:space="0" w:color="000000"/>
            </w:tcBorders>
          </w:tcPr>
          <w:p>
            <w:pPr>
              <w:pStyle w:val="TableParagraph"/>
              <w:spacing w:line="251" w:lineRule="exact" w:before="52"/>
              <w:ind w:left="73" w:right="1"/>
              <w:rPr>
                <w:sz w:val="22"/>
              </w:rPr>
            </w:pPr>
            <w:r>
              <w:rPr>
                <w:spacing w:val="-2"/>
                <w:sz w:val="22"/>
              </w:rPr>
              <w:t>0.393</w:t>
            </w:r>
          </w:p>
        </w:tc>
        <w:tc>
          <w:tcPr>
            <w:tcW w:w="892" w:type="dxa"/>
            <w:tcBorders>
              <w:top w:val="single" w:sz="6" w:space="0" w:color="000000"/>
            </w:tcBorders>
          </w:tcPr>
          <w:p>
            <w:pPr>
              <w:pStyle w:val="TableParagraph"/>
              <w:spacing w:line="251" w:lineRule="exact" w:before="52"/>
              <w:ind w:right="68"/>
              <w:jc w:val="right"/>
              <w:rPr>
                <w:sz w:val="22"/>
              </w:rPr>
            </w:pPr>
            <w:r>
              <w:rPr>
                <w:spacing w:val="-2"/>
                <w:sz w:val="22"/>
              </w:rPr>
              <w:t>3.215</w:t>
            </w:r>
          </w:p>
        </w:tc>
        <w:tc>
          <w:tcPr>
            <w:tcW w:w="891" w:type="dxa"/>
            <w:tcBorders>
              <w:top w:val="single" w:sz="6" w:space="0" w:color="000000"/>
            </w:tcBorders>
          </w:tcPr>
          <w:p>
            <w:pPr>
              <w:pStyle w:val="TableParagraph"/>
              <w:spacing w:line="287" w:lineRule="exact" w:before="16"/>
              <w:ind w:right="68"/>
              <w:jc w:val="right"/>
              <w:rPr>
                <w:rFonts w:ascii="Lucida Sans Unicode" w:hAnsi="Lucida Sans Unicode"/>
                <w:sz w:val="22"/>
              </w:rPr>
            </w:pPr>
            <w:r>
              <w:rPr>
                <w:spacing w:val="-4"/>
                <w:sz w:val="22"/>
              </w:rPr>
              <w:t>8.2</w:t>
            </w:r>
            <w:r>
              <w:rPr>
                <w:rFonts w:ascii="Lucida Sans Unicode" w:hAnsi="Lucida Sans Unicode"/>
                <w:spacing w:val="-4"/>
                <w:sz w:val="22"/>
              </w:rPr>
              <w:t>×</w:t>
            </w:r>
          </w:p>
        </w:tc>
        <w:tc>
          <w:tcPr>
            <w:tcW w:w="768" w:type="dxa"/>
            <w:tcBorders>
              <w:top w:val="single" w:sz="6" w:space="0" w:color="000000"/>
            </w:tcBorders>
          </w:tcPr>
          <w:p>
            <w:pPr>
              <w:pStyle w:val="TableParagraph"/>
              <w:spacing w:line="251" w:lineRule="exact" w:before="52"/>
              <w:ind w:left="190"/>
              <w:rPr>
                <w:sz w:val="22"/>
              </w:rPr>
            </w:pPr>
            <w:r>
              <w:rPr>
                <w:spacing w:val="-4"/>
                <w:sz w:val="22"/>
              </w:rPr>
              <w:t>2584</w:t>
            </w:r>
          </w:p>
        </w:tc>
        <w:tc>
          <w:tcPr>
            <w:tcW w:w="956" w:type="dxa"/>
            <w:tcBorders>
              <w:top w:val="single" w:sz="6" w:space="0" w:color="000000"/>
            </w:tcBorders>
          </w:tcPr>
          <w:p>
            <w:pPr>
              <w:pStyle w:val="TableParagraph"/>
              <w:spacing w:line="251" w:lineRule="exact" w:before="52"/>
              <w:ind w:right="68"/>
              <w:jc w:val="right"/>
              <w:rPr>
                <w:sz w:val="22"/>
              </w:rPr>
            </w:pPr>
            <w:r>
              <w:rPr>
                <w:spacing w:val="-2"/>
                <w:sz w:val="22"/>
              </w:rPr>
              <w:t>23058</w:t>
            </w:r>
          </w:p>
        </w:tc>
      </w:tr>
      <w:tr>
        <w:trPr>
          <w:trHeight w:val="270" w:hRule="atLeast"/>
        </w:trPr>
        <w:tc>
          <w:tcPr>
            <w:tcW w:w="576" w:type="dxa"/>
          </w:tcPr>
          <w:p>
            <w:pPr>
              <w:pStyle w:val="TableParagraph"/>
              <w:spacing w:line="251" w:lineRule="exact" w:before="0"/>
              <w:ind w:right="67"/>
              <w:jc w:val="right"/>
              <w:rPr>
                <w:sz w:val="22"/>
              </w:rPr>
            </w:pPr>
            <w:r>
              <w:rPr>
                <w:spacing w:val="-4"/>
                <w:sz w:val="22"/>
              </w:rPr>
              <w:t>2000</w:t>
            </w:r>
          </w:p>
        </w:tc>
        <w:tc>
          <w:tcPr>
            <w:tcW w:w="703" w:type="dxa"/>
          </w:tcPr>
          <w:p>
            <w:pPr>
              <w:pStyle w:val="TableParagraph"/>
              <w:spacing w:line="251" w:lineRule="exact" w:before="0"/>
              <w:ind w:left="73" w:right="1"/>
              <w:rPr>
                <w:sz w:val="22"/>
              </w:rPr>
            </w:pPr>
            <w:r>
              <w:rPr>
                <w:spacing w:val="-2"/>
                <w:sz w:val="22"/>
              </w:rPr>
              <w:t>0.729</w:t>
            </w:r>
          </w:p>
        </w:tc>
        <w:tc>
          <w:tcPr>
            <w:tcW w:w="892" w:type="dxa"/>
          </w:tcPr>
          <w:p>
            <w:pPr>
              <w:pStyle w:val="TableParagraph"/>
              <w:spacing w:line="251" w:lineRule="exact" w:before="0"/>
              <w:ind w:right="68"/>
              <w:jc w:val="right"/>
              <w:rPr>
                <w:sz w:val="22"/>
              </w:rPr>
            </w:pPr>
            <w:r>
              <w:rPr>
                <w:spacing w:val="-2"/>
                <w:sz w:val="22"/>
              </w:rPr>
              <w:t>6.794</w:t>
            </w:r>
          </w:p>
        </w:tc>
        <w:tc>
          <w:tcPr>
            <w:tcW w:w="891" w:type="dxa"/>
          </w:tcPr>
          <w:p>
            <w:pPr>
              <w:pStyle w:val="TableParagraph"/>
              <w:spacing w:line="251" w:lineRule="exact" w:before="0"/>
              <w:ind w:right="68"/>
              <w:jc w:val="right"/>
              <w:rPr>
                <w:rFonts w:ascii="Lucida Sans Unicode" w:hAnsi="Lucida Sans Unicode"/>
                <w:sz w:val="22"/>
              </w:rPr>
            </w:pPr>
            <w:r>
              <w:rPr>
                <w:spacing w:val="-4"/>
                <w:sz w:val="22"/>
              </w:rPr>
              <w:t>9.3</w:t>
            </w:r>
            <w:r>
              <w:rPr>
                <w:rFonts w:ascii="Lucida Sans Unicode" w:hAnsi="Lucida Sans Unicode"/>
                <w:spacing w:val="-4"/>
                <w:sz w:val="22"/>
              </w:rPr>
              <w:t>×</w:t>
            </w:r>
          </w:p>
        </w:tc>
        <w:tc>
          <w:tcPr>
            <w:tcW w:w="768" w:type="dxa"/>
          </w:tcPr>
          <w:p>
            <w:pPr>
              <w:pStyle w:val="TableParagraph"/>
              <w:spacing w:line="251" w:lineRule="exact" w:before="0"/>
              <w:ind w:left="190"/>
              <w:rPr>
                <w:sz w:val="22"/>
              </w:rPr>
            </w:pPr>
            <w:r>
              <w:rPr>
                <w:spacing w:val="-4"/>
                <w:sz w:val="22"/>
              </w:rPr>
              <w:t>5147</w:t>
            </w:r>
          </w:p>
        </w:tc>
        <w:tc>
          <w:tcPr>
            <w:tcW w:w="956" w:type="dxa"/>
          </w:tcPr>
          <w:p>
            <w:pPr>
              <w:pStyle w:val="TableParagraph"/>
              <w:spacing w:line="251" w:lineRule="exact" w:before="0"/>
              <w:ind w:right="68"/>
              <w:jc w:val="right"/>
              <w:rPr>
                <w:sz w:val="22"/>
              </w:rPr>
            </w:pPr>
            <w:r>
              <w:rPr>
                <w:spacing w:val="-2"/>
                <w:sz w:val="22"/>
              </w:rPr>
              <w:t>47031</w:t>
            </w:r>
          </w:p>
        </w:tc>
      </w:tr>
      <w:tr>
        <w:trPr>
          <w:trHeight w:val="270" w:hRule="atLeast"/>
        </w:trPr>
        <w:tc>
          <w:tcPr>
            <w:tcW w:w="576" w:type="dxa"/>
          </w:tcPr>
          <w:p>
            <w:pPr>
              <w:pStyle w:val="TableParagraph"/>
              <w:spacing w:line="251" w:lineRule="exact" w:before="0"/>
              <w:ind w:right="67"/>
              <w:jc w:val="right"/>
              <w:rPr>
                <w:sz w:val="22"/>
              </w:rPr>
            </w:pPr>
            <w:r>
              <w:rPr>
                <w:spacing w:val="-4"/>
                <w:sz w:val="22"/>
              </w:rPr>
              <w:t>4000</w:t>
            </w:r>
          </w:p>
        </w:tc>
        <w:tc>
          <w:tcPr>
            <w:tcW w:w="703" w:type="dxa"/>
          </w:tcPr>
          <w:p>
            <w:pPr>
              <w:pStyle w:val="TableParagraph"/>
              <w:spacing w:line="251" w:lineRule="exact" w:before="0"/>
              <w:ind w:left="73" w:right="1"/>
              <w:rPr>
                <w:sz w:val="22"/>
              </w:rPr>
            </w:pPr>
            <w:r>
              <w:rPr>
                <w:spacing w:val="-2"/>
                <w:sz w:val="22"/>
              </w:rPr>
              <w:t>2.075</w:t>
            </w:r>
          </w:p>
        </w:tc>
        <w:tc>
          <w:tcPr>
            <w:tcW w:w="892" w:type="dxa"/>
          </w:tcPr>
          <w:p>
            <w:pPr>
              <w:pStyle w:val="TableParagraph"/>
              <w:spacing w:line="251" w:lineRule="exact" w:before="0"/>
              <w:ind w:right="68"/>
              <w:jc w:val="right"/>
              <w:rPr>
                <w:sz w:val="22"/>
              </w:rPr>
            </w:pPr>
            <w:r>
              <w:rPr>
                <w:spacing w:val="-2"/>
                <w:sz w:val="22"/>
              </w:rPr>
              <w:t>18.031</w:t>
            </w:r>
          </w:p>
        </w:tc>
        <w:tc>
          <w:tcPr>
            <w:tcW w:w="891" w:type="dxa"/>
          </w:tcPr>
          <w:p>
            <w:pPr>
              <w:pStyle w:val="TableParagraph"/>
              <w:spacing w:line="251" w:lineRule="exact" w:before="0"/>
              <w:ind w:right="68"/>
              <w:jc w:val="right"/>
              <w:rPr>
                <w:rFonts w:ascii="Lucida Sans Unicode" w:hAnsi="Lucida Sans Unicode"/>
                <w:sz w:val="22"/>
              </w:rPr>
            </w:pPr>
            <w:r>
              <w:rPr>
                <w:spacing w:val="-4"/>
                <w:sz w:val="22"/>
              </w:rPr>
              <w:t>8.7</w:t>
            </w:r>
            <w:r>
              <w:rPr>
                <w:rFonts w:ascii="Lucida Sans Unicode" w:hAnsi="Lucida Sans Unicode"/>
                <w:spacing w:val="-4"/>
                <w:sz w:val="22"/>
              </w:rPr>
              <w:t>×</w:t>
            </w:r>
          </w:p>
        </w:tc>
        <w:tc>
          <w:tcPr>
            <w:tcW w:w="768" w:type="dxa"/>
          </w:tcPr>
          <w:p>
            <w:pPr>
              <w:pStyle w:val="TableParagraph"/>
              <w:spacing w:line="251" w:lineRule="exact" w:before="0"/>
              <w:ind w:left="81"/>
              <w:rPr>
                <w:sz w:val="22"/>
              </w:rPr>
            </w:pPr>
            <w:r>
              <w:rPr>
                <w:spacing w:val="-2"/>
                <w:sz w:val="22"/>
              </w:rPr>
              <w:t>10557</w:t>
            </w:r>
          </w:p>
        </w:tc>
        <w:tc>
          <w:tcPr>
            <w:tcW w:w="956" w:type="dxa"/>
          </w:tcPr>
          <w:p>
            <w:pPr>
              <w:pStyle w:val="TableParagraph"/>
              <w:spacing w:line="251" w:lineRule="exact" w:before="0"/>
              <w:ind w:right="68"/>
              <w:jc w:val="right"/>
              <w:rPr>
                <w:sz w:val="22"/>
              </w:rPr>
            </w:pPr>
            <w:r>
              <w:rPr>
                <w:spacing w:val="-2"/>
                <w:sz w:val="22"/>
              </w:rPr>
              <w:t>97105</w:t>
            </w:r>
          </w:p>
        </w:tc>
      </w:tr>
      <w:tr>
        <w:trPr>
          <w:trHeight w:val="329" w:hRule="atLeast"/>
        </w:trPr>
        <w:tc>
          <w:tcPr>
            <w:tcW w:w="576" w:type="dxa"/>
            <w:tcBorders>
              <w:bottom w:val="single" w:sz="8" w:space="0" w:color="000000"/>
            </w:tcBorders>
          </w:tcPr>
          <w:p>
            <w:pPr>
              <w:pStyle w:val="TableParagraph"/>
              <w:spacing w:before="0"/>
              <w:ind w:right="67"/>
              <w:jc w:val="right"/>
              <w:rPr>
                <w:sz w:val="22"/>
              </w:rPr>
            </w:pPr>
            <w:r>
              <w:rPr>
                <w:spacing w:val="-4"/>
                <w:sz w:val="22"/>
              </w:rPr>
              <w:t>5521</w:t>
            </w:r>
          </w:p>
        </w:tc>
        <w:tc>
          <w:tcPr>
            <w:tcW w:w="703" w:type="dxa"/>
            <w:tcBorders>
              <w:bottom w:val="single" w:sz="8" w:space="0" w:color="000000"/>
            </w:tcBorders>
          </w:tcPr>
          <w:p>
            <w:pPr>
              <w:pStyle w:val="TableParagraph"/>
              <w:spacing w:before="0"/>
              <w:ind w:left="73" w:right="1"/>
              <w:rPr>
                <w:sz w:val="22"/>
              </w:rPr>
            </w:pPr>
            <w:r>
              <w:rPr>
                <w:spacing w:val="-2"/>
                <w:sz w:val="22"/>
              </w:rPr>
              <w:t>2.105</w:t>
            </w:r>
          </w:p>
        </w:tc>
        <w:tc>
          <w:tcPr>
            <w:tcW w:w="892" w:type="dxa"/>
            <w:tcBorders>
              <w:bottom w:val="single" w:sz="8" w:space="0" w:color="000000"/>
            </w:tcBorders>
          </w:tcPr>
          <w:p>
            <w:pPr>
              <w:pStyle w:val="TableParagraph"/>
              <w:spacing w:before="0"/>
              <w:ind w:right="68"/>
              <w:jc w:val="right"/>
              <w:rPr>
                <w:sz w:val="22"/>
              </w:rPr>
            </w:pPr>
            <w:r>
              <w:rPr>
                <w:spacing w:val="-2"/>
                <w:sz w:val="22"/>
              </w:rPr>
              <w:t>18.711</w:t>
            </w:r>
          </w:p>
        </w:tc>
        <w:tc>
          <w:tcPr>
            <w:tcW w:w="891" w:type="dxa"/>
            <w:tcBorders>
              <w:bottom w:val="single" w:sz="8" w:space="0" w:color="000000"/>
            </w:tcBorders>
          </w:tcPr>
          <w:p>
            <w:pPr>
              <w:pStyle w:val="TableParagraph"/>
              <w:spacing w:line="302" w:lineRule="exact" w:before="0"/>
              <w:ind w:right="68"/>
              <w:jc w:val="right"/>
              <w:rPr>
                <w:rFonts w:ascii="Lucida Sans Unicode" w:hAnsi="Lucida Sans Unicode"/>
                <w:sz w:val="22"/>
              </w:rPr>
            </w:pPr>
            <w:r>
              <w:rPr>
                <w:spacing w:val="-4"/>
                <w:sz w:val="22"/>
              </w:rPr>
              <w:t>8.9</w:t>
            </w:r>
            <w:r>
              <w:rPr>
                <w:rFonts w:ascii="Lucida Sans Unicode" w:hAnsi="Lucida Sans Unicode"/>
                <w:spacing w:val="-4"/>
                <w:sz w:val="22"/>
              </w:rPr>
              <w:t>×</w:t>
            </w:r>
          </w:p>
        </w:tc>
        <w:tc>
          <w:tcPr>
            <w:tcW w:w="768" w:type="dxa"/>
            <w:tcBorders>
              <w:bottom w:val="single" w:sz="8" w:space="0" w:color="000000"/>
            </w:tcBorders>
          </w:tcPr>
          <w:p>
            <w:pPr>
              <w:pStyle w:val="TableParagraph"/>
              <w:spacing w:before="0"/>
              <w:ind w:left="81"/>
              <w:rPr>
                <w:sz w:val="22"/>
              </w:rPr>
            </w:pPr>
            <w:r>
              <w:rPr>
                <w:spacing w:val="-2"/>
                <w:sz w:val="22"/>
              </w:rPr>
              <w:t>14727</w:t>
            </w:r>
          </w:p>
        </w:tc>
        <w:tc>
          <w:tcPr>
            <w:tcW w:w="956" w:type="dxa"/>
            <w:tcBorders>
              <w:bottom w:val="single" w:sz="8" w:space="0" w:color="000000"/>
            </w:tcBorders>
          </w:tcPr>
          <w:p>
            <w:pPr>
              <w:pStyle w:val="TableParagraph"/>
              <w:spacing w:before="0"/>
              <w:ind w:right="68"/>
              <w:jc w:val="right"/>
              <w:rPr>
                <w:sz w:val="22"/>
              </w:rPr>
            </w:pPr>
            <w:r>
              <w:rPr>
                <w:spacing w:val="-2"/>
                <w:sz w:val="22"/>
              </w:rPr>
              <w:t>137087</w:t>
            </w:r>
          </w:p>
        </w:tc>
      </w:tr>
    </w:tbl>
    <w:p>
      <w:pPr>
        <w:pStyle w:val="TableParagraph"/>
        <w:spacing w:after="0"/>
        <w:jc w:val="right"/>
        <w:rPr>
          <w:sz w:val="22"/>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Credit-delegation</w:t>
      </w:r>
      <w:r>
        <w:rPr/>
        <w:t> </w:t>
      </w:r>
      <w:r>
        <w:rPr>
          <w:spacing w:val="-2"/>
        </w:rPr>
        <w:t>extract</w:t>
      </w:r>
      <w:r>
        <w:rPr>
          <w:spacing w:val="1"/>
        </w:rPr>
        <w:t> </w:t>
      </w:r>
      <w:r>
        <w:rPr>
          <w:spacing w:val="-2"/>
        </w:rPr>
        <w:t>(deferred)</w:t>
      </w:r>
    </w:p>
    <w:p>
      <w:pPr>
        <w:pStyle w:val="Heading4"/>
        <w:numPr>
          <w:ilvl w:val="2"/>
          <w:numId w:val="8"/>
        </w:numPr>
        <w:tabs>
          <w:tab w:pos="879" w:val="left" w:leader="none"/>
        </w:tabs>
        <w:spacing w:line="240" w:lineRule="auto" w:before="73" w:after="0"/>
        <w:ind w:left="879" w:right="0" w:hanging="597"/>
        <w:jc w:val="left"/>
      </w:pPr>
      <w:r>
        <w:rPr>
          <w:i/>
        </w:rPr>
        <w:t>신용위임 추출(연기)</w:t>
      </w:r>
    </w:p>
    <w:p>
      <w:pPr>
        <w:pStyle w:val="BodyText"/>
        <w:spacing w:before="42"/>
        <w:rPr>
          <w:b/>
        </w:rPr>
      </w:pPr>
    </w:p>
    <w:p>
      <w:pPr>
        <w:pStyle w:val="BodyText"/>
        <w:spacing w:line="386" w:lineRule="auto"/>
        <w:ind w:left="282" w:right="522" w:hanging="9"/>
        <w:jc w:val="both"/>
      </w:pPr>
      <w:r>
        <w:rPr/>
        <w:t>Aave V3 </w:t>
      </w:r>
      <w:r>
        <w:rPr>
          <w:rFonts w:ascii="Calibri" w:hAnsi="Calibri"/>
        </w:rPr>
        <w:t>BorrowAllowanceDelegated </w:t>
      </w:r>
      <w:r>
        <w:rPr/>
        <w:t>events were not extracted in this study.</w:t>
      </w:r>
      <w:r>
        <w:rPr>
          <w:spacing w:val="40"/>
        </w:rPr>
        <w:t> </w:t>
      </w:r>
      <w:r>
        <w:rPr/>
        <w:t>Any exploratory ranking that depends on credit-delegation edges is therefore undefined on the present sample and is reported as non-interpretable (</w:t>
      </w:r>
      <w:r>
        <w:rPr>
          <w:rFonts w:ascii="Calibri" w:hAnsi="Calibri"/>
          <w:i/>
        </w:rPr>
        <w:t>τ</w:t>
      </w:r>
      <w:r>
        <w:rPr>
          <w:rFonts w:ascii="Calibri" w:hAnsi="Calibri"/>
          <w:i/>
          <w:spacing w:val="40"/>
        </w:rPr>
        <w:t> </w:t>
      </w:r>
      <w:r>
        <w:rPr>
          <w:rFonts w:ascii="Calibri" w:hAnsi="Calibri"/>
        </w:rPr>
        <w:t>=</w:t>
      </w:r>
      <w:r>
        <w:rPr>
          <w:rFonts w:ascii="Calibri" w:hAnsi="Calibri"/>
          <w:spacing w:val="40"/>
        </w:rPr>
        <w:t> </w:t>
      </w:r>
      <w:r>
        <w:rPr/>
        <w:t>—) in the archived Aave-oriented matrix (Appendix </w:t>
      </w:r>
      <w:hyperlink w:history="true" w:anchor="_bookmark227">
        <w:r>
          <w:rPr/>
          <w:t>8.4</w:t>
        </w:r>
      </w:hyperlink>
      <w:r>
        <w:rPr/>
        <w:t>). </w:t>
      </w:r>
      <w:r>
        <w:rPr>
          <w:spacing w:val="-2"/>
        </w:rPr>
        <w:t>Extending</w:t>
      </w:r>
      <w:r>
        <w:rPr>
          <w:spacing w:val="-8"/>
        </w:rPr>
        <w:t> </w:t>
      </w:r>
      <w:r>
        <w:rPr>
          <w:spacing w:val="-2"/>
        </w:rPr>
        <w:t>the</w:t>
      </w:r>
      <w:r>
        <w:rPr>
          <w:spacing w:val="-8"/>
        </w:rPr>
        <w:t> </w:t>
      </w:r>
      <w:r>
        <w:rPr>
          <w:spacing w:val="-2"/>
        </w:rPr>
        <w:t>study</w:t>
      </w:r>
      <w:r>
        <w:rPr>
          <w:spacing w:val="-8"/>
        </w:rPr>
        <w:t> </w:t>
      </w:r>
      <w:r>
        <w:rPr>
          <w:spacing w:val="-2"/>
        </w:rPr>
        <w:t>to</w:t>
      </w:r>
      <w:r>
        <w:rPr>
          <w:spacing w:val="-8"/>
        </w:rPr>
        <w:t> </w:t>
      </w:r>
      <w:r>
        <w:rPr>
          <w:spacing w:val="-2"/>
        </w:rPr>
        <w:t>delegation-based</w:t>
      </w:r>
      <w:r>
        <w:rPr>
          <w:spacing w:val="-8"/>
        </w:rPr>
        <w:t> </w:t>
      </w:r>
      <w:r>
        <w:rPr>
          <w:spacing w:val="-2"/>
        </w:rPr>
        <w:t>reputation</w:t>
      </w:r>
      <w:r>
        <w:rPr>
          <w:spacing w:val="-8"/>
        </w:rPr>
        <w:t> </w:t>
      </w:r>
      <w:r>
        <w:rPr>
          <w:spacing w:val="-2"/>
        </w:rPr>
        <w:t>would</w:t>
      </w:r>
      <w:r>
        <w:rPr>
          <w:spacing w:val="-8"/>
        </w:rPr>
        <w:t> </w:t>
      </w:r>
      <w:r>
        <w:rPr>
          <w:spacing w:val="-2"/>
        </w:rPr>
        <w:t>require</w:t>
      </w:r>
      <w:r>
        <w:rPr>
          <w:spacing w:val="-8"/>
        </w:rPr>
        <w:t> </w:t>
      </w:r>
      <w:r>
        <w:rPr>
          <w:spacing w:val="-2"/>
        </w:rPr>
        <w:t>a</w:t>
      </w:r>
      <w:r>
        <w:rPr>
          <w:spacing w:val="-8"/>
        </w:rPr>
        <w:t> </w:t>
      </w:r>
      <w:r>
        <w:rPr>
          <w:spacing w:val="-2"/>
        </w:rPr>
        <w:t>dedicated</w:t>
      </w:r>
      <w:r>
        <w:rPr>
          <w:spacing w:val="-8"/>
        </w:rPr>
        <w:t> </w:t>
      </w:r>
      <w:r>
        <w:rPr>
          <w:spacing w:val="-2"/>
        </w:rPr>
        <w:t>extract</w:t>
      </w:r>
      <w:r>
        <w:rPr>
          <w:spacing w:val="-8"/>
        </w:rPr>
        <w:t> </w:t>
      </w:r>
      <w:r>
        <w:rPr>
          <w:spacing w:val="-2"/>
        </w:rPr>
        <w:t>of</w:t>
      </w:r>
      <w:r>
        <w:rPr>
          <w:spacing w:val="-8"/>
        </w:rPr>
        <w:t> </w:t>
      </w:r>
      <w:r>
        <w:rPr>
          <w:spacing w:val="-2"/>
        </w:rPr>
        <w:t>those</w:t>
      </w:r>
      <w:r>
        <w:rPr>
          <w:spacing w:val="-8"/>
        </w:rPr>
        <w:t> </w:t>
      </w:r>
      <w:r>
        <w:rPr>
          <w:spacing w:val="-2"/>
        </w:rPr>
        <w:t>events </w:t>
      </w:r>
      <w:bookmarkStart w:name="Supplementary alignment summary table" w:id="333"/>
      <w:bookmarkEnd w:id="333"/>
      <w:r>
        <w:rPr>
          <w:spacing w:val="-1"/>
          <w:w w:val="99"/>
        </w:rPr>
      </w:r>
      <w:bookmarkStart w:name="_bookmark204" w:id="334"/>
      <w:bookmarkEnd w:id="334"/>
      <w:r>
        <w:rPr/>
        <w:t>and</w:t>
      </w:r>
      <w:r>
        <w:rPr/>
        <w:t> a fresh alignment evaluation; it is left to future work.</w:t>
      </w:r>
    </w:p>
    <w:p>
      <w:pPr>
        <w:pStyle w:val="BodyText"/>
        <w:spacing w:line="386" w:lineRule="auto"/>
        <w:ind w:left="282" w:right="522" w:hanging="9"/>
        <w:jc w:val="both"/>
      </w:pPr>
      <w:r>
        <w:rPr>
          <w:i/>
        </w:rPr>
        <w:t>이 연구에서는 Aave V3 BorrowAllowanceDelegated 이벤트가 추출되지 않았습니다. 따라서 신용 위임 가장자리에 의존하는 탐색적 순위는 현재 샘플에서 정의되지 않으며 보관된 Aave 지향 매트릭스(부록 8.4)에서 해석할 수 없는(τ = —) 것으로 보고됩니다. 연구를 위임 기반 평판으로 확장하려면 해당 이벤트의 전담 추출과 새로운 정렬 평가가 필요하며 이는 향후 작업으로 남아 있습니다.</w:t>
      </w:r>
    </w:p>
    <w:p>
      <w:pPr>
        <w:pStyle w:val="BodyText"/>
        <w:spacing w:before="15"/>
      </w:pPr>
    </w:p>
    <w:p>
      <w:pPr>
        <w:pStyle w:val="Heading4"/>
        <w:numPr>
          <w:ilvl w:val="2"/>
          <w:numId w:val="8"/>
        </w:numPr>
        <w:tabs>
          <w:tab w:pos="879" w:val="left" w:leader="none"/>
        </w:tabs>
        <w:spacing w:line="240" w:lineRule="auto" w:before="0" w:after="0"/>
        <w:ind w:left="879" w:right="0" w:hanging="597"/>
        <w:jc w:val="left"/>
      </w:pPr>
      <w:r>
        <w:rPr/>
        <w:t>Supplementary</w:t>
      </w:r>
      <w:r>
        <w:rPr>
          <w:spacing w:val="-13"/>
        </w:rPr>
        <w:t> </w:t>
      </w:r>
      <w:r>
        <w:rPr/>
        <w:t>alignment</w:t>
      </w:r>
      <w:r>
        <w:rPr>
          <w:spacing w:val="-13"/>
        </w:rPr>
        <w:t> </w:t>
      </w:r>
      <w:r>
        <w:rPr/>
        <w:t>summary</w:t>
      </w:r>
      <w:r>
        <w:rPr>
          <w:spacing w:val="-13"/>
        </w:rPr>
        <w:t> </w:t>
      </w:r>
      <w:r>
        <w:rPr>
          <w:spacing w:val="-2"/>
        </w:rPr>
        <w:t>table</w:t>
      </w:r>
    </w:p>
    <w:p>
      <w:pPr>
        <w:pStyle w:val="Heading4"/>
        <w:numPr>
          <w:ilvl w:val="2"/>
          <w:numId w:val="8"/>
        </w:numPr>
        <w:tabs>
          <w:tab w:pos="879" w:val="left" w:leader="none"/>
        </w:tabs>
        <w:spacing w:line="240" w:lineRule="auto" w:before="0" w:after="0"/>
        <w:ind w:left="879" w:right="0" w:hanging="597"/>
        <w:jc w:val="left"/>
      </w:pPr>
      <w:r>
        <w:rPr>
          <w:i/>
        </w:rPr>
        <w:t>보충 정렬 요약 테이블</w:t>
      </w:r>
    </w:p>
    <w:p>
      <w:pPr>
        <w:pStyle w:val="BodyText"/>
        <w:spacing w:before="42"/>
        <w:rPr>
          <w:b/>
        </w:rPr>
      </w:pPr>
    </w:p>
    <w:p>
      <w:pPr>
        <w:pStyle w:val="BodyText"/>
        <w:spacing w:line="386" w:lineRule="auto"/>
        <w:ind w:left="282" w:right="524" w:hanging="8"/>
        <w:jc w:val="both"/>
      </w:pPr>
      <w:r>
        <w:rPr/>
        <w:t>Table</w:t>
      </w:r>
      <w:r>
        <w:rPr>
          <w:spacing w:val="-15"/>
        </w:rPr>
        <w:t> </w:t>
      </w:r>
      <w:hyperlink w:history="true" w:anchor="_bookmark205">
        <w:r>
          <w:rPr/>
          <w:t>8.2</w:t>
        </w:r>
      </w:hyperlink>
      <w:r>
        <w:rPr>
          <w:spacing w:val="-15"/>
        </w:rPr>
        <w:t> </w:t>
      </w:r>
      <w:r>
        <w:rPr/>
        <w:t>restates</w:t>
      </w:r>
      <w:r>
        <w:rPr>
          <w:spacing w:val="-15"/>
        </w:rPr>
        <w:t> </w:t>
      </w:r>
      <w:r>
        <w:rPr/>
        <w:t>family-level</w:t>
      </w:r>
      <w:r>
        <w:rPr>
          <w:spacing w:val="-15"/>
        </w:rPr>
        <w:t> </w:t>
      </w:r>
      <w:r>
        <w:rPr/>
        <w:t>mean</w:t>
      </w:r>
      <w:r>
        <w:rPr>
          <w:spacing w:val="-15"/>
        </w:rPr>
        <w:t> </w:t>
      </w:r>
      <w:r>
        <w:rPr>
          <w:rFonts w:ascii="Calibri" w:hAnsi="Calibri"/>
          <w:i/>
        </w:rPr>
        <w:t>τ</w:t>
      </w:r>
      <w:r>
        <w:rPr>
          <w:rFonts w:ascii="Calibri" w:hAnsi="Calibri"/>
          <w:i/>
          <w:spacing w:val="-8"/>
        </w:rPr>
        <w:t> </w:t>
      </w:r>
      <w:r>
        <w:rPr/>
        <w:t>from</w:t>
      </w:r>
      <w:r>
        <w:rPr>
          <w:spacing w:val="-15"/>
        </w:rPr>
        <w:t> </w:t>
      </w:r>
      <w:r>
        <w:rPr/>
        <w:t>Table</w:t>
      </w:r>
      <w:r>
        <w:rPr>
          <w:spacing w:val="-15"/>
        </w:rPr>
        <w:t> </w:t>
      </w:r>
      <w:hyperlink w:history="true" w:anchor="_bookmark101">
        <w:r>
          <w:rPr/>
          <w:t>4.7</w:t>
        </w:r>
      </w:hyperlink>
      <w:r>
        <w:rPr>
          <w:spacing w:val="-15"/>
        </w:rPr>
        <w:t> </w:t>
      </w:r>
      <w:r>
        <w:rPr/>
        <w:t>in</w:t>
      </w:r>
      <w:r>
        <w:rPr>
          <w:spacing w:val="-15"/>
        </w:rPr>
        <w:t> </w:t>
      </w:r>
      <w:r>
        <w:rPr/>
        <w:t>columnar</w:t>
      </w:r>
      <w:r>
        <w:rPr>
          <w:spacing w:val="-15"/>
        </w:rPr>
        <w:t> </w:t>
      </w:r>
      <w:r>
        <w:rPr/>
        <w:t>form</w:t>
      </w:r>
      <w:r>
        <w:rPr>
          <w:spacing w:val="-15"/>
        </w:rPr>
        <w:t> </w:t>
      </w:r>
      <w:r>
        <w:rPr/>
        <w:t>(EndorseRank</w:t>
      </w:r>
      <w:r>
        <w:rPr>
          <w:spacing w:val="-15"/>
        </w:rPr>
        <w:t> </w:t>
      </w:r>
      <w:r>
        <w:rPr/>
        <w:t>/</w:t>
      </w:r>
      <w:r>
        <w:rPr>
          <w:spacing w:val="-15"/>
        </w:rPr>
        <w:t> </w:t>
      </w:r>
      <w:r>
        <w:rPr/>
        <w:t>AWP</w:t>
      </w:r>
      <w:r>
        <w:rPr>
          <w:spacing w:val="-15"/>
        </w:rPr>
        <w:t> </w:t>
      </w:r>
      <w:r>
        <w:rPr/>
        <w:t>/</w:t>
      </w:r>
      <w:r>
        <w:rPr>
          <w:spacing w:val="-15"/>
        </w:rPr>
        <w:t> </w:t>
      </w:r>
      <w:r>
        <w:rPr/>
        <w:t>GF-PR / highest-alignment label).</w:t>
      </w:r>
      <w:r>
        <w:rPr>
          <w:spacing w:val="40"/>
        </w:rPr>
        <w:t> </w:t>
      </w:r>
      <w:r>
        <w:rPr/>
        <w:t>The main narrative uses Table </w:t>
      </w:r>
      <w:hyperlink w:history="true" w:anchor="_bookmark101">
        <w:r>
          <w:rPr/>
          <w:t>4.7</w:t>
        </w:r>
      </w:hyperlink>
      <w:r>
        <w:rPr/>
        <w:t>; the columnar form is retained here for side-by-side reading.</w:t>
      </w:r>
    </w:p>
    <w:p>
      <w:pPr>
        <w:pStyle w:val="BodyText"/>
        <w:spacing w:line="386" w:lineRule="auto"/>
        <w:ind w:left="282" w:right="524" w:hanging="8"/>
        <w:jc w:val="both"/>
      </w:pPr>
      <w:r>
        <w:rPr>
          <w:i/>
        </w:rPr>
        <w:t>표 8.2는 표 4.7의 계열 수준 평균 τ를 열 형식(EndorseRank / AWP / GF-PR / 최고 정렬 레이블)으로 다시 설명합니다. 주요 설명은 표 4.7을 사용하며, 나란히 읽을 수 있도록 기둥 형식이 여기에 유지됩니다.</w:t>
      </w:r>
    </w:p>
    <w:p>
      <w:pPr>
        <w:pStyle w:val="BodyText"/>
        <w:spacing w:before="86"/>
        <w:ind w:left="644"/>
        <w:jc w:val="both"/>
      </w:pPr>
      <w:bookmarkStart w:name="_bookmark205" w:id="335"/>
      <w:bookmarkEnd w:id="335"/>
      <w:r>
        <w:rPr/>
      </w:r>
      <w:r>
        <w:rPr/>
        <w:t>Table</w:t>
      </w:r>
      <w:r>
        <w:rPr>
          <w:spacing w:val="-4"/>
        </w:rPr>
        <w:t> </w:t>
      </w:r>
      <w:r>
        <w:rPr/>
        <w:t>8.2:</w:t>
      </w:r>
      <w:r>
        <w:rPr>
          <w:spacing w:val="14"/>
        </w:rPr>
        <w:t> </w:t>
      </w:r>
      <w:r>
        <w:rPr/>
        <w:t>Mean</w:t>
      </w:r>
      <w:r>
        <w:rPr>
          <w:spacing w:val="-4"/>
        </w:rPr>
        <w:t> </w:t>
      </w:r>
      <w:r>
        <w:rPr/>
        <w:t>Kendall</w:t>
      </w:r>
      <w:r>
        <w:rPr>
          <w:spacing w:val="-4"/>
        </w:rPr>
        <w:t> </w:t>
      </w:r>
      <w:r>
        <w:rPr>
          <w:rFonts w:ascii="Calibri" w:hAnsi="Calibri"/>
          <w:i/>
        </w:rPr>
        <w:t>τ</w:t>
      </w:r>
      <w:r>
        <w:rPr>
          <w:rFonts w:ascii="Calibri" w:hAnsi="Calibri"/>
          <w:i/>
          <w:spacing w:val="28"/>
        </w:rPr>
        <w:t> </w:t>
      </w:r>
      <w:r>
        <w:rPr/>
        <w:t>by</w:t>
      </w:r>
      <w:r>
        <w:rPr>
          <w:spacing w:val="-4"/>
        </w:rPr>
        <w:t> </w:t>
      </w:r>
      <w:r>
        <w:rPr/>
        <w:t>proxy</w:t>
      </w:r>
      <w:r>
        <w:rPr>
          <w:spacing w:val="-4"/>
        </w:rPr>
        <w:t> </w:t>
      </w:r>
      <w:r>
        <w:rPr/>
        <w:t>family:</w:t>
      </w:r>
      <w:r>
        <w:rPr>
          <w:spacing w:val="15"/>
        </w:rPr>
        <w:t> </w:t>
      </w:r>
      <w:r>
        <w:rPr/>
        <w:t>EndorseRank,</w:t>
      </w:r>
      <w:r>
        <w:rPr>
          <w:spacing w:val="-4"/>
        </w:rPr>
        <w:t> </w:t>
      </w:r>
      <w:r>
        <w:rPr/>
        <w:t>AWP,</w:t>
      </w:r>
      <w:r>
        <w:rPr>
          <w:spacing w:val="-4"/>
        </w:rPr>
        <w:t> </w:t>
      </w:r>
      <w:r>
        <w:rPr/>
        <w:t>and</w:t>
      </w:r>
      <w:r>
        <w:rPr>
          <w:spacing w:val="-4"/>
        </w:rPr>
        <w:t> </w:t>
      </w:r>
      <w:r>
        <w:rPr/>
        <w:t>GF-PR</w:t>
      </w:r>
      <w:r>
        <w:rPr>
          <w:spacing w:val="-4"/>
        </w:rPr>
        <w:t> </w:t>
      </w:r>
      <w:r>
        <w:rPr/>
        <w:t>(</w:t>
      </w:r>
      <w:r>
        <w:rPr>
          <w:rFonts w:ascii="Calibri" w:hAnsi="Calibri"/>
          <w:i/>
        </w:rPr>
        <w:t>n</w:t>
      </w:r>
      <w:r>
        <w:rPr>
          <w:rFonts w:ascii="Calibri" w:hAnsi="Calibri"/>
          <w:i/>
          <w:spacing w:val="9"/>
        </w:rPr>
        <w:t> </w:t>
      </w:r>
      <w:r>
        <w:rPr>
          <w:rFonts w:ascii="Calibri" w:hAnsi="Calibri"/>
        </w:rPr>
        <w:t>=</w:t>
      </w:r>
      <w:r>
        <w:rPr>
          <w:rFonts w:ascii="Calibri" w:hAnsi="Calibri"/>
          <w:spacing w:val="7"/>
        </w:rPr>
        <w:t> </w:t>
      </w:r>
      <w:r>
        <w:rPr>
          <w:rFonts w:ascii="Calibri" w:hAnsi="Calibri"/>
          <w:spacing w:val="-2"/>
        </w:rPr>
        <w:t>5521</w:t>
      </w:r>
      <w:r>
        <w:rPr>
          <w:spacing w:val="-2"/>
        </w:rPr>
        <w:t>).</w:t>
      </w:r>
    </w:p>
    <w:p>
      <w:pPr>
        <w:pStyle w:val="BodyText"/>
        <w:spacing w:before="86"/>
        <w:ind w:left="644"/>
        <w:jc w:val="both"/>
      </w:pPr>
      <w:r>
        <w:rPr>
          <w:i/>
        </w:rPr>
        <w:t>표 8.2: 프록시군별 평균 Kendall τ: EndorseRank, AWP 및 GF-PR(n = 5521).</w:t>
      </w:r>
    </w:p>
    <w:p>
      <w:pPr>
        <w:pStyle w:val="BodyText"/>
        <w:spacing w:before="1"/>
        <w:rPr>
          <w:sz w:val="20"/>
        </w:rPr>
      </w:pPr>
    </w:p>
    <w:tbl>
      <w:tblPr>
        <w:tblW w:w="0" w:type="auto"/>
        <w:jc w:val="left"/>
        <w:tblInd w:w="2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5"/>
        <w:gridCol w:w="1315"/>
        <w:gridCol w:w="703"/>
        <w:gridCol w:w="758"/>
        <w:gridCol w:w="1315"/>
      </w:tblGrid>
      <w:tr>
        <w:trPr>
          <w:trHeight w:val="381" w:hRule="atLeast"/>
        </w:trPr>
        <w:tc>
          <w:tcPr>
            <w:tcW w:w="1085" w:type="dxa"/>
            <w:tcBorders>
              <w:top w:val="single" w:sz="8" w:space="0" w:color="000000"/>
              <w:bottom w:val="single" w:sz="6" w:space="0" w:color="000000"/>
            </w:tcBorders>
          </w:tcPr>
          <w:p>
            <w:pPr>
              <w:pStyle w:val="TableParagraph"/>
              <w:spacing w:before="53"/>
              <w:ind w:left="69"/>
              <w:jc w:val="left"/>
              <w:rPr>
                <w:sz w:val="22"/>
              </w:rPr>
            </w:pPr>
            <w:r>
              <w:rPr>
                <w:spacing w:val="-2"/>
                <w:sz w:val="22"/>
              </w:rPr>
              <w:t>Family</w:t>
            </w:r>
          </w:p>
          <w:p>
            <w:pPr>
              <w:pStyle w:val="TableParagraph"/>
              <w:spacing w:before="53"/>
              <w:ind w:left="69"/>
              <w:jc w:val="left"/>
              <w:rPr>
                <w:sz w:val="22"/>
              </w:rPr>
            </w:pPr>
            <w:r>
              <w:rPr>
                <w:i/>
              </w:rPr>
              <w:t>가족</w:t>
            </w:r>
          </w:p>
        </w:tc>
        <w:tc>
          <w:tcPr>
            <w:tcW w:w="1315" w:type="dxa"/>
            <w:tcBorders>
              <w:top w:val="single" w:sz="8" w:space="0" w:color="000000"/>
              <w:bottom w:val="single" w:sz="6" w:space="0" w:color="000000"/>
            </w:tcBorders>
          </w:tcPr>
          <w:p>
            <w:pPr>
              <w:pStyle w:val="TableParagraph"/>
              <w:spacing w:before="53"/>
              <w:ind w:right="1"/>
              <w:rPr>
                <w:sz w:val="22"/>
              </w:rPr>
            </w:pPr>
            <w:r>
              <w:rPr>
                <w:spacing w:val="-2"/>
                <w:sz w:val="22"/>
              </w:rPr>
              <w:t>EndorseRank</w:t>
            </w:r>
          </w:p>
        </w:tc>
        <w:tc>
          <w:tcPr>
            <w:tcW w:w="703" w:type="dxa"/>
            <w:tcBorders>
              <w:top w:val="single" w:sz="8" w:space="0" w:color="000000"/>
              <w:bottom w:val="single" w:sz="6" w:space="0" w:color="000000"/>
            </w:tcBorders>
          </w:tcPr>
          <w:p>
            <w:pPr>
              <w:pStyle w:val="TableParagraph"/>
              <w:spacing w:before="53"/>
              <w:ind w:right="1"/>
              <w:rPr>
                <w:sz w:val="22"/>
              </w:rPr>
            </w:pPr>
            <w:r>
              <w:rPr>
                <w:spacing w:val="-5"/>
                <w:sz w:val="22"/>
              </w:rPr>
              <w:t>AWP</w:t>
            </w:r>
          </w:p>
        </w:tc>
        <w:tc>
          <w:tcPr>
            <w:tcW w:w="758" w:type="dxa"/>
            <w:tcBorders>
              <w:top w:val="single" w:sz="8" w:space="0" w:color="000000"/>
              <w:bottom w:val="single" w:sz="6" w:space="0" w:color="000000"/>
            </w:tcBorders>
          </w:tcPr>
          <w:p>
            <w:pPr>
              <w:pStyle w:val="TableParagraph"/>
              <w:spacing w:before="53"/>
              <w:ind w:right="1"/>
              <w:rPr>
                <w:sz w:val="22"/>
              </w:rPr>
            </w:pPr>
            <w:r>
              <w:rPr>
                <w:spacing w:val="-2"/>
                <w:sz w:val="22"/>
              </w:rPr>
              <w:t>GF-</w:t>
            </w:r>
            <w:r>
              <w:rPr>
                <w:spacing w:val="-5"/>
                <w:sz w:val="22"/>
              </w:rPr>
              <w:t>PR</w:t>
            </w:r>
          </w:p>
        </w:tc>
        <w:tc>
          <w:tcPr>
            <w:tcW w:w="1315" w:type="dxa"/>
            <w:tcBorders>
              <w:top w:val="single" w:sz="8" w:space="0" w:color="000000"/>
              <w:bottom w:val="single" w:sz="6" w:space="0" w:color="000000"/>
            </w:tcBorders>
          </w:tcPr>
          <w:p>
            <w:pPr>
              <w:pStyle w:val="TableParagraph"/>
              <w:spacing w:before="53"/>
              <w:ind w:right="1"/>
              <w:rPr>
                <w:sz w:val="22"/>
              </w:rPr>
            </w:pPr>
            <w:r>
              <w:rPr>
                <w:spacing w:val="-2"/>
                <w:sz w:val="22"/>
              </w:rPr>
              <w:t>Highest</w:t>
            </w:r>
          </w:p>
          <w:p>
            <w:pPr>
              <w:pStyle w:val="TableParagraph"/>
              <w:spacing w:before="53"/>
              <w:ind w:right="1"/>
              <w:rPr>
                <w:sz w:val="22"/>
              </w:rPr>
            </w:pPr>
            <w:r>
              <w:rPr>
                <w:i/>
              </w:rPr>
              <w:t>제일 높은</w:t>
            </w:r>
          </w:p>
        </w:tc>
      </w:tr>
      <w:tr>
        <w:trPr>
          <w:trHeight w:val="319" w:hRule="atLeast"/>
        </w:trPr>
        <w:tc>
          <w:tcPr>
            <w:tcW w:w="1085" w:type="dxa"/>
            <w:tcBorders>
              <w:top w:val="single" w:sz="6" w:space="0" w:color="000000"/>
            </w:tcBorders>
          </w:tcPr>
          <w:p>
            <w:pPr>
              <w:pStyle w:val="TableParagraph"/>
              <w:spacing w:line="247" w:lineRule="exact" w:before="52"/>
              <w:ind w:left="69"/>
              <w:jc w:val="left"/>
              <w:rPr>
                <w:sz w:val="22"/>
              </w:rPr>
            </w:pPr>
            <w:r>
              <w:rPr>
                <w:spacing w:val="-2"/>
                <w:sz w:val="22"/>
              </w:rPr>
              <w:t>Transfer</w:t>
            </w:r>
          </w:p>
          <w:p>
            <w:pPr>
              <w:pStyle w:val="TableParagraph"/>
              <w:spacing w:line="247" w:lineRule="exact" w:before="52"/>
              <w:ind w:left="69"/>
              <w:jc w:val="left"/>
              <w:rPr>
                <w:sz w:val="22"/>
              </w:rPr>
            </w:pPr>
            <w:r>
              <w:rPr>
                <w:i/>
              </w:rPr>
              <w:t>옮기다</w:t>
            </w:r>
          </w:p>
        </w:tc>
        <w:tc>
          <w:tcPr>
            <w:tcW w:w="1315" w:type="dxa"/>
            <w:tcBorders>
              <w:top w:val="single" w:sz="6" w:space="0" w:color="000000"/>
            </w:tcBorders>
          </w:tcPr>
          <w:p>
            <w:pPr>
              <w:pStyle w:val="TableParagraph"/>
              <w:spacing w:line="247" w:lineRule="exact" w:before="52"/>
              <w:rPr>
                <w:sz w:val="22"/>
              </w:rPr>
            </w:pPr>
            <w:r>
              <w:rPr>
                <w:spacing w:val="-2"/>
                <w:sz w:val="22"/>
              </w:rPr>
              <w:t>0.333</w:t>
            </w:r>
          </w:p>
        </w:tc>
        <w:tc>
          <w:tcPr>
            <w:tcW w:w="703" w:type="dxa"/>
            <w:tcBorders>
              <w:top w:val="single" w:sz="6" w:space="0" w:color="000000"/>
            </w:tcBorders>
          </w:tcPr>
          <w:p>
            <w:pPr>
              <w:pStyle w:val="TableParagraph"/>
              <w:spacing w:line="247" w:lineRule="exact" w:before="52"/>
              <w:ind w:right="1"/>
              <w:rPr>
                <w:sz w:val="22"/>
              </w:rPr>
            </w:pPr>
            <w:r>
              <w:rPr>
                <w:spacing w:val="-2"/>
                <w:sz w:val="22"/>
              </w:rPr>
              <w:t>0.534</w:t>
            </w:r>
          </w:p>
        </w:tc>
        <w:tc>
          <w:tcPr>
            <w:tcW w:w="758" w:type="dxa"/>
            <w:tcBorders>
              <w:top w:val="single" w:sz="6" w:space="0" w:color="000000"/>
            </w:tcBorders>
          </w:tcPr>
          <w:p>
            <w:pPr>
              <w:pStyle w:val="TableParagraph"/>
              <w:spacing w:line="247" w:lineRule="exact" w:before="52"/>
              <w:ind w:right="1"/>
              <w:rPr>
                <w:sz w:val="22"/>
              </w:rPr>
            </w:pPr>
            <w:r>
              <w:rPr>
                <w:spacing w:val="-2"/>
                <w:sz w:val="22"/>
              </w:rPr>
              <w:t>0.246</w:t>
            </w:r>
          </w:p>
        </w:tc>
        <w:tc>
          <w:tcPr>
            <w:tcW w:w="1315" w:type="dxa"/>
            <w:tcBorders>
              <w:top w:val="single" w:sz="6" w:space="0" w:color="000000"/>
            </w:tcBorders>
          </w:tcPr>
          <w:p>
            <w:pPr>
              <w:pStyle w:val="TableParagraph"/>
              <w:spacing w:line="247" w:lineRule="exact" w:before="52"/>
              <w:ind w:right="1"/>
              <w:rPr>
                <w:sz w:val="22"/>
              </w:rPr>
            </w:pPr>
            <w:r>
              <w:rPr>
                <w:spacing w:val="-5"/>
                <w:sz w:val="22"/>
              </w:rPr>
              <w:t>AWP</w:t>
            </w:r>
          </w:p>
        </w:tc>
      </w:tr>
      <w:tr>
        <w:trPr>
          <w:trHeight w:val="270" w:hRule="atLeast"/>
        </w:trPr>
        <w:tc>
          <w:tcPr>
            <w:tcW w:w="1085" w:type="dxa"/>
          </w:tcPr>
          <w:p>
            <w:pPr>
              <w:pStyle w:val="TableParagraph"/>
              <w:spacing w:line="247" w:lineRule="exact"/>
              <w:ind w:left="69"/>
              <w:jc w:val="left"/>
              <w:rPr>
                <w:sz w:val="22"/>
              </w:rPr>
            </w:pPr>
            <w:r>
              <w:rPr>
                <w:spacing w:val="-2"/>
                <w:sz w:val="22"/>
              </w:rPr>
              <w:t>Allowance</w:t>
            </w:r>
          </w:p>
          <w:p>
            <w:pPr>
              <w:pStyle w:val="TableParagraph"/>
              <w:spacing w:line="247" w:lineRule="exact"/>
              <w:ind w:left="69"/>
              <w:jc w:val="left"/>
              <w:rPr>
                <w:sz w:val="22"/>
              </w:rPr>
            </w:pPr>
            <w:r>
              <w:rPr>
                <w:i/>
              </w:rPr>
              <w:t>용돈</w:t>
            </w:r>
          </w:p>
        </w:tc>
        <w:tc>
          <w:tcPr>
            <w:tcW w:w="1315" w:type="dxa"/>
          </w:tcPr>
          <w:p>
            <w:pPr>
              <w:pStyle w:val="TableParagraph"/>
              <w:spacing w:line="247" w:lineRule="exact"/>
              <w:rPr>
                <w:sz w:val="22"/>
              </w:rPr>
            </w:pPr>
            <w:r>
              <w:rPr>
                <w:spacing w:val="-2"/>
                <w:sz w:val="22"/>
              </w:rPr>
              <w:t>0.355</w:t>
            </w:r>
          </w:p>
        </w:tc>
        <w:tc>
          <w:tcPr>
            <w:tcW w:w="703" w:type="dxa"/>
          </w:tcPr>
          <w:p>
            <w:pPr>
              <w:pStyle w:val="TableParagraph"/>
              <w:spacing w:line="247" w:lineRule="exact"/>
              <w:ind w:left="1" w:right="1"/>
              <w:rPr>
                <w:sz w:val="22"/>
              </w:rPr>
            </w:pPr>
            <w:r>
              <w:rPr>
                <w:spacing w:val="-2"/>
                <w:sz w:val="22"/>
              </w:rPr>
              <w:t>-0.030</w:t>
            </w:r>
          </w:p>
        </w:tc>
        <w:tc>
          <w:tcPr>
            <w:tcW w:w="758" w:type="dxa"/>
          </w:tcPr>
          <w:p>
            <w:pPr>
              <w:pStyle w:val="TableParagraph"/>
              <w:spacing w:line="247" w:lineRule="exact"/>
              <w:rPr>
                <w:sz w:val="22"/>
              </w:rPr>
            </w:pPr>
            <w:r>
              <w:rPr>
                <w:spacing w:val="-2"/>
                <w:sz w:val="22"/>
              </w:rPr>
              <w:t>-0.041</w:t>
            </w:r>
          </w:p>
        </w:tc>
        <w:tc>
          <w:tcPr>
            <w:tcW w:w="1315" w:type="dxa"/>
          </w:tcPr>
          <w:p>
            <w:pPr>
              <w:pStyle w:val="TableParagraph"/>
              <w:spacing w:line="247" w:lineRule="exact"/>
              <w:rPr>
                <w:sz w:val="22"/>
              </w:rPr>
            </w:pPr>
            <w:r>
              <w:rPr>
                <w:spacing w:val="-2"/>
                <w:sz w:val="22"/>
              </w:rPr>
              <w:t>EndorseRank</w:t>
            </w:r>
          </w:p>
        </w:tc>
      </w:tr>
      <w:tr>
        <w:trPr>
          <w:trHeight w:val="270" w:hRule="atLeast"/>
        </w:trPr>
        <w:tc>
          <w:tcPr>
            <w:tcW w:w="1085" w:type="dxa"/>
          </w:tcPr>
          <w:p>
            <w:pPr>
              <w:pStyle w:val="TableParagraph"/>
              <w:spacing w:line="247" w:lineRule="exact"/>
              <w:ind w:left="69"/>
              <w:jc w:val="left"/>
              <w:rPr>
                <w:sz w:val="22"/>
              </w:rPr>
            </w:pPr>
            <w:r>
              <w:rPr>
                <w:spacing w:val="-4"/>
                <w:sz w:val="22"/>
              </w:rPr>
              <w:t>Liq.</w:t>
            </w:r>
          </w:p>
          <w:p>
            <w:pPr>
              <w:pStyle w:val="TableParagraph"/>
              <w:spacing w:line="247" w:lineRule="exact"/>
              <w:ind w:left="69"/>
              <w:jc w:val="left"/>
              <w:rPr>
                <w:sz w:val="22"/>
              </w:rPr>
            </w:pPr>
            <w:r>
              <w:rPr>
                <w:i/>
              </w:rPr>
              <w:t>액체.</w:t>
            </w:r>
          </w:p>
        </w:tc>
        <w:tc>
          <w:tcPr>
            <w:tcW w:w="1315" w:type="dxa"/>
          </w:tcPr>
          <w:p>
            <w:pPr>
              <w:pStyle w:val="TableParagraph"/>
              <w:spacing w:line="247" w:lineRule="exact"/>
              <w:rPr>
                <w:sz w:val="22"/>
              </w:rPr>
            </w:pPr>
            <w:r>
              <w:rPr>
                <w:spacing w:val="-2"/>
                <w:sz w:val="22"/>
              </w:rPr>
              <w:t>0.093</w:t>
            </w:r>
          </w:p>
        </w:tc>
        <w:tc>
          <w:tcPr>
            <w:tcW w:w="703" w:type="dxa"/>
          </w:tcPr>
          <w:p>
            <w:pPr>
              <w:pStyle w:val="TableParagraph"/>
              <w:spacing w:line="247" w:lineRule="exact"/>
              <w:ind w:left="1" w:right="1"/>
              <w:rPr>
                <w:sz w:val="22"/>
              </w:rPr>
            </w:pPr>
            <w:r>
              <w:rPr>
                <w:spacing w:val="-2"/>
                <w:sz w:val="22"/>
              </w:rPr>
              <w:t>0.113</w:t>
            </w:r>
          </w:p>
        </w:tc>
        <w:tc>
          <w:tcPr>
            <w:tcW w:w="758" w:type="dxa"/>
          </w:tcPr>
          <w:p>
            <w:pPr>
              <w:pStyle w:val="TableParagraph"/>
              <w:spacing w:line="247" w:lineRule="exact"/>
              <w:ind w:right="1"/>
              <w:rPr>
                <w:sz w:val="22"/>
              </w:rPr>
            </w:pPr>
            <w:r>
              <w:rPr>
                <w:spacing w:val="-2"/>
                <w:sz w:val="22"/>
              </w:rPr>
              <w:t>0.132</w:t>
            </w:r>
          </w:p>
        </w:tc>
        <w:tc>
          <w:tcPr>
            <w:tcW w:w="1315" w:type="dxa"/>
          </w:tcPr>
          <w:p>
            <w:pPr>
              <w:pStyle w:val="TableParagraph"/>
              <w:spacing w:line="247" w:lineRule="exact"/>
              <w:ind w:right="1"/>
              <w:rPr>
                <w:sz w:val="22"/>
              </w:rPr>
            </w:pPr>
            <w:r>
              <w:rPr>
                <w:spacing w:val="-2"/>
                <w:sz w:val="22"/>
              </w:rPr>
              <w:t>GF-</w:t>
            </w:r>
            <w:r>
              <w:rPr>
                <w:spacing w:val="-5"/>
                <w:sz w:val="22"/>
              </w:rPr>
              <w:t>PR</w:t>
            </w:r>
          </w:p>
        </w:tc>
      </w:tr>
      <w:tr>
        <w:trPr>
          <w:trHeight w:val="270" w:hRule="atLeast"/>
        </w:trPr>
        <w:tc>
          <w:tcPr>
            <w:tcW w:w="1085" w:type="dxa"/>
          </w:tcPr>
          <w:p>
            <w:pPr>
              <w:pStyle w:val="TableParagraph"/>
              <w:spacing w:line="247" w:lineRule="exact"/>
              <w:ind w:left="69"/>
              <w:jc w:val="left"/>
              <w:rPr>
                <w:sz w:val="22"/>
              </w:rPr>
            </w:pPr>
            <w:r>
              <w:rPr>
                <w:spacing w:val="-2"/>
                <w:sz w:val="22"/>
              </w:rPr>
              <w:t>Inv.risk</w:t>
            </w:r>
          </w:p>
          <w:p>
            <w:pPr>
              <w:pStyle w:val="TableParagraph"/>
              <w:spacing w:line="247" w:lineRule="exact"/>
              <w:ind w:left="69"/>
              <w:jc w:val="left"/>
              <w:rPr>
                <w:sz w:val="22"/>
              </w:rPr>
            </w:pPr>
            <w:r>
              <w:rPr>
                <w:i/>
              </w:rPr>
              <w:t>투자위험</w:t>
            </w:r>
          </w:p>
        </w:tc>
        <w:tc>
          <w:tcPr>
            <w:tcW w:w="1315" w:type="dxa"/>
          </w:tcPr>
          <w:p>
            <w:pPr>
              <w:pStyle w:val="TableParagraph"/>
              <w:spacing w:line="247" w:lineRule="exact"/>
              <w:rPr>
                <w:sz w:val="22"/>
              </w:rPr>
            </w:pPr>
            <w:r>
              <w:rPr>
                <w:spacing w:val="-2"/>
                <w:sz w:val="22"/>
              </w:rPr>
              <w:t>0.035</w:t>
            </w:r>
          </w:p>
        </w:tc>
        <w:tc>
          <w:tcPr>
            <w:tcW w:w="703" w:type="dxa"/>
          </w:tcPr>
          <w:p>
            <w:pPr>
              <w:pStyle w:val="TableParagraph"/>
              <w:spacing w:line="247" w:lineRule="exact"/>
              <w:ind w:right="1"/>
              <w:rPr>
                <w:sz w:val="22"/>
              </w:rPr>
            </w:pPr>
            <w:r>
              <w:rPr>
                <w:spacing w:val="-2"/>
                <w:sz w:val="22"/>
              </w:rPr>
              <w:t>0.107</w:t>
            </w:r>
          </w:p>
        </w:tc>
        <w:tc>
          <w:tcPr>
            <w:tcW w:w="758" w:type="dxa"/>
          </w:tcPr>
          <w:p>
            <w:pPr>
              <w:pStyle w:val="TableParagraph"/>
              <w:spacing w:line="247" w:lineRule="exact"/>
              <w:ind w:right="1"/>
              <w:rPr>
                <w:sz w:val="22"/>
              </w:rPr>
            </w:pPr>
            <w:r>
              <w:rPr>
                <w:spacing w:val="-2"/>
                <w:sz w:val="22"/>
              </w:rPr>
              <w:t>0.376</w:t>
            </w:r>
          </w:p>
        </w:tc>
        <w:tc>
          <w:tcPr>
            <w:tcW w:w="1315" w:type="dxa"/>
          </w:tcPr>
          <w:p>
            <w:pPr>
              <w:pStyle w:val="TableParagraph"/>
              <w:spacing w:line="247" w:lineRule="exact"/>
              <w:ind w:right="1"/>
              <w:rPr>
                <w:sz w:val="22"/>
              </w:rPr>
            </w:pPr>
            <w:r>
              <w:rPr>
                <w:spacing w:val="-2"/>
                <w:sz w:val="22"/>
              </w:rPr>
              <w:t>GF-</w:t>
            </w:r>
            <w:r>
              <w:rPr>
                <w:spacing w:val="-5"/>
                <w:sz w:val="22"/>
              </w:rPr>
              <w:t>PR</w:t>
            </w:r>
          </w:p>
        </w:tc>
      </w:tr>
      <w:tr>
        <w:trPr>
          <w:trHeight w:val="270" w:hRule="atLeast"/>
        </w:trPr>
        <w:tc>
          <w:tcPr>
            <w:tcW w:w="1085" w:type="dxa"/>
          </w:tcPr>
          <w:p>
            <w:pPr>
              <w:pStyle w:val="TableParagraph"/>
              <w:spacing w:line="247" w:lineRule="exact"/>
              <w:ind w:left="69"/>
              <w:jc w:val="left"/>
              <w:rPr>
                <w:sz w:val="22"/>
              </w:rPr>
            </w:pPr>
            <w:r>
              <w:rPr>
                <w:spacing w:val="-2"/>
                <w:sz w:val="22"/>
              </w:rPr>
              <w:t>Sybil</w:t>
            </w:r>
          </w:p>
        </w:tc>
        <w:tc>
          <w:tcPr>
            <w:tcW w:w="1315" w:type="dxa"/>
          </w:tcPr>
          <w:p>
            <w:pPr>
              <w:pStyle w:val="TableParagraph"/>
              <w:spacing w:line="247" w:lineRule="exact"/>
              <w:rPr>
                <w:sz w:val="22"/>
              </w:rPr>
            </w:pPr>
            <w:r>
              <w:rPr>
                <w:spacing w:val="-2"/>
                <w:sz w:val="22"/>
              </w:rPr>
              <w:t>0.233</w:t>
            </w:r>
          </w:p>
        </w:tc>
        <w:tc>
          <w:tcPr>
            <w:tcW w:w="703" w:type="dxa"/>
          </w:tcPr>
          <w:p>
            <w:pPr>
              <w:pStyle w:val="TableParagraph"/>
              <w:spacing w:line="247" w:lineRule="exact"/>
              <w:ind w:right="1"/>
              <w:rPr>
                <w:sz w:val="22"/>
              </w:rPr>
            </w:pPr>
            <w:r>
              <w:rPr>
                <w:spacing w:val="-2"/>
                <w:sz w:val="22"/>
              </w:rPr>
              <w:t>0.286</w:t>
            </w:r>
          </w:p>
        </w:tc>
        <w:tc>
          <w:tcPr>
            <w:tcW w:w="758" w:type="dxa"/>
          </w:tcPr>
          <w:p>
            <w:pPr>
              <w:pStyle w:val="TableParagraph"/>
              <w:spacing w:line="247" w:lineRule="exact"/>
              <w:ind w:right="1"/>
              <w:rPr>
                <w:sz w:val="22"/>
              </w:rPr>
            </w:pPr>
            <w:r>
              <w:rPr>
                <w:spacing w:val="-2"/>
                <w:sz w:val="22"/>
              </w:rPr>
              <w:t>0.093</w:t>
            </w:r>
          </w:p>
        </w:tc>
        <w:tc>
          <w:tcPr>
            <w:tcW w:w="1315" w:type="dxa"/>
          </w:tcPr>
          <w:p>
            <w:pPr>
              <w:pStyle w:val="TableParagraph"/>
              <w:spacing w:line="247" w:lineRule="exact"/>
              <w:ind w:right="1"/>
              <w:rPr>
                <w:sz w:val="22"/>
              </w:rPr>
            </w:pPr>
            <w:r>
              <w:rPr>
                <w:spacing w:val="-5"/>
                <w:sz w:val="22"/>
              </w:rPr>
              <w:t>AWP</w:t>
            </w:r>
          </w:p>
        </w:tc>
      </w:tr>
      <w:tr>
        <w:trPr>
          <w:trHeight w:val="332" w:hRule="atLeast"/>
        </w:trPr>
        <w:tc>
          <w:tcPr>
            <w:tcW w:w="1085" w:type="dxa"/>
            <w:tcBorders>
              <w:bottom w:val="single" w:sz="8" w:space="0" w:color="000000"/>
            </w:tcBorders>
          </w:tcPr>
          <w:p>
            <w:pPr>
              <w:pStyle w:val="TableParagraph"/>
              <w:ind w:left="69"/>
              <w:jc w:val="left"/>
              <w:rPr>
                <w:sz w:val="22"/>
              </w:rPr>
            </w:pPr>
            <w:r>
              <w:rPr>
                <w:spacing w:val="-5"/>
                <w:sz w:val="22"/>
              </w:rPr>
              <w:t>GMX</w:t>
            </w:r>
          </w:p>
        </w:tc>
        <w:tc>
          <w:tcPr>
            <w:tcW w:w="1315" w:type="dxa"/>
            <w:tcBorders>
              <w:bottom w:val="single" w:sz="8" w:space="0" w:color="000000"/>
            </w:tcBorders>
          </w:tcPr>
          <w:p>
            <w:pPr>
              <w:pStyle w:val="TableParagraph"/>
              <w:rPr>
                <w:sz w:val="22"/>
              </w:rPr>
            </w:pPr>
            <w:r>
              <w:rPr>
                <w:spacing w:val="-2"/>
                <w:sz w:val="22"/>
              </w:rPr>
              <w:t>0.096</w:t>
            </w:r>
          </w:p>
        </w:tc>
        <w:tc>
          <w:tcPr>
            <w:tcW w:w="703" w:type="dxa"/>
            <w:tcBorders>
              <w:bottom w:val="single" w:sz="8" w:space="0" w:color="000000"/>
            </w:tcBorders>
          </w:tcPr>
          <w:p>
            <w:pPr>
              <w:pStyle w:val="TableParagraph"/>
              <w:ind w:right="1"/>
              <w:rPr>
                <w:sz w:val="22"/>
              </w:rPr>
            </w:pPr>
            <w:r>
              <w:rPr>
                <w:spacing w:val="-2"/>
                <w:sz w:val="22"/>
              </w:rPr>
              <w:t>0.179</w:t>
            </w:r>
          </w:p>
        </w:tc>
        <w:tc>
          <w:tcPr>
            <w:tcW w:w="758" w:type="dxa"/>
            <w:tcBorders>
              <w:bottom w:val="single" w:sz="8" w:space="0" w:color="000000"/>
            </w:tcBorders>
          </w:tcPr>
          <w:p>
            <w:pPr>
              <w:pStyle w:val="TableParagraph"/>
              <w:ind w:right="1"/>
              <w:rPr>
                <w:sz w:val="22"/>
              </w:rPr>
            </w:pPr>
            <w:r>
              <w:rPr>
                <w:spacing w:val="-2"/>
                <w:sz w:val="22"/>
              </w:rPr>
              <w:t>0.583</w:t>
            </w:r>
          </w:p>
        </w:tc>
        <w:tc>
          <w:tcPr>
            <w:tcW w:w="1315" w:type="dxa"/>
            <w:tcBorders>
              <w:bottom w:val="single" w:sz="8" w:space="0" w:color="000000"/>
            </w:tcBorders>
          </w:tcPr>
          <w:p>
            <w:pPr>
              <w:pStyle w:val="TableParagraph"/>
              <w:ind w:right="1"/>
              <w:rPr>
                <w:sz w:val="22"/>
              </w:rPr>
            </w:pPr>
            <w:r>
              <w:rPr>
                <w:spacing w:val="-2"/>
                <w:sz w:val="22"/>
              </w:rPr>
              <w:t>GF-</w:t>
            </w:r>
            <w:r>
              <w:rPr>
                <w:spacing w:val="-5"/>
                <w:sz w:val="22"/>
              </w:rPr>
              <w:t>PR</w:t>
            </w:r>
          </w:p>
        </w:tc>
      </w:tr>
    </w:tbl>
    <w:p>
      <w:pPr>
        <w:pStyle w:val="BodyText"/>
      </w:pPr>
    </w:p>
    <w:p>
      <w:pPr>
        <w:pStyle w:val="BodyText"/>
        <w:spacing w:before="170"/>
      </w:pPr>
    </w:p>
    <w:p>
      <w:pPr>
        <w:pStyle w:val="Heading4"/>
        <w:numPr>
          <w:ilvl w:val="2"/>
          <w:numId w:val="8"/>
        </w:numPr>
        <w:tabs>
          <w:tab w:pos="879" w:val="left" w:leader="none"/>
        </w:tabs>
        <w:spacing w:line="240" w:lineRule="auto" w:before="0" w:after="0"/>
        <w:ind w:left="879" w:right="0" w:hanging="597"/>
        <w:jc w:val="left"/>
      </w:pPr>
      <w:bookmarkStart w:name="Parameter summary" w:id="336"/>
      <w:bookmarkEnd w:id="336"/>
      <w:r>
        <w:rPr>
          <w:b w:val="0"/>
        </w:rPr>
      </w:r>
      <w:bookmarkStart w:name="_bookmark206" w:id="337"/>
      <w:bookmarkEnd w:id="337"/>
      <w:r>
        <w:rPr>
          <w:b w:val="0"/>
        </w:rPr>
      </w:r>
      <w:r>
        <w:rPr/>
        <w:t>Parameter</w:t>
      </w:r>
      <w:r>
        <w:rPr>
          <w:spacing w:val="-12"/>
        </w:rPr>
        <w:t> </w:t>
      </w:r>
      <w:r>
        <w:rPr>
          <w:spacing w:val="-2"/>
        </w:rPr>
        <w:t>summary</w:t>
      </w:r>
    </w:p>
    <w:p>
      <w:pPr>
        <w:pStyle w:val="Heading4"/>
        <w:numPr>
          <w:ilvl w:val="2"/>
          <w:numId w:val="8"/>
        </w:numPr>
        <w:tabs>
          <w:tab w:pos="879" w:val="left" w:leader="none"/>
        </w:tabs>
        <w:spacing w:line="240" w:lineRule="auto" w:before="0" w:after="0"/>
        <w:ind w:left="879" w:right="0" w:hanging="597"/>
        <w:jc w:val="left"/>
      </w:pPr>
      <w:r>
        <w:rPr>
          <w:i/>
        </w:rPr>
        <w:t>매개변수 요약</w:t>
      </w:r>
    </w:p>
    <w:p>
      <w:pPr>
        <w:pStyle w:val="BodyText"/>
        <w:spacing w:before="46"/>
        <w:rPr>
          <w:b/>
        </w:rPr>
      </w:pPr>
    </w:p>
    <w:p>
      <w:pPr>
        <w:pStyle w:val="Heading4"/>
        <w:numPr>
          <w:ilvl w:val="2"/>
          <w:numId w:val="8"/>
        </w:numPr>
        <w:tabs>
          <w:tab w:pos="879" w:val="left" w:leader="none"/>
        </w:tabs>
        <w:spacing w:line="240" w:lineRule="auto" w:before="1" w:after="0"/>
        <w:ind w:left="879" w:right="0" w:hanging="597"/>
        <w:jc w:val="left"/>
      </w:pPr>
      <w:bookmarkStart w:name="Proxy operational definitions (reference" w:id="338"/>
      <w:bookmarkEnd w:id="338"/>
      <w:r>
        <w:rPr>
          <w:b w:val="0"/>
        </w:rPr>
      </w:r>
      <w:bookmarkStart w:name="_bookmark207" w:id="339"/>
      <w:bookmarkEnd w:id="339"/>
      <w:r>
        <w:rPr>
          <w:b w:val="0"/>
        </w:rPr>
      </w:r>
      <w:r>
        <w:rPr>
          <w:spacing w:val="-2"/>
        </w:rPr>
        <w:t>Proxy</w:t>
      </w:r>
      <w:r>
        <w:rPr>
          <w:spacing w:val="2"/>
        </w:rPr>
        <w:t> </w:t>
      </w:r>
      <w:r>
        <w:rPr>
          <w:spacing w:val="-2"/>
        </w:rPr>
        <w:t>operational</w:t>
      </w:r>
      <w:r>
        <w:rPr>
          <w:spacing w:val="2"/>
        </w:rPr>
        <w:t> </w:t>
      </w:r>
      <w:r>
        <w:rPr>
          <w:spacing w:val="-2"/>
        </w:rPr>
        <w:t>definitions</w:t>
      </w:r>
      <w:r>
        <w:rPr>
          <w:spacing w:val="3"/>
        </w:rPr>
        <w:t> </w:t>
      </w:r>
      <w:r>
        <w:rPr>
          <w:spacing w:val="-2"/>
        </w:rPr>
        <w:t>(reference)</w:t>
      </w:r>
    </w:p>
    <w:p>
      <w:pPr>
        <w:pStyle w:val="Heading4"/>
        <w:numPr>
          <w:ilvl w:val="2"/>
          <w:numId w:val="8"/>
        </w:numPr>
        <w:tabs>
          <w:tab w:pos="879" w:val="left" w:leader="none"/>
        </w:tabs>
        <w:spacing w:line="240" w:lineRule="auto" w:before="1" w:after="0"/>
        <w:ind w:left="879" w:right="0" w:hanging="597"/>
        <w:jc w:val="left"/>
      </w:pPr>
      <w:r>
        <w:rPr>
          <w:i/>
        </w:rPr>
        <w:t>프록시 운영 정의(참조)</w:t>
      </w:r>
    </w:p>
    <w:p>
      <w:pPr>
        <w:pStyle w:val="BodyText"/>
        <w:spacing w:before="46"/>
        <w:rPr>
          <w:b/>
        </w:rPr>
      </w:pPr>
    </w:p>
    <w:p>
      <w:pPr>
        <w:pStyle w:val="BodyText"/>
        <w:ind w:left="274"/>
        <w:jc w:val="both"/>
      </w:pPr>
      <w:r>
        <w:rPr/>
        <w:t>The</w:t>
      </w:r>
      <w:r>
        <w:rPr>
          <w:spacing w:val="-10"/>
        </w:rPr>
        <w:t> </w:t>
      </w:r>
      <w:r>
        <w:rPr/>
        <w:t>following</w:t>
      </w:r>
      <w:r>
        <w:rPr>
          <w:spacing w:val="-9"/>
        </w:rPr>
        <w:t> </w:t>
      </w:r>
      <w:r>
        <w:rPr/>
        <w:t>formulas</w:t>
      </w:r>
      <w:r>
        <w:rPr>
          <w:spacing w:val="-10"/>
        </w:rPr>
        <w:t> </w:t>
      </w:r>
      <w:r>
        <w:rPr/>
        <w:t>match</w:t>
      </w:r>
      <w:r>
        <w:rPr>
          <w:spacing w:val="-9"/>
        </w:rPr>
        <w:t> </w:t>
      </w:r>
      <w:r>
        <w:rPr/>
        <w:t>Chapter</w:t>
      </w:r>
      <w:r>
        <w:rPr>
          <w:spacing w:val="-10"/>
        </w:rPr>
        <w:t> </w:t>
      </w:r>
      <w:hyperlink w:history="true" w:anchor="_bookmark48">
        <w:r>
          <w:rPr>
            <w:spacing w:val="-5"/>
          </w:rPr>
          <w:t>3</w:t>
        </w:r>
      </w:hyperlink>
      <w:r>
        <w:rPr>
          <w:spacing w:val="-5"/>
        </w:rPr>
        <w:t>.</w:t>
      </w:r>
    </w:p>
    <w:p>
      <w:pPr>
        <w:pStyle w:val="BodyText"/>
        <w:ind w:left="274"/>
        <w:jc w:val="both"/>
      </w:pPr>
      <w:r>
        <w:rPr>
          <w:i/>
        </w:rPr>
        <w:t>다음 수식은 3장과 일치합니다.</w:t>
      </w:r>
    </w:p>
    <w:p>
      <w:pPr>
        <w:pStyle w:val="ListParagraph"/>
        <w:numPr>
          <w:ilvl w:val="3"/>
          <w:numId w:val="8"/>
        </w:numPr>
        <w:tabs>
          <w:tab w:pos="799" w:val="left" w:leader="none"/>
          <w:tab w:pos="6846" w:val="left" w:leader="none"/>
        </w:tabs>
        <w:spacing w:line="240" w:lineRule="auto" w:before="261" w:after="0"/>
        <w:ind w:left="799" w:right="0" w:hanging="206"/>
        <w:jc w:val="left"/>
        <w:rPr>
          <w:sz w:val="24"/>
        </w:rPr>
      </w:pPr>
      <w:r>
        <w:rPr>
          <w:sz w:val="24"/>
        </w:rPr>
        <mc:AlternateContent>
          <mc:Choice Requires="wps">
            <w:drawing>
              <wp:anchor distT="0" distB="0" distL="0" distR="0" allowOverlap="1" layoutInCell="1" locked="0" behindDoc="1" simplePos="0" relativeHeight="484060160">
                <wp:simplePos x="0" y="0"/>
                <wp:positionH relativeFrom="page">
                  <wp:posOffset>4816995</wp:posOffset>
                </wp:positionH>
                <wp:positionV relativeFrom="paragraph">
                  <wp:posOffset>105051</wp:posOffset>
                </wp:positionV>
                <wp:extent cx="160655" cy="56324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379.290985pt;margin-top:8.271803pt;width:12.65pt;height:44.35pt;mso-position-horizontal-relative:page;mso-position-vertical-relative:paragraph;z-index:-19256320" type="#_x0000_t202" id="docshape560" filled="false" stroked="false">
                <v:textbox inset="0,0,0,0">
                  <w:txbxContent>
                    <w:p>
                      <w:pPr>
                        <w:pStyle w:val="BodyText"/>
                        <w:spacing w:line="231" w:lineRule="exact"/>
                      </w:pPr>
                      <w:r>
                        <w:rPr>
                          <w:spacing w:val="-10"/>
                          <w:w w:val="180"/>
                        </w:rPr>
                        <w:t>Σ</w:t>
                      </w:r>
                    </w:p>
                  </w:txbxContent>
                </v:textbox>
                <w10:wrap type="none"/>
              </v:shape>
            </w:pict>
          </mc:Fallback>
        </mc:AlternateContent>
      </w:r>
      <w:r>
        <w:rPr>
          <w:b/>
          <w:w w:val="105"/>
          <w:sz w:val="24"/>
        </w:rPr>
        <w:t>Transfer:</w:t>
      </w:r>
      <w:r>
        <w:rPr>
          <w:b/>
          <w:spacing w:val="-6"/>
          <w:w w:val="105"/>
          <w:sz w:val="24"/>
        </w:rPr>
        <w:t> </w:t>
      </w:r>
      <w:r>
        <w:rPr>
          <w:w w:val="105"/>
          <w:sz w:val="24"/>
        </w:rPr>
        <w:t>in_degree</w:t>
      </w:r>
      <w:r>
        <w:rPr>
          <w:rFonts w:ascii="Calibri" w:hAnsi="Calibri"/>
          <w:w w:val="105"/>
          <w:sz w:val="24"/>
        </w:rPr>
        <w:t>(</w:t>
      </w:r>
      <w:r>
        <w:rPr>
          <w:rFonts w:ascii="Calibri" w:hAnsi="Calibri"/>
          <w:i/>
          <w:w w:val="105"/>
          <w:sz w:val="24"/>
        </w:rPr>
        <w:t>w</w:t>
      </w:r>
      <w:r>
        <w:rPr>
          <w:rFonts w:ascii="Calibri" w:hAnsi="Calibri"/>
          <w:w w:val="105"/>
          <w:sz w:val="24"/>
        </w:rPr>
        <w:t>)</w:t>
      </w:r>
      <w:r>
        <w:rPr>
          <w:rFonts w:ascii="Calibri" w:hAnsi="Calibri"/>
          <w:spacing w:val="-5"/>
          <w:w w:val="105"/>
          <w:sz w:val="24"/>
        </w:rPr>
        <w:t> </w:t>
      </w:r>
      <w:r>
        <w:rPr>
          <w:rFonts w:ascii="Calibri" w:hAnsi="Calibri"/>
          <w:w w:val="105"/>
          <w:sz w:val="24"/>
        </w:rPr>
        <w:t>=</w:t>
      </w:r>
      <w:r>
        <w:rPr>
          <w:rFonts w:ascii="Calibri" w:hAnsi="Calibri"/>
          <w:spacing w:val="-3"/>
          <w:w w:val="105"/>
          <w:sz w:val="24"/>
        </w:rPr>
        <w:t> </w:t>
      </w:r>
      <w:r>
        <w:rPr>
          <w:rFonts w:ascii="Lucida Sans Unicode" w:hAnsi="Lucida Sans Unicode"/>
          <w:w w:val="105"/>
          <w:sz w:val="24"/>
        </w:rPr>
        <w:t>|{</w:t>
      </w:r>
      <w:r>
        <w:rPr>
          <w:rFonts w:ascii="Calibri" w:hAnsi="Calibri"/>
          <w:i/>
          <w:w w:val="105"/>
          <w:sz w:val="24"/>
        </w:rPr>
        <w:t>u</w:t>
      </w:r>
      <w:r>
        <w:rPr>
          <w:rFonts w:ascii="Calibri" w:hAnsi="Calibri"/>
          <w:i/>
          <w:spacing w:val="-4"/>
          <w:w w:val="105"/>
          <w:sz w:val="24"/>
        </w:rPr>
        <w:t> </w:t>
      </w:r>
      <w:r>
        <w:rPr>
          <w:rFonts w:ascii="Calibri" w:hAnsi="Calibri"/>
          <w:w w:val="105"/>
          <w:sz w:val="24"/>
        </w:rPr>
        <w:t>:</w:t>
      </w:r>
      <w:r>
        <w:rPr>
          <w:rFonts w:ascii="Calibri" w:hAnsi="Calibri"/>
          <w:spacing w:val="-3"/>
          <w:w w:val="105"/>
          <w:sz w:val="24"/>
        </w:rPr>
        <w:t> </w:t>
      </w:r>
      <w:r>
        <w:rPr>
          <w:rFonts w:ascii="Lucida Sans Unicode" w:hAnsi="Lucida Sans Unicode"/>
          <w:w w:val="105"/>
          <w:sz w:val="24"/>
        </w:rPr>
        <w:t>∃</w:t>
      </w:r>
      <w:r>
        <w:rPr>
          <w:rFonts w:ascii="Calibri" w:hAnsi="Calibri"/>
          <w:i/>
          <w:w w:val="105"/>
          <w:sz w:val="24"/>
        </w:rPr>
        <w:t>u</w:t>
      </w:r>
      <w:r>
        <w:rPr>
          <w:rFonts w:ascii="Calibri" w:hAnsi="Calibri"/>
          <w:i/>
          <w:spacing w:val="-3"/>
          <w:w w:val="105"/>
          <w:sz w:val="24"/>
        </w:rPr>
        <w:t> </w:t>
      </w:r>
      <w:r>
        <w:rPr>
          <w:rFonts w:ascii="Lucida Sans Unicode" w:hAnsi="Lucida Sans Unicode"/>
          <w:w w:val="105"/>
          <w:sz w:val="24"/>
        </w:rPr>
        <w:t>→</w:t>
      </w:r>
      <w:r>
        <w:rPr>
          <w:rFonts w:ascii="Lucida Sans Unicode" w:hAnsi="Lucida Sans Unicode"/>
          <w:spacing w:val="-20"/>
          <w:w w:val="105"/>
          <w:sz w:val="24"/>
        </w:rPr>
        <w:t> </w:t>
      </w:r>
      <w:r>
        <w:rPr>
          <w:rFonts w:ascii="Calibri" w:hAnsi="Calibri"/>
          <w:i/>
          <w:w w:val="105"/>
          <w:sz w:val="24"/>
        </w:rPr>
        <w:t>w</w:t>
      </w:r>
      <w:r>
        <w:rPr>
          <w:rFonts w:ascii="Lucida Sans Unicode" w:hAnsi="Lucida Sans Unicode"/>
          <w:w w:val="105"/>
          <w:sz w:val="24"/>
        </w:rPr>
        <w:t>}|</w:t>
      </w:r>
      <w:r>
        <w:rPr>
          <w:w w:val="105"/>
          <w:sz w:val="24"/>
        </w:rPr>
        <w:t>;</w:t>
      </w:r>
      <w:r>
        <w:rPr>
          <w:spacing w:val="-16"/>
          <w:w w:val="105"/>
          <w:sz w:val="24"/>
        </w:rPr>
        <w:t> </w:t>
      </w:r>
      <w:r>
        <w:rPr>
          <w:w w:val="105"/>
          <w:sz w:val="24"/>
        </w:rPr>
        <w:t>in_value</w:t>
      </w:r>
      <w:r>
        <w:rPr>
          <w:rFonts w:ascii="Calibri" w:hAnsi="Calibri"/>
          <w:w w:val="105"/>
          <w:sz w:val="24"/>
        </w:rPr>
        <w:t>(</w:t>
      </w:r>
      <w:r>
        <w:rPr>
          <w:rFonts w:ascii="Calibri" w:hAnsi="Calibri"/>
          <w:i/>
          <w:w w:val="105"/>
          <w:sz w:val="24"/>
        </w:rPr>
        <w:t>w</w:t>
      </w:r>
      <w:r>
        <w:rPr>
          <w:rFonts w:ascii="Calibri" w:hAnsi="Calibri"/>
          <w:w w:val="105"/>
          <w:sz w:val="24"/>
        </w:rPr>
        <w:t>)</w:t>
      </w:r>
      <w:r>
        <w:rPr>
          <w:rFonts w:ascii="Calibri" w:hAnsi="Calibri"/>
          <w:spacing w:val="-4"/>
          <w:w w:val="105"/>
          <w:sz w:val="24"/>
        </w:rPr>
        <w:t> </w:t>
      </w:r>
      <w:r>
        <w:rPr>
          <w:rFonts w:ascii="Calibri" w:hAnsi="Calibri"/>
          <w:spacing w:val="-10"/>
          <w:w w:val="105"/>
          <w:sz w:val="24"/>
        </w:rPr>
        <w:t>=</w:t>
      </w:r>
      <w:r>
        <w:rPr>
          <w:rFonts w:ascii="Calibri" w:hAnsi="Calibri"/>
          <w:sz w:val="24"/>
        </w:rPr>
        <w:tab/>
      </w:r>
      <w:r>
        <w:rPr>
          <w:rFonts w:ascii="Cambria" w:hAnsi="Cambria"/>
          <w:w w:val="110"/>
          <w:position w:val="-6"/>
          <w:sz w:val="16"/>
        </w:rPr>
        <w:t>e</w:t>
      </w:r>
      <w:r>
        <w:rPr>
          <w:rFonts w:ascii="Calibri" w:hAnsi="Calibri"/>
          <w:w w:val="110"/>
          <w:position w:val="-6"/>
          <w:sz w:val="16"/>
        </w:rPr>
        <w:t>:</w:t>
      </w:r>
      <w:r>
        <w:rPr>
          <w:rFonts w:ascii="Cambria" w:hAnsi="Cambria"/>
          <w:w w:val="110"/>
          <w:position w:val="-6"/>
          <w:sz w:val="16"/>
        </w:rPr>
        <w:t>u→w</w:t>
      </w:r>
      <w:r>
        <w:rPr>
          <w:rFonts w:ascii="Cambria" w:hAnsi="Cambria"/>
          <w:spacing w:val="12"/>
          <w:w w:val="110"/>
          <w:position w:val="-6"/>
          <w:sz w:val="16"/>
        </w:rPr>
        <w:t> </w:t>
      </w:r>
      <w:r>
        <w:rPr>
          <w:spacing w:val="-2"/>
          <w:w w:val="110"/>
          <w:sz w:val="24"/>
        </w:rPr>
        <w:t>value</w:t>
      </w:r>
      <w:r>
        <w:rPr>
          <w:rFonts w:ascii="Calibri" w:hAnsi="Calibri"/>
          <w:spacing w:val="-2"/>
          <w:w w:val="110"/>
          <w:sz w:val="24"/>
        </w:rPr>
        <w:t>(</w:t>
      </w:r>
      <w:r>
        <w:rPr>
          <w:rFonts w:ascii="Calibri" w:hAnsi="Calibri"/>
          <w:i/>
          <w:spacing w:val="-2"/>
          <w:w w:val="110"/>
          <w:sz w:val="24"/>
        </w:rPr>
        <w:t>e</w:t>
      </w:r>
      <w:r>
        <w:rPr>
          <w:rFonts w:ascii="Calibri" w:hAnsi="Calibri"/>
          <w:spacing w:val="-2"/>
          <w:w w:val="110"/>
          <w:sz w:val="24"/>
        </w:rPr>
        <w:t>)</w:t>
      </w:r>
      <w:r>
        <w:rPr>
          <w:spacing w:val="-2"/>
          <w:w w:val="110"/>
          <w:sz w:val="24"/>
        </w:rPr>
        <w:t>.</w:t>
      </w:r>
    </w:p>
    <w:p>
      <w:pPr>
        <w:pStyle w:val="ListParagraph"/>
        <w:numPr>
          <w:ilvl w:val="3"/>
          <w:numId w:val="8"/>
        </w:numPr>
        <w:tabs>
          <w:tab w:pos="799" w:val="left" w:leader="none"/>
          <w:tab w:pos="6846" w:val="left" w:leader="none"/>
        </w:tabs>
        <w:spacing w:line="240" w:lineRule="auto" w:before="261" w:after="0"/>
        <w:ind w:left="799" w:right="0" w:hanging="206"/>
        <w:jc w:val="left"/>
        <w:rPr>
          <w:sz w:val="24"/>
        </w:rPr>
      </w:pPr>
      <w:r>
        <w:rPr>
          <w:i/>
        </w:rPr>
        <w:t>전이: in_degree(w) = |{u : ∃u → w}|; in_value(w) =</w:t>
        <w:tab/>
        <w:t>e:u→w 값(e).</w:t>
      </w:r>
    </w:p>
    <w:p>
      <w:pPr>
        <w:pStyle w:val="ListParagraph"/>
        <w:numPr>
          <w:ilvl w:val="3"/>
          <w:numId w:val="8"/>
        </w:numPr>
        <w:tabs>
          <w:tab w:pos="798" w:val="left" w:leader="none"/>
          <w:tab w:pos="2147" w:val="left" w:leader="none"/>
          <w:tab w:pos="4541" w:val="left" w:leader="none"/>
          <w:tab w:pos="4929" w:val="left" w:leader="none"/>
          <w:tab w:pos="5434" w:val="left" w:leader="none"/>
          <w:tab w:pos="5705" w:val="left" w:leader="none"/>
          <w:tab w:pos="6156" w:val="left" w:leader="none"/>
          <w:tab w:pos="6601" w:val="left" w:leader="none"/>
          <w:tab w:pos="9456" w:val="left" w:leader="none"/>
        </w:tabs>
        <w:spacing w:line="342" w:lineRule="exact" w:before="116" w:after="0"/>
        <w:ind w:left="798" w:right="0" w:hanging="205"/>
        <w:jc w:val="left"/>
        <w:rPr>
          <w:rFonts w:ascii="Calibri" w:hAnsi="Calibri"/>
          <w:sz w:val="24"/>
        </w:rPr>
      </w:pPr>
      <w:r>
        <w:rPr>
          <w:b/>
          <w:spacing w:val="-2"/>
          <w:w w:val="110"/>
          <w:sz w:val="24"/>
        </w:rPr>
        <w:t>Allowance:</w:t>
      </w:r>
      <w:r>
        <w:rPr>
          <w:b/>
          <w:sz w:val="24"/>
        </w:rPr>
        <w:tab/>
      </w:r>
      <w:r>
        <w:rPr>
          <w:spacing w:val="-2"/>
          <w:w w:val="110"/>
          <w:sz w:val="24"/>
        </w:rPr>
        <w:t>in_approve_degree</w:t>
      </w:r>
      <w:r>
        <w:rPr>
          <w:rFonts w:ascii="Calibri" w:hAnsi="Calibri"/>
          <w:spacing w:val="-2"/>
          <w:w w:val="110"/>
          <w:sz w:val="24"/>
        </w:rPr>
        <w:t>(</w:t>
      </w:r>
      <w:r>
        <w:rPr>
          <w:rFonts w:ascii="Calibri" w:hAnsi="Calibri"/>
          <w:i/>
          <w:spacing w:val="-2"/>
          <w:w w:val="110"/>
          <w:sz w:val="24"/>
        </w:rPr>
        <w:t>w</w:t>
      </w:r>
      <w:r>
        <w:rPr>
          <w:rFonts w:ascii="Calibri" w:hAnsi="Calibri"/>
          <w:spacing w:val="-2"/>
          <w:w w:val="110"/>
          <w:sz w:val="24"/>
        </w:rPr>
        <w:t>)</w:t>
      </w:r>
      <w:r>
        <w:rPr>
          <w:rFonts w:ascii="Calibri" w:hAnsi="Calibri"/>
          <w:sz w:val="24"/>
        </w:rPr>
        <w:tab/>
      </w:r>
      <w:r>
        <w:rPr>
          <w:rFonts w:ascii="Calibri" w:hAnsi="Calibri"/>
          <w:spacing w:val="-10"/>
          <w:w w:val="120"/>
          <w:sz w:val="24"/>
        </w:rPr>
        <w:t>=</w:t>
      </w:r>
      <w:r>
        <w:rPr>
          <w:rFonts w:ascii="Calibri" w:hAnsi="Calibri"/>
          <w:sz w:val="24"/>
        </w:rPr>
        <w:tab/>
      </w:r>
      <w:r>
        <w:rPr>
          <w:rFonts w:ascii="Lucida Sans Unicode" w:hAnsi="Lucida Sans Unicode"/>
          <w:spacing w:val="-5"/>
          <w:w w:val="110"/>
          <w:sz w:val="24"/>
        </w:rPr>
        <w:t>|{</w:t>
      </w:r>
      <w:r>
        <w:rPr>
          <w:rFonts w:ascii="Calibri" w:hAnsi="Calibri"/>
          <w:i/>
          <w:spacing w:val="-5"/>
          <w:w w:val="110"/>
          <w:sz w:val="24"/>
        </w:rPr>
        <w:t>o</w:t>
      </w:r>
      <w:r>
        <w:rPr>
          <w:rFonts w:ascii="Calibri" w:hAnsi="Calibri"/>
          <w:i/>
          <w:sz w:val="24"/>
        </w:rPr>
        <w:tab/>
      </w:r>
      <w:r>
        <w:rPr>
          <w:rFonts w:ascii="Calibri" w:hAnsi="Calibri"/>
          <w:spacing w:val="-10"/>
          <w:w w:val="110"/>
          <w:sz w:val="24"/>
        </w:rPr>
        <w:t>:</w:t>
      </w:r>
      <w:r>
        <w:rPr>
          <w:rFonts w:ascii="Calibri" w:hAnsi="Calibri"/>
          <w:sz w:val="24"/>
        </w:rPr>
        <w:tab/>
      </w:r>
      <w:r>
        <w:rPr>
          <w:rFonts w:ascii="Lucida Sans Unicode" w:hAnsi="Lucida Sans Unicode"/>
          <w:spacing w:val="-5"/>
          <w:w w:val="110"/>
          <w:sz w:val="24"/>
        </w:rPr>
        <w:t>∃</w:t>
      </w:r>
      <w:r>
        <w:rPr>
          <w:rFonts w:ascii="Calibri" w:hAnsi="Calibri"/>
          <w:i/>
          <w:spacing w:val="-5"/>
          <w:w w:val="110"/>
          <w:sz w:val="24"/>
        </w:rPr>
        <w:t>o</w:t>
      </w:r>
      <w:r>
        <w:rPr>
          <w:rFonts w:ascii="Calibri" w:hAnsi="Calibri"/>
          <w:i/>
          <w:sz w:val="24"/>
        </w:rPr>
        <w:tab/>
      </w:r>
      <w:r>
        <w:rPr>
          <w:rFonts w:ascii="Lucida Sans Unicode" w:hAnsi="Lucida Sans Unicode"/>
          <w:spacing w:val="-10"/>
          <w:w w:val="110"/>
          <w:sz w:val="24"/>
        </w:rPr>
        <w:t>→</w:t>
      </w:r>
      <w:r>
        <w:rPr>
          <w:rFonts w:ascii="Lucida Sans Unicode" w:hAnsi="Lucida Sans Unicode"/>
          <w:sz w:val="24"/>
        </w:rPr>
        <w:tab/>
      </w:r>
      <w:r>
        <w:rPr>
          <w:rFonts w:ascii="Calibri" w:hAnsi="Calibri"/>
          <w:i/>
          <w:w w:val="110"/>
          <w:sz w:val="24"/>
        </w:rPr>
        <w:t>w</w:t>
      </w:r>
      <w:r>
        <w:rPr>
          <w:rFonts w:ascii="Lucida Sans Unicode" w:hAnsi="Lucida Sans Unicode"/>
          <w:w w:val="110"/>
          <w:sz w:val="24"/>
        </w:rPr>
        <w:t>}|</w:t>
      </w:r>
      <w:r>
        <w:rPr>
          <w:w w:val="110"/>
          <w:sz w:val="24"/>
        </w:rPr>
        <w:t>;</w:t>
      </w:r>
      <w:r>
        <w:rPr>
          <w:spacing w:val="64"/>
          <w:w w:val="110"/>
          <w:sz w:val="24"/>
        </w:rPr>
        <w:t> </w:t>
      </w:r>
      <w:r>
        <w:rPr>
          <w:spacing w:val="-2"/>
          <w:w w:val="110"/>
          <w:sz w:val="24"/>
        </w:rPr>
        <w:t>in_approve_value</w:t>
      </w:r>
      <w:r>
        <w:rPr>
          <w:rFonts w:ascii="Calibri" w:hAnsi="Calibri"/>
          <w:spacing w:val="-2"/>
          <w:w w:val="110"/>
          <w:sz w:val="24"/>
        </w:rPr>
        <w:t>(</w:t>
      </w:r>
      <w:r>
        <w:rPr>
          <w:rFonts w:ascii="Calibri" w:hAnsi="Calibri"/>
          <w:i/>
          <w:spacing w:val="-2"/>
          <w:w w:val="110"/>
          <w:sz w:val="24"/>
        </w:rPr>
        <w:t>w</w:t>
      </w:r>
      <w:r>
        <w:rPr>
          <w:rFonts w:ascii="Calibri" w:hAnsi="Calibri"/>
          <w:spacing w:val="-2"/>
          <w:w w:val="110"/>
          <w:sz w:val="24"/>
        </w:rPr>
        <w:t>)</w:t>
      </w:r>
      <w:r>
        <w:rPr>
          <w:rFonts w:ascii="Calibri" w:hAnsi="Calibri"/>
          <w:sz w:val="24"/>
        </w:rPr>
        <w:tab/>
      </w:r>
      <w:r>
        <w:rPr>
          <w:rFonts w:ascii="Calibri" w:hAnsi="Calibri"/>
          <w:spacing w:val="-10"/>
          <w:w w:val="120"/>
          <w:sz w:val="24"/>
        </w:rPr>
        <w:t>=</w:t>
      </w:r>
    </w:p>
    <w:p>
      <w:pPr>
        <w:pStyle w:val="ListParagraph"/>
        <w:numPr>
          <w:ilvl w:val="3"/>
          <w:numId w:val="8"/>
        </w:numPr>
        <w:tabs>
          <w:tab w:pos="798" w:val="left" w:leader="none"/>
          <w:tab w:pos="2147" w:val="left" w:leader="none"/>
          <w:tab w:pos="4541" w:val="left" w:leader="none"/>
          <w:tab w:pos="4929" w:val="left" w:leader="none"/>
          <w:tab w:pos="5434" w:val="left" w:leader="none"/>
          <w:tab w:pos="5705" w:val="left" w:leader="none"/>
          <w:tab w:pos="6156" w:val="left" w:leader="none"/>
          <w:tab w:pos="6601" w:val="left" w:leader="none"/>
          <w:tab w:pos="9456" w:val="left" w:leader="none"/>
        </w:tabs>
        <w:spacing w:line="342" w:lineRule="exact" w:before="116" w:after="0"/>
        <w:ind w:left="798" w:right="0" w:hanging="205"/>
        <w:jc w:val="left"/>
        <w:rPr>
          <w:rFonts w:ascii="Calibri" w:hAnsi="Calibri"/>
          <w:sz w:val="24"/>
        </w:rPr>
      </w:pPr>
      <w:r>
        <w:rPr>
          <w:i/>
        </w:rPr>
        <w:t>용돈:</w:t>
        <w:tab/>
        <w:t>in_approve_degree(w)</w:t>
        <w:tab/>
        <w:t>=</w:t>
        <w:tab/>
        <w:t>|{o</w:t>
        <w:tab/>
        <w:t>:</w:t>
        <w:tab/>
        <w:t>∃o</w:t>
        <w:tab/>
        <w:t>→</w:t>
        <w:tab/>
        <w:t>w}|;in_approve_value(w)</w:t>
        <w:tab/>
        <w:t>=</w:t>
      </w:r>
    </w:p>
    <w:p>
      <w:pPr>
        <w:spacing w:line="240" w:lineRule="auto" w:before="0"/>
        <w:ind w:left="808" w:right="0" w:firstLine="0"/>
        <w:jc w:val="left"/>
        <w:rPr>
          <w:sz w:val="24"/>
        </w:rPr>
      </w:pPr>
      <w:r>
        <w:rPr>
          <w:w w:val="110"/>
          <w:position w:val="18"/>
          <w:sz w:val="24"/>
        </w:rPr>
        <w:t>Σ</w:t>
      </w:r>
      <w:r>
        <w:rPr>
          <w:rFonts w:ascii="Cambria" w:hAnsi="Cambria"/>
          <w:w w:val="110"/>
          <w:position w:val="-6"/>
          <w:sz w:val="16"/>
        </w:rPr>
        <w:t>o</w:t>
      </w:r>
      <w:r>
        <w:rPr>
          <w:rFonts w:ascii="Cambria" w:hAnsi="Cambria"/>
          <w:spacing w:val="16"/>
          <w:w w:val="110"/>
          <w:position w:val="-6"/>
          <w:sz w:val="16"/>
        </w:rPr>
        <w:t> </w:t>
      </w:r>
      <w:r>
        <w:rPr>
          <w:rFonts w:ascii="Calibri" w:hAnsi="Calibri"/>
          <w:i/>
          <w:w w:val="105"/>
          <w:sz w:val="24"/>
        </w:rPr>
        <w:t>w</w:t>
      </w:r>
      <w:r>
        <w:rPr>
          <w:rFonts w:ascii="Cambria" w:hAnsi="Cambria"/>
          <w:w w:val="105"/>
          <w:sz w:val="24"/>
          <w:vertAlign w:val="subscript"/>
        </w:rPr>
        <w:t>a</w:t>
      </w:r>
      <w:r>
        <w:rPr>
          <w:rFonts w:ascii="Calibri" w:hAnsi="Calibri"/>
          <w:w w:val="105"/>
          <w:sz w:val="24"/>
          <w:vertAlign w:val="baseline"/>
        </w:rPr>
        <w:t>(</w:t>
      </w:r>
      <w:r>
        <w:rPr>
          <w:rFonts w:ascii="Calibri" w:hAnsi="Calibri"/>
          <w:i/>
          <w:w w:val="105"/>
          <w:sz w:val="24"/>
          <w:vertAlign w:val="baseline"/>
        </w:rPr>
        <w:t>o,</w:t>
      </w:r>
      <w:r>
        <w:rPr>
          <w:rFonts w:ascii="Calibri" w:hAnsi="Calibri"/>
          <w:i/>
          <w:spacing w:val="-13"/>
          <w:w w:val="105"/>
          <w:sz w:val="24"/>
          <w:vertAlign w:val="baseline"/>
        </w:rPr>
        <w:t> </w:t>
      </w:r>
      <w:r>
        <w:rPr>
          <w:rFonts w:ascii="Calibri" w:hAnsi="Calibri"/>
          <w:i/>
          <w:w w:val="105"/>
          <w:sz w:val="24"/>
          <w:vertAlign w:val="baseline"/>
        </w:rPr>
        <w:t>w</w:t>
      </w:r>
      <w:r>
        <w:rPr>
          <w:rFonts w:ascii="Calibri" w:hAnsi="Calibri"/>
          <w:w w:val="105"/>
          <w:sz w:val="24"/>
          <w:vertAlign w:val="baseline"/>
        </w:rPr>
        <w:t>)</w:t>
      </w:r>
      <w:r>
        <w:rPr>
          <w:rFonts w:ascii="Calibri" w:hAnsi="Calibri"/>
          <w:spacing w:val="10"/>
          <w:w w:val="105"/>
          <w:sz w:val="24"/>
          <w:vertAlign w:val="baseline"/>
        </w:rPr>
        <w:t> </w:t>
      </w:r>
      <w:r>
        <w:rPr>
          <w:w w:val="105"/>
          <w:sz w:val="24"/>
          <w:vertAlign w:val="baseline"/>
        </w:rPr>
        <w:t>with</w:t>
      </w:r>
      <w:r>
        <w:rPr>
          <w:spacing w:val="3"/>
          <w:w w:val="105"/>
          <w:sz w:val="24"/>
          <w:vertAlign w:val="baseline"/>
        </w:rPr>
        <w:t> </w:t>
      </w:r>
      <w:r>
        <w:rPr>
          <w:rFonts w:ascii="Calibri" w:hAnsi="Calibri"/>
          <w:i/>
          <w:w w:val="105"/>
          <w:sz w:val="24"/>
          <w:vertAlign w:val="baseline"/>
        </w:rPr>
        <w:t>w</w:t>
      </w:r>
      <w:r>
        <w:rPr>
          <w:rFonts w:ascii="Calibri" w:hAnsi="Calibri"/>
          <w:i/>
          <w:spacing w:val="18"/>
          <w:w w:val="105"/>
          <w:sz w:val="24"/>
          <w:vertAlign w:val="baseline"/>
        </w:rPr>
        <w:t> </w:t>
      </w:r>
      <w:r>
        <w:rPr>
          <w:w w:val="105"/>
          <w:sz w:val="24"/>
          <w:vertAlign w:val="baseline"/>
        </w:rPr>
        <w:t>as</w:t>
      </w:r>
      <w:r>
        <w:rPr>
          <w:spacing w:val="3"/>
          <w:w w:val="105"/>
          <w:sz w:val="24"/>
          <w:vertAlign w:val="baseline"/>
        </w:rPr>
        <w:t> </w:t>
      </w:r>
      <w:r>
        <w:rPr>
          <w:spacing w:val="-2"/>
          <w:w w:val="105"/>
          <w:sz w:val="24"/>
          <w:vertAlign w:val="baseline"/>
        </w:rPr>
        <w:t>spender.</w:t>
      </w:r>
    </w:p>
    <w:p>
      <w:pPr>
        <w:spacing w:line="240" w:lineRule="auto" w:before="0"/>
        <w:ind w:left="808" w:right="0" w:firstLine="0"/>
        <w:jc w:val="left"/>
        <w:rPr>
          <w:sz w:val="24"/>
        </w:rPr>
      </w:pPr>
      <w:r>
        <w:rPr>
          <w:i/>
        </w:rPr>
        <w:t>Σo wa(o, w) w를 지출자로 사용합니다.</w:t>
      </w:r>
    </w:p>
    <w:p>
      <w:pPr>
        <w:spacing w:after="0" w:line="240" w:lineRule="auto"/>
        <w:jc w:val="left"/>
        <w:rPr>
          <w:sz w:val="24"/>
        </w:rPr>
        <w:sectPr>
          <w:pgSz w:w="11910" w:h="16840"/>
          <w:pgMar w:header="0" w:footer="2115" w:top="1920" w:bottom="2300" w:left="992" w:right="708"/>
        </w:sectPr>
      </w:pPr>
    </w:p>
    <w:p>
      <w:pPr>
        <w:pStyle w:val="BodyText"/>
        <w:spacing w:before="75"/>
        <w:ind w:right="290"/>
        <w:jc w:val="center"/>
      </w:pPr>
      <w:bookmarkStart w:name="_bookmark208" w:id="340"/>
      <w:bookmarkEnd w:id="340"/>
      <w:r>
        <w:rPr/>
      </w:r>
      <w:r>
        <w:rPr/>
        <w:t>Table</w:t>
      </w:r>
      <w:r>
        <w:rPr>
          <w:spacing w:val="-10"/>
        </w:rPr>
        <w:t> </w:t>
      </w:r>
      <w:r>
        <w:rPr/>
        <w:t>8.3:</w:t>
      </w:r>
      <w:r>
        <w:rPr>
          <w:spacing w:val="8"/>
        </w:rPr>
        <w:t> </w:t>
      </w:r>
      <w:r>
        <w:rPr/>
        <w:t>Default</w:t>
      </w:r>
      <w:r>
        <w:rPr>
          <w:spacing w:val="-9"/>
        </w:rPr>
        <w:t> </w:t>
      </w:r>
      <w:r>
        <w:rPr/>
        <w:t>parameters</w:t>
      </w:r>
      <w:r>
        <w:rPr>
          <w:spacing w:val="-10"/>
        </w:rPr>
        <w:t> </w:t>
      </w:r>
      <w:r>
        <w:rPr/>
        <w:t>used</w:t>
      </w:r>
      <w:r>
        <w:rPr>
          <w:spacing w:val="-9"/>
        </w:rPr>
        <w:t> </w:t>
      </w:r>
      <w:r>
        <w:rPr/>
        <w:t>in</w:t>
      </w:r>
      <w:r>
        <w:rPr>
          <w:spacing w:val="-9"/>
        </w:rPr>
        <w:t> </w:t>
      </w:r>
      <w:r>
        <w:rPr/>
        <w:t>the</w:t>
      </w:r>
      <w:r>
        <w:rPr>
          <w:spacing w:val="-10"/>
        </w:rPr>
        <w:t> </w:t>
      </w:r>
      <w:r>
        <w:rPr/>
        <w:t>primary</w:t>
      </w:r>
      <w:r>
        <w:rPr>
          <w:spacing w:val="-9"/>
        </w:rPr>
        <w:t> </w:t>
      </w:r>
      <w:r>
        <w:rPr>
          <w:spacing w:val="-2"/>
        </w:rPr>
        <w:t>evaluation.</w:t>
      </w:r>
    </w:p>
    <w:p>
      <w:pPr>
        <w:pStyle w:val="BodyText"/>
        <w:spacing w:before="75"/>
        <w:ind w:right="290"/>
        <w:jc w:val="center"/>
      </w:pPr>
      <w:r>
        <w:rPr>
          <w:i/>
        </w:rPr>
        <w:t>표 8.3: 1차 평가에 사용되는 기본 매개변수.</w:t>
      </w:r>
    </w:p>
    <w:p>
      <w:pPr>
        <w:pStyle w:val="BodyText"/>
        <w:spacing w:before="1"/>
        <w:rPr>
          <w:sz w:val="19"/>
        </w:rPr>
      </w:pPr>
      <w:r>
        <w:rPr>
          <w:sz w:val="19"/>
        </w:rPr>
        <mc:AlternateContent>
          <mc:Choice Requires="wps">
            <w:drawing>
              <wp:anchor distT="0" distB="0" distL="0" distR="0" allowOverlap="1" layoutInCell="1" locked="0" behindDoc="1" simplePos="0" relativeHeight="487653376">
                <wp:simplePos x="0" y="0"/>
                <wp:positionH relativeFrom="page">
                  <wp:posOffset>1286535</wp:posOffset>
                </wp:positionH>
                <wp:positionV relativeFrom="paragraph">
                  <wp:posOffset>155043</wp:posOffset>
                </wp:positionV>
                <wp:extent cx="4987290" cy="127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4987290" cy="1270"/>
                        </a:xfrm>
                        <a:custGeom>
                          <a:avLst/>
                          <a:gdLst/>
                          <a:ahLst/>
                          <a:cxnLst/>
                          <a:rect l="l" t="t" r="r" b="b"/>
                          <a:pathLst>
                            <a:path w="4987290" h="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12.208172pt;width:392.7pt;height:.1pt;mso-position-horizontal-relative:page;mso-position-vertical-relative:paragraph;z-index:-15663104;mso-wrap-distance-left:0;mso-wrap-distance-right:0" id="docshape561" coordorigin="2026,244" coordsize="7854,0" path="m2026,244l9879,244e" filled="false" stroked="true" strokeweight=".9564pt" strokecolor="#000000">
                <v:path arrowok="t"/>
                <v:stroke dashstyle="solid"/>
                <w10:wrap type="topAndBottom"/>
              </v:shape>
            </w:pict>
          </mc:Fallback>
        </mc:AlternateContent>
      </w:r>
    </w:p>
    <w:p>
      <w:pPr>
        <w:tabs>
          <w:tab w:pos="3975" w:val="left" w:leader="none"/>
          <w:tab w:pos="6369" w:val="left" w:leader="none"/>
        </w:tabs>
        <w:spacing w:before="54"/>
        <w:ind w:left="1103" w:right="0" w:firstLine="0"/>
        <w:jc w:val="left"/>
        <w:rPr>
          <w:sz w:val="22"/>
        </w:rPr>
      </w:pPr>
      <w:r>
        <w:rPr>
          <w:spacing w:val="-2"/>
          <w:sz w:val="22"/>
        </w:rPr>
        <w:t>Parameter</w:t>
      </w:r>
      <w:r>
        <w:rPr>
          <w:sz w:val="22"/>
        </w:rPr>
        <w:tab/>
      </w:r>
      <w:r>
        <w:rPr>
          <w:spacing w:val="-2"/>
          <w:sz w:val="22"/>
        </w:rPr>
        <w:t>Value</w:t>
      </w:r>
      <w:r>
        <w:rPr>
          <w:sz w:val="22"/>
        </w:rPr>
        <w:tab/>
      </w:r>
      <w:r>
        <w:rPr>
          <w:spacing w:val="-4"/>
          <w:sz w:val="22"/>
        </w:rPr>
        <w:t>Role</w:t>
      </w:r>
    </w:p>
    <w:p>
      <w:pPr>
        <w:tabs>
          <w:tab w:pos="3975" w:val="left" w:leader="none"/>
          <w:tab w:pos="6369" w:val="left" w:leader="none"/>
        </w:tabs>
        <w:spacing w:before="54"/>
        <w:ind w:left="1103" w:right="0" w:firstLine="0"/>
        <w:jc w:val="left"/>
        <w:rPr>
          <w:sz w:val="22"/>
        </w:rPr>
      </w:pPr>
      <w:r>
        <w:rPr>
          <w:i/>
        </w:rPr>
        <w:t>매개변수</w:t>
        <w:tab/>
        <w:t>값</w:t>
        <w:tab/>
        <w:t>역할</w:t>
      </w:r>
    </w:p>
    <w:p>
      <w:pPr>
        <w:pStyle w:val="BodyText"/>
        <w:rPr>
          <w:sz w:val="5"/>
        </w:rPr>
      </w:pPr>
      <w:r>
        <w:rPr>
          <w:sz w:val="5"/>
        </w:rPr>
        <mc:AlternateContent>
          <mc:Choice Requires="wps">
            <w:drawing>
              <wp:anchor distT="0" distB="0" distL="0" distR="0" allowOverlap="1" layoutInCell="1" locked="0" behindDoc="1" simplePos="0" relativeHeight="487653888">
                <wp:simplePos x="0" y="0"/>
                <wp:positionH relativeFrom="page">
                  <wp:posOffset>1286535</wp:posOffset>
                </wp:positionH>
                <wp:positionV relativeFrom="paragraph">
                  <wp:posOffset>52246</wp:posOffset>
                </wp:positionV>
                <wp:extent cx="4987290" cy="127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4987290" cy="1270"/>
                        </a:xfrm>
                        <a:custGeom>
                          <a:avLst/>
                          <a:gdLst/>
                          <a:ahLst/>
                          <a:cxnLst/>
                          <a:rect l="l" t="t" r="r" b="b"/>
                          <a:pathLst>
                            <a:path w="4987290" h="0">
                              <a:moveTo>
                                <a:pt x="0" y="0"/>
                              </a:moveTo>
                              <a:lnTo>
                                <a:pt x="4986934" y="0"/>
                              </a:lnTo>
                            </a:path>
                          </a:pathLst>
                        </a:custGeom>
                        <a:ln w="75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4.113874pt;width:392.7pt;height:.1pt;mso-position-horizontal-relative:page;mso-position-vertical-relative:paragraph;z-index:-15662592;mso-wrap-distance-left:0;mso-wrap-distance-right:0" id="docshape562" coordorigin="2026,82" coordsize="7854,0" path="m2026,82l9879,82e" filled="false" stroked="true" strokeweight=".5978pt" strokecolor="#000000">
                <v:path arrowok="t"/>
                <v:stroke dashstyle="solid"/>
                <w10:wrap type="topAndBottom"/>
              </v:shape>
            </w:pict>
          </mc:Fallback>
        </mc:AlternateContent>
      </w:r>
    </w:p>
    <w:p>
      <w:pPr>
        <w:tabs>
          <w:tab w:pos="3975" w:val="left" w:leader="none"/>
          <w:tab w:pos="6369" w:val="left" w:leader="none"/>
        </w:tabs>
        <w:spacing w:before="49"/>
        <w:ind w:left="1103" w:right="0" w:firstLine="0"/>
        <w:jc w:val="left"/>
        <w:rPr>
          <w:sz w:val="22"/>
        </w:rPr>
      </w:pPr>
      <w:r>
        <w:rPr>
          <w:sz w:val="22"/>
        </w:rPr>
        <w:t>PageRank</w:t>
      </w:r>
      <w:r>
        <w:rPr>
          <w:spacing w:val="-10"/>
          <w:sz w:val="22"/>
        </w:rPr>
        <w:t> </w:t>
      </w:r>
      <w:r>
        <w:rPr>
          <w:sz w:val="22"/>
        </w:rPr>
        <w:t>damping</w:t>
      </w:r>
      <w:r>
        <w:rPr>
          <w:spacing w:val="-9"/>
          <w:sz w:val="22"/>
        </w:rPr>
        <w:t> </w:t>
      </w:r>
      <w:r>
        <w:rPr>
          <w:rFonts w:ascii="Calibri"/>
          <w:i/>
          <w:spacing w:val="-10"/>
          <w:sz w:val="22"/>
        </w:rPr>
        <w:t>d</w:t>
      </w:r>
      <w:r>
        <w:rPr>
          <w:rFonts w:ascii="Calibri"/>
          <w:i/>
          <w:sz w:val="22"/>
        </w:rPr>
        <w:tab/>
      </w:r>
      <w:r>
        <w:rPr>
          <w:rFonts w:ascii="Calibri"/>
          <w:spacing w:val="-4"/>
          <w:sz w:val="22"/>
        </w:rPr>
        <w:t>0</w:t>
      </w:r>
      <w:r>
        <w:rPr>
          <w:rFonts w:ascii="Calibri"/>
          <w:i/>
          <w:spacing w:val="-4"/>
          <w:sz w:val="22"/>
        </w:rPr>
        <w:t>.</w:t>
      </w:r>
      <w:r>
        <w:rPr>
          <w:rFonts w:ascii="Calibri"/>
          <w:spacing w:val="-4"/>
          <w:sz w:val="22"/>
        </w:rPr>
        <w:t>85</w:t>
      </w:r>
      <w:r>
        <w:rPr>
          <w:rFonts w:ascii="Calibri"/>
          <w:sz w:val="22"/>
        </w:rPr>
        <w:tab/>
      </w:r>
      <w:r>
        <w:rPr>
          <w:sz w:val="22"/>
        </w:rPr>
        <w:t>Default</w:t>
      </w:r>
      <w:r>
        <w:rPr>
          <w:spacing w:val="-8"/>
          <w:sz w:val="22"/>
        </w:rPr>
        <w:t> </w:t>
      </w:r>
      <w:r>
        <w:rPr>
          <w:sz w:val="22"/>
        </w:rPr>
        <w:t>teleport</w:t>
      </w:r>
      <w:r>
        <w:rPr>
          <w:spacing w:val="-8"/>
          <w:sz w:val="22"/>
        </w:rPr>
        <w:t> </w:t>
      </w:r>
      <w:r>
        <w:rPr>
          <w:spacing w:val="-2"/>
          <w:sz w:val="22"/>
        </w:rPr>
        <w:t>mixture</w:t>
      </w:r>
    </w:p>
    <w:p>
      <w:pPr>
        <w:tabs>
          <w:tab w:pos="3975" w:val="left" w:leader="none"/>
          <w:tab w:pos="6369" w:val="left" w:leader="none"/>
        </w:tabs>
        <w:spacing w:before="49"/>
        <w:ind w:left="1103" w:right="0" w:firstLine="0"/>
        <w:jc w:val="left"/>
        <w:rPr>
          <w:sz w:val="22"/>
        </w:rPr>
      </w:pPr>
      <w:r>
        <w:rPr>
          <w:i/>
        </w:rPr>
        <w:t>PageRank 댐핑 d</w:t>
        <w:tab/>
        <w:t>0.85</w:t>
        <w:tab/>
        <w:t>기본 순간이동 혼합물</w:t>
      </w:r>
    </w:p>
    <w:p>
      <w:pPr>
        <w:tabs>
          <w:tab w:pos="3975" w:val="left" w:leader="none"/>
          <w:tab w:pos="6369" w:val="left" w:leader="none"/>
        </w:tabs>
        <w:spacing w:before="3"/>
        <w:ind w:left="1103" w:right="0" w:firstLine="0"/>
        <w:jc w:val="left"/>
        <w:rPr>
          <w:sz w:val="22"/>
        </w:rPr>
      </w:pPr>
      <w:r>
        <w:rPr>
          <w:sz w:val="22"/>
        </w:rPr>
        <w:t>Convergence</w:t>
      </w:r>
      <w:r>
        <w:rPr>
          <w:spacing w:val="-13"/>
          <w:sz w:val="22"/>
        </w:rPr>
        <w:t> </w:t>
      </w:r>
      <w:r>
        <w:rPr>
          <w:sz w:val="22"/>
        </w:rPr>
        <w:t>tolerance</w:t>
      </w:r>
      <w:r>
        <w:rPr>
          <w:spacing w:val="-13"/>
          <w:sz w:val="22"/>
        </w:rPr>
        <w:t> </w:t>
      </w:r>
      <w:r>
        <w:rPr>
          <w:rFonts w:ascii="Calibri" w:hAnsi="Calibri"/>
          <w:i/>
          <w:spacing w:val="-10"/>
          <w:sz w:val="22"/>
        </w:rPr>
        <w:t>ε</w:t>
      </w:r>
      <w:r>
        <w:rPr>
          <w:rFonts w:ascii="Calibri" w:hAnsi="Calibri"/>
          <w:i/>
          <w:sz w:val="22"/>
        </w:rPr>
        <w:tab/>
      </w:r>
      <w:r>
        <w:rPr>
          <w:rFonts w:ascii="Calibri" w:hAnsi="Calibri"/>
          <w:spacing w:val="-4"/>
          <w:sz w:val="22"/>
        </w:rPr>
        <w:t>10</w:t>
      </w:r>
      <w:r>
        <w:rPr>
          <w:rFonts w:ascii="Cambria" w:hAnsi="Cambria"/>
          <w:spacing w:val="-4"/>
          <w:sz w:val="22"/>
          <w:vertAlign w:val="superscript"/>
        </w:rPr>
        <w:t>−</w:t>
      </w:r>
      <w:r>
        <w:rPr>
          <w:rFonts w:ascii="Calibri" w:hAnsi="Calibri"/>
          <w:spacing w:val="-4"/>
          <w:sz w:val="22"/>
          <w:vertAlign w:val="superscript"/>
        </w:rPr>
        <w:t>8</w:t>
      </w:r>
      <w:r>
        <w:rPr>
          <w:rFonts w:ascii="Calibri" w:hAnsi="Calibri"/>
          <w:sz w:val="22"/>
          <w:vertAlign w:val="baseline"/>
        </w:rPr>
        <w:tab/>
      </w:r>
      <w:r>
        <w:rPr>
          <w:spacing w:val="-2"/>
          <w:sz w:val="22"/>
          <w:vertAlign w:val="baseline"/>
        </w:rPr>
        <w:t>Power-iteration</w:t>
      </w:r>
      <w:r>
        <w:rPr>
          <w:spacing w:val="10"/>
          <w:sz w:val="22"/>
          <w:vertAlign w:val="baseline"/>
        </w:rPr>
        <w:t> </w:t>
      </w:r>
      <w:r>
        <w:rPr>
          <w:spacing w:val="-4"/>
          <w:sz w:val="22"/>
          <w:vertAlign w:val="baseline"/>
        </w:rPr>
        <w:t>stop</w:t>
      </w:r>
    </w:p>
    <w:p>
      <w:pPr>
        <w:tabs>
          <w:tab w:pos="3975" w:val="left" w:leader="none"/>
          <w:tab w:pos="6369" w:val="left" w:leader="none"/>
        </w:tabs>
        <w:spacing w:before="3"/>
        <w:ind w:left="1103" w:right="0" w:firstLine="0"/>
        <w:jc w:val="left"/>
        <w:rPr>
          <w:sz w:val="22"/>
        </w:rPr>
      </w:pPr>
      <w:r>
        <w:rPr>
          <w:i/>
        </w:rPr>
        <w:t>수렴 허용오차 ε</w:t>
        <w:tab/>
        <w:t>10−8</w:t>
        <w:tab/>
        <w:t>전력 반복 중지</w:t>
      </w:r>
    </w:p>
    <w:p>
      <w:pPr>
        <w:tabs>
          <w:tab w:pos="3975" w:val="left" w:leader="none"/>
          <w:tab w:pos="6369" w:val="left" w:leader="none"/>
        </w:tabs>
        <w:spacing w:before="2"/>
        <w:ind w:left="1103" w:right="0" w:firstLine="0"/>
        <w:jc w:val="left"/>
        <w:rPr>
          <w:sz w:val="22"/>
        </w:rPr>
      </w:pPr>
      <w:r>
        <w:rPr>
          <w:sz w:val="22"/>
        </w:rPr>
        <w:t>Max</w:t>
      </w:r>
      <w:r>
        <w:rPr>
          <w:spacing w:val="-6"/>
          <w:sz w:val="22"/>
        </w:rPr>
        <w:t> </w:t>
      </w:r>
      <w:r>
        <w:rPr>
          <w:spacing w:val="-2"/>
          <w:sz w:val="22"/>
        </w:rPr>
        <w:t>iterations</w:t>
      </w:r>
      <w:r>
        <w:rPr>
          <w:sz w:val="22"/>
        </w:rPr>
        <w:tab/>
      </w:r>
      <w:r>
        <w:rPr>
          <w:rFonts w:ascii="Calibri"/>
          <w:spacing w:val="-5"/>
          <w:sz w:val="22"/>
        </w:rPr>
        <w:t>300</w:t>
      </w:r>
      <w:r>
        <w:rPr>
          <w:rFonts w:ascii="Calibri"/>
          <w:sz w:val="22"/>
        </w:rPr>
        <w:tab/>
      </w:r>
      <w:r>
        <w:rPr>
          <w:spacing w:val="-2"/>
          <w:sz w:val="22"/>
        </w:rPr>
        <w:t>Power-iteration</w:t>
      </w:r>
      <w:r>
        <w:rPr>
          <w:spacing w:val="10"/>
          <w:sz w:val="22"/>
        </w:rPr>
        <w:t> </w:t>
      </w:r>
      <w:r>
        <w:rPr>
          <w:spacing w:val="-5"/>
          <w:sz w:val="22"/>
        </w:rPr>
        <w:t>cap</w:t>
      </w:r>
    </w:p>
    <w:p>
      <w:pPr>
        <w:tabs>
          <w:tab w:pos="3975" w:val="left" w:leader="none"/>
          <w:tab w:pos="6369" w:val="left" w:leader="none"/>
        </w:tabs>
        <w:spacing w:before="2"/>
        <w:ind w:left="1103" w:right="0" w:firstLine="0"/>
        <w:jc w:val="left"/>
        <w:rPr>
          <w:sz w:val="22"/>
        </w:rPr>
      </w:pPr>
      <w:r>
        <w:rPr>
          <w:i/>
        </w:rPr>
        <w:t>최대 반복</w:t>
        <w:tab/>
        <w:t>300</w:t>
        <w:tab/>
        <w:t>전력 반복 캡</w:t>
      </w:r>
    </w:p>
    <w:p>
      <w:pPr>
        <w:tabs>
          <w:tab w:pos="3975" w:val="left" w:leader="none"/>
          <w:tab w:pos="6369" w:val="left" w:leader="none"/>
        </w:tabs>
        <w:spacing w:before="3"/>
        <w:ind w:left="1103" w:right="0" w:firstLine="0"/>
        <w:jc w:val="left"/>
        <w:rPr>
          <w:sz w:val="22"/>
        </w:rPr>
      </w:pPr>
      <w:r>
        <w:rPr>
          <w:sz w:val="22"/>
        </w:rPr>
        <w:t>Logistic</w:t>
      </w:r>
      <w:r>
        <w:rPr>
          <w:spacing w:val="-9"/>
          <w:sz w:val="22"/>
        </w:rPr>
        <w:t> </w:t>
      </w:r>
      <w:r>
        <w:rPr>
          <w:rFonts w:ascii="Calibri"/>
          <w:i/>
          <w:spacing w:val="-10"/>
          <w:sz w:val="22"/>
        </w:rPr>
        <w:t>k</w:t>
      </w:r>
      <w:r>
        <w:rPr>
          <w:rFonts w:ascii="Calibri"/>
          <w:i/>
          <w:sz w:val="22"/>
        </w:rPr>
        <w:tab/>
      </w:r>
      <w:r>
        <w:rPr>
          <w:rFonts w:ascii="Calibri"/>
          <w:spacing w:val="-4"/>
          <w:sz w:val="22"/>
        </w:rPr>
        <w:t>0</w:t>
      </w:r>
      <w:r>
        <w:rPr>
          <w:rFonts w:ascii="Calibri"/>
          <w:i/>
          <w:spacing w:val="-4"/>
          <w:sz w:val="22"/>
        </w:rPr>
        <w:t>.</w:t>
      </w:r>
      <w:r>
        <w:rPr>
          <w:rFonts w:ascii="Calibri"/>
          <w:spacing w:val="-4"/>
          <w:sz w:val="22"/>
        </w:rPr>
        <w:t>01</w:t>
      </w:r>
      <w:r>
        <w:rPr>
          <w:rFonts w:ascii="Calibri"/>
          <w:sz w:val="22"/>
        </w:rPr>
        <w:tab/>
      </w:r>
      <w:r>
        <w:rPr>
          <w:spacing w:val="-2"/>
          <w:sz w:val="22"/>
        </w:rPr>
        <w:t>AWP</w:t>
      </w:r>
      <w:r>
        <w:rPr>
          <w:spacing w:val="-8"/>
          <w:sz w:val="22"/>
        </w:rPr>
        <w:t> </w:t>
      </w:r>
      <w:r>
        <w:rPr>
          <w:spacing w:val="-2"/>
          <w:sz w:val="22"/>
        </w:rPr>
        <w:t>decay</w:t>
      </w:r>
      <w:r>
        <w:rPr>
          <w:spacing w:val="-8"/>
          <w:sz w:val="22"/>
        </w:rPr>
        <w:t> </w:t>
      </w:r>
      <w:r>
        <w:rPr>
          <w:spacing w:val="-2"/>
          <w:sz w:val="22"/>
        </w:rPr>
        <w:t>slope</w:t>
      </w:r>
    </w:p>
    <w:p>
      <w:pPr>
        <w:tabs>
          <w:tab w:pos="3975" w:val="left" w:leader="none"/>
          <w:tab w:pos="6369" w:val="left" w:leader="none"/>
        </w:tabs>
        <w:spacing w:before="3"/>
        <w:ind w:left="1103" w:right="0" w:firstLine="0"/>
        <w:jc w:val="left"/>
        <w:rPr>
          <w:sz w:val="22"/>
        </w:rPr>
      </w:pPr>
      <w:r>
        <w:rPr>
          <w:i/>
        </w:rPr>
        <w:t>물류 k</w:t>
        <w:tab/>
        <w:t>0.01</w:t>
        <w:tab/>
        <w:t>AWP 붕괴 기울기</w:t>
      </w:r>
    </w:p>
    <w:p>
      <w:pPr>
        <w:tabs>
          <w:tab w:pos="3975" w:val="left" w:leader="none"/>
          <w:tab w:pos="6369" w:val="left" w:leader="none"/>
        </w:tabs>
        <w:spacing w:before="2"/>
        <w:ind w:left="1103" w:right="0" w:firstLine="0"/>
        <w:jc w:val="left"/>
        <w:rPr>
          <w:sz w:val="22"/>
        </w:rPr>
      </w:pPr>
      <w:r>
        <w:rPr>
          <w:sz w:val="22"/>
        </w:rPr>
        <w:t>Logistic</w:t>
      </w:r>
      <w:r>
        <w:rPr>
          <w:spacing w:val="-9"/>
          <w:sz w:val="22"/>
        </w:rPr>
        <w:t> </w:t>
      </w:r>
      <w:r>
        <w:rPr>
          <w:rFonts w:ascii="Calibri"/>
          <w:i/>
          <w:spacing w:val="-5"/>
          <w:sz w:val="22"/>
        </w:rPr>
        <w:t>t</w:t>
      </w:r>
      <w:r>
        <w:rPr>
          <w:rFonts w:ascii="Calibri"/>
          <w:spacing w:val="-5"/>
          <w:sz w:val="22"/>
          <w:vertAlign w:val="subscript"/>
        </w:rPr>
        <w:t>0</w:t>
      </w:r>
      <w:r>
        <w:rPr>
          <w:rFonts w:ascii="Calibri"/>
          <w:sz w:val="22"/>
          <w:vertAlign w:val="baseline"/>
        </w:rPr>
        <w:tab/>
        <w:t>180</w:t>
      </w:r>
      <w:r>
        <w:rPr>
          <w:rFonts w:ascii="Calibri"/>
          <w:spacing w:val="-7"/>
          <w:sz w:val="22"/>
          <w:vertAlign w:val="baseline"/>
        </w:rPr>
        <w:t> </w:t>
      </w:r>
      <w:r>
        <w:rPr>
          <w:spacing w:val="-4"/>
          <w:sz w:val="22"/>
          <w:vertAlign w:val="baseline"/>
        </w:rPr>
        <w:t>days</w:t>
      </w:r>
      <w:r>
        <w:rPr>
          <w:sz w:val="22"/>
          <w:vertAlign w:val="baseline"/>
        </w:rPr>
        <w:tab/>
      </w:r>
      <w:r>
        <w:rPr>
          <w:spacing w:val="-2"/>
          <w:sz w:val="22"/>
          <w:vertAlign w:val="baseline"/>
        </w:rPr>
        <w:t>AWP</w:t>
      </w:r>
      <w:r>
        <w:rPr>
          <w:spacing w:val="-8"/>
          <w:sz w:val="22"/>
          <w:vertAlign w:val="baseline"/>
        </w:rPr>
        <w:t> </w:t>
      </w:r>
      <w:r>
        <w:rPr>
          <w:spacing w:val="-2"/>
          <w:sz w:val="22"/>
          <w:vertAlign w:val="baseline"/>
        </w:rPr>
        <w:t>decay</w:t>
      </w:r>
      <w:r>
        <w:rPr>
          <w:spacing w:val="-8"/>
          <w:sz w:val="22"/>
          <w:vertAlign w:val="baseline"/>
        </w:rPr>
        <w:t> </w:t>
      </w:r>
      <w:r>
        <w:rPr>
          <w:spacing w:val="-2"/>
          <w:sz w:val="22"/>
          <w:vertAlign w:val="baseline"/>
        </w:rPr>
        <w:t>midpoint</w:t>
      </w:r>
    </w:p>
    <w:p>
      <w:pPr>
        <w:tabs>
          <w:tab w:pos="3975" w:val="left" w:leader="none"/>
          <w:tab w:pos="6369" w:val="left" w:leader="none"/>
        </w:tabs>
        <w:spacing w:before="2"/>
        <w:ind w:left="1103" w:right="0" w:firstLine="0"/>
        <w:jc w:val="left"/>
        <w:rPr>
          <w:sz w:val="22"/>
        </w:rPr>
      </w:pPr>
      <w:r>
        <w:rPr>
          <w:i/>
        </w:rPr>
        <w:t>물류 t0</w:t>
        <w:tab/>
        <w:t>180일</w:t>
        <w:tab/>
        <w:t>AWP 붕괴 중간점</w:t>
      </w:r>
    </w:p>
    <w:p>
      <w:pPr>
        <w:tabs>
          <w:tab w:pos="3975" w:val="left" w:leader="none"/>
          <w:tab w:pos="6369" w:val="left" w:leader="none"/>
        </w:tabs>
        <w:spacing w:line="244" w:lineRule="auto" w:before="3"/>
        <w:ind w:left="1103" w:right="2324" w:firstLine="0"/>
        <w:jc w:val="left"/>
        <w:rPr>
          <w:sz w:val="22"/>
        </w:rPr>
      </w:pPr>
      <w:r>
        <w:rPr>
          <w:sz w:val="22"/>
        </w:rPr>
        <w:t>Min. GMX closes</w:t>
        <w:tab/>
      </w:r>
      <w:r>
        <w:rPr>
          <w:rFonts w:ascii="Calibri" w:hAnsi="Calibri"/>
          <w:spacing w:val="-10"/>
          <w:sz w:val="22"/>
        </w:rPr>
        <w:t>3</w:t>
      </w:r>
      <w:r>
        <w:rPr>
          <w:rFonts w:ascii="Calibri" w:hAnsi="Calibri"/>
          <w:sz w:val="22"/>
        </w:rPr>
        <w:tab/>
      </w:r>
      <w:r>
        <w:rPr>
          <w:spacing w:val="-2"/>
          <w:sz w:val="22"/>
        </w:rPr>
        <w:t>Cohort</w:t>
      </w:r>
      <w:r>
        <w:rPr>
          <w:spacing w:val="-11"/>
          <w:sz w:val="22"/>
        </w:rPr>
        <w:t> </w:t>
      </w:r>
      <w:r>
        <w:rPr>
          <w:spacing w:val="-2"/>
          <w:sz w:val="22"/>
        </w:rPr>
        <w:t>eligibility </w:t>
      </w:r>
      <w:r>
        <w:rPr>
          <w:sz w:val="22"/>
        </w:rPr>
        <w:t>Observation window</w:t>
        <w:tab/>
        <w:t>2025-12-01 – 2026-05-31</w:t>
      </w:r>
      <w:r>
        <w:rPr>
          <w:spacing w:val="80"/>
          <w:sz w:val="22"/>
        </w:rPr>
        <w:t> </w:t>
      </w:r>
      <w:r>
        <w:rPr>
          <w:sz w:val="22"/>
        </w:rPr>
        <w:t>UTC inclusive</w:t>
      </w:r>
    </w:p>
    <w:p>
      <w:pPr>
        <w:tabs>
          <w:tab w:pos="3975" w:val="left" w:leader="none"/>
          <w:tab w:pos="6369" w:val="left" w:leader="none"/>
        </w:tabs>
        <w:spacing w:line="244" w:lineRule="auto" w:before="3"/>
        <w:ind w:left="1103" w:right="2324" w:firstLine="0"/>
        <w:jc w:val="left"/>
        <w:rPr>
          <w:sz w:val="22"/>
        </w:rPr>
      </w:pPr>
      <w:r>
        <w:rPr>
          <w:i/>
        </w:rPr>
        <w:t>최소 GMX 종료</w:t>
        <w:tab/>
        <w:t>3</w:t>
        <w:tab/>
        <w:t>코호트 적격성 관찰 창</w:t>
        <w:tab/>
        <w:t>2025년 12월 1일 – 2026년 5월 31일 UTC 포함</w:t>
      </w:r>
    </w:p>
    <w:p>
      <w:pPr>
        <w:tabs>
          <w:tab w:pos="3975" w:val="left" w:leader="none"/>
          <w:tab w:pos="6369" w:val="left" w:leader="none"/>
        </w:tabs>
        <w:spacing w:before="10"/>
        <w:ind w:left="1103" w:right="0" w:firstLine="0"/>
        <w:jc w:val="left"/>
        <w:rPr>
          <w:sz w:val="22"/>
        </w:rPr>
      </w:pPr>
      <w:r>
        <w:rPr>
          <w:sz w:val="22"/>
        </w:rPr>
        <w:t>GF-PR</w:t>
      </w:r>
      <w:r>
        <w:rPr>
          <w:spacing w:val="-8"/>
          <w:sz w:val="22"/>
        </w:rPr>
        <w:t> </w:t>
      </w:r>
      <w:r>
        <w:rPr>
          <w:sz w:val="22"/>
        </w:rPr>
        <w:t>loss</w:t>
      </w:r>
      <w:r>
        <w:rPr>
          <w:spacing w:val="-7"/>
          <w:sz w:val="22"/>
        </w:rPr>
        <w:t> </w:t>
      </w:r>
      <w:r>
        <w:rPr>
          <w:rFonts w:ascii="Calibri" w:hAnsi="Calibri"/>
          <w:i/>
          <w:spacing w:val="-2"/>
          <w:sz w:val="22"/>
        </w:rPr>
        <w:t>ε</w:t>
      </w:r>
      <w:r>
        <w:rPr>
          <w:spacing w:val="-2"/>
          <w:sz w:val="22"/>
          <w:vertAlign w:val="subscript"/>
        </w:rPr>
        <w:t>loss</w:t>
      </w:r>
      <w:r>
        <w:rPr>
          <w:sz w:val="22"/>
          <w:vertAlign w:val="baseline"/>
        </w:rPr>
        <w:tab/>
      </w:r>
      <w:r>
        <w:rPr>
          <w:rFonts w:ascii="Calibri" w:hAnsi="Calibri"/>
          <w:spacing w:val="-5"/>
          <w:sz w:val="22"/>
          <w:vertAlign w:val="baseline"/>
        </w:rPr>
        <w:t>0</w:t>
      </w:r>
      <w:r>
        <w:rPr>
          <w:rFonts w:ascii="Calibri" w:hAnsi="Calibri"/>
          <w:i/>
          <w:spacing w:val="-5"/>
          <w:sz w:val="22"/>
          <w:vertAlign w:val="baseline"/>
        </w:rPr>
        <w:t>.</w:t>
      </w:r>
      <w:r>
        <w:rPr>
          <w:rFonts w:ascii="Calibri" w:hAnsi="Calibri"/>
          <w:spacing w:val="-5"/>
          <w:sz w:val="22"/>
          <w:vertAlign w:val="baseline"/>
        </w:rPr>
        <w:t>1</w:t>
      </w:r>
      <w:r>
        <w:rPr>
          <w:rFonts w:ascii="Calibri" w:hAnsi="Calibri"/>
          <w:sz w:val="22"/>
          <w:vertAlign w:val="baseline"/>
        </w:rPr>
        <w:tab/>
      </w:r>
      <w:r>
        <w:rPr>
          <w:sz w:val="22"/>
          <w:vertAlign w:val="baseline"/>
        </w:rPr>
        <w:t>Ordinary</w:t>
      </w:r>
      <w:r>
        <w:rPr>
          <w:spacing w:val="-8"/>
          <w:sz w:val="22"/>
          <w:vertAlign w:val="baseline"/>
        </w:rPr>
        <w:t> </w:t>
      </w:r>
      <w:r>
        <w:rPr>
          <w:sz w:val="22"/>
          <w:vertAlign w:val="baseline"/>
        </w:rPr>
        <w:t>loss</w:t>
      </w:r>
      <w:r>
        <w:rPr>
          <w:spacing w:val="-7"/>
          <w:sz w:val="22"/>
          <w:vertAlign w:val="baseline"/>
        </w:rPr>
        <w:t> </w:t>
      </w:r>
      <w:r>
        <w:rPr>
          <w:sz w:val="22"/>
          <w:vertAlign w:val="baseline"/>
        </w:rPr>
        <w:t>edge</w:t>
      </w:r>
      <w:r>
        <w:rPr>
          <w:spacing w:val="-7"/>
          <w:sz w:val="22"/>
          <w:vertAlign w:val="baseline"/>
        </w:rPr>
        <w:t> </w:t>
      </w:r>
      <w:r>
        <w:rPr>
          <w:spacing w:val="-2"/>
          <w:sz w:val="22"/>
          <w:vertAlign w:val="baseline"/>
        </w:rPr>
        <w:t>boost</w:t>
      </w:r>
    </w:p>
    <w:p>
      <w:pPr>
        <w:tabs>
          <w:tab w:pos="3975" w:val="left" w:leader="none"/>
          <w:tab w:pos="6369" w:val="left" w:leader="none"/>
        </w:tabs>
        <w:spacing w:before="10"/>
        <w:ind w:left="1103" w:right="0" w:firstLine="0"/>
        <w:jc w:val="left"/>
        <w:rPr>
          <w:sz w:val="22"/>
        </w:rPr>
      </w:pPr>
      <w:r>
        <w:rPr>
          <w:i/>
        </w:rPr>
        <w:t>GF-PR 손실 εloss</w:t>
        <w:tab/>
        <w:t>0.1</w:t>
        <w:tab/>
        <w:t>일반적인 손실 가장자리 부스트</w:t>
      </w:r>
    </w:p>
    <w:p>
      <w:pPr>
        <w:tabs>
          <w:tab w:pos="3975" w:val="left" w:leader="none"/>
          <w:tab w:pos="6369" w:val="left" w:leader="none"/>
        </w:tabs>
        <w:spacing w:line="242" w:lineRule="auto" w:before="2"/>
        <w:ind w:left="1103" w:right="1385" w:firstLine="0"/>
        <w:jc w:val="left"/>
        <w:rPr>
          <w:sz w:val="22"/>
        </w:rPr>
      </w:pPr>
      <w:r>
        <w:rPr>
          <w:sz w:val="22"/>
        </w:rPr>
        <w:t>GF-PR liquidation </w:t>
      </w:r>
      <w:r>
        <w:rPr>
          <w:rFonts w:ascii="Calibri" w:hAnsi="Calibri"/>
          <w:i/>
          <w:sz w:val="22"/>
        </w:rPr>
        <w:t>ε</w:t>
      </w:r>
      <w:r>
        <w:rPr>
          <w:sz w:val="22"/>
          <w:vertAlign w:val="subscript"/>
        </w:rPr>
        <w:t>liq</w:t>
      </w:r>
      <w:r>
        <w:rPr>
          <w:sz w:val="22"/>
          <w:vertAlign w:val="baseline"/>
        </w:rPr>
        <w:tab/>
      </w:r>
      <w:r>
        <w:rPr>
          <w:rFonts w:ascii="Calibri" w:hAnsi="Calibri"/>
          <w:spacing w:val="-4"/>
          <w:sz w:val="22"/>
          <w:vertAlign w:val="baseline"/>
        </w:rPr>
        <w:t>1</w:t>
      </w:r>
      <w:r>
        <w:rPr>
          <w:rFonts w:ascii="Calibri" w:hAnsi="Calibri"/>
          <w:i/>
          <w:spacing w:val="-4"/>
          <w:sz w:val="22"/>
          <w:vertAlign w:val="baseline"/>
        </w:rPr>
        <w:t>.</w:t>
      </w:r>
      <w:r>
        <w:rPr>
          <w:rFonts w:ascii="Calibri" w:hAnsi="Calibri"/>
          <w:spacing w:val="-4"/>
          <w:sz w:val="22"/>
          <w:vertAlign w:val="baseline"/>
        </w:rPr>
        <w:t>0</w:t>
      </w:r>
      <w:r>
        <w:rPr>
          <w:rFonts w:ascii="Calibri" w:hAnsi="Calibri"/>
          <w:sz w:val="22"/>
          <w:vertAlign w:val="baseline"/>
        </w:rPr>
        <w:tab/>
      </w:r>
      <w:r>
        <w:rPr>
          <w:sz w:val="22"/>
          <w:vertAlign w:val="baseline"/>
        </w:rPr>
        <w:t>Liquidation edge boost Expanded pool subsample seed</w:t>
      </w:r>
      <w:r>
        <w:rPr>
          <w:spacing w:val="80"/>
          <w:sz w:val="22"/>
          <w:vertAlign w:val="baseline"/>
        </w:rPr>
        <w:t> </w:t>
      </w:r>
      <w:r>
        <w:rPr>
          <w:rFonts w:ascii="Cambria" w:hAnsi="Cambria"/>
          <w:sz w:val="22"/>
          <w:vertAlign w:val="baseline"/>
        </w:rPr>
        <w:t>benchmark-tier2-v1</w:t>
        <w:tab/>
      </w:r>
      <w:r>
        <w:rPr>
          <w:sz w:val="22"/>
          <w:vertAlign w:val="baseline"/>
        </w:rPr>
        <w:t>Deterministic</w:t>
      </w:r>
      <w:r>
        <w:rPr>
          <w:spacing w:val="-14"/>
          <w:sz w:val="22"/>
          <w:vertAlign w:val="baseline"/>
        </w:rPr>
        <w:t> </w:t>
      </w:r>
      <w:r>
        <w:rPr>
          <w:sz w:val="22"/>
          <w:vertAlign w:val="baseline"/>
        </w:rPr>
        <w:t>SHA256</w:t>
      </w:r>
      <w:r>
        <w:rPr>
          <w:spacing w:val="-14"/>
          <w:sz w:val="22"/>
          <w:vertAlign w:val="baseline"/>
        </w:rPr>
        <w:t> </w:t>
      </w:r>
      <w:r>
        <w:rPr>
          <w:sz w:val="22"/>
          <w:vertAlign w:val="baseline"/>
        </w:rPr>
        <w:t>seed</w:t>
      </w:r>
    </w:p>
    <w:p>
      <w:pPr>
        <w:tabs>
          <w:tab w:pos="3975" w:val="left" w:leader="none"/>
          <w:tab w:pos="6369" w:val="left" w:leader="none"/>
        </w:tabs>
        <w:spacing w:line="242" w:lineRule="auto" w:before="2"/>
        <w:ind w:left="1103" w:right="1385" w:firstLine="0"/>
        <w:jc w:val="left"/>
        <w:rPr>
          <w:sz w:val="22"/>
        </w:rPr>
      </w:pPr>
      <w:r>
        <w:rPr>
          <w:i/>
        </w:rPr>
        <w:t>GF-PR 청산 εliq</w:t>
        <w:tab/>
        <w:t>1.0</w:t>
        <w:tab/>
        <w:t>청산 엣지 부스트 확장된 풀 하위 샘플 시드 벤치마크-tier2-v1</w:t>
        <w:tab/>
        <w:t>결정적 SHA256 시드</w:t>
      </w:r>
    </w:p>
    <w:p>
      <w:pPr>
        <w:pStyle w:val="BodyText"/>
        <w:spacing w:before="1"/>
        <w:rPr>
          <w:sz w:val="5"/>
        </w:rPr>
      </w:pPr>
      <w:r>
        <w:rPr>
          <w:sz w:val="5"/>
        </w:rPr>
        <mc:AlternateContent>
          <mc:Choice Requires="wps">
            <w:drawing>
              <wp:anchor distT="0" distB="0" distL="0" distR="0" allowOverlap="1" layoutInCell="1" locked="0" behindDoc="1" simplePos="0" relativeHeight="487654400">
                <wp:simplePos x="0" y="0"/>
                <wp:positionH relativeFrom="page">
                  <wp:posOffset>1286535</wp:posOffset>
                </wp:positionH>
                <wp:positionV relativeFrom="paragraph">
                  <wp:posOffset>52483</wp:posOffset>
                </wp:positionV>
                <wp:extent cx="4987290" cy="127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4987290" cy="1270"/>
                        </a:xfrm>
                        <a:custGeom>
                          <a:avLst/>
                          <a:gdLst/>
                          <a:ahLst/>
                          <a:cxnLst/>
                          <a:rect l="l" t="t" r="r" b="b"/>
                          <a:pathLst>
                            <a:path w="4987290" h="0">
                              <a:moveTo>
                                <a:pt x="0" y="0"/>
                              </a:moveTo>
                              <a:lnTo>
                                <a:pt x="4986934" y="0"/>
                              </a:lnTo>
                            </a:path>
                          </a:pathLst>
                        </a:custGeom>
                        <a:ln w="1214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302002pt;margin-top:4.132533pt;width:392.7pt;height:.1pt;mso-position-horizontal-relative:page;mso-position-vertical-relative:paragraph;z-index:-15662080;mso-wrap-distance-left:0;mso-wrap-distance-right:0" id="docshape563" coordorigin="2026,83" coordsize="7854,0" path="m2026,83l9879,83e" filled="false" stroked="true" strokeweight=".9564pt" strokecolor="#000000">
                <v:path arrowok="t"/>
                <v:stroke dashstyle="solid"/>
                <w10:wrap type="topAndBottom"/>
              </v:shape>
            </w:pict>
          </mc:Fallback>
        </mc:AlternateContent>
      </w:r>
    </w:p>
    <w:p>
      <w:pPr>
        <w:pStyle w:val="BodyText"/>
        <w:spacing w:before="121"/>
        <w:rPr>
          <w:sz w:val="22"/>
        </w:rPr>
      </w:pPr>
    </w:p>
    <w:p>
      <w:pPr>
        <w:pStyle w:val="ListParagraph"/>
        <w:numPr>
          <w:ilvl w:val="3"/>
          <w:numId w:val="8"/>
        </w:numPr>
        <w:tabs>
          <w:tab w:pos="807" w:val="left" w:leader="none"/>
          <w:tab w:pos="4779" w:val="left" w:leader="none"/>
        </w:tabs>
        <w:spacing w:line="240" w:lineRule="auto" w:before="0" w:after="0"/>
        <w:ind w:left="807" w:right="0" w:hanging="214"/>
        <w:jc w:val="left"/>
        <w:rPr>
          <w:rFonts w:ascii="Calibri" w:hAnsi="Calibri"/>
          <w:sz w:val="24"/>
        </w:rPr>
      </w:pPr>
      <w:r>
        <w:rPr>
          <w:rFonts w:ascii="Calibri" w:hAnsi="Calibri"/>
          <w:sz w:val="24"/>
        </w:rPr>
        <mc:AlternateContent>
          <mc:Choice Requires="wps">
            <w:drawing>
              <wp:anchor distT="0" distB="0" distL="0" distR="0" allowOverlap="1" layoutInCell="1" locked="0" behindDoc="1" simplePos="0" relativeHeight="484062208">
                <wp:simplePos x="0" y="0"/>
                <wp:positionH relativeFrom="page">
                  <wp:posOffset>3504793</wp:posOffset>
                </wp:positionH>
                <wp:positionV relativeFrom="paragraph">
                  <wp:posOffset>-60344</wp:posOffset>
                </wp:positionV>
                <wp:extent cx="160655" cy="56324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275.967987pt;margin-top:-4.751526pt;width:12.65pt;height:44.35pt;mso-position-horizontal-relative:page;mso-position-vertical-relative:paragraph;z-index:-19254272" type="#_x0000_t202" id="docshape564" filled="false" stroked="false">
                <v:textbox inset="0,0,0,0">
                  <w:txbxContent>
                    <w:p>
                      <w:pPr>
                        <w:pStyle w:val="BodyText"/>
                        <w:spacing w:line="231" w:lineRule="exact"/>
                      </w:pPr>
                      <w:r>
                        <w:rPr>
                          <w:spacing w:val="-10"/>
                          <w:w w:val="180"/>
                        </w:rPr>
                        <w:t>Σ</w:t>
                      </w:r>
                    </w:p>
                  </w:txbxContent>
                </v:textbox>
                <w10:wrap type="none"/>
              </v:shape>
            </w:pict>
          </mc:Fallback>
        </mc:AlternateContent>
      </w:r>
      <w:r>
        <w:rPr>
          <w:b/>
          <w:sz w:val="24"/>
        </w:rPr>
        <w:t>Inverse</w:t>
      </w:r>
      <w:r>
        <w:rPr>
          <w:b/>
          <w:spacing w:val="3"/>
          <w:sz w:val="24"/>
        </w:rPr>
        <w:t> </w:t>
      </w:r>
      <w:r>
        <w:rPr>
          <w:b/>
          <w:sz w:val="24"/>
        </w:rPr>
        <w:t>risk:</w:t>
      </w:r>
      <w:r>
        <w:rPr>
          <w:b/>
          <w:spacing w:val="36"/>
          <w:sz w:val="24"/>
        </w:rPr>
        <w:t> </w:t>
      </w:r>
      <w:r>
        <w:rPr>
          <w:sz w:val="24"/>
        </w:rPr>
        <w:t>loss_avoidance</w:t>
      </w:r>
      <w:r>
        <w:rPr>
          <w:rFonts w:ascii="Calibri" w:hAnsi="Calibri"/>
          <w:sz w:val="24"/>
        </w:rPr>
        <w:t>(</w:t>
      </w:r>
      <w:r>
        <w:rPr>
          <w:rFonts w:ascii="Calibri" w:hAnsi="Calibri"/>
          <w:i/>
          <w:sz w:val="24"/>
        </w:rPr>
        <w:t>w</w:t>
      </w:r>
      <w:r>
        <w:rPr>
          <w:rFonts w:ascii="Calibri" w:hAnsi="Calibri"/>
          <w:sz w:val="24"/>
        </w:rPr>
        <w:t>)</w:t>
      </w:r>
      <w:r>
        <w:rPr>
          <w:rFonts w:ascii="Calibri" w:hAnsi="Calibri"/>
          <w:spacing w:val="28"/>
          <w:sz w:val="24"/>
        </w:rPr>
        <w:t> </w:t>
      </w:r>
      <w:r>
        <w:rPr>
          <w:rFonts w:ascii="Calibri" w:hAnsi="Calibri"/>
          <w:sz w:val="24"/>
        </w:rPr>
        <w:t>=</w:t>
      </w:r>
      <w:r>
        <w:rPr>
          <w:rFonts w:ascii="Calibri" w:hAnsi="Calibri"/>
          <w:spacing w:val="30"/>
          <w:sz w:val="24"/>
        </w:rPr>
        <w:t> </w:t>
      </w:r>
      <w:r>
        <w:rPr>
          <w:rFonts w:ascii="Lucida Sans Unicode" w:hAnsi="Lucida Sans Unicode"/>
          <w:spacing w:val="-10"/>
          <w:sz w:val="24"/>
        </w:rPr>
        <w:t>—</w:t>
      </w:r>
      <w:r>
        <w:rPr>
          <w:rFonts w:ascii="Lucida Sans Unicode" w:hAnsi="Lucida Sans Unicode"/>
          <w:sz w:val="24"/>
        </w:rPr>
        <w:tab/>
      </w:r>
      <w:r>
        <w:rPr>
          <w:rFonts w:ascii="Cambria" w:hAnsi="Cambria"/>
          <w:position w:val="-6"/>
          <w:sz w:val="16"/>
        </w:rPr>
        <w:t>c</w:t>
      </w:r>
      <w:r>
        <w:rPr>
          <w:rFonts w:ascii="Cambria" w:hAnsi="Cambria"/>
          <w:spacing w:val="23"/>
          <w:position w:val="-6"/>
          <w:sz w:val="16"/>
        </w:rPr>
        <w:t> </w:t>
      </w:r>
      <w:r>
        <w:rPr>
          <w:sz w:val="24"/>
        </w:rPr>
        <w:t>min</w:t>
      </w:r>
      <w:r>
        <w:rPr>
          <w:rFonts w:ascii="Calibri" w:hAnsi="Calibri"/>
          <w:sz w:val="24"/>
        </w:rPr>
        <w:t>(</w:t>
      </w:r>
      <w:r>
        <w:rPr>
          <w:sz w:val="24"/>
        </w:rPr>
        <w:t>PnL</w:t>
      </w:r>
      <w:r>
        <w:rPr>
          <w:rFonts w:ascii="Cambria" w:hAnsi="Cambria"/>
          <w:sz w:val="24"/>
          <w:vertAlign w:val="subscript"/>
        </w:rPr>
        <w:t>c</w:t>
      </w:r>
      <w:r>
        <w:rPr>
          <w:rFonts w:ascii="Calibri" w:hAnsi="Calibri"/>
          <w:i/>
          <w:sz w:val="24"/>
          <w:vertAlign w:val="baseline"/>
        </w:rPr>
        <w:t>,</w:t>
      </w:r>
      <w:r>
        <w:rPr>
          <w:rFonts w:ascii="Calibri" w:hAnsi="Calibri"/>
          <w:i/>
          <w:spacing w:val="-8"/>
          <w:sz w:val="24"/>
          <w:vertAlign w:val="baseline"/>
        </w:rPr>
        <w:t> </w:t>
      </w:r>
      <w:r>
        <w:rPr>
          <w:rFonts w:ascii="Calibri" w:hAnsi="Calibri"/>
          <w:sz w:val="24"/>
          <w:vertAlign w:val="baseline"/>
        </w:rPr>
        <w:t>0)</w:t>
      </w:r>
      <w:r>
        <w:rPr>
          <w:sz w:val="24"/>
          <w:vertAlign w:val="baseline"/>
        </w:rPr>
        <w:t>;</w:t>
      </w:r>
      <w:r>
        <w:rPr>
          <w:spacing w:val="2"/>
          <w:sz w:val="24"/>
          <w:vertAlign w:val="baseline"/>
        </w:rPr>
        <w:t> </w:t>
      </w:r>
      <w:r>
        <w:rPr>
          <w:sz w:val="24"/>
          <w:vertAlign w:val="baseline"/>
        </w:rPr>
        <w:t>non_loss_close_rate</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23"/>
          <w:sz w:val="24"/>
          <w:vertAlign w:val="baseline"/>
        </w:rPr>
        <w:t> </w:t>
      </w:r>
      <w:r>
        <w:rPr>
          <w:rFonts w:ascii="Calibri" w:hAnsi="Calibri"/>
          <w:sz w:val="24"/>
          <w:vertAlign w:val="baseline"/>
        </w:rPr>
        <w:t>=</w:t>
      </w:r>
      <w:r>
        <w:rPr>
          <w:rFonts w:ascii="Calibri" w:hAnsi="Calibri"/>
          <w:spacing w:val="24"/>
          <w:sz w:val="24"/>
          <w:vertAlign w:val="baseline"/>
        </w:rPr>
        <w:t> </w:t>
      </w:r>
      <w:r>
        <w:rPr>
          <w:rFonts w:ascii="Calibri" w:hAnsi="Calibri"/>
          <w:sz w:val="24"/>
          <w:vertAlign w:val="baseline"/>
        </w:rPr>
        <w:t>1</w:t>
      </w:r>
      <w:r>
        <w:rPr>
          <w:rFonts w:ascii="Calibri" w:hAnsi="Calibri"/>
          <w:spacing w:val="-18"/>
          <w:sz w:val="24"/>
          <w:vertAlign w:val="baseline"/>
        </w:rPr>
        <w:t> </w:t>
      </w:r>
      <w:r>
        <w:rPr>
          <w:rFonts w:ascii="Lucida Sans Unicode" w:hAnsi="Lucida Sans Unicode"/>
          <w:sz w:val="24"/>
          <w:vertAlign w:val="baseline"/>
        </w:rPr>
        <w:t>—</w:t>
      </w:r>
      <w:r>
        <w:rPr>
          <w:rFonts w:ascii="Lucida Sans Unicode" w:hAnsi="Lucida Sans Unicode"/>
          <w:spacing w:val="-42"/>
          <w:sz w:val="24"/>
          <w:vertAlign w:val="baseline"/>
        </w:rPr>
        <w:t> </w:t>
      </w:r>
      <w:r>
        <w:rPr>
          <w:rFonts w:ascii="Lucida Sans Unicode" w:hAnsi="Lucida Sans Unicode"/>
          <w:sz w:val="24"/>
          <w:vertAlign w:val="baseline"/>
        </w:rPr>
        <w:t>|{</w:t>
      </w:r>
      <w:r>
        <w:rPr>
          <w:rFonts w:ascii="Calibri" w:hAnsi="Calibri"/>
          <w:i/>
          <w:sz w:val="24"/>
          <w:vertAlign w:val="baseline"/>
        </w:rPr>
        <w:t>c</w:t>
      </w:r>
      <w:r>
        <w:rPr>
          <w:rFonts w:ascii="Calibri" w:hAnsi="Calibri"/>
          <w:i/>
          <w:spacing w:val="24"/>
          <w:sz w:val="24"/>
          <w:vertAlign w:val="baseline"/>
        </w:rPr>
        <w:t> </w:t>
      </w:r>
      <w:r>
        <w:rPr>
          <w:rFonts w:ascii="Calibri" w:hAnsi="Calibri"/>
          <w:spacing w:val="-10"/>
          <w:sz w:val="24"/>
          <w:vertAlign w:val="baseline"/>
        </w:rPr>
        <w:t>:</w:t>
      </w:r>
    </w:p>
    <w:p>
      <w:pPr>
        <w:pStyle w:val="ListParagraph"/>
        <w:numPr>
          <w:ilvl w:val="3"/>
          <w:numId w:val="8"/>
        </w:numPr>
        <w:tabs>
          <w:tab w:pos="807" w:val="left" w:leader="none"/>
          <w:tab w:pos="4779" w:val="left" w:leader="none"/>
        </w:tabs>
        <w:spacing w:line="240" w:lineRule="auto" w:before="0" w:after="0"/>
        <w:ind w:left="807" w:right="0" w:hanging="214"/>
        <w:jc w:val="left"/>
        <w:rPr>
          <w:rFonts w:ascii="Calibri" w:hAnsi="Calibri"/>
          <w:sz w:val="24"/>
        </w:rPr>
      </w:pPr>
      <w:r>
        <w:rPr>
          <w:i/>
        </w:rPr>
        <w:t>역위험: loss_avoidance(w) = —</w:t>
        <w:tab/>
        <w:t>c min(PnLc, 0); non_loss_close_rate(w) = 1 — |{c:</w:t>
      </w:r>
    </w:p>
    <w:p>
      <w:pPr>
        <w:pStyle w:val="BodyText"/>
        <w:spacing w:before="88"/>
        <w:ind w:left="808"/>
      </w:pPr>
      <w:r>
        <w:rPr/>
        <w:t>PnL</w:t>
      </w:r>
      <w:r>
        <w:rPr>
          <w:rFonts w:ascii="Cambria" w:hAnsi="Cambria"/>
          <w:vertAlign w:val="subscript"/>
        </w:rPr>
        <w:t>c</w:t>
      </w:r>
      <w:r>
        <w:rPr>
          <w:rFonts w:ascii="Cambria" w:hAnsi="Cambria"/>
          <w:spacing w:val="25"/>
          <w:vertAlign w:val="baseline"/>
        </w:rPr>
        <w:t> </w:t>
      </w:r>
      <w:r>
        <w:rPr>
          <w:rFonts w:ascii="Calibri" w:hAnsi="Calibri"/>
          <w:i/>
          <w:vertAlign w:val="baseline"/>
        </w:rPr>
        <w:t>&lt;</w:t>
      </w:r>
      <w:r>
        <w:rPr>
          <w:rFonts w:ascii="Calibri" w:hAnsi="Calibri"/>
          <w:i/>
          <w:spacing w:val="14"/>
          <w:vertAlign w:val="baseline"/>
        </w:rPr>
        <w:t> </w:t>
      </w:r>
      <w:r>
        <w:rPr>
          <w:rFonts w:ascii="Calibri" w:hAnsi="Calibri"/>
          <w:vertAlign w:val="baseline"/>
        </w:rPr>
        <w:t>0</w:t>
      </w:r>
      <w:r>
        <w:rPr>
          <w:rFonts w:ascii="Calibri" w:hAnsi="Calibri"/>
          <w:spacing w:val="1"/>
          <w:vertAlign w:val="baseline"/>
        </w:rPr>
        <w:t> </w:t>
      </w:r>
      <w:r>
        <w:rPr>
          <w:rFonts w:ascii="Lucida Sans Unicode" w:hAnsi="Lucida Sans Unicode"/>
          <w:vertAlign w:val="baseline"/>
        </w:rPr>
        <w:t>∧</w:t>
      </w:r>
      <w:r>
        <w:rPr>
          <w:rFonts w:ascii="Lucida Sans Unicode" w:hAnsi="Lucida Sans Unicode"/>
          <w:spacing w:val="-21"/>
          <w:vertAlign w:val="baseline"/>
        </w:rPr>
        <w:t> </w:t>
      </w:r>
      <w:r>
        <w:rPr>
          <w:rFonts w:ascii="Lucida Sans Unicode" w:hAnsi="Lucida Sans Unicode"/>
          <w:vertAlign w:val="baseline"/>
        </w:rPr>
        <w:t>¬</w:t>
      </w:r>
      <w:r>
        <w:rPr>
          <w:vertAlign w:val="baseline"/>
        </w:rPr>
        <w:t>liq</w:t>
      </w:r>
      <w:r>
        <w:rPr>
          <w:rFonts w:ascii="Cambria" w:hAnsi="Cambria"/>
          <w:position w:val="-5"/>
          <w:sz w:val="16"/>
          <w:vertAlign w:val="baseline"/>
        </w:rPr>
        <w:t>c</w:t>
      </w:r>
      <w:r>
        <w:rPr>
          <w:rFonts w:ascii="Lucida Sans Unicode" w:hAnsi="Lucida Sans Unicode"/>
          <w:vertAlign w:val="baseline"/>
        </w:rPr>
        <w:t>}|</w:t>
      </w:r>
      <w:r>
        <w:rPr>
          <w:rFonts w:ascii="Calibri" w:hAnsi="Calibri"/>
          <w:vertAlign w:val="baseline"/>
        </w:rPr>
        <w:t>/</w:t>
      </w:r>
      <w:r>
        <w:rPr>
          <w:rFonts w:ascii="Lucida Sans Unicode" w:hAnsi="Lucida Sans Unicode"/>
          <w:vertAlign w:val="baseline"/>
        </w:rPr>
        <w:t>|C</w:t>
      </w:r>
      <w:r>
        <w:rPr>
          <w:rFonts w:ascii="Calibri" w:hAnsi="Calibri"/>
          <w:vertAlign w:val="baseline"/>
        </w:rPr>
        <w:t>(</w:t>
      </w:r>
      <w:r>
        <w:rPr>
          <w:rFonts w:ascii="Calibri" w:hAnsi="Calibri"/>
          <w:i/>
          <w:vertAlign w:val="baseline"/>
        </w:rPr>
        <w:t>w</w:t>
      </w:r>
      <w:r>
        <w:rPr>
          <w:rFonts w:ascii="Calibri" w:hAnsi="Calibri"/>
          <w:vertAlign w:val="baseline"/>
        </w:rPr>
        <w:t>)</w:t>
      </w:r>
      <w:r>
        <w:rPr>
          <w:rFonts w:ascii="Lucida Sans Unicode" w:hAnsi="Lucida Sans Unicode"/>
          <w:vertAlign w:val="baseline"/>
        </w:rPr>
        <w:t>|</w:t>
      </w:r>
      <w:r>
        <w:rPr>
          <w:vertAlign w:val="baseline"/>
        </w:rPr>
        <w:t>;</w:t>
      </w:r>
      <w:r>
        <w:rPr>
          <w:spacing w:val="1"/>
          <w:vertAlign w:val="baseline"/>
        </w:rPr>
        <w:t> </w:t>
      </w:r>
      <w:r>
        <w:rPr>
          <w:vertAlign w:val="baseline"/>
        </w:rPr>
        <w:t>worst_close_pnl_score</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13"/>
          <w:vertAlign w:val="baseline"/>
        </w:rPr>
        <w:t> </w:t>
      </w:r>
      <w:r>
        <w:rPr>
          <w:rFonts w:ascii="Calibri" w:hAnsi="Calibri"/>
          <w:vertAlign w:val="baseline"/>
        </w:rPr>
        <w:t>=</w:t>
      </w:r>
      <w:r>
        <w:rPr>
          <w:rFonts w:ascii="Calibri" w:hAnsi="Calibri"/>
          <w:spacing w:val="15"/>
          <w:vertAlign w:val="baseline"/>
        </w:rPr>
        <w:t> </w:t>
      </w:r>
      <w:r>
        <w:rPr>
          <w:rFonts w:ascii="Lucida Sans Unicode" w:hAnsi="Lucida Sans Unicode"/>
          <w:vertAlign w:val="baseline"/>
        </w:rPr>
        <w:t>—</w:t>
      </w:r>
      <w:r>
        <w:rPr>
          <w:rFonts w:ascii="Lucida Sans Unicode" w:hAnsi="Lucida Sans Unicode"/>
          <w:spacing w:val="-35"/>
          <w:vertAlign w:val="baseline"/>
        </w:rPr>
        <w:t> </w:t>
      </w:r>
      <w:r>
        <w:rPr>
          <w:vertAlign w:val="baseline"/>
        </w:rPr>
        <w:t>min</w:t>
      </w:r>
      <w:r>
        <w:rPr>
          <w:rFonts w:ascii="Cambria" w:hAnsi="Cambria"/>
          <w:vertAlign w:val="subscript"/>
        </w:rPr>
        <w:t>c</w:t>
      </w:r>
      <w:r>
        <w:rPr>
          <w:rFonts w:ascii="Cambria" w:hAnsi="Cambria"/>
          <w:spacing w:val="-2"/>
          <w:vertAlign w:val="baseline"/>
        </w:rPr>
        <w:t> </w:t>
      </w:r>
      <w:r>
        <w:rPr>
          <w:spacing w:val="-2"/>
          <w:vertAlign w:val="baseline"/>
        </w:rPr>
        <w:t>PnL</w:t>
      </w:r>
      <w:r>
        <w:rPr>
          <w:rFonts w:ascii="Cambria" w:hAnsi="Cambria"/>
          <w:spacing w:val="-2"/>
          <w:vertAlign w:val="subscript"/>
        </w:rPr>
        <w:t>c</w:t>
      </w:r>
      <w:r>
        <w:rPr>
          <w:spacing w:val="-2"/>
          <w:vertAlign w:val="baseline"/>
        </w:rPr>
        <w:t>.</w:t>
      </w:r>
    </w:p>
    <w:p>
      <w:pPr>
        <w:pStyle w:val="BodyText"/>
        <w:spacing w:before="88"/>
        <w:ind w:left="808"/>
      </w:pPr>
      <w:r>
        <w:rPr>
          <w:i/>
        </w:rPr>
        <w:t>PnLc &lt; 0 ∧ ¬liqc}|/|C(w)|; 최악의_close_pnl_score(w) = — minc PnLc.</w:t>
      </w:r>
    </w:p>
    <w:p>
      <w:pPr>
        <w:pStyle w:val="ListParagraph"/>
        <w:numPr>
          <w:ilvl w:val="3"/>
          <w:numId w:val="8"/>
        </w:numPr>
        <w:tabs>
          <w:tab w:pos="806" w:val="left" w:leader="none"/>
          <w:tab w:pos="808" w:val="left" w:leader="none"/>
        </w:tabs>
        <w:spacing w:line="321" w:lineRule="auto" w:before="124" w:after="0"/>
        <w:ind w:left="808" w:right="524" w:hanging="216"/>
        <w:jc w:val="left"/>
        <w:rPr>
          <w:sz w:val="24"/>
        </w:rPr>
      </w:pPr>
      <w:r>
        <w:rPr>
          <w:b/>
          <w:sz w:val="24"/>
        </w:rPr>
        <w:t>Sybil-adjusted</w:t>
      </w:r>
      <w:r>
        <w:rPr>
          <w:b/>
          <w:spacing w:val="20"/>
          <w:sz w:val="24"/>
        </w:rPr>
        <w:t> </w:t>
      </w:r>
      <w:r>
        <w:rPr>
          <w:b/>
          <w:sz w:val="24"/>
        </w:rPr>
        <w:t>stability:</w:t>
      </w:r>
      <w:r>
        <w:rPr>
          <w:b/>
          <w:spacing w:val="40"/>
          <w:sz w:val="24"/>
        </w:rPr>
        <w:t> </w:t>
      </w:r>
      <w:r>
        <w:rPr>
          <w:sz w:val="24"/>
        </w:rPr>
        <w:t>inbound_counterparty_ratio</w:t>
      </w:r>
      <w:r>
        <w:rPr>
          <w:rFonts w:ascii="Calibri" w:hAnsi="Calibri"/>
          <w:sz w:val="24"/>
        </w:rPr>
        <w:t>(</w:t>
      </w:r>
      <w:r>
        <w:rPr>
          <w:rFonts w:ascii="Calibri" w:hAnsi="Calibri"/>
          <w:i/>
          <w:sz w:val="24"/>
        </w:rPr>
        <w:t>w</w:t>
      </w:r>
      <w:r>
        <w:rPr>
          <w:rFonts w:ascii="Calibri" w:hAnsi="Calibri"/>
          <w:sz w:val="24"/>
        </w:rPr>
        <w:t>)</w:t>
      </w:r>
      <w:r>
        <w:rPr>
          <w:rFonts w:ascii="Calibri" w:hAnsi="Calibri"/>
          <w:spacing w:val="37"/>
          <w:w w:val="120"/>
          <w:sz w:val="24"/>
        </w:rPr>
        <w:t> </w:t>
      </w:r>
      <w:r>
        <w:rPr>
          <w:rFonts w:ascii="Calibri" w:hAnsi="Calibri"/>
          <w:w w:val="120"/>
          <w:sz w:val="24"/>
        </w:rPr>
        <w:t>=</w:t>
      </w:r>
      <w:r>
        <w:rPr>
          <w:rFonts w:ascii="Calibri" w:hAnsi="Calibri"/>
          <w:spacing w:val="37"/>
          <w:w w:val="120"/>
          <w:sz w:val="24"/>
        </w:rPr>
        <w:t> </w:t>
      </w:r>
      <w:r>
        <w:rPr>
          <w:rFonts w:ascii="Lucida Sans Unicode" w:hAnsi="Lucida Sans Unicode"/>
          <w:sz w:val="24"/>
        </w:rPr>
        <w:t>|{</w:t>
      </w:r>
      <w:r>
        <w:rPr>
          <w:rFonts w:ascii="Calibri" w:hAnsi="Calibri"/>
          <w:i/>
          <w:sz w:val="24"/>
        </w:rPr>
        <w:t>u</w:t>
      </w:r>
      <w:r>
        <w:rPr>
          <w:rFonts w:ascii="Calibri" w:hAnsi="Calibri"/>
          <w:i/>
          <w:spacing w:val="40"/>
          <w:sz w:val="24"/>
        </w:rPr>
        <w:t> </w:t>
      </w:r>
      <w:r>
        <w:rPr>
          <w:rFonts w:ascii="Calibri" w:hAnsi="Calibri"/>
          <w:sz w:val="24"/>
        </w:rPr>
        <w:t>:</w:t>
      </w:r>
      <w:r>
        <w:rPr>
          <w:rFonts w:ascii="Calibri" w:hAnsi="Calibri"/>
          <w:spacing w:val="40"/>
          <w:sz w:val="24"/>
        </w:rPr>
        <w:t> </w:t>
      </w:r>
      <w:r>
        <w:rPr>
          <w:rFonts w:ascii="Calibri" w:hAnsi="Calibri"/>
          <w:i/>
          <w:sz w:val="24"/>
        </w:rPr>
        <w:t>u</w:t>
      </w:r>
      <w:r>
        <w:rPr>
          <w:rFonts w:ascii="Calibri" w:hAnsi="Calibri"/>
          <w:i/>
          <w:spacing w:val="40"/>
          <w:sz w:val="24"/>
        </w:rPr>
        <w:t> </w:t>
      </w:r>
      <w:r>
        <w:rPr>
          <w:rFonts w:ascii="Lucida Sans Unicode" w:hAnsi="Lucida Sans Unicode"/>
          <w:sz w:val="24"/>
        </w:rPr>
        <w:t>→</w:t>
      </w:r>
      <w:r>
        <w:rPr>
          <w:rFonts w:ascii="Lucida Sans Unicode" w:hAnsi="Lucida Sans Unicode"/>
          <w:spacing w:val="26"/>
          <w:sz w:val="24"/>
        </w:rPr>
        <w:t> </w:t>
      </w:r>
      <w:r>
        <w:rPr>
          <w:rFonts w:ascii="Calibri" w:hAnsi="Calibri"/>
          <w:i/>
          <w:sz w:val="24"/>
        </w:rPr>
        <w:t>w</w:t>
      </w:r>
      <w:r>
        <w:rPr>
          <w:rFonts w:ascii="Lucida Sans Unicode" w:hAnsi="Lucida Sans Unicode"/>
          <w:sz w:val="24"/>
        </w:rPr>
        <w:t>}|</w:t>
      </w:r>
      <w:r>
        <w:rPr>
          <w:rFonts w:ascii="Calibri" w:hAnsi="Calibri"/>
          <w:sz w:val="24"/>
        </w:rPr>
        <w:t>/</w:t>
      </w:r>
      <w:r>
        <w:rPr>
          <w:rFonts w:ascii="Lucida Sans Unicode" w:hAnsi="Lucida Sans Unicode"/>
          <w:sz w:val="24"/>
        </w:rPr>
        <w:t>|</w:t>
      </w:r>
      <w:r>
        <w:rPr>
          <w:rFonts w:ascii="Calibri" w:hAnsi="Calibri"/>
          <w:i/>
          <w:sz w:val="24"/>
        </w:rPr>
        <w:t>T</w:t>
      </w:r>
      <w:r>
        <w:rPr>
          <w:rFonts w:ascii="Calibri" w:hAnsi="Calibri"/>
          <w:i/>
          <w:spacing w:val="-16"/>
          <w:sz w:val="24"/>
        </w:rPr>
        <w:t> </w:t>
      </w:r>
      <w:r>
        <w:rPr>
          <w:sz w:val="24"/>
          <w:vertAlign w:val="superscript"/>
        </w:rPr>
        <w:t>in</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Lucida Sans Unicode" w:hAnsi="Lucida Sans Unicode"/>
          <w:sz w:val="24"/>
          <w:vertAlign w:val="baseline"/>
        </w:rPr>
        <w:t>| </w:t>
      </w:r>
      <w:r>
        <w:rPr>
          <w:sz w:val="24"/>
          <w:vertAlign w:val="baseline"/>
        </w:rPr>
        <w:t>(self-transfers excluded); tenure in days; active months.</w:t>
      </w:r>
    </w:p>
    <w:p>
      <w:pPr>
        <w:pStyle w:val="ListParagraph"/>
        <w:numPr>
          <w:ilvl w:val="3"/>
          <w:numId w:val="8"/>
        </w:numPr>
        <w:tabs>
          <w:tab w:pos="806" w:val="left" w:leader="none"/>
          <w:tab w:pos="808" w:val="left" w:leader="none"/>
        </w:tabs>
        <w:spacing w:line="321" w:lineRule="auto" w:before="124" w:after="0"/>
        <w:ind w:left="808" w:right="524" w:hanging="216"/>
        <w:jc w:val="left"/>
        <w:rPr>
          <w:sz w:val="24"/>
        </w:rPr>
      </w:pPr>
      <w:r>
        <w:rPr>
          <w:i/>
        </w:rPr>
        <w:t>Sybil 조정 안정성: inbound_counterparty_ratio(w) = |{u : u → w}|/|T in(w)| (자체 이전 제외), 재직 기간(일), 활성 개월 수.</w:t>
      </w:r>
    </w:p>
    <w:p>
      <w:pPr>
        <w:pStyle w:val="ListParagraph"/>
        <w:numPr>
          <w:ilvl w:val="3"/>
          <w:numId w:val="8"/>
        </w:numPr>
        <w:tabs>
          <w:tab w:pos="799" w:val="left" w:leader="none"/>
        </w:tabs>
        <w:spacing w:line="342" w:lineRule="exact" w:before="86" w:after="0"/>
        <w:ind w:left="799" w:right="0" w:hanging="206"/>
        <w:jc w:val="left"/>
        <w:rPr>
          <w:rFonts w:ascii="Calibri" w:hAnsi="Calibri"/>
          <w:sz w:val="24"/>
        </w:rPr>
      </w:pPr>
      <w:r>
        <w:rPr>
          <w:b/>
          <w:sz w:val="24"/>
        </w:rPr>
        <w:t>Trading</w:t>
      </w:r>
      <w:r>
        <w:rPr>
          <w:b/>
          <w:spacing w:val="-16"/>
          <w:sz w:val="24"/>
        </w:rPr>
        <w:t> </w:t>
      </w:r>
      <w:r>
        <w:rPr>
          <w:b/>
          <w:sz w:val="24"/>
        </w:rPr>
        <w:t>success:</w:t>
      </w:r>
      <w:r>
        <w:rPr>
          <w:b/>
          <w:spacing w:val="19"/>
          <w:sz w:val="24"/>
        </w:rPr>
        <w:t> </w:t>
      </w:r>
      <w:r>
        <w:rPr>
          <w:sz w:val="24"/>
        </w:rPr>
        <w:t>close_success_count</w:t>
      </w:r>
      <w:r>
        <w:rPr>
          <w:rFonts w:ascii="Calibri" w:hAnsi="Calibri"/>
          <w:sz w:val="24"/>
        </w:rPr>
        <w:t>(</w:t>
      </w:r>
      <w:r>
        <w:rPr>
          <w:rFonts w:ascii="Calibri" w:hAnsi="Calibri"/>
          <w:i/>
          <w:sz w:val="24"/>
        </w:rPr>
        <w:t>w</w:t>
      </w:r>
      <w:r>
        <w:rPr>
          <w:rFonts w:ascii="Calibri" w:hAnsi="Calibri"/>
          <w:sz w:val="24"/>
        </w:rPr>
        <w:t>)</w:t>
      </w:r>
      <w:r>
        <w:rPr>
          <w:rFonts w:ascii="Calibri" w:hAnsi="Calibri"/>
          <w:spacing w:val="21"/>
          <w:sz w:val="24"/>
        </w:rPr>
        <w:t> </w:t>
      </w:r>
      <w:r>
        <w:rPr>
          <w:rFonts w:ascii="Calibri" w:hAnsi="Calibri"/>
          <w:sz w:val="24"/>
        </w:rPr>
        <w:t>=</w:t>
      </w:r>
      <w:r>
        <w:rPr>
          <w:rFonts w:ascii="Calibri" w:hAnsi="Calibri"/>
          <w:spacing w:val="21"/>
          <w:sz w:val="24"/>
        </w:rPr>
        <w:t> </w:t>
      </w:r>
      <w:r>
        <w:rPr>
          <w:rFonts w:ascii="Lucida Sans Unicode" w:hAnsi="Lucida Sans Unicode"/>
          <w:sz w:val="24"/>
        </w:rPr>
        <w:t>|{</w:t>
      </w:r>
      <w:r>
        <w:rPr>
          <w:rFonts w:ascii="Calibri" w:hAnsi="Calibri"/>
          <w:i/>
          <w:sz w:val="24"/>
        </w:rPr>
        <w:t>c</w:t>
      </w:r>
      <w:r>
        <w:rPr>
          <w:rFonts w:ascii="Calibri" w:hAnsi="Calibri"/>
          <w:i/>
          <w:spacing w:val="22"/>
          <w:sz w:val="24"/>
        </w:rPr>
        <w:t> </w:t>
      </w:r>
      <w:r>
        <w:rPr>
          <w:rFonts w:ascii="Calibri" w:hAnsi="Calibri"/>
          <w:sz w:val="24"/>
        </w:rPr>
        <w:t>:</w:t>
      </w:r>
      <w:r>
        <w:rPr>
          <w:rFonts w:ascii="Calibri" w:hAnsi="Calibri"/>
          <w:spacing w:val="21"/>
          <w:sz w:val="24"/>
        </w:rPr>
        <w:t> </w:t>
      </w:r>
      <w:r>
        <w:rPr>
          <w:sz w:val="24"/>
        </w:rPr>
        <w:t>PnL</w:t>
      </w:r>
      <w:r>
        <w:rPr>
          <w:rFonts w:ascii="Cambria" w:hAnsi="Cambria"/>
          <w:sz w:val="24"/>
          <w:vertAlign w:val="subscript"/>
        </w:rPr>
        <w:t>c</w:t>
      </w:r>
      <w:r>
        <w:rPr>
          <w:rFonts w:ascii="Cambria" w:hAnsi="Cambria"/>
          <w:spacing w:val="34"/>
          <w:sz w:val="24"/>
          <w:vertAlign w:val="baseline"/>
        </w:rPr>
        <w:t> </w:t>
      </w:r>
      <w:r>
        <w:rPr>
          <w:rFonts w:ascii="Calibri" w:hAnsi="Calibri"/>
          <w:i/>
          <w:sz w:val="24"/>
          <w:vertAlign w:val="baseline"/>
        </w:rPr>
        <w:t>&gt;</w:t>
      </w:r>
      <w:r>
        <w:rPr>
          <w:rFonts w:ascii="Calibri" w:hAnsi="Calibri"/>
          <w:i/>
          <w:spacing w:val="22"/>
          <w:sz w:val="24"/>
          <w:vertAlign w:val="baseline"/>
        </w:rPr>
        <w:t> </w:t>
      </w:r>
      <w:r>
        <w:rPr>
          <w:rFonts w:ascii="Calibri" w:hAnsi="Calibri"/>
          <w:sz w:val="24"/>
          <w:vertAlign w:val="baseline"/>
        </w:rPr>
        <w:t>0</w:t>
      </w:r>
      <w:r>
        <w:rPr>
          <w:rFonts w:ascii="Lucida Sans Unicode" w:hAnsi="Lucida Sans Unicode"/>
          <w:sz w:val="24"/>
          <w:vertAlign w:val="baseline"/>
        </w:rPr>
        <w:t>∧¬</w:t>
      </w:r>
      <w:r>
        <w:rPr>
          <w:sz w:val="24"/>
          <w:vertAlign w:val="baseline"/>
        </w:rPr>
        <w:t>liq</w:t>
      </w:r>
      <w:r>
        <w:rPr>
          <w:rFonts w:ascii="Cambria" w:hAnsi="Cambria"/>
          <w:position w:val="-5"/>
          <w:sz w:val="16"/>
          <w:vertAlign w:val="baseline"/>
        </w:rPr>
        <w:t>c</w:t>
      </w:r>
      <w:r>
        <w:rPr>
          <w:rFonts w:ascii="Lucida Sans Unicode" w:hAnsi="Lucida Sans Unicode"/>
          <w:sz w:val="24"/>
          <w:vertAlign w:val="baseline"/>
        </w:rPr>
        <w:t>}|</w:t>
      </w:r>
      <w:r>
        <w:rPr>
          <w:sz w:val="24"/>
          <w:vertAlign w:val="baseline"/>
        </w:rPr>
        <w:t>;</w:t>
      </w:r>
      <w:r>
        <w:rPr>
          <w:spacing w:val="-7"/>
          <w:sz w:val="24"/>
          <w:vertAlign w:val="baseline"/>
        </w:rPr>
        <w:t> </w:t>
      </w:r>
      <w:r>
        <w:rPr>
          <w:sz w:val="24"/>
          <w:vertAlign w:val="baseline"/>
        </w:rPr>
        <w:t>realized_gain_proxy</w:t>
      </w:r>
      <w:r>
        <w:rPr>
          <w:rFonts w:ascii="Calibri" w:hAnsi="Calibri"/>
          <w:sz w:val="24"/>
          <w:vertAlign w:val="baseline"/>
        </w:rPr>
        <w:t>(</w:t>
      </w:r>
      <w:r>
        <w:rPr>
          <w:rFonts w:ascii="Calibri" w:hAnsi="Calibri"/>
          <w:i/>
          <w:sz w:val="24"/>
          <w:vertAlign w:val="baseline"/>
        </w:rPr>
        <w:t>w</w:t>
      </w:r>
      <w:r>
        <w:rPr>
          <w:rFonts w:ascii="Calibri" w:hAnsi="Calibri"/>
          <w:sz w:val="24"/>
          <w:vertAlign w:val="baseline"/>
        </w:rPr>
        <w:t>)</w:t>
      </w:r>
      <w:r>
        <w:rPr>
          <w:rFonts w:ascii="Calibri" w:hAnsi="Calibri"/>
          <w:spacing w:val="20"/>
          <w:sz w:val="24"/>
          <w:vertAlign w:val="baseline"/>
        </w:rPr>
        <w:t> </w:t>
      </w:r>
      <w:r>
        <w:rPr>
          <w:rFonts w:ascii="Calibri" w:hAnsi="Calibri"/>
          <w:spacing w:val="-10"/>
          <w:sz w:val="24"/>
          <w:vertAlign w:val="baseline"/>
        </w:rPr>
        <w:t>=</w:t>
      </w:r>
    </w:p>
    <w:p>
      <w:pPr>
        <w:pStyle w:val="ListParagraph"/>
        <w:numPr>
          <w:ilvl w:val="3"/>
          <w:numId w:val="8"/>
        </w:numPr>
        <w:tabs>
          <w:tab w:pos="799" w:val="left" w:leader="none"/>
        </w:tabs>
        <w:spacing w:line="342" w:lineRule="exact" w:before="86" w:after="0"/>
        <w:ind w:left="799" w:right="0" w:hanging="206"/>
        <w:jc w:val="left"/>
        <w:rPr>
          <w:rFonts w:ascii="Calibri" w:hAnsi="Calibri"/>
          <w:sz w:val="24"/>
        </w:rPr>
      </w:pPr>
      <w:r>
        <w:rPr>
          <w:i/>
        </w:rPr>
        <w:t>거래 성공: close_success_count(w) = |{c : PnLc &gt; 0∧¬liqc}|; 실현된_gain_proxy(w) =</w:t>
      </w:r>
    </w:p>
    <w:p>
      <w:pPr>
        <w:pStyle w:val="BodyText"/>
        <w:spacing w:line="483" w:lineRule="exact"/>
        <w:ind w:left="808"/>
      </w:pPr>
      <w:bookmarkStart w:name="Glossary" w:id="341"/>
      <w:bookmarkEnd w:id="341"/>
      <w:r>
        <w:rPr/>
      </w:r>
      <w:bookmarkStart w:name="_bookmark209" w:id="342"/>
      <w:bookmarkEnd w:id="342"/>
      <w:r>
        <w:rPr/>
      </w:r>
      <w:r>
        <w:rPr>
          <w:position w:val="18"/>
        </w:rPr>
        <w:t>Σ</w:t>
      </w:r>
      <w:r>
        <w:rPr>
          <w:rFonts w:ascii="Cambria" w:hAnsi="Cambria"/>
          <w:position w:val="-6"/>
          <w:sz w:val="16"/>
        </w:rPr>
        <w:t>c</w:t>
      </w:r>
      <w:r>
        <w:rPr>
          <w:rFonts w:ascii="Cambria" w:hAnsi="Cambria"/>
          <w:spacing w:val="54"/>
          <w:position w:val="-6"/>
          <w:sz w:val="16"/>
        </w:rPr>
        <w:t> </w:t>
      </w:r>
      <w:r>
        <w:rPr/>
        <w:t>max</w:t>
      </w:r>
      <w:r>
        <w:rPr>
          <w:rFonts w:ascii="Calibri" w:hAnsi="Calibri"/>
        </w:rPr>
        <w:t>(</w:t>
      </w:r>
      <w:r>
        <w:rPr/>
        <w:t>PnL</w:t>
      </w:r>
      <w:r>
        <w:rPr>
          <w:rFonts w:ascii="Cambria" w:hAnsi="Cambria"/>
          <w:vertAlign w:val="subscript"/>
        </w:rPr>
        <w:t>c</w:t>
      </w:r>
      <w:r>
        <w:rPr>
          <w:rFonts w:ascii="Calibri" w:hAnsi="Calibri"/>
          <w:i/>
          <w:vertAlign w:val="baseline"/>
        </w:rPr>
        <w:t>,</w:t>
      </w:r>
      <w:r>
        <w:rPr>
          <w:rFonts w:ascii="Calibri" w:hAnsi="Calibri"/>
          <w:i/>
          <w:spacing w:val="17"/>
          <w:vertAlign w:val="baseline"/>
        </w:rPr>
        <w:t> </w:t>
      </w:r>
      <w:r>
        <w:rPr>
          <w:rFonts w:ascii="Calibri" w:hAnsi="Calibri"/>
          <w:vertAlign w:val="baseline"/>
        </w:rPr>
        <w:t>0)</w:t>
      </w:r>
      <w:r>
        <w:rPr>
          <w:vertAlign w:val="baseline"/>
        </w:rPr>
        <w:t>;</w:t>
      </w:r>
      <w:r>
        <w:rPr>
          <w:spacing w:val="48"/>
          <w:vertAlign w:val="baseline"/>
        </w:rPr>
        <w:t> </w:t>
      </w:r>
      <w:r>
        <w:rPr>
          <w:vertAlign w:val="baseline"/>
        </w:rPr>
        <w:t>close_success_rate</w:t>
      </w:r>
      <w:r>
        <w:rPr>
          <w:rFonts w:ascii="Calibri" w:hAnsi="Calibri"/>
          <w:vertAlign w:val="baseline"/>
        </w:rPr>
        <w:t>(</w:t>
      </w:r>
      <w:r>
        <w:rPr>
          <w:rFonts w:ascii="Calibri" w:hAnsi="Calibri"/>
          <w:i/>
          <w:vertAlign w:val="baseline"/>
        </w:rPr>
        <w:t>w</w:t>
      </w:r>
      <w:r>
        <w:rPr>
          <w:rFonts w:ascii="Calibri" w:hAnsi="Calibri"/>
          <w:vertAlign w:val="baseline"/>
        </w:rPr>
        <w:t>)</w:t>
      </w:r>
      <w:r>
        <w:rPr>
          <w:rFonts w:ascii="Calibri" w:hAnsi="Calibri"/>
          <w:spacing w:val="64"/>
          <w:vertAlign w:val="baseline"/>
        </w:rPr>
        <w:t> </w:t>
      </w:r>
      <w:r>
        <w:rPr>
          <w:rFonts w:ascii="Calibri" w:hAnsi="Calibri"/>
          <w:vertAlign w:val="baseline"/>
        </w:rPr>
        <w:t>=</w:t>
      </w:r>
      <w:r>
        <w:rPr>
          <w:rFonts w:ascii="Calibri" w:hAnsi="Calibri"/>
          <w:spacing w:val="66"/>
          <w:vertAlign w:val="baseline"/>
        </w:rPr>
        <w:t> </w:t>
      </w:r>
      <w:r>
        <w:rPr>
          <w:spacing w:val="-2"/>
          <w:vertAlign w:val="baseline"/>
        </w:rPr>
        <w:t>close_success_count</w:t>
      </w:r>
      <w:r>
        <w:rPr>
          <w:rFonts w:ascii="Calibri" w:hAnsi="Calibri"/>
          <w:spacing w:val="-2"/>
          <w:vertAlign w:val="baseline"/>
        </w:rPr>
        <w:t>(</w:t>
      </w:r>
      <w:r>
        <w:rPr>
          <w:rFonts w:ascii="Calibri" w:hAnsi="Calibri"/>
          <w:i/>
          <w:spacing w:val="-2"/>
          <w:vertAlign w:val="baseline"/>
        </w:rPr>
        <w:t>w</w:t>
      </w:r>
      <w:r>
        <w:rPr>
          <w:rFonts w:ascii="Calibri" w:hAnsi="Calibri"/>
          <w:spacing w:val="-2"/>
          <w:vertAlign w:val="baseline"/>
        </w:rPr>
        <w:t>)/</w:t>
      </w:r>
      <w:r>
        <w:rPr>
          <w:rFonts w:ascii="Lucida Sans Unicode" w:hAnsi="Lucida Sans Unicode"/>
          <w:spacing w:val="-2"/>
          <w:vertAlign w:val="baseline"/>
        </w:rPr>
        <w:t>|C</w:t>
      </w:r>
      <w:r>
        <w:rPr>
          <w:rFonts w:ascii="Calibri" w:hAnsi="Calibri"/>
          <w:spacing w:val="-2"/>
          <w:vertAlign w:val="baseline"/>
        </w:rPr>
        <w:t>(</w:t>
      </w:r>
      <w:r>
        <w:rPr>
          <w:rFonts w:ascii="Calibri" w:hAnsi="Calibri"/>
          <w:i/>
          <w:spacing w:val="-2"/>
          <w:vertAlign w:val="baseline"/>
        </w:rPr>
        <w:t>w</w:t>
      </w:r>
      <w:r>
        <w:rPr>
          <w:rFonts w:ascii="Calibri" w:hAnsi="Calibri"/>
          <w:spacing w:val="-2"/>
          <w:vertAlign w:val="baseline"/>
        </w:rPr>
        <w:t>)</w:t>
      </w:r>
      <w:r>
        <w:rPr>
          <w:rFonts w:ascii="Lucida Sans Unicode" w:hAnsi="Lucida Sans Unicode"/>
          <w:spacing w:val="-2"/>
          <w:vertAlign w:val="baseline"/>
        </w:rPr>
        <w:t>|</w:t>
      </w:r>
      <w:r>
        <w:rPr>
          <w:spacing w:val="-2"/>
          <w:vertAlign w:val="baseline"/>
        </w:rPr>
        <w:t>.</w:t>
      </w:r>
    </w:p>
    <w:p>
      <w:pPr>
        <w:pStyle w:val="BodyText"/>
        <w:spacing w:line="483" w:lineRule="exact"/>
        <w:ind w:left="808"/>
      </w:pPr>
      <w:r>
        <w:rPr>
          <w:i/>
        </w:rPr>
        <w:t>Σc max(PnLc, 0); close_success_rate(w) = close_success_count(w)/|C(w)|.</w:t>
      </w:r>
    </w:p>
    <w:p>
      <w:pPr>
        <w:pStyle w:val="BodyText"/>
        <w:spacing w:before="131"/>
      </w:pPr>
    </w:p>
    <w:p>
      <w:pPr>
        <w:pStyle w:val="Heading4"/>
        <w:numPr>
          <w:ilvl w:val="2"/>
          <w:numId w:val="8"/>
        </w:numPr>
        <w:tabs>
          <w:tab w:pos="879" w:val="left" w:leader="none"/>
        </w:tabs>
        <w:spacing w:line="240" w:lineRule="auto" w:before="0" w:after="0"/>
        <w:ind w:left="879" w:right="0" w:hanging="597"/>
        <w:jc w:val="left"/>
      </w:pPr>
      <w:r>
        <w:rPr>
          <w:spacing w:val="-2"/>
        </w:rPr>
        <w:t>Glossary</w:t>
      </w:r>
    </w:p>
    <w:p>
      <w:pPr>
        <w:pStyle w:val="Heading4"/>
        <w:numPr>
          <w:ilvl w:val="2"/>
          <w:numId w:val="8"/>
        </w:numPr>
        <w:tabs>
          <w:tab w:pos="879" w:val="left" w:leader="none"/>
        </w:tabs>
        <w:spacing w:line="240" w:lineRule="auto" w:before="0" w:after="0"/>
        <w:ind w:left="879" w:right="0" w:hanging="597"/>
        <w:jc w:val="left"/>
      </w:pPr>
      <w:r>
        <w:rPr>
          <w:i/>
        </w:rPr>
        <w:t>어휘</w:t>
      </w:r>
    </w:p>
    <w:p>
      <w:pPr>
        <w:pStyle w:val="BodyText"/>
        <w:spacing w:before="47"/>
        <w:rPr>
          <w:b/>
        </w:rPr>
      </w:pPr>
    </w:p>
    <w:p>
      <w:pPr>
        <w:pStyle w:val="BodyText"/>
        <w:ind w:left="282"/>
      </w:pPr>
      <w:r>
        <w:rPr>
          <w:b/>
        </w:rPr>
        <w:t>Allowance</w:t>
      </w:r>
      <w:r>
        <w:rPr>
          <w:b/>
          <w:spacing w:val="48"/>
        </w:rPr>
        <w:t> </w:t>
      </w:r>
      <w:r>
        <w:rPr/>
        <w:t>ERC-20</w:t>
      </w:r>
      <w:r>
        <w:rPr>
          <w:spacing w:val="-7"/>
        </w:rPr>
        <w:t> </w:t>
      </w:r>
      <w:r>
        <w:rPr/>
        <w:t>authorization</w:t>
      </w:r>
      <w:r>
        <w:rPr>
          <w:spacing w:val="-6"/>
        </w:rPr>
        <w:t> </w:t>
      </w:r>
      <w:r>
        <w:rPr/>
        <w:t>for</w:t>
      </w:r>
      <w:r>
        <w:rPr>
          <w:spacing w:val="-7"/>
        </w:rPr>
        <w:t> </w:t>
      </w:r>
      <w:r>
        <w:rPr/>
        <w:t>a</w:t>
      </w:r>
      <w:r>
        <w:rPr>
          <w:spacing w:val="-6"/>
        </w:rPr>
        <w:t> </w:t>
      </w:r>
      <w:r>
        <w:rPr/>
        <w:t>spender</w:t>
      </w:r>
      <w:r>
        <w:rPr>
          <w:spacing w:val="-6"/>
        </w:rPr>
        <w:t> </w:t>
      </w:r>
      <w:r>
        <w:rPr/>
        <w:t>to</w:t>
      </w:r>
      <w:r>
        <w:rPr>
          <w:spacing w:val="-7"/>
        </w:rPr>
        <w:t> </w:t>
      </w:r>
      <w:r>
        <w:rPr/>
        <w:t>transfer</w:t>
      </w:r>
      <w:r>
        <w:rPr>
          <w:spacing w:val="-6"/>
        </w:rPr>
        <w:t> </w:t>
      </w:r>
      <w:r>
        <w:rPr/>
        <w:t>tokens</w:t>
      </w:r>
      <w:r>
        <w:rPr>
          <w:spacing w:val="-7"/>
        </w:rPr>
        <w:t> </w:t>
      </w:r>
      <w:r>
        <w:rPr/>
        <w:t>on</w:t>
      </w:r>
      <w:r>
        <w:rPr>
          <w:spacing w:val="-6"/>
        </w:rPr>
        <w:t> </w:t>
      </w:r>
      <w:r>
        <w:rPr/>
        <w:t>behalf</w:t>
      </w:r>
      <w:r>
        <w:rPr>
          <w:spacing w:val="-6"/>
        </w:rPr>
        <w:t> </w:t>
      </w:r>
      <w:r>
        <w:rPr/>
        <w:t>of</w:t>
      </w:r>
      <w:r>
        <w:rPr>
          <w:spacing w:val="-7"/>
        </w:rPr>
        <w:t> </w:t>
      </w:r>
      <w:r>
        <w:rPr/>
        <w:t>an</w:t>
      </w:r>
      <w:r>
        <w:rPr>
          <w:spacing w:val="-6"/>
        </w:rPr>
        <w:t> </w:t>
      </w:r>
      <w:r>
        <w:rPr>
          <w:spacing w:val="-2"/>
        </w:rPr>
        <w:t>owner.</w:t>
      </w:r>
    </w:p>
    <w:p>
      <w:pPr>
        <w:pStyle w:val="BodyText"/>
        <w:ind w:left="282"/>
      </w:pPr>
      <w:r>
        <w:rPr>
          <w:i/>
        </w:rPr>
        <w:t>소유자를 대신하여 지출자가 토큰을 전송할 수 있는 허용량 ERC-20 권한입니다.</w:t>
      </w:r>
    </w:p>
    <w:p>
      <w:pPr>
        <w:pStyle w:val="BodyText"/>
        <w:spacing w:before="99"/>
      </w:pPr>
    </w:p>
    <w:p>
      <w:pPr>
        <w:pStyle w:val="BodyText"/>
        <w:ind w:left="282"/>
      </w:pPr>
      <w:r>
        <w:rPr>
          <w:b/>
        </w:rPr>
        <w:t>Alignment</w:t>
      </w:r>
      <w:r>
        <w:rPr>
          <w:b/>
          <w:spacing w:val="45"/>
        </w:rPr>
        <w:t> </w:t>
      </w:r>
      <w:r>
        <w:rPr/>
        <w:t>Rank</w:t>
      </w:r>
      <w:r>
        <w:rPr>
          <w:spacing w:val="-7"/>
        </w:rPr>
        <w:t> </w:t>
      </w:r>
      <w:r>
        <w:rPr/>
        <w:t>agreement</w:t>
      </w:r>
      <w:r>
        <w:rPr>
          <w:spacing w:val="-7"/>
        </w:rPr>
        <w:t> </w:t>
      </w:r>
      <w:r>
        <w:rPr/>
        <w:t>between</w:t>
      </w:r>
      <w:r>
        <w:rPr>
          <w:spacing w:val="-7"/>
        </w:rPr>
        <w:t> </w:t>
      </w:r>
      <w:r>
        <w:rPr/>
        <w:t>reputation</w:t>
      </w:r>
      <w:r>
        <w:rPr>
          <w:spacing w:val="-6"/>
        </w:rPr>
        <w:t> </w:t>
      </w:r>
      <w:r>
        <w:rPr/>
        <w:t>scores</w:t>
      </w:r>
      <w:r>
        <w:rPr>
          <w:spacing w:val="-7"/>
        </w:rPr>
        <w:t> </w:t>
      </w:r>
      <w:r>
        <w:rPr/>
        <w:t>and</w:t>
      </w:r>
      <w:r>
        <w:rPr>
          <w:spacing w:val="-7"/>
        </w:rPr>
        <w:t> </w:t>
      </w:r>
      <w:r>
        <w:rPr/>
        <w:t>a</w:t>
      </w:r>
      <w:r>
        <w:rPr>
          <w:spacing w:val="-6"/>
        </w:rPr>
        <w:t> </w:t>
      </w:r>
      <w:r>
        <w:rPr/>
        <w:t>validation</w:t>
      </w:r>
      <w:r>
        <w:rPr>
          <w:spacing w:val="-7"/>
        </w:rPr>
        <w:t> </w:t>
      </w:r>
      <w:r>
        <w:rPr/>
        <w:t>proxy</w:t>
      </w:r>
      <w:r>
        <w:rPr>
          <w:spacing w:val="-7"/>
        </w:rPr>
        <w:t> </w:t>
      </w:r>
      <w:r>
        <w:rPr/>
        <w:t>(</w:t>
      </w:r>
      <w:r>
        <w:rPr>
          <w:rFonts w:ascii="Calibri" w:hAnsi="Calibri"/>
          <w:i/>
        </w:rPr>
        <w:t>ρ</w:t>
      </w:r>
      <w:r>
        <w:rPr/>
        <w:t>,</w:t>
      </w:r>
      <w:r>
        <w:rPr>
          <w:spacing w:val="-6"/>
        </w:rPr>
        <w:t> </w:t>
      </w:r>
      <w:r>
        <w:rPr>
          <w:rFonts w:ascii="Calibri" w:hAnsi="Calibri"/>
          <w:i/>
        </w:rPr>
        <w:t>τ</w:t>
      </w:r>
      <w:r>
        <w:rPr>
          <w:rFonts w:ascii="Calibri" w:hAnsi="Calibri"/>
          <w:i/>
          <w:spacing w:val="-28"/>
        </w:rPr>
        <w:t> </w:t>
      </w:r>
      <w:r>
        <w:rPr>
          <w:spacing w:val="-5"/>
        </w:rPr>
        <w:t>).</w:t>
      </w:r>
    </w:p>
    <w:p>
      <w:pPr>
        <w:pStyle w:val="BodyText"/>
        <w:ind w:left="282"/>
      </w:pPr>
      <w:r>
        <w:rPr>
          <w:i/>
        </w:rPr>
        <w:t>평판 점수와 검증 프록시(ρ, τ) 간의 정렬 순위 일치.</w:t>
      </w:r>
    </w:p>
    <w:p>
      <w:pPr>
        <w:pStyle w:val="BodyText"/>
        <w:spacing w:before="91"/>
      </w:pPr>
    </w:p>
    <w:p>
      <w:pPr>
        <w:pStyle w:val="BodyText"/>
        <w:spacing w:before="1"/>
        <w:ind w:left="282"/>
      </w:pPr>
      <w:r>
        <w:rPr>
          <w:b/>
          <w:spacing w:val="-2"/>
        </w:rPr>
        <w:t>Construct</w:t>
      </w:r>
      <w:r>
        <w:rPr>
          <w:b/>
          <w:spacing w:val="2"/>
        </w:rPr>
        <w:t> </w:t>
      </w:r>
      <w:r>
        <w:rPr>
          <w:b/>
          <w:spacing w:val="-2"/>
        </w:rPr>
        <w:t>overlap</w:t>
      </w:r>
      <w:r>
        <w:rPr>
          <w:b/>
          <w:spacing w:val="68"/>
        </w:rPr>
        <w:t> </w:t>
      </w:r>
      <w:r>
        <w:rPr>
          <w:spacing w:val="-2"/>
        </w:rPr>
        <w:t>Shared</w:t>
      </w:r>
      <w:r>
        <w:rPr>
          <w:spacing w:val="-12"/>
        </w:rPr>
        <w:t> </w:t>
      </w:r>
      <w:r>
        <w:rPr>
          <w:spacing w:val="-2"/>
        </w:rPr>
        <w:t>data</w:t>
      </w:r>
      <w:r>
        <w:rPr>
          <w:spacing w:val="-11"/>
        </w:rPr>
        <w:t> </w:t>
      </w:r>
      <w:r>
        <w:rPr>
          <w:spacing w:val="-2"/>
        </w:rPr>
        <w:t>source</w:t>
      </w:r>
      <w:r>
        <w:rPr>
          <w:spacing w:val="-11"/>
        </w:rPr>
        <w:t> </w:t>
      </w:r>
      <w:r>
        <w:rPr>
          <w:spacing w:val="-2"/>
        </w:rPr>
        <w:t>between</w:t>
      </w:r>
      <w:r>
        <w:rPr>
          <w:spacing w:val="-11"/>
        </w:rPr>
        <w:t> </w:t>
      </w:r>
      <w:r>
        <w:rPr>
          <w:spacing w:val="-2"/>
        </w:rPr>
        <w:t>a</w:t>
      </w:r>
      <w:r>
        <w:rPr>
          <w:spacing w:val="-11"/>
        </w:rPr>
        <w:t> </w:t>
      </w:r>
      <w:r>
        <w:rPr>
          <w:spacing w:val="-2"/>
        </w:rPr>
        <w:t>ranking</w:t>
      </w:r>
      <w:r>
        <w:rPr>
          <w:spacing w:val="-11"/>
        </w:rPr>
        <w:t> </w:t>
      </w:r>
      <w:r>
        <w:rPr>
          <w:spacing w:val="-2"/>
        </w:rPr>
        <w:t>method</w:t>
      </w:r>
      <w:r>
        <w:rPr>
          <w:spacing w:val="-11"/>
        </w:rPr>
        <w:t> </w:t>
      </w:r>
      <w:r>
        <w:rPr>
          <w:spacing w:val="-2"/>
        </w:rPr>
        <w:t>and</w:t>
      </w:r>
      <w:r>
        <w:rPr>
          <w:spacing w:val="-11"/>
        </w:rPr>
        <w:t> </w:t>
      </w:r>
      <w:r>
        <w:rPr>
          <w:spacing w:val="-2"/>
        </w:rPr>
        <w:t>a</w:t>
      </w:r>
      <w:r>
        <w:rPr>
          <w:spacing w:val="-11"/>
        </w:rPr>
        <w:t> </w:t>
      </w:r>
      <w:r>
        <w:rPr>
          <w:spacing w:val="-2"/>
        </w:rPr>
        <w:t>proxy,</w:t>
      </w:r>
      <w:r>
        <w:rPr>
          <w:spacing w:val="-9"/>
        </w:rPr>
        <w:t> </w:t>
      </w:r>
      <w:r>
        <w:rPr>
          <w:spacing w:val="-2"/>
        </w:rPr>
        <w:t>inflating</w:t>
      </w:r>
      <w:r>
        <w:rPr>
          <w:spacing w:val="-11"/>
        </w:rPr>
        <w:t> </w:t>
      </w:r>
      <w:r>
        <w:rPr>
          <w:spacing w:val="-2"/>
        </w:rPr>
        <w:t>alignment.</w:t>
      </w:r>
    </w:p>
    <w:p>
      <w:pPr>
        <w:pStyle w:val="BodyText"/>
        <w:spacing w:before="1"/>
        <w:ind w:left="282"/>
      </w:pPr>
      <w:r>
        <w:rPr>
          <w:i/>
        </w:rPr>
        <w:t>순위 방법과 프록시 간의 중첩 공유 데이터 소스를 구성하여 정렬을 확장합니다.</w:t>
      </w:r>
    </w:p>
    <w:p>
      <w:pPr>
        <w:pStyle w:val="BodyText"/>
        <w:spacing w:before="103"/>
      </w:pPr>
    </w:p>
    <w:p>
      <w:pPr>
        <w:spacing w:line="552" w:lineRule="auto" w:before="0"/>
        <w:ind w:left="282" w:right="2220" w:firstLine="0"/>
        <w:jc w:val="both"/>
        <w:rPr>
          <w:sz w:val="24"/>
        </w:rPr>
      </w:pPr>
      <w:r>
        <w:rPr>
          <w:b/>
          <w:sz w:val="24"/>
        </w:rPr>
        <w:t>Endorsement</w:t>
      </w:r>
      <w:r>
        <w:rPr>
          <w:b/>
          <w:spacing w:val="-2"/>
          <w:sz w:val="24"/>
        </w:rPr>
        <w:t> </w:t>
      </w:r>
      <w:r>
        <w:rPr>
          <w:b/>
          <w:sz w:val="24"/>
        </w:rPr>
        <w:t>graph</w:t>
      </w:r>
      <w:r>
        <w:rPr>
          <w:b/>
          <w:spacing w:val="40"/>
          <w:sz w:val="24"/>
        </w:rPr>
        <w:t> </w:t>
      </w:r>
      <w:r>
        <w:rPr>
          <w:sz w:val="24"/>
        </w:rPr>
        <w:t>Directed</w:t>
      </w:r>
      <w:r>
        <w:rPr>
          <w:spacing w:val="-2"/>
          <w:sz w:val="24"/>
        </w:rPr>
        <w:t> </w:t>
      </w:r>
      <w:r>
        <w:rPr>
          <w:sz w:val="24"/>
        </w:rPr>
        <w:t>graph</w:t>
      </w:r>
      <w:r>
        <w:rPr>
          <w:spacing w:val="-2"/>
          <w:sz w:val="24"/>
        </w:rPr>
        <w:t> </w:t>
      </w:r>
      <w:r>
        <w:rPr>
          <w:sz w:val="24"/>
        </w:rPr>
        <w:t>of</w:t>
      </w:r>
      <w:r>
        <w:rPr>
          <w:spacing w:val="-2"/>
          <w:sz w:val="24"/>
        </w:rPr>
        <w:t> </w:t>
      </w:r>
      <w:r>
        <w:rPr>
          <w:sz w:val="24"/>
        </w:rPr>
        <w:t>latest</w:t>
      </w:r>
      <w:r>
        <w:rPr>
          <w:spacing w:val="-2"/>
          <w:sz w:val="24"/>
        </w:rPr>
        <w:t> </w:t>
      </w:r>
      <w:r>
        <w:rPr>
          <w:sz w:val="24"/>
        </w:rPr>
        <w:t>allowances</w:t>
      </w:r>
      <w:r>
        <w:rPr>
          <w:spacing w:val="-2"/>
          <w:sz w:val="24"/>
        </w:rPr>
        <w:t> </w:t>
      </w:r>
      <w:r>
        <w:rPr>
          <w:sz w:val="24"/>
        </w:rPr>
        <w:t>(EndorseRank</w:t>
      </w:r>
      <w:r>
        <w:rPr>
          <w:spacing w:val="-2"/>
          <w:sz w:val="24"/>
        </w:rPr>
        <w:t> </w:t>
      </w:r>
      <w:r>
        <w:rPr>
          <w:sz w:val="24"/>
        </w:rPr>
        <w:t>input). </w:t>
      </w:r>
      <w:r>
        <w:rPr>
          <w:b/>
          <w:sz w:val="24"/>
        </w:rPr>
        <w:t>Matched cohort</w:t>
      </w:r>
      <w:r>
        <w:rPr>
          <w:b/>
          <w:spacing w:val="40"/>
          <w:sz w:val="24"/>
        </w:rPr>
        <w:t> </w:t>
      </w:r>
      <w:r>
        <w:rPr>
          <w:sz w:val="24"/>
        </w:rPr>
        <w:t>Primary sample of </w:t>
      </w:r>
      <w:r>
        <w:rPr>
          <w:rFonts w:ascii="Calibri"/>
          <w:i/>
          <w:sz w:val="24"/>
        </w:rPr>
        <w:t>n </w:t>
      </w:r>
      <w:r>
        <w:rPr>
          <w:rFonts w:ascii="Calibri"/>
          <w:sz w:val="24"/>
        </w:rPr>
        <w:t>= 5</w:t>
      </w:r>
      <w:r>
        <w:rPr>
          <w:rFonts w:ascii="Calibri"/>
          <w:i/>
          <w:sz w:val="24"/>
        </w:rPr>
        <w:t>,</w:t>
      </w:r>
      <w:r>
        <w:rPr>
          <w:rFonts w:ascii="Calibri"/>
          <w:sz w:val="24"/>
        </w:rPr>
        <w:t>521 </w:t>
      </w:r>
      <w:r>
        <w:rPr>
          <w:sz w:val="24"/>
        </w:rPr>
        <w:t>wallets meeting eligibility rules. </w:t>
      </w:r>
      <w:r>
        <w:rPr>
          <w:b/>
          <w:w w:val="105"/>
          <w:sz w:val="24"/>
        </w:rPr>
        <w:t>Expanded</w:t>
      </w:r>
      <w:r>
        <w:rPr>
          <w:b/>
          <w:spacing w:val="-16"/>
          <w:w w:val="105"/>
          <w:sz w:val="24"/>
        </w:rPr>
        <w:t> </w:t>
      </w:r>
      <w:r>
        <w:rPr>
          <w:b/>
          <w:w w:val="105"/>
          <w:sz w:val="24"/>
        </w:rPr>
        <w:t>wallet</w:t>
      </w:r>
      <w:r>
        <w:rPr>
          <w:b/>
          <w:spacing w:val="-16"/>
          <w:w w:val="105"/>
          <w:sz w:val="24"/>
        </w:rPr>
        <w:t> </w:t>
      </w:r>
      <w:r>
        <w:rPr>
          <w:b/>
          <w:w w:val="105"/>
          <w:sz w:val="24"/>
        </w:rPr>
        <w:t>pool</w:t>
      </w:r>
      <w:r>
        <w:rPr>
          <w:b/>
          <w:spacing w:val="27"/>
          <w:w w:val="105"/>
          <w:sz w:val="24"/>
        </w:rPr>
        <w:t> </w:t>
      </w:r>
      <w:r>
        <w:rPr>
          <w:w w:val="105"/>
          <w:sz w:val="24"/>
        </w:rPr>
        <w:t>Larger</w:t>
      </w:r>
      <w:r>
        <w:rPr>
          <w:spacing w:val="-16"/>
          <w:w w:val="105"/>
          <w:sz w:val="24"/>
        </w:rPr>
        <w:t> </w:t>
      </w:r>
      <w:r>
        <w:rPr>
          <w:w w:val="105"/>
          <w:sz w:val="24"/>
        </w:rPr>
        <w:t>address</w:t>
      </w:r>
      <w:r>
        <w:rPr>
          <w:spacing w:val="-16"/>
          <w:w w:val="105"/>
          <w:sz w:val="24"/>
        </w:rPr>
        <w:t> </w:t>
      </w:r>
      <w:r>
        <w:rPr>
          <w:w w:val="105"/>
          <w:sz w:val="24"/>
        </w:rPr>
        <w:t>set</w:t>
      </w:r>
      <w:r>
        <w:rPr>
          <w:spacing w:val="-16"/>
          <w:w w:val="105"/>
          <w:sz w:val="24"/>
        </w:rPr>
        <w:t> </w:t>
      </w:r>
      <w:r>
        <w:rPr>
          <w:w w:val="105"/>
          <w:sz w:val="24"/>
        </w:rPr>
        <w:t>(</w:t>
      </w:r>
      <w:r>
        <w:rPr>
          <w:rFonts w:ascii="Calibri"/>
          <w:i/>
          <w:w w:val="105"/>
          <w:sz w:val="24"/>
        </w:rPr>
        <w:t>N</w:t>
      </w:r>
      <w:r>
        <w:rPr>
          <w:rFonts w:ascii="Calibri"/>
          <w:i/>
          <w:spacing w:val="4"/>
          <w:w w:val="125"/>
          <w:sz w:val="24"/>
        </w:rPr>
        <w:t> </w:t>
      </w:r>
      <w:r>
        <w:rPr>
          <w:rFonts w:ascii="Calibri"/>
          <w:w w:val="125"/>
          <w:sz w:val="24"/>
        </w:rPr>
        <w:t>=</w:t>
      </w:r>
      <w:r>
        <w:rPr>
          <w:rFonts w:ascii="Calibri"/>
          <w:spacing w:val="-17"/>
          <w:w w:val="125"/>
          <w:sz w:val="24"/>
        </w:rPr>
        <w:t> </w:t>
      </w:r>
      <w:r>
        <w:rPr>
          <w:rFonts w:ascii="Calibri"/>
          <w:w w:val="105"/>
          <w:sz w:val="24"/>
        </w:rPr>
        <w:t>31</w:t>
      </w:r>
      <w:r>
        <w:rPr>
          <w:rFonts w:ascii="Calibri"/>
          <w:i/>
          <w:w w:val="105"/>
          <w:sz w:val="24"/>
        </w:rPr>
        <w:t>,</w:t>
      </w:r>
      <w:r>
        <w:rPr>
          <w:rFonts w:ascii="Calibri"/>
          <w:w w:val="105"/>
          <w:sz w:val="24"/>
        </w:rPr>
        <w:t>612</w:t>
      </w:r>
      <w:r>
        <w:rPr>
          <w:w w:val="105"/>
          <w:sz w:val="24"/>
        </w:rPr>
        <w:t>)</w:t>
      </w:r>
      <w:r>
        <w:rPr>
          <w:spacing w:val="-16"/>
          <w:w w:val="105"/>
          <w:sz w:val="24"/>
        </w:rPr>
        <w:t> </w:t>
      </w:r>
      <w:r>
        <w:rPr>
          <w:w w:val="105"/>
          <w:sz w:val="24"/>
        </w:rPr>
        <w:t>for</w:t>
      </w:r>
      <w:r>
        <w:rPr>
          <w:spacing w:val="-16"/>
          <w:w w:val="105"/>
          <w:sz w:val="24"/>
        </w:rPr>
        <w:t> </w:t>
      </w:r>
      <w:r>
        <w:rPr>
          <w:w w:val="105"/>
          <w:sz w:val="24"/>
        </w:rPr>
        <w:t>runtime</w:t>
      </w:r>
      <w:r>
        <w:rPr>
          <w:spacing w:val="-16"/>
          <w:w w:val="105"/>
          <w:sz w:val="24"/>
        </w:rPr>
        <w:t> </w:t>
      </w:r>
      <w:r>
        <w:rPr>
          <w:w w:val="105"/>
          <w:sz w:val="24"/>
        </w:rPr>
        <w:t>scaling.</w:t>
      </w:r>
    </w:p>
    <w:p>
      <w:pPr>
        <w:spacing w:line="552" w:lineRule="auto" w:before="0"/>
        <w:ind w:left="282" w:right="2220" w:firstLine="0"/>
        <w:jc w:val="both"/>
        <w:rPr>
          <w:sz w:val="24"/>
        </w:rPr>
      </w:pPr>
      <w:r>
        <w:rPr>
          <w:i/>
        </w:rPr>
        <w:t>보증 그래프 최신 수당의 방향 그래프(EndorseRank 입력). 일치하는 코호트 자격 규칙을 충족하는 n = 5,521개 지갑의 기본 샘플입니다. 확장된 지갑 풀 런타임 확장을 위해 더 큰 주소 세트(N = 31,612).</w:t>
      </w:r>
    </w:p>
    <w:p>
      <w:pPr>
        <w:pStyle w:val="BodyText"/>
        <w:spacing w:line="261" w:lineRule="exact"/>
        <w:ind w:left="282"/>
        <w:jc w:val="both"/>
      </w:pPr>
      <w:r>
        <w:rPr>
          <w:b/>
        </w:rPr>
        <w:t>PageRank</w:t>
      </w:r>
      <w:r>
        <w:rPr>
          <w:b/>
          <w:spacing w:val="45"/>
        </w:rPr>
        <w:t> </w:t>
      </w:r>
      <w:r>
        <w:rPr/>
        <w:t>Spectral</w:t>
      </w:r>
      <w:r>
        <w:rPr>
          <w:spacing w:val="-8"/>
        </w:rPr>
        <w:t> </w:t>
      </w:r>
      <w:r>
        <w:rPr/>
        <w:t>ranking</w:t>
      </w:r>
      <w:r>
        <w:rPr>
          <w:spacing w:val="-7"/>
        </w:rPr>
        <w:t> </w:t>
      </w:r>
      <w:r>
        <w:rPr/>
        <w:t>by</w:t>
      </w:r>
      <w:r>
        <w:rPr>
          <w:spacing w:val="-8"/>
        </w:rPr>
        <w:t> </w:t>
      </w:r>
      <w:r>
        <w:rPr/>
        <w:t>stationary</w:t>
      </w:r>
      <w:r>
        <w:rPr>
          <w:spacing w:val="-8"/>
        </w:rPr>
        <w:t> </w:t>
      </w:r>
      <w:r>
        <w:rPr/>
        <w:t>distribution</w:t>
      </w:r>
      <w:r>
        <w:rPr>
          <w:spacing w:val="-7"/>
        </w:rPr>
        <w:t> </w:t>
      </w:r>
      <w:r>
        <w:rPr/>
        <w:t>of</w:t>
      </w:r>
      <w:r>
        <w:rPr>
          <w:spacing w:val="-8"/>
        </w:rPr>
        <w:t> </w:t>
      </w:r>
      <w:r>
        <w:rPr/>
        <w:t>a</w:t>
      </w:r>
      <w:r>
        <w:rPr>
          <w:spacing w:val="-8"/>
        </w:rPr>
        <w:t> </w:t>
      </w:r>
      <w:r>
        <w:rPr/>
        <w:t>damped</w:t>
      </w:r>
      <w:r>
        <w:rPr>
          <w:spacing w:val="-7"/>
        </w:rPr>
        <w:t> </w:t>
      </w:r>
      <w:r>
        <w:rPr/>
        <w:t>random</w:t>
      </w:r>
      <w:r>
        <w:rPr>
          <w:spacing w:val="-8"/>
        </w:rPr>
        <w:t> </w:t>
      </w:r>
      <w:r>
        <w:rPr>
          <w:spacing w:val="-2"/>
        </w:rPr>
        <w:t>walk.</w:t>
      </w:r>
    </w:p>
    <w:p>
      <w:pPr>
        <w:pStyle w:val="BodyText"/>
        <w:spacing w:line="261" w:lineRule="exact"/>
        <w:ind w:left="282"/>
        <w:jc w:val="both"/>
      </w:pPr>
      <w:r>
        <w:rPr>
          <w:i/>
        </w:rPr>
        <w:t>PageRank 감쇠된 무작위 보행의 고정 분포에 따른 스펙트럼 순위.</w:t>
      </w:r>
    </w:p>
    <w:p>
      <w:pPr>
        <w:pStyle w:val="BodyText"/>
        <w:spacing w:after="0" w:line="261" w:lineRule="exact"/>
        <w:jc w:val="both"/>
        <w:sectPr>
          <w:pgSz w:w="11910" w:h="16840"/>
          <w:pgMar w:header="0" w:footer="2115" w:top="1800" w:bottom="2300" w:left="992" w:right="708"/>
        </w:sectPr>
      </w:pPr>
    </w:p>
    <w:p>
      <w:pPr>
        <w:pStyle w:val="BodyText"/>
        <w:spacing w:before="72"/>
        <w:ind w:left="282"/>
      </w:pPr>
      <w:r>
        <w:rPr>
          <w:b/>
        </w:rPr>
        <w:t>Proxy</w:t>
      </w:r>
      <w:r>
        <w:rPr>
          <w:b/>
          <w:spacing w:val="44"/>
        </w:rPr>
        <w:t> </w:t>
      </w:r>
      <w:r>
        <w:rPr/>
        <w:t>Observable</w:t>
      </w:r>
      <w:r>
        <w:rPr>
          <w:spacing w:val="-8"/>
        </w:rPr>
        <w:t> </w:t>
      </w:r>
      <w:r>
        <w:rPr/>
        <w:t>wallet</w:t>
      </w:r>
      <w:r>
        <w:rPr>
          <w:spacing w:val="-8"/>
        </w:rPr>
        <w:t> </w:t>
      </w:r>
      <w:r>
        <w:rPr/>
        <w:t>metric</w:t>
      </w:r>
      <w:r>
        <w:rPr>
          <w:spacing w:val="-8"/>
        </w:rPr>
        <w:t> </w:t>
      </w:r>
      <w:r>
        <w:rPr/>
        <w:t>used</w:t>
      </w:r>
      <w:r>
        <w:rPr>
          <w:spacing w:val="-9"/>
        </w:rPr>
        <w:t> </w:t>
      </w:r>
      <w:r>
        <w:rPr/>
        <w:t>for</w:t>
      </w:r>
      <w:r>
        <w:rPr>
          <w:spacing w:val="-8"/>
        </w:rPr>
        <w:t> </w:t>
      </w:r>
      <w:r>
        <w:rPr/>
        <w:t>domain-intuition</w:t>
      </w:r>
      <w:r>
        <w:rPr>
          <w:spacing w:val="-8"/>
        </w:rPr>
        <w:t> </w:t>
      </w:r>
      <w:r>
        <w:rPr>
          <w:spacing w:val="-2"/>
        </w:rPr>
        <w:t>validation.</w:t>
      </w:r>
    </w:p>
    <w:p>
      <w:pPr>
        <w:pStyle w:val="BodyText"/>
        <w:spacing w:before="72"/>
        <w:ind w:left="282"/>
      </w:pPr>
      <w:r>
        <w:rPr>
          <w:i/>
        </w:rPr>
        <w:t>도메인 직관 검증에 사용되는 프록시 관찰 가능 지갑 지표입니다.</w:t>
      </w:r>
    </w:p>
    <w:p>
      <w:pPr>
        <w:pStyle w:val="BodyText"/>
        <w:spacing w:before="65"/>
      </w:pPr>
    </w:p>
    <w:p>
      <w:pPr>
        <w:pStyle w:val="BodyText"/>
        <w:ind w:left="282"/>
      </w:pPr>
      <w:r>
        <w:rPr>
          <w:b/>
        </w:rPr>
        <w:t>Teleport</w:t>
      </w:r>
      <w:r>
        <w:rPr>
          <w:b/>
          <w:spacing w:val="20"/>
        </w:rPr>
        <w:t> </w:t>
      </w:r>
      <w:r>
        <w:rPr/>
        <w:t>Uniform</w:t>
      </w:r>
      <w:r>
        <w:rPr>
          <w:spacing w:val="-15"/>
        </w:rPr>
        <w:t> </w:t>
      </w:r>
      <w:r>
        <w:rPr/>
        <w:t>jump</w:t>
      </w:r>
      <w:r>
        <w:rPr>
          <w:spacing w:val="-14"/>
        </w:rPr>
        <w:t> </w:t>
      </w:r>
      <w:r>
        <w:rPr/>
        <w:t>in</w:t>
      </w:r>
      <w:r>
        <w:rPr>
          <w:spacing w:val="-14"/>
        </w:rPr>
        <w:t> </w:t>
      </w:r>
      <w:r>
        <w:rPr/>
        <w:t>PageRank</w:t>
      </w:r>
      <w:r>
        <w:rPr>
          <w:spacing w:val="-14"/>
        </w:rPr>
        <w:t> </w:t>
      </w:r>
      <w:r>
        <w:rPr/>
        <w:t>with</w:t>
      </w:r>
      <w:r>
        <w:rPr>
          <w:spacing w:val="-15"/>
        </w:rPr>
        <w:t> </w:t>
      </w:r>
      <w:r>
        <w:rPr/>
        <w:t>probability</w:t>
      </w:r>
      <w:r>
        <w:rPr>
          <w:spacing w:val="-14"/>
        </w:rPr>
        <w:t> </w:t>
      </w:r>
      <w:r>
        <w:rPr>
          <w:rFonts w:ascii="Calibri" w:hAnsi="Calibri"/>
        </w:rPr>
        <w:t>1</w:t>
      </w:r>
      <w:r>
        <w:rPr>
          <w:rFonts w:ascii="Calibri" w:hAnsi="Calibri"/>
          <w:spacing w:val="-13"/>
        </w:rPr>
        <w:t> </w:t>
      </w:r>
      <w:r>
        <w:rPr>
          <w:rFonts w:ascii="Lucida Sans Unicode" w:hAnsi="Lucida Sans Unicode"/>
        </w:rPr>
        <w:t>—</w:t>
      </w:r>
      <w:r>
        <w:rPr>
          <w:rFonts w:ascii="Lucida Sans Unicode" w:hAnsi="Lucida Sans Unicode"/>
          <w:spacing w:val="-23"/>
        </w:rPr>
        <w:t> </w:t>
      </w:r>
      <w:r>
        <w:rPr>
          <w:rFonts w:ascii="Calibri" w:hAnsi="Calibri"/>
          <w:i/>
          <w:spacing w:val="-5"/>
        </w:rPr>
        <w:t>d</w:t>
      </w:r>
      <w:r>
        <w:rPr>
          <w:spacing w:val="-5"/>
        </w:rPr>
        <w:t>.</w:t>
      </w:r>
    </w:p>
    <w:p>
      <w:pPr>
        <w:pStyle w:val="BodyText"/>
        <w:ind w:left="282"/>
      </w:pPr>
      <w:r>
        <w:rPr>
          <w:i/>
        </w:rPr>
        <w:t>확률 1 — d로 PageRank에서 순간이동 균일 점프.</w:t>
      </w:r>
    </w:p>
    <w:p>
      <w:pPr>
        <w:pStyle w:val="BodyText"/>
      </w:pPr>
    </w:p>
    <w:p>
      <w:pPr>
        <w:pStyle w:val="BodyText"/>
        <w:spacing w:before="9"/>
      </w:pPr>
    </w:p>
    <w:p>
      <w:pPr>
        <w:pStyle w:val="Heading2"/>
        <w:numPr>
          <w:ilvl w:val="1"/>
          <w:numId w:val="8"/>
        </w:numPr>
        <w:tabs>
          <w:tab w:pos="783" w:val="left" w:leader="none"/>
        </w:tabs>
        <w:spacing w:line="240" w:lineRule="auto" w:before="0" w:after="0"/>
        <w:ind w:left="783" w:right="0" w:hanging="501"/>
        <w:jc w:val="left"/>
      </w:pPr>
      <w:bookmarkStart w:name="SQL Templates, Configuration, and Extend" w:id="343"/>
      <w:bookmarkEnd w:id="343"/>
      <w:r>
        <w:rPr>
          <w:b w:val="0"/>
        </w:rPr>
      </w:r>
      <w:bookmarkStart w:name="_bookmark210" w:id="344"/>
      <w:bookmarkEnd w:id="344"/>
      <w:r>
        <w:rPr>
          <w:b w:val="0"/>
        </w:rPr>
      </w:r>
      <w:r>
        <w:rPr/>
        <w:t>SQL</w:t>
      </w:r>
      <w:r>
        <w:rPr>
          <w:spacing w:val="14"/>
        </w:rPr>
        <w:t> </w:t>
      </w:r>
      <w:r>
        <w:rPr/>
        <w:t>Templates,</w:t>
      </w:r>
      <w:r>
        <w:rPr>
          <w:spacing w:val="15"/>
        </w:rPr>
        <w:t> </w:t>
      </w:r>
      <w:r>
        <w:rPr/>
        <w:t>Configuration,</w:t>
      </w:r>
      <w:r>
        <w:rPr>
          <w:spacing w:val="15"/>
        </w:rPr>
        <w:t> </w:t>
      </w:r>
      <w:r>
        <w:rPr/>
        <w:t>and</w:t>
      </w:r>
      <w:r>
        <w:rPr>
          <w:spacing w:val="14"/>
        </w:rPr>
        <w:t> </w:t>
      </w:r>
      <w:r>
        <w:rPr/>
        <w:t>Extended</w:t>
      </w:r>
      <w:r>
        <w:rPr>
          <w:spacing w:val="15"/>
        </w:rPr>
        <w:t> </w:t>
      </w:r>
      <w:r>
        <w:rPr>
          <w:spacing w:val="-2"/>
        </w:rPr>
        <w:t>Notes</w:t>
      </w:r>
    </w:p>
    <w:p>
      <w:pPr>
        <w:pStyle w:val="Heading2"/>
        <w:numPr>
          <w:ilvl w:val="1"/>
          <w:numId w:val="8"/>
        </w:numPr>
        <w:tabs>
          <w:tab w:pos="783" w:val="left" w:leader="none"/>
        </w:tabs>
        <w:spacing w:line="240" w:lineRule="auto" w:before="0" w:after="0"/>
        <w:ind w:left="783" w:right="0" w:hanging="501"/>
        <w:jc w:val="left"/>
      </w:pPr>
      <w:r>
        <w:rPr>
          <w:i/>
        </w:rPr>
        <w:t>SQL 템플릿, 구성 및 확장 메모</w:t>
      </w:r>
    </w:p>
    <w:p>
      <w:pPr>
        <w:pStyle w:val="BodyText"/>
        <w:spacing w:before="24"/>
        <w:rPr>
          <w:b/>
          <w:sz w:val="28"/>
        </w:rPr>
      </w:pPr>
    </w:p>
    <w:p>
      <w:pPr>
        <w:pStyle w:val="BodyText"/>
        <w:spacing w:line="396" w:lineRule="auto"/>
        <w:ind w:left="282" w:right="524" w:hanging="8"/>
      </w:pPr>
      <w:r>
        <w:rPr/>
        <w:t>This</w:t>
      </w:r>
      <w:r>
        <w:rPr>
          <w:spacing w:val="-13"/>
        </w:rPr>
        <w:t> </w:t>
      </w:r>
      <w:r>
        <w:rPr/>
        <w:t>appendix</w:t>
      </w:r>
      <w:r>
        <w:rPr>
          <w:spacing w:val="-13"/>
        </w:rPr>
        <w:t> </w:t>
      </w:r>
      <w:r>
        <w:rPr/>
        <w:t>collects</w:t>
      </w:r>
      <w:r>
        <w:rPr>
          <w:spacing w:val="-13"/>
        </w:rPr>
        <w:t> </w:t>
      </w:r>
      <w:r>
        <w:rPr/>
        <w:t>representative</w:t>
      </w:r>
      <w:r>
        <w:rPr>
          <w:spacing w:val="-13"/>
        </w:rPr>
        <w:t> </w:t>
      </w:r>
      <w:r>
        <w:rPr/>
        <w:t>SQL</w:t>
      </w:r>
      <w:r>
        <w:rPr>
          <w:spacing w:val="-13"/>
        </w:rPr>
        <w:t> </w:t>
      </w:r>
      <w:r>
        <w:rPr/>
        <w:t>patterns,</w:t>
      </w:r>
      <w:r>
        <w:rPr>
          <w:spacing w:val="-12"/>
        </w:rPr>
        <w:t> </w:t>
      </w:r>
      <w:r>
        <w:rPr/>
        <w:t>configuration</w:t>
      </w:r>
      <w:r>
        <w:rPr>
          <w:spacing w:val="-13"/>
        </w:rPr>
        <w:t> </w:t>
      </w:r>
      <w:r>
        <w:rPr/>
        <w:t>keys,</w:t>
      </w:r>
      <w:r>
        <w:rPr>
          <w:spacing w:val="-12"/>
        </w:rPr>
        <w:t> </w:t>
      </w:r>
      <w:r>
        <w:rPr/>
        <w:t>and</w:t>
      </w:r>
      <w:r>
        <w:rPr>
          <w:spacing w:val="-13"/>
        </w:rPr>
        <w:t> </w:t>
      </w:r>
      <w:r>
        <w:rPr/>
        <w:t>extended</w:t>
      </w:r>
      <w:r>
        <w:rPr>
          <w:spacing w:val="-13"/>
        </w:rPr>
        <w:t> </w:t>
      </w:r>
      <w:r>
        <w:rPr/>
        <w:t>methodolog-</w:t>
      </w:r>
      <w:bookmarkStart w:name="Approval log extraction pattern" w:id="345"/>
      <w:bookmarkEnd w:id="345"/>
      <w:r>
        <w:rPr>
          <w:w w:val="99"/>
        </w:rPr>
      </w:r>
      <w:bookmarkStart w:name="_bookmark211" w:id="346"/>
      <w:bookmarkEnd w:id="346"/>
      <w:r>
        <w:rPr/>
        <w:t>ical</w:t>
      </w:r>
      <w:r>
        <w:rPr/>
        <w:t> notes that support reproduction without cluttering the main chapters.</w:t>
      </w:r>
    </w:p>
    <w:p>
      <w:pPr>
        <w:pStyle w:val="BodyText"/>
        <w:spacing w:line="396" w:lineRule="auto"/>
        <w:ind w:left="282" w:right="524" w:hanging="8"/>
      </w:pPr>
      <w:r>
        <w:rPr>
          <w:i/>
        </w:rPr>
        <w:t>이 부록에서는 주요 장을 어지럽히지 않고 재생산을 지원하는 대표적인 SQL 패턴, 구성 키 및 확장된 방법론적 참고 사항을 수집합니다.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Approval</w:t>
      </w:r>
      <w:r>
        <w:rPr>
          <w:spacing w:val="-14"/>
        </w:rPr>
        <w:t> </w:t>
      </w:r>
      <w:r>
        <w:rPr/>
        <w:t>log</w:t>
      </w:r>
      <w:r>
        <w:rPr>
          <w:spacing w:val="-13"/>
        </w:rPr>
        <w:t> </w:t>
      </w:r>
      <w:r>
        <w:rPr/>
        <w:t>extraction</w:t>
      </w:r>
      <w:r>
        <w:rPr>
          <w:spacing w:val="-14"/>
        </w:rPr>
        <w:t> </w:t>
      </w:r>
      <w:r>
        <w:rPr>
          <w:spacing w:val="-2"/>
        </w:rPr>
        <w:t>pattern</w:t>
      </w:r>
    </w:p>
    <w:p>
      <w:pPr>
        <w:pStyle w:val="Heading4"/>
        <w:numPr>
          <w:ilvl w:val="2"/>
          <w:numId w:val="8"/>
        </w:numPr>
        <w:tabs>
          <w:tab w:pos="879" w:val="left" w:leader="none"/>
        </w:tabs>
        <w:spacing w:line="240" w:lineRule="auto" w:before="0" w:after="0"/>
        <w:ind w:left="879" w:right="0" w:hanging="597"/>
        <w:jc w:val="left"/>
      </w:pPr>
      <w:r>
        <w:rPr>
          <w:i/>
        </w:rPr>
        <w:t>승인로그 추출 패턴</w:t>
      </w:r>
    </w:p>
    <w:p>
      <w:pPr>
        <w:pStyle w:val="BodyText"/>
        <w:spacing w:before="42"/>
        <w:rPr>
          <w:b/>
        </w:rPr>
      </w:pPr>
    </w:p>
    <w:p>
      <w:pPr>
        <w:pStyle w:val="BodyText"/>
        <w:spacing w:line="374" w:lineRule="auto"/>
        <w:ind w:left="282"/>
      </w:pPr>
      <w:r>
        <w:rPr/>
        <w:t>ERC-20 </w:t>
      </w:r>
      <w:r>
        <w:rPr>
          <w:rFonts w:ascii="Calibri"/>
        </w:rPr>
        <w:t>Approval </w:t>
      </w:r>
      <w:r>
        <w:rPr/>
        <w:t>events are identified by topic </w:t>
      </w:r>
      <w:r>
        <w:rPr>
          <w:rFonts w:ascii="Calibri"/>
        </w:rPr>
        <w:t>0 </w:t>
      </w:r>
      <w:r>
        <w:rPr/>
        <w:t>equal to the keccak256 hash of </w:t>
      </w:r>
      <w:r>
        <w:rPr>
          <w:rFonts w:ascii="Calibri"/>
        </w:rPr>
        <w:t>Approval(add </w:t>
      </w:r>
      <w:r>
        <w:rPr>
          <w:rFonts w:ascii="Calibri"/>
          <w:w w:val="105"/>
        </w:rPr>
        <w:t>ress,address,uint256)</w:t>
      </w:r>
      <w:r>
        <w:rPr>
          <w:w w:val="105"/>
        </w:rPr>
        <w:t>.</w:t>
      </w:r>
      <w:r>
        <w:rPr>
          <w:spacing w:val="40"/>
          <w:w w:val="105"/>
        </w:rPr>
        <w:t> </w:t>
      </w:r>
      <w:r>
        <w:rPr>
          <w:w w:val="105"/>
        </w:rPr>
        <w:t>A simplified monthly query pattern is:</w:t>
      </w:r>
    </w:p>
    <w:p>
      <w:pPr>
        <w:pStyle w:val="BodyText"/>
        <w:spacing w:line="374" w:lineRule="auto"/>
        <w:ind w:left="282"/>
      </w:pPr>
      <w:r>
        <w:rPr>
          <w:i/>
        </w:rPr>
        <w:t>ERC-20 승인 이벤트는 승인의 keccak256 해시(ress,address,uint256 추가)와 동일한 주제 0으로 식별됩니다. 단순화된 월별 쿼리 패턴은 다음과 같습니다.</w:t>
      </w:r>
    </w:p>
    <w:p>
      <w:pPr>
        <w:spacing w:before="263"/>
        <w:ind w:left="282" w:right="0" w:firstLine="0"/>
        <w:jc w:val="left"/>
        <w:rPr>
          <w:rFonts w:ascii="Cambria"/>
          <w:sz w:val="22"/>
        </w:rPr>
      </w:pPr>
      <w:r>
        <w:rPr>
          <w:rFonts w:ascii="Cambria"/>
          <w:spacing w:val="-2"/>
          <w:sz w:val="22"/>
        </w:rPr>
        <w:t>SELECT</w:t>
      </w:r>
    </w:p>
    <w:p>
      <w:pPr>
        <w:spacing w:before="263"/>
        <w:ind w:left="282" w:right="0" w:firstLine="0"/>
        <w:jc w:val="left"/>
        <w:rPr>
          <w:rFonts w:ascii="Cambria"/>
          <w:sz w:val="22"/>
        </w:rPr>
      </w:pPr>
      <w:r>
        <w:rPr>
          <w:i/>
        </w:rPr>
        <w:t>선택하다</w:t>
      </w:r>
    </w:p>
    <w:p>
      <w:pPr>
        <w:spacing w:line="393" w:lineRule="auto" w:before="160"/>
        <w:ind w:left="511" w:right="7744" w:firstLine="0"/>
        <w:jc w:val="left"/>
        <w:rPr>
          <w:rFonts w:ascii="Cambria"/>
          <w:sz w:val="22"/>
        </w:rPr>
      </w:pPr>
      <w:r>
        <w:rPr>
          <w:rFonts w:ascii="Cambria"/>
          <w:spacing w:val="-2"/>
          <w:w w:val="110"/>
          <w:sz w:val="22"/>
        </w:rPr>
        <w:t>block_timestamp, block_number, transaction_hash, log_index,</w:t>
      </w:r>
      <w:r>
        <w:rPr>
          <w:rFonts w:ascii="Cambria"/>
          <w:spacing w:val="40"/>
          <w:w w:val="110"/>
          <w:sz w:val="22"/>
        </w:rPr>
        <w:t>  </w:t>
      </w:r>
      <w:r>
        <w:rPr>
          <w:rFonts w:ascii="Cambria"/>
          <w:w w:val="110"/>
          <w:sz w:val="22"/>
        </w:rPr>
        <w:t>address</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token,</w:t>
      </w:r>
    </w:p>
    <w:p>
      <w:pPr>
        <w:spacing w:line="393" w:lineRule="auto" w:before="160"/>
        <w:ind w:left="511" w:right="7744" w:firstLine="0"/>
        <w:jc w:val="left"/>
        <w:rPr>
          <w:rFonts w:ascii="Cambria"/>
          <w:sz w:val="22"/>
        </w:rPr>
      </w:pPr>
      <w:r>
        <w:rPr>
          <w:i/>
        </w:rPr>
        <w:t>block_timestamp, block_number, transaction_hash, log_index, 주소 AS 토큰,</w:t>
      </w:r>
    </w:p>
    <w:p>
      <w:pPr>
        <w:spacing w:line="393" w:lineRule="auto" w:before="1"/>
        <w:ind w:left="511" w:right="5052" w:firstLine="0"/>
        <w:jc w:val="left"/>
        <w:rPr>
          <w:rFonts w:ascii="Cambria"/>
          <w:sz w:val="22"/>
        </w:rPr>
      </w:pPr>
      <w:r>
        <w:rPr>
          <w:rFonts w:ascii="Cambria"/>
          <w:w w:val="105"/>
          <w:sz w:val="22"/>
        </w:rPr>
        <w:t>topics[SAFE_OFFSET(1)]</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owner_topic, topics[SAFE_OFFSET(2)]</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spender_topic,</w:t>
      </w:r>
      <w:r>
        <w:rPr>
          <w:rFonts w:ascii="Cambria"/>
          <w:spacing w:val="40"/>
          <w:w w:val="105"/>
          <w:sz w:val="22"/>
        </w:rPr>
        <w:t> </w:t>
      </w:r>
      <w:r>
        <w:rPr>
          <w:rFonts w:ascii="Cambria"/>
          <w:w w:val="105"/>
          <w:sz w:val="22"/>
        </w:rPr>
        <w:t>data</w:t>
      </w:r>
      <w:r>
        <w:rPr>
          <w:rFonts w:ascii="Cambria"/>
          <w:spacing w:val="40"/>
          <w:w w:val="105"/>
          <w:sz w:val="22"/>
        </w:rPr>
        <w:t> </w:t>
      </w:r>
      <w:r>
        <w:rPr>
          <w:rFonts w:ascii="Cambria"/>
          <w:w w:val="105"/>
          <w:sz w:val="22"/>
        </w:rPr>
        <w:t>AS</w:t>
      </w:r>
      <w:r>
        <w:rPr>
          <w:rFonts w:ascii="Cambria"/>
          <w:spacing w:val="40"/>
          <w:w w:val="105"/>
          <w:sz w:val="22"/>
        </w:rPr>
        <w:t> </w:t>
      </w:r>
      <w:r>
        <w:rPr>
          <w:rFonts w:ascii="Cambria"/>
          <w:w w:val="105"/>
          <w:sz w:val="22"/>
        </w:rPr>
        <w:t>value_data</w:t>
      </w:r>
    </w:p>
    <w:p>
      <w:pPr>
        <w:spacing w:line="393" w:lineRule="auto" w:before="1"/>
        <w:ind w:left="511" w:right="5052" w:firstLine="0"/>
        <w:jc w:val="left"/>
        <w:rPr>
          <w:rFonts w:ascii="Cambria"/>
          <w:sz w:val="22"/>
        </w:rPr>
      </w:pPr>
      <w:r>
        <w:rPr>
          <w:i/>
        </w:rPr>
        <w:t>주제[SAFE_OFFSET(1)] AS 소유자_주제, 주제[SAFE_OFFSET(2)] AS 지출자_주제, 데이터 AS 값_데이터</w:t>
      </w:r>
    </w:p>
    <w:p>
      <w:pPr>
        <w:spacing w:line="393" w:lineRule="auto" w:before="1"/>
        <w:ind w:left="282" w:right="2512" w:firstLine="0"/>
        <w:jc w:val="left"/>
        <w:rPr>
          <w:rFonts w:ascii="Cambria"/>
          <w:sz w:val="22"/>
        </w:rPr>
      </w:pPr>
      <w:r>
        <w:rPr>
          <w:rFonts w:ascii="Cambria"/>
          <w:w w:val="105"/>
          <w:sz w:val="22"/>
        </w:rPr>
        <w:t>FROM</w:t>
      </w:r>
      <w:r>
        <w:rPr>
          <w:rFonts w:ascii="Cambria"/>
          <w:spacing w:val="56"/>
          <w:w w:val="105"/>
          <w:sz w:val="22"/>
        </w:rPr>
        <w:t>   </w:t>
      </w:r>
      <w:r>
        <w:rPr>
          <w:rFonts w:ascii="Cambria"/>
          <w:w w:val="105"/>
          <w:sz w:val="22"/>
        </w:rPr>
        <w:t>`bigquery-public-</w:t>
      </w:r>
      <w:r>
        <w:rPr>
          <w:rFonts w:ascii="Cambria"/>
          <w:w w:val="105"/>
          <w:sz w:val="22"/>
        </w:rPr>
        <w:t>data.goog_blockchain_arbitrum_one_us.logs`</w:t>
      </w:r>
      <w:r>
        <w:rPr>
          <w:rFonts w:ascii="Cambria"/>
          <w:spacing w:val="80"/>
          <w:w w:val="150"/>
          <w:sz w:val="22"/>
        </w:rPr>
        <w:t> </w:t>
      </w:r>
      <w:r>
        <w:rPr>
          <w:rFonts w:ascii="Cambria"/>
          <w:w w:val="105"/>
          <w:sz w:val="22"/>
        </w:rPr>
        <w:t>WHERE</w:t>
      </w:r>
      <w:r>
        <w:rPr>
          <w:rFonts w:ascii="Cambria"/>
          <w:spacing w:val="25"/>
          <w:w w:val="105"/>
          <w:sz w:val="22"/>
        </w:rPr>
        <w:t> </w:t>
      </w:r>
      <w:r>
        <w:rPr>
          <w:rFonts w:ascii="Cambria"/>
          <w:w w:val="105"/>
          <w:sz w:val="22"/>
        </w:rPr>
        <w:t>block_timestamp</w:t>
      </w:r>
      <w:r>
        <w:rPr>
          <w:rFonts w:ascii="Cambria"/>
          <w:spacing w:val="25"/>
          <w:w w:val="105"/>
          <w:sz w:val="22"/>
        </w:rPr>
        <w:t> </w:t>
      </w:r>
      <w:r>
        <w:rPr>
          <w:rFonts w:ascii="Cambria"/>
          <w:w w:val="105"/>
          <w:sz w:val="22"/>
        </w:rPr>
        <w:t>&gt;=</w:t>
      </w:r>
      <w:r>
        <w:rPr>
          <w:rFonts w:ascii="Cambria"/>
          <w:spacing w:val="25"/>
          <w:w w:val="105"/>
          <w:sz w:val="22"/>
        </w:rPr>
        <w:t> </w:t>
      </w:r>
      <w:r>
        <w:rPr>
          <w:rFonts w:ascii="Cambria"/>
          <w:w w:val="105"/>
          <w:sz w:val="22"/>
        </w:rPr>
        <w:t>TIMESTAMP('2025-12-01')</w:t>
      </w:r>
    </w:p>
    <w:p>
      <w:pPr>
        <w:spacing w:line="393" w:lineRule="auto" w:before="1"/>
        <w:ind w:left="282" w:right="2512" w:firstLine="0"/>
        <w:jc w:val="left"/>
        <w:rPr>
          <w:rFonts w:ascii="Cambria"/>
          <w:sz w:val="22"/>
        </w:rPr>
      </w:pPr>
      <w:r>
        <w:rPr>
          <w:i/>
        </w:rPr>
        <w:t>FROM `bigquery-public-data.goog_blockchain_arbitrum_one_us.logs` WHERE block_timestamp &gt;= TIMESTAMP('2025-12-01')</w:t>
      </w:r>
    </w:p>
    <w:p>
      <w:pPr>
        <w:tabs>
          <w:tab w:pos="3145" w:val="left" w:leader="none"/>
        </w:tabs>
        <w:spacing w:line="393" w:lineRule="auto" w:before="0"/>
        <w:ind w:left="511" w:right="4423" w:firstLine="0"/>
        <w:jc w:val="left"/>
        <w:rPr>
          <w:rFonts w:ascii="Cambria"/>
          <w:sz w:val="22"/>
        </w:rPr>
      </w:pPr>
      <w:r>
        <w:rPr>
          <w:rFonts w:ascii="Cambria"/>
          <w:sz w:val="22"/>
        </w:rPr>
        <w:t>AND</w:t>
      </w:r>
      <w:r>
        <w:rPr>
          <w:rFonts w:ascii="Cambria"/>
          <w:spacing w:val="40"/>
          <w:sz w:val="22"/>
        </w:rPr>
        <w:t> </w:t>
      </w:r>
      <w:r>
        <w:rPr>
          <w:rFonts w:ascii="Cambria"/>
          <w:sz w:val="22"/>
        </w:rPr>
        <w:t>block_timestamp</w:t>
      </w:r>
      <w:r>
        <w:rPr>
          <w:rFonts w:ascii="Cambria"/>
          <w:spacing w:val="40"/>
          <w:sz w:val="22"/>
        </w:rPr>
        <w:t> </w:t>
      </w:r>
      <w:r>
        <w:rPr>
          <w:rFonts w:ascii="Cambria"/>
          <w:sz w:val="22"/>
        </w:rPr>
        <w:t>&lt;</w:t>
        <w:tab/>
      </w:r>
      <w:r>
        <w:rPr>
          <w:rFonts w:ascii="Cambria"/>
          <w:spacing w:val="-2"/>
          <w:sz w:val="22"/>
        </w:rPr>
        <w:t>TIMESTAMP('2026-01-</w:t>
      </w:r>
      <w:r>
        <w:rPr>
          <w:rFonts w:ascii="Cambria"/>
          <w:spacing w:val="-2"/>
          <w:sz w:val="22"/>
        </w:rPr>
        <w:t>01') </w:t>
      </w:r>
      <w:r>
        <w:rPr>
          <w:rFonts w:ascii="Cambria"/>
          <w:sz w:val="22"/>
        </w:rPr>
        <w:t>AND</w:t>
      </w:r>
      <w:r>
        <w:rPr>
          <w:rFonts w:ascii="Cambria"/>
          <w:spacing w:val="40"/>
          <w:sz w:val="22"/>
        </w:rPr>
        <w:t> </w:t>
      </w:r>
      <w:r>
        <w:rPr>
          <w:rFonts w:ascii="Cambria"/>
          <w:sz w:val="22"/>
        </w:rPr>
        <w:t>topics[SAFE_OFFSET(0)]</w:t>
      </w:r>
      <w:r>
        <w:rPr>
          <w:rFonts w:ascii="Cambria"/>
          <w:spacing w:val="40"/>
          <w:sz w:val="22"/>
        </w:rPr>
        <w:t> </w:t>
      </w:r>
      <w:r>
        <w:rPr>
          <w:rFonts w:ascii="Cambria"/>
          <w:sz w:val="22"/>
        </w:rPr>
        <w:t>=</w:t>
      </w:r>
    </w:p>
    <w:p>
      <w:pPr>
        <w:tabs>
          <w:tab w:pos="3145" w:val="left" w:leader="none"/>
        </w:tabs>
        <w:spacing w:line="393" w:lineRule="auto" w:before="0"/>
        <w:ind w:left="511" w:right="4423" w:firstLine="0"/>
        <w:jc w:val="left"/>
        <w:rPr>
          <w:rFonts w:ascii="Cambria"/>
          <w:sz w:val="22"/>
        </w:rPr>
      </w:pPr>
      <w:r>
        <w:rPr>
          <w:i/>
        </w:rPr>
        <w:t>AND 블록_타임스탬프 &lt;</w:t>
        <w:tab/>
        <w:t>TIMESTAMP('2026-01-01') AND 주제[SAFE_OFFSET(0)] =</w:t>
      </w:r>
    </w:p>
    <w:p>
      <w:pPr>
        <w:tabs>
          <w:tab w:pos="969" w:val="left" w:leader="none"/>
        </w:tabs>
        <w:spacing w:before="5"/>
        <w:ind w:left="574"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sz w:val="22"/>
        </w:rPr>
        <w:t>'0x8c5be1e5ebec7d5bd14f71427d1e84f3dd0314c0f7b2291e5b200ac8c7c3b925'</w:t>
      </w:r>
    </w:p>
    <w:p>
      <w:pPr>
        <w:spacing w:before="166"/>
        <w:ind w:left="511" w:right="0" w:firstLine="0"/>
        <w:jc w:val="left"/>
        <w:rPr>
          <w:rFonts w:ascii="Cambria"/>
          <w:sz w:val="22"/>
        </w:rPr>
      </w:pPr>
      <w:r>
        <w:rPr>
          <w:rFonts w:ascii="Cambria"/>
          <w:w w:val="85"/>
          <w:sz w:val="22"/>
        </w:rPr>
        <w:t>AND</w:t>
      </w:r>
      <w:r>
        <w:rPr>
          <w:rFonts w:ascii="Cambria"/>
          <w:spacing w:val="34"/>
          <w:w w:val="110"/>
          <w:sz w:val="22"/>
        </w:rPr>
        <w:t> </w:t>
      </w:r>
      <w:r>
        <w:rPr>
          <w:rFonts w:ascii="Cambria"/>
          <w:spacing w:val="-10"/>
          <w:w w:val="110"/>
          <w:sz w:val="22"/>
        </w:rPr>
        <w:t>(</w:t>
      </w:r>
    </w:p>
    <w:p>
      <w:pPr>
        <w:spacing w:before="166"/>
        <w:ind w:left="511" w:right="0" w:firstLine="0"/>
        <w:jc w:val="left"/>
        <w:rPr>
          <w:rFonts w:ascii="Cambria"/>
          <w:sz w:val="22"/>
        </w:rPr>
      </w:pPr>
      <w:r>
        <w:rPr>
          <w:i/>
        </w:rPr>
        <w:t>그리고 (</w:t>
      </w:r>
    </w:p>
    <w:p>
      <w:pPr>
        <w:spacing w:before="165"/>
        <w:ind w:left="740" w:right="0" w:firstLine="0"/>
        <w:jc w:val="left"/>
        <w:rPr>
          <w:rFonts w:ascii="Cambria"/>
          <w:sz w:val="22"/>
        </w:rPr>
      </w:pPr>
      <w:r>
        <w:rPr>
          <w:rFonts w:ascii="Cambria"/>
          <w:w w:val="105"/>
          <w:sz w:val="22"/>
        </w:rPr>
        <w:t>LOWER(CONCAT('0x',</w:t>
      </w:r>
      <w:r>
        <w:rPr>
          <w:rFonts w:ascii="Cambria"/>
          <w:spacing w:val="55"/>
          <w:w w:val="105"/>
          <w:sz w:val="22"/>
        </w:rPr>
        <w:t> </w:t>
      </w:r>
      <w:r>
        <w:rPr>
          <w:rFonts w:ascii="Cambria"/>
          <w:w w:val="105"/>
          <w:sz w:val="22"/>
        </w:rPr>
        <w:t>SUBSTR(topics[SAFE_OFFSET(1)],</w:t>
      </w:r>
      <w:r>
        <w:rPr>
          <w:rFonts w:ascii="Cambria"/>
          <w:spacing w:val="55"/>
          <w:w w:val="105"/>
          <w:sz w:val="22"/>
        </w:rPr>
        <w:t> </w:t>
      </w:r>
      <w:r>
        <w:rPr>
          <w:rFonts w:ascii="Cambria"/>
          <w:w w:val="105"/>
          <w:sz w:val="22"/>
        </w:rPr>
        <w:t>27)))</w:t>
      </w:r>
      <w:r>
        <w:rPr>
          <w:rFonts w:ascii="Cambria"/>
          <w:spacing w:val="56"/>
          <w:w w:val="105"/>
          <w:sz w:val="22"/>
        </w:rPr>
        <w:t> </w:t>
      </w:r>
      <w:r>
        <w:rPr>
          <w:rFonts w:ascii="Cambria"/>
          <w:spacing w:val="-5"/>
          <w:w w:val="10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after="0"/>
        <w:jc w:val="left"/>
        <w:rPr>
          <w:rFonts w:ascii="Cambria" w:hAnsi="Cambria"/>
          <w:sz w:val="22"/>
        </w:rPr>
        <w:sectPr>
          <w:pgSz w:w="11910" w:h="16840"/>
          <w:pgMar w:header="0" w:footer="2115" w:top="1840" w:bottom="2300" w:left="992" w:right="708"/>
        </w:sectPr>
      </w:pPr>
    </w:p>
    <w:p>
      <w:pPr>
        <w:spacing w:before="88"/>
        <w:ind w:left="740" w:right="0" w:firstLine="0"/>
        <w:jc w:val="left"/>
        <w:rPr>
          <w:rFonts w:ascii="Cambria"/>
          <w:sz w:val="22"/>
        </w:rPr>
      </w:pPr>
      <w:r>
        <w:rPr>
          <w:rFonts w:ascii="Cambria"/>
          <w:sz w:val="22"/>
        </w:rPr>
        <w:t>OR</w:t>
      </w:r>
      <w:r>
        <w:rPr>
          <w:rFonts w:ascii="Cambria"/>
          <w:spacing w:val="32"/>
          <w:sz w:val="22"/>
        </w:rPr>
        <w:t>  </w:t>
      </w:r>
      <w:r>
        <w:rPr>
          <w:rFonts w:ascii="Cambria"/>
          <w:sz w:val="22"/>
        </w:rPr>
        <w:t>LOWER(CONCAT('0x',</w:t>
      </w:r>
      <w:r>
        <w:rPr>
          <w:rFonts w:ascii="Cambria"/>
          <w:spacing w:val="32"/>
          <w:sz w:val="22"/>
        </w:rPr>
        <w:t>  </w:t>
      </w:r>
      <w:r>
        <w:rPr>
          <w:rFonts w:ascii="Cambria"/>
          <w:sz w:val="22"/>
        </w:rPr>
        <w:t>SUBSTR(topics[SAFE_OFFSET(2)],</w:t>
      </w:r>
      <w:r>
        <w:rPr>
          <w:rFonts w:ascii="Cambria"/>
          <w:spacing w:val="33"/>
          <w:sz w:val="22"/>
        </w:rPr>
        <w:t>  </w:t>
      </w:r>
      <w:r>
        <w:rPr>
          <w:rFonts w:ascii="Cambria"/>
          <w:sz w:val="22"/>
        </w:rPr>
        <w:t>27)))</w:t>
      </w:r>
      <w:r>
        <w:rPr>
          <w:rFonts w:ascii="Cambria"/>
          <w:spacing w:val="32"/>
          <w:sz w:val="22"/>
        </w:rPr>
        <w:t>  </w:t>
      </w:r>
      <w:r>
        <w:rPr>
          <w:rFonts w:ascii="Cambria"/>
          <w:spacing w:val="-5"/>
          <w:sz w:val="22"/>
        </w:rPr>
        <w:t>IN</w:t>
      </w:r>
    </w:p>
    <w:p>
      <w:pPr>
        <w:spacing w:before="88"/>
        <w:ind w:left="740" w:right="0" w:firstLine="0"/>
        <w:jc w:val="left"/>
        <w:rPr>
          <w:rFonts w:ascii="Cambria"/>
          <w:sz w:val="22"/>
        </w:rPr>
      </w:pPr>
      <w:r>
        <w:rPr>
          <w:i/>
        </w:rPr>
        <w:t>OR LOWER(CONCAT('0x', SUBSTR(topics[SAFE_OFFSET(2)], 27))) 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5"/>
        <w:ind w:left="511" w:right="0" w:firstLine="0"/>
        <w:jc w:val="left"/>
        <w:rPr>
          <w:rFonts w:ascii="Cambria"/>
          <w:sz w:val="22"/>
        </w:rPr>
      </w:pPr>
      <w:r>
        <w:rPr>
          <w:rFonts w:ascii="Cambria"/>
          <w:spacing w:val="-5"/>
          <w:w w:val="160"/>
          <w:sz w:val="22"/>
        </w:rPr>
        <w:t>);</w:t>
      </w:r>
    </w:p>
    <w:p>
      <w:pPr>
        <w:pStyle w:val="BodyText"/>
        <w:spacing w:before="72"/>
        <w:rPr>
          <w:rFonts w:ascii="Cambria"/>
        </w:rPr>
      </w:pPr>
    </w:p>
    <w:p>
      <w:pPr>
        <w:pStyle w:val="BodyText"/>
        <w:spacing w:line="376" w:lineRule="auto"/>
        <w:ind w:left="282" w:hanging="12"/>
      </w:pPr>
      <w:r>
        <w:rPr/>
        <w:t>Wallet filtering via </w:t>
      </w:r>
      <w:r>
        <w:rPr>
          <w:rFonts w:ascii="Calibri" w:hAnsi="Calibri"/>
        </w:rPr>
        <w:t>@wallet_list </w:t>
      </w:r>
      <w:r>
        <w:rPr/>
        <w:t>keeps scans proportional to the cohort rather than the full chain. </w:t>
      </w:r>
      <w:bookmarkStart w:name="Transfer log extraction pattern" w:id="347"/>
      <w:bookmarkEnd w:id="347"/>
      <w:r>
        <w:rPr>
          <w:w w:val="99"/>
        </w:rPr>
      </w:r>
      <w:bookmarkStart w:name="_bookmark212" w:id="348"/>
      <w:bookmarkEnd w:id="348"/>
      <w:r>
        <w:rPr/>
        <w:t>Monthly</w:t>
      </w:r>
      <w:r>
        <w:rPr/>
        <w:t> batching respects per-query byte caps documented in the study’s acquisition record.</w:t>
      </w:r>
    </w:p>
    <w:p>
      <w:pPr>
        <w:pStyle w:val="BodyText"/>
        <w:spacing w:line="376" w:lineRule="auto"/>
        <w:ind w:left="282" w:hanging="12"/>
      </w:pPr>
      <w:r>
        <w:rPr>
          <w:i/>
        </w:rPr>
        <w:t>@wallet_list를 통한 지갑 필터링은 전체 체인이 아닌 집단에 비례하여 스캔을 유지합니다. 월별 일괄 처리는 연구 획득 기록에 기록된 쿼리당 바이트 한도를 준수합니다.</w:t>
      </w:r>
    </w:p>
    <w:p>
      <w:pPr>
        <w:pStyle w:val="BodyText"/>
        <w:spacing w:before="16"/>
      </w:pPr>
    </w:p>
    <w:p>
      <w:pPr>
        <w:pStyle w:val="Heading4"/>
        <w:numPr>
          <w:ilvl w:val="2"/>
          <w:numId w:val="8"/>
        </w:numPr>
        <w:tabs>
          <w:tab w:pos="879" w:val="left" w:leader="none"/>
        </w:tabs>
        <w:spacing w:line="240" w:lineRule="auto" w:before="0" w:after="0"/>
        <w:ind w:left="879" w:right="0" w:hanging="597"/>
        <w:jc w:val="left"/>
      </w:pPr>
      <w:r>
        <w:rPr>
          <w:spacing w:val="-2"/>
        </w:rPr>
        <w:t>Transfer</w:t>
      </w:r>
      <w:r>
        <w:rPr>
          <w:spacing w:val="-4"/>
        </w:rPr>
        <w:t> </w:t>
      </w:r>
      <w:r>
        <w:rPr>
          <w:spacing w:val="-2"/>
        </w:rPr>
        <w:t>log</w:t>
      </w:r>
      <w:r>
        <w:rPr>
          <w:spacing w:val="-4"/>
        </w:rPr>
        <w:t> </w:t>
      </w:r>
      <w:r>
        <w:rPr>
          <w:spacing w:val="-2"/>
        </w:rPr>
        <w:t>extraction</w:t>
      </w:r>
      <w:r>
        <w:rPr>
          <w:spacing w:val="-3"/>
        </w:rPr>
        <w:t> </w:t>
      </w:r>
      <w:r>
        <w:rPr>
          <w:spacing w:val="-2"/>
        </w:rPr>
        <w:t>pattern</w:t>
      </w:r>
    </w:p>
    <w:p>
      <w:pPr>
        <w:pStyle w:val="Heading4"/>
        <w:numPr>
          <w:ilvl w:val="2"/>
          <w:numId w:val="8"/>
        </w:numPr>
        <w:tabs>
          <w:tab w:pos="879" w:val="left" w:leader="none"/>
        </w:tabs>
        <w:spacing w:line="240" w:lineRule="auto" w:before="0" w:after="0"/>
        <w:ind w:left="879" w:right="0" w:hanging="597"/>
        <w:jc w:val="left"/>
      </w:pPr>
      <w:r>
        <w:rPr>
          <w:i/>
        </w:rPr>
        <w:t>전송 로그 추출 패턴</w:t>
      </w:r>
    </w:p>
    <w:p>
      <w:pPr>
        <w:pStyle w:val="BodyText"/>
        <w:spacing w:before="42"/>
        <w:rPr>
          <w:b/>
        </w:rPr>
      </w:pPr>
    </w:p>
    <w:p>
      <w:pPr>
        <w:pStyle w:val="BodyText"/>
        <w:ind w:left="276"/>
      </w:pPr>
      <w:r>
        <w:rPr>
          <w:rFonts w:ascii="Calibri"/>
        </w:rPr>
        <w:t>Transfer</w:t>
      </w:r>
      <w:r>
        <w:rPr>
          <w:rFonts w:ascii="Calibri"/>
          <w:spacing w:val="37"/>
        </w:rPr>
        <w:t>  </w:t>
      </w:r>
      <w:r>
        <w:rPr/>
        <w:t>events</w:t>
      </w:r>
      <w:r>
        <w:rPr>
          <w:spacing w:val="31"/>
        </w:rPr>
        <w:t>  </w:t>
      </w:r>
      <w:r>
        <w:rPr/>
        <w:t>use</w:t>
      </w:r>
      <w:r>
        <w:rPr>
          <w:spacing w:val="31"/>
        </w:rPr>
        <w:t>  </w:t>
      </w:r>
      <w:r>
        <w:rPr/>
        <w:t>topic</w:t>
      </w:r>
      <w:r>
        <w:rPr>
          <w:spacing w:val="31"/>
        </w:rPr>
        <w:t>  </w:t>
      </w:r>
      <w:r>
        <w:rPr>
          <w:rFonts w:ascii="Calibri"/>
        </w:rPr>
        <w:t>0</w:t>
      </w:r>
      <w:r>
        <w:rPr>
          <w:rFonts w:ascii="Calibri"/>
          <w:spacing w:val="38"/>
        </w:rPr>
        <w:t>  </w:t>
      </w:r>
      <w:r>
        <w:rPr/>
        <w:t>for</w:t>
      </w:r>
      <w:r>
        <w:rPr>
          <w:spacing w:val="31"/>
        </w:rPr>
        <w:t>  </w:t>
      </w:r>
      <w:r>
        <w:rPr>
          <w:rFonts w:ascii="Calibri"/>
          <w:spacing w:val="-2"/>
        </w:rPr>
        <w:t>Transfer(address,address,uint256)</w:t>
      </w:r>
      <w:r>
        <w:rPr>
          <w:spacing w:val="-2"/>
        </w:rPr>
        <w:t>:</w:t>
      </w:r>
    </w:p>
    <w:p>
      <w:pPr>
        <w:pStyle w:val="BodyText"/>
        <w:ind w:left="276"/>
      </w:pPr>
      <w:r>
        <w:rPr>
          <w:i/>
        </w:rPr>
        <w:t>전송 이벤트는 전송(주소, 주소, 단위256)에 주제 0을 사용합니다.</w:t>
      </w:r>
    </w:p>
    <w:p>
      <w:pPr>
        <w:pStyle w:val="BodyText"/>
        <w:spacing w:before="53"/>
      </w:pPr>
    </w:p>
    <w:p>
      <w:pPr>
        <w:spacing w:before="0"/>
        <w:ind w:left="282" w:right="0" w:firstLine="0"/>
        <w:jc w:val="left"/>
        <w:rPr>
          <w:rFonts w:ascii="Cambria"/>
          <w:sz w:val="22"/>
        </w:rPr>
      </w:pPr>
      <w:r>
        <w:rPr>
          <w:rFonts w:ascii="Cambria"/>
          <w:spacing w:val="-2"/>
          <w:sz w:val="22"/>
        </w:rPr>
        <w:t>SELECT</w:t>
      </w:r>
    </w:p>
    <w:p>
      <w:pPr>
        <w:spacing w:before="0"/>
        <w:ind w:left="282" w:right="0" w:firstLine="0"/>
        <w:jc w:val="left"/>
        <w:rPr>
          <w:rFonts w:ascii="Cambria"/>
          <w:sz w:val="22"/>
        </w:rPr>
      </w:pPr>
      <w:r>
        <w:rPr>
          <w:i/>
        </w:rPr>
        <w:t>선택하다</w:t>
      </w:r>
    </w:p>
    <w:p>
      <w:pPr>
        <w:spacing w:line="393" w:lineRule="auto" w:before="160"/>
        <w:ind w:left="511" w:right="7744" w:firstLine="0"/>
        <w:jc w:val="left"/>
        <w:rPr>
          <w:rFonts w:ascii="Cambria"/>
          <w:sz w:val="22"/>
        </w:rPr>
      </w:pPr>
      <w:r>
        <w:rPr>
          <w:rFonts w:ascii="Cambria"/>
          <w:spacing w:val="-2"/>
          <w:w w:val="110"/>
          <w:sz w:val="22"/>
        </w:rPr>
        <w:t>block_timestamp, block_number, transaction_hash, log_index,</w:t>
      </w:r>
      <w:r>
        <w:rPr>
          <w:rFonts w:ascii="Cambria"/>
          <w:spacing w:val="40"/>
          <w:w w:val="110"/>
          <w:sz w:val="22"/>
        </w:rPr>
        <w:t>  </w:t>
      </w:r>
      <w:r>
        <w:rPr>
          <w:rFonts w:ascii="Cambria"/>
          <w:w w:val="110"/>
          <w:sz w:val="22"/>
        </w:rPr>
        <w:t>address</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token,</w:t>
      </w:r>
    </w:p>
    <w:p>
      <w:pPr>
        <w:spacing w:line="393" w:lineRule="auto" w:before="160"/>
        <w:ind w:left="511" w:right="7744" w:firstLine="0"/>
        <w:jc w:val="left"/>
        <w:rPr>
          <w:rFonts w:ascii="Cambria"/>
          <w:sz w:val="22"/>
        </w:rPr>
      </w:pPr>
      <w:r>
        <w:rPr>
          <w:i/>
        </w:rPr>
        <w:t>block_timestamp, block_number, transaction_hash, log_index, 주소 AS 토큰,</w:t>
      </w:r>
    </w:p>
    <w:p>
      <w:pPr>
        <w:spacing w:line="393" w:lineRule="auto" w:before="1"/>
        <w:ind w:left="511" w:right="5379" w:firstLine="0"/>
        <w:jc w:val="left"/>
        <w:rPr>
          <w:rFonts w:ascii="Cambria"/>
          <w:sz w:val="22"/>
        </w:rPr>
      </w:pPr>
      <w:r>
        <w:rPr>
          <w:rFonts w:ascii="Cambria"/>
          <w:w w:val="110"/>
          <w:sz w:val="22"/>
        </w:rPr>
        <w:t>topics[SAFE_OFFSET(1)]</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from_topic, topics[SAFE_OFFSET(2)]</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to_topic, data</w:t>
      </w:r>
      <w:r>
        <w:rPr>
          <w:rFonts w:ascii="Cambria"/>
          <w:spacing w:val="40"/>
          <w:w w:val="110"/>
          <w:sz w:val="22"/>
        </w:rPr>
        <w:t> </w:t>
      </w:r>
      <w:r>
        <w:rPr>
          <w:rFonts w:ascii="Cambria"/>
          <w:w w:val="110"/>
          <w:sz w:val="22"/>
        </w:rPr>
        <w:t>AS</w:t>
      </w:r>
      <w:r>
        <w:rPr>
          <w:rFonts w:ascii="Cambria"/>
          <w:spacing w:val="40"/>
          <w:w w:val="110"/>
          <w:sz w:val="22"/>
        </w:rPr>
        <w:t> </w:t>
      </w:r>
      <w:r>
        <w:rPr>
          <w:rFonts w:ascii="Cambria"/>
          <w:w w:val="110"/>
          <w:sz w:val="22"/>
        </w:rPr>
        <w:t>value_data</w:t>
      </w:r>
    </w:p>
    <w:p>
      <w:pPr>
        <w:spacing w:line="393" w:lineRule="auto" w:before="1"/>
        <w:ind w:left="511" w:right="5379" w:firstLine="0"/>
        <w:jc w:val="left"/>
        <w:rPr>
          <w:rFonts w:ascii="Cambria"/>
          <w:sz w:val="22"/>
        </w:rPr>
      </w:pPr>
      <w:r>
        <w:rPr>
          <w:i/>
        </w:rPr>
        <w:t>주제[SAFE_OFFSET(1)] AS from_topic, 주제[SAFE_OFFSET(2)] AS to_topic, 데이터 AS value_data</w:t>
      </w:r>
    </w:p>
    <w:p>
      <w:pPr>
        <w:spacing w:line="393" w:lineRule="auto" w:before="1"/>
        <w:ind w:left="282" w:right="2512" w:firstLine="0"/>
        <w:jc w:val="left"/>
        <w:rPr>
          <w:rFonts w:ascii="Cambria"/>
          <w:sz w:val="22"/>
        </w:rPr>
      </w:pPr>
      <w:r>
        <w:rPr>
          <w:rFonts w:ascii="Cambria"/>
          <w:w w:val="105"/>
          <w:sz w:val="22"/>
        </w:rPr>
        <w:t>FROM</w:t>
      </w:r>
      <w:r>
        <w:rPr>
          <w:rFonts w:ascii="Cambria"/>
          <w:spacing w:val="56"/>
          <w:w w:val="105"/>
          <w:sz w:val="22"/>
        </w:rPr>
        <w:t>   </w:t>
      </w:r>
      <w:r>
        <w:rPr>
          <w:rFonts w:ascii="Cambria"/>
          <w:w w:val="105"/>
          <w:sz w:val="22"/>
        </w:rPr>
        <w:t>`bigquery-public-</w:t>
      </w:r>
      <w:r>
        <w:rPr>
          <w:rFonts w:ascii="Cambria"/>
          <w:w w:val="105"/>
          <w:sz w:val="22"/>
        </w:rPr>
        <w:t>data.goog_blockchain_arbitrum_one_us.logs`</w:t>
      </w:r>
      <w:r>
        <w:rPr>
          <w:rFonts w:ascii="Cambria"/>
          <w:spacing w:val="80"/>
          <w:w w:val="150"/>
          <w:sz w:val="22"/>
        </w:rPr>
        <w:t> </w:t>
      </w:r>
      <w:r>
        <w:rPr>
          <w:rFonts w:ascii="Cambria"/>
          <w:w w:val="105"/>
          <w:sz w:val="22"/>
        </w:rPr>
        <w:t>WHERE</w:t>
      </w:r>
      <w:r>
        <w:rPr>
          <w:rFonts w:ascii="Cambria"/>
          <w:spacing w:val="26"/>
          <w:w w:val="105"/>
          <w:sz w:val="22"/>
        </w:rPr>
        <w:t> </w:t>
      </w:r>
      <w:r>
        <w:rPr>
          <w:rFonts w:ascii="Cambria"/>
          <w:w w:val="105"/>
          <w:sz w:val="22"/>
        </w:rPr>
        <w:t>block_timestamp</w:t>
      </w:r>
      <w:r>
        <w:rPr>
          <w:rFonts w:ascii="Cambria"/>
          <w:spacing w:val="25"/>
          <w:w w:val="105"/>
          <w:sz w:val="22"/>
        </w:rPr>
        <w:t> </w:t>
      </w:r>
      <w:r>
        <w:rPr>
          <w:rFonts w:ascii="Cambria"/>
          <w:w w:val="105"/>
          <w:sz w:val="22"/>
        </w:rPr>
        <w:t>&gt;=</w:t>
      </w:r>
      <w:r>
        <w:rPr>
          <w:rFonts w:ascii="Cambria"/>
          <w:spacing w:val="26"/>
          <w:w w:val="105"/>
          <w:sz w:val="22"/>
        </w:rPr>
        <w:t> </w:t>
      </w:r>
      <w:r>
        <w:rPr>
          <w:rFonts w:ascii="Cambria"/>
          <w:w w:val="105"/>
          <w:sz w:val="22"/>
        </w:rPr>
        <w:t>TIMESTAMP('2025-12-01')</w:t>
      </w:r>
    </w:p>
    <w:p>
      <w:pPr>
        <w:spacing w:line="393" w:lineRule="auto" w:before="1"/>
        <w:ind w:left="282" w:right="2512" w:firstLine="0"/>
        <w:jc w:val="left"/>
        <w:rPr>
          <w:rFonts w:ascii="Cambria"/>
          <w:sz w:val="22"/>
        </w:rPr>
      </w:pPr>
      <w:r>
        <w:rPr>
          <w:i/>
        </w:rPr>
        <w:t>FROM `bigquery-public-data.goog_blockchain_arbitrum_one_us.logs` WHERE block_timestamp &gt;= TIMESTAMP('2025-12-01')</w:t>
      </w:r>
    </w:p>
    <w:p>
      <w:pPr>
        <w:tabs>
          <w:tab w:pos="3145" w:val="left" w:leader="none"/>
        </w:tabs>
        <w:spacing w:line="393" w:lineRule="auto" w:before="0"/>
        <w:ind w:left="511" w:right="4423" w:firstLine="0"/>
        <w:jc w:val="left"/>
        <w:rPr>
          <w:rFonts w:ascii="Cambria"/>
          <w:sz w:val="22"/>
        </w:rPr>
      </w:pPr>
      <w:r>
        <w:rPr>
          <w:rFonts w:ascii="Cambria"/>
          <w:sz w:val="22"/>
        </w:rPr>
        <w:t>AND</w:t>
      </w:r>
      <w:r>
        <w:rPr>
          <w:rFonts w:ascii="Cambria"/>
          <w:spacing w:val="40"/>
          <w:sz w:val="22"/>
        </w:rPr>
        <w:t> </w:t>
      </w:r>
      <w:r>
        <w:rPr>
          <w:rFonts w:ascii="Cambria"/>
          <w:sz w:val="22"/>
        </w:rPr>
        <w:t>block_timestamp</w:t>
      </w:r>
      <w:r>
        <w:rPr>
          <w:rFonts w:ascii="Cambria"/>
          <w:spacing w:val="40"/>
          <w:sz w:val="22"/>
        </w:rPr>
        <w:t> </w:t>
      </w:r>
      <w:r>
        <w:rPr>
          <w:rFonts w:ascii="Cambria"/>
          <w:sz w:val="22"/>
        </w:rPr>
        <w:t>&lt;</w:t>
        <w:tab/>
      </w:r>
      <w:r>
        <w:rPr>
          <w:rFonts w:ascii="Cambria"/>
          <w:spacing w:val="-2"/>
          <w:sz w:val="22"/>
        </w:rPr>
        <w:t>TIMESTAMP('2026-01-</w:t>
      </w:r>
      <w:r>
        <w:rPr>
          <w:rFonts w:ascii="Cambria"/>
          <w:spacing w:val="-2"/>
          <w:sz w:val="22"/>
        </w:rPr>
        <w:t>01') </w:t>
      </w:r>
      <w:r>
        <w:rPr>
          <w:rFonts w:ascii="Cambria"/>
          <w:sz w:val="22"/>
        </w:rPr>
        <w:t>AND</w:t>
      </w:r>
      <w:r>
        <w:rPr>
          <w:rFonts w:ascii="Cambria"/>
          <w:spacing w:val="40"/>
          <w:sz w:val="22"/>
        </w:rPr>
        <w:t> </w:t>
      </w:r>
      <w:r>
        <w:rPr>
          <w:rFonts w:ascii="Cambria"/>
          <w:sz w:val="22"/>
        </w:rPr>
        <w:t>topics[SAFE_OFFSET(0)]</w:t>
      </w:r>
      <w:r>
        <w:rPr>
          <w:rFonts w:ascii="Cambria"/>
          <w:spacing w:val="40"/>
          <w:sz w:val="22"/>
        </w:rPr>
        <w:t> </w:t>
      </w:r>
      <w:r>
        <w:rPr>
          <w:rFonts w:ascii="Cambria"/>
          <w:sz w:val="22"/>
        </w:rPr>
        <w:t>=</w:t>
      </w:r>
    </w:p>
    <w:p>
      <w:pPr>
        <w:tabs>
          <w:tab w:pos="3145" w:val="left" w:leader="none"/>
        </w:tabs>
        <w:spacing w:line="393" w:lineRule="auto" w:before="0"/>
        <w:ind w:left="511" w:right="4423" w:firstLine="0"/>
        <w:jc w:val="left"/>
        <w:rPr>
          <w:rFonts w:ascii="Cambria"/>
          <w:sz w:val="22"/>
        </w:rPr>
      </w:pPr>
      <w:r>
        <w:rPr>
          <w:i/>
        </w:rPr>
        <w:t>AND 블록_타임스탬프 &lt;</w:t>
        <w:tab/>
        <w:t>TIMESTAMP('2026-01-01') AND 주제[SAFE_OFFSET(0)] =</w:t>
      </w:r>
    </w:p>
    <w:p>
      <w:pPr>
        <w:tabs>
          <w:tab w:pos="969" w:val="left" w:leader="none"/>
        </w:tabs>
        <w:spacing w:before="6"/>
        <w:ind w:left="574"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05"/>
          <w:sz w:val="22"/>
        </w:rPr>
        <w:t>'0xddf252ad1be2c89b69c2b068fc378daa952ba7f163c4a11628f55a4df523b3ef'</w:t>
      </w:r>
    </w:p>
    <w:p>
      <w:pPr>
        <w:spacing w:before="165"/>
        <w:ind w:left="511" w:right="0" w:firstLine="0"/>
        <w:jc w:val="left"/>
        <w:rPr>
          <w:rFonts w:ascii="Cambria"/>
          <w:sz w:val="22"/>
        </w:rPr>
      </w:pPr>
      <w:r>
        <w:rPr>
          <w:rFonts w:ascii="Cambria"/>
          <w:w w:val="85"/>
          <w:sz w:val="22"/>
        </w:rPr>
        <w:t>AND</w:t>
      </w:r>
      <w:r>
        <w:rPr>
          <w:rFonts w:ascii="Cambria"/>
          <w:spacing w:val="34"/>
          <w:w w:val="110"/>
          <w:sz w:val="22"/>
        </w:rPr>
        <w:t> </w:t>
      </w:r>
      <w:r>
        <w:rPr>
          <w:rFonts w:ascii="Cambria"/>
          <w:spacing w:val="-10"/>
          <w:w w:val="110"/>
          <w:sz w:val="22"/>
        </w:rPr>
        <w:t>(</w:t>
      </w:r>
    </w:p>
    <w:p>
      <w:pPr>
        <w:spacing w:before="165"/>
        <w:ind w:left="511" w:right="0" w:firstLine="0"/>
        <w:jc w:val="left"/>
        <w:rPr>
          <w:rFonts w:ascii="Cambria"/>
          <w:sz w:val="22"/>
        </w:rPr>
      </w:pPr>
      <w:r>
        <w:rPr>
          <w:i/>
        </w:rPr>
        <w:t>그리고 (</w:t>
      </w:r>
    </w:p>
    <w:p>
      <w:pPr>
        <w:spacing w:before="165"/>
        <w:ind w:left="740" w:right="0" w:firstLine="0"/>
        <w:jc w:val="left"/>
        <w:rPr>
          <w:rFonts w:ascii="Cambria"/>
          <w:sz w:val="22"/>
        </w:rPr>
      </w:pPr>
      <w:r>
        <w:rPr>
          <w:rFonts w:ascii="Cambria"/>
          <w:w w:val="105"/>
          <w:sz w:val="22"/>
        </w:rPr>
        <w:t>LOWER(CONCAT('0x',</w:t>
      </w:r>
      <w:r>
        <w:rPr>
          <w:rFonts w:ascii="Cambria"/>
          <w:spacing w:val="55"/>
          <w:w w:val="105"/>
          <w:sz w:val="22"/>
        </w:rPr>
        <w:t> </w:t>
      </w:r>
      <w:r>
        <w:rPr>
          <w:rFonts w:ascii="Cambria"/>
          <w:w w:val="105"/>
          <w:sz w:val="22"/>
        </w:rPr>
        <w:t>SUBSTR(topics[SAFE_OFFSET(1)],</w:t>
      </w:r>
      <w:r>
        <w:rPr>
          <w:rFonts w:ascii="Cambria"/>
          <w:spacing w:val="55"/>
          <w:w w:val="105"/>
          <w:sz w:val="22"/>
        </w:rPr>
        <w:t> </w:t>
      </w:r>
      <w:r>
        <w:rPr>
          <w:rFonts w:ascii="Cambria"/>
          <w:w w:val="105"/>
          <w:sz w:val="22"/>
        </w:rPr>
        <w:t>27)))</w:t>
      </w:r>
      <w:r>
        <w:rPr>
          <w:rFonts w:ascii="Cambria"/>
          <w:spacing w:val="56"/>
          <w:w w:val="105"/>
          <w:sz w:val="22"/>
        </w:rPr>
        <w:t> </w:t>
      </w:r>
      <w:r>
        <w:rPr>
          <w:rFonts w:ascii="Cambria"/>
          <w:spacing w:val="-5"/>
          <w:w w:val="105"/>
          <w:sz w:val="22"/>
        </w:rPr>
        <w:t>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6"/>
        <w:ind w:left="740" w:right="0" w:firstLine="0"/>
        <w:jc w:val="left"/>
        <w:rPr>
          <w:rFonts w:ascii="Cambria"/>
          <w:sz w:val="22"/>
        </w:rPr>
      </w:pPr>
      <w:r>
        <w:rPr>
          <w:rFonts w:ascii="Cambria"/>
          <w:sz w:val="22"/>
        </w:rPr>
        <w:t>OR</w:t>
      </w:r>
      <w:r>
        <w:rPr>
          <w:rFonts w:ascii="Cambria"/>
          <w:spacing w:val="32"/>
          <w:sz w:val="22"/>
        </w:rPr>
        <w:t>  </w:t>
      </w:r>
      <w:r>
        <w:rPr>
          <w:rFonts w:ascii="Cambria"/>
          <w:sz w:val="22"/>
        </w:rPr>
        <w:t>LOWER(CONCAT('0x',</w:t>
      </w:r>
      <w:r>
        <w:rPr>
          <w:rFonts w:ascii="Cambria"/>
          <w:spacing w:val="32"/>
          <w:sz w:val="22"/>
        </w:rPr>
        <w:t>  </w:t>
      </w:r>
      <w:r>
        <w:rPr>
          <w:rFonts w:ascii="Cambria"/>
          <w:sz w:val="22"/>
        </w:rPr>
        <w:t>SUBSTR(topics[SAFE_OFFSET(2)],</w:t>
      </w:r>
      <w:r>
        <w:rPr>
          <w:rFonts w:ascii="Cambria"/>
          <w:spacing w:val="33"/>
          <w:sz w:val="22"/>
        </w:rPr>
        <w:t>  </w:t>
      </w:r>
      <w:r>
        <w:rPr>
          <w:rFonts w:ascii="Cambria"/>
          <w:sz w:val="22"/>
        </w:rPr>
        <w:t>27)))</w:t>
      </w:r>
      <w:r>
        <w:rPr>
          <w:rFonts w:ascii="Cambria"/>
          <w:spacing w:val="32"/>
          <w:sz w:val="22"/>
        </w:rPr>
        <w:t>  </w:t>
      </w:r>
      <w:r>
        <w:rPr>
          <w:rFonts w:ascii="Cambria"/>
          <w:spacing w:val="-5"/>
          <w:sz w:val="22"/>
        </w:rPr>
        <w:t>IN</w:t>
      </w:r>
    </w:p>
    <w:p>
      <w:pPr>
        <w:spacing w:before="166"/>
        <w:ind w:left="740" w:right="0" w:firstLine="0"/>
        <w:jc w:val="left"/>
        <w:rPr>
          <w:rFonts w:ascii="Cambria"/>
          <w:sz w:val="22"/>
        </w:rPr>
      </w:pPr>
      <w:r>
        <w:rPr>
          <w:i/>
        </w:rPr>
        <w:t>OR LOWER(CONCAT('0x', SUBSTR(topics[SAFE_OFFSET(2)], 27))) IN</w:t>
      </w:r>
    </w:p>
    <w:p>
      <w:pPr>
        <w:tabs>
          <w:tab w:pos="1198" w:val="left" w:leader="none"/>
        </w:tabs>
        <w:spacing w:before="170"/>
        <w:ind w:left="803" w:right="0" w:firstLine="0"/>
        <w:jc w:val="left"/>
        <w:rPr>
          <w:rFonts w:ascii="Cambria" w:hAnsi="Cambria"/>
          <w:sz w:val="22"/>
        </w:rPr>
      </w:pPr>
      <w:r>
        <w:rPr>
          <w:rFonts w:ascii="Calibri" w:hAnsi="Calibri"/>
          <w:i/>
          <w:spacing w:val="-5"/>
          <w:w w:val="110"/>
          <w:sz w:val="12"/>
        </w:rPr>
        <w:t>‹</w:t>
      </w:r>
      <w:r>
        <w:rPr>
          <w:i/>
          <w:spacing w:val="-5"/>
          <w:w w:val="110"/>
          <w:sz w:val="12"/>
        </w:rPr>
        <w:t>→</w:t>
      </w:r>
      <w:r>
        <w:rPr>
          <w:i/>
          <w:sz w:val="12"/>
        </w:rPr>
        <w:tab/>
      </w:r>
      <w:r>
        <w:rPr>
          <w:rFonts w:ascii="Cambria" w:hAnsi="Cambria"/>
          <w:spacing w:val="-2"/>
          <w:w w:val="110"/>
          <w:sz w:val="22"/>
        </w:rPr>
        <w:t>UNNEST(@wallet_list)</w:t>
      </w:r>
    </w:p>
    <w:p>
      <w:pPr>
        <w:spacing w:before="165"/>
        <w:ind w:left="511" w:right="0" w:firstLine="0"/>
        <w:jc w:val="left"/>
        <w:rPr>
          <w:rFonts w:ascii="Cambria"/>
          <w:sz w:val="22"/>
        </w:rPr>
      </w:pPr>
      <w:r>
        <w:rPr>
          <w:rFonts w:ascii="Cambria"/>
          <w:spacing w:val="-5"/>
          <w:w w:val="160"/>
          <w:sz w:val="22"/>
        </w:rPr>
        <w:t>);</w:t>
      </w:r>
    </w:p>
    <w:p>
      <w:pPr>
        <w:spacing w:after="0"/>
        <w:jc w:val="left"/>
        <w:rPr>
          <w:rFonts w:ascii="Cambria"/>
          <w:sz w:val="22"/>
        </w:rPr>
        <w:sectPr>
          <w:pgSz w:w="11910" w:h="16840"/>
          <w:pgMar w:header="0" w:footer="2115" w:top="1900" w:bottom="2300" w:left="992" w:right="708"/>
        </w:sectPr>
      </w:pPr>
    </w:p>
    <w:p>
      <w:pPr>
        <w:pStyle w:val="BodyText"/>
        <w:spacing w:line="396" w:lineRule="auto" w:before="72"/>
        <w:ind w:left="282" w:right="565"/>
        <w:jc w:val="both"/>
      </w:pPr>
      <w:r>
        <w:rPr/>
        <w:t>Post-processing applies token decimals, builds time-decayed edge weights, and restricts nodes to </w:t>
      </w:r>
      <w:bookmarkStart w:name="GMX PositionDecrease extraction pattern" w:id="349"/>
      <w:bookmarkEnd w:id="349"/>
      <w:r>
        <w:rPr>
          <w:w w:val="99"/>
        </w:rPr>
      </w:r>
      <w:bookmarkStart w:name="_bookmark213" w:id="350"/>
      <w:bookmarkEnd w:id="350"/>
      <w:r>
        <w:rPr/>
        <w:t>the</w:t>
      </w:r>
      <w:r>
        <w:rPr/>
        <w:t> evaluation sample before PageRank.</w:t>
      </w:r>
    </w:p>
    <w:p>
      <w:pPr>
        <w:pStyle w:val="BodyText"/>
        <w:spacing w:line="396" w:lineRule="auto" w:before="72"/>
        <w:ind w:left="282" w:right="565"/>
        <w:jc w:val="both"/>
      </w:pPr>
      <w:r>
        <w:rPr>
          <w:i/>
        </w:rPr>
        <w:t>후처리는 토큰 소수점을 적용하고, 시간에 따른 간선 가중치를 구축하고, 노드를 PageRank 이전의 평가 샘플로 제한합니다.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spacing w:val="-2"/>
        </w:rPr>
        <w:t>GMX</w:t>
      </w:r>
      <w:r>
        <w:rPr>
          <w:spacing w:val="1"/>
        </w:rPr>
        <w:t> </w:t>
      </w:r>
      <w:r>
        <w:rPr>
          <w:spacing w:val="-2"/>
        </w:rPr>
        <w:t>PositionDecrease</w:t>
      </w:r>
      <w:r>
        <w:rPr>
          <w:spacing w:val="2"/>
        </w:rPr>
        <w:t> </w:t>
      </w:r>
      <w:r>
        <w:rPr>
          <w:spacing w:val="-2"/>
        </w:rPr>
        <w:t>extraction</w:t>
      </w:r>
      <w:r>
        <w:rPr>
          <w:spacing w:val="2"/>
        </w:rPr>
        <w:t> </w:t>
      </w:r>
      <w:r>
        <w:rPr>
          <w:spacing w:val="-2"/>
        </w:rPr>
        <w:t>pattern</w:t>
      </w:r>
    </w:p>
    <w:p>
      <w:pPr>
        <w:pStyle w:val="Heading4"/>
        <w:numPr>
          <w:ilvl w:val="2"/>
          <w:numId w:val="8"/>
        </w:numPr>
        <w:tabs>
          <w:tab w:pos="879" w:val="left" w:leader="none"/>
        </w:tabs>
        <w:spacing w:line="240" w:lineRule="auto" w:before="0" w:after="0"/>
        <w:ind w:left="879" w:right="0" w:hanging="597"/>
        <w:jc w:val="left"/>
      </w:pPr>
      <w:r>
        <w:rPr>
          <w:i/>
        </w:rPr>
        <w:t>GMX PositionDecrease 추출 패턴</w:t>
      </w:r>
    </w:p>
    <w:p>
      <w:pPr>
        <w:pStyle w:val="BodyText"/>
        <w:spacing w:before="42"/>
        <w:rPr>
          <w:b/>
        </w:rPr>
      </w:pPr>
    </w:p>
    <w:p>
      <w:pPr>
        <w:pStyle w:val="BodyText"/>
        <w:spacing w:line="381" w:lineRule="auto" w:before="1"/>
        <w:ind w:left="282" w:right="560"/>
        <w:jc w:val="both"/>
      </w:pPr>
      <w:r>
        <w:rPr>
          <w:w w:val="105"/>
        </w:rPr>
        <w:t>GMX V2 events are read from the </w:t>
      </w:r>
      <w:r>
        <w:rPr>
          <w:rFonts w:ascii="Calibri" w:hAnsi="Calibri"/>
          <w:w w:val="105"/>
        </w:rPr>
        <w:t>EventEmitter </w:t>
      </w:r>
      <w:r>
        <w:rPr>
          <w:w w:val="105"/>
        </w:rPr>
        <w:t>contract.</w:t>
      </w:r>
      <w:r>
        <w:rPr>
          <w:spacing w:val="40"/>
          <w:w w:val="105"/>
        </w:rPr>
        <w:t> </w:t>
      </w:r>
      <w:r>
        <w:rPr>
          <w:w w:val="105"/>
        </w:rPr>
        <w:t>The pipeline filters on the emitter </w:t>
      </w:r>
      <w:r>
        <w:rPr/>
        <w:t>address </w:t>
      </w:r>
      <w:r>
        <w:rPr>
          <w:rFonts w:ascii="Calibri" w:hAnsi="Calibri"/>
        </w:rPr>
        <w:t>0xC8ee91A54287DB53897056e12D9819156D3822Fb </w:t>
      </w:r>
      <w:r>
        <w:rPr/>
        <w:t>and decodes key–value fields to </w:t>
      </w:r>
      <w:r>
        <w:rPr>
          <w:w w:val="105"/>
        </w:rPr>
        <w:t>recover </w:t>
      </w:r>
      <w:r>
        <w:rPr>
          <w:rFonts w:ascii="Calibri" w:hAnsi="Calibri"/>
          <w:w w:val="105"/>
        </w:rPr>
        <w:t>account</w:t>
      </w:r>
      <w:r>
        <w:rPr>
          <w:w w:val="105"/>
        </w:rPr>
        <w:t>, </w:t>
      </w:r>
      <w:r>
        <w:rPr>
          <w:rFonts w:ascii="Calibri" w:hAnsi="Calibri"/>
          <w:w w:val="105"/>
        </w:rPr>
        <w:t>basePnlUsd</w:t>
      </w:r>
      <w:r>
        <w:rPr>
          <w:w w:val="105"/>
        </w:rPr>
        <w:t>, </w:t>
      </w:r>
      <w:r>
        <w:rPr>
          <w:rFonts w:ascii="Calibri" w:hAnsi="Calibri"/>
          <w:w w:val="105"/>
        </w:rPr>
        <w:t>sizeDeltaUsd</w:t>
      </w:r>
      <w:r>
        <w:rPr>
          <w:w w:val="105"/>
        </w:rPr>
        <w:t>, and liquidation flags. Only </w:t>
      </w:r>
      <w:r>
        <w:rPr>
          <w:rFonts w:ascii="Calibri" w:hAnsi="Calibri"/>
          <w:w w:val="105"/>
        </w:rPr>
        <w:t>PositionDecrease </w:t>
      </w:r>
      <w:r>
        <w:rPr/>
        <w:t>rows</w:t>
      </w:r>
      <w:r>
        <w:rPr>
          <w:spacing w:val="-15"/>
        </w:rPr>
        <w:t> </w:t>
      </w:r>
      <w:r>
        <w:rPr/>
        <w:t>enter</w:t>
      </w:r>
      <w:r>
        <w:rPr>
          <w:spacing w:val="-15"/>
        </w:rPr>
        <w:t> </w:t>
      </w:r>
      <w:r>
        <w:rPr/>
        <w:t>proxy</w:t>
      </w:r>
      <w:r>
        <w:rPr>
          <w:spacing w:val="-15"/>
        </w:rPr>
        <w:t> </w:t>
      </w:r>
      <w:r>
        <w:rPr/>
        <w:t>computation.</w:t>
      </w:r>
      <w:r>
        <w:rPr>
          <w:spacing w:val="-1"/>
        </w:rPr>
        <w:t> </w:t>
      </w:r>
      <w:r>
        <w:rPr/>
        <w:t>Wallets</w:t>
      </w:r>
      <w:r>
        <w:rPr>
          <w:spacing w:val="-15"/>
        </w:rPr>
        <w:t> </w:t>
      </w:r>
      <w:r>
        <w:rPr/>
        <w:t>with</w:t>
      </w:r>
      <w:r>
        <w:rPr>
          <w:spacing w:val="-15"/>
        </w:rPr>
        <w:t> </w:t>
      </w:r>
      <w:r>
        <w:rPr/>
        <w:t>fewer</w:t>
      </w:r>
      <w:r>
        <w:rPr>
          <w:spacing w:val="-15"/>
        </w:rPr>
        <w:t> </w:t>
      </w:r>
      <w:r>
        <w:rPr/>
        <w:t>than</w:t>
      </w:r>
      <w:r>
        <w:rPr>
          <w:spacing w:val="-15"/>
        </w:rPr>
        <w:t> </w:t>
      </w:r>
      <w:r>
        <w:rPr/>
        <w:t>three</w:t>
      </w:r>
      <w:r>
        <w:rPr>
          <w:spacing w:val="-15"/>
        </w:rPr>
        <w:t> </w:t>
      </w:r>
      <w:r>
        <w:rPr/>
        <w:t>closes</w:t>
      </w:r>
      <w:r>
        <w:rPr>
          <w:spacing w:val="-15"/>
        </w:rPr>
        <w:t> </w:t>
      </w:r>
      <w:r>
        <w:rPr/>
        <w:t>are</w:t>
      </w:r>
      <w:r>
        <w:rPr>
          <w:spacing w:val="-15"/>
        </w:rPr>
        <w:t> </w:t>
      </w:r>
      <w:r>
        <w:rPr/>
        <w:t>excluded</w:t>
      </w:r>
      <w:r>
        <w:rPr>
          <w:spacing w:val="-15"/>
        </w:rPr>
        <w:t> </w:t>
      </w:r>
      <w:r>
        <w:rPr/>
        <w:t>from</w:t>
      </w:r>
      <w:r>
        <w:rPr>
          <w:spacing w:val="-15"/>
        </w:rPr>
        <w:t> </w:t>
      </w:r>
      <w:r>
        <w:rPr/>
        <w:t>the</w:t>
      </w:r>
      <w:r>
        <w:rPr>
          <w:spacing w:val="-15"/>
        </w:rPr>
        <w:t> </w:t>
      </w:r>
      <w:r>
        <w:rPr/>
        <w:t>matched </w:t>
      </w:r>
      <w:bookmarkStart w:name="Configuration keys" w:id="351"/>
      <w:bookmarkEnd w:id="351"/>
      <w:r>
        <w:rPr>
          <w:w w:val="99"/>
        </w:rPr>
      </w:r>
      <w:bookmarkStart w:name="_bookmark214" w:id="352"/>
      <w:bookmarkEnd w:id="352"/>
      <w:r>
        <w:rPr>
          <w:spacing w:val="-2"/>
          <w:w w:val="105"/>
        </w:rPr>
        <w:t>cohort.</w:t>
      </w:r>
    </w:p>
    <w:p>
      <w:pPr>
        <w:pStyle w:val="BodyText"/>
        <w:spacing w:line="381" w:lineRule="auto" w:before="1"/>
        <w:ind w:left="282" w:right="560"/>
        <w:jc w:val="both"/>
      </w:pPr>
      <w:r>
        <w:rPr>
          <w:i/>
        </w:rPr>
        <w:t>GMX V2 이벤트는 EventEmitter 계약에서 읽혀집니다. 파이프라인은 이미터 주소 0xC8ee91A54287DB53897056e12D9819156D3822Fb를 필터링하고 키-값 필드를 디코딩하여 계정, basePnlUsd, sizeDeltaUsd 및 청산 플래그를 복구합니다. PositionDecrease 행만 프록시 계산에 들어갑니다. 마감 횟수가 3회 미만인 지갑은 일치 코호트에서 제외됩니다.</w:t>
      </w:r>
    </w:p>
    <w:p>
      <w:pPr>
        <w:pStyle w:val="BodyText"/>
        <w:spacing w:before="16"/>
      </w:pPr>
    </w:p>
    <w:p>
      <w:pPr>
        <w:pStyle w:val="Heading4"/>
        <w:numPr>
          <w:ilvl w:val="2"/>
          <w:numId w:val="8"/>
        </w:numPr>
        <w:tabs>
          <w:tab w:pos="879" w:val="left" w:leader="none"/>
        </w:tabs>
        <w:spacing w:line="240" w:lineRule="auto" w:before="0" w:after="0"/>
        <w:ind w:left="879" w:right="0" w:hanging="597"/>
        <w:jc w:val="left"/>
      </w:pPr>
      <w:r>
        <w:rPr>
          <w:spacing w:val="-2"/>
        </w:rPr>
        <w:t>Configuration </w:t>
      </w:r>
      <w:r>
        <w:rPr>
          <w:spacing w:val="-4"/>
        </w:rPr>
        <w:t>keys</w:t>
      </w:r>
    </w:p>
    <w:p>
      <w:pPr>
        <w:pStyle w:val="Heading4"/>
        <w:numPr>
          <w:ilvl w:val="2"/>
          <w:numId w:val="8"/>
        </w:numPr>
        <w:tabs>
          <w:tab w:pos="879" w:val="left" w:leader="none"/>
        </w:tabs>
        <w:spacing w:line="240" w:lineRule="auto" w:before="0" w:after="0"/>
        <w:ind w:left="879" w:right="0" w:hanging="597"/>
        <w:jc w:val="left"/>
      </w:pPr>
      <w:r>
        <w:rPr>
          <w:i/>
        </w:rPr>
        <w:t>구성 키</w:t>
      </w:r>
    </w:p>
    <w:p>
      <w:pPr>
        <w:pStyle w:val="BodyText"/>
        <w:spacing w:before="47"/>
        <w:rPr>
          <w:b/>
        </w:rPr>
      </w:pPr>
    </w:p>
    <w:p>
      <w:pPr>
        <w:pStyle w:val="BodyText"/>
        <w:spacing w:line="396" w:lineRule="auto"/>
        <w:ind w:left="282" w:right="524" w:hanging="8"/>
        <w:jc w:val="both"/>
      </w:pPr>
      <w:r>
        <w:rPr/>
        <w:t>The pipeline’s parameters are collected in a single versioned configuration file.</w:t>
      </w:r>
      <w:r>
        <w:rPr>
          <w:spacing w:val="40"/>
        </w:rPr>
        <w:t> </w:t>
      </w:r>
      <w:r>
        <w:rPr/>
        <w:t>Salient keys in-</w:t>
      </w:r>
      <w:r>
        <w:rPr>
          <w:spacing w:val="-2"/>
        </w:rPr>
        <w:t>clude:</w:t>
      </w:r>
    </w:p>
    <w:p>
      <w:pPr>
        <w:pStyle w:val="BodyText"/>
        <w:spacing w:line="396" w:lineRule="auto"/>
        <w:ind w:left="282" w:right="524" w:hanging="8"/>
        <w:jc w:val="both"/>
      </w:pPr>
      <w:r>
        <w:rPr>
          <w:i/>
        </w:rPr>
        <w:t>파이프라인의 매개변수는 버전이 지정된 단일 구성 파일에 수집됩니다. 주요 키에는 다음이 포함됩니다.</w:t>
      </w:r>
    </w:p>
    <w:p>
      <w:pPr>
        <w:pStyle w:val="ListParagraph"/>
        <w:numPr>
          <w:ilvl w:val="3"/>
          <w:numId w:val="8"/>
        </w:numPr>
        <w:tabs>
          <w:tab w:pos="807" w:val="left" w:leader="none"/>
        </w:tabs>
        <w:spacing w:line="240" w:lineRule="auto" w:before="121" w:after="0"/>
        <w:ind w:left="807" w:right="0" w:hanging="214"/>
        <w:jc w:val="left"/>
        <w:rPr>
          <w:sz w:val="24"/>
        </w:rPr>
      </w:pPr>
      <w:r>
        <w:rPr>
          <w:sz w:val="24"/>
        </w:rPr>
        <w:t>observation</w:t>
      </w:r>
      <w:r>
        <w:rPr>
          <w:spacing w:val="-8"/>
          <w:sz w:val="24"/>
        </w:rPr>
        <w:t> </w:t>
      </w:r>
      <w:r>
        <w:rPr>
          <w:sz w:val="24"/>
        </w:rPr>
        <w:t>window</w:t>
      </w:r>
      <w:r>
        <w:rPr>
          <w:spacing w:val="-8"/>
          <w:sz w:val="24"/>
        </w:rPr>
        <w:t> </w:t>
      </w:r>
      <w:r>
        <w:rPr>
          <w:sz w:val="24"/>
        </w:rPr>
        <w:t>start</w:t>
      </w:r>
      <w:r>
        <w:rPr>
          <w:spacing w:val="-8"/>
          <w:sz w:val="24"/>
        </w:rPr>
        <w:t> </w:t>
      </w:r>
      <w:r>
        <w:rPr>
          <w:sz w:val="24"/>
        </w:rPr>
        <w:t>and</w:t>
      </w:r>
      <w:r>
        <w:rPr>
          <w:spacing w:val="-8"/>
          <w:sz w:val="24"/>
        </w:rPr>
        <w:t> </w:t>
      </w:r>
      <w:r>
        <w:rPr>
          <w:sz w:val="24"/>
        </w:rPr>
        <w:t>end</w:t>
      </w:r>
      <w:r>
        <w:rPr>
          <w:spacing w:val="-8"/>
          <w:sz w:val="24"/>
        </w:rPr>
        <w:t> </w:t>
      </w:r>
      <w:r>
        <w:rPr>
          <w:spacing w:val="-2"/>
          <w:sz w:val="24"/>
        </w:rPr>
        <w:t>timestamps;</w:t>
      </w:r>
    </w:p>
    <w:p>
      <w:pPr>
        <w:pStyle w:val="ListParagraph"/>
        <w:numPr>
          <w:ilvl w:val="3"/>
          <w:numId w:val="8"/>
        </w:numPr>
        <w:tabs>
          <w:tab w:pos="807" w:val="left" w:leader="none"/>
        </w:tabs>
        <w:spacing w:line="240" w:lineRule="auto" w:before="121" w:after="0"/>
        <w:ind w:left="807" w:right="0" w:hanging="214"/>
        <w:jc w:val="left"/>
        <w:rPr>
          <w:sz w:val="24"/>
        </w:rPr>
      </w:pPr>
      <w:r>
        <w:rPr>
          <w:i/>
        </w:rPr>
        <w:t>관찰 창 시작 및 종료 타임스탬프;</w:t>
      </w:r>
    </w:p>
    <w:p>
      <w:pPr>
        <w:pStyle w:val="ListParagraph"/>
        <w:numPr>
          <w:ilvl w:val="3"/>
          <w:numId w:val="8"/>
        </w:numPr>
        <w:tabs>
          <w:tab w:pos="807" w:val="left" w:leader="none"/>
        </w:tabs>
        <w:spacing w:line="240" w:lineRule="auto" w:before="217" w:after="0"/>
        <w:ind w:left="807" w:right="0" w:hanging="214"/>
        <w:jc w:val="left"/>
        <w:rPr>
          <w:sz w:val="24"/>
        </w:rPr>
      </w:pPr>
      <w:r>
        <w:rPr>
          <w:sz w:val="24"/>
        </w:rPr>
        <w:t>PageRank</w:t>
      </w:r>
      <w:r>
        <w:rPr>
          <w:spacing w:val="-10"/>
          <w:sz w:val="24"/>
        </w:rPr>
        <w:t> </w:t>
      </w:r>
      <w:r>
        <w:rPr>
          <w:sz w:val="24"/>
        </w:rPr>
        <w:t>damping,</w:t>
      </w:r>
      <w:r>
        <w:rPr>
          <w:spacing w:val="-9"/>
          <w:sz w:val="24"/>
        </w:rPr>
        <w:t> </w:t>
      </w:r>
      <w:r>
        <w:rPr>
          <w:sz w:val="24"/>
        </w:rPr>
        <w:t>tolerance,</w:t>
      </w:r>
      <w:r>
        <w:rPr>
          <w:spacing w:val="-9"/>
          <w:sz w:val="24"/>
        </w:rPr>
        <w:t> </w:t>
      </w:r>
      <w:r>
        <w:rPr>
          <w:sz w:val="24"/>
        </w:rPr>
        <w:t>and</w:t>
      </w:r>
      <w:r>
        <w:rPr>
          <w:spacing w:val="-10"/>
          <w:sz w:val="24"/>
        </w:rPr>
        <w:t> </w:t>
      </w:r>
      <w:r>
        <w:rPr>
          <w:sz w:val="24"/>
        </w:rPr>
        <w:t>maximum</w:t>
      </w:r>
      <w:r>
        <w:rPr>
          <w:spacing w:val="-9"/>
          <w:sz w:val="24"/>
        </w:rPr>
        <w:t> </w:t>
      </w:r>
      <w:r>
        <w:rPr>
          <w:spacing w:val="-2"/>
          <w:sz w:val="24"/>
        </w:rPr>
        <w:t>iterations;</w:t>
      </w:r>
    </w:p>
    <w:p>
      <w:pPr>
        <w:pStyle w:val="ListParagraph"/>
        <w:numPr>
          <w:ilvl w:val="3"/>
          <w:numId w:val="8"/>
        </w:numPr>
        <w:tabs>
          <w:tab w:pos="807" w:val="left" w:leader="none"/>
        </w:tabs>
        <w:spacing w:line="240" w:lineRule="auto" w:before="217" w:after="0"/>
        <w:ind w:left="807" w:right="0" w:hanging="214"/>
        <w:jc w:val="left"/>
        <w:rPr>
          <w:sz w:val="24"/>
        </w:rPr>
      </w:pPr>
      <w:r>
        <w:rPr>
          <w:i/>
        </w:rPr>
        <w:t>PageRank 감쇠, 공차 및 최대 반복;</w:t>
      </w:r>
    </w:p>
    <w:p>
      <w:pPr>
        <w:pStyle w:val="ListParagraph"/>
        <w:numPr>
          <w:ilvl w:val="3"/>
          <w:numId w:val="8"/>
        </w:numPr>
        <w:tabs>
          <w:tab w:pos="807" w:val="left" w:leader="none"/>
        </w:tabs>
        <w:spacing w:line="240" w:lineRule="auto" w:before="213" w:after="0"/>
        <w:ind w:left="807" w:right="0" w:hanging="214"/>
        <w:jc w:val="left"/>
        <w:rPr>
          <w:sz w:val="24"/>
        </w:rPr>
      </w:pPr>
      <w:r>
        <w:rPr>
          <w:sz w:val="24"/>
        </w:rPr>
        <w:t>logistic</w:t>
      </w:r>
      <w:r>
        <w:rPr>
          <w:spacing w:val="-2"/>
          <w:sz w:val="24"/>
        </w:rPr>
        <w:t> </w:t>
      </w:r>
      <w:r>
        <w:rPr>
          <w:sz w:val="24"/>
        </w:rPr>
        <w:t>decay</w:t>
      </w:r>
      <w:r>
        <w:rPr>
          <w:spacing w:val="-2"/>
          <w:sz w:val="24"/>
        </w:rPr>
        <w:t> </w:t>
      </w:r>
      <w:r>
        <w:rPr>
          <w:rFonts w:ascii="Calibri" w:hAnsi="Calibri"/>
          <w:i/>
          <w:sz w:val="24"/>
        </w:rPr>
        <w:t>k</w:t>
      </w:r>
      <w:r>
        <w:rPr>
          <w:rFonts w:ascii="Calibri" w:hAnsi="Calibri"/>
          <w:i/>
          <w:spacing w:val="11"/>
          <w:sz w:val="24"/>
        </w:rPr>
        <w:t> </w:t>
      </w:r>
      <w:r>
        <w:rPr>
          <w:sz w:val="24"/>
        </w:rPr>
        <w:t>and</w:t>
      </w:r>
      <w:r>
        <w:rPr>
          <w:spacing w:val="-2"/>
          <w:sz w:val="24"/>
        </w:rPr>
        <w:t> </w:t>
      </w:r>
      <w:r>
        <w:rPr>
          <w:rFonts w:ascii="Calibri" w:hAnsi="Calibri"/>
          <w:i/>
          <w:spacing w:val="-5"/>
          <w:sz w:val="24"/>
        </w:rPr>
        <w:t>t</w:t>
      </w:r>
      <w:r>
        <w:rPr>
          <w:rFonts w:ascii="Calibri" w:hAnsi="Calibri"/>
          <w:spacing w:val="-5"/>
          <w:sz w:val="24"/>
          <w:vertAlign w:val="subscript"/>
        </w:rPr>
        <w:t>0</w:t>
      </w:r>
      <w:r>
        <w:rPr>
          <w:spacing w:val="-5"/>
          <w:sz w:val="24"/>
          <w:vertAlign w:val="baseline"/>
        </w:rPr>
        <w:t>;</w:t>
      </w:r>
    </w:p>
    <w:p>
      <w:pPr>
        <w:pStyle w:val="ListParagraph"/>
        <w:numPr>
          <w:ilvl w:val="3"/>
          <w:numId w:val="8"/>
        </w:numPr>
        <w:tabs>
          <w:tab w:pos="807" w:val="left" w:leader="none"/>
        </w:tabs>
        <w:spacing w:line="240" w:lineRule="auto" w:before="213" w:after="0"/>
        <w:ind w:left="807" w:right="0" w:hanging="214"/>
        <w:jc w:val="left"/>
        <w:rPr>
          <w:sz w:val="24"/>
        </w:rPr>
      </w:pPr>
      <w:r>
        <w:rPr>
          <w:i/>
        </w:rPr>
        <w:t>로지스틱 붕괴 k 및 t0;</w:t>
      </w:r>
    </w:p>
    <w:p>
      <w:pPr>
        <w:pStyle w:val="ListParagraph"/>
        <w:numPr>
          <w:ilvl w:val="3"/>
          <w:numId w:val="8"/>
        </w:numPr>
        <w:tabs>
          <w:tab w:pos="807" w:val="left" w:leader="none"/>
        </w:tabs>
        <w:spacing w:line="240" w:lineRule="auto" w:before="205" w:after="0"/>
        <w:ind w:left="807" w:right="0" w:hanging="214"/>
        <w:jc w:val="left"/>
        <w:rPr>
          <w:sz w:val="24"/>
        </w:rPr>
      </w:pPr>
      <w:r>
        <w:rPr>
          <w:sz w:val="24"/>
        </w:rPr>
        <w:t>GMX</w:t>
      </w:r>
      <w:r>
        <w:rPr>
          <w:spacing w:val="-9"/>
          <w:sz w:val="24"/>
        </w:rPr>
        <w:t> </w:t>
      </w:r>
      <w:r>
        <w:rPr>
          <w:sz w:val="24"/>
        </w:rPr>
        <w:t>emitter</w:t>
      </w:r>
      <w:r>
        <w:rPr>
          <w:spacing w:val="-8"/>
          <w:sz w:val="24"/>
        </w:rPr>
        <w:t> </w:t>
      </w:r>
      <w:r>
        <w:rPr>
          <w:sz w:val="24"/>
        </w:rPr>
        <w:t>address</w:t>
      </w:r>
      <w:r>
        <w:rPr>
          <w:spacing w:val="-8"/>
          <w:sz w:val="24"/>
        </w:rPr>
        <w:t> </w:t>
      </w:r>
      <w:r>
        <w:rPr>
          <w:sz w:val="24"/>
        </w:rPr>
        <w:t>and</w:t>
      </w:r>
      <w:r>
        <w:rPr>
          <w:spacing w:val="-8"/>
          <w:sz w:val="24"/>
        </w:rPr>
        <w:t> </w:t>
      </w:r>
      <w:r>
        <w:rPr>
          <w:sz w:val="24"/>
        </w:rPr>
        <w:t>topic</w:t>
      </w:r>
      <w:r>
        <w:rPr>
          <w:spacing w:val="-8"/>
          <w:sz w:val="24"/>
        </w:rPr>
        <w:t> </w:t>
      </w:r>
      <w:r>
        <w:rPr>
          <w:spacing w:val="-2"/>
          <w:sz w:val="24"/>
        </w:rPr>
        <w:t>filters;</w:t>
      </w:r>
    </w:p>
    <w:p>
      <w:pPr>
        <w:pStyle w:val="ListParagraph"/>
        <w:numPr>
          <w:ilvl w:val="3"/>
          <w:numId w:val="8"/>
        </w:numPr>
        <w:tabs>
          <w:tab w:pos="807" w:val="left" w:leader="none"/>
        </w:tabs>
        <w:spacing w:line="240" w:lineRule="auto" w:before="205" w:after="0"/>
        <w:ind w:left="807" w:right="0" w:hanging="214"/>
        <w:jc w:val="left"/>
        <w:rPr>
          <w:sz w:val="24"/>
        </w:rPr>
      </w:pPr>
      <w:r>
        <w:rPr>
          <w:i/>
        </w:rPr>
        <w:t>GMX 이미터 주소 및 주제 필터;</w:t>
      </w:r>
    </w:p>
    <w:p>
      <w:pPr>
        <w:pStyle w:val="ListParagraph"/>
        <w:numPr>
          <w:ilvl w:val="3"/>
          <w:numId w:val="8"/>
        </w:numPr>
        <w:tabs>
          <w:tab w:pos="807" w:val="left" w:leader="none"/>
        </w:tabs>
        <w:spacing w:line="240" w:lineRule="auto" w:before="212" w:after="0"/>
        <w:ind w:left="807" w:right="0" w:hanging="214"/>
        <w:jc w:val="left"/>
        <w:rPr>
          <w:sz w:val="24"/>
        </w:rPr>
      </w:pPr>
      <w:r>
        <w:rPr>
          <w:sz w:val="24"/>
        </w:rPr>
        <w:t>minimum</w:t>
      </w:r>
      <w:r>
        <w:rPr>
          <w:spacing w:val="3"/>
          <w:sz w:val="24"/>
        </w:rPr>
        <w:t> </w:t>
      </w:r>
      <w:r>
        <w:rPr>
          <w:sz w:val="24"/>
        </w:rPr>
        <w:t>closes</w:t>
      </w:r>
      <w:r>
        <w:rPr>
          <w:spacing w:val="4"/>
          <w:sz w:val="24"/>
        </w:rPr>
        <w:t> </w:t>
      </w:r>
      <w:r>
        <w:rPr>
          <w:sz w:val="24"/>
        </w:rPr>
        <w:t>for</w:t>
      </w:r>
      <w:r>
        <w:rPr>
          <w:spacing w:val="4"/>
          <w:sz w:val="24"/>
        </w:rPr>
        <w:t> </w:t>
      </w:r>
      <w:r>
        <w:rPr>
          <w:sz w:val="24"/>
        </w:rPr>
        <w:t>cohort</w:t>
      </w:r>
      <w:r>
        <w:rPr>
          <w:spacing w:val="4"/>
          <w:sz w:val="24"/>
        </w:rPr>
        <w:t> </w:t>
      </w:r>
      <w:r>
        <w:rPr>
          <w:sz w:val="24"/>
        </w:rPr>
        <w:t>eligibility</w:t>
      </w:r>
      <w:r>
        <w:rPr>
          <w:spacing w:val="4"/>
          <w:sz w:val="24"/>
        </w:rPr>
        <w:t> </w:t>
      </w:r>
      <w:r>
        <w:rPr>
          <w:sz w:val="24"/>
        </w:rPr>
        <w:t>(</w:t>
      </w:r>
      <w:r>
        <w:rPr>
          <w:rFonts w:ascii="Calibri" w:hAnsi="Calibri"/>
          <w:i/>
          <w:sz w:val="24"/>
        </w:rPr>
        <w:t>m</w:t>
      </w:r>
      <w:r>
        <w:rPr>
          <w:rFonts w:ascii="Calibri" w:hAnsi="Calibri"/>
          <w:i/>
          <w:spacing w:val="17"/>
          <w:sz w:val="24"/>
        </w:rPr>
        <w:t> </w:t>
      </w:r>
      <w:r>
        <w:rPr>
          <w:rFonts w:ascii="Calibri" w:hAnsi="Calibri"/>
          <w:sz w:val="24"/>
        </w:rPr>
        <w:t>=</w:t>
      </w:r>
      <w:r>
        <w:rPr>
          <w:rFonts w:ascii="Calibri" w:hAnsi="Calibri"/>
          <w:spacing w:val="17"/>
          <w:sz w:val="24"/>
        </w:rPr>
        <w:t> </w:t>
      </w:r>
      <w:r>
        <w:rPr>
          <w:rFonts w:ascii="Calibri" w:hAnsi="Calibri"/>
          <w:spacing w:val="-5"/>
          <w:sz w:val="24"/>
        </w:rPr>
        <w:t>3</w:t>
      </w:r>
      <w:r>
        <w:rPr>
          <w:spacing w:val="-5"/>
          <w:sz w:val="24"/>
        </w:rPr>
        <w:t>);</w:t>
      </w:r>
    </w:p>
    <w:p>
      <w:pPr>
        <w:pStyle w:val="ListParagraph"/>
        <w:numPr>
          <w:ilvl w:val="3"/>
          <w:numId w:val="8"/>
        </w:numPr>
        <w:tabs>
          <w:tab w:pos="807" w:val="left" w:leader="none"/>
        </w:tabs>
        <w:spacing w:line="240" w:lineRule="auto" w:before="212" w:after="0"/>
        <w:ind w:left="807" w:right="0" w:hanging="214"/>
        <w:jc w:val="left"/>
        <w:rPr>
          <w:sz w:val="24"/>
        </w:rPr>
      </w:pPr>
      <w:r>
        <w:rPr>
          <w:i/>
        </w:rPr>
        <w:t>코호트 적격성을 위한 최소 마감(m = 3);</w:t>
      </w:r>
    </w:p>
    <w:p>
      <w:pPr>
        <w:pStyle w:val="ListParagraph"/>
        <w:numPr>
          <w:ilvl w:val="3"/>
          <w:numId w:val="8"/>
        </w:numPr>
        <w:tabs>
          <w:tab w:pos="807" w:val="left" w:leader="none"/>
        </w:tabs>
        <w:spacing w:line="240" w:lineRule="auto" w:before="205" w:after="0"/>
        <w:ind w:left="807" w:right="0" w:hanging="214"/>
        <w:jc w:val="left"/>
        <w:rPr>
          <w:sz w:val="24"/>
        </w:rPr>
      </w:pPr>
      <w:r>
        <w:rPr>
          <w:sz w:val="24"/>
        </w:rPr>
        <w:t>benchmark</w:t>
      </w:r>
      <w:r>
        <w:rPr>
          <w:spacing w:val="-9"/>
          <w:sz w:val="24"/>
        </w:rPr>
        <w:t> </w:t>
      </w:r>
      <w:r>
        <w:rPr>
          <w:sz w:val="24"/>
        </w:rPr>
        <w:t>repetition</w:t>
      </w:r>
      <w:r>
        <w:rPr>
          <w:spacing w:val="-9"/>
          <w:sz w:val="24"/>
        </w:rPr>
        <w:t> </w:t>
      </w:r>
      <w:r>
        <w:rPr>
          <w:sz w:val="24"/>
        </w:rPr>
        <w:t>count</w:t>
      </w:r>
      <w:r>
        <w:rPr>
          <w:spacing w:val="-9"/>
          <w:sz w:val="24"/>
        </w:rPr>
        <w:t> </w:t>
      </w:r>
      <w:r>
        <w:rPr>
          <w:sz w:val="24"/>
        </w:rPr>
        <w:t>and</w:t>
      </w:r>
      <w:r>
        <w:rPr>
          <w:spacing w:val="-9"/>
          <w:sz w:val="24"/>
        </w:rPr>
        <w:t> </w:t>
      </w:r>
      <w:r>
        <w:rPr>
          <w:sz w:val="24"/>
        </w:rPr>
        <w:t>subsample</w:t>
      </w:r>
      <w:r>
        <w:rPr>
          <w:spacing w:val="-8"/>
          <w:sz w:val="24"/>
        </w:rPr>
        <w:t> </w:t>
      </w:r>
      <w:r>
        <w:rPr>
          <w:spacing w:val="-2"/>
          <w:sz w:val="24"/>
        </w:rPr>
        <w:t>seeds;</w:t>
      </w:r>
    </w:p>
    <w:p>
      <w:pPr>
        <w:pStyle w:val="ListParagraph"/>
        <w:numPr>
          <w:ilvl w:val="3"/>
          <w:numId w:val="8"/>
        </w:numPr>
        <w:tabs>
          <w:tab w:pos="807" w:val="left" w:leader="none"/>
        </w:tabs>
        <w:spacing w:line="240" w:lineRule="auto" w:before="205" w:after="0"/>
        <w:ind w:left="807" w:right="0" w:hanging="214"/>
        <w:jc w:val="left"/>
        <w:rPr>
          <w:sz w:val="24"/>
        </w:rPr>
      </w:pPr>
      <w:r>
        <w:rPr>
          <w:i/>
        </w:rPr>
        <w:t>벤치마크 반복 횟수 및 하위 샘플 시드</w:t>
      </w:r>
    </w:p>
    <w:p>
      <w:pPr>
        <w:pStyle w:val="ListParagraph"/>
        <w:numPr>
          <w:ilvl w:val="3"/>
          <w:numId w:val="8"/>
        </w:numPr>
        <w:tabs>
          <w:tab w:pos="807" w:val="left" w:leader="none"/>
        </w:tabs>
        <w:spacing w:line="240" w:lineRule="auto" w:before="217" w:after="0"/>
        <w:ind w:left="807" w:right="0" w:hanging="214"/>
        <w:jc w:val="left"/>
        <w:rPr>
          <w:sz w:val="24"/>
        </w:rPr>
      </w:pPr>
      <w:r>
        <w:rPr>
          <w:sz w:val="24"/>
        </w:rPr>
        <w:t>output</w:t>
      </w:r>
      <w:r>
        <w:rPr>
          <w:spacing w:val="-13"/>
          <w:sz w:val="24"/>
        </w:rPr>
        <w:t> </w:t>
      </w:r>
      <w:r>
        <w:rPr>
          <w:sz w:val="24"/>
        </w:rPr>
        <w:t>locations</w:t>
      </w:r>
      <w:r>
        <w:rPr>
          <w:spacing w:val="-13"/>
          <w:sz w:val="24"/>
        </w:rPr>
        <w:t> </w:t>
      </w:r>
      <w:r>
        <w:rPr>
          <w:sz w:val="24"/>
        </w:rPr>
        <w:t>for</w:t>
      </w:r>
      <w:r>
        <w:rPr>
          <w:spacing w:val="-12"/>
          <w:sz w:val="24"/>
        </w:rPr>
        <w:t> </w:t>
      </w:r>
      <w:r>
        <w:rPr>
          <w:sz w:val="24"/>
        </w:rPr>
        <w:t>intermediate</w:t>
      </w:r>
      <w:r>
        <w:rPr>
          <w:spacing w:val="-13"/>
          <w:sz w:val="24"/>
        </w:rPr>
        <w:t> </w:t>
      </w:r>
      <w:r>
        <w:rPr>
          <w:sz w:val="24"/>
        </w:rPr>
        <w:t>artifacts</w:t>
      </w:r>
      <w:r>
        <w:rPr>
          <w:spacing w:val="-13"/>
          <w:sz w:val="24"/>
        </w:rPr>
        <w:t> </w:t>
      </w:r>
      <w:r>
        <w:rPr>
          <w:sz w:val="24"/>
        </w:rPr>
        <w:t>and</w:t>
      </w:r>
      <w:r>
        <w:rPr>
          <w:spacing w:val="-12"/>
          <w:sz w:val="24"/>
        </w:rPr>
        <w:t> </w:t>
      </w:r>
      <w:r>
        <w:rPr>
          <w:sz w:val="24"/>
        </w:rPr>
        <w:t>LaTeX</w:t>
      </w:r>
      <w:r>
        <w:rPr>
          <w:spacing w:val="-13"/>
          <w:sz w:val="24"/>
        </w:rPr>
        <w:t> </w:t>
      </w:r>
      <w:r>
        <w:rPr>
          <w:spacing w:val="-2"/>
          <w:sz w:val="24"/>
        </w:rPr>
        <w:t>fragments.</w:t>
      </w:r>
    </w:p>
    <w:p>
      <w:pPr>
        <w:pStyle w:val="ListParagraph"/>
        <w:numPr>
          <w:ilvl w:val="3"/>
          <w:numId w:val="8"/>
        </w:numPr>
        <w:tabs>
          <w:tab w:pos="807" w:val="left" w:leader="none"/>
        </w:tabs>
        <w:spacing w:line="240" w:lineRule="auto" w:before="217" w:after="0"/>
        <w:ind w:left="807" w:right="0" w:hanging="214"/>
        <w:jc w:val="left"/>
        <w:rPr>
          <w:sz w:val="24"/>
        </w:rPr>
      </w:pPr>
      <w:r>
        <w:rPr>
          <w:i/>
        </w:rPr>
        <w:t>중간 아티팩트 및 LaTeX 조각의 출력 위치.</w:t>
      </w:r>
    </w:p>
    <w:p>
      <w:pPr>
        <w:pStyle w:val="BodyText"/>
        <w:spacing w:before="23"/>
      </w:pPr>
    </w:p>
    <w:p>
      <w:pPr>
        <w:pStyle w:val="BodyText"/>
        <w:spacing w:line="396" w:lineRule="auto"/>
        <w:ind w:left="282" w:right="525"/>
        <w:jc w:val="both"/>
      </w:pPr>
      <w:r>
        <w:rPr/>
        <w:t>Changing</w:t>
      </w:r>
      <w:r>
        <w:rPr>
          <w:spacing w:val="-7"/>
        </w:rPr>
        <w:t> </w:t>
      </w:r>
      <w:r>
        <w:rPr/>
        <w:t>damping</w:t>
      </w:r>
      <w:r>
        <w:rPr>
          <w:spacing w:val="-7"/>
        </w:rPr>
        <w:t> </w:t>
      </w:r>
      <w:r>
        <w:rPr/>
        <w:t>or</w:t>
      </w:r>
      <w:r>
        <w:rPr>
          <w:spacing w:val="-7"/>
        </w:rPr>
        <w:t> </w:t>
      </w:r>
      <w:r>
        <w:rPr/>
        <w:t>decay</w:t>
      </w:r>
      <w:r>
        <w:rPr>
          <w:spacing w:val="-7"/>
        </w:rPr>
        <w:t> </w:t>
      </w:r>
      <w:r>
        <w:rPr/>
        <w:t>parameters</w:t>
      </w:r>
      <w:r>
        <w:rPr>
          <w:spacing w:val="-7"/>
        </w:rPr>
        <w:t> </w:t>
      </w:r>
      <w:r>
        <w:rPr/>
        <w:t>requires</w:t>
      </w:r>
      <w:r>
        <w:rPr>
          <w:spacing w:val="-7"/>
        </w:rPr>
        <w:t> </w:t>
      </w:r>
      <w:r>
        <w:rPr/>
        <w:t>re-running</w:t>
      </w:r>
      <w:r>
        <w:rPr>
          <w:spacing w:val="-7"/>
        </w:rPr>
        <w:t> </w:t>
      </w:r>
      <w:r>
        <w:rPr/>
        <w:t>the</w:t>
      </w:r>
      <w:r>
        <w:rPr>
          <w:spacing w:val="-7"/>
        </w:rPr>
        <w:t> </w:t>
      </w:r>
      <w:r>
        <w:rPr/>
        <w:t>full</w:t>
      </w:r>
      <w:r>
        <w:rPr>
          <w:spacing w:val="-7"/>
        </w:rPr>
        <w:t> </w:t>
      </w:r>
      <w:r>
        <w:rPr/>
        <w:t>evaluation—including</w:t>
      </w:r>
      <w:r>
        <w:rPr>
          <w:spacing w:val="-7"/>
        </w:rPr>
        <w:t> </w:t>
      </w:r>
      <w:r>
        <w:rPr/>
        <w:t>robust-ness sweeps and table export—and regenerating figures from the same artifacts, so that reported </w:t>
      </w:r>
      <w:bookmarkStart w:name="Complexity notes" w:id="353"/>
      <w:bookmarkEnd w:id="353"/>
      <w:r>
        <w:rPr>
          <w:w w:val="99"/>
        </w:rPr>
      </w:r>
      <w:bookmarkStart w:name="_bookmark215" w:id="354"/>
      <w:bookmarkEnd w:id="354"/>
      <w:r>
        <w:rPr/>
        <w:t>numeric</w:t>
      </w:r>
      <w:r>
        <w:rPr/>
        <w:t>s remain consistent with the pipeline’s machine-readable summary.</w:t>
      </w:r>
    </w:p>
    <w:p>
      <w:pPr>
        <w:pStyle w:val="BodyText"/>
        <w:spacing w:line="396" w:lineRule="auto"/>
        <w:ind w:left="282" w:right="525"/>
        <w:jc w:val="both"/>
      </w:pPr>
      <w:r>
        <w:rPr>
          <w:i/>
        </w:rPr>
        <w:t>감쇠 또는 붕괴 매개변수를 변경하려면 견고성 스윕 및 테이블 내보내기를 포함한 전체 평가를 다시 실행하고 동일한 아티팩트에서 수치를 다시 생성해야 합니다. 그래야 보고된 수치가 파이프라인의 기계 판독 가능 요약과 일관되게 유지됩니다.</w:t>
      </w:r>
    </w:p>
    <w:p>
      <w:pPr>
        <w:pStyle w:val="BodyText"/>
        <w:spacing w:after="0" w:line="396" w:lineRule="auto"/>
        <w:jc w:val="both"/>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both"/>
      </w:pPr>
      <w:r>
        <w:rPr/>
        <w:t>Complexity</w:t>
      </w:r>
      <w:r>
        <w:rPr>
          <w:spacing w:val="-13"/>
        </w:rPr>
        <w:t> </w:t>
      </w:r>
      <w:r>
        <w:rPr>
          <w:spacing w:val="-2"/>
        </w:rPr>
        <w:t>notes</w:t>
      </w:r>
    </w:p>
    <w:p>
      <w:pPr>
        <w:pStyle w:val="Heading4"/>
        <w:numPr>
          <w:ilvl w:val="2"/>
          <w:numId w:val="8"/>
        </w:numPr>
        <w:tabs>
          <w:tab w:pos="879" w:val="left" w:leader="none"/>
        </w:tabs>
        <w:spacing w:line="240" w:lineRule="auto" w:before="73" w:after="0"/>
        <w:ind w:left="879" w:right="0" w:hanging="597"/>
        <w:jc w:val="both"/>
      </w:pPr>
      <w:r>
        <w:rPr>
          <w:i/>
        </w:rPr>
        <w:t>복잡성 참고 사항</w:t>
      </w:r>
    </w:p>
    <w:p>
      <w:pPr>
        <w:pStyle w:val="BodyText"/>
        <w:spacing w:line="456" w:lineRule="exact" w:before="181"/>
        <w:ind w:left="282" w:right="522"/>
        <w:jc w:val="both"/>
      </w:pPr>
      <w:r>
        <w:rPr/>
        <w:t>Let </w:t>
      </w:r>
      <w:r>
        <w:rPr>
          <w:rFonts w:ascii="Calibri" w:hAnsi="Calibri"/>
          <w:i/>
        </w:rPr>
        <w:t>n </w:t>
      </w:r>
      <w:r>
        <w:rPr/>
        <w:t>be the number of nodes and </w:t>
      </w:r>
      <w:r>
        <w:rPr>
          <w:rFonts w:ascii="Calibri" w:hAnsi="Calibri"/>
          <w:i/>
        </w:rPr>
        <w:t>m</w:t>
      </w:r>
      <w:r>
        <w:rPr>
          <w:rFonts w:ascii="Calibri" w:hAnsi="Calibri"/>
          <w:i/>
          <w:spacing w:val="21"/>
        </w:rPr>
        <w:t> </w:t>
      </w:r>
      <w:r>
        <w:rPr>
          <w:rFonts w:ascii="Calibri" w:hAnsi="Calibri"/>
        </w:rPr>
        <w:t>=</w:t>
      </w:r>
      <w:r>
        <w:rPr>
          <w:rFonts w:ascii="Calibri" w:hAnsi="Calibri"/>
          <w:spacing w:val="21"/>
        </w:rPr>
        <w:t> </w:t>
      </w:r>
      <w:r>
        <w:rPr>
          <w:rFonts w:ascii="Lucida Sans Unicode" w:hAnsi="Lucida Sans Unicode"/>
        </w:rPr>
        <w:t>|</w:t>
      </w:r>
      <w:r>
        <w:rPr>
          <w:rFonts w:ascii="Calibri" w:hAnsi="Calibri"/>
          <w:i/>
        </w:rPr>
        <w:t>E</w:t>
      </w:r>
      <w:r>
        <w:rPr>
          <w:rFonts w:ascii="Lucida Sans Unicode" w:hAnsi="Lucida Sans Unicode"/>
        </w:rPr>
        <w:t>|</w:t>
      </w:r>
      <w:r>
        <w:rPr>
          <w:rFonts w:ascii="Lucida Sans Unicode" w:hAnsi="Lucida Sans Unicode"/>
          <w:spacing w:val="-10"/>
        </w:rPr>
        <w:t> </w:t>
      </w:r>
      <w:r>
        <w:rPr/>
        <w:t>the number of edges.</w:t>
      </w:r>
      <w:r>
        <w:rPr>
          <w:spacing w:val="30"/>
        </w:rPr>
        <w:t> </w:t>
      </w:r>
      <w:r>
        <w:rPr/>
        <w:t>Building latest-allowance edges </w:t>
      </w:r>
      <w:r>
        <w:rPr>
          <w:w w:val="105"/>
        </w:rPr>
        <w:t>is </w:t>
      </w:r>
      <w:r>
        <w:rPr>
          <w:rFonts w:ascii="Calibri" w:hAnsi="Calibri"/>
          <w:i/>
          <w:w w:val="105"/>
        </w:rPr>
        <w:t>O</w:t>
      </w:r>
      <w:r>
        <w:rPr>
          <w:rFonts w:ascii="Calibri" w:hAnsi="Calibri"/>
          <w:w w:val="105"/>
        </w:rPr>
        <w:t>(</w:t>
      </w:r>
      <w:r>
        <w:rPr>
          <w:rFonts w:ascii="Calibri" w:hAnsi="Calibri"/>
          <w:i/>
          <w:w w:val="105"/>
        </w:rPr>
        <w:t>R</w:t>
      </w:r>
      <w:r>
        <w:rPr>
          <w:rFonts w:ascii="Cambria" w:hAnsi="Cambria"/>
          <w:w w:val="105"/>
          <w:vertAlign w:val="subscript"/>
        </w:rPr>
        <w:t>a</w:t>
      </w:r>
      <w:r>
        <w:rPr>
          <w:rFonts w:ascii="Cambria" w:hAnsi="Cambria"/>
          <w:spacing w:val="-6"/>
          <w:w w:val="105"/>
          <w:vertAlign w:val="baseline"/>
        </w:rPr>
        <w:t> </w:t>
      </w:r>
      <w:r>
        <w:rPr>
          <w:w w:val="105"/>
          <w:vertAlign w:val="baseline"/>
        </w:rPr>
        <w:t>log</w:t>
      </w:r>
      <w:r>
        <w:rPr>
          <w:spacing w:val="-16"/>
          <w:w w:val="105"/>
          <w:vertAlign w:val="baseline"/>
        </w:rPr>
        <w:t> </w:t>
      </w:r>
      <w:r>
        <w:rPr>
          <w:rFonts w:ascii="Calibri" w:hAnsi="Calibri"/>
          <w:i/>
          <w:w w:val="105"/>
          <w:vertAlign w:val="baseline"/>
        </w:rPr>
        <w:t>R</w:t>
      </w:r>
      <w:r>
        <w:rPr>
          <w:rFonts w:ascii="Cambria" w:hAnsi="Cambria"/>
          <w:w w:val="105"/>
          <w:vertAlign w:val="subscript"/>
        </w:rPr>
        <w:t>a</w:t>
      </w:r>
      <w:r>
        <w:rPr>
          <w:rFonts w:ascii="Calibri" w:hAnsi="Calibri"/>
          <w:w w:val="105"/>
          <w:vertAlign w:val="baseline"/>
        </w:rPr>
        <w:t>)</w:t>
      </w:r>
      <w:r>
        <w:rPr>
          <w:rFonts w:ascii="Calibri" w:hAnsi="Calibri"/>
          <w:spacing w:val="32"/>
          <w:w w:val="105"/>
          <w:vertAlign w:val="baseline"/>
        </w:rPr>
        <w:t> </w:t>
      </w:r>
      <w:r>
        <w:rPr>
          <w:w w:val="105"/>
          <w:vertAlign w:val="baseline"/>
        </w:rPr>
        <w:t>if </w:t>
      </w:r>
      <w:r>
        <w:rPr>
          <w:rFonts w:ascii="Calibri" w:hAnsi="Calibri"/>
          <w:i/>
          <w:w w:val="105"/>
          <w:vertAlign w:val="baseline"/>
        </w:rPr>
        <w:t>R</w:t>
      </w:r>
      <w:r>
        <w:rPr>
          <w:rFonts w:ascii="Cambria" w:hAnsi="Cambria"/>
          <w:w w:val="105"/>
          <w:vertAlign w:val="subscript"/>
        </w:rPr>
        <w:t>a</w:t>
      </w:r>
      <w:r>
        <w:rPr>
          <w:rFonts w:ascii="Cambria" w:hAnsi="Cambria"/>
          <w:spacing w:val="40"/>
          <w:w w:val="105"/>
          <w:vertAlign w:val="baseline"/>
        </w:rPr>
        <w:t> </w:t>
      </w:r>
      <w:r>
        <w:rPr>
          <w:w w:val="105"/>
          <w:vertAlign w:val="baseline"/>
        </w:rPr>
        <w:t>approval rows are sorted by timestamp,</w:t>
      </w:r>
      <w:r>
        <w:rPr>
          <w:w w:val="105"/>
          <w:vertAlign w:val="baseline"/>
        </w:rPr>
        <w:t> or </w:t>
      </w:r>
      <w:r>
        <w:rPr>
          <w:rFonts w:ascii="Calibri" w:hAnsi="Calibri"/>
          <w:i/>
          <w:w w:val="105"/>
          <w:vertAlign w:val="baseline"/>
        </w:rPr>
        <w:t>O</w:t>
      </w:r>
      <w:r>
        <w:rPr>
          <w:rFonts w:ascii="Calibri" w:hAnsi="Calibri"/>
          <w:w w:val="105"/>
          <w:vertAlign w:val="baseline"/>
        </w:rPr>
        <w:t>(</w:t>
      </w:r>
      <w:r>
        <w:rPr>
          <w:rFonts w:ascii="Calibri" w:hAnsi="Calibri"/>
          <w:i/>
          <w:w w:val="105"/>
          <w:vertAlign w:val="baseline"/>
        </w:rPr>
        <w:t>R</w:t>
      </w:r>
      <w:r>
        <w:rPr>
          <w:rFonts w:ascii="Cambria" w:hAnsi="Cambria"/>
          <w:w w:val="105"/>
          <w:vertAlign w:val="subscript"/>
        </w:rPr>
        <w:t>a</w:t>
      </w:r>
      <w:r>
        <w:rPr>
          <w:rFonts w:ascii="Calibri" w:hAnsi="Calibri"/>
          <w:w w:val="105"/>
          <w:vertAlign w:val="baseline"/>
        </w:rPr>
        <w:t>)</w:t>
      </w:r>
      <w:r>
        <w:rPr>
          <w:rFonts w:ascii="Calibri" w:hAnsi="Calibri"/>
          <w:w w:val="105"/>
          <w:vertAlign w:val="baseline"/>
        </w:rPr>
        <w:t> </w:t>
      </w:r>
      <w:r>
        <w:rPr>
          <w:w w:val="105"/>
          <w:vertAlign w:val="baseline"/>
        </w:rPr>
        <w:t>expected time with a </w:t>
      </w:r>
      <w:r>
        <w:rPr>
          <w:vertAlign w:val="baseline"/>
        </w:rPr>
        <w:t>hash map keyed by (token, owner, spender).</w:t>
      </w:r>
      <w:r>
        <w:rPr>
          <w:spacing w:val="40"/>
          <w:vertAlign w:val="baseline"/>
        </w:rPr>
        <w:t> </w:t>
      </w:r>
      <w:r>
        <w:rPr>
          <w:vertAlign w:val="baseline"/>
        </w:rPr>
        <w:t>Building transfer edges is </w:t>
      </w:r>
      <w:r>
        <w:rPr>
          <w:rFonts w:ascii="Calibri" w:hAnsi="Calibri"/>
          <w:i/>
          <w:vertAlign w:val="baseline"/>
        </w:rPr>
        <w:t>O</w:t>
      </w:r>
      <w:r>
        <w:rPr>
          <w:rFonts w:ascii="Calibri" w:hAnsi="Calibri"/>
          <w:vertAlign w:val="baseline"/>
        </w:rPr>
        <w:t>(</w:t>
      </w:r>
      <w:r>
        <w:rPr>
          <w:rFonts w:ascii="Calibri" w:hAnsi="Calibri"/>
          <w:i/>
          <w:vertAlign w:val="baseline"/>
        </w:rPr>
        <w:t>R</w:t>
      </w:r>
      <w:r>
        <w:rPr>
          <w:rFonts w:ascii="Cambria" w:hAnsi="Cambria"/>
          <w:vertAlign w:val="subscript"/>
        </w:rPr>
        <w:t>t</w:t>
      </w:r>
      <w:r>
        <w:rPr>
          <w:rFonts w:ascii="Calibri" w:hAnsi="Calibri"/>
          <w:vertAlign w:val="baseline"/>
        </w:rPr>
        <w:t>) </w:t>
      </w:r>
      <w:r>
        <w:rPr>
          <w:vertAlign w:val="baseline"/>
        </w:rPr>
        <w:t>over transfer rows. </w:t>
      </w:r>
      <w:r>
        <w:rPr>
          <w:w w:val="105"/>
          <w:vertAlign w:val="baseline"/>
        </w:rPr>
        <w:t>PageRank</w:t>
      </w:r>
      <w:r>
        <w:rPr>
          <w:spacing w:val="-16"/>
          <w:w w:val="105"/>
          <w:vertAlign w:val="baseline"/>
        </w:rPr>
        <w:t> </w:t>
      </w:r>
      <w:r>
        <w:rPr>
          <w:w w:val="105"/>
          <w:vertAlign w:val="baseline"/>
        </w:rPr>
        <w:t>is</w:t>
      </w:r>
      <w:r>
        <w:rPr>
          <w:spacing w:val="-13"/>
          <w:w w:val="105"/>
          <w:vertAlign w:val="baseline"/>
        </w:rPr>
        <w:t> </w:t>
      </w:r>
      <w:r>
        <w:rPr>
          <w:rFonts w:ascii="Calibri" w:hAnsi="Calibri"/>
          <w:i/>
          <w:w w:val="105"/>
          <w:vertAlign w:val="baseline"/>
        </w:rPr>
        <w:t>O</w:t>
      </w:r>
      <w:r>
        <w:rPr>
          <w:rFonts w:ascii="Calibri" w:hAnsi="Calibri"/>
          <w:w w:val="105"/>
          <w:vertAlign w:val="baseline"/>
        </w:rPr>
        <w:t>(</w:t>
      </w:r>
      <w:r>
        <w:rPr>
          <w:rFonts w:ascii="Calibri" w:hAnsi="Calibri"/>
          <w:i/>
          <w:w w:val="105"/>
          <w:vertAlign w:val="baseline"/>
        </w:rPr>
        <w:t>mI</w:t>
      </w:r>
      <w:r>
        <w:rPr>
          <w:rFonts w:ascii="Calibri" w:hAnsi="Calibri"/>
          <w:w w:val="105"/>
          <w:vertAlign w:val="baseline"/>
        </w:rPr>
        <w:t>)</w:t>
      </w:r>
      <w:r>
        <w:rPr>
          <w:rFonts w:ascii="Calibri" w:hAnsi="Calibri"/>
          <w:spacing w:val="-7"/>
          <w:w w:val="105"/>
          <w:vertAlign w:val="baseline"/>
        </w:rPr>
        <w:t> </w:t>
      </w:r>
      <w:r>
        <w:rPr>
          <w:w w:val="105"/>
          <w:vertAlign w:val="baseline"/>
        </w:rPr>
        <w:t>for</w:t>
      </w:r>
      <w:r>
        <w:rPr>
          <w:spacing w:val="-14"/>
          <w:w w:val="105"/>
          <w:vertAlign w:val="baseline"/>
        </w:rPr>
        <w:t> </w:t>
      </w:r>
      <w:r>
        <w:rPr>
          <w:rFonts w:ascii="Calibri" w:hAnsi="Calibri"/>
          <w:i/>
          <w:w w:val="140"/>
          <w:vertAlign w:val="baseline"/>
        </w:rPr>
        <w:t>I</w:t>
      </w:r>
      <w:r>
        <w:rPr>
          <w:rFonts w:ascii="Calibri" w:hAnsi="Calibri"/>
          <w:i/>
          <w:spacing w:val="-12"/>
          <w:w w:val="140"/>
          <w:vertAlign w:val="baseline"/>
        </w:rPr>
        <w:t> </w:t>
      </w:r>
      <w:r>
        <w:rPr>
          <w:w w:val="105"/>
          <w:vertAlign w:val="baseline"/>
        </w:rPr>
        <w:t>iterations.</w:t>
      </w:r>
      <w:r>
        <w:rPr>
          <w:spacing w:val="8"/>
          <w:w w:val="105"/>
          <w:vertAlign w:val="baseline"/>
        </w:rPr>
        <w:t> </w:t>
      </w:r>
      <w:r>
        <w:rPr>
          <w:w w:val="105"/>
          <w:vertAlign w:val="baseline"/>
        </w:rPr>
        <w:t>Empirically</w:t>
      </w:r>
      <w:r>
        <w:rPr>
          <w:spacing w:val="-14"/>
          <w:w w:val="105"/>
          <w:vertAlign w:val="baseline"/>
        </w:rPr>
        <w:t> </w:t>
      </w:r>
      <w:r>
        <w:rPr>
          <w:rFonts w:ascii="Calibri" w:hAnsi="Calibri"/>
          <w:i/>
          <w:w w:val="140"/>
          <w:vertAlign w:val="baseline"/>
        </w:rPr>
        <w:t>I</w:t>
      </w:r>
      <w:r>
        <w:rPr>
          <w:rFonts w:ascii="Calibri" w:hAnsi="Calibri"/>
          <w:i/>
          <w:spacing w:val="-3"/>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37</w:t>
      </w:r>
      <w:r>
        <w:rPr>
          <w:rFonts w:ascii="Calibri" w:hAnsi="Calibri"/>
          <w:spacing w:val="-7"/>
          <w:w w:val="105"/>
          <w:vertAlign w:val="baseline"/>
        </w:rPr>
        <w:t> </w:t>
      </w:r>
      <w:r>
        <w:rPr>
          <w:w w:val="105"/>
          <w:vertAlign w:val="baseline"/>
        </w:rPr>
        <w:t>for</w:t>
      </w:r>
      <w:r>
        <w:rPr>
          <w:spacing w:val="-14"/>
          <w:w w:val="105"/>
          <w:vertAlign w:val="baseline"/>
        </w:rPr>
        <w:t> </w:t>
      </w:r>
      <w:r>
        <w:rPr>
          <w:w w:val="105"/>
          <w:vertAlign w:val="baseline"/>
        </w:rPr>
        <w:t>EndorseRank</w:t>
      </w:r>
      <w:r>
        <w:rPr>
          <w:spacing w:val="-14"/>
          <w:w w:val="105"/>
          <w:vertAlign w:val="baseline"/>
        </w:rPr>
        <w:t> </w:t>
      </w:r>
      <w:r>
        <w:rPr>
          <w:w w:val="105"/>
          <w:vertAlign w:val="baseline"/>
        </w:rPr>
        <w:t>and</w:t>
      </w:r>
      <w:r>
        <w:rPr>
          <w:spacing w:val="-14"/>
          <w:w w:val="105"/>
          <w:vertAlign w:val="baseline"/>
        </w:rPr>
        <w:t> </w:t>
      </w:r>
      <w:r>
        <w:rPr>
          <w:rFonts w:ascii="Calibri" w:hAnsi="Calibri"/>
          <w:i/>
          <w:w w:val="140"/>
          <w:vertAlign w:val="baseline"/>
        </w:rPr>
        <w:t>I</w:t>
      </w:r>
      <w:r>
        <w:rPr>
          <w:rFonts w:ascii="Calibri" w:hAnsi="Calibri"/>
          <w:i/>
          <w:spacing w:val="-3"/>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100</w:t>
      </w:r>
      <w:r>
        <w:rPr>
          <w:rFonts w:ascii="Calibri" w:hAnsi="Calibri"/>
          <w:spacing w:val="-7"/>
          <w:w w:val="105"/>
          <w:vertAlign w:val="baseline"/>
        </w:rPr>
        <w:t> </w:t>
      </w:r>
      <w:r>
        <w:rPr>
          <w:w w:val="105"/>
          <w:vertAlign w:val="baseline"/>
        </w:rPr>
        <w:t>for</w:t>
      </w:r>
      <w:r>
        <w:rPr>
          <w:spacing w:val="-14"/>
          <w:w w:val="105"/>
          <w:vertAlign w:val="baseline"/>
        </w:rPr>
        <w:t> </w:t>
      </w:r>
      <w:r>
        <w:rPr>
          <w:w w:val="105"/>
          <w:vertAlign w:val="baseline"/>
        </w:rPr>
        <w:t>AWP </w:t>
      </w:r>
      <w:r>
        <w:rPr>
          <w:vertAlign w:val="baseline"/>
        </w:rPr>
        <w:t>on the matched cohort, and </w:t>
      </w:r>
      <w:r>
        <w:rPr>
          <w:rFonts w:ascii="Calibri" w:hAnsi="Calibri"/>
          <w:i/>
          <w:vertAlign w:val="baseline"/>
        </w:rPr>
        <w:t>m</w:t>
      </w:r>
      <w:r>
        <w:rPr>
          <w:vertAlign w:val="subscript"/>
        </w:rPr>
        <w:t>approve</w:t>
      </w:r>
      <w:r>
        <w:rPr>
          <w:vertAlign w:val="baseline"/>
        </w:rPr>
        <w:t> </w:t>
      </w:r>
      <w:r>
        <w:rPr>
          <w:rFonts w:ascii="Lucida Sans Unicode" w:hAnsi="Lucida Sans Unicode"/>
          <w:vertAlign w:val="baseline"/>
        </w:rPr>
        <w:t>≪ </w:t>
      </w:r>
      <w:r>
        <w:rPr>
          <w:rFonts w:ascii="Calibri" w:hAnsi="Calibri"/>
          <w:i/>
          <w:vertAlign w:val="baseline"/>
        </w:rPr>
        <w:t>m</w:t>
      </w:r>
      <w:r>
        <w:rPr>
          <w:vertAlign w:val="subscript"/>
        </w:rPr>
        <w:t>transfer</w:t>
      </w:r>
      <w:r>
        <w:rPr>
          <w:vertAlign w:val="baseline"/>
        </w:rPr>
        <w:t>, so both factors favor EndorseRank.</w:t>
      </w:r>
    </w:p>
    <w:p>
      <w:pPr>
        <w:pStyle w:val="BodyText"/>
        <w:spacing w:line="456" w:lineRule="exact" w:before="181"/>
        <w:ind w:left="282" w:right="522"/>
        <w:jc w:val="both"/>
      </w:pPr>
      <w:r>
        <w:rPr>
          <w:i/>
        </w:rPr>
        <w:t>n을 노드 수로 하고 m = |E| 모서리의 수. Ra 승인 행이 타임스탬프별로 정렬된 경우 최신 허용 에지 구축은 O(Ra log Ra)이거나 (토큰, 소유자, 지출자)로 키가 지정된 해시 맵의 예상 시간은 O(Ra)입니다. 전송 에지 구축은 전송 행에 걸쳐 O(Rt)입니다. PageRank는 I 반복의 경우 O(mI)입니다. 경험적으로 일치하는 코호트에서 EndorseRank의 경우 EndorseRank의 경우 ≒ 37이고 AWP의 경우 AWP의 경우 ≒ 100이고 mapprove `` mtransfer이므로 두 요소 모두 EndorseRank를 선호합니다.</w:t>
      </w:r>
    </w:p>
    <w:p>
      <w:pPr>
        <w:pStyle w:val="BodyText"/>
        <w:spacing w:before="153"/>
        <w:ind w:left="282"/>
        <w:jc w:val="both"/>
      </w:pPr>
      <w:r>
        <w:rPr/>
        <w:t>Memory</w:t>
      </w:r>
      <w:r>
        <w:rPr>
          <w:spacing w:val="25"/>
        </w:rPr>
        <w:t> </w:t>
      </w:r>
      <w:r>
        <w:rPr/>
        <w:t>is</w:t>
      </w:r>
      <w:r>
        <w:rPr>
          <w:spacing w:val="28"/>
        </w:rPr>
        <w:t> </w:t>
      </w:r>
      <w:r>
        <w:rPr/>
        <w:t>dominated</w:t>
      </w:r>
      <w:r>
        <w:rPr>
          <w:spacing w:val="27"/>
        </w:rPr>
        <w:t> </w:t>
      </w:r>
      <w:r>
        <w:rPr/>
        <w:t>by</w:t>
      </w:r>
      <w:r>
        <w:rPr>
          <w:spacing w:val="28"/>
        </w:rPr>
        <w:t> </w:t>
      </w:r>
      <w:r>
        <w:rPr/>
        <w:t>edge</w:t>
      </w:r>
      <w:r>
        <w:rPr>
          <w:spacing w:val="28"/>
        </w:rPr>
        <w:t> </w:t>
      </w:r>
      <w:r>
        <w:rPr/>
        <w:t>lists</w:t>
      </w:r>
      <w:r>
        <w:rPr>
          <w:spacing w:val="27"/>
        </w:rPr>
        <w:t> </w:t>
      </w:r>
      <w:r>
        <w:rPr/>
        <w:t>and</w:t>
      </w:r>
      <w:r>
        <w:rPr>
          <w:spacing w:val="28"/>
        </w:rPr>
        <w:t> </w:t>
      </w:r>
      <w:r>
        <w:rPr/>
        <w:t>score</w:t>
      </w:r>
      <w:r>
        <w:rPr>
          <w:spacing w:val="28"/>
        </w:rPr>
        <w:t> </w:t>
      </w:r>
      <w:r>
        <w:rPr/>
        <w:t>vectors.</w:t>
      </w:r>
      <w:r>
        <w:rPr>
          <w:spacing w:val="25"/>
        </w:rPr>
        <w:t>  </w:t>
      </w:r>
      <w:r>
        <w:rPr/>
        <w:t>Peak</w:t>
      </w:r>
      <w:r>
        <w:rPr>
          <w:spacing w:val="28"/>
        </w:rPr>
        <w:t> </w:t>
      </w:r>
      <w:r>
        <w:rPr/>
        <w:t>solve</w:t>
      </w:r>
      <w:r>
        <w:rPr>
          <w:spacing w:val="28"/>
        </w:rPr>
        <w:t> </w:t>
      </w:r>
      <w:r>
        <w:rPr/>
        <w:t>memory</w:t>
      </w:r>
      <w:r>
        <w:rPr>
          <w:spacing w:val="28"/>
        </w:rPr>
        <w:t> </w:t>
      </w:r>
      <w:r>
        <w:rPr/>
        <w:t>of</w:t>
      </w:r>
      <w:r>
        <w:rPr>
          <w:spacing w:val="27"/>
        </w:rPr>
        <w:t> </w:t>
      </w:r>
      <w:r>
        <w:rPr>
          <w:rFonts w:ascii="Calibri"/>
        </w:rPr>
        <w:t>4</w:t>
      </w:r>
      <w:r>
        <w:rPr>
          <w:rFonts w:ascii="Calibri"/>
          <w:i/>
        </w:rPr>
        <w:t>.</w:t>
      </w:r>
      <w:r>
        <w:rPr>
          <w:rFonts w:ascii="Calibri"/>
        </w:rPr>
        <w:t>6</w:t>
      </w:r>
      <w:r>
        <w:rPr>
          <w:rFonts w:ascii="Calibri"/>
          <w:spacing w:val="-15"/>
        </w:rPr>
        <w:t> </w:t>
      </w:r>
      <w:r>
        <w:rPr/>
        <w:t>MB</w:t>
      </w:r>
      <w:r>
        <w:rPr>
          <w:spacing w:val="28"/>
        </w:rPr>
        <w:t> </w:t>
      </w:r>
      <w:r>
        <w:rPr>
          <w:spacing w:val="-2"/>
        </w:rPr>
        <w:t>versus</w:t>
      </w:r>
    </w:p>
    <w:p>
      <w:pPr>
        <w:pStyle w:val="BodyText"/>
        <w:spacing w:before="153"/>
        <w:ind w:left="282"/>
        <w:jc w:val="both"/>
      </w:pPr>
      <w:r>
        <w:rPr>
          <w:i/>
        </w:rPr>
        <w:t>메모리는 에지 목록과 점수 벡터에 의해 지배됩니다.  4.6MB의 최대 해석 메모리 대</w:t>
      </w:r>
    </w:p>
    <w:p>
      <w:pPr>
        <w:pStyle w:val="BodyText"/>
        <w:spacing w:before="163"/>
        <w:ind w:left="276"/>
        <w:jc w:val="both"/>
      </w:pPr>
      <w:bookmarkStart w:name="Interpretation checklist for readers" w:id="355"/>
      <w:bookmarkEnd w:id="355"/>
      <w:r>
        <w:rPr/>
      </w:r>
      <w:bookmarkStart w:name="_bookmark216" w:id="356"/>
      <w:bookmarkEnd w:id="356"/>
      <w:r>
        <w:rPr/>
      </w:r>
      <w:r>
        <w:rPr>
          <w:rFonts w:ascii="Calibri"/>
        </w:rPr>
        <w:t>38</w:t>
      </w:r>
      <w:r>
        <w:rPr>
          <w:rFonts w:ascii="Calibri"/>
          <w:i/>
        </w:rPr>
        <w:t>.</w:t>
      </w:r>
      <w:r>
        <w:rPr>
          <w:rFonts w:ascii="Calibri"/>
        </w:rPr>
        <w:t>2</w:t>
      </w:r>
      <w:r>
        <w:rPr>
          <w:rFonts w:ascii="Calibri"/>
          <w:spacing w:val="-15"/>
        </w:rPr>
        <w:t> </w:t>
      </w:r>
      <w:r>
        <w:rPr/>
        <w:t>MB</w:t>
      </w:r>
      <w:r>
        <w:rPr>
          <w:spacing w:val="-15"/>
        </w:rPr>
        <w:t> </w:t>
      </w:r>
      <w:r>
        <w:rPr/>
        <w:t>(Table</w:t>
      </w:r>
      <w:r>
        <w:rPr>
          <w:spacing w:val="-9"/>
        </w:rPr>
        <w:t> </w:t>
      </w:r>
      <w:hyperlink w:history="true" w:anchor="_bookmark91">
        <w:r>
          <w:rPr/>
          <w:t>4.2</w:t>
        </w:r>
      </w:hyperlink>
      <w:r>
        <w:rPr/>
        <w:t>)</w:t>
      </w:r>
      <w:r>
        <w:rPr>
          <w:spacing w:val="-9"/>
        </w:rPr>
        <w:t> </w:t>
      </w:r>
      <w:r>
        <w:rPr/>
        <w:t>is</w:t>
      </w:r>
      <w:r>
        <w:rPr>
          <w:spacing w:val="-9"/>
        </w:rPr>
        <w:t> </w:t>
      </w:r>
      <w:r>
        <w:rPr/>
        <w:t>consistent</w:t>
      </w:r>
      <w:r>
        <w:rPr>
          <w:spacing w:val="-9"/>
        </w:rPr>
        <w:t> </w:t>
      </w:r>
      <w:r>
        <w:rPr/>
        <w:t>with</w:t>
      </w:r>
      <w:r>
        <w:rPr>
          <w:spacing w:val="-9"/>
        </w:rPr>
        <w:t> </w:t>
      </w:r>
      <w:r>
        <w:rPr/>
        <w:t>the</w:t>
      </w:r>
      <w:r>
        <w:rPr>
          <w:spacing w:val="-9"/>
        </w:rPr>
        <w:t> </w:t>
      </w:r>
      <w:r>
        <w:rPr/>
        <w:t>edge-count</w:t>
      </w:r>
      <w:r>
        <w:rPr>
          <w:spacing w:val="-9"/>
        </w:rPr>
        <w:t> </w:t>
      </w:r>
      <w:r>
        <w:rPr/>
        <w:t>ratio</w:t>
      </w:r>
      <w:r>
        <w:rPr>
          <w:spacing w:val="-9"/>
        </w:rPr>
        <w:t> </w:t>
      </w:r>
      <w:r>
        <w:rPr>
          <w:rFonts w:ascii="Calibri"/>
        </w:rPr>
        <w:t>14</w:t>
      </w:r>
      <w:r>
        <w:rPr>
          <w:rFonts w:ascii="Calibri"/>
          <w:i/>
        </w:rPr>
        <w:t>,</w:t>
      </w:r>
      <w:r>
        <w:rPr>
          <w:rFonts w:ascii="Calibri"/>
        </w:rPr>
        <w:t>727</w:t>
      </w:r>
      <w:r>
        <w:rPr>
          <w:rFonts w:ascii="Calibri"/>
          <w:spacing w:val="2"/>
        </w:rPr>
        <w:t> </w:t>
      </w:r>
      <w:r>
        <w:rPr>
          <w:rFonts w:ascii="Calibri"/>
        </w:rPr>
        <w:t>:</w:t>
      </w:r>
      <w:r>
        <w:rPr>
          <w:rFonts w:ascii="Calibri"/>
          <w:spacing w:val="3"/>
        </w:rPr>
        <w:t> </w:t>
      </w:r>
      <w:r>
        <w:rPr>
          <w:rFonts w:ascii="Calibri"/>
          <w:spacing w:val="-2"/>
        </w:rPr>
        <w:t>137</w:t>
      </w:r>
      <w:r>
        <w:rPr>
          <w:rFonts w:ascii="Calibri"/>
          <w:i/>
          <w:spacing w:val="-2"/>
        </w:rPr>
        <w:t>,</w:t>
      </w:r>
      <w:r>
        <w:rPr>
          <w:rFonts w:ascii="Calibri"/>
          <w:spacing w:val="-2"/>
        </w:rPr>
        <w:t>087</w:t>
      </w:r>
      <w:r>
        <w:rPr>
          <w:spacing w:val="-2"/>
        </w:rPr>
        <w:t>.</w:t>
      </w:r>
    </w:p>
    <w:p>
      <w:pPr>
        <w:pStyle w:val="BodyText"/>
        <w:spacing w:before="163"/>
        <w:ind w:left="276"/>
        <w:jc w:val="both"/>
      </w:pPr>
      <w:r>
        <w:rPr>
          <w:i/>
        </w:rPr>
        <w:t>38.2MB(표 4.2)는 에지 카운트 비율 14,727 : 137,087과 일치합니다.</w:t>
      </w:r>
    </w:p>
    <w:p>
      <w:pPr>
        <w:pStyle w:val="BodyText"/>
        <w:spacing w:before="173"/>
      </w:pPr>
    </w:p>
    <w:p>
      <w:pPr>
        <w:pStyle w:val="Heading4"/>
        <w:numPr>
          <w:ilvl w:val="2"/>
          <w:numId w:val="8"/>
        </w:numPr>
        <w:tabs>
          <w:tab w:pos="879" w:val="left" w:leader="none"/>
        </w:tabs>
        <w:spacing w:line="240" w:lineRule="auto" w:before="0" w:after="0"/>
        <w:ind w:left="879" w:right="0" w:hanging="597"/>
        <w:jc w:val="both"/>
      </w:pPr>
      <w:r>
        <w:rPr/>
        <w:t>Interpretation</w:t>
      </w:r>
      <w:r>
        <w:rPr>
          <w:spacing w:val="-14"/>
        </w:rPr>
        <w:t> </w:t>
      </w:r>
      <w:r>
        <w:rPr/>
        <w:t>checklist</w:t>
      </w:r>
      <w:r>
        <w:rPr>
          <w:spacing w:val="-14"/>
        </w:rPr>
        <w:t> </w:t>
      </w:r>
      <w:r>
        <w:rPr/>
        <w:t>for</w:t>
      </w:r>
      <w:r>
        <w:rPr>
          <w:spacing w:val="-13"/>
        </w:rPr>
        <w:t> </w:t>
      </w:r>
      <w:r>
        <w:rPr>
          <w:spacing w:val="-2"/>
        </w:rPr>
        <w:t>readers</w:t>
      </w:r>
    </w:p>
    <w:p>
      <w:pPr>
        <w:pStyle w:val="Heading4"/>
        <w:numPr>
          <w:ilvl w:val="2"/>
          <w:numId w:val="8"/>
        </w:numPr>
        <w:tabs>
          <w:tab w:pos="879" w:val="left" w:leader="none"/>
        </w:tabs>
        <w:spacing w:line="240" w:lineRule="auto" w:before="0" w:after="0"/>
        <w:ind w:left="879" w:right="0" w:hanging="597"/>
        <w:jc w:val="both"/>
      </w:pPr>
      <w:r>
        <w:rPr>
          <w:i/>
        </w:rPr>
        <w:t>독자를 위한 통역 체크리스트</w:t>
      </w:r>
    </w:p>
    <w:p>
      <w:pPr>
        <w:pStyle w:val="BodyText"/>
        <w:spacing w:before="47"/>
        <w:rPr>
          <w:b/>
        </w:rPr>
      </w:pPr>
    </w:p>
    <w:p>
      <w:pPr>
        <w:pStyle w:val="BodyText"/>
        <w:ind w:left="271"/>
        <w:jc w:val="both"/>
      </w:pPr>
      <w:r>
        <w:rPr/>
        <w:t>When</w:t>
      </w:r>
      <w:r>
        <w:rPr>
          <w:spacing w:val="-9"/>
        </w:rPr>
        <w:t> </w:t>
      </w:r>
      <w:r>
        <w:rPr/>
        <w:t>reading</w:t>
      </w:r>
      <w:r>
        <w:rPr>
          <w:spacing w:val="-8"/>
        </w:rPr>
        <w:t> </w:t>
      </w:r>
      <w:r>
        <w:rPr/>
        <w:t>Chapter</w:t>
      </w:r>
      <w:r>
        <w:rPr>
          <w:spacing w:val="-7"/>
        </w:rPr>
        <w:t> </w:t>
      </w:r>
      <w:hyperlink w:history="true" w:anchor="_bookmark84">
        <w:r>
          <w:rPr/>
          <w:t>4</w:t>
        </w:r>
      </w:hyperlink>
      <w:r>
        <w:rPr>
          <w:spacing w:val="-8"/>
        </w:rPr>
        <w:t> </w:t>
      </w:r>
      <w:r>
        <w:rPr/>
        <w:t>tables,</w:t>
      </w:r>
      <w:r>
        <w:rPr>
          <w:spacing w:val="-8"/>
        </w:rPr>
        <w:t> </w:t>
      </w:r>
      <w:r>
        <w:rPr/>
        <w:t>the</w:t>
      </w:r>
      <w:r>
        <w:rPr>
          <w:spacing w:val="-8"/>
        </w:rPr>
        <w:t> </w:t>
      </w:r>
      <w:r>
        <w:rPr/>
        <w:t>following</w:t>
      </w:r>
      <w:r>
        <w:rPr>
          <w:spacing w:val="-8"/>
        </w:rPr>
        <w:t> </w:t>
      </w:r>
      <w:r>
        <w:rPr/>
        <w:t>checklist</w:t>
      </w:r>
      <w:r>
        <w:rPr>
          <w:spacing w:val="-8"/>
        </w:rPr>
        <w:t> </w:t>
      </w:r>
      <w:r>
        <w:rPr/>
        <w:t>reduces</w:t>
      </w:r>
      <w:r>
        <w:rPr>
          <w:spacing w:val="-8"/>
        </w:rPr>
        <w:t> </w:t>
      </w:r>
      <w:r>
        <w:rPr/>
        <w:t>common</w:t>
      </w:r>
      <w:r>
        <w:rPr>
          <w:spacing w:val="-8"/>
        </w:rPr>
        <w:t> </w:t>
      </w:r>
      <w:r>
        <w:rPr>
          <w:spacing w:val="-2"/>
        </w:rPr>
        <w:t>misreadings:</w:t>
      </w:r>
    </w:p>
    <w:p>
      <w:pPr>
        <w:pStyle w:val="BodyText"/>
        <w:ind w:left="271"/>
        <w:jc w:val="both"/>
      </w:pPr>
      <w:r>
        <w:rPr>
          <w:i/>
        </w:rPr>
        <w:t>4장의 표를 읽을 때 다음 체크리스트를 사용하면 일반적인 오해를 줄일 수 있습니다.</w:t>
      </w:r>
    </w:p>
    <w:p>
      <w:pPr>
        <w:pStyle w:val="BodyText"/>
        <w:spacing w:before="23"/>
      </w:pPr>
    </w:p>
    <w:p>
      <w:pPr>
        <w:pStyle w:val="ListParagraph"/>
        <w:numPr>
          <w:ilvl w:val="0"/>
          <w:numId w:val="30"/>
        </w:numPr>
        <w:tabs>
          <w:tab w:pos="856" w:val="left" w:leader="none"/>
        </w:tabs>
        <w:spacing w:line="396" w:lineRule="auto" w:before="1" w:after="0"/>
        <w:ind w:left="856" w:right="564" w:hanging="311"/>
        <w:jc w:val="left"/>
        <w:rPr>
          <w:sz w:val="24"/>
        </w:rPr>
      </w:pPr>
      <w:r>
        <w:rPr>
          <w:spacing w:val="-2"/>
          <w:sz w:val="24"/>
        </w:rPr>
        <w:t>Identify</w:t>
      </w:r>
      <w:r>
        <w:rPr>
          <w:spacing w:val="-8"/>
          <w:sz w:val="24"/>
        </w:rPr>
        <w:t> </w:t>
      </w:r>
      <w:r>
        <w:rPr>
          <w:spacing w:val="-2"/>
          <w:sz w:val="24"/>
        </w:rPr>
        <w:t>whether</w:t>
      </w:r>
      <w:r>
        <w:rPr>
          <w:spacing w:val="-8"/>
          <w:sz w:val="24"/>
        </w:rPr>
        <w:t> </w:t>
      </w:r>
      <w:r>
        <w:rPr>
          <w:spacing w:val="-2"/>
          <w:sz w:val="24"/>
        </w:rPr>
        <w:t>a</w:t>
      </w:r>
      <w:r>
        <w:rPr>
          <w:spacing w:val="-8"/>
          <w:sz w:val="24"/>
        </w:rPr>
        <w:t> </w:t>
      </w:r>
      <w:r>
        <w:rPr>
          <w:spacing w:val="-2"/>
          <w:sz w:val="24"/>
        </w:rPr>
        <w:t>row</w:t>
      </w:r>
      <w:r>
        <w:rPr>
          <w:spacing w:val="-8"/>
          <w:sz w:val="24"/>
        </w:rPr>
        <w:t> </w:t>
      </w:r>
      <w:r>
        <w:rPr>
          <w:spacing w:val="-2"/>
          <w:sz w:val="24"/>
        </w:rPr>
        <w:t>is</w:t>
      </w:r>
      <w:r>
        <w:rPr>
          <w:spacing w:val="-8"/>
          <w:sz w:val="24"/>
        </w:rPr>
        <w:t> </w:t>
      </w:r>
      <w:r>
        <w:rPr>
          <w:spacing w:val="-2"/>
          <w:sz w:val="24"/>
        </w:rPr>
        <w:t>a</w:t>
      </w:r>
      <w:r>
        <w:rPr>
          <w:spacing w:val="-7"/>
          <w:sz w:val="24"/>
        </w:rPr>
        <w:t> </w:t>
      </w:r>
      <w:r>
        <w:rPr>
          <w:i/>
          <w:spacing w:val="-2"/>
          <w:sz w:val="24"/>
        </w:rPr>
        <w:t>social </w:t>
      </w:r>
      <w:r>
        <w:rPr>
          <w:spacing w:val="-2"/>
          <w:sz w:val="24"/>
        </w:rPr>
        <w:t>method</w:t>
      </w:r>
      <w:r>
        <w:rPr>
          <w:spacing w:val="-8"/>
          <w:sz w:val="24"/>
        </w:rPr>
        <w:t> </w:t>
      </w:r>
      <w:r>
        <w:rPr>
          <w:spacing w:val="-2"/>
          <w:sz w:val="24"/>
        </w:rPr>
        <w:t>(EndorseRank,</w:t>
      </w:r>
      <w:r>
        <w:rPr>
          <w:spacing w:val="-5"/>
          <w:sz w:val="24"/>
        </w:rPr>
        <w:t> </w:t>
      </w:r>
      <w:r>
        <w:rPr>
          <w:spacing w:val="-2"/>
          <w:sz w:val="24"/>
        </w:rPr>
        <w:t>AWP)</w:t>
      </w:r>
      <w:r>
        <w:rPr>
          <w:spacing w:val="-8"/>
          <w:sz w:val="24"/>
        </w:rPr>
        <w:t> </w:t>
      </w:r>
      <w:r>
        <w:rPr>
          <w:spacing w:val="-2"/>
          <w:sz w:val="24"/>
        </w:rPr>
        <w:t>or</w:t>
      </w:r>
      <w:r>
        <w:rPr>
          <w:spacing w:val="-8"/>
          <w:sz w:val="24"/>
        </w:rPr>
        <w:t> </w:t>
      </w:r>
      <w:r>
        <w:rPr>
          <w:spacing w:val="-2"/>
          <w:sz w:val="24"/>
        </w:rPr>
        <w:t>the</w:t>
      </w:r>
      <w:r>
        <w:rPr>
          <w:spacing w:val="-8"/>
          <w:sz w:val="24"/>
        </w:rPr>
        <w:t> </w:t>
      </w:r>
      <w:r>
        <w:rPr>
          <w:spacing w:val="-2"/>
          <w:sz w:val="24"/>
        </w:rPr>
        <w:t>supplementary</w:t>
      </w:r>
      <w:r>
        <w:rPr>
          <w:spacing w:val="-8"/>
          <w:sz w:val="24"/>
        </w:rPr>
        <w:t> </w:t>
      </w:r>
      <w:r>
        <w:rPr>
          <w:spacing w:val="-2"/>
          <w:sz w:val="24"/>
        </w:rPr>
        <w:t>GF-PR reference.</w:t>
      </w:r>
    </w:p>
    <w:p>
      <w:pPr>
        <w:pStyle w:val="ListParagraph"/>
        <w:numPr>
          <w:ilvl w:val="0"/>
          <w:numId w:val="30"/>
        </w:numPr>
        <w:tabs>
          <w:tab w:pos="856" w:val="left" w:leader="none"/>
        </w:tabs>
        <w:spacing w:line="396" w:lineRule="auto" w:before="1" w:after="0"/>
        <w:ind w:left="856" w:right="564" w:hanging="311"/>
        <w:jc w:val="left"/>
        <w:rPr>
          <w:sz w:val="24"/>
        </w:rPr>
      </w:pPr>
      <w:r>
        <w:rPr>
          <w:i/>
        </w:rPr>
        <w:t>행이 소셜 메서드(EndorseRank, AWP)인지 또는 보충 GF-PR 참조인지 식별합니다.</w:t>
      </w:r>
    </w:p>
    <w:p>
      <w:pPr>
        <w:pStyle w:val="ListParagraph"/>
        <w:numPr>
          <w:ilvl w:val="0"/>
          <w:numId w:val="30"/>
        </w:numPr>
        <w:tabs>
          <w:tab w:pos="855" w:val="left" w:leader="none"/>
        </w:tabs>
        <w:spacing w:line="240" w:lineRule="auto" w:before="38" w:after="0"/>
        <w:ind w:left="855" w:right="0" w:hanging="310"/>
        <w:jc w:val="left"/>
        <w:rPr>
          <w:sz w:val="24"/>
        </w:rPr>
      </w:pPr>
      <w:r>
        <w:rPr>
          <w:sz w:val="24"/>
        </w:rPr>
        <w:t>Match</w:t>
      </w:r>
      <w:r>
        <w:rPr>
          <w:spacing w:val="-7"/>
          <w:sz w:val="24"/>
        </w:rPr>
        <w:t> </w:t>
      </w:r>
      <w:r>
        <w:rPr>
          <w:sz w:val="24"/>
        </w:rPr>
        <w:t>each</w:t>
      </w:r>
      <w:r>
        <w:rPr>
          <w:spacing w:val="-7"/>
          <w:sz w:val="24"/>
        </w:rPr>
        <w:t> </w:t>
      </w:r>
      <w:r>
        <w:rPr>
          <w:sz w:val="24"/>
        </w:rPr>
        <w:t>family</w:t>
      </w:r>
      <w:r>
        <w:rPr>
          <w:spacing w:val="-7"/>
          <w:sz w:val="24"/>
        </w:rPr>
        <w:t> </w:t>
      </w:r>
      <w:r>
        <w:rPr>
          <w:sz w:val="24"/>
        </w:rPr>
        <w:t>to</w:t>
      </w:r>
      <w:r>
        <w:rPr>
          <w:spacing w:val="-7"/>
          <w:sz w:val="24"/>
        </w:rPr>
        <w:t> </w:t>
      </w:r>
      <w:r>
        <w:rPr>
          <w:sz w:val="24"/>
        </w:rPr>
        <w:t>its</w:t>
      </w:r>
      <w:r>
        <w:rPr>
          <w:spacing w:val="-6"/>
          <w:sz w:val="24"/>
        </w:rPr>
        <w:t> </w:t>
      </w:r>
      <w:r>
        <w:rPr>
          <w:sz w:val="24"/>
        </w:rPr>
        <w:t>intended</w:t>
      </w:r>
      <w:r>
        <w:rPr>
          <w:spacing w:val="-7"/>
          <w:sz w:val="24"/>
        </w:rPr>
        <w:t> </w:t>
      </w:r>
      <w:r>
        <w:rPr>
          <w:sz w:val="24"/>
        </w:rPr>
        <w:t>construct</w:t>
      </w:r>
      <w:r>
        <w:rPr>
          <w:spacing w:val="-7"/>
          <w:sz w:val="24"/>
        </w:rPr>
        <w:t> </w:t>
      </w:r>
      <w:r>
        <w:rPr>
          <w:sz w:val="24"/>
        </w:rPr>
        <w:t>(allowance</w:t>
      </w:r>
      <w:r>
        <w:rPr>
          <w:spacing w:val="-7"/>
          <w:sz w:val="24"/>
        </w:rPr>
        <w:t> </w:t>
      </w:r>
      <w:r>
        <w:rPr>
          <w:sz w:val="24"/>
        </w:rPr>
        <w:t>vs.</w:t>
      </w:r>
      <w:r>
        <w:rPr>
          <w:spacing w:val="-6"/>
          <w:sz w:val="24"/>
        </w:rPr>
        <w:t> </w:t>
      </w:r>
      <w:r>
        <w:rPr>
          <w:sz w:val="24"/>
        </w:rPr>
        <w:t>transfer</w:t>
      </w:r>
      <w:r>
        <w:rPr>
          <w:spacing w:val="-7"/>
          <w:sz w:val="24"/>
        </w:rPr>
        <w:t> </w:t>
      </w:r>
      <w:r>
        <w:rPr>
          <w:sz w:val="24"/>
        </w:rPr>
        <w:t>vs.</w:t>
      </w:r>
      <w:r>
        <w:rPr>
          <w:spacing w:val="-7"/>
          <w:sz w:val="24"/>
        </w:rPr>
        <w:t> </w:t>
      </w:r>
      <w:r>
        <w:rPr>
          <w:spacing w:val="-2"/>
          <w:sz w:val="24"/>
        </w:rPr>
        <w:t>outcome).</w:t>
      </w:r>
    </w:p>
    <w:p>
      <w:pPr>
        <w:pStyle w:val="ListParagraph"/>
        <w:numPr>
          <w:ilvl w:val="0"/>
          <w:numId w:val="30"/>
        </w:numPr>
        <w:tabs>
          <w:tab w:pos="855" w:val="left" w:leader="none"/>
        </w:tabs>
        <w:spacing w:line="240" w:lineRule="auto" w:before="38" w:after="0"/>
        <w:ind w:left="855" w:right="0" w:hanging="310"/>
        <w:jc w:val="left"/>
        <w:rPr>
          <w:sz w:val="24"/>
        </w:rPr>
      </w:pPr>
      <w:r>
        <w:rPr>
          <w:i/>
        </w:rPr>
        <w:t>각 가족을 의도된 구성(수당, 이전, 결과)에 연결하세요.</w:t>
      </w:r>
    </w:p>
    <w:p>
      <w:pPr>
        <w:pStyle w:val="ListParagraph"/>
        <w:numPr>
          <w:ilvl w:val="0"/>
          <w:numId w:val="30"/>
        </w:numPr>
        <w:tabs>
          <w:tab w:pos="855" w:val="left" w:leader="none"/>
        </w:tabs>
        <w:spacing w:line="240" w:lineRule="auto" w:before="213" w:after="0"/>
        <w:ind w:left="855" w:right="0" w:hanging="310"/>
        <w:jc w:val="left"/>
        <w:rPr>
          <w:sz w:val="24"/>
        </w:rPr>
      </w:pPr>
      <w:r>
        <w:rPr>
          <w:sz w:val="24"/>
        </w:rPr>
        <w:t>Prefer</w:t>
      </w:r>
      <w:r>
        <w:rPr>
          <w:spacing w:val="-7"/>
          <w:sz w:val="24"/>
        </w:rPr>
        <w:t> </w:t>
      </w:r>
      <w:r>
        <w:rPr>
          <w:sz w:val="24"/>
        </w:rPr>
        <w:t>relative</w:t>
      </w:r>
      <w:r>
        <w:rPr>
          <w:spacing w:val="-6"/>
          <w:sz w:val="24"/>
        </w:rPr>
        <w:t> </w:t>
      </w:r>
      <w:r>
        <w:rPr>
          <w:sz w:val="24"/>
        </w:rPr>
        <w:t>comparisons</w:t>
      </w:r>
      <w:r>
        <w:rPr>
          <w:spacing w:val="-6"/>
          <w:sz w:val="24"/>
        </w:rPr>
        <w:t> </w:t>
      </w:r>
      <w:r>
        <w:rPr>
          <w:sz w:val="24"/>
        </w:rPr>
        <w:t>on</w:t>
      </w:r>
      <w:r>
        <w:rPr>
          <w:spacing w:val="-7"/>
          <w:sz w:val="24"/>
        </w:rPr>
        <w:t> </w:t>
      </w:r>
      <w:r>
        <w:rPr>
          <w:sz w:val="24"/>
        </w:rPr>
        <w:t>the</w:t>
      </w:r>
      <w:r>
        <w:rPr>
          <w:spacing w:val="-6"/>
          <w:sz w:val="24"/>
        </w:rPr>
        <w:t> </w:t>
      </w:r>
      <w:r>
        <w:rPr>
          <w:sz w:val="24"/>
        </w:rPr>
        <w:t>same</w:t>
      </w:r>
      <w:r>
        <w:rPr>
          <w:spacing w:val="-6"/>
          <w:sz w:val="24"/>
        </w:rPr>
        <w:t> </w:t>
      </w:r>
      <w:r>
        <w:rPr>
          <w:sz w:val="24"/>
        </w:rPr>
        <w:t>cohort</w:t>
      </w:r>
      <w:r>
        <w:rPr>
          <w:spacing w:val="-7"/>
          <w:sz w:val="24"/>
        </w:rPr>
        <w:t> </w:t>
      </w:r>
      <w:r>
        <w:rPr>
          <w:sz w:val="24"/>
        </w:rPr>
        <w:t>over</w:t>
      </w:r>
      <w:r>
        <w:rPr>
          <w:spacing w:val="-6"/>
          <w:sz w:val="24"/>
        </w:rPr>
        <w:t> </w:t>
      </w:r>
      <w:r>
        <w:rPr>
          <w:sz w:val="24"/>
        </w:rPr>
        <w:t>absolute</w:t>
      </w:r>
      <w:r>
        <w:rPr>
          <w:spacing w:val="-6"/>
          <w:sz w:val="24"/>
        </w:rPr>
        <w:t> </w:t>
      </w:r>
      <w:r>
        <w:rPr>
          <w:rFonts w:ascii="Calibri" w:hAnsi="Calibri"/>
          <w:i/>
          <w:sz w:val="24"/>
        </w:rPr>
        <w:t>τ</w:t>
      </w:r>
      <w:r>
        <w:rPr>
          <w:rFonts w:ascii="Calibri" w:hAnsi="Calibri"/>
          <w:i/>
          <w:spacing w:val="24"/>
          <w:sz w:val="24"/>
        </w:rPr>
        <w:t> </w:t>
      </w:r>
      <w:r>
        <w:rPr>
          <w:spacing w:val="-2"/>
          <w:sz w:val="24"/>
        </w:rPr>
        <w:t>thresholds.</w:t>
      </w:r>
    </w:p>
    <w:p>
      <w:pPr>
        <w:pStyle w:val="ListParagraph"/>
        <w:numPr>
          <w:ilvl w:val="0"/>
          <w:numId w:val="30"/>
        </w:numPr>
        <w:tabs>
          <w:tab w:pos="855" w:val="left" w:leader="none"/>
        </w:tabs>
        <w:spacing w:line="240" w:lineRule="auto" w:before="213" w:after="0"/>
        <w:ind w:left="855" w:right="0" w:hanging="310"/>
        <w:jc w:val="left"/>
        <w:rPr>
          <w:sz w:val="24"/>
        </w:rPr>
      </w:pPr>
      <w:r>
        <w:rPr>
          <w:i/>
        </w:rPr>
        <w:t>절대 τ 임계값보다 동일한 집단에 대한 상대 비교를 선호합니다.</w:t>
      </w:r>
    </w:p>
    <w:p>
      <w:pPr>
        <w:pStyle w:val="ListParagraph"/>
        <w:numPr>
          <w:ilvl w:val="0"/>
          <w:numId w:val="30"/>
        </w:numPr>
        <w:tabs>
          <w:tab w:pos="848" w:val="left" w:leader="none"/>
        </w:tabs>
        <w:spacing w:line="396" w:lineRule="auto" w:before="204" w:after="0"/>
        <w:ind w:left="848" w:right="565" w:hanging="303"/>
        <w:jc w:val="left"/>
        <w:rPr>
          <w:sz w:val="24"/>
        </w:rPr>
      </w:pPr>
      <w:r>
        <w:rPr>
          <w:sz w:val="24"/>
        </w:rPr>
        <w:t>Treat</w:t>
      </w:r>
      <w:r>
        <w:rPr>
          <w:spacing w:val="38"/>
          <w:sz w:val="24"/>
        </w:rPr>
        <w:t> </w:t>
      </w:r>
      <w:r>
        <w:rPr>
          <w:sz w:val="24"/>
        </w:rPr>
        <w:t>GF-PR</w:t>
      </w:r>
      <w:r>
        <w:rPr>
          <w:spacing w:val="39"/>
          <w:sz w:val="24"/>
        </w:rPr>
        <w:t> </w:t>
      </w:r>
      <w:r>
        <w:rPr>
          <w:sz w:val="24"/>
        </w:rPr>
        <w:t>highs</w:t>
      </w:r>
      <w:r>
        <w:rPr>
          <w:spacing w:val="38"/>
          <w:sz w:val="24"/>
        </w:rPr>
        <w:t> </w:t>
      </w:r>
      <w:r>
        <w:rPr>
          <w:sz w:val="24"/>
        </w:rPr>
        <w:t>on</w:t>
      </w:r>
      <w:r>
        <w:rPr>
          <w:spacing w:val="39"/>
          <w:sz w:val="24"/>
        </w:rPr>
        <w:t> </w:t>
      </w:r>
      <w:r>
        <w:rPr>
          <w:sz w:val="24"/>
        </w:rPr>
        <w:t>trading-success</w:t>
      </w:r>
      <w:r>
        <w:rPr>
          <w:spacing w:val="39"/>
          <w:sz w:val="24"/>
        </w:rPr>
        <w:t> </w:t>
      </w:r>
      <w:r>
        <w:rPr>
          <w:sz w:val="24"/>
        </w:rPr>
        <w:t>and</w:t>
      </w:r>
      <w:r>
        <w:rPr>
          <w:spacing w:val="38"/>
          <w:sz w:val="24"/>
        </w:rPr>
        <w:t> </w:t>
      </w:r>
      <w:r>
        <w:rPr>
          <w:sz w:val="24"/>
        </w:rPr>
        <w:t>inverse-risk</w:t>
      </w:r>
      <w:r>
        <w:rPr>
          <w:spacing w:val="39"/>
          <w:sz w:val="24"/>
        </w:rPr>
        <w:t> </w:t>
      </w:r>
      <w:r>
        <w:rPr>
          <w:sz w:val="24"/>
        </w:rPr>
        <w:t>as</w:t>
      </w:r>
      <w:r>
        <w:rPr>
          <w:spacing w:val="39"/>
          <w:sz w:val="24"/>
        </w:rPr>
        <w:t> </w:t>
      </w:r>
      <w:r>
        <w:rPr>
          <w:sz w:val="24"/>
        </w:rPr>
        <w:t>construct-overlap</w:t>
      </w:r>
      <w:r>
        <w:rPr>
          <w:spacing w:val="39"/>
          <w:sz w:val="24"/>
        </w:rPr>
        <w:t> </w:t>
      </w:r>
      <w:r>
        <w:rPr>
          <w:sz w:val="24"/>
        </w:rPr>
        <w:t>diagnostics </w:t>
      </w:r>
      <w:r>
        <w:rPr>
          <w:spacing w:val="-2"/>
          <w:sz w:val="24"/>
        </w:rPr>
        <w:t>(SRQ1).</w:t>
      </w:r>
    </w:p>
    <w:p>
      <w:pPr>
        <w:pStyle w:val="ListParagraph"/>
        <w:numPr>
          <w:ilvl w:val="0"/>
          <w:numId w:val="30"/>
        </w:numPr>
        <w:tabs>
          <w:tab w:pos="848" w:val="left" w:leader="none"/>
        </w:tabs>
        <w:spacing w:line="396" w:lineRule="auto" w:before="204" w:after="0"/>
        <w:ind w:left="848" w:right="565" w:hanging="303"/>
        <w:jc w:val="left"/>
        <w:rPr>
          <w:sz w:val="24"/>
        </w:rPr>
      </w:pPr>
      <w:r>
        <w:rPr>
          <w:i/>
        </w:rPr>
        <w:t>거래 성공 및 역위험에 대한 GF-PR 최고치를 구성 중복 진단(SRQ1)으로 처리합니다.</w:t>
      </w:r>
    </w:p>
    <w:p>
      <w:pPr>
        <w:pStyle w:val="ListParagraph"/>
        <w:numPr>
          <w:ilvl w:val="0"/>
          <w:numId w:val="30"/>
        </w:numPr>
        <w:tabs>
          <w:tab w:pos="855" w:val="left" w:leader="none"/>
        </w:tabs>
        <w:spacing w:line="240" w:lineRule="auto" w:before="39" w:after="0"/>
        <w:ind w:left="855" w:right="0" w:hanging="310"/>
        <w:jc w:val="left"/>
        <w:rPr>
          <w:sz w:val="24"/>
        </w:rPr>
      </w:pPr>
      <w:r>
        <w:rPr>
          <w:sz w:val="24"/>
        </w:rPr>
        <w:t>Read</w:t>
      </w:r>
      <w:r>
        <w:rPr>
          <w:spacing w:val="-8"/>
          <w:sz w:val="24"/>
        </w:rPr>
        <w:t> </w:t>
      </w:r>
      <w:r>
        <w:rPr>
          <w:sz w:val="24"/>
        </w:rPr>
        <w:t>runtime</w:t>
      </w:r>
      <w:r>
        <w:rPr>
          <w:spacing w:val="-7"/>
          <w:sz w:val="24"/>
        </w:rPr>
        <w:t> </w:t>
      </w:r>
      <w:r>
        <w:rPr>
          <w:sz w:val="24"/>
        </w:rPr>
        <w:t>tables</w:t>
      </w:r>
      <w:r>
        <w:rPr>
          <w:spacing w:val="-7"/>
          <w:sz w:val="24"/>
        </w:rPr>
        <w:t> </w:t>
      </w:r>
      <w:r>
        <w:rPr>
          <w:sz w:val="24"/>
        </w:rPr>
        <w:t>as</w:t>
      </w:r>
      <w:r>
        <w:rPr>
          <w:spacing w:val="-7"/>
          <w:sz w:val="24"/>
        </w:rPr>
        <w:t> </w:t>
      </w:r>
      <w:r>
        <w:rPr>
          <w:sz w:val="24"/>
        </w:rPr>
        <w:t>PageRank</w:t>
      </w:r>
      <w:r>
        <w:rPr>
          <w:spacing w:val="-7"/>
          <w:sz w:val="24"/>
        </w:rPr>
        <w:t> </w:t>
      </w:r>
      <w:r>
        <w:rPr>
          <w:sz w:val="24"/>
        </w:rPr>
        <w:t>solve</w:t>
      </w:r>
      <w:r>
        <w:rPr>
          <w:spacing w:val="-7"/>
          <w:sz w:val="24"/>
        </w:rPr>
        <w:t> </w:t>
      </w:r>
      <w:r>
        <w:rPr>
          <w:sz w:val="24"/>
        </w:rPr>
        <w:t>time</w:t>
      </w:r>
      <w:r>
        <w:rPr>
          <w:spacing w:val="-7"/>
          <w:sz w:val="24"/>
        </w:rPr>
        <w:t> </w:t>
      </w:r>
      <w:r>
        <w:rPr>
          <w:sz w:val="24"/>
        </w:rPr>
        <w:t>on</w:t>
      </w:r>
      <w:r>
        <w:rPr>
          <w:spacing w:val="-8"/>
          <w:sz w:val="24"/>
        </w:rPr>
        <w:t> </w:t>
      </w:r>
      <w:r>
        <w:rPr>
          <w:sz w:val="24"/>
        </w:rPr>
        <w:t>pre-built</w:t>
      </w:r>
      <w:r>
        <w:rPr>
          <w:spacing w:val="-7"/>
          <w:sz w:val="24"/>
        </w:rPr>
        <w:t> </w:t>
      </w:r>
      <w:r>
        <w:rPr>
          <w:sz w:val="24"/>
        </w:rPr>
        <w:t>edges,</w:t>
      </w:r>
      <w:r>
        <w:rPr>
          <w:spacing w:val="-7"/>
          <w:sz w:val="24"/>
        </w:rPr>
        <w:t> </w:t>
      </w:r>
      <w:r>
        <w:rPr>
          <w:sz w:val="24"/>
        </w:rPr>
        <w:t>not</w:t>
      </w:r>
      <w:r>
        <w:rPr>
          <w:spacing w:val="-7"/>
          <w:sz w:val="24"/>
        </w:rPr>
        <w:t> </w:t>
      </w:r>
      <w:r>
        <w:rPr>
          <w:sz w:val="24"/>
        </w:rPr>
        <w:t>end-to-end</w:t>
      </w:r>
      <w:r>
        <w:rPr>
          <w:spacing w:val="-7"/>
          <w:sz w:val="24"/>
        </w:rPr>
        <w:t> </w:t>
      </w:r>
      <w:r>
        <w:rPr>
          <w:sz w:val="24"/>
        </w:rPr>
        <w:t>ETL</w:t>
      </w:r>
      <w:r>
        <w:rPr>
          <w:spacing w:val="-7"/>
          <w:sz w:val="24"/>
        </w:rPr>
        <w:t> </w:t>
      </w:r>
      <w:r>
        <w:rPr>
          <w:spacing w:val="-2"/>
          <w:sz w:val="24"/>
        </w:rPr>
        <w:t>time.</w:t>
      </w:r>
    </w:p>
    <w:p>
      <w:pPr>
        <w:pStyle w:val="ListParagraph"/>
        <w:numPr>
          <w:ilvl w:val="0"/>
          <w:numId w:val="30"/>
        </w:numPr>
        <w:tabs>
          <w:tab w:pos="855" w:val="left" w:leader="none"/>
        </w:tabs>
        <w:spacing w:line="240" w:lineRule="auto" w:before="39" w:after="0"/>
        <w:ind w:left="855" w:right="0" w:hanging="310"/>
        <w:jc w:val="left"/>
        <w:rPr>
          <w:sz w:val="24"/>
        </w:rPr>
      </w:pPr>
      <w:r>
        <w:rPr>
          <w:i/>
        </w:rPr>
        <w:t>엔드 투 엔드 ETL 시간이 아닌 사전 구축된 에지의 PageRank 해결 시간으로 런타임 테이블을 읽습니다.</w:t>
      </w:r>
    </w:p>
    <w:p>
      <w:pPr>
        <w:pStyle w:val="ListParagraph"/>
        <w:numPr>
          <w:ilvl w:val="0"/>
          <w:numId w:val="30"/>
        </w:numPr>
        <w:tabs>
          <w:tab w:pos="855" w:val="left" w:leader="none"/>
        </w:tabs>
        <w:spacing w:line="240" w:lineRule="auto" w:before="217" w:after="0"/>
        <w:ind w:left="855" w:right="0" w:hanging="310"/>
        <w:jc w:val="left"/>
        <w:rPr>
          <w:sz w:val="24"/>
        </w:rPr>
      </w:pPr>
      <w:r>
        <w:rPr>
          <w:sz w:val="24"/>
        </w:rPr>
        <w:t>Confirm</w:t>
      </w:r>
      <w:r>
        <w:rPr>
          <w:spacing w:val="-10"/>
          <w:sz w:val="24"/>
        </w:rPr>
        <w:t> </w:t>
      </w:r>
      <w:r>
        <w:rPr>
          <w:sz w:val="24"/>
        </w:rPr>
        <w:t>robustness</w:t>
      </w:r>
      <w:r>
        <w:rPr>
          <w:spacing w:val="-10"/>
          <w:sz w:val="24"/>
        </w:rPr>
        <w:t> </w:t>
      </w:r>
      <w:r>
        <w:rPr>
          <w:sz w:val="24"/>
        </w:rPr>
        <w:t>tables</w:t>
      </w:r>
      <w:r>
        <w:rPr>
          <w:spacing w:val="-10"/>
          <w:sz w:val="24"/>
        </w:rPr>
        <w:t> </w:t>
      </w:r>
      <w:r>
        <w:rPr>
          <w:sz w:val="24"/>
        </w:rPr>
        <w:t>before</w:t>
      </w:r>
      <w:r>
        <w:rPr>
          <w:spacing w:val="-10"/>
          <w:sz w:val="24"/>
        </w:rPr>
        <w:t> </w:t>
      </w:r>
      <w:r>
        <w:rPr>
          <w:sz w:val="24"/>
        </w:rPr>
        <w:t>generalizing</w:t>
      </w:r>
      <w:r>
        <w:rPr>
          <w:spacing w:val="-10"/>
          <w:sz w:val="24"/>
        </w:rPr>
        <w:t> </w:t>
      </w:r>
      <w:r>
        <w:rPr>
          <w:sz w:val="24"/>
        </w:rPr>
        <w:t>a</w:t>
      </w:r>
      <w:r>
        <w:rPr>
          <w:spacing w:val="-10"/>
          <w:sz w:val="24"/>
        </w:rPr>
        <w:t> </w:t>
      </w:r>
      <w:r>
        <w:rPr>
          <w:sz w:val="24"/>
        </w:rPr>
        <w:t>point</w:t>
      </w:r>
      <w:r>
        <w:rPr>
          <w:spacing w:val="-9"/>
          <w:sz w:val="24"/>
        </w:rPr>
        <w:t> </w:t>
      </w:r>
      <w:r>
        <w:rPr>
          <w:spacing w:val="-2"/>
          <w:sz w:val="24"/>
        </w:rPr>
        <w:t>estimate.</w:t>
      </w:r>
    </w:p>
    <w:p>
      <w:pPr>
        <w:pStyle w:val="ListParagraph"/>
        <w:numPr>
          <w:ilvl w:val="0"/>
          <w:numId w:val="30"/>
        </w:numPr>
        <w:tabs>
          <w:tab w:pos="855" w:val="left" w:leader="none"/>
        </w:tabs>
        <w:spacing w:line="240" w:lineRule="auto" w:before="217" w:after="0"/>
        <w:ind w:left="855" w:right="0" w:hanging="310"/>
        <w:jc w:val="left"/>
        <w:rPr>
          <w:sz w:val="24"/>
        </w:rPr>
      </w:pPr>
      <w:r>
        <w:rPr>
          <w:i/>
        </w:rPr>
        <w:t>점추정을 일반화하기 전에 견고성 표를 확인하십시오.</w:t>
      </w:r>
    </w:p>
    <w:p>
      <w:pPr>
        <w:pStyle w:val="BodyText"/>
        <w:spacing w:before="186"/>
      </w:pPr>
    </w:p>
    <w:p>
      <w:pPr>
        <w:pStyle w:val="Heading4"/>
        <w:numPr>
          <w:ilvl w:val="2"/>
          <w:numId w:val="8"/>
        </w:numPr>
        <w:tabs>
          <w:tab w:pos="879" w:val="left" w:leader="none"/>
        </w:tabs>
        <w:spacing w:line="240" w:lineRule="auto" w:before="0" w:after="0"/>
        <w:ind w:left="879" w:right="0" w:hanging="597"/>
        <w:jc w:val="both"/>
      </w:pPr>
      <w:bookmarkStart w:name="Archived extended baselines" w:id="357"/>
      <w:bookmarkEnd w:id="357"/>
      <w:r>
        <w:rPr>
          <w:b w:val="0"/>
        </w:rPr>
      </w:r>
      <w:bookmarkStart w:name="_bookmark217" w:id="358"/>
      <w:bookmarkEnd w:id="358"/>
      <w:r>
        <w:rPr>
          <w:b w:val="0"/>
        </w:rPr>
      </w:r>
      <w:r>
        <w:rPr>
          <w:spacing w:val="-2"/>
        </w:rPr>
        <w:t>Archived</w:t>
      </w:r>
      <w:r>
        <w:rPr>
          <w:spacing w:val="-3"/>
        </w:rPr>
        <w:t> </w:t>
      </w:r>
      <w:r>
        <w:rPr>
          <w:spacing w:val="-2"/>
        </w:rPr>
        <w:t>extended</w:t>
      </w:r>
      <w:r>
        <w:rPr>
          <w:spacing w:val="-3"/>
        </w:rPr>
        <w:t> </w:t>
      </w:r>
      <w:r>
        <w:rPr>
          <w:spacing w:val="-2"/>
        </w:rPr>
        <w:t>baselines</w:t>
      </w:r>
    </w:p>
    <w:p>
      <w:pPr>
        <w:pStyle w:val="Heading4"/>
        <w:numPr>
          <w:ilvl w:val="2"/>
          <w:numId w:val="8"/>
        </w:numPr>
        <w:tabs>
          <w:tab w:pos="879" w:val="left" w:leader="none"/>
        </w:tabs>
        <w:spacing w:line="240" w:lineRule="auto" w:before="0" w:after="0"/>
        <w:ind w:left="879" w:right="0" w:hanging="597"/>
        <w:jc w:val="both"/>
      </w:pPr>
      <w:r>
        <w:rPr>
          <w:i/>
        </w:rPr>
        <w:t>보관된 확장 기준선</w:t>
      </w:r>
    </w:p>
    <w:p>
      <w:pPr>
        <w:pStyle w:val="BodyText"/>
        <w:spacing w:before="46"/>
        <w:rPr>
          <w:b/>
        </w:rPr>
      </w:pPr>
    </w:p>
    <w:p>
      <w:pPr>
        <w:pStyle w:val="BodyText"/>
        <w:spacing w:line="396" w:lineRule="auto"/>
        <w:ind w:left="273" w:right="533" w:firstLine="8"/>
        <w:jc w:val="both"/>
      </w:pPr>
      <w:r>
        <w:rPr/>
        <w:t>Seven-method and six-Aave alignment matrices are archived alongside the evaluation pipeline, together</w:t>
      </w:r>
      <w:r>
        <w:rPr>
          <w:spacing w:val="-9"/>
        </w:rPr>
        <w:t> </w:t>
      </w:r>
      <w:r>
        <w:rPr/>
        <w:t>with</w:t>
      </w:r>
      <w:r>
        <w:rPr>
          <w:spacing w:val="-9"/>
        </w:rPr>
        <w:t> </w:t>
      </w:r>
      <w:r>
        <w:rPr/>
        <w:t>corresponding</w:t>
      </w:r>
      <w:r>
        <w:rPr>
          <w:spacing w:val="-9"/>
        </w:rPr>
        <w:t> </w:t>
      </w:r>
      <w:r>
        <w:rPr/>
        <w:t>CSV</w:t>
      </w:r>
      <w:r>
        <w:rPr>
          <w:spacing w:val="-9"/>
        </w:rPr>
        <w:t> </w:t>
      </w:r>
      <w:r>
        <w:rPr/>
        <w:t>matrices</w:t>
      </w:r>
      <w:r>
        <w:rPr>
          <w:spacing w:val="-9"/>
        </w:rPr>
        <w:t> </w:t>
      </w:r>
      <w:r>
        <w:rPr/>
        <w:t>for</w:t>
      </w:r>
      <w:r>
        <w:rPr>
          <w:spacing w:val="-9"/>
        </w:rPr>
        <w:t> </w:t>
      </w:r>
      <w:r>
        <w:rPr/>
        <w:t>spreadsheet</w:t>
      </w:r>
      <w:r>
        <w:rPr>
          <w:spacing w:val="-9"/>
        </w:rPr>
        <w:t> </w:t>
      </w:r>
      <w:r>
        <w:rPr/>
        <w:t>inspection.</w:t>
      </w:r>
      <w:r>
        <w:rPr>
          <w:spacing w:val="14"/>
        </w:rPr>
        <w:t> </w:t>
      </w:r>
      <w:r>
        <w:rPr/>
        <w:t>They</w:t>
      </w:r>
      <w:r>
        <w:rPr>
          <w:spacing w:val="-9"/>
        </w:rPr>
        <w:t> </w:t>
      </w:r>
      <w:r>
        <w:rPr/>
        <w:t>are</w:t>
      </w:r>
      <w:r>
        <w:rPr>
          <w:spacing w:val="-9"/>
        </w:rPr>
        <w:t> </w:t>
      </w:r>
      <w:r>
        <w:rPr/>
        <w:t>excluded</w:t>
      </w:r>
      <w:r>
        <w:rPr>
          <w:spacing w:val="-9"/>
        </w:rPr>
        <w:t> </w:t>
      </w:r>
      <w:r>
        <w:rPr/>
        <w:t>from</w:t>
      </w:r>
      <w:r>
        <w:rPr>
          <w:spacing w:val="-9"/>
        </w:rPr>
        <w:t> </w:t>
      </w:r>
      <w:r>
        <w:rPr/>
        <w:t>the main narrative because several variants require additional event types (e.g., credit delegation) or introduce</w:t>
      </w:r>
      <w:r>
        <w:rPr>
          <w:spacing w:val="-11"/>
        </w:rPr>
        <w:t> </w:t>
      </w:r>
      <w:r>
        <w:rPr/>
        <w:t>constructs</w:t>
      </w:r>
      <w:r>
        <w:rPr>
          <w:spacing w:val="-11"/>
        </w:rPr>
        <w:t> </w:t>
      </w:r>
      <w:r>
        <w:rPr/>
        <w:t>outside</w:t>
      </w:r>
      <w:r>
        <w:rPr>
          <w:spacing w:val="-11"/>
        </w:rPr>
        <w:t> </w:t>
      </w:r>
      <w:r>
        <w:rPr/>
        <w:t>the</w:t>
      </w:r>
      <w:r>
        <w:rPr>
          <w:spacing w:val="-11"/>
        </w:rPr>
        <w:t> </w:t>
      </w:r>
      <w:r>
        <w:rPr/>
        <w:t>primary</w:t>
      </w:r>
      <w:r>
        <w:rPr>
          <w:spacing w:val="-11"/>
        </w:rPr>
        <w:t> </w:t>
      </w:r>
      <w:r>
        <w:rPr/>
        <w:t>EndorseRank–AWP</w:t>
      </w:r>
      <w:r>
        <w:rPr>
          <w:spacing w:val="-11"/>
        </w:rPr>
        <w:t> </w:t>
      </w:r>
      <w:r>
        <w:rPr/>
        <w:t>question.</w:t>
      </w:r>
      <w:r>
        <w:rPr>
          <w:spacing w:val="10"/>
        </w:rPr>
        <w:t> </w:t>
      </w:r>
      <w:r>
        <w:rPr/>
        <w:t>Researchers</w:t>
      </w:r>
      <w:r>
        <w:rPr>
          <w:spacing w:val="-11"/>
        </w:rPr>
        <w:t> </w:t>
      </w:r>
      <w:r>
        <w:rPr/>
        <w:t>extending</w:t>
      </w:r>
      <w:r>
        <w:rPr>
          <w:spacing w:val="-11"/>
        </w:rPr>
        <w:t> </w:t>
      </w:r>
      <w:r>
        <w:rPr/>
        <w:t>this </w:t>
      </w:r>
      <w:bookmarkStart w:name="Limitations reprise" w:id="359"/>
      <w:bookmarkEnd w:id="359"/>
      <w:r>
        <w:rPr>
          <w:spacing w:val="-1"/>
          <w:w w:val="99"/>
        </w:rPr>
      </w:r>
      <w:bookmarkStart w:name="_bookmark218" w:id="360"/>
      <w:bookmarkEnd w:id="360"/>
      <w:r>
        <w:rPr/>
        <w:t>work</w:t>
      </w:r>
      <w:r>
        <w:rPr/>
        <w:t> may re-enable exports via a dedicated export utility with documented presets.</w:t>
      </w:r>
    </w:p>
    <w:p>
      <w:pPr>
        <w:pStyle w:val="BodyText"/>
        <w:spacing w:line="396" w:lineRule="auto"/>
        <w:ind w:left="273" w:right="533" w:firstLine="8"/>
        <w:jc w:val="both"/>
      </w:pPr>
      <w:r>
        <w:rPr>
          <w:i/>
        </w:rPr>
        <w:t>7가지 방법 및 6가지 Aave 정렬 행렬은 스프레드시트 검사를 위한 해당 CSV 행렬과 함께 평가 파이프라인과 함께 보관됩니다. 여러 변형이 추가 이벤트 유형(예: 신용 위임)을 요구하거나 기본 EndorseRank–AWP 질문 외부 구성을 도입하기 때문에 기본 설명에서 제외됩니다. 이 작업을 확장하는 연구원은 문서화된 사전 설정이 있는 전용 내보내기 유틸리티를 통해 내보내기를 다시 활성화할 수 있습니다.</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Limitations</w:t>
      </w:r>
      <w:r>
        <w:rPr>
          <w:spacing w:val="-1"/>
        </w:rPr>
        <w:t> </w:t>
      </w:r>
      <w:r>
        <w:rPr>
          <w:spacing w:val="-2"/>
        </w:rPr>
        <w:t>reprise</w:t>
      </w:r>
    </w:p>
    <w:p>
      <w:pPr>
        <w:pStyle w:val="Heading4"/>
        <w:numPr>
          <w:ilvl w:val="2"/>
          <w:numId w:val="8"/>
        </w:numPr>
        <w:tabs>
          <w:tab w:pos="879" w:val="left" w:leader="none"/>
        </w:tabs>
        <w:spacing w:line="240" w:lineRule="auto" w:before="73" w:after="0"/>
        <w:ind w:left="879" w:right="0" w:hanging="597"/>
        <w:jc w:val="left"/>
      </w:pPr>
      <w:r>
        <w:rPr>
          <w:i/>
        </w:rPr>
        <w:t>제한 사항 반복</w:t>
      </w:r>
    </w:p>
    <w:p>
      <w:pPr>
        <w:pStyle w:val="BodyText"/>
        <w:spacing w:before="46"/>
        <w:rPr>
          <w:b/>
        </w:rPr>
      </w:pPr>
    </w:p>
    <w:p>
      <w:pPr>
        <w:pStyle w:val="BodyText"/>
        <w:spacing w:line="391" w:lineRule="auto"/>
        <w:ind w:left="274" w:right="557" w:hanging="1"/>
        <w:jc w:val="both"/>
      </w:pPr>
      <w:r>
        <w:rPr/>
        <w:t>Appendix material does not expand the empirical claims beyond Chapter </w:t>
      </w:r>
      <w:hyperlink w:history="true" w:anchor="_bookmark84">
        <w:r>
          <w:rPr/>
          <w:t>4</w:t>
        </w:r>
      </w:hyperlink>
      <w:r>
        <w:rPr/>
        <w:t>.</w:t>
      </w:r>
      <w:r>
        <w:rPr>
          <w:spacing w:val="40"/>
        </w:rPr>
        <w:t> </w:t>
      </w:r>
      <w:r>
        <w:rPr/>
        <w:t>In particular, SQL templates do not imply that other chains were queried, and archived baselines do not constitute peer comparisons in this dissertation.</w:t>
      </w:r>
      <w:r>
        <w:rPr>
          <w:spacing w:val="40"/>
        </w:rPr>
        <w:t> </w:t>
      </w:r>
      <w:r>
        <w:rPr/>
        <w:t>The authoritative numerics remain those in the pipeline’s machine-readable summary artifact for the matched cohort (</w:t>
      </w:r>
      <w:r>
        <w:rPr>
          <w:rFonts w:ascii="Calibri" w:hAnsi="Calibri"/>
          <w:i/>
        </w:rPr>
        <w:t>n </w:t>
      </w:r>
      <w:r>
        <w:rPr>
          <w:rFonts w:ascii="Calibri" w:hAnsi="Calibri"/>
          <w:w w:val="125"/>
        </w:rPr>
        <w:t>= </w:t>
      </w:r>
      <w:r>
        <w:rPr>
          <w:rFonts w:ascii="Calibri" w:hAnsi="Calibri"/>
        </w:rPr>
        <w:t>5</w:t>
      </w:r>
      <w:r>
        <w:rPr>
          <w:rFonts w:ascii="Calibri" w:hAnsi="Calibri"/>
          <w:i/>
        </w:rPr>
        <w:t>,</w:t>
      </w:r>
      <w:r>
        <w:rPr>
          <w:rFonts w:ascii="Calibri" w:hAnsi="Calibri"/>
        </w:rPr>
        <w:t>521</w:t>
      </w:r>
      <w:r>
        <w:rPr/>
        <w:t>) and expanded wallet pool </w:t>
      </w:r>
      <w:bookmarkStart w:name="Elementary Properties of PageRank and Ra" w:id="361"/>
      <w:bookmarkEnd w:id="361"/>
      <w:r>
        <w:rPr>
          <w:w w:val="99"/>
        </w:rPr>
      </w:r>
      <w:bookmarkStart w:name="_bookmark219" w:id="362"/>
      <w:bookmarkEnd w:id="362"/>
      <w:r>
        <w:rPr/>
        <w:t>(</w:t>
      </w:r>
      <w:r>
        <w:rPr>
          <w:rFonts w:ascii="Calibri" w:hAnsi="Calibri"/>
          <w:i/>
        </w:rPr>
        <w:t>N</w:t>
      </w:r>
      <w:r>
        <w:rPr>
          <w:rFonts w:ascii="Calibri" w:hAnsi="Calibri"/>
          <w:i/>
          <w:w w:val="125"/>
        </w:rPr>
        <w:t> </w:t>
      </w:r>
      <w:r>
        <w:rPr>
          <w:rFonts w:ascii="Calibri" w:hAnsi="Calibri"/>
          <w:w w:val="125"/>
        </w:rPr>
        <w:t>= </w:t>
      </w:r>
      <w:r>
        <w:rPr>
          <w:rFonts w:ascii="Calibri" w:hAnsi="Calibri"/>
        </w:rPr>
        <w:t>31</w:t>
      </w:r>
      <w:r>
        <w:rPr>
          <w:rFonts w:ascii="Calibri" w:hAnsi="Calibri"/>
          <w:i/>
        </w:rPr>
        <w:t>,</w:t>
      </w:r>
      <w:r>
        <w:rPr>
          <w:rFonts w:ascii="Calibri" w:hAnsi="Calibri"/>
        </w:rPr>
        <w:t>612</w:t>
      </w:r>
      <w:r>
        <w:rPr/>
        <w:t>).</w:t>
      </w:r>
    </w:p>
    <w:p>
      <w:pPr>
        <w:pStyle w:val="BodyText"/>
        <w:spacing w:line="391" w:lineRule="auto"/>
        <w:ind w:left="274" w:right="557" w:hanging="1"/>
        <w:jc w:val="both"/>
      </w:pPr>
      <w:r>
        <w:rPr>
          <w:i/>
        </w:rPr>
        <w:t>부록 자료는 4장 이상으로 경험적 주장을 확장하지 않습니다. 특히, SQL 템플릿은 다른 체인이 쿼리되었음을 암시하지 않으며, 보관된 기준선은 이 논문에서 동료 비교를 구성하지 않습니다. 신뢰할 수 있는 수치는 일치하는 코호트(n = 5,521) 및 확장된 지갑 풀(N = 31,612)에 대한 파이프라인의 기계 판독 가능 요약 아티팩트에 있는 수치로 유지됩니다.</w:t>
      </w:r>
    </w:p>
    <w:p>
      <w:pPr>
        <w:pStyle w:val="BodyText"/>
        <w:spacing w:before="136"/>
      </w:pPr>
    </w:p>
    <w:p>
      <w:pPr>
        <w:pStyle w:val="Heading2"/>
        <w:numPr>
          <w:ilvl w:val="1"/>
          <w:numId w:val="8"/>
        </w:numPr>
        <w:tabs>
          <w:tab w:pos="783" w:val="left" w:leader="none"/>
        </w:tabs>
        <w:spacing w:line="240" w:lineRule="auto" w:before="0" w:after="0"/>
        <w:ind w:left="783" w:right="0" w:hanging="501"/>
        <w:jc w:val="left"/>
      </w:pPr>
      <w:r>
        <w:rPr/>
        <w:t>Elementary</w:t>
      </w:r>
      <w:r>
        <w:rPr>
          <w:spacing w:val="14"/>
        </w:rPr>
        <w:t> </w:t>
      </w:r>
      <w:r>
        <w:rPr/>
        <w:t>Properties</w:t>
      </w:r>
      <w:r>
        <w:rPr>
          <w:spacing w:val="14"/>
        </w:rPr>
        <w:t> </w:t>
      </w:r>
      <w:r>
        <w:rPr/>
        <w:t>of</w:t>
      </w:r>
      <w:r>
        <w:rPr>
          <w:spacing w:val="14"/>
        </w:rPr>
        <w:t> </w:t>
      </w:r>
      <w:r>
        <w:rPr/>
        <w:t>PageRank</w:t>
      </w:r>
      <w:r>
        <w:rPr>
          <w:spacing w:val="14"/>
        </w:rPr>
        <w:t> </w:t>
      </w:r>
      <w:r>
        <w:rPr/>
        <w:t>and</w:t>
      </w:r>
      <w:r>
        <w:rPr>
          <w:spacing w:val="15"/>
        </w:rPr>
        <w:t> </w:t>
      </w:r>
      <w:r>
        <w:rPr/>
        <w:t>Rank</w:t>
      </w:r>
      <w:r>
        <w:rPr>
          <w:spacing w:val="14"/>
        </w:rPr>
        <w:t> </w:t>
      </w:r>
      <w:r>
        <w:rPr>
          <w:spacing w:val="-2"/>
        </w:rPr>
        <w:t>Correlation</w:t>
      </w:r>
    </w:p>
    <w:p>
      <w:pPr>
        <w:pStyle w:val="Heading2"/>
        <w:numPr>
          <w:ilvl w:val="1"/>
          <w:numId w:val="8"/>
        </w:numPr>
        <w:tabs>
          <w:tab w:pos="783" w:val="left" w:leader="none"/>
        </w:tabs>
        <w:spacing w:line="240" w:lineRule="auto" w:before="0" w:after="0"/>
        <w:ind w:left="783" w:right="0" w:hanging="501"/>
        <w:jc w:val="left"/>
      </w:pPr>
      <w:r>
        <w:rPr>
          <w:i/>
        </w:rPr>
        <w:t>PageRank의 기본 속성과 순위 상관 관계</w:t>
      </w:r>
    </w:p>
    <w:p>
      <w:pPr>
        <w:pStyle w:val="BodyText"/>
        <w:spacing w:before="24"/>
        <w:rPr>
          <w:b/>
          <w:sz w:val="28"/>
        </w:rPr>
      </w:pPr>
    </w:p>
    <w:p>
      <w:pPr>
        <w:pStyle w:val="BodyText"/>
        <w:spacing w:line="396" w:lineRule="auto"/>
        <w:ind w:left="282" w:right="524" w:hanging="8"/>
        <w:jc w:val="both"/>
      </w:pPr>
      <w:r>
        <w:rPr/>
        <w:t>This</w:t>
      </w:r>
      <w:r>
        <w:rPr>
          <w:spacing w:val="-7"/>
        </w:rPr>
        <w:t> </w:t>
      </w:r>
      <w:r>
        <w:rPr/>
        <w:t>appendix</w:t>
      </w:r>
      <w:r>
        <w:rPr>
          <w:spacing w:val="-7"/>
        </w:rPr>
        <w:t> </w:t>
      </w:r>
      <w:r>
        <w:rPr/>
        <w:t>records</w:t>
      </w:r>
      <w:r>
        <w:rPr>
          <w:spacing w:val="-7"/>
        </w:rPr>
        <w:t> </w:t>
      </w:r>
      <w:r>
        <w:rPr/>
        <w:t>elementary</w:t>
      </w:r>
      <w:r>
        <w:rPr>
          <w:spacing w:val="-7"/>
        </w:rPr>
        <w:t> </w:t>
      </w:r>
      <w:r>
        <w:rPr/>
        <w:t>properties</w:t>
      </w:r>
      <w:r>
        <w:rPr>
          <w:spacing w:val="-7"/>
        </w:rPr>
        <w:t> </w:t>
      </w:r>
      <w:r>
        <w:rPr/>
        <w:t>used</w:t>
      </w:r>
      <w:r>
        <w:rPr>
          <w:spacing w:val="-7"/>
        </w:rPr>
        <w:t> </w:t>
      </w:r>
      <w:r>
        <w:rPr/>
        <w:t>implicitly</w:t>
      </w:r>
      <w:r>
        <w:rPr>
          <w:spacing w:val="-7"/>
        </w:rPr>
        <w:t> </w:t>
      </w:r>
      <w:r>
        <w:rPr/>
        <w:t>in</w:t>
      </w:r>
      <w:r>
        <w:rPr>
          <w:spacing w:val="-7"/>
        </w:rPr>
        <w:t> </w:t>
      </w:r>
      <w:r>
        <w:rPr/>
        <w:t>Chapters</w:t>
      </w:r>
      <w:r>
        <w:rPr>
          <w:spacing w:val="-6"/>
        </w:rPr>
        <w:t> </w:t>
      </w:r>
      <w:hyperlink w:history="true" w:anchor="_bookmark17">
        <w:r>
          <w:rPr/>
          <w:t>2</w:t>
        </w:r>
      </w:hyperlink>
      <w:r>
        <w:rPr/>
        <w:t>–</w:t>
      </w:r>
      <w:hyperlink w:history="true" w:anchor="_bookmark84">
        <w:r>
          <w:rPr/>
          <w:t>4</w:t>
        </w:r>
      </w:hyperlink>
      <w:r>
        <w:rPr/>
        <w:t>. The</w:t>
      </w:r>
      <w:r>
        <w:rPr>
          <w:spacing w:val="-7"/>
        </w:rPr>
        <w:t> </w:t>
      </w:r>
      <w:r>
        <w:rPr/>
        <w:t>material</w:t>
      </w:r>
      <w:r>
        <w:rPr>
          <w:spacing w:val="-7"/>
        </w:rPr>
        <w:t> </w:t>
      </w:r>
      <w:r>
        <w:rPr/>
        <w:t>is</w:t>
      </w:r>
      <w:r>
        <w:rPr>
          <w:spacing w:val="-7"/>
        </w:rPr>
        <w:t> </w:t>
      </w:r>
      <w:r>
        <w:rPr/>
        <w:t>stan-</w:t>
      </w:r>
      <w:bookmarkStart w:name="Existence and uniqueness of PageRank" w:id="363"/>
      <w:bookmarkEnd w:id="363"/>
      <w:r>
        <w:rPr>
          <w:w w:val="99"/>
        </w:rPr>
      </w:r>
      <w:bookmarkStart w:name="_bookmark220" w:id="364"/>
      <w:bookmarkEnd w:id="364"/>
      <w:r>
        <w:rPr/>
        <w:t>dard</w:t>
      </w:r>
      <w:r>
        <w:rPr/>
        <w:t> </w:t>
      </w:r>
      <w:hyperlink w:history="true" w:anchor="_bookmark169">
        <w:r>
          <w:rPr>
            <w:vertAlign w:val="superscript"/>
          </w:rPr>
          <w:t>[36]</w:t>
        </w:r>
      </w:hyperlink>
      <w:r>
        <w:rPr>
          <w:vertAlign w:val="superscript"/>
        </w:rPr>
        <w:t>,</w:t>
      </w:r>
      <w:hyperlink w:history="true" w:anchor="_bookmark173">
        <w:r>
          <w:rPr>
            <w:vertAlign w:val="superscript"/>
          </w:rPr>
          <w:t>[40]</w:t>
        </w:r>
      </w:hyperlink>
      <w:r>
        <w:rPr>
          <w:vertAlign w:val="superscript"/>
        </w:rPr>
        <w:t>,</w:t>
      </w:r>
      <w:hyperlink w:history="true" w:anchor="_bookmark182">
        <w:r>
          <w:rPr>
            <w:vertAlign w:val="superscript"/>
          </w:rPr>
          <w:t>[49]</w:t>
        </w:r>
      </w:hyperlink>
      <w:r>
        <w:rPr>
          <w:vertAlign w:val="superscript"/>
        </w:rPr>
        <w:t>,</w:t>
      </w:r>
      <w:hyperlink w:history="true" w:anchor="_bookmark187">
        <w:r>
          <w:rPr>
            <w:vertAlign w:val="superscript"/>
          </w:rPr>
          <w:t>[54]</w:t>
        </w:r>
      </w:hyperlink>
      <w:r>
        <w:rPr>
          <w:vertAlign w:val="baseline"/>
        </w:rPr>
        <w:t> and is included for self-contained reading.</w:t>
      </w:r>
    </w:p>
    <w:p>
      <w:pPr>
        <w:pStyle w:val="BodyText"/>
        <w:spacing w:line="396" w:lineRule="auto"/>
        <w:ind w:left="282" w:right="524" w:hanging="8"/>
        <w:jc w:val="both"/>
      </w:pPr>
      <w:r>
        <w:rPr>
          <w:i/>
        </w:rPr>
        <w:t>이 부록에는 2~4장에서 암시적으로 사용된 기본 속성이 기록되어 있습니다. 자료는 표준[36],[40],[49],[54]이며 독립적인 읽기를 위해 포함되어 있습니다.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Existence</w:t>
      </w:r>
      <w:r>
        <w:rPr>
          <w:spacing w:val="-11"/>
        </w:rPr>
        <w:t> </w:t>
      </w:r>
      <w:r>
        <w:rPr/>
        <w:t>and</w:t>
      </w:r>
      <w:r>
        <w:rPr>
          <w:spacing w:val="-10"/>
        </w:rPr>
        <w:t> </w:t>
      </w:r>
      <w:r>
        <w:rPr/>
        <w:t>uniqueness</w:t>
      </w:r>
      <w:r>
        <w:rPr>
          <w:spacing w:val="-11"/>
        </w:rPr>
        <w:t> </w:t>
      </w:r>
      <w:r>
        <w:rPr/>
        <w:t>of</w:t>
      </w:r>
      <w:r>
        <w:rPr>
          <w:spacing w:val="-10"/>
        </w:rPr>
        <w:t> </w:t>
      </w:r>
      <w:r>
        <w:rPr>
          <w:spacing w:val="-2"/>
        </w:rPr>
        <w:t>PageRank</w:t>
      </w:r>
    </w:p>
    <w:p>
      <w:pPr>
        <w:pStyle w:val="Heading4"/>
        <w:numPr>
          <w:ilvl w:val="2"/>
          <w:numId w:val="8"/>
        </w:numPr>
        <w:tabs>
          <w:tab w:pos="879" w:val="left" w:leader="none"/>
        </w:tabs>
        <w:spacing w:line="240" w:lineRule="auto" w:before="0" w:after="0"/>
        <w:ind w:left="879" w:right="0" w:hanging="597"/>
        <w:jc w:val="left"/>
      </w:pPr>
      <w:r>
        <w:rPr>
          <w:i/>
        </w:rPr>
        <w:t>PageRank의 존재와 고유성</w:t>
      </w:r>
    </w:p>
    <w:p>
      <w:pPr>
        <w:pStyle w:val="BodyText"/>
        <w:spacing w:before="42"/>
        <w:rPr>
          <w:b/>
        </w:rPr>
      </w:pPr>
    </w:p>
    <w:p>
      <w:pPr>
        <w:pStyle w:val="BodyText"/>
        <w:spacing w:line="345" w:lineRule="auto" w:before="1"/>
        <w:ind w:left="282" w:right="524"/>
        <w:jc w:val="both"/>
      </w:pPr>
      <w:r>
        <w:rPr/>
        <w:t>Let</w:t>
      </w:r>
      <w:r>
        <w:rPr>
          <w:spacing w:val="32"/>
        </w:rPr>
        <w:t> </w:t>
      </w:r>
      <w:r>
        <w:rPr>
          <w:rFonts w:ascii="Calibri" w:hAnsi="Calibri"/>
          <w:i/>
        </w:rPr>
        <w:t>P</w:t>
      </w:r>
      <w:r>
        <w:rPr>
          <w:rFonts w:ascii="Calibri" w:hAnsi="Calibri"/>
          <w:i/>
          <w:spacing w:val="70"/>
        </w:rPr>
        <w:t> </w:t>
      </w:r>
      <w:r>
        <w:rPr/>
        <w:t>be</w:t>
      </w:r>
      <w:r>
        <w:rPr>
          <w:spacing w:val="33"/>
        </w:rPr>
        <w:t> </w:t>
      </w:r>
      <w:r>
        <w:rPr/>
        <w:t>a</w:t>
      </w:r>
      <w:r>
        <w:rPr>
          <w:spacing w:val="33"/>
        </w:rPr>
        <w:t> </w:t>
      </w:r>
      <w:r>
        <w:rPr/>
        <w:t>row-stochastic</w:t>
      </w:r>
      <w:r>
        <w:rPr>
          <w:spacing w:val="33"/>
        </w:rPr>
        <w:t> </w:t>
      </w:r>
      <w:r>
        <w:rPr/>
        <w:t>matrix</w:t>
      </w:r>
      <w:r>
        <w:rPr>
          <w:spacing w:val="32"/>
        </w:rPr>
        <w:t> </w:t>
      </w:r>
      <w:r>
        <w:rPr/>
        <w:t>on</w:t>
      </w:r>
      <w:r>
        <w:rPr>
          <w:spacing w:val="32"/>
        </w:rPr>
        <w:t> </w:t>
      </w:r>
      <w:r>
        <w:rPr>
          <w:rFonts w:ascii="Calibri" w:hAnsi="Calibri"/>
          <w:i/>
        </w:rPr>
        <w:t>n</w:t>
      </w:r>
      <w:r>
        <w:rPr>
          <w:rFonts w:ascii="Calibri" w:hAnsi="Calibri"/>
          <w:i/>
          <w:spacing w:val="38"/>
        </w:rPr>
        <w:t> </w:t>
      </w:r>
      <w:r>
        <w:rPr/>
        <w:t>nodes,</w:t>
      </w:r>
      <w:r>
        <w:rPr>
          <w:spacing w:val="40"/>
        </w:rPr>
        <w:t> </w:t>
      </w:r>
      <w:r>
        <w:rPr/>
        <w:t>possibly</w:t>
      </w:r>
      <w:r>
        <w:rPr>
          <w:spacing w:val="32"/>
        </w:rPr>
        <w:t> </w:t>
      </w:r>
      <w:r>
        <w:rPr/>
        <w:t>after</w:t>
      </w:r>
      <w:r>
        <w:rPr>
          <w:spacing w:val="32"/>
        </w:rPr>
        <w:t> </w:t>
      </w:r>
      <w:r>
        <w:rPr/>
        <w:t>dangling-node</w:t>
      </w:r>
      <w:r>
        <w:rPr>
          <w:spacing w:val="33"/>
        </w:rPr>
        <w:t> </w:t>
      </w:r>
      <w:r>
        <w:rPr/>
        <w:t>repair</w:t>
      </w:r>
      <w:r>
        <w:rPr>
          <w:spacing w:val="32"/>
        </w:rPr>
        <w:t> </w:t>
      </w:r>
      <w:r>
        <w:rPr/>
        <w:t>as</w:t>
      </w:r>
      <w:r>
        <w:rPr>
          <w:spacing w:val="32"/>
        </w:rPr>
        <w:t> </w:t>
      </w:r>
      <w:r>
        <w:rPr/>
        <w:t>in</w:t>
      </w:r>
      <w:r>
        <w:rPr>
          <w:spacing w:val="32"/>
        </w:rPr>
        <w:t> </w:t>
      </w:r>
      <w:r>
        <w:rPr/>
        <w:t>Equa-tion (</w:t>
      </w:r>
      <w:hyperlink w:history="true" w:anchor="_bookmark24">
        <w:r>
          <w:rPr/>
          <w:t>2.1</w:t>
        </w:r>
      </w:hyperlink>
      <w:r>
        <w:rPr/>
        <w:t>).</w:t>
      </w:r>
      <w:r>
        <w:rPr>
          <w:spacing w:val="40"/>
        </w:rPr>
        <w:t> </w:t>
      </w:r>
      <w:r>
        <w:rPr/>
        <w:t>For </w:t>
      </w:r>
      <w:r>
        <w:rPr>
          <w:rFonts w:ascii="Calibri" w:hAnsi="Calibri"/>
          <w:i/>
        </w:rPr>
        <w:t>d </w:t>
      </w:r>
      <w:r>
        <w:rPr>
          <w:rFonts w:ascii="Lucida Sans Unicode" w:hAnsi="Lucida Sans Unicode"/>
        </w:rPr>
        <w:t>∈ </w:t>
      </w:r>
      <w:r>
        <w:rPr>
          <w:rFonts w:ascii="Calibri" w:hAnsi="Calibri"/>
        </w:rPr>
        <w:t>(0</w:t>
      </w:r>
      <w:r>
        <w:rPr>
          <w:rFonts w:ascii="Calibri" w:hAnsi="Calibri"/>
          <w:i/>
        </w:rPr>
        <w:t>,</w:t>
      </w:r>
      <w:r>
        <w:rPr>
          <w:rFonts w:ascii="Calibri" w:hAnsi="Calibri"/>
          <w:i/>
          <w:spacing w:val="-5"/>
        </w:rPr>
        <w:t> </w:t>
      </w:r>
      <w:r>
        <w:rPr>
          <w:rFonts w:ascii="Calibri" w:hAnsi="Calibri"/>
        </w:rPr>
        <w:t>1)</w:t>
      </w:r>
      <w:r>
        <w:rPr/>
        <w:t>, the Google matrix</w:t>
      </w:r>
    </w:p>
    <w:p>
      <w:pPr>
        <w:pStyle w:val="BodyText"/>
        <w:spacing w:line="345" w:lineRule="auto" w:before="1"/>
        <w:ind w:left="282" w:right="524"/>
        <w:jc w:val="both"/>
      </w:pPr>
      <w:r>
        <w:rPr>
          <w:i/>
        </w:rPr>
        <w:t>P를 방정식 (2.1)에서와 같이 매달린 노드 복구 후 n 노드에 대한 행 확률적 행렬이라고 가정합니다. d ∈ (0, 1)의 경우 Google 행렬</w:t>
      </w:r>
    </w:p>
    <w:p>
      <w:pPr>
        <w:spacing w:line="423" w:lineRule="exact" w:before="143"/>
        <w:ind w:left="774" w:right="1067" w:firstLine="0"/>
        <w:jc w:val="center"/>
        <w:rPr>
          <w:rFonts w:ascii="Cambria" w:hAnsi="Cambria"/>
          <w:sz w:val="24"/>
        </w:rPr>
      </w:pPr>
      <w:r>
        <w:rPr>
          <w:rFonts w:ascii="Cambria" w:hAnsi="Cambria"/>
          <w:sz w:val="24"/>
        </w:rPr>
        <mc:AlternateContent>
          <mc:Choice Requires="wps">
            <w:drawing>
              <wp:anchor distT="0" distB="0" distL="0" distR="0" allowOverlap="1" layoutInCell="1" locked="0" behindDoc="1" simplePos="0" relativeHeight="484062720">
                <wp:simplePos x="0" y="0"/>
                <wp:positionH relativeFrom="page">
                  <wp:posOffset>3947617</wp:posOffset>
                </wp:positionH>
                <wp:positionV relativeFrom="paragraph">
                  <wp:posOffset>321562</wp:posOffset>
                </wp:positionV>
                <wp:extent cx="337185"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337185" cy="1270"/>
                        </a:xfrm>
                        <a:custGeom>
                          <a:avLst/>
                          <a:gdLst/>
                          <a:ahLst/>
                          <a:cxnLst/>
                          <a:rect l="l" t="t" r="r" b="b"/>
                          <a:pathLst>
                            <a:path w="337185" h="0">
                              <a:moveTo>
                                <a:pt x="0" y="0"/>
                              </a:moveTo>
                              <a:lnTo>
                                <a:pt x="337146" y="0"/>
                              </a:lnTo>
                            </a:path>
                          </a:pathLst>
                        </a:custGeom>
                        <a:ln w="607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53760" from="310.835999pt,25.319895pt" to="337.382999pt,25.319895pt" stroked="true" strokeweight=".4782pt" strokecolor="#000000">
                <v:stroke dashstyle="solid"/>
                <w10:wrap type="none"/>
              </v:line>
            </w:pict>
          </mc:Fallback>
        </mc:AlternateContent>
      </w:r>
      <w:r>
        <w:rPr>
          <w:rFonts w:ascii="Calibri" w:hAnsi="Calibri"/>
          <w:i/>
          <w:w w:val="115"/>
          <w:sz w:val="24"/>
        </w:rPr>
        <w:t>G</w:t>
      </w:r>
      <w:r>
        <w:rPr>
          <w:w w:val="115"/>
          <w:sz w:val="24"/>
          <w:vertAlign w:val="subscript"/>
        </w:rPr>
        <w:t>PR</w:t>
      </w:r>
      <w:r>
        <w:rPr>
          <w:spacing w:val="-18"/>
          <w:w w:val="115"/>
          <w:sz w:val="24"/>
          <w:vertAlign w:val="baseline"/>
        </w:rPr>
        <w:t> </w:t>
      </w:r>
      <w:r>
        <w:rPr>
          <w:rFonts w:ascii="Calibri" w:hAnsi="Calibri"/>
          <w:w w:val="130"/>
          <w:sz w:val="24"/>
          <w:vertAlign w:val="baseline"/>
        </w:rPr>
        <w:t>=</w:t>
      </w:r>
      <w:r>
        <w:rPr>
          <w:rFonts w:ascii="Calibri" w:hAnsi="Calibri"/>
          <w:spacing w:val="-17"/>
          <w:w w:val="130"/>
          <w:sz w:val="24"/>
          <w:vertAlign w:val="baseline"/>
        </w:rPr>
        <w:t> </w:t>
      </w:r>
      <w:r>
        <w:rPr>
          <w:rFonts w:ascii="Calibri" w:hAnsi="Calibri"/>
          <w:i/>
          <w:w w:val="115"/>
          <w:sz w:val="24"/>
          <w:vertAlign w:val="baseline"/>
        </w:rPr>
        <w:t>dP</w:t>
      </w:r>
      <w:r>
        <w:rPr>
          <w:rFonts w:ascii="Calibri" w:hAnsi="Calibri"/>
          <w:i/>
          <w:spacing w:val="-31"/>
          <w:w w:val="115"/>
          <w:sz w:val="24"/>
          <w:vertAlign w:val="baseline"/>
        </w:rPr>
        <w:t> </w:t>
      </w:r>
      <w:r>
        <w:rPr>
          <w:rFonts w:ascii="Cambria" w:hAnsi="Cambria"/>
          <w:w w:val="115"/>
          <w:sz w:val="24"/>
          <w:vertAlign w:val="superscript"/>
        </w:rPr>
        <w:t>⊤</w:t>
      </w:r>
      <w:r>
        <w:rPr>
          <w:rFonts w:ascii="Cambria" w:hAnsi="Cambria"/>
          <w:spacing w:val="-14"/>
          <w:w w:val="115"/>
          <w:sz w:val="24"/>
          <w:vertAlign w:val="baseline"/>
        </w:rPr>
        <w:t> </w:t>
      </w:r>
      <w:r>
        <w:rPr>
          <w:rFonts w:ascii="Calibri" w:hAnsi="Calibri"/>
          <w:w w:val="130"/>
          <w:sz w:val="24"/>
          <w:vertAlign w:val="baseline"/>
        </w:rPr>
        <w:t>+</w:t>
      </w:r>
      <w:r>
        <w:rPr>
          <w:rFonts w:ascii="Calibri" w:hAnsi="Calibri"/>
          <w:spacing w:val="-6"/>
          <w:w w:val="130"/>
          <w:sz w:val="24"/>
          <w:vertAlign w:val="baseline"/>
        </w:rPr>
        <w:t> </w:t>
      </w:r>
      <w:r>
        <w:rPr>
          <w:rFonts w:ascii="Calibri" w:hAnsi="Calibri"/>
          <w:w w:val="115"/>
          <w:position w:val="16"/>
          <w:sz w:val="24"/>
          <w:vertAlign w:val="baseline"/>
        </w:rPr>
        <w:t>1</w:t>
      </w:r>
      <w:r>
        <w:rPr>
          <w:rFonts w:ascii="Calibri" w:hAnsi="Calibri"/>
          <w:spacing w:val="-16"/>
          <w:w w:val="115"/>
          <w:position w:val="16"/>
          <w:sz w:val="24"/>
          <w:vertAlign w:val="baseline"/>
        </w:rPr>
        <w:t> </w:t>
      </w:r>
      <w:r>
        <w:rPr>
          <w:rFonts w:ascii="Lucida Sans Unicode" w:hAnsi="Lucida Sans Unicode"/>
          <w:position w:val="16"/>
          <w:sz w:val="24"/>
          <w:vertAlign w:val="baseline"/>
        </w:rPr>
        <w:t>—</w:t>
      </w:r>
      <w:r>
        <w:rPr>
          <w:rFonts w:ascii="Lucida Sans Unicode" w:hAnsi="Lucida Sans Unicode"/>
          <w:spacing w:val="-23"/>
          <w:position w:val="16"/>
          <w:sz w:val="24"/>
          <w:vertAlign w:val="baseline"/>
        </w:rPr>
        <w:t> </w:t>
      </w:r>
      <w:r>
        <w:rPr>
          <w:rFonts w:ascii="Calibri" w:hAnsi="Calibri"/>
          <w:i/>
          <w:w w:val="115"/>
          <w:position w:val="16"/>
          <w:sz w:val="24"/>
          <w:vertAlign w:val="baseline"/>
        </w:rPr>
        <w:t>d</w:t>
      </w:r>
      <w:r>
        <w:rPr>
          <w:rFonts w:ascii="Calibri" w:hAnsi="Calibri"/>
          <w:i/>
          <w:spacing w:val="-39"/>
          <w:w w:val="115"/>
          <w:position w:val="16"/>
          <w:sz w:val="24"/>
          <w:vertAlign w:val="baseline"/>
        </w:rPr>
        <w:t> </w:t>
      </w:r>
      <w:r>
        <w:rPr>
          <w:b/>
          <w:spacing w:val="-5"/>
          <w:w w:val="115"/>
          <w:sz w:val="24"/>
          <w:vertAlign w:val="baseline"/>
        </w:rPr>
        <w:t>11</w:t>
      </w:r>
      <w:r>
        <w:rPr>
          <w:rFonts w:ascii="Cambria" w:hAnsi="Cambria"/>
          <w:spacing w:val="-5"/>
          <w:w w:val="115"/>
          <w:sz w:val="24"/>
          <w:vertAlign w:val="superscript"/>
        </w:rPr>
        <w:t>⊤</w:t>
      </w:r>
    </w:p>
    <w:p>
      <w:pPr>
        <w:spacing w:line="228" w:lineRule="exact" w:before="0"/>
        <w:ind w:left="774" w:right="0" w:firstLine="0"/>
        <w:jc w:val="center"/>
        <w:rPr>
          <w:rFonts w:ascii="Calibri"/>
          <w:i/>
          <w:sz w:val="24"/>
        </w:rPr>
      </w:pPr>
      <w:r>
        <w:rPr>
          <w:rFonts w:ascii="Calibri"/>
          <w:i/>
          <w:spacing w:val="-10"/>
          <w:w w:val="115"/>
          <w:sz w:val="24"/>
        </w:rPr>
        <w:t>n</w:t>
      </w:r>
    </w:p>
    <w:p>
      <w:pPr>
        <w:spacing w:line="228" w:lineRule="exact" w:before="0"/>
        <w:ind w:left="774" w:right="0" w:firstLine="0"/>
        <w:jc w:val="center"/>
        <w:rPr>
          <w:rFonts w:ascii="Calibri"/>
          <w:i/>
          <w:sz w:val="24"/>
        </w:rPr>
      </w:pPr>
      <w:r>
        <w:rPr>
          <w:i/>
        </w:rPr>
        <w:t>N</w:t>
      </w:r>
    </w:p>
    <w:p>
      <w:pPr>
        <w:pStyle w:val="BodyText"/>
        <w:spacing w:line="456" w:lineRule="exact" w:before="241"/>
        <w:ind w:left="282" w:right="540"/>
        <w:jc w:val="both"/>
      </w:pPr>
      <w:r>
        <w:rPr/>
        <mc:AlternateContent>
          <mc:Choice Requires="wps">
            <w:drawing>
              <wp:anchor distT="0" distB="0" distL="0" distR="0" allowOverlap="1" layoutInCell="1" locked="0" behindDoc="1" simplePos="0" relativeHeight="484063232">
                <wp:simplePos x="0" y="0"/>
                <wp:positionH relativeFrom="page">
                  <wp:posOffset>3349739</wp:posOffset>
                </wp:positionH>
                <wp:positionV relativeFrom="paragraph">
                  <wp:posOffset>736659</wp:posOffset>
                </wp:positionV>
                <wp:extent cx="160655" cy="563245"/>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60655" cy="563245"/>
                        </a:xfrm>
                        <a:prstGeom prst="rect">
                          <a:avLst/>
                        </a:prstGeom>
                      </wps:spPr>
                      <wps:txbx>
                        <w:txbxContent>
                          <w:p>
                            <w:pPr>
                              <w:pStyle w:val="BodyText"/>
                              <w:spacing w:line="231" w:lineRule="exact"/>
                            </w:pPr>
                            <w:r>
                              <w:rPr>
                                <w:spacing w:val="-10"/>
                                <w:w w:val="180"/>
                              </w:rPr>
                              <w:t>Σ</w:t>
                            </w:r>
                          </w:p>
                        </w:txbxContent>
                      </wps:txbx>
                      <wps:bodyPr wrap="square" lIns="0" tIns="0" rIns="0" bIns="0" rtlCol="0">
                        <a:noAutofit/>
                      </wps:bodyPr>
                    </wps:wsp>
                  </a:graphicData>
                </a:graphic>
              </wp:anchor>
            </w:drawing>
          </mc:Choice>
          <mc:Fallback>
            <w:pict>
              <v:shape style="position:absolute;margin-left:263.759003pt;margin-top:58.004662pt;width:12.65pt;height:44.35pt;mso-position-horizontal-relative:page;mso-position-vertical-relative:paragraph;z-index:-19253248" type="#_x0000_t202" id="docshape565" filled="false" stroked="false">
                <v:textbox inset="0,0,0,0">
                  <w:txbxContent>
                    <w:p>
                      <w:pPr>
                        <w:pStyle w:val="BodyText"/>
                        <w:spacing w:line="231" w:lineRule="exact"/>
                      </w:pPr>
                      <w:r>
                        <w:rPr>
                          <w:spacing w:val="-10"/>
                          <w:w w:val="180"/>
                        </w:rPr>
                        <w:t>Σ</w:t>
                      </w:r>
                    </w:p>
                  </w:txbxContent>
                </v:textbox>
                <w10:wrap type="none"/>
              </v:shape>
            </w:pict>
          </mc:Fallback>
        </mc:AlternateContent>
      </w:r>
      <w:r>
        <w:rPr>
          <w:spacing w:val="-2"/>
        </w:rPr>
        <w:t>is</w:t>
      </w:r>
      <w:r>
        <w:rPr>
          <w:spacing w:val="-10"/>
        </w:rPr>
        <w:t> </w:t>
      </w:r>
      <w:r>
        <w:rPr>
          <w:spacing w:val="-2"/>
        </w:rPr>
        <w:t>positive</w:t>
      </w:r>
      <w:r>
        <w:rPr>
          <w:spacing w:val="-10"/>
        </w:rPr>
        <w:t> </w:t>
      </w:r>
      <w:r>
        <w:rPr>
          <w:spacing w:val="-2"/>
        </w:rPr>
        <w:t>and</w:t>
      </w:r>
      <w:r>
        <w:rPr>
          <w:spacing w:val="-10"/>
        </w:rPr>
        <w:t> </w:t>
      </w:r>
      <w:r>
        <w:rPr>
          <w:spacing w:val="-2"/>
        </w:rPr>
        <w:t>column-stochastic</w:t>
      </w:r>
      <w:r>
        <w:rPr>
          <w:spacing w:val="-10"/>
        </w:rPr>
        <w:t> </w:t>
      </w:r>
      <w:r>
        <w:rPr>
          <w:spacing w:val="-2"/>
        </w:rPr>
        <w:t>(up</w:t>
      </w:r>
      <w:r>
        <w:rPr>
          <w:spacing w:val="-10"/>
        </w:rPr>
        <w:t> </w:t>
      </w:r>
      <w:r>
        <w:rPr>
          <w:spacing w:val="-2"/>
        </w:rPr>
        <w:t>to</w:t>
      </w:r>
      <w:r>
        <w:rPr>
          <w:spacing w:val="-10"/>
        </w:rPr>
        <w:t> </w:t>
      </w:r>
      <w:r>
        <w:rPr>
          <w:spacing w:val="-2"/>
        </w:rPr>
        <w:t>the</w:t>
      </w:r>
      <w:r>
        <w:rPr>
          <w:spacing w:val="-10"/>
        </w:rPr>
        <w:t> </w:t>
      </w:r>
      <w:r>
        <w:rPr>
          <w:spacing w:val="-2"/>
        </w:rPr>
        <w:t>transpose</w:t>
      </w:r>
      <w:r>
        <w:rPr>
          <w:spacing w:val="-10"/>
        </w:rPr>
        <w:t> </w:t>
      </w:r>
      <w:r>
        <w:rPr>
          <w:spacing w:val="-2"/>
        </w:rPr>
        <w:t>convention</w:t>
      </w:r>
      <w:r>
        <w:rPr>
          <w:spacing w:val="-10"/>
        </w:rPr>
        <w:t> </w:t>
      </w:r>
      <w:r>
        <w:rPr>
          <w:spacing w:val="-2"/>
        </w:rPr>
        <w:t>in</w:t>
      </w:r>
      <w:r>
        <w:rPr>
          <w:spacing w:val="-10"/>
        </w:rPr>
        <w:t> </w:t>
      </w:r>
      <w:r>
        <w:rPr>
          <w:spacing w:val="-2"/>
        </w:rPr>
        <w:t>Equation</w:t>
      </w:r>
      <w:r>
        <w:rPr>
          <w:spacing w:val="-10"/>
        </w:rPr>
        <w:t> </w:t>
      </w:r>
      <w:r>
        <w:rPr>
          <w:spacing w:val="-2"/>
        </w:rPr>
        <w:t>(</w:t>
      </w:r>
      <w:hyperlink w:history="true" w:anchor="_bookmark25">
        <w:r>
          <w:rPr>
            <w:spacing w:val="-2"/>
          </w:rPr>
          <w:t>2.2</w:t>
        </w:r>
      </w:hyperlink>
      <w:r>
        <w:rPr>
          <w:spacing w:val="-2"/>
        </w:rPr>
        <w:t>)).</w:t>
      </w:r>
      <w:r>
        <w:rPr>
          <w:spacing w:val="27"/>
        </w:rPr>
        <w:t> </w:t>
      </w:r>
      <w:r>
        <w:rPr>
          <w:spacing w:val="-2"/>
        </w:rPr>
        <w:t>By</w:t>
      </w:r>
      <w:r>
        <w:rPr>
          <w:spacing w:val="-10"/>
        </w:rPr>
        <w:t> </w:t>
      </w:r>
      <w:r>
        <w:rPr>
          <w:spacing w:val="-2"/>
        </w:rPr>
        <w:t>the</w:t>
      </w:r>
      <w:r>
        <w:rPr>
          <w:spacing w:val="-10"/>
        </w:rPr>
        <w:t> </w:t>
      </w:r>
      <w:r>
        <w:rPr>
          <w:spacing w:val="-2"/>
        </w:rPr>
        <w:t>Perron–</w:t>
      </w:r>
      <w:r>
        <w:rPr/>
        <w:t>Frobenius</w:t>
      </w:r>
      <w:r>
        <w:rPr>
          <w:spacing w:val="-15"/>
        </w:rPr>
        <w:t> </w:t>
      </w:r>
      <w:r>
        <w:rPr/>
        <w:t>theorem</w:t>
      </w:r>
      <w:r>
        <w:rPr>
          <w:spacing w:val="-15"/>
        </w:rPr>
        <w:t> </w:t>
      </w:r>
      <w:r>
        <w:rPr/>
        <w:t>for</w:t>
      </w:r>
      <w:r>
        <w:rPr>
          <w:spacing w:val="-15"/>
        </w:rPr>
        <w:t> </w:t>
      </w:r>
      <w:r>
        <w:rPr/>
        <w:t>positive</w:t>
      </w:r>
      <w:r>
        <w:rPr>
          <w:spacing w:val="-15"/>
        </w:rPr>
        <w:t> </w:t>
      </w:r>
      <w:r>
        <w:rPr/>
        <w:t>matrices,</w:t>
      </w:r>
      <w:r>
        <w:rPr>
          <w:spacing w:val="-15"/>
        </w:rPr>
        <w:t> </w:t>
      </w:r>
      <w:r>
        <w:rPr>
          <w:rFonts w:ascii="Calibri" w:hAnsi="Calibri"/>
          <w:i/>
        </w:rPr>
        <w:t>G</w:t>
      </w:r>
      <w:r>
        <w:rPr>
          <w:vertAlign w:val="subscript"/>
        </w:rPr>
        <w:t>PR</w:t>
      </w:r>
      <w:r>
        <w:rPr>
          <w:spacing w:val="-15"/>
          <w:vertAlign w:val="baseline"/>
        </w:rPr>
        <w:t> </w:t>
      </w:r>
      <w:r>
        <w:rPr>
          <w:vertAlign w:val="baseline"/>
        </w:rPr>
        <w:t>has</w:t>
      </w:r>
      <w:r>
        <w:rPr>
          <w:spacing w:val="-15"/>
          <w:vertAlign w:val="baseline"/>
        </w:rPr>
        <w:t> </w:t>
      </w:r>
      <w:r>
        <w:rPr>
          <w:vertAlign w:val="baseline"/>
        </w:rPr>
        <w:t>a</w:t>
      </w:r>
      <w:r>
        <w:rPr>
          <w:spacing w:val="-15"/>
          <w:vertAlign w:val="baseline"/>
        </w:rPr>
        <w:t> </w:t>
      </w:r>
      <w:r>
        <w:rPr>
          <w:vertAlign w:val="baseline"/>
        </w:rPr>
        <w:t>unique</w:t>
      </w:r>
      <w:r>
        <w:rPr>
          <w:spacing w:val="-15"/>
          <w:vertAlign w:val="baseline"/>
        </w:rPr>
        <w:t> </w:t>
      </w:r>
      <w:r>
        <w:rPr>
          <w:vertAlign w:val="baseline"/>
        </w:rPr>
        <w:t>eigenvalue</w:t>
      </w:r>
      <w:r>
        <w:rPr>
          <w:spacing w:val="-15"/>
          <w:vertAlign w:val="baseline"/>
        </w:rPr>
        <w:t> </w:t>
      </w:r>
      <w:r>
        <w:rPr>
          <w:vertAlign w:val="baseline"/>
        </w:rPr>
        <w:t>of</w:t>
      </w:r>
      <w:r>
        <w:rPr>
          <w:spacing w:val="-15"/>
          <w:vertAlign w:val="baseline"/>
        </w:rPr>
        <w:t> </w:t>
      </w:r>
      <w:r>
        <w:rPr>
          <w:vertAlign w:val="baseline"/>
        </w:rPr>
        <w:t>modulus</w:t>
      </w:r>
      <w:r>
        <w:rPr>
          <w:spacing w:val="-15"/>
          <w:vertAlign w:val="baseline"/>
        </w:rPr>
        <w:t> </w:t>
      </w:r>
      <w:r>
        <w:rPr>
          <w:vertAlign w:val="baseline"/>
        </w:rPr>
        <w:t>one</w:t>
      </w:r>
      <w:r>
        <w:rPr>
          <w:spacing w:val="-15"/>
          <w:vertAlign w:val="baseline"/>
        </w:rPr>
        <w:t> </w:t>
      </w:r>
      <w:r>
        <w:rPr>
          <w:vertAlign w:val="baseline"/>
        </w:rPr>
        <w:t>with</w:t>
      </w:r>
      <w:r>
        <w:rPr>
          <w:spacing w:val="-15"/>
          <w:vertAlign w:val="baseline"/>
        </w:rPr>
        <w:t> </w:t>
      </w:r>
      <w:r>
        <w:rPr>
          <w:vertAlign w:val="baseline"/>
        </w:rPr>
        <w:t>a</w:t>
      </w:r>
      <w:r>
        <w:rPr>
          <w:spacing w:val="-15"/>
          <w:vertAlign w:val="baseline"/>
        </w:rPr>
        <w:t> </w:t>
      </w:r>
      <w:r>
        <w:rPr>
          <w:vertAlign w:val="baseline"/>
        </w:rPr>
        <w:t>strictly positive</w:t>
      </w:r>
      <w:r>
        <w:rPr>
          <w:spacing w:val="-7"/>
          <w:vertAlign w:val="baseline"/>
        </w:rPr>
        <w:t> </w:t>
      </w:r>
      <w:r>
        <w:rPr>
          <w:vertAlign w:val="baseline"/>
        </w:rPr>
        <w:t>eigenvector</w:t>
      </w:r>
      <w:r>
        <w:rPr>
          <w:spacing w:val="-7"/>
          <w:vertAlign w:val="baseline"/>
        </w:rPr>
        <w:t> </w:t>
      </w:r>
      <w:r>
        <w:rPr>
          <w:rFonts w:ascii="Calibri" w:hAnsi="Calibri"/>
          <w:b/>
          <w:i/>
          <w:vertAlign w:val="baseline"/>
        </w:rPr>
        <w:t>π </w:t>
      </w:r>
      <w:r>
        <w:rPr>
          <w:vertAlign w:val="baseline"/>
        </w:rPr>
        <w:t>normalized</w:t>
      </w:r>
      <w:r>
        <w:rPr>
          <w:spacing w:val="-7"/>
          <w:vertAlign w:val="baseline"/>
        </w:rPr>
        <w:t> </w:t>
      </w:r>
      <w:r>
        <w:rPr>
          <w:vertAlign w:val="baseline"/>
        </w:rPr>
        <w:t>so</w:t>
      </w:r>
      <w:r>
        <w:rPr>
          <w:spacing w:val="-7"/>
          <w:vertAlign w:val="baseline"/>
        </w:rPr>
        <w:t> </w:t>
      </w:r>
      <w:r>
        <w:rPr>
          <w:vertAlign w:val="baseline"/>
        </w:rPr>
        <w:t>that</w:t>
      </w:r>
      <w:r>
        <w:rPr>
          <w:spacing w:val="80"/>
          <w:vertAlign w:val="baseline"/>
        </w:rPr>
        <w:t>  </w:t>
      </w:r>
      <w:r>
        <w:rPr>
          <w:rFonts w:ascii="Cambria" w:hAnsi="Cambria"/>
          <w:position w:val="-6"/>
          <w:sz w:val="16"/>
          <w:vertAlign w:val="baseline"/>
        </w:rPr>
        <w:t>i</w:t>
      </w:r>
      <w:r>
        <w:rPr>
          <w:rFonts w:ascii="Cambria" w:hAnsi="Cambria"/>
          <w:spacing w:val="16"/>
          <w:position w:val="-6"/>
          <w:sz w:val="16"/>
          <w:vertAlign w:val="baseline"/>
        </w:rPr>
        <w:t> </w:t>
      </w:r>
      <w:r>
        <w:rPr>
          <w:rFonts w:ascii="Calibri" w:hAnsi="Calibri"/>
          <w:i/>
          <w:vertAlign w:val="baseline"/>
        </w:rPr>
        <w:t>π</w:t>
      </w:r>
      <w:r>
        <w:rPr>
          <w:rFonts w:ascii="Cambria" w:hAnsi="Cambria"/>
          <w:vertAlign w:val="subscript"/>
        </w:rPr>
        <w:t>i</w:t>
      </w:r>
      <w:r>
        <w:rPr>
          <w:rFonts w:ascii="Cambria" w:hAnsi="Cambria"/>
          <w:w w:val="125"/>
          <w:vertAlign w:val="baseline"/>
        </w:rPr>
        <w:t> </w:t>
      </w:r>
      <w:r>
        <w:rPr>
          <w:rFonts w:ascii="Calibri" w:hAnsi="Calibri"/>
          <w:w w:val="125"/>
          <w:vertAlign w:val="baseline"/>
        </w:rPr>
        <w:t>= </w:t>
      </w:r>
      <w:r>
        <w:rPr>
          <w:rFonts w:ascii="Calibri" w:hAnsi="Calibri"/>
          <w:vertAlign w:val="baseline"/>
        </w:rPr>
        <w:t>1</w:t>
      </w:r>
      <w:r>
        <w:rPr>
          <w:vertAlign w:val="baseline"/>
        </w:rPr>
        <w:t>. Hence</w:t>
      </w:r>
      <w:r>
        <w:rPr>
          <w:spacing w:val="-7"/>
          <w:vertAlign w:val="baseline"/>
        </w:rPr>
        <w:t> </w:t>
      </w:r>
      <w:r>
        <w:rPr>
          <w:vertAlign w:val="baseline"/>
        </w:rPr>
        <w:t>PageRank</w:t>
      </w:r>
      <w:r>
        <w:rPr>
          <w:spacing w:val="-7"/>
          <w:vertAlign w:val="baseline"/>
        </w:rPr>
        <w:t> </w:t>
      </w:r>
      <w:r>
        <w:rPr>
          <w:vertAlign w:val="baseline"/>
        </w:rPr>
        <w:t>scores</w:t>
      </w:r>
      <w:r>
        <w:rPr>
          <w:spacing w:val="-7"/>
          <w:vertAlign w:val="baseline"/>
        </w:rPr>
        <w:t> </w:t>
      </w:r>
      <w:r>
        <w:rPr>
          <w:vertAlign w:val="baseline"/>
        </w:rPr>
        <w:t>exist</w:t>
      </w:r>
      <w:r>
        <w:rPr>
          <w:spacing w:val="-7"/>
          <w:vertAlign w:val="baseline"/>
        </w:rPr>
        <w:t> </w:t>
      </w:r>
      <w:r>
        <w:rPr>
          <w:vertAlign w:val="baseline"/>
        </w:rPr>
        <w:t>and</w:t>
      </w:r>
      <w:r>
        <w:rPr>
          <w:spacing w:val="-7"/>
          <w:vertAlign w:val="baseline"/>
        </w:rPr>
        <w:t> </w:t>
      </w:r>
      <w:r>
        <w:rPr>
          <w:vertAlign w:val="baseline"/>
        </w:rPr>
        <w:t>are</w:t>
      </w:r>
      <w:r>
        <w:rPr>
          <w:spacing w:val="-7"/>
          <w:vertAlign w:val="baseline"/>
        </w:rPr>
        <w:t> </w:t>
      </w:r>
      <w:r>
        <w:rPr>
          <w:vertAlign w:val="baseline"/>
        </w:rPr>
        <w:t>unique for any directed graph once damping and dangling-node rules are fixed </w:t>
      </w:r>
      <w:hyperlink w:history="true" w:anchor="_bookmark173">
        <w:r>
          <w:rPr>
            <w:vertAlign w:val="superscript"/>
          </w:rPr>
          <w:t>[40]</w:t>
        </w:r>
      </w:hyperlink>
      <w:r>
        <w:rPr>
          <w:vertAlign w:val="baseline"/>
        </w:rPr>
        <w:t>.</w:t>
      </w:r>
    </w:p>
    <w:p>
      <w:pPr>
        <w:pStyle w:val="BodyText"/>
        <w:spacing w:line="456" w:lineRule="exact" w:before="241"/>
        <w:ind w:left="282" w:right="540"/>
        <w:jc w:val="both"/>
      </w:pPr>
      <w:r>
        <w:rPr>
          <w:i/>
        </w:rPr>
        <w:t>양수이고 열 확률론적입니다(식 (2.2)의 전치 규칙까지). 양수 행렬에 대한 Perron-Frobenius 정리에 따라 GPR은 i πi = 1이 되도록 정규화된 엄격한 양수 고유벡터 π를 갖는 모듈러스 1의 고유한 고유값을 갖습니다. 따라서 PageRank 점수는 존재하며 감쇠 및 댕글링 노드 규칙이 고정되면 모든 유향 그래프에 대해 고유합니다[40].</w:t>
      </w:r>
    </w:p>
    <w:p>
      <w:pPr>
        <w:pStyle w:val="BodyText"/>
        <w:spacing w:line="396" w:lineRule="auto" w:before="156"/>
        <w:ind w:left="282" w:right="535" w:hanging="8"/>
        <w:jc w:val="both"/>
      </w:pPr>
      <w:r>
        <w:rPr/>
        <w:t>This</w:t>
      </w:r>
      <w:r>
        <w:rPr>
          <w:spacing w:val="-8"/>
        </w:rPr>
        <w:t> </w:t>
      </w:r>
      <w:r>
        <w:rPr/>
        <w:t>uniqueness</w:t>
      </w:r>
      <w:r>
        <w:rPr>
          <w:spacing w:val="-8"/>
        </w:rPr>
        <w:t> </w:t>
      </w:r>
      <w:r>
        <w:rPr/>
        <w:t>underpins</w:t>
      </w:r>
      <w:r>
        <w:rPr>
          <w:spacing w:val="-8"/>
        </w:rPr>
        <w:t> </w:t>
      </w:r>
      <w:r>
        <w:rPr/>
        <w:t>comparisons</w:t>
      </w:r>
      <w:r>
        <w:rPr>
          <w:spacing w:val="-8"/>
        </w:rPr>
        <w:t> </w:t>
      </w:r>
      <w:r>
        <w:rPr/>
        <w:t>between</w:t>
      </w:r>
      <w:r>
        <w:rPr>
          <w:spacing w:val="-8"/>
        </w:rPr>
        <w:t> </w:t>
      </w:r>
      <w:r>
        <w:rPr/>
        <w:t>EndorseRank</w:t>
      </w:r>
      <w:r>
        <w:rPr>
          <w:spacing w:val="-8"/>
        </w:rPr>
        <w:t> </w:t>
      </w:r>
      <w:r>
        <w:rPr/>
        <w:t>and</w:t>
      </w:r>
      <w:r>
        <w:rPr>
          <w:spacing w:val="-8"/>
        </w:rPr>
        <w:t> </w:t>
      </w:r>
      <w:r>
        <w:rPr/>
        <w:t>AWP:</w:t>
      </w:r>
      <w:r>
        <w:rPr>
          <w:spacing w:val="-8"/>
        </w:rPr>
        <w:t> </w:t>
      </w:r>
      <w:r>
        <w:rPr/>
        <w:t>given</w:t>
      </w:r>
      <w:r>
        <w:rPr>
          <w:spacing w:val="-8"/>
        </w:rPr>
        <w:t> </w:t>
      </w:r>
      <w:r>
        <w:rPr/>
        <w:t>fixed</w:t>
      </w:r>
      <w:r>
        <w:rPr>
          <w:spacing w:val="-8"/>
        </w:rPr>
        <w:t> </w:t>
      </w:r>
      <w:r>
        <w:rPr/>
        <w:t>parameters, each method induces a single score vector on a given edge set.</w:t>
      </w:r>
      <w:r>
        <w:rPr>
          <w:spacing w:val="25"/>
        </w:rPr>
        <w:t> </w:t>
      </w:r>
      <w:r>
        <w:rPr/>
        <w:t>Differences</w:t>
      </w:r>
      <w:r>
        <w:rPr>
          <w:spacing w:val="-1"/>
        </w:rPr>
        <w:t> </w:t>
      </w:r>
      <w:r>
        <w:rPr/>
        <w:t>between </w:t>
      </w:r>
      <w:r>
        <w:rPr>
          <w:b/>
        </w:rPr>
        <w:t>s</w:t>
      </w:r>
      <w:r>
        <w:rPr>
          <w:vertAlign w:val="subscript"/>
        </w:rPr>
        <w:t>ER</w:t>
      </w:r>
      <w:r>
        <w:rPr>
          <w:vertAlign w:val="baseline"/>
        </w:rPr>
        <w:t> and </w:t>
      </w:r>
      <w:r>
        <w:rPr>
          <w:b/>
          <w:vertAlign w:val="baseline"/>
        </w:rPr>
        <w:t>s</w:t>
      </w:r>
      <w:r>
        <w:rPr>
          <w:vertAlign w:val="subscript"/>
        </w:rPr>
        <w:t>AWP</w:t>
      </w:r>
      <w:r>
        <w:rPr>
          <w:vertAlign w:val="baseline"/>
        </w:rPr>
        <w:t> </w:t>
      </w:r>
      <w:bookmarkStart w:name="Continuity in edge weights" w:id="365"/>
      <w:bookmarkEnd w:id="365"/>
      <w:r>
        <w:rPr>
          <w:spacing w:val="-1"/>
          <w:w w:val="99"/>
          <w:vertAlign w:val="baseline"/>
        </w:rPr>
      </w:r>
      <w:bookmarkStart w:name="_bookmark221" w:id="366"/>
      <w:bookmarkEnd w:id="366"/>
      <w:r>
        <w:rPr>
          <w:vertAlign w:val="baseline"/>
        </w:rPr>
        <w:t>are</w:t>
      </w:r>
      <w:r>
        <w:rPr>
          <w:vertAlign w:val="baseline"/>
        </w:rPr>
        <w:t> therefore attributable to edge semantics and weights, not to solver multiplicity.</w:t>
      </w:r>
    </w:p>
    <w:p>
      <w:pPr>
        <w:pStyle w:val="BodyText"/>
        <w:spacing w:line="396" w:lineRule="auto" w:before="156"/>
        <w:ind w:left="282" w:right="535" w:hanging="8"/>
        <w:jc w:val="both"/>
      </w:pPr>
      <w:r>
        <w:rPr>
          <w:i/>
        </w:rPr>
        <w:t>이러한 고유성은 EndorseRank와 AWP 사이의 비교를 뒷받침합니다. 고정된 매개변수가 주어지면 각 방법은 지정된 에지 세트에서 단일 점수 벡터를 유도합니다. 따라서 sER과 sAWP 간의 차이는 솔버 다중성이 아니라 에지 의미론 및 가중치에 기인합니다.</w:t>
      </w:r>
    </w:p>
    <w:p>
      <w:pPr>
        <w:pStyle w:val="BodyText"/>
        <w:spacing w:after="0" w:line="396" w:lineRule="auto"/>
        <w:jc w:val="both"/>
        <w:sectPr>
          <w:pgSz w:w="11910" w:h="16840"/>
          <w:pgMar w:header="0" w:footer="2115" w:top="1920" w:bottom="2300" w:left="992" w:right="708"/>
        </w:sectPr>
      </w:pPr>
    </w:p>
    <w:p>
      <w:pPr>
        <w:pStyle w:val="Heading4"/>
        <w:numPr>
          <w:ilvl w:val="2"/>
          <w:numId w:val="8"/>
        </w:numPr>
        <w:tabs>
          <w:tab w:pos="879" w:val="left" w:leader="none"/>
        </w:tabs>
        <w:spacing w:line="240" w:lineRule="auto" w:before="73" w:after="0"/>
        <w:ind w:left="879" w:right="0" w:hanging="597"/>
        <w:jc w:val="both"/>
      </w:pPr>
      <w:r>
        <w:rPr/>
        <w:t>Continuity</w:t>
      </w:r>
      <w:r>
        <w:rPr>
          <w:spacing w:val="-8"/>
        </w:rPr>
        <w:t> </w:t>
      </w:r>
      <w:r>
        <w:rPr/>
        <w:t>in</w:t>
      </w:r>
      <w:r>
        <w:rPr>
          <w:spacing w:val="-7"/>
        </w:rPr>
        <w:t> </w:t>
      </w:r>
      <w:r>
        <w:rPr/>
        <w:t>edge</w:t>
      </w:r>
      <w:r>
        <w:rPr>
          <w:spacing w:val="-7"/>
        </w:rPr>
        <w:t> </w:t>
      </w:r>
      <w:r>
        <w:rPr>
          <w:spacing w:val="-2"/>
        </w:rPr>
        <w:t>weights</w:t>
      </w:r>
    </w:p>
    <w:p>
      <w:pPr>
        <w:pStyle w:val="Heading4"/>
        <w:numPr>
          <w:ilvl w:val="2"/>
          <w:numId w:val="8"/>
        </w:numPr>
        <w:tabs>
          <w:tab w:pos="879" w:val="left" w:leader="none"/>
        </w:tabs>
        <w:spacing w:line="240" w:lineRule="auto" w:before="73" w:after="0"/>
        <w:ind w:left="879" w:right="0" w:hanging="597"/>
        <w:jc w:val="both"/>
      </w:pPr>
      <w:r>
        <w:rPr>
          <w:i/>
        </w:rPr>
        <w:t>간선 가중치의 연속성</w:t>
      </w:r>
    </w:p>
    <w:p>
      <w:pPr>
        <w:pStyle w:val="BodyText"/>
        <w:spacing w:line="456" w:lineRule="exact" w:before="181"/>
        <w:ind w:left="273" w:right="534" w:firstLine="8"/>
        <w:jc w:val="both"/>
      </w:pPr>
      <w:r>
        <w:rPr/>
        <w:t>PageRank</w:t>
      </w:r>
      <w:r>
        <w:rPr>
          <w:spacing w:val="14"/>
        </w:rPr>
        <w:t> </w:t>
      </w:r>
      <w:r>
        <w:rPr/>
        <w:t>is</w:t>
      </w:r>
      <w:r>
        <w:rPr>
          <w:spacing w:val="15"/>
        </w:rPr>
        <w:t> </w:t>
      </w:r>
      <w:r>
        <w:rPr/>
        <w:t>a</w:t>
      </w:r>
      <w:r>
        <w:rPr>
          <w:spacing w:val="15"/>
        </w:rPr>
        <w:t> </w:t>
      </w:r>
      <w:r>
        <w:rPr/>
        <w:t>continuous</w:t>
      </w:r>
      <w:r>
        <w:rPr>
          <w:spacing w:val="15"/>
        </w:rPr>
        <w:t> </w:t>
      </w:r>
      <w:r>
        <w:rPr/>
        <w:t>function</w:t>
      </w:r>
      <w:r>
        <w:rPr>
          <w:spacing w:val="15"/>
        </w:rPr>
        <w:t> </w:t>
      </w:r>
      <w:r>
        <w:rPr/>
        <w:t>of</w:t>
      </w:r>
      <w:r>
        <w:rPr>
          <w:spacing w:val="15"/>
        </w:rPr>
        <w:t> </w:t>
      </w:r>
      <w:r>
        <w:rPr/>
        <w:t>the</w:t>
      </w:r>
      <w:r>
        <w:rPr>
          <w:spacing w:val="15"/>
        </w:rPr>
        <w:t> </w:t>
      </w:r>
      <w:r>
        <w:rPr/>
        <w:t>entries</w:t>
      </w:r>
      <w:r>
        <w:rPr>
          <w:spacing w:val="15"/>
        </w:rPr>
        <w:t> </w:t>
      </w:r>
      <w:r>
        <w:rPr/>
        <w:t>of</w:t>
      </w:r>
      <w:r>
        <w:rPr>
          <w:spacing w:val="16"/>
        </w:rPr>
        <w:t> </w:t>
      </w:r>
      <w:r>
        <w:rPr>
          <w:rFonts w:ascii="Calibri" w:hAnsi="Calibri"/>
          <w:i/>
        </w:rPr>
        <w:t>P</w:t>
      </w:r>
      <w:r>
        <w:rPr>
          <w:rFonts w:ascii="Calibri" w:hAnsi="Calibri"/>
          <w:i/>
          <w:spacing w:val="40"/>
        </w:rPr>
        <w:t> </w:t>
      </w:r>
      <w:r>
        <w:rPr/>
        <w:t>for</w:t>
      </w:r>
      <w:r>
        <w:rPr>
          <w:spacing w:val="15"/>
        </w:rPr>
        <w:t> </w:t>
      </w:r>
      <w:r>
        <w:rPr/>
        <w:t>fixed</w:t>
      </w:r>
      <w:r>
        <w:rPr>
          <w:spacing w:val="15"/>
        </w:rPr>
        <w:t> </w:t>
      </w:r>
      <w:r>
        <w:rPr>
          <w:rFonts w:ascii="Calibri" w:hAnsi="Calibri"/>
          <w:i/>
        </w:rPr>
        <w:t>d</w:t>
      </w:r>
      <w:r>
        <w:rPr>
          <w:rFonts w:ascii="Calibri" w:hAnsi="Calibri"/>
          <w:i/>
          <w:spacing w:val="40"/>
        </w:rPr>
        <w:t> </w:t>
      </w:r>
      <w:r>
        <w:rPr>
          <w:rFonts w:ascii="Lucida Sans Unicode" w:hAnsi="Lucida Sans Unicode"/>
        </w:rPr>
        <w:t>∈</w:t>
      </w:r>
      <w:r>
        <w:rPr>
          <w:rFonts w:ascii="Lucida Sans Unicode" w:hAnsi="Lucida Sans Unicode"/>
          <w:spacing w:val="25"/>
        </w:rPr>
        <w:t> </w:t>
      </w:r>
      <w:r>
        <w:rPr>
          <w:rFonts w:ascii="Calibri" w:hAnsi="Calibri"/>
        </w:rPr>
        <w:t>(0</w:t>
      </w:r>
      <w:r>
        <w:rPr>
          <w:rFonts w:ascii="Calibri" w:hAnsi="Calibri"/>
          <w:i/>
        </w:rPr>
        <w:t>,</w:t>
      </w:r>
      <w:r>
        <w:rPr>
          <w:rFonts w:ascii="Calibri" w:hAnsi="Calibri"/>
          <w:i/>
          <w:spacing w:val="-14"/>
        </w:rPr>
        <w:t> </w:t>
      </w:r>
      <w:r>
        <w:rPr>
          <w:rFonts w:ascii="Calibri" w:hAnsi="Calibri"/>
        </w:rPr>
        <w:t>1)</w:t>
      </w:r>
      <w:r>
        <w:rPr/>
        <w:t>.</w:t>
      </w:r>
      <w:r>
        <w:rPr>
          <w:spacing w:val="67"/>
        </w:rPr>
        <w:t> </w:t>
      </w:r>
      <w:r>
        <w:rPr/>
        <w:t>Small</w:t>
      </w:r>
      <w:r>
        <w:rPr>
          <w:spacing w:val="15"/>
        </w:rPr>
        <w:t> </w:t>
      </w:r>
      <w:r>
        <w:rPr/>
        <w:t>perturbations of</w:t>
      </w:r>
      <w:r>
        <w:rPr>
          <w:spacing w:val="-2"/>
        </w:rPr>
        <w:t> </w:t>
      </w:r>
      <w:r>
        <w:rPr/>
        <w:t>allowance</w:t>
      </w:r>
      <w:r>
        <w:rPr>
          <w:spacing w:val="-1"/>
        </w:rPr>
        <w:t> </w:t>
      </w:r>
      <w:r>
        <w:rPr/>
        <w:t>or</w:t>
      </w:r>
      <w:r>
        <w:rPr>
          <w:spacing w:val="-1"/>
        </w:rPr>
        <w:t> </w:t>
      </w:r>
      <w:r>
        <w:rPr/>
        <w:t>transfer</w:t>
      </w:r>
      <w:r>
        <w:rPr>
          <w:spacing w:val="-1"/>
        </w:rPr>
        <w:t> </w:t>
      </w:r>
      <w:r>
        <w:rPr/>
        <w:t>weights</w:t>
      </w:r>
      <w:r>
        <w:rPr>
          <w:spacing w:val="-1"/>
        </w:rPr>
        <w:t> </w:t>
      </w:r>
      <w:r>
        <w:rPr/>
        <w:t>therefore</w:t>
      </w:r>
      <w:r>
        <w:rPr>
          <w:spacing w:val="-1"/>
        </w:rPr>
        <w:t> </w:t>
      </w:r>
      <w:r>
        <w:rPr/>
        <w:t>induce</w:t>
      </w:r>
      <w:r>
        <w:rPr>
          <w:spacing w:val="-1"/>
        </w:rPr>
        <w:t> </w:t>
      </w:r>
      <w:r>
        <w:rPr/>
        <w:t>small</w:t>
      </w:r>
      <w:r>
        <w:rPr>
          <w:spacing w:val="-1"/>
        </w:rPr>
        <w:t> </w:t>
      </w:r>
      <w:r>
        <w:rPr/>
        <w:t>perturbations</w:t>
      </w:r>
      <w:r>
        <w:rPr>
          <w:spacing w:val="-1"/>
        </w:rPr>
        <w:t> </w:t>
      </w:r>
      <w:r>
        <w:rPr/>
        <w:t>of</w:t>
      </w:r>
      <w:r>
        <w:rPr>
          <w:spacing w:val="-1"/>
        </w:rPr>
        <w:t> </w:t>
      </w:r>
      <w:r>
        <w:rPr/>
        <w:t>scores</w:t>
      </w:r>
      <w:r>
        <w:rPr>
          <w:spacing w:val="-1"/>
        </w:rPr>
        <w:t> </w:t>
      </w:r>
      <w:r>
        <w:rPr/>
        <w:t>in</w:t>
      </w:r>
      <w:r>
        <w:rPr>
          <w:spacing w:val="-1"/>
        </w:rPr>
        <w:t> </w:t>
      </w:r>
      <w:r>
        <w:rPr/>
        <w:t>the</w:t>
      </w:r>
      <w:r>
        <w:rPr>
          <w:spacing w:val="26"/>
        </w:rPr>
        <w:t> </w:t>
      </w:r>
      <w:r>
        <w:rPr>
          <w:spacing w:val="-25"/>
          <w:position w:val="-5"/>
        </w:rPr>
        <w:drawing>
          <wp:inline distT="0" distB="0" distL="0" distR="0">
            <wp:extent cx="38100" cy="152400"/>
            <wp:effectExtent l="0" t="0" r="0" b="0"/>
            <wp:docPr id="877" name="Image 877"/>
            <wp:cNvGraphicFramePr>
              <a:graphicFrameLocks/>
            </wp:cNvGraphicFramePr>
            <a:graphic>
              <a:graphicData uri="http://schemas.openxmlformats.org/drawingml/2006/picture">
                <pic:pic>
                  <pic:nvPicPr>
                    <pic:cNvPr id="877" name="Image 877"/>
                    <pic:cNvPicPr/>
                  </pic:nvPicPr>
                  <pic:blipFill>
                    <a:blip r:embed="rId6" cstate="print"/>
                    <a:stretch>
                      <a:fillRect/>
                    </a:stretch>
                  </pic:blipFill>
                  <pic:spPr>
                    <a:xfrm>
                      <a:off x="0" y="0"/>
                      <a:ext cx="38100" cy="152400"/>
                    </a:xfrm>
                    <a:prstGeom prst="rect">
                      <a:avLst/>
                    </a:prstGeom>
                  </pic:spPr>
                </pic:pic>
              </a:graphicData>
            </a:graphic>
          </wp:inline>
        </w:drawing>
      </w:r>
      <w:r>
        <w:rPr>
          <w:spacing w:val="-25"/>
          <w:position w:val="-5"/>
        </w:rPr>
      </w:r>
      <w:r>
        <w:rPr>
          <w:spacing w:val="40"/>
        </w:rPr>
        <w:t> </w:t>
      </w:r>
      <w:r>
        <w:rPr>
          <w:rFonts w:ascii="Lucida Sans Unicode" w:hAnsi="Lucida Sans Unicode"/>
          <w:w w:val="85"/>
        </w:rPr>
        <w:t>· </w:t>
      </w:r>
      <w:r>
        <w:rPr>
          <w:rFonts w:ascii="Lucida Sans Unicode" w:hAnsi="Lucida Sans Unicode"/>
          <w:spacing w:val="11"/>
          <w:position w:val="-5"/>
        </w:rPr>
        <w:drawing>
          <wp:inline distT="0" distB="0" distL="0" distR="0">
            <wp:extent cx="38100" cy="152400"/>
            <wp:effectExtent l="0" t="0" r="0" b="0"/>
            <wp:docPr id="878" name="Image 878"/>
            <wp:cNvGraphicFramePr>
              <a:graphicFrameLocks/>
            </wp:cNvGraphicFramePr>
            <a:graphic>
              <a:graphicData uri="http://schemas.openxmlformats.org/drawingml/2006/picture">
                <pic:pic>
                  <pic:nvPicPr>
                    <pic:cNvPr id="878" name="Image 878"/>
                    <pic:cNvPicPr/>
                  </pic:nvPicPr>
                  <pic:blipFill>
                    <a:blip r:embed="rId6" cstate="print"/>
                    <a:stretch>
                      <a:fillRect/>
                    </a:stretch>
                  </pic:blipFill>
                  <pic:spPr>
                    <a:xfrm>
                      <a:off x="0" y="0"/>
                      <a:ext cx="38100" cy="152400"/>
                    </a:xfrm>
                    <a:prstGeom prst="rect">
                      <a:avLst/>
                    </a:prstGeom>
                  </pic:spPr>
                </pic:pic>
              </a:graphicData>
            </a:graphic>
          </wp:inline>
        </w:drawing>
      </w:r>
      <w:r>
        <w:rPr>
          <w:rFonts w:ascii="Lucida Sans Unicode" w:hAnsi="Lucida Sans Unicode"/>
          <w:spacing w:val="11"/>
          <w:position w:val="-5"/>
        </w:rPr>
      </w:r>
      <w:r>
        <w:rPr>
          <w:rFonts w:ascii="Calibri" w:hAnsi="Calibri"/>
          <w:position w:val="-5"/>
          <w:vertAlign w:val="subscript"/>
        </w:rPr>
        <w:t>1</w:t>
      </w:r>
      <w:r>
        <w:rPr>
          <w:rFonts w:ascii="Calibri" w:hAnsi="Calibri"/>
          <w:position w:val="-5"/>
          <w:vertAlign w:val="baseline"/>
        </w:rPr>
        <w:t> </w:t>
      </w:r>
      <w:r>
        <w:rPr>
          <w:vertAlign w:val="baseline"/>
        </w:rPr>
        <w:t>norm, with Lipschitz constants depending on </w:t>
      </w:r>
      <w:r>
        <w:rPr>
          <w:rFonts w:ascii="Calibri" w:hAnsi="Calibri"/>
          <w:i/>
          <w:vertAlign w:val="baseline"/>
        </w:rPr>
        <w:t>d </w:t>
      </w:r>
      <w:r>
        <w:rPr>
          <w:vertAlign w:val="baseline"/>
        </w:rPr>
        <w:t>and </w:t>
      </w:r>
      <w:r>
        <w:rPr>
          <w:rFonts w:ascii="Calibri" w:hAnsi="Calibri"/>
          <w:i/>
          <w:vertAlign w:val="baseline"/>
        </w:rPr>
        <w:t>n </w:t>
      </w:r>
      <w:hyperlink w:history="true" w:anchor="_bookmark173">
        <w:r>
          <w:rPr>
            <w:vertAlign w:val="superscript"/>
          </w:rPr>
          <w:t>[40]</w:t>
        </w:r>
      </w:hyperlink>
      <w:r>
        <w:rPr>
          <w:vertAlign w:val="baseline"/>
        </w:rPr>
        <w:t>.</w:t>
      </w:r>
      <w:r>
        <w:rPr>
          <w:spacing w:val="40"/>
          <w:vertAlign w:val="baseline"/>
        </w:rPr>
        <w:t> </w:t>
      </w:r>
      <w:r>
        <w:rPr>
          <w:vertAlign w:val="baseline"/>
        </w:rPr>
        <w:t>Continuity justifies robustness checks that vary</w:t>
      </w:r>
      <w:r>
        <w:rPr>
          <w:spacing w:val="-6"/>
          <w:vertAlign w:val="baseline"/>
        </w:rPr>
        <w:t> </w:t>
      </w:r>
      <w:r>
        <w:rPr>
          <w:vertAlign w:val="baseline"/>
        </w:rPr>
        <w:t>damping</w:t>
      </w:r>
      <w:r>
        <w:rPr>
          <w:spacing w:val="-6"/>
          <w:vertAlign w:val="baseline"/>
        </w:rPr>
        <w:t> </w:t>
      </w:r>
      <w:r>
        <w:rPr>
          <w:vertAlign w:val="baseline"/>
        </w:rPr>
        <w:t>or</w:t>
      </w:r>
      <w:r>
        <w:rPr>
          <w:spacing w:val="-6"/>
          <w:vertAlign w:val="baseline"/>
        </w:rPr>
        <w:t> </w:t>
      </w:r>
      <w:r>
        <w:rPr>
          <w:vertAlign w:val="baseline"/>
        </w:rPr>
        <w:t>restrict</w:t>
      </w:r>
      <w:r>
        <w:rPr>
          <w:spacing w:val="-6"/>
          <w:vertAlign w:val="baseline"/>
        </w:rPr>
        <w:t> </w:t>
      </w:r>
      <w:r>
        <w:rPr>
          <w:vertAlign w:val="baseline"/>
        </w:rPr>
        <w:t>to</w:t>
      </w:r>
      <w:r>
        <w:rPr>
          <w:spacing w:val="-6"/>
          <w:vertAlign w:val="baseline"/>
        </w:rPr>
        <w:t> </w:t>
      </w:r>
      <w:r>
        <w:rPr>
          <w:vertAlign w:val="baseline"/>
        </w:rPr>
        <w:t>top</w:t>
      </w:r>
      <w:r>
        <w:rPr>
          <w:spacing w:val="-6"/>
          <w:vertAlign w:val="baseline"/>
        </w:rPr>
        <w:t> </w:t>
      </w:r>
      <w:r>
        <w:rPr>
          <w:vertAlign w:val="baseline"/>
        </w:rPr>
        <w:t>tokens: if</w:t>
      </w:r>
      <w:r>
        <w:rPr>
          <w:spacing w:val="-6"/>
          <w:vertAlign w:val="baseline"/>
        </w:rPr>
        <w:t> </w:t>
      </w:r>
      <w:r>
        <w:rPr>
          <w:vertAlign w:val="baseline"/>
        </w:rPr>
        <w:t>alignment</w:t>
      </w:r>
      <w:r>
        <w:rPr>
          <w:spacing w:val="-6"/>
          <w:vertAlign w:val="baseline"/>
        </w:rPr>
        <w:t> </w:t>
      </w:r>
      <w:r>
        <w:rPr>
          <w:vertAlign w:val="baseline"/>
        </w:rPr>
        <w:t>were</w:t>
      </w:r>
      <w:r>
        <w:rPr>
          <w:spacing w:val="-6"/>
          <w:vertAlign w:val="baseline"/>
        </w:rPr>
        <w:t> </w:t>
      </w:r>
      <w:r>
        <w:rPr>
          <w:vertAlign w:val="baseline"/>
        </w:rPr>
        <w:t>knife-edge</w:t>
      </w:r>
      <w:r>
        <w:rPr>
          <w:spacing w:val="-6"/>
          <w:vertAlign w:val="baseline"/>
        </w:rPr>
        <w:t> </w:t>
      </w:r>
      <w:r>
        <w:rPr>
          <w:vertAlign w:val="baseline"/>
        </w:rPr>
        <w:t>fragile,</w:t>
      </w:r>
      <w:r>
        <w:rPr>
          <w:spacing w:val="-5"/>
          <w:vertAlign w:val="baseline"/>
        </w:rPr>
        <w:t> </w:t>
      </w:r>
      <w:r>
        <w:rPr>
          <w:vertAlign w:val="baseline"/>
        </w:rPr>
        <w:t>small</w:t>
      </w:r>
      <w:r>
        <w:rPr>
          <w:spacing w:val="-6"/>
          <w:vertAlign w:val="baseline"/>
        </w:rPr>
        <w:t> </w:t>
      </w:r>
      <w:r>
        <w:rPr>
          <w:vertAlign w:val="baseline"/>
        </w:rPr>
        <w:t>hyperparameter changes</w:t>
      </w:r>
      <w:r>
        <w:rPr>
          <w:spacing w:val="-15"/>
          <w:vertAlign w:val="baseline"/>
        </w:rPr>
        <w:t> </w:t>
      </w:r>
      <w:r>
        <w:rPr>
          <w:vertAlign w:val="baseline"/>
        </w:rPr>
        <w:t>would</w:t>
      </w:r>
      <w:r>
        <w:rPr>
          <w:spacing w:val="-1"/>
          <w:vertAlign w:val="baseline"/>
        </w:rPr>
        <w:t> </w:t>
      </w:r>
      <w:r>
        <w:rPr>
          <w:vertAlign w:val="baseline"/>
        </w:rPr>
        <w:t>scramble</w:t>
      </w:r>
      <w:r>
        <w:rPr>
          <w:spacing w:val="-1"/>
          <w:vertAlign w:val="baseline"/>
        </w:rPr>
        <w:t> </w:t>
      </w:r>
      <w:r>
        <w:rPr>
          <w:vertAlign w:val="baseline"/>
        </w:rPr>
        <w:t>family-level</w:t>
      </w:r>
      <w:r>
        <w:rPr>
          <w:spacing w:val="-1"/>
          <w:vertAlign w:val="baseline"/>
        </w:rPr>
        <w:t> </w:t>
      </w:r>
      <w:r>
        <w:rPr>
          <w:rFonts w:ascii="Calibri" w:hAnsi="Calibri"/>
          <w:i/>
          <w:vertAlign w:val="baseline"/>
        </w:rPr>
        <w:t>τ</w:t>
      </w:r>
      <w:r>
        <w:rPr>
          <w:rFonts w:ascii="Calibri" w:hAnsi="Calibri"/>
          <w:i/>
          <w:spacing w:val="-14"/>
          <w:vertAlign w:val="baseline"/>
        </w:rPr>
        <w:t> </w:t>
      </w:r>
      <w:r>
        <w:rPr>
          <w:vertAlign w:val="baseline"/>
        </w:rPr>
        <w:t>.</w:t>
      </w:r>
      <w:r>
        <w:rPr>
          <w:spacing w:val="27"/>
          <w:vertAlign w:val="baseline"/>
        </w:rPr>
        <w:t> </w:t>
      </w:r>
      <w:r>
        <w:rPr>
          <w:vertAlign w:val="baseline"/>
        </w:rPr>
        <w:t>Empirically, EndorseRank</w:t>
      </w:r>
      <w:r>
        <w:rPr>
          <w:spacing w:val="-1"/>
          <w:vertAlign w:val="baseline"/>
        </w:rPr>
        <w:t> </w:t>
      </w:r>
      <w:r>
        <w:rPr>
          <w:vertAlign w:val="baseline"/>
        </w:rPr>
        <w:t>allowance</w:t>
      </w:r>
      <w:r>
        <w:rPr>
          <w:spacing w:val="-1"/>
          <w:vertAlign w:val="baseline"/>
        </w:rPr>
        <w:t> </w:t>
      </w:r>
      <w:r>
        <w:rPr>
          <w:rFonts w:ascii="Calibri" w:hAnsi="Calibri"/>
          <w:i/>
          <w:vertAlign w:val="baseline"/>
        </w:rPr>
        <w:t>τ</w:t>
      </w:r>
      <w:r>
        <w:rPr>
          <w:rFonts w:ascii="Calibri" w:hAnsi="Calibri"/>
          <w:i/>
          <w:spacing w:val="30"/>
          <w:vertAlign w:val="baseline"/>
        </w:rPr>
        <w:t> </w:t>
      </w:r>
      <w:r>
        <w:rPr>
          <w:vertAlign w:val="baseline"/>
        </w:rPr>
        <w:t>remains</w:t>
      </w:r>
      <w:r>
        <w:rPr>
          <w:spacing w:val="-1"/>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355 </w:t>
      </w:r>
      <w:r>
        <w:rPr>
          <w:vertAlign w:val="baseline"/>
        </w:rPr>
        <w:t>across </w:t>
      </w:r>
      <w:bookmarkStart w:name="Sparsity and per-iteration cost" w:id="367"/>
      <w:bookmarkEnd w:id="367"/>
      <w:r>
        <w:rPr>
          <w:spacing w:val="-1"/>
          <w:vertAlign w:val="baseline"/>
        </w:rPr>
      </w:r>
      <w:bookmarkStart w:name="_bookmark222" w:id="368"/>
      <w:bookmarkEnd w:id="368"/>
      <w:r>
        <w:rPr>
          <w:spacing w:val="-1"/>
          <w:vertAlign w:val="baseline"/>
        </w:rPr>
      </w:r>
      <w:r>
        <w:rPr>
          <w:rFonts w:ascii="Calibri" w:hAnsi="Calibri"/>
          <w:i/>
          <w:vertAlign w:val="baseline"/>
        </w:rPr>
        <w:t>d </w:t>
      </w:r>
      <w:r>
        <w:rPr>
          <w:rFonts w:ascii="Lucida Sans Unicode" w:hAnsi="Lucida Sans Unicode"/>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75</w:t>
      </w:r>
      <w:r>
        <w:rPr>
          <w:rFonts w:ascii="Calibri" w:hAnsi="Calibri"/>
          <w:i/>
          <w:vertAlign w:val="baseline"/>
        </w:rPr>
        <w:t>,</w:t>
      </w:r>
      <w:r>
        <w:rPr>
          <w:rFonts w:ascii="Calibri" w:hAnsi="Calibri"/>
          <w:i/>
          <w:spacing w:val="-9"/>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85</w:t>
      </w:r>
      <w:r>
        <w:rPr>
          <w:rFonts w:ascii="Calibri" w:hAnsi="Calibri"/>
          <w:i/>
          <w:vertAlign w:val="baseline"/>
        </w:rPr>
        <w:t>,</w:t>
      </w:r>
      <w:r>
        <w:rPr>
          <w:rFonts w:ascii="Calibri" w:hAnsi="Calibri"/>
          <w:i/>
          <w:spacing w:val="-9"/>
          <w:vertAlign w:val="baseline"/>
        </w:rPr>
        <w:t> </w:t>
      </w:r>
      <w:r>
        <w:rPr>
          <w:rFonts w:ascii="Calibri" w:hAnsi="Calibri"/>
          <w:vertAlign w:val="baseline"/>
        </w:rPr>
        <w:t>0</w:t>
      </w:r>
      <w:r>
        <w:rPr>
          <w:rFonts w:ascii="Calibri" w:hAnsi="Calibri"/>
          <w:i/>
          <w:vertAlign w:val="baseline"/>
        </w:rPr>
        <w:t>.</w:t>
      </w:r>
      <w:r>
        <w:rPr>
          <w:rFonts w:ascii="Calibri" w:hAnsi="Calibri"/>
          <w:vertAlign w:val="baseline"/>
        </w:rPr>
        <w:t>95</w:t>
      </w:r>
      <w:r>
        <w:rPr>
          <w:rFonts w:ascii="Lucida Sans Unicode" w:hAnsi="Lucida Sans Unicode"/>
          <w:vertAlign w:val="baseline"/>
        </w:rPr>
        <w:t>}</w:t>
      </w:r>
      <w:r>
        <w:rPr>
          <w:rFonts w:ascii="Lucida Sans Unicode" w:hAnsi="Lucida Sans Unicode"/>
          <w:spacing w:val="-7"/>
          <w:vertAlign w:val="baseline"/>
        </w:rPr>
        <w:t> </w:t>
      </w:r>
      <w:r>
        <w:rPr>
          <w:vertAlign w:val="baseline"/>
        </w:rPr>
        <w:t>(Table </w:t>
      </w:r>
      <w:hyperlink w:history="true" w:anchor="_bookmark96">
        <w:r>
          <w:rPr>
            <w:vertAlign w:val="baseline"/>
          </w:rPr>
          <w:t>4.4</w:t>
        </w:r>
      </w:hyperlink>
      <w:r>
        <w:rPr>
          <w:vertAlign w:val="baseline"/>
        </w:rPr>
        <w:t>), consistent with a stable ranking geometry.</w:t>
      </w:r>
    </w:p>
    <w:p>
      <w:pPr>
        <w:pStyle w:val="BodyText"/>
        <w:spacing w:line="456" w:lineRule="exact" w:before="181"/>
        <w:ind w:left="273" w:right="534" w:firstLine="8"/>
        <w:jc w:val="both"/>
      </w:pPr>
      <w:r>
        <w:rPr>
          <w:i/>
        </w:rPr>
        <w:t>PageRank은 고정 d ∈ (0, 1)에 대한 P 항목의 연속 함수입니다. 따라서 허용량 또는 이전 가중치의 작은 교란은 d 및 n에 따라 Lipschitz 상수를 사용하여 · 1 표준에서 점수의 작은 교란을 유도합니다[40]. 연속성은 댐핑을 변경하거나 상위 토큰으로 제한하는 견고성 검사를 정당화합니다. 정렬이 매우 취약한 경우 작은 하이퍼 매개변수 변경으로 인해 제품군 수준 τ가 뒤섞일 수 있습니다. 경험적으로 EndorseRank 허용량 τ는 d ∈ {0.75, 0.85, 0.95}(표 4.4)에서 EndorseRank 허용량 τ가 ∈ 0.355로 유지되며 이는 안정적인 순위 기하학과 일치합니다.</w:t>
      </w:r>
    </w:p>
    <w:p>
      <w:pPr>
        <w:pStyle w:val="BodyText"/>
        <w:spacing w:before="146"/>
      </w:pPr>
    </w:p>
    <w:p>
      <w:pPr>
        <w:pStyle w:val="Heading4"/>
        <w:numPr>
          <w:ilvl w:val="2"/>
          <w:numId w:val="8"/>
        </w:numPr>
        <w:tabs>
          <w:tab w:pos="879" w:val="left" w:leader="none"/>
        </w:tabs>
        <w:spacing w:line="240" w:lineRule="auto" w:before="1" w:after="0"/>
        <w:ind w:left="879" w:right="0" w:hanging="597"/>
        <w:jc w:val="both"/>
      </w:pPr>
      <w:r>
        <w:rPr>
          <w:spacing w:val="-2"/>
        </w:rPr>
        <w:t>Sparsity</w:t>
      </w:r>
      <w:r>
        <w:rPr>
          <w:spacing w:val="-1"/>
        </w:rPr>
        <w:t> </w:t>
      </w:r>
      <w:r>
        <w:rPr>
          <w:spacing w:val="-2"/>
        </w:rPr>
        <w:t>and</w:t>
      </w:r>
      <w:r>
        <w:rPr/>
        <w:t> </w:t>
      </w:r>
      <w:r>
        <w:rPr>
          <w:spacing w:val="-2"/>
        </w:rPr>
        <w:t>per-iteration</w:t>
      </w:r>
      <w:r>
        <w:rPr/>
        <w:t> </w:t>
      </w:r>
      <w:r>
        <w:rPr>
          <w:spacing w:val="-4"/>
        </w:rPr>
        <w:t>cost</w:t>
      </w:r>
    </w:p>
    <w:p>
      <w:pPr>
        <w:pStyle w:val="Heading4"/>
        <w:numPr>
          <w:ilvl w:val="2"/>
          <w:numId w:val="8"/>
        </w:numPr>
        <w:tabs>
          <w:tab w:pos="879" w:val="left" w:leader="none"/>
        </w:tabs>
        <w:spacing w:line="240" w:lineRule="auto" w:before="1" w:after="0"/>
        <w:ind w:left="879" w:right="0" w:hanging="597"/>
        <w:jc w:val="both"/>
      </w:pPr>
      <w:r>
        <w:rPr>
          <w:i/>
        </w:rPr>
        <w:t>희소성 및 반복당 비용</w:t>
      </w:r>
    </w:p>
    <w:p>
      <w:pPr>
        <w:pStyle w:val="BodyText"/>
        <w:spacing w:line="456" w:lineRule="exact" w:before="181"/>
        <w:ind w:left="270" w:right="560" w:firstLine="3"/>
        <w:jc w:val="both"/>
      </w:pPr>
      <w:r>
        <w:rPr/>
        <w:t>A</w:t>
      </w:r>
      <w:r>
        <w:rPr>
          <w:spacing w:val="-13"/>
        </w:rPr>
        <w:t> </w:t>
      </w:r>
      <w:r>
        <w:rPr/>
        <w:t>sparse</w:t>
      </w:r>
      <w:r>
        <w:rPr>
          <w:spacing w:val="-10"/>
        </w:rPr>
        <w:t> </w:t>
      </w:r>
      <w:r>
        <w:rPr/>
        <w:t>matrix–vector</w:t>
      </w:r>
      <w:r>
        <w:rPr>
          <w:spacing w:val="-10"/>
        </w:rPr>
        <w:t> </w:t>
      </w:r>
      <w:r>
        <w:rPr/>
        <w:t>product</w:t>
      </w:r>
      <w:r>
        <w:rPr>
          <w:spacing w:val="-10"/>
        </w:rPr>
        <w:t> </w:t>
      </w:r>
      <w:r>
        <w:rPr>
          <w:rFonts w:ascii="Calibri" w:hAnsi="Calibri"/>
          <w:i/>
        </w:rPr>
        <w:t>P</w:t>
      </w:r>
      <w:r>
        <w:rPr>
          <w:rFonts w:ascii="Calibri" w:hAnsi="Calibri"/>
          <w:i/>
          <w:spacing w:val="-14"/>
        </w:rPr>
        <w:t> </w:t>
      </w:r>
      <w:r>
        <w:rPr>
          <w:rFonts w:ascii="Cambria" w:hAnsi="Cambria"/>
          <w:vertAlign w:val="superscript"/>
        </w:rPr>
        <w:t>⊤</w:t>
      </w:r>
      <w:r>
        <w:rPr>
          <w:b/>
          <w:vertAlign w:val="baseline"/>
        </w:rPr>
        <w:t>x</w:t>
      </w:r>
      <w:r>
        <w:rPr>
          <w:b/>
          <w:spacing w:val="-10"/>
          <w:vertAlign w:val="baseline"/>
        </w:rPr>
        <w:t> </w:t>
      </w:r>
      <w:r>
        <w:rPr>
          <w:vertAlign w:val="baseline"/>
        </w:rPr>
        <w:t>costs</w:t>
      </w:r>
      <w:r>
        <w:rPr>
          <w:spacing w:val="-10"/>
          <w:vertAlign w:val="baseline"/>
        </w:rPr>
        <w:t> </w:t>
      </w:r>
      <w:r>
        <w:rPr>
          <w:rFonts w:ascii="Calibri" w:hAnsi="Calibri"/>
          <w:i/>
          <w:vertAlign w:val="baseline"/>
        </w:rPr>
        <w:t>O</w:t>
      </w:r>
      <w:r>
        <w:rPr>
          <w:rFonts w:ascii="Calibri" w:hAnsi="Calibri"/>
          <w:vertAlign w:val="baseline"/>
        </w:rPr>
        <w:t>(</w:t>
      </w:r>
      <w:r>
        <w:rPr>
          <w:rFonts w:ascii="Calibri" w:hAnsi="Calibri"/>
          <w:i/>
          <w:vertAlign w:val="baseline"/>
        </w:rPr>
        <w:t>m</w:t>
      </w:r>
      <w:r>
        <w:rPr>
          <w:rFonts w:ascii="Calibri" w:hAnsi="Calibri"/>
          <w:vertAlign w:val="baseline"/>
        </w:rPr>
        <w:t>)</w:t>
      </w:r>
      <w:r>
        <w:rPr>
          <w:rFonts w:ascii="Calibri" w:hAnsi="Calibri"/>
          <w:spacing w:val="-4"/>
          <w:vertAlign w:val="baseline"/>
        </w:rPr>
        <w:t> </w:t>
      </w:r>
      <w:r>
        <w:rPr>
          <w:vertAlign w:val="baseline"/>
        </w:rPr>
        <w:t>arithmetic</w:t>
      </w:r>
      <w:r>
        <w:rPr>
          <w:spacing w:val="-10"/>
          <w:vertAlign w:val="baseline"/>
        </w:rPr>
        <w:t> </w:t>
      </w:r>
      <w:r>
        <w:rPr>
          <w:vertAlign w:val="baseline"/>
        </w:rPr>
        <w:t>operations</w:t>
      </w:r>
      <w:r>
        <w:rPr>
          <w:spacing w:val="-10"/>
          <w:vertAlign w:val="baseline"/>
        </w:rPr>
        <w:t> </w:t>
      </w:r>
      <w:r>
        <w:rPr>
          <w:vertAlign w:val="baseline"/>
        </w:rPr>
        <w:t>for</w:t>
      </w:r>
      <w:r>
        <w:rPr>
          <w:spacing w:val="-10"/>
          <w:vertAlign w:val="baseline"/>
        </w:rPr>
        <w:t> </w:t>
      </w:r>
      <w:r>
        <w:rPr>
          <w:rFonts w:ascii="Calibri" w:hAnsi="Calibri"/>
          <w:i/>
          <w:vertAlign w:val="baseline"/>
        </w:rPr>
        <w:t>m</w:t>
      </w:r>
      <w:r>
        <w:rPr>
          <w:rFonts w:ascii="Calibri" w:hAnsi="Calibri"/>
          <w:i/>
          <w:spacing w:val="-4"/>
          <w:vertAlign w:val="baseline"/>
        </w:rPr>
        <w:t> </w:t>
      </w:r>
      <w:r>
        <w:rPr>
          <w:vertAlign w:val="baseline"/>
        </w:rPr>
        <w:t>nonzero</w:t>
      </w:r>
      <w:r>
        <w:rPr>
          <w:spacing w:val="-10"/>
          <w:vertAlign w:val="baseline"/>
        </w:rPr>
        <w:t> </w:t>
      </w:r>
      <w:r>
        <w:rPr>
          <w:vertAlign w:val="baseline"/>
        </w:rPr>
        <w:t>edges.</w:t>
      </w:r>
      <w:r>
        <w:rPr>
          <w:spacing w:val="26"/>
          <w:vertAlign w:val="baseline"/>
        </w:rPr>
        <w:t> </w:t>
      </w:r>
      <w:r>
        <w:rPr>
          <w:vertAlign w:val="baseline"/>
        </w:rPr>
        <w:t>Power iteration</w:t>
      </w:r>
      <w:r>
        <w:rPr>
          <w:spacing w:val="-6"/>
          <w:vertAlign w:val="baseline"/>
        </w:rPr>
        <w:t> </w:t>
      </w:r>
      <w:r>
        <w:rPr>
          <w:vertAlign w:val="baseline"/>
        </w:rPr>
        <w:t>therefore</w:t>
      </w:r>
      <w:r>
        <w:rPr>
          <w:spacing w:val="-6"/>
          <w:vertAlign w:val="baseline"/>
        </w:rPr>
        <w:t> </w:t>
      </w:r>
      <w:r>
        <w:rPr>
          <w:vertAlign w:val="baseline"/>
        </w:rPr>
        <w:t>costs</w:t>
      </w:r>
      <w:r>
        <w:rPr>
          <w:spacing w:val="-6"/>
          <w:vertAlign w:val="baseline"/>
        </w:rPr>
        <w:t> </w:t>
      </w:r>
      <w:r>
        <w:rPr>
          <w:rFonts w:ascii="Calibri" w:hAnsi="Calibri"/>
          <w:i/>
          <w:vertAlign w:val="baseline"/>
        </w:rPr>
        <w:t>O</w:t>
      </w:r>
      <w:r>
        <w:rPr>
          <w:rFonts w:ascii="Calibri" w:hAnsi="Calibri"/>
          <w:vertAlign w:val="baseline"/>
        </w:rPr>
        <w:t>(</w:t>
      </w:r>
      <w:r>
        <w:rPr>
          <w:rFonts w:ascii="Calibri" w:hAnsi="Calibri"/>
          <w:i/>
          <w:vertAlign w:val="baseline"/>
        </w:rPr>
        <w:t>mI</w:t>
      </w:r>
      <w:r>
        <w:rPr>
          <w:rFonts w:ascii="Calibri" w:hAnsi="Calibri"/>
          <w:vertAlign w:val="baseline"/>
        </w:rPr>
        <w:t>) </w:t>
      </w:r>
      <w:r>
        <w:rPr>
          <w:vertAlign w:val="baseline"/>
        </w:rPr>
        <w:t>for</w:t>
      </w:r>
      <w:r>
        <w:rPr>
          <w:spacing w:val="-6"/>
          <w:vertAlign w:val="baseline"/>
        </w:rPr>
        <w:t> </w:t>
      </w:r>
      <w:r>
        <w:rPr>
          <w:rFonts w:ascii="Calibri" w:hAnsi="Calibri"/>
          <w:i/>
          <w:vertAlign w:val="baseline"/>
        </w:rPr>
        <w:t>I </w:t>
      </w:r>
      <w:r>
        <w:rPr>
          <w:vertAlign w:val="baseline"/>
        </w:rPr>
        <w:t>iterations.</w:t>
      </w:r>
      <w:r>
        <w:rPr>
          <w:spacing w:val="39"/>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matched</w:t>
      </w:r>
      <w:r>
        <w:rPr>
          <w:spacing w:val="-6"/>
          <w:vertAlign w:val="baseline"/>
        </w:rPr>
        <w:t> </w:t>
      </w:r>
      <w:r>
        <w:rPr>
          <w:vertAlign w:val="baseline"/>
        </w:rPr>
        <w:t>cohort,</w:t>
      </w:r>
      <w:r>
        <w:rPr>
          <w:spacing w:val="-1"/>
          <w:vertAlign w:val="baseline"/>
        </w:rPr>
        <w:t> </w:t>
      </w:r>
      <w:r>
        <w:rPr>
          <w:rFonts w:ascii="Calibri" w:hAnsi="Calibri"/>
          <w:i/>
          <w:vertAlign w:val="baseline"/>
        </w:rPr>
        <w:t>m</w:t>
      </w:r>
      <w:r>
        <w:rPr>
          <w:vertAlign w:val="subscript"/>
        </w:rPr>
        <w:t>ER</w:t>
      </w:r>
      <w:r>
        <w:rPr>
          <w:spacing w:val="40"/>
          <w:vertAlign w:val="baseline"/>
        </w:rPr>
        <w:t> </w:t>
      </w:r>
      <w:r>
        <w:rPr>
          <w:rFonts w:ascii="Calibri" w:hAnsi="Calibri"/>
          <w:vertAlign w:val="baseline"/>
        </w:rPr>
        <w:t>=</w:t>
      </w:r>
      <w:r>
        <w:rPr>
          <w:rFonts w:ascii="Calibri" w:hAnsi="Calibri"/>
          <w:spacing w:val="34"/>
          <w:vertAlign w:val="baseline"/>
        </w:rPr>
        <w:t> </w:t>
      </w:r>
      <w:r>
        <w:rPr>
          <w:rFonts w:ascii="Calibri" w:hAnsi="Calibri"/>
          <w:vertAlign w:val="baseline"/>
        </w:rPr>
        <w:t>14</w:t>
      </w:r>
      <w:r>
        <w:rPr>
          <w:rFonts w:ascii="Calibri" w:hAnsi="Calibri"/>
          <w:i/>
          <w:vertAlign w:val="baseline"/>
        </w:rPr>
        <w:t>,</w:t>
      </w:r>
      <w:r>
        <w:rPr>
          <w:rFonts w:ascii="Calibri" w:hAnsi="Calibri"/>
          <w:vertAlign w:val="baseline"/>
        </w:rPr>
        <w:t>727 </w:t>
      </w:r>
      <w:r>
        <w:rPr>
          <w:vertAlign w:val="baseline"/>
        </w:rPr>
        <w:t>and</w:t>
      </w:r>
      <w:r>
        <w:rPr>
          <w:spacing w:val="-6"/>
          <w:vertAlign w:val="baseline"/>
        </w:rPr>
        <w:t> </w:t>
      </w:r>
      <w:r>
        <w:rPr>
          <w:rFonts w:ascii="Calibri" w:hAnsi="Calibri"/>
          <w:i/>
          <w:vertAlign w:val="baseline"/>
        </w:rPr>
        <w:t>m</w:t>
      </w:r>
      <w:r>
        <w:rPr>
          <w:vertAlign w:val="subscript"/>
        </w:rPr>
        <w:t>AWP</w:t>
      </w:r>
      <w:r>
        <w:rPr>
          <w:spacing w:val="40"/>
          <w:vertAlign w:val="baseline"/>
        </w:rPr>
        <w:t> </w:t>
      </w:r>
      <w:r>
        <w:rPr>
          <w:rFonts w:ascii="Calibri" w:hAnsi="Calibri"/>
          <w:vertAlign w:val="baseline"/>
        </w:rPr>
        <w:t>= </w:t>
      </w:r>
      <w:r>
        <w:rPr>
          <w:rFonts w:ascii="Calibri" w:hAnsi="Calibri"/>
          <w:w w:val="105"/>
          <w:vertAlign w:val="baseline"/>
        </w:rPr>
        <w:t>137</w:t>
      </w:r>
      <w:r>
        <w:rPr>
          <w:rFonts w:ascii="Calibri" w:hAnsi="Calibri"/>
          <w:i/>
          <w:w w:val="105"/>
          <w:vertAlign w:val="baseline"/>
        </w:rPr>
        <w:t>,</w:t>
      </w:r>
      <w:r>
        <w:rPr>
          <w:rFonts w:ascii="Calibri" w:hAnsi="Calibri"/>
          <w:w w:val="105"/>
          <w:vertAlign w:val="baseline"/>
        </w:rPr>
        <w:t>087</w:t>
      </w:r>
      <w:r>
        <w:rPr>
          <w:w w:val="105"/>
          <w:vertAlign w:val="baseline"/>
        </w:rPr>
        <w:t>,</w:t>
      </w:r>
      <w:r>
        <w:rPr>
          <w:spacing w:val="-16"/>
          <w:w w:val="105"/>
          <w:vertAlign w:val="baseline"/>
        </w:rPr>
        <w:t> </w:t>
      </w:r>
      <w:r>
        <w:rPr>
          <w:w w:val="105"/>
          <w:vertAlign w:val="baseline"/>
        </w:rPr>
        <w:t>so</w:t>
      </w:r>
      <w:r>
        <w:rPr>
          <w:spacing w:val="-16"/>
          <w:w w:val="105"/>
          <w:vertAlign w:val="baseline"/>
        </w:rPr>
        <w:t> </w:t>
      </w:r>
      <w:r>
        <w:rPr>
          <w:w w:val="105"/>
          <w:vertAlign w:val="baseline"/>
        </w:rPr>
        <w:t>even</w:t>
      </w:r>
      <w:r>
        <w:rPr>
          <w:spacing w:val="-14"/>
          <w:w w:val="105"/>
          <w:vertAlign w:val="baseline"/>
        </w:rPr>
        <w:t> </w:t>
      </w:r>
      <w:r>
        <w:rPr>
          <w:w w:val="105"/>
          <w:vertAlign w:val="baseline"/>
        </w:rPr>
        <w:t>at</w:t>
      </w:r>
      <w:r>
        <w:rPr>
          <w:spacing w:val="-14"/>
          <w:w w:val="105"/>
          <w:vertAlign w:val="baseline"/>
        </w:rPr>
        <w:t> </w:t>
      </w:r>
      <w:r>
        <w:rPr>
          <w:w w:val="105"/>
          <w:vertAlign w:val="baseline"/>
        </w:rPr>
        <w:t>identical</w:t>
      </w:r>
      <w:r>
        <w:rPr>
          <w:spacing w:val="-14"/>
          <w:w w:val="105"/>
          <w:vertAlign w:val="baseline"/>
        </w:rPr>
        <w:t> </w:t>
      </w:r>
      <w:r>
        <w:rPr>
          <w:rFonts w:ascii="Calibri" w:hAnsi="Calibri"/>
          <w:i/>
          <w:w w:val="140"/>
          <w:vertAlign w:val="baseline"/>
        </w:rPr>
        <w:t>I</w:t>
      </w:r>
      <w:r>
        <w:rPr>
          <w:rFonts w:ascii="Calibri" w:hAnsi="Calibri"/>
          <w:i/>
          <w:spacing w:val="-15"/>
          <w:w w:val="140"/>
          <w:vertAlign w:val="baseline"/>
        </w:rPr>
        <w:t> </w:t>
      </w:r>
      <w:r>
        <w:rPr>
          <w:w w:val="105"/>
          <w:vertAlign w:val="baseline"/>
        </w:rPr>
        <w:t>the</w:t>
      </w:r>
      <w:r>
        <w:rPr>
          <w:spacing w:val="-14"/>
          <w:w w:val="105"/>
          <w:vertAlign w:val="baseline"/>
        </w:rPr>
        <w:t> </w:t>
      </w:r>
      <w:r>
        <w:rPr>
          <w:w w:val="105"/>
          <w:vertAlign w:val="baseline"/>
        </w:rPr>
        <w:t>transfer</w:t>
      </w:r>
      <w:r>
        <w:rPr>
          <w:spacing w:val="-14"/>
          <w:w w:val="105"/>
          <w:vertAlign w:val="baseline"/>
        </w:rPr>
        <w:t> </w:t>
      </w:r>
      <w:r>
        <w:rPr>
          <w:w w:val="105"/>
          <w:vertAlign w:val="baseline"/>
        </w:rPr>
        <w:t>method</w:t>
      </w:r>
      <w:r>
        <w:rPr>
          <w:spacing w:val="-13"/>
          <w:w w:val="105"/>
          <w:vertAlign w:val="baseline"/>
        </w:rPr>
        <w:t> </w:t>
      </w:r>
      <w:r>
        <w:rPr>
          <w:w w:val="105"/>
          <w:vertAlign w:val="baseline"/>
        </w:rPr>
        <w:t>would</w:t>
      </w:r>
      <w:r>
        <w:rPr>
          <w:spacing w:val="-14"/>
          <w:w w:val="105"/>
          <w:vertAlign w:val="baseline"/>
        </w:rPr>
        <w:t> </w:t>
      </w:r>
      <w:r>
        <w:rPr>
          <w:w w:val="105"/>
          <w:vertAlign w:val="baseline"/>
        </w:rPr>
        <w:t>be</w:t>
      </w:r>
      <w:r>
        <w:rPr>
          <w:spacing w:val="-13"/>
          <w:w w:val="105"/>
          <w:vertAlign w:val="baseline"/>
        </w:rPr>
        <w:t> </w:t>
      </w:r>
      <w:r>
        <w:rPr>
          <w:w w:val="105"/>
          <w:vertAlign w:val="baseline"/>
        </w:rPr>
        <w:t>roughly</w:t>
      </w:r>
      <w:r>
        <w:rPr>
          <w:spacing w:val="-14"/>
          <w:w w:val="105"/>
          <w:vertAlign w:val="baseline"/>
        </w:rPr>
        <w:t> </w:t>
      </w:r>
      <w:r>
        <w:rPr>
          <w:rFonts w:ascii="Calibri" w:hAnsi="Calibri"/>
          <w:w w:val="105"/>
          <w:vertAlign w:val="baseline"/>
        </w:rPr>
        <w:t>9</w:t>
      </w:r>
      <w:r>
        <w:rPr>
          <w:rFonts w:ascii="Calibri" w:hAnsi="Calibri"/>
          <w:i/>
          <w:w w:val="105"/>
          <w:vertAlign w:val="baseline"/>
        </w:rPr>
        <w:t>.</w:t>
      </w:r>
      <w:r>
        <w:rPr>
          <w:rFonts w:ascii="Calibri" w:hAnsi="Calibri"/>
          <w:w w:val="105"/>
          <w:vertAlign w:val="baseline"/>
        </w:rPr>
        <w:t>3</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more</w:t>
      </w:r>
      <w:r>
        <w:rPr>
          <w:spacing w:val="-14"/>
          <w:w w:val="105"/>
          <w:vertAlign w:val="baseline"/>
        </w:rPr>
        <w:t> </w:t>
      </w:r>
      <w:r>
        <w:rPr>
          <w:w w:val="105"/>
          <w:vertAlign w:val="baseline"/>
        </w:rPr>
        <w:t>expensive</w:t>
      </w:r>
      <w:r>
        <w:rPr>
          <w:spacing w:val="-14"/>
          <w:w w:val="105"/>
          <w:vertAlign w:val="baseline"/>
        </w:rPr>
        <w:t> </w:t>
      </w:r>
      <w:r>
        <w:rPr>
          <w:w w:val="105"/>
          <w:vertAlign w:val="baseline"/>
        </w:rPr>
        <w:t>per </w:t>
      </w:r>
      <w:r>
        <w:rPr>
          <w:vertAlign w:val="baseline"/>
        </w:rPr>
        <w:t>iteration.</w:t>
      </w:r>
      <w:r>
        <w:rPr>
          <w:spacing w:val="16"/>
          <w:vertAlign w:val="baseline"/>
        </w:rPr>
        <w:t> </w:t>
      </w:r>
      <w:r>
        <w:rPr>
          <w:vertAlign w:val="baseline"/>
        </w:rPr>
        <w:t>Observed</w:t>
      </w:r>
      <w:r>
        <w:rPr>
          <w:spacing w:val="-12"/>
          <w:vertAlign w:val="baseline"/>
        </w:rPr>
        <w:t> </w:t>
      </w:r>
      <w:r>
        <w:rPr>
          <w:vertAlign w:val="baseline"/>
        </w:rPr>
        <w:t>iteration</w:t>
      </w:r>
      <w:r>
        <w:rPr>
          <w:spacing w:val="-13"/>
          <w:vertAlign w:val="baseline"/>
        </w:rPr>
        <w:t> </w:t>
      </w:r>
      <w:r>
        <w:rPr>
          <w:vertAlign w:val="baseline"/>
        </w:rPr>
        <w:t>counts</w:t>
      </w:r>
      <w:r>
        <w:rPr>
          <w:spacing w:val="-12"/>
          <w:vertAlign w:val="baseline"/>
        </w:rPr>
        <w:t> </w:t>
      </w:r>
      <w:r>
        <w:rPr>
          <w:vertAlign w:val="baseline"/>
        </w:rPr>
        <w:t>(</w:t>
      </w:r>
      <w:r>
        <w:rPr>
          <w:rFonts w:ascii="Calibri" w:hAnsi="Calibri"/>
          <w:i/>
          <w:vertAlign w:val="baseline"/>
        </w:rPr>
        <w:t>I</w:t>
      </w:r>
      <w:r>
        <w:rPr>
          <w:vertAlign w:val="subscript"/>
        </w:rPr>
        <w:t>ER</w:t>
      </w:r>
      <w:r>
        <w:rPr>
          <w:spacing w:val="17"/>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Calibri" w:hAnsi="Calibri"/>
          <w:vertAlign w:val="baseline"/>
        </w:rPr>
        <w:t>37</w:t>
      </w:r>
      <w:r>
        <w:rPr>
          <w:vertAlign w:val="baseline"/>
        </w:rPr>
        <w:t>,</w:t>
      </w:r>
      <w:r>
        <w:rPr>
          <w:spacing w:val="-9"/>
          <w:vertAlign w:val="baseline"/>
        </w:rPr>
        <w:t> </w:t>
      </w:r>
      <w:r>
        <w:rPr>
          <w:rFonts w:ascii="Calibri" w:hAnsi="Calibri"/>
          <w:i/>
          <w:vertAlign w:val="baseline"/>
        </w:rPr>
        <w:t>I</w:t>
      </w:r>
      <w:r>
        <w:rPr>
          <w:vertAlign w:val="subscript"/>
        </w:rPr>
        <w:t>AWP</w:t>
      </w:r>
      <w:r>
        <w:rPr>
          <w:spacing w:val="17"/>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Calibri" w:hAnsi="Calibri"/>
          <w:vertAlign w:val="baseline"/>
        </w:rPr>
        <w:t>100</w:t>
      </w:r>
      <w:r>
        <w:rPr>
          <w:vertAlign w:val="baseline"/>
        </w:rPr>
        <w:t>)</w:t>
      </w:r>
      <w:r>
        <w:rPr>
          <w:spacing w:val="-12"/>
          <w:vertAlign w:val="baseline"/>
        </w:rPr>
        <w:t> </w:t>
      </w:r>
      <w:r>
        <w:rPr>
          <w:vertAlign w:val="baseline"/>
        </w:rPr>
        <w:t>widen</w:t>
      </w:r>
      <w:r>
        <w:rPr>
          <w:spacing w:val="-13"/>
          <w:vertAlign w:val="baseline"/>
        </w:rPr>
        <w:t> </w:t>
      </w:r>
      <w:r>
        <w:rPr>
          <w:vertAlign w:val="baseline"/>
        </w:rPr>
        <w:t>the</w:t>
      </w:r>
      <w:r>
        <w:rPr>
          <w:spacing w:val="-12"/>
          <w:vertAlign w:val="baseline"/>
        </w:rPr>
        <w:t> </w:t>
      </w:r>
      <w:r>
        <w:rPr>
          <w:vertAlign w:val="baseline"/>
        </w:rPr>
        <w:t>gap,</w:t>
      </w:r>
      <w:r>
        <w:rPr>
          <w:spacing w:val="-10"/>
          <w:vertAlign w:val="baseline"/>
        </w:rPr>
        <w:t> </w:t>
      </w:r>
      <w:r>
        <w:rPr>
          <w:vertAlign w:val="baseline"/>
        </w:rPr>
        <w:t>matching</w:t>
      </w:r>
      <w:r>
        <w:rPr>
          <w:spacing w:val="-12"/>
          <w:vertAlign w:val="baseline"/>
        </w:rPr>
        <w:t> </w:t>
      </w:r>
      <w:r>
        <w:rPr>
          <w:vertAlign w:val="baseline"/>
        </w:rPr>
        <w:t>the</w:t>
      </w:r>
      <w:r>
        <w:rPr>
          <w:spacing w:val="-13"/>
          <w:vertAlign w:val="baseline"/>
        </w:rPr>
        <w:t> </w:t>
      </w:r>
      <w:r>
        <w:rPr>
          <w:vertAlign w:val="baseline"/>
        </w:rPr>
        <w:t>measured </w:t>
      </w:r>
      <w:bookmarkStart w:name="Properties of Spearman's rho" w:id="369"/>
      <w:bookmarkEnd w:id="369"/>
      <w:r>
        <w:rPr>
          <w:w w:val="99"/>
          <w:vertAlign w:val="baseline"/>
        </w:rPr>
      </w:r>
      <w:bookmarkStart w:name="_bookmark223" w:id="370"/>
      <w:bookmarkEnd w:id="370"/>
      <w:r>
        <w:rPr>
          <w:w w:val="105"/>
          <w:vertAlign w:val="baseline"/>
        </w:rPr>
        <w:t>wall</w:t>
      </w:r>
      <w:r>
        <w:rPr>
          <w:w w:val="105"/>
          <w:vertAlign w:val="baseline"/>
        </w:rPr>
        <w:t>-time</w:t>
      </w:r>
      <w:r>
        <w:rPr>
          <w:spacing w:val="-16"/>
          <w:w w:val="105"/>
          <w:vertAlign w:val="baseline"/>
        </w:rPr>
        <w:t> </w:t>
      </w:r>
      <w:r>
        <w:rPr>
          <w:w w:val="105"/>
          <w:vertAlign w:val="baseline"/>
        </w:rPr>
        <w:t>ratio</w:t>
      </w:r>
      <w:r>
        <w:rPr>
          <w:spacing w:val="-16"/>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rFonts w:ascii="Calibri" w:hAnsi="Calibri"/>
          <w:w w:val="105"/>
          <w:vertAlign w:val="baseline"/>
        </w:rPr>
        <w:t>8</w:t>
      </w:r>
      <w:r>
        <w:rPr>
          <w:rFonts w:ascii="Calibri" w:hAnsi="Calibri"/>
          <w:i/>
          <w:w w:val="105"/>
          <w:vertAlign w:val="baseline"/>
        </w:rPr>
        <w:t>.</w:t>
      </w:r>
      <w:r>
        <w:rPr>
          <w:rFonts w:ascii="Calibri" w:hAnsi="Calibri"/>
          <w:w w:val="105"/>
          <w:vertAlign w:val="baseline"/>
        </w:rPr>
        <w:t>9</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(Table</w:t>
      </w:r>
      <w:r>
        <w:rPr>
          <w:spacing w:val="-11"/>
          <w:w w:val="105"/>
          <w:vertAlign w:val="baseline"/>
        </w:rPr>
        <w:t> </w:t>
      </w:r>
      <w:hyperlink w:history="true" w:anchor="_bookmark91">
        <w:r>
          <w:rPr>
            <w:w w:val="105"/>
            <w:vertAlign w:val="baseline"/>
          </w:rPr>
          <w:t>4.2</w:t>
        </w:r>
      </w:hyperlink>
      <w:r>
        <w:rPr>
          <w:w w:val="105"/>
          <w:vertAlign w:val="baseline"/>
        </w:rPr>
        <w:t>).</w:t>
      </w:r>
    </w:p>
    <w:p>
      <w:pPr>
        <w:pStyle w:val="BodyText"/>
        <w:spacing w:line="456" w:lineRule="exact" w:before="181"/>
        <w:ind w:left="270" w:right="560" w:firstLine="3"/>
        <w:jc w:val="both"/>
      </w:pPr>
      <w:r>
        <w:rPr>
          <w:i/>
        </w:rPr>
        <w:t>희소 행렬-벡터 곱 P ⊤x는 m개의 0이 아닌 모서리에 대해 O(m)개의 산술 연산 비용을 발생시킵니다. 따라서 전력 반복은 I 반복에 대해 O(mI)의 비용이 듭니다. 일치하는 코호트에서 mER = 14,727 및 mAWP = 137,087이므로 동일하더라도 전송 방법은 반복당 약 9.3배 더 비쌉니다. 관찰된 반복 횟수(IER AWP ⟧ 100)는 간격을 넓혀 측정된 벽 시간 비율 ≒ 8.9×(표 4.2)와 일치합니다.</w:t>
      </w:r>
    </w:p>
    <w:p>
      <w:pPr>
        <w:pStyle w:val="BodyText"/>
        <w:spacing w:before="141"/>
      </w:pPr>
    </w:p>
    <w:p>
      <w:pPr>
        <w:pStyle w:val="Heading4"/>
        <w:numPr>
          <w:ilvl w:val="2"/>
          <w:numId w:val="8"/>
        </w:numPr>
        <w:tabs>
          <w:tab w:pos="879" w:val="left" w:leader="none"/>
        </w:tabs>
        <w:spacing w:line="240" w:lineRule="auto" w:before="1" w:after="0"/>
        <w:ind w:left="879" w:right="0" w:hanging="597"/>
        <w:jc w:val="both"/>
      </w:pPr>
      <w:r>
        <w:rPr>
          <w:spacing w:val="-2"/>
        </w:rPr>
        <w:t>Properties of Spearman’s</w:t>
      </w:r>
      <w:r>
        <w:rPr>
          <w:spacing w:val="-1"/>
        </w:rPr>
        <w:t> </w:t>
      </w:r>
      <w:r>
        <w:rPr>
          <w:rFonts w:ascii="Calibri" w:hAnsi="Calibri"/>
          <w:b w:val="0"/>
          <w:i/>
          <w:spacing w:val="-10"/>
        </w:rPr>
        <w:t>ρ</w:t>
      </w:r>
    </w:p>
    <w:p>
      <w:pPr>
        <w:pStyle w:val="Heading4"/>
        <w:numPr>
          <w:ilvl w:val="2"/>
          <w:numId w:val="8"/>
        </w:numPr>
        <w:tabs>
          <w:tab w:pos="879" w:val="left" w:leader="none"/>
        </w:tabs>
        <w:spacing w:line="240" w:lineRule="auto" w:before="1" w:after="0"/>
        <w:ind w:left="879" w:right="0" w:hanging="597"/>
        <w:jc w:val="both"/>
      </w:pPr>
      <w:r>
        <w:rPr>
          <w:i/>
        </w:rPr>
        <w:t>Spearman의 ρ 속성</w:t>
      </w:r>
    </w:p>
    <w:p>
      <w:pPr>
        <w:pStyle w:val="BodyText"/>
        <w:spacing w:line="456" w:lineRule="exact" w:before="169"/>
        <w:ind w:left="282" w:right="524"/>
        <w:jc w:val="both"/>
      </w:pPr>
      <w:r>
        <w:rPr/>
        <w:t>Spearman’s </w:t>
      </w:r>
      <w:r>
        <w:rPr>
          <w:rFonts w:ascii="Calibri" w:hAnsi="Calibri"/>
          <w:i/>
        </w:rPr>
        <w:t>ρ </w:t>
      </w:r>
      <w:r>
        <w:rPr/>
        <w:t>is Pearson’s correlation applied to ranks.</w:t>
      </w:r>
      <w:r>
        <w:rPr>
          <w:spacing w:val="40"/>
        </w:rPr>
        <w:t> </w:t>
      </w:r>
      <w:r>
        <w:rPr/>
        <w:t>It is invariant to strictly increasing trans-formations</w:t>
      </w:r>
      <w:r>
        <w:rPr>
          <w:spacing w:val="-13"/>
        </w:rPr>
        <w:t> </w:t>
      </w:r>
      <w:r>
        <w:rPr/>
        <w:t>of</w:t>
      </w:r>
      <w:r>
        <w:rPr>
          <w:spacing w:val="-9"/>
        </w:rPr>
        <w:t> </w:t>
      </w:r>
      <w:r>
        <w:rPr/>
        <w:t>either</w:t>
      </w:r>
      <w:r>
        <w:rPr>
          <w:spacing w:val="-9"/>
        </w:rPr>
        <w:t> </w:t>
      </w:r>
      <w:r>
        <w:rPr/>
        <w:t>variable</w:t>
      </w:r>
      <w:r>
        <w:rPr>
          <w:spacing w:val="-9"/>
        </w:rPr>
        <w:t> </w:t>
      </w:r>
      <w:r>
        <w:rPr/>
        <w:t>and</w:t>
      </w:r>
      <w:r>
        <w:rPr>
          <w:spacing w:val="-9"/>
        </w:rPr>
        <w:t> </w:t>
      </w:r>
      <w:r>
        <w:rPr/>
        <w:t>lies</w:t>
      </w:r>
      <w:r>
        <w:rPr>
          <w:spacing w:val="-9"/>
        </w:rPr>
        <w:t> </w:t>
      </w:r>
      <w:r>
        <w:rPr/>
        <w:t>in</w:t>
      </w:r>
      <w:r>
        <w:rPr>
          <w:spacing w:val="-9"/>
        </w:rPr>
        <w:t> </w:t>
      </w:r>
      <w:r>
        <w:rPr>
          <w:rFonts w:ascii="Calibri" w:hAnsi="Calibri"/>
        </w:rPr>
        <w:t>[</w:t>
      </w:r>
      <w:r>
        <w:rPr>
          <w:rFonts w:ascii="Lucida Sans Unicode" w:hAnsi="Lucida Sans Unicode"/>
        </w:rPr>
        <w:t>—</w:t>
      </w:r>
      <w:r>
        <w:rPr>
          <w:rFonts w:ascii="Calibri" w:hAnsi="Calibri"/>
        </w:rPr>
        <w:t>1</w:t>
      </w:r>
      <w:r>
        <w:rPr>
          <w:rFonts w:ascii="Calibri" w:hAnsi="Calibri"/>
          <w:i/>
        </w:rPr>
        <w:t>,</w:t>
      </w:r>
      <w:r>
        <w:rPr>
          <w:rFonts w:ascii="Calibri" w:hAnsi="Calibri"/>
          <w:i/>
          <w:spacing w:val="-14"/>
        </w:rPr>
        <w:t> </w:t>
      </w:r>
      <w:r>
        <w:rPr>
          <w:rFonts w:ascii="Calibri" w:hAnsi="Calibri"/>
        </w:rPr>
        <w:t>1]</w:t>
      </w:r>
      <w:r>
        <w:rPr/>
        <w:t>.</w:t>
      </w:r>
      <w:r>
        <w:rPr>
          <w:spacing w:val="13"/>
        </w:rPr>
        <w:t> </w:t>
      </w:r>
      <w:r>
        <w:rPr/>
        <w:t>Perfect</w:t>
      </w:r>
      <w:r>
        <w:rPr>
          <w:spacing w:val="-9"/>
        </w:rPr>
        <w:t> </w:t>
      </w:r>
      <w:r>
        <w:rPr/>
        <w:t>monotone</w:t>
      </w:r>
      <w:r>
        <w:rPr>
          <w:spacing w:val="-9"/>
        </w:rPr>
        <w:t> </w:t>
      </w:r>
      <w:r>
        <w:rPr/>
        <w:t>agreement</w:t>
      </w:r>
      <w:r>
        <w:rPr>
          <w:spacing w:val="-9"/>
        </w:rPr>
        <w:t> </w:t>
      </w:r>
      <w:r>
        <w:rPr/>
        <w:t>yields</w:t>
      </w:r>
      <w:r>
        <w:rPr>
          <w:spacing w:val="-10"/>
        </w:rPr>
        <w:t> </w:t>
      </w:r>
      <w:r>
        <w:rPr>
          <w:rFonts w:ascii="Calibri" w:hAnsi="Calibri"/>
          <w:i/>
        </w:rPr>
        <w:t>ρ </w:t>
      </w:r>
      <w:r>
        <w:rPr>
          <w:rFonts w:ascii="Calibri" w:hAnsi="Calibri"/>
          <w:w w:val="125"/>
        </w:rPr>
        <w:t>=</w:t>
      </w:r>
      <w:r>
        <w:rPr>
          <w:rFonts w:ascii="Calibri" w:hAnsi="Calibri"/>
          <w:spacing w:val="-7"/>
          <w:w w:val="125"/>
        </w:rPr>
        <w:t> </w:t>
      </w:r>
      <w:r>
        <w:rPr>
          <w:rFonts w:ascii="Calibri" w:hAnsi="Calibri"/>
        </w:rPr>
        <w:t>1</w:t>
      </w:r>
      <w:r>
        <w:rPr/>
        <w:t>;</w:t>
      </w:r>
      <w:r>
        <w:rPr>
          <w:spacing w:val="-8"/>
        </w:rPr>
        <w:t> </w:t>
      </w:r>
      <w:r>
        <w:rPr/>
        <w:t>perfect reverse</w:t>
      </w:r>
      <w:r>
        <w:rPr>
          <w:spacing w:val="-6"/>
        </w:rPr>
        <w:t> </w:t>
      </w:r>
      <w:r>
        <w:rPr/>
        <w:t>agreement</w:t>
      </w:r>
      <w:r>
        <w:rPr>
          <w:spacing w:val="-6"/>
        </w:rPr>
        <w:t> </w:t>
      </w:r>
      <w:r>
        <w:rPr/>
        <w:t>yields</w:t>
      </w:r>
      <w:r>
        <w:rPr>
          <w:spacing w:val="-6"/>
        </w:rPr>
        <w:t> </w:t>
      </w:r>
      <w:r>
        <w:rPr>
          <w:rFonts w:ascii="Calibri" w:hAnsi="Calibri"/>
          <w:i/>
        </w:rPr>
        <w:t>ρ </w:t>
      </w:r>
      <w:r>
        <w:rPr>
          <w:rFonts w:ascii="Calibri" w:hAnsi="Calibri"/>
          <w:w w:val="125"/>
        </w:rPr>
        <w:t>=</w:t>
      </w:r>
      <w:r>
        <w:rPr>
          <w:rFonts w:ascii="Calibri" w:hAnsi="Calibri"/>
          <w:spacing w:val="-6"/>
          <w:w w:val="125"/>
        </w:rPr>
        <w:t> </w:t>
      </w:r>
      <w:r>
        <w:rPr>
          <w:rFonts w:ascii="Lucida Sans Unicode" w:hAnsi="Lucida Sans Unicode"/>
        </w:rPr>
        <w:t>—</w:t>
      </w:r>
      <w:r>
        <w:rPr>
          <w:rFonts w:ascii="Calibri" w:hAnsi="Calibri"/>
        </w:rPr>
        <w:t>1</w:t>
      </w:r>
      <w:r>
        <w:rPr/>
        <w:t>. Ties</w:t>
      </w:r>
      <w:r>
        <w:rPr>
          <w:spacing w:val="-6"/>
        </w:rPr>
        <w:t> </w:t>
      </w:r>
      <w:r>
        <w:rPr/>
        <w:t>require</w:t>
      </w:r>
      <w:r>
        <w:rPr>
          <w:spacing w:val="-6"/>
        </w:rPr>
        <w:t> </w:t>
      </w:r>
      <w:r>
        <w:rPr/>
        <w:t>mid-rank</w:t>
      </w:r>
      <w:r>
        <w:rPr>
          <w:spacing w:val="-6"/>
        </w:rPr>
        <w:t> </w:t>
      </w:r>
      <w:r>
        <w:rPr/>
        <w:t>adjustments;</w:t>
      </w:r>
      <w:r>
        <w:rPr>
          <w:spacing w:val="-5"/>
        </w:rPr>
        <w:t> </w:t>
      </w:r>
      <w:r>
        <w:rPr/>
        <w:t>the</w:t>
      </w:r>
      <w:r>
        <w:rPr>
          <w:spacing w:val="-6"/>
        </w:rPr>
        <w:t> </w:t>
      </w:r>
      <w:r>
        <w:rPr/>
        <w:t>evaluation</w:t>
      </w:r>
      <w:r>
        <w:rPr>
          <w:spacing w:val="-6"/>
        </w:rPr>
        <w:t> </w:t>
      </w:r>
      <w:r>
        <w:rPr/>
        <w:t>pipeline</w:t>
      </w:r>
      <w:r>
        <w:rPr>
          <w:spacing w:val="-6"/>
        </w:rPr>
        <w:t> </w:t>
      </w:r>
      <w:r>
        <w:rPr/>
        <w:t>uses standard tie-aware implementations.</w:t>
      </w:r>
      <w:r>
        <w:rPr>
          <w:spacing w:val="40"/>
        </w:rPr>
        <w:t> </w:t>
      </w:r>
      <w:r>
        <w:rPr/>
        <w:t>Because reputation scores and proxies are continuous and heavy-tailed, rank-based association is more appropriate than Pearson correlation on raw values</w:t>
      </w:r>
    </w:p>
    <w:p>
      <w:pPr>
        <w:pStyle w:val="BodyText"/>
        <w:spacing w:line="456" w:lineRule="exact" w:before="169"/>
        <w:ind w:left="282" w:right="524"/>
        <w:jc w:val="both"/>
      </w:pPr>
      <w:r>
        <w:rPr>
          <w:i/>
        </w:rPr>
        <w:t>Spearman의 ρ는 순위에 적용된 Pearson 상관관계입니다. 이는 두 변수 모두의 변환을 엄격하게 증가시키는 데 불변하며 [-1, 1]에 있습니다. 완벽한 단조 일치는 ρ = 1을 생성하고, 완벽한 역합치에서는 ρ = -1을 생성합니다. 동점에는 중간 순위 조정이 필요하며 평가 파이프라인은 표준 동점 인식 구현을 사용합니다. 평판 점수와 프록시는 연속적이고 두꺼운 꼬리를 가지기 때문에 순위 기반 연관이 원시 값에 대한 Pearson 상관 관계보다 더 적합합니다.</w:t>
      </w:r>
    </w:p>
    <w:p>
      <w:pPr>
        <w:spacing w:before="131"/>
        <w:ind w:left="282" w:right="0" w:firstLine="0"/>
        <w:jc w:val="left"/>
        <w:rPr>
          <w:position w:val="-8"/>
          <w:sz w:val="24"/>
        </w:rPr>
      </w:pPr>
      <w:hyperlink w:history="true" w:anchor="_bookmark149">
        <w:r>
          <w:rPr>
            <w:spacing w:val="-2"/>
            <w:sz w:val="16"/>
          </w:rPr>
          <w:t>[16]</w:t>
        </w:r>
        <w:bookmarkStart w:name="Properties of Kendall's tau" w:id="371"/>
        <w:bookmarkEnd w:id="371"/>
        <w:r>
          <w:rPr>
            <w:spacing w:val="9"/>
            <w:sz w:val="16"/>
          </w:rPr>
        </w:r>
        <w:bookmarkStart w:name="_bookmark224" w:id="372"/>
        <w:bookmarkEnd w:id="372"/>
        <w:r>
          <w:rPr>
            <w:spacing w:val="9"/>
            <w:sz w:val="16"/>
          </w:rPr>
        </w:r>
      </w:hyperlink>
      <w:r>
        <w:rPr>
          <w:spacing w:val="-2"/>
          <w:position w:val="-8"/>
          <w:sz w:val="24"/>
        </w:rPr>
        <w:t>.</w:t>
      </w:r>
    </w:p>
    <w:p>
      <w:pPr>
        <w:pStyle w:val="BodyText"/>
        <w:rPr>
          <w:sz w:val="16"/>
        </w:rPr>
      </w:pPr>
    </w:p>
    <w:p>
      <w:pPr>
        <w:pStyle w:val="BodyText"/>
        <w:spacing w:before="83"/>
        <w:rPr>
          <w:sz w:val="16"/>
        </w:rPr>
      </w:pPr>
    </w:p>
    <w:p>
      <w:pPr>
        <w:pStyle w:val="Heading4"/>
        <w:numPr>
          <w:ilvl w:val="2"/>
          <w:numId w:val="8"/>
        </w:numPr>
        <w:tabs>
          <w:tab w:pos="879" w:val="left" w:leader="none"/>
        </w:tabs>
        <w:spacing w:line="240" w:lineRule="auto" w:before="0" w:after="0"/>
        <w:ind w:left="879" w:right="0" w:hanging="597"/>
        <w:jc w:val="both"/>
      </w:pPr>
      <w:r>
        <w:rPr>
          <w:spacing w:val="-2"/>
        </w:rPr>
        <w:t>Properties of Kendall’s</w:t>
      </w:r>
      <w:r>
        <w:rPr>
          <w:spacing w:val="-1"/>
        </w:rPr>
        <w:t> </w:t>
      </w:r>
      <w:r>
        <w:rPr>
          <w:rFonts w:ascii="Calibri" w:hAnsi="Calibri"/>
          <w:b w:val="0"/>
          <w:i/>
          <w:spacing w:val="-10"/>
        </w:rPr>
        <w:t>τ</w:t>
      </w:r>
    </w:p>
    <w:p>
      <w:pPr>
        <w:pStyle w:val="Heading4"/>
        <w:numPr>
          <w:ilvl w:val="2"/>
          <w:numId w:val="8"/>
        </w:numPr>
        <w:tabs>
          <w:tab w:pos="879" w:val="left" w:leader="none"/>
        </w:tabs>
        <w:spacing w:line="240" w:lineRule="auto" w:before="0" w:after="0"/>
        <w:ind w:left="879" w:right="0" w:hanging="597"/>
        <w:jc w:val="both"/>
      </w:pPr>
      <w:r>
        <w:rPr>
          <w:i/>
        </w:rPr>
        <w:t>Kendall의 τ 속성</w:t>
      </w:r>
    </w:p>
    <w:p>
      <w:pPr>
        <w:pStyle w:val="BodyText"/>
        <w:spacing w:before="13"/>
        <w:rPr>
          <w:rFonts w:ascii="Calibri"/>
          <w:i/>
        </w:rPr>
      </w:pPr>
    </w:p>
    <w:p>
      <w:pPr>
        <w:pStyle w:val="BodyText"/>
        <w:spacing w:line="376" w:lineRule="auto"/>
        <w:ind w:left="282" w:right="523"/>
        <w:jc w:val="both"/>
      </w:pPr>
      <w:r>
        <w:rPr/>
        <w:t>Kendall’s </w:t>
      </w:r>
      <w:r>
        <w:rPr>
          <w:rFonts w:ascii="Calibri" w:hAnsi="Calibri"/>
          <w:i/>
        </w:rPr>
        <w:t>τ</w:t>
      </w:r>
      <w:r>
        <w:rPr>
          <w:rFonts w:ascii="Calibri" w:hAnsi="Calibri"/>
          <w:i/>
          <w:spacing w:val="37"/>
        </w:rPr>
        <w:t> </w:t>
      </w:r>
      <w:r>
        <w:rPr/>
        <w:t>equals the normalized difference between concordant and discordant pairwise order-ings.</w:t>
      </w:r>
      <w:r>
        <w:rPr>
          <w:spacing w:val="40"/>
        </w:rPr>
        <w:t> </w:t>
      </w:r>
      <w:r>
        <w:rPr/>
        <w:t>It admits a probabilistic reading: for two random distinct wallets, </w:t>
      </w:r>
      <w:r>
        <w:rPr>
          <w:rFonts w:ascii="Calibri" w:hAnsi="Calibri"/>
          <w:i/>
        </w:rPr>
        <w:t>τ</w:t>
      </w:r>
      <w:r>
        <w:rPr>
          <w:rFonts w:ascii="Calibri" w:hAnsi="Calibri"/>
          <w:i/>
          <w:spacing w:val="40"/>
        </w:rPr>
        <w:t> </w:t>
      </w:r>
      <w:r>
        <w:rPr/>
        <w:t>is the probability their </w:t>
      </w:r>
      <w:r>
        <w:rPr>
          <w:spacing w:val="-2"/>
        </w:rPr>
        <w:t>relative</w:t>
      </w:r>
      <w:r>
        <w:rPr>
          <w:spacing w:val="-10"/>
        </w:rPr>
        <w:t> </w:t>
      </w:r>
      <w:r>
        <w:rPr>
          <w:spacing w:val="-2"/>
        </w:rPr>
        <w:t>order</w:t>
      </w:r>
      <w:r>
        <w:rPr>
          <w:spacing w:val="-9"/>
        </w:rPr>
        <w:t> </w:t>
      </w:r>
      <w:r>
        <w:rPr>
          <w:spacing w:val="-2"/>
        </w:rPr>
        <w:t>agrees</w:t>
      </w:r>
      <w:r>
        <w:rPr>
          <w:spacing w:val="-9"/>
        </w:rPr>
        <w:t> </w:t>
      </w:r>
      <w:r>
        <w:rPr>
          <w:spacing w:val="-2"/>
        </w:rPr>
        <w:t>under</w:t>
      </w:r>
      <w:r>
        <w:rPr>
          <w:spacing w:val="-9"/>
        </w:rPr>
        <w:t> </w:t>
      </w:r>
      <w:r>
        <w:rPr>
          <w:spacing w:val="-2"/>
        </w:rPr>
        <w:t>both</w:t>
      </w:r>
      <w:r>
        <w:rPr>
          <w:spacing w:val="-10"/>
        </w:rPr>
        <w:t> </w:t>
      </w:r>
      <w:r>
        <w:rPr>
          <w:spacing w:val="-2"/>
        </w:rPr>
        <w:t>rankings,</w:t>
      </w:r>
      <w:r>
        <w:rPr>
          <w:spacing w:val="-5"/>
        </w:rPr>
        <w:t> </w:t>
      </w:r>
      <w:r>
        <w:rPr>
          <w:spacing w:val="-2"/>
        </w:rPr>
        <w:t>minus</w:t>
      </w:r>
      <w:r>
        <w:rPr>
          <w:spacing w:val="-10"/>
        </w:rPr>
        <w:t> </w:t>
      </w:r>
      <w:r>
        <w:rPr>
          <w:spacing w:val="-2"/>
        </w:rPr>
        <w:t>the</w:t>
      </w:r>
      <w:r>
        <w:rPr>
          <w:spacing w:val="-9"/>
        </w:rPr>
        <w:t> </w:t>
      </w:r>
      <w:r>
        <w:rPr>
          <w:spacing w:val="-2"/>
        </w:rPr>
        <w:t>probability</w:t>
      </w:r>
      <w:r>
        <w:rPr>
          <w:spacing w:val="-9"/>
        </w:rPr>
        <w:t> </w:t>
      </w:r>
      <w:r>
        <w:rPr>
          <w:spacing w:val="-2"/>
        </w:rPr>
        <w:t>it</w:t>
      </w:r>
      <w:r>
        <w:rPr>
          <w:spacing w:val="-9"/>
        </w:rPr>
        <w:t> </w:t>
      </w:r>
      <w:r>
        <w:rPr>
          <w:spacing w:val="-2"/>
        </w:rPr>
        <w:t>disagrees</w:t>
      </w:r>
      <w:r>
        <w:rPr>
          <w:spacing w:val="-10"/>
        </w:rPr>
        <w:t> </w:t>
      </w:r>
      <w:hyperlink w:history="true" w:anchor="_bookmark169">
        <w:r>
          <w:rPr>
            <w:spacing w:val="-2"/>
            <w:vertAlign w:val="superscript"/>
          </w:rPr>
          <w:t>[36]</w:t>
        </w:r>
      </w:hyperlink>
      <w:r>
        <w:rPr>
          <w:spacing w:val="-2"/>
          <w:vertAlign w:val="baseline"/>
        </w:rPr>
        <w:t>.</w:t>
      </w:r>
      <w:r>
        <w:rPr>
          <w:spacing w:val="23"/>
          <w:vertAlign w:val="baseline"/>
        </w:rPr>
        <w:t> </w:t>
      </w:r>
      <w:r>
        <w:rPr>
          <w:spacing w:val="-2"/>
          <w:vertAlign w:val="baseline"/>
        </w:rPr>
        <w:t>This</w:t>
      </w:r>
      <w:r>
        <w:rPr>
          <w:spacing w:val="-9"/>
          <w:vertAlign w:val="baseline"/>
        </w:rPr>
        <w:t> </w:t>
      </w:r>
      <w:r>
        <w:rPr>
          <w:spacing w:val="-2"/>
          <w:vertAlign w:val="baseline"/>
        </w:rPr>
        <w:t>reading</w:t>
      </w:r>
      <w:r>
        <w:rPr>
          <w:spacing w:val="-9"/>
          <w:vertAlign w:val="baseline"/>
        </w:rPr>
        <w:t> </w:t>
      </w:r>
      <w:r>
        <w:rPr>
          <w:spacing w:val="-2"/>
          <w:vertAlign w:val="baseline"/>
        </w:rPr>
        <w:t>is</w:t>
      </w:r>
      <w:r>
        <w:rPr>
          <w:spacing w:val="-9"/>
          <w:vertAlign w:val="baseline"/>
        </w:rPr>
        <w:t> </w:t>
      </w:r>
      <w:r>
        <w:rPr>
          <w:spacing w:val="-4"/>
          <w:vertAlign w:val="baseline"/>
        </w:rPr>
        <w:t>use-</w:t>
      </w:r>
    </w:p>
    <w:p>
      <w:pPr>
        <w:pStyle w:val="BodyText"/>
        <w:spacing w:line="376" w:lineRule="auto"/>
        <w:ind w:left="282" w:right="523"/>
        <w:jc w:val="both"/>
      </w:pPr>
      <w:r>
        <w:rPr>
          <w:i/>
        </w:rPr>
        <w:t>Kendall의 τ는 일치하는 쌍 순서와 일치하지 않는 쌍 순서 사이의 정규화된 차이와 같습니다. 이는 확률론적 판독을 허용합니다. 두 개의 무작위 개별 지갑에 대해 τ는 상대적 순서가 두 순위에서 일치할 확률에서 동의하지 않을 확률을 뺀 값입니다[36]. 이 독서는 다음과 같습니다.</w:t>
      </w:r>
    </w:p>
    <w:p>
      <w:pPr>
        <w:pStyle w:val="BodyText"/>
        <w:spacing w:after="0" w:line="376" w:lineRule="auto"/>
        <w:jc w:val="both"/>
        <w:sectPr>
          <w:pgSz w:w="11910" w:h="16840"/>
          <w:pgMar w:header="0" w:footer="2115" w:top="1920" w:bottom="2300" w:left="992" w:right="708"/>
        </w:sectPr>
      </w:pPr>
    </w:p>
    <w:p>
      <w:pPr>
        <w:pStyle w:val="BodyText"/>
        <w:spacing w:line="376" w:lineRule="auto" w:before="68"/>
        <w:ind w:left="282" w:right="558"/>
        <w:jc w:val="both"/>
      </w:pPr>
      <w:r>
        <w:rPr/>
        <w:t>ful</w:t>
      </w:r>
      <w:r>
        <w:rPr>
          <w:spacing w:val="-1"/>
        </w:rPr>
        <w:t> </w:t>
      </w:r>
      <w:r>
        <w:rPr/>
        <w:t>when communicating</w:t>
      </w:r>
      <w:r>
        <w:rPr>
          <w:spacing w:val="-1"/>
        </w:rPr>
        <w:t> </w:t>
      </w:r>
      <w:r>
        <w:rPr/>
        <w:t>results to practitioners: </w:t>
      </w:r>
      <w:r>
        <w:rPr>
          <w:rFonts w:ascii="Calibri" w:hAnsi="Calibri"/>
          <w:i/>
        </w:rPr>
        <w:t>τ</w:t>
      </w:r>
      <w:r>
        <w:rPr>
          <w:rFonts w:ascii="Calibri" w:hAnsi="Calibri"/>
          <w:i/>
          <w:w w:val="125"/>
        </w:rPr>
        <w:t> </w:t>
      </w:r>
      <w:r>
        <w:rPr>
          <w:rFonts w:ascii="Calibri" w:hAnsi="Calibri"/>
          <w:w w:val="125"/>
        </w:rPr>
        <w:t>= </w:t>
      </w:r>
      <w:r>
        <w:rPr>
          <w:rFonts w:ascii="Calibri" w:hAnsi="Calibri"/>
        </w:rPr>
        <w:t>0</w:t>
      </w:r>
      <w:r>
        <w:rPr>
          <w:rFonts w:ascii="Calibri" w:hAnsi="Calibri"/>
          <w:i/>
        </w:rPr>
        <w:t>.</w:t>
      </w:r>
      <w:r>
        <w:rPr>
          <w:rFonts w:ascii="Calibri" w:hAnsi="Calibri"/>
        </w:rPr>
        <w:t>355 </w:t>
      </w:r>
      <w:r>
        <w:rPr/>
        <w:t>means</w:t>
      </w:r>
      <w:r>
        <w:rPr>
          <w:spacing w:val="-1"/>
        </w:rPr>
        <w:t> </w:t>
      </w:r>
      <w:r>
        <w:rPr/>
        <w:t>a clear but</w:t>
      </w:r>
      <w:r>
        <w:rPr>
          <w:spacing w:val="-1"/>
        </w:rPr>
        <w:t> </w:t>
      </w:r>
      <w:r>
        <w:rPr/>
        <w:t>imperfect tendency for allowance-proxy orderings to agree with EndorseRank orderings.</w:t>
      </w:r>
    </w:p>
    <w:p>
      <w:pPr>
        <w:pStyle w:val="BodyText"/>
        <w:spacing w:line="376" w:lineRule="auto" w:before="68"/>
        <w:ind w:left="282" w:right="558"/>
        <w:jc w:val="both"/>
      </w:pPr>
      <w:r>
        <w:rPr>
          <w:i/>
        </w:rPr>
        <w:t>실무자에게 결과를 전달할 때 유용함: τ = 0.355는 허용 프록시 명령이 EndorseRank 명령에 동의하는 명확하지만 불완전한 경향을 의미합니다.</w:t>
      </w:r>
    </w:p>
    <w:p>
      <w:pPr>
        <w:pStyle w:val="BodyText"/>
        <w:spacing w:line="374" w:lineRule="auto" w:before="33"/>
        <w:ind w:left="282" w:right="563"/>
        <w:jc w:val="both"/>
      </w:pPr>
      <w:r>
        <w:rPr/>
        <w:t>For large </w:t>
      </w:r>
      <w:r>
        <w:rPr>
          <w:rFonts w:ascii="Calibri" w:hAnsi="Calibri"/>
          <w:i/>
        </w:rPr>
        <w:t>n</w:t>
      </w:r>
      <w:r>
        <w:rPr/>
        <w:t>, </w:t>
      </w:r>
      <w:r>
        <w:rPr>
          <w:rFonts w:ascii="Calibri" w:hAnsi="Calibri"/>
          <w:i/>
        </w:rPr>
        <w:t>τ</w:t>
      </w:r>
      <w:r>
        <w:rPr>
          <w:rFonts w:ascii="Calibri" w:hAnsi="Calibri"/>
          <w:i/>
          <w:spacing w:val="40"/>
        </w:rPr>
        <w:t> </w:t>
      </w:r>
      <w:r>
        <w:rPr/>
        <w:t>and </w:t>
      </w:r>
      <w:r>
        <w:rPr>
          <w:rFonts w:ascii="Calibri" w:hAnsi="Calibri"/>
          <w:i/>
        </w:rPr>
        <w:t>ρ </w:t>
      </w:r>
      <w:r>
        <w:rPr/>
        <w:t>are often similar in sign and magnitude but not identical.</w:t>
      </w:r>
      <w:r>
        <w:rPr>
          <w:spacing w:val="40"/>
        </w:rPr>
        <w:t> </w:t>
      </w:r>
      <w:r>
        <w:rPr/>
        <w:t>This </w:t>
      </w:r>
      <w:r>
        <w:rPr/>
        <w:t>dissertation </w:t>
      </w:r>
      <w:bookmarkStart w:name="Construct validity note" w:id="373"/>
      <w:bookmarkEnd w:id="373"/>
      <w:r>
        <w:rPr>
          <w:w w:val="99"/>
        </w:rPr>
      </w:r>
      <w:bookmarkStart w:name="_bookmark225" w:id="374"/>
      <w:bookmarkEnd w:id="374"/>
      <w:r>
        <w:rPr/>
        <w:t>report</w:t>
      </w:r>
      <w:r>
        <w:rPr/>
        <w:t>s both, following Do et al.</w:t>
      </w:r>
      <w:hyperlink w:history="true" w:anchor="_bookmark149">
        <w:r>
          <w:rPr>
            <w:vertAlign w:val="superscript"/>
          </w:rPr>
          <w:t>[16]</w:t>
        </w:r>
      </w:hyperlink>
      <w:r>
        <w:rPr>
          <w:vertAlign w:val="baseline"/>
        </w:rPr>
        <w:t>, and uses family-mean </w:t>
      </w:r>
      <w:r>
        <w:rPr>
          <w:rFonts w:ascii="Calibri" w:hAnsi="Calibri"/>
          <w:i/>
          <w:vertAlign w:val="baseline"/>
        </w:rPr>
        <w:t>τ</w:t>
      </w:r>
      <w:r>
        <w:rPr>
          <w:rFonts w:ascii="Calibri" w:hAnsi="Calibri"/>
          <w:i/>
          <w:spacing w:val="40"/>
          <w:vertAlign w:val="baseline"/>
        </w:rPr>
        <w:t> </w:t>
      </w:r>
      <w:r>
        <w:rPr>
          <w:vertAlign w:val="baseline"/>
        </w:rPr>
        <w:t>as the primary summary.</w:t>
      </w:r>
    </w:p>
    <w:p>
      <w:pPr>
        <w:pStyle w:val="BodyText"/>
        <w:spacing w:line="374" w:lineRule="auto" w:before="33"/>
        <w:ind w:left="282" w:right="563"/>
        <w:jc w:val="both"/>
      </w:pPr>
      <w:r>
        <w:rPr>
          <w:i/>
        </w:rPr>
        <w:t>n이 큰 경우 τ와 ρ는 부호와 크기가 유사하지만 동일하지는 않습니다. 이 논문은 Do et al.[16]에 따라 두 가지를 모두 보고하고 기본 요약으로 가족 평균 τ를 사용합니다.</w:t>
      </w:r>
    </w:p>
    <w:p>
      <w:pPr>
        <w:pStyle w:val="BodyText"/>
        <w:spacing w:before="8"/>
      </w:pPr>
    </w:p>
    <w:p>
      <w:pPr>
        <w:pStyle w:val="Heading4"/>
        <w:numPr>
          <w:ilvl w:val="2"/>
          <w:numId w:val="8"/>
        </w:numPr>
        <w:tabs>
          <w:tab w:pos="879" w:val="left" w:leader="none"/>
        </w:tabs>
        <w:spacing w:line="240" w:lineRule="auto" w:before="1" w:after="0"/>
        <w:ind w:left="879" w:right="0" w:hanging="597"/>
        <w:jc w:val="left"/>
      </w:pPr>
      <w:r>
        <w:rPr/>
        <w:t>Construct</w:t>
      </w:r>
      <w:r>
        <w:rPr>
          <w:spacing w:val="-10"/>
        </w:rPr>
        <w:t> </w:t>
      </w:r>
      <w:r>
        <w:rPr/>
        <w:t>validity</w:t>
      </w:r>
      <w:r>
        <w:rPr>
          <w:spacing w:val="-10"/>
        </w:rPr>
        <w:t> </w:t>
      </w:r>
      <w:r>
        <w:rPr>
          <w:spacing w:val="-4"/>
        </w:rPr>
        <w:t>note</w:t>
      </w:r>
    </w:p>
    <w:p>
      <w:pPr>
        <w:pStyle w:val="Heading4"/>
        <w:numPr>
          <w:ilvl w:val="2"/>
          <w:numId w:val="8"/>
        </w:numPr>
        <w:tabs>
          <w:tab w:pos="879" w:val="left" w:leader="none"/>
        </w:tabs>
        <w:spacing w:line="240" w:lineRule="auto" w:before="1" w:after="0"/>
        <w:ind w:left="879" w:right="0" w:hanging="597"/>
        <w:jc w:val="left"/>
      </w:pPr>
      <w:r>
        <w:rPr>
          <w:i/>
        </w:rPr>
        <w:t>유효성 노트 구성</w:t>
      </w:r>
    </w:p>
    <w:p>
      <w:pPr>
        <w:pStyle w:val="BodyText"/>
        <w:spacing w:before="46"/>
        <w:rPr>
          <w:b/>
        </w:rPr>
      </w:pPr>
    </w:p>
    <w:p>
      <w:pPr>
        <w:pStyle w:val="BodyText"/>
        <w:spacing w:line="386" w:lineRule="auto"/>
        <w:ind w:left="282" w:right="524"/>
        <w:jc w:val="both"/>
      </w:pPr>
      <w:r>
        <w:rPr/>
        <w:t>Cronbach and Meehl</w:t>
      </w:r>
      <w:hyperlink w:history="true" w:anchor="_bookmark147">
        <w:r>
          <w:rPr>
            <w:vertAlign w:val="superscript"/>
          </w:rPr>
          <w:t>[14]</w:t>
        </w:r>
      </w:hyperlink>
      <w:r>
        <w:rPr>
          <w:vertAlign w:val="baseline"/>
        </w:rPr>
        <w:t> distinguish criterion-related validity from construct validity.</w:t>
      </w:r>
      <w:r>
        <w:rPr>
          <w:spacing w:val="40"/>
          <w:vertAlign w:val="baseline"/>
        </w:rPr>
        <w:t> </w:t>
      </w:r>
      <w:r>
        <w:rPr>
          <w:vertAlign w:val="baseline"/>
        </w:rPr>
        <w:t>In the ab-sence</w:t>
      </w:r>
      <w:r>
        <w:rPr>
          <w:spacing w:val="-3"/>
          <w:vertAlign w:val="baseline"/>
        </w:rPr>
        <w:t> </w:t>
      </w:r>
      <w:r>
        <w:rPr>
          <w:vertAlign w:val="baseline"/>
        </w:rPr>
        <w:t>of</w:t>
      </w:r>
      <w:r>
        <w:rPr>
          <w:spacing w:val="-3"/>
          <w:vertAlign w:val="baseline"/>
        </w:rPr>
        <w:t> </w:t>
      </w:r>
      <w:r>
        <w:rPr>
          <w:vertAlign w:val="baseline"/>
        </w:rPr>
        <w:t>a</w:t>
      </w:r>
      <w:r>
        <w:rPr>
          <w:spacing w:val="-3"/>
          <w:vertAlign w:val="baseline"/>
        </w:rPr>
        <w:t> </w:t>
      </w:r>
      <w:r>
        <w:rPr>
          <w:vertAlign w:val="baseline"/>
        </w:rPr>
        <w:t>gold-standard</w:t>
      </w:r>
      <w:r>
        <w:rPr>
          <w:spacing w:val="-3"/>
          <w:vertAlign w:val="baseline"/>
        </w:rPr>
        <w:t> </w:t>
      </w:r>
      <w:r>
        <w:rPr>
          <w:vertAlign w:val="baseline"/>
        </w:rPr>
        <w:t>default</w:t>
      </w:r>
      <w:r>
        <w:rPr>
          <w:spacing w:val="-3"/>
          <w:vertAlign w:val="baseline"/>
        </w:rPr>
        <w:t> </w:t>
      </w:r>
      <w:r>
        <w:rPr>
          <w:vertAlign w:val="baseline"/>
        </w:rPr>
        <w:t>label,</w:t>
      </w:r>
      <w:r>
        <w:rPr>
          <w:spacing w:val="-3"/>
          <w:vertAlign w:val="baseline"/>
        </w:rPr>
        <w:t> </w:t>
      </w:r>
      <w:r>
        <w:rPr>
          <w:vertAlign w:val="baseline"/>
        </w:rPr>
        <w:t>this</w:t>
      </w:r>
      <w:r>
        <w:rPr>
          <w:spacing w:val="-3"/>
          <w:vertAlign w:val="baseline"/>
        </w:rPr>
        <w:t> </w:t>
      </w:r>
      <w:r>
        <w:rPr>
          <w:vertAlign w:val="baseline"/>
        </w:rPr>
        <w:t>dissertation</w:t>
      </w:r>
      <w:r>
        <w:rPr>
          <w:spacing w:val="-3"/>
          <w:vertAlign w:val="baseline"/>
        </w:rPr>
        <w:t> </w:t>
      </w:r>
      <w:r>
        <w:rPr>
          <w:vertAlign w:val="baseline"/>
        </w:rPr>
        <w:t>pursues</w:t>
      </w:r>
      <w:r>
        <w:rPr>
          <w:spacing w:val="-3"/>
          <w:vertAlign w:val="baseline"/>
        </w:rPr>
        <w:t> </w:t>
      </w:r>
      <w:r>
        <w:rPr>
          <w:vertAlign w:val="baseline"/>
        </w:rPr>
        <w:t>a</w:t>
      </w:r>
      <w:r>
        <w:rPr>
          <w:spacing w:val="-3"/>
          <w:vertAlign w:val="baseline"/>
        </w:rPr>
        <w:t> </w:t>
      </w:r>
      <w:r>
        <w:rPr>
          <w:vertAlign w:val="baseline"/>
        </w:rPr>
        <w:t>construct-oriented</w:t>
      </w:r>
      <w:r>
        <w:rPr>
          <w:spacing w:val="-3"/>
          <w:vertAlign w:val="baseline"/>
        </w:rPr>
        <w:t> </w:t>
      </w:r>
      <w:r>
        <w:rPr>
          <w:vertAlign w:val="baseline"/>
        </w:rPr>
        <w:t>strategy: each method is tested against proxies that operationalize its intended meaning (allowance receipt for EndorseRank;</w:t>
      </w:r>
      <w:r>
        <w:rPr>
          <w:spacing w:val="-11"/>
          <w:vertAlign w:val="baseline"/>
        </w:rPr>
        <w:t> </w:t>
      </w:r>
      <w:r>
        <w:rPr>
          <w:vertAlign w:val="baseline"/>
        </w:rPr>
        <w:t>inbound</w:t>
      </w:r>
      <w:r>
        <w:rPr>
          <w:spacing w:val="-12"/>
          <w:vertAlign w:val="baseline"/>
        </w:rPr>
        <w:t> </w:t>
      </w:r>
      <w:r>
        <w:rPr>
          <w:vertAlign w:val="baseline"/>
        </w:rPr>
        <w:t>transfer</w:t>
      </w:r>
      <w:r>
        <w:rPr>
          <w:spacing w:val="-12"/>
          <w:vertAlign w:val="baseline"/>
        </w:rPr>
        <w:t> </w:t>
      </w:r>
      <w:r>
        <w:rPr>
          <w:vertAlign w:val="baseline"/>
        </w:rPr>
        <w:t>activity</w:t>
      </w:r>
      <w:r>
        <w:rPr>
          <w:spacing w:val="-12"/>
          <w:vertAlign w:val="baseline"/>
        </w:rPr>
        <w:t> </w:t>
      </w:r>
      <w:r>
        <w:rPr>
          <w:vertAlign w:val="baseline"/>
        </w:rPr>
        <w:t>for</w:t>
      </w:r>
      <w:r>
        <w:rPr>
          <w:spacing w:val="-12"/>
          <w:vertAlign w:val="baseline"/>
        </w:rPr>
        <w:t> </w:t>
      </w:r>
      <w:r>
        <w:rPr>
          <w:vertAlign w:val="baseline"/>
        </w:rPr>
        <w:t>AWP)</w:t>
      </w:r>
      <w:r>
        <w:rPr>
          <w:spacing w:val="-12"/>
          <w:vertAlign w:val="baseline"/>
        </w:rPr>
        <w:t> </w:t>
      </w:r>
      <w:r>
        <w:rPr>
          <w:vertAlign w:val="baseline"/>
        </w:rPr>
        <w:t>and</w:t>
      </w:r>
      <w:r>
        <w:rPr>
          <w:spacing w:val="-12"/>
          <w:vertAlign w:val="baseline"/>
        </w:rPr>
        <w:t> </w:t>
      </w:r>
      <w:r>
        <w:rPr>
          <w:vertAlign w:val="baseline"/>
        </w:rPr>
        <w:t>against</w:t>
      </w:r>
      <w:r>
        <w:rPr>
          <w:spacing w:val="-12"/>
          <w:vertAlign w:val="baseline"/>
        </w:rPr>
        <w:t> </w:t>
      </w:r>
      <w:r>
        <w:rPr>
          <w:vertAlign w:val="baseline"/>
        </w:rPr>
        <w:t>secondary</w:t>
      </w:r>
      <w:r>
        <w:rPr>
          <w:spacing w:val="-12"/>
          <w:vertAlign w:val="baseline"/>
        </w:rPr>
        <w:t> </w:t>
      </w:r>
      <w:r>
        <w:rPr>
          <w:vertAlign w:val="baseline"/>
        </w:rPr>
        <w:t>families</w:t>
      </w:r>
      <w:r>
        <w:rPr>
          <w:spacing w:val="-12"/>
          <w:vertAlign w:val="baseline"/>
        </w:rPr>
        <w:t> </w:t>
      </w:r>
      <w:r>
        <w:rPr>
          <w:vertAlign w:val="baseline"/>
        </w:rPr>
        <w:t>that</w:t>
      </w:r>
      <w:r>
        <w:rPr>
          <w:spacing w:val="-12"/>
          <w:vertAlign w:val="baseline"/>
        </w:rPr>
        <w:t> </w:t>
      </w:r>
      <w:r>
        <w:rPr>
          <w:vertAlign w:val="baseline"/>
        </w:rPr>
        <w:t>probe</w:t>
      </w:r>
      <w:r>
        <w:rPr>
          <w:spacing w:val="-12"/>
          <w:vertAlign w:val="baseline"/>
        </w:rPr>
        <w:t> </w:t>
      </w:r>
      <w:r>
        <w:rPr>
          <w:vertAlign w:val="baseline"/>
        </w:rPr>
        <w:t>neigh-boring</w:t>
      </w:r>
      <w:r>
        <w:rPr>
          <w:spacing w:val="-8"/>
          <w:vertAlign w:val="baseline"/>
        </w:rPr>
        <w:t> </w:t>
      </w:r>
      <w:r>
        <w:rPr>
          <w:vertAlign w:val="baseline"/>
        </w:rPr>
        <w:t>constructs</w:t>
      </w:r>
      <w:r>
        <w:rPr>
          <w:spacing w:val="-8"/>
          <w:vertAlign w:val="baseline"/>
        </w:rPr>
        <w:t> </w:t>
      </w:r>
      <w:r>
        <w:rPr>
          <w:vertAlign w:val="baseline"/>
        </w:rPr>
        <w:t>(risk,</w:t>
      </w:r>
      <w:r>
        <w:rPr>
          <w:spacing w:val="-8"/>
          <w:vertAlign w:val="baseline"/>
        </w:rPr>
        <w:t> </w:t>
      </w:r>
      <w:r>
        <w:rPr>
          <w:vertAlign w:val="baseline"/>
        </w:rPr>
        <w:t>stability,</w:t>
      </w:r>
      <w:r>
        <w:rPr>
          <w:spacing w:val="-8"/>
          <w:vertAlign w:val="baseline"/>
        </w:rPr>
        <w:t> </w:t>
      </w:r>
      <w:r>
        <w:rPr>
          <w:vertAlign w:val="baseline"/>
        </w:rPr>
        <w:t>trading</w:t>
      </w:r>
      <w:r>
        <w:rPr>
          <w:spacing w:val="-8"/>
          <w:vertAlign w:val="baseline"/>
        </w:rPr>
        <w:t> </w:t>
      </w:r>
      <w:r>
        <w:rPr>
          <w:vertAlign w:val="baseline"/>
        </w:rPr>
        <w:t>success). High</w:t>
      </w:r>
      <w:r>
        <w:rPr>
          <w:spacing w:val="-8"/>
          <w:vertAlign w:val="baseline"/>
        </w:rPr>
        <w:t> </w:t>
      </w:r>
      <w:r>
        <w:rPr>
          <w:vertAlign w:val="baseline"/>
        </w:rPr>
        <w:t>within-construct</w:t>
      </w:r>
      <w:r>
        <w:rPr>
          <w:spacing w:val="-8"/>
          <w:vertAlign w:val="baseline"/>
        </w:rPr>
        <w:t> </w:t>
      </w:r>
      <w:r>
        <w:rPr>
          <w:rFonts w:ascii="Calibri" w:hAnsi="Calibri"/>
          <w:i/>
          <w:vertAlign w:val="baseline"/>
        </w:rPr>
        <w:t>τ</w:t>
      </w:r>
      <w:r>
        <w:rPr>
          <w:rFonts w:ascii="Calibri" w:hAnsi="Calibri"/>
          <w:i/>
          <w:spacing w:val="22"/>
          <w:vertAlign w:val="baseline"/>
        </w:rPr>
        <w:t> </w:t>
      </w:r>
      <w:r>
        <w:rPr>
          <w:vertAlign w:val="baseline"/>
        </w:rPr>
        <w:t>supports</w:t>
      </w:r>
      <w:r>
        <w:rPr>
          <w:spacing w:val="-8"/>
          <w:vertAlign w:val="baseline"/>
        </w:rPr>
        <w:t> </w:t>
      </w:r>
      <w:r>
        <w:rPr>
          <w:vertAlign w:val="baseline"/>
        </w:rPr>
        <w:t>interpretation; low</w:t>
      </w:r>
      <w:r>
        <w:rPr>
          <w:spacing w:val="-4"/>
          <w:vertAlign w:val="baseline"/>
        </w:rPr>
        <w:t> </w:t>
      </w:r>
      <w:r>
        <w:rPr>
          <w:vertAlign w:val="baseline"/>
        </w:rPr>
        <w:t>cross-construct</w:t>
      </w:r>
      <w:r>
        <w:rPr>
          <w:spacing w:val="-5"/>
          <w:vertAlign w:val="baseline"/>
        </w:rPr>
        <w:t> </w:t>
      </w:r>
      <w:r>
        <w:rPr>
          <w:rFonts w:ascii="Calibri" w:hAnsi="Calibri"/>
          <w:i/>
          <w:vertAlign w:val="baseline"/>
        </w:rPr>
        <w:t>τ</w:t>
      </w:r>
      <w:r>
        <w:rPr>
          <w:rFonts w:ascii="Calibri" w:hAnsi="Calibri"/>
          <w:i/>
          <w:spacing w:val="27"/>
          <w:vertAlign w:val="baseline"/>
        </w:rPr>
        <w:t> </w:t>
      </w:r>
      <w:r>
        <w:rPr>
          <w:vertAlign w:val="baseline"/>
        </w:rPr>
        <w:t>is</w:t>
      </w:r>
      <w:r>
        <w:rPr>
          <w:spacing w:val="-4"/>
          <w:vertAlign w:val="baseline"/>
        </w:rPr>
        <w:t> </w:t>
      </w:r>
      <w:r>
        <w:rPr>
          <w:vertAlign w:val="baseline"/>
        </w:rPr>
        <w:t>not</w:t>
      </w:r>
      <w:r>
        <w:rPr>
          <w:spacing w:val="-4"/>
          <w:vertAlign w:val="baseline"/>
        </w:rPr>
        <w:t> </w:t>
      </w:r>
      <w:r>
        <w:rPr>
          <w:vertAlign w:val="baseline"/>
        </w:rPr>
        <w:t>automatically</w:t>
      </w:r>
      <w:r>
        <w:rPr>
          <w:spacing w:val="-4"/>
          <w:vertAlign w:val="baseline"/>
        </w:rPr>
        <w:t> </w:t>
      </w:r>
      <w:r>
        <w:rPr>
          <w:vertAlign w:val="baseline"/>
        </w:rPr>
        <w:t>failure—it</w:t>
      </w:r>
      <w:r>
        <w:rPr>
          <w:spacing w:val="-4"/>
          <w:vertAlign w:val="baseline"/>
        </w:rPr>
        <w:t> </w:t>
      </w:r>
      <w:r>
        <w:rPr>
          <w:vertAlign w:val="baseline"/>
        </w:rPr>
        <w:t>may</w:t>
      </w:r>
      <w:r>
        <w:rPr>
          <w:spacing w:val="-4"/>
          <w:vertAlign w:val="baseline"/>
        </w:rPr>
        <w:t> </w:t>
      </w:r>
      <w:r>
        <w:rPr>
          <w:vertAlign w:val="baseline"/>
        </w:rPr>
        <w:t>indicate</w:t>
      </w:r>
      <w:r>
        <w:rPr>
          <w:spacing w:val="-4"/>
          <w:vertAlign w:val="baseline"/>
        </w:rPr>
        <w:t> </w:t>
      </w:r>
      <w:r>
        <w:rPr>
          <w:vertAlign w:val="baseline"/>
        </w:rPr>
        <w:t>discriminant</w:t>
      </w:r>
      <w:r>
        <w:rPr>
          <w:spacing w:val="-4"/>
          <w:vertAlign w:val="baseline"/>
        </w:rPr>
        <w:t> </w:t>
      </w:r>
      <w:r>
        <w:rPr>
          <w:vertAlign w:val="baseline"/>
        </w:rPr>
        <w:t>validity. GF-PR’s extreme</w:t>
      </w:r>
      <w:r>
        <w:rPr>
          <w:spacing w:val="-3"/>
          <w:vertAlign w:val="baseline"/>
        </w:rPr>
        <w:t> </w:t>
      </w:r>
      <w:r>
        <w:rPr>
          <w:vertAlign w:val="baseline"/>
        </w:rPr>
        <w:t>trading-success</w:t>
      </w:r>
      <w:r>
        <w:rPr>
          <w:spacing w:val="-2"/>
          <w:vertAlign w:val="baseline"/>
        </w:rPr>
        <w:t> </w:t>
      </w:r>
      <w:r>
        <w:rPr>
          <w:rFonts w:ascii="Calibri" w:hAnsi="Calibri"/>
          <w:i/>
          <w:vertAlign w:val="baseline"/>
        </w:rPr>
        <w:t>τ</w:t>
      </w:r>
      <w:r>
        <w:rPr>
          <w:rFonts w:ascii="Calibri" w:hAnsi="Calibri"/>
          <w:i/>
          <w:spacing w:val="29"/>
          <w:vertAlign w:val="baseline"/>
        </w:rPr>
        <w:t> </w:t>
      </w:r>
      <w:r>
        <w:rPr>
          <w:vertAlign w:val="baseline"/>
        </w:rPr>
        <w:t>is</w:t>
      </w:r>
      <w:r>
        <w:rPr>
          <w:spacing w:val="-3"/>
          <w:vertAlign w:val="baseline"/>
        </w:rPr>
        <w:t> </w:t>
      </w:r>
      <w:r>
        <w:rPr>
          <w:vertAlign w:val="baseline"/>
        </w:rPr>
        <w:t>a</w:t>
      </w:r>
      <w:r>
        <w:rPr>
          <w:spacing w:val="-2"/>
          <w:vertAlign w:val="baseline"/>
        </w:rPr>
        <w:t> </w:t>
      </w:r>
      <w:r>
        <w:rPr>
          <w:vertAlign w:val="baseline"/>
        </w:rPr>
        <w:t>cautionary</w:t>
      </w:r>
      <w:r>
        <w:rPr>
          <w:spacing w:val="-2"/>
          <w:vertAlign w:val="baseline"/>
        </w:rPr>
        <w:t> </w:t>
      </w:r>
      <w:r>
        <w:rPr>
          <w:vertAlign w:val="baseline"/>
        </w:rPr>
        <w:t>case</w:t>
      </w:r>
      <w:r>
        <w:rPr>
          <w:spacing w:val="-2"/>
          <w:vertAlign w:val="baseline"/>
        </w:rPr>
        <w:t> </w:t>
      </w:r>
      <w:r>
        <w:rPr>
          <w:vertAlign w:val="baseline"/>
        </w:rPr>
        <w:t>of</w:t>
      </w:r>
      <w:r>
        <w:rPr>
          <w:spacing w:val="-2"/>
          <w:vertAlign w:val="baseline"/>
        </w:rPr>
        <w:t> </w:t>
      </w:r>
      <w:r>
        <w:rPr>
          <w:i/>
          <w:vertAlign w:val="baseline"/>
        </w:rPr>
        <w:t>contaminated </w:t>
      </w:r>
      <w:r>
        <w:rPr>
          <w:vertAlign w:val="baseline"/>
        </w:rPr>
        <w:t>criteria,</w:t>
      </w:r>
      <w:r>
        <w:rPr>
          <w:spacing w:val="-2"/>
          <w:vertAlign w:val="baseline"/>
        </w:rPr>
        <w:t> </w:t>
      </w:r>
      <w:r>
        <w:rPr>
          <w:vertAlign w:val="baseline"/>
        </w:rPr>
        <w:t>where</w:t>
      </w:r>
      <w:r>
        <w:rPr>
          <w:spacing w:val="-2"/>
          <w:vertAlign w:val="baseline"/>
        </w:rPr>
        <w:t> </w:t>
      </w:r>
      <w:r>
        <w:rPr>
          <w:vertAlign w:val="baseline"/>
        </w:rPr>
        <w:t>the</w:t>
      </w:r>
      <w:r>
        <w:rPr>
          <w:spacing w:val="-2"/>
          <w:vertAlign w:val="baseline"/>
        </w:rPr>
        <w:t> </w:t>
      </w:r>
      <w:r>
        <w:rPr>
          <w:vertAlign w:val="baseline"/>
        </w:rPr>
        <w:t>criterion</w:t>
      </w:r>
      <w:r>
        <w:rPr>
          <w:spacing w:val="-2"/>
          <w:vertAlign w:val="baseline"/>
        </w:rPr>
        <w:t> </w:t>
      </w:r>
      <w:r>
        <w:rPr>
          <w:vertAlign w:val="baseline"/>
        </w:rPr>
        <w:t>shares </w:t>
      </w:r>
      <w:bookmarkStart w:name="Numerical summary sheet" w:id="375"/>
      <w:bookmarkEnd w:id="375"/>
      <w:r>
        <w:rPr>
          <w:spacing w:val="-1"/>
          <w:w w:val="99"/>
          <w:vertAlign w:val="baseline"/>
        </w:rPr>
      </w:r>
      <w:bookmarkStart w:name="_bookmark226" w:id="376"/>
      <w:bookmarkEnd w:id="376"/>
      <w:r>
        <w:rPr>
          <w:vertAlign w:val="baseline"/>
        </w:rPr>
        <w:t>input</w:t>
      </w:r>
      <w:r>
        <w:rPr>
          <w:vertAlign w:val="baseline"/>
        </w:rPr>
        <w:t>s with the measure (SRQ1).</w:t>
      </w:r>
    </w:p>
    <w:p>
      <w:pPr>
        <w:pStyle w:val="BodyText"/>
        <w:spacing w:line="386" w:lineRule="auto"/>
        <w:ind w:left="282" w:right="524"/>
        <w:jc w:val="both"/>
      </w:pPr>
      <w:r>
        <w:rPr>
          <w:i/>
        </w:rPr>
        <w:t>Cronbach와 Meehl[14]은 기준 관련 타당성과 구성 타당성을 구별합니다. 표준 기본 레이블이 없는 경우 이 논문은 구성 중심 전략을 추구합니다. 각 방법은 의도된 의미(EndorseRank에 대한 수당 수령, AWP에 대한 인바운드 전송 활동)를 조작하는 프록시와 이웃 구성(위험, 안정성, 거래 성공)을 조사하는 2차 패밀리에 대해 테스트됩니다. 구조 내 τ가 높으면 해석을 지원하고, 교차 구조 τ가 낮으면 자동으로 실패하지 않으며 판별 타당성을 나타낼 수 있습니다. GF-PR의 극단적인 거래 성공 τ는 기준이 측정값(SRQ1)과 입력을 공유하는 오염된 기준의 경고 사례입니다.</w:t>
      </w:r>
    </w:p>
    <w:p>
      <w:pPr>
        <w:pStyle w:val="BodyText"/>
        <w:spacing w:before="20"/>
      </w:pPr>
    </w:p>
    <w:p>
      <w:pPr>
        <w:pStyle w:val="Heading4"/>
        <w:numPr>
          <w:ilvl w:val="2"/>
          <w:numId w:val="8"/>
        </w:numPr>
        <w:tabs>
          <w:tab w:pos="879" w:val="left" w:leader="none"/>
        </w:tabs>
        <w:spacing w:line="240" w:lineRule="auto" w:before="0" w:after="0"/>
        <w:ind w:left="879" w:right="0" w:hanging="597"/>
        <w:jc w:val="left"/>
      </w:pPr>
      <w:r>
        <w:rPr/>
        <w:t>Numerical</w:t>
      </w:r>
      <w:r>
        <w:rPr>
          <w:spacing w:val="-12"/>
        </w:rPr>
        <w:t> </w:t>
      </w:r>
      <w:r>
        <w:rPr/>
        <w:t>summary</w:t>
      </w:r>
      <w:r>
        <w:rPr>
          <w:spacing w:val="-11"/>
        </w:rPr>
        <w:t> </w:t>
      </w:r>
      <w:r>
        <w:rPr>
          <w:spacing w:val="-2"/>
        </w:rPr>
        <w:t>sheet</w:t>
      </w:r>
    </w:p>
    <w:p>
      <w:pPr>
        <w:pStyle w:val="Heading4"/>
        <w:numPr>
          <w:ilvl w:val="2"/>
          <w:numId w:val="8"/>
        </w:numPr>
        <w:tabs>
          <w:tab w:pos="879" w:val="left" w:leader="none"/>
        </w:tabs>
        <w:spacing w:line="240" w:lineRule="auto" w:before="0" w:after="0"/>
        <w:ind w:left="879" w:right="0" w:hanging="597"/>
        <w:jc w:val="left"/>
      </w:pPr>
      <w:r>
        <w:rPr>
          <w:i/>
        </w:rPr>
        <w:t>수치 요약 시트</w:t>
      </w:r>
    </w:p>
    <w:p>
      <w:pPr>
        <w:pStyle w:val="BodyText"/>
        <w:spacing w:before="47"/>
        <w:rPr>
          <w:b/>
        </w:rPr>
      </w:pPr>
    </w:p>
    <w:p>
      <w:pPr>
        <w:pStyle w:val="BodyText"/>
        <w:ind w:left="282"/>
        <w:jc w:val="both"/>
      </w:pPr>
      <w:r>
        <w:rPr/>
        <w:t>For</w:t>
      </w:r>
      <w:r>
        <w:rPr>
          <w:spacing w:val="-10"/>
        </w:rPr>
        <w:t> </w:t>
      </w:r>
      <w:r>
        <w:rPr/>
        <w:t>quick</w:t>
      </w:r>
      <w:r>
        <w:rPr>
          <w:spacing w:val="-10"/>
        </w:rPr>
        <w:t> </w:t>
      </w:r>
      <w:r>
        <w:rPr/>
        <w:t>reference,</w:t>
      </w:r>
      <w:r>
        <w:rPr>
          <w:spacing w:val="-9"/>
        </w:rPr>
        <w:t> </w:t>
      </w:r>
      <w:r>
        <w:rPr/>
        <w:t>the</w:t>
      </w:r>
      <w:r>
        <w:rPr>
          <w:spacing w:val="-10"/>
        </w:rPr>
        <w:t> </w:t>
      </w:r>
      <w:r>
        <w:rPr/>
        <w:t>primary</w:t>
      </w:r>
      <w:r>
        <w:rPr>
          <w:spacing w:val="-9"/>
        </w:rPr>
        <w:t> </w:t>
      </w:r>
      <w:r>
        <w:rPr/>
        <w:t>matched-cohort</w:t>
      </w:r>
      <w:r>
        <w:rPr>
          <w:spacing w:val="-10"/>
        </w:rPr>
        <w:t> </w:t>
      </w:r>
      <w:r>
        <w:rPr/>
        <w:t>numerics</w:t>
      </w:r>
      <w:r>
        <w:rPr>
          <w:spacing w:val="-9"/>
        </w:rPr>
        <w:t> </w:t>
      </w:r>
      <w:r>
        <w:rPr>
          <w:spacing w:val="-4"/>
        </w:rPr>
        <w:t>are:</w:t>
      </w:r>
    </w:p>
    <w:p>
      <w:pPr>
        <w:pStyle w:val="BodyText"/>
        <w:ind w:left="282"/>
        <w:jc w:val="both"/>
      </w:pPr>
      <w:r>
        <w:rPr>
          <w:i/>
        </w:rPr>
        <w:t>빠른 참조를 위해 기본 일치 코호트 수치는 다음과 같습니다.</w:t>
      </w:r>
    </w:p>
    <w:p>
      <w:pPr>
        <w:pStyle w:val="BodyText"/>
        <w:spacing w:after="0"/>
        <w:jc w:val="both"/>
        <w:sectPr>
          <w:pgSz w:w="11910" w:h="16840"/>
          <w:pgMar w:header="0" w:footer="2115" w:top="1840" w:bottom="2300" w:left="992" w:right="708"/>
        </w:sectPr>
      </w:pPr>
    </w:p>
    <w:p>
      <w:pPr>
        <w:pStyle w:val="BodyText"/>
        <w:spacing w:before="3"/>
        <w:rPr>
          <w:sz w:val="2"/>
        </w:rPr>
      </w:pPr>
    </w:p>
    <w:tbl>
      <w:tblPr>
        <w:tblW w:w="0" w:type="auto"/>
        <w:jc w:val="left"/>
        <w:tblInd w:w="2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3"/>
        <w:gridCol w:w="2723"/>
      </w:tblGrid>
      <w:tr>
        <w:trPr>
          <w:trHeight w:val="566" w:hRule="atLeast"/>
        </w:trPr>
        <w:tc>
          <w:tcPr>
            <w:tcW w:w="3203" w:type="dxa"/>
            <w:tcBorders>
              <w:top w:val="single" w:sz="8" w:space="0" w:color="000000"/>
              <w:bottom w:val="single" w:sz="6" w:space="0" w:color="000000"/>
            </w:tcBorders>
          </w:tcPr>
          <w:p>
            <w:pPr>
              <w:pStyle w:val="TableParagraph"/>
              <w:spacing w:before="164"/>
              <w:ind w:left="119"/>
              <w:jc w:val="left"/>
              <w:rPr>
                <w:sz w:val="24"/>
              </w:rPr>
            </w:pPr>
            <w:r>
              <w:rPr>
                <w:spacing w:val="-2"/>
                <w:sz w:val="24"/>
              </w:rPr>
              <w:t>Quantity</w:t>
            </w:r>
          </w:p>
          <w:p>
            <w:pPr>
              <w:pStyle w:val="TableParagraph"/>
              <w:spacing w:before="164"/>
              <w:ind w:left="119"/>
              <w:jc w:val="left"/>
              <w:rPr>
                <w:sz w:val="24"/>
              </w:rPr>
            </w:pPr>
            <w:r>
              <w:rPr>
                <w:i/>
              </w:rPr>
              <w:t>수량</w:t>
            </w:r>
          </w:p>
        </w:tc>
        <w:tc>
          <w:tcPr>
            <w:tcW w:w="2723" w:type="dxa"/>
            <w:tcBorders>
              <w:top w:val="single" w:sz="8" w:space="0" w:color="000000"/>
              <w:bottom w:val="single" w:sz="6" w:space="0" w:color="000000"/>
            </w:tcBorders>
          </w:tcPr>
          <w:p>
            <w:pPr>
              <w:pStyle w:val="TableParagraph"/>
              <w:spacing w:before="164"/>
              <w:ind w:left="132"/>
              <w:jc w:val="left"/>
              <w:rPr>
                <w:sz w:val="24"/>
              </w:rPr>
            </w:pPr>
            <w:r>
              <w:rPr>
                <w:spacing w:val="-2"/>
                <w:sz w:val="24"/>
              </w:rPr>
              <w:t>Value</w:t>
            </w:r>
          </w:p>
          <w:p>
            <w:pPr>
              <w:pStyle w:val="TableParagraph"/>
              <w:spacing w:before="164"/>
              <w:ind w:left="132"/>
              <w:jc w:val="left"/>
              <w:rPr>
                <w:sz w:val="24"/>
              </w:rPr>
            </w:pPr>
            <w:r>
              <w:rPr>
                <w:i/>
              </w:rPr>
              <w:t>값</w:t>
            </w:r>
          </w:p>
        </w:tc>
      </w:tr>
      <w:tr>
        <w:trPr>
          <w:trHeight w:val="539" w:hRule="atLeast"/>
        </w:trPr>
        <w:tc>
          <w:tcPr>
            <w:tcW w:w="3203" w:type="dxa"/>
            <w:tcBorders>
              <w:top w:val="single" w:sz="6" w:space="0" w:color="000000"/>
            </w:tcBorders>
          </w:tcPr>
          <w:p>
            <w:pPr>
              <w:pStyle w:val="TableParagraph"/>
              <w:spacing w:before="159"/>
              <w:ind w:left="119"/>
              <w:jc w:val="left"/>
              <w:rPr>
                <w:rFonts w:ascii="Calibri"/>
                <w:i/>
                <w:sz w:val="24"/>
              </w:rPr>
            </w:pPr>
            <w:r>
              <w:rPr>
                <w:sz w:val="24"/>
              </w:rPr>
              <w:t>Matched</w:t>
            </w:r>
            <w:r>
              <w:rPr>
                <w:spacing w:val="-12"/>
                <w:sz w:val="24"/>
              </w:rPr>
              <w:t> </w:t>
            </w:r>
            <w:r>
              <w:rPr>
                <w:sz w:val="24"/>
              </w:rPr>
              <w:t>wallets</w:t>
            </w:r>
            <w:r>
              <w:rPr>
                <w:spacing w:val="-11"/>
                <w:sz w:val="24"/>
              </w:rPr>
              <w:t> </w:t>
            </w:r>
            <w:r>
              <w:rPr>
                <w:rFonts w:ascii="Calibri"/>
                <w:i/>
                <w:spacing w:val="-10"/>
                <w:sz w:val="24"/>
              </w:rPr>
              <w:t>n</w:t>
            </w:r>
          </w:p>
          <w:p>
            <w:pPr>
              <w:pStyle w:val="TableParagraph"/>
              <w:spacing w:before="159"/>
              <w:ind w:left="119"/>
              <w:jc w:val="left"/>
              <w:rPr>
                <w:rFonts w:ascii="Calibri"/>
                <w:i/>
                <w:sz w:val="24"/>
              </w:rPr>
            </w:pPr>
            <w:r>
              <w:rPr>
                <w:i/>
              </w:rPr>
              <w:t>일치하는 지갑 n</w:t>
            </w:r>
          </w:p>
        </w:tc>
        <w:tc>
          <w:tcPr>
            <w:tcW w:w="2723" w:type="dxa"/>
            <w:tcBorders>
              <w:top w:val="single" w:sz="6" w:space="0" w:color="000000"/>
            </w:tcBorders>
          </w:tcPr>
          <w:p>
            <w:pPr>
              <w:pStyle w:val="TableParagraph"/>
              <w:spacing w:before="159"/>
              <w:ind w:left="132"/>
              <w:jc w:val="left"/>
              <w:rPr>
                <w:rFonts w:ascii="Calibri"/>
                <w:sz w:val="24"/>
              </w:rPr>
            </w:pPr>
            <w:r>
              <w:rPr>
                <w:rFonts w:ascii="Calibri"/>
                <w:spacing w:val="-4"/>
                <w:sz w:val="24"/>
              </w:rPr>
              <w:t>5</w:t>
            </w:r>
            <w:r>
              <w:rPr>
                <w:rFonts w:ascii="Calibri"/>
                <w:i/>
                <w:spacing w:val="-4"/>
                <w:sz w:val="24"/>
              </w:rPr>
              <w:t>,</w:t>
            </w:r>
            <w:r>
              <w:rPr>
                <w:rFonts w:ascii="Calibri"/>
                <w:spacing w:val="-4"/>
                <w:sz w:val="24"/>
              </w:rPr>
              <w:t>521</w:t>
            </w:r>
          </w:p>
        </w:tc>
      </w:tr>
      <w:tr>
        <w:trPr>
          <w:trHeight w:val="456" w:hRule="atLeast"/>
        </w:trPr>
        <w:tc>
          <w:tcPr>
            <w:tcW w:w="3203" w:type="dxa"/>
          </w:tcPr>
          <w:p>
            <w:pPr>
              <w:pStyle w:val="TableParagraph"/>
              <w:spacing w:before="80"/>
              <w:ind w:left="119"/>
              <w:jc w:val="left"/>
              <w:rPr>
                <w:sz w:val="24"/>
              </w:rPr>
            </w:pPr>
            <w:r>
              <w:rPr>
                <w:sz w:val="24"/>
              </w:rPr>
              <w:t>GMX</w:t>
            </w:r>
            <w:r>
              <w:rPr>
                <w:spacing w:val="-11"/>
                <w:sz w:val="24"/>
              </w:rPr>
              <w:t> </w:t>
            </w:r>
            <w:r>
              <w:rPr>
                <w:sz w:val="24"/>
              </w:rPr>
              <w:t>closes</w:t>
            </w:r>
            <w:r>
              <w:rPr>
                <w:spacing w:val="-10"/>
                <w:sz w:val="24"/>
              </w:rPr>
              <w:t> </w:t>
            </w:r>
            <w:r>
              <w:rPr>
                <w:spacing w:val="-2"/>
                <w:sz w:val="24"/>
              </w:rPr>
              <w:t>(decoded)</w:t>
            </w:r>
          </w:p>
          <w:p>
            <w:pPr>
              <w:pStyle w:val="TableParagraph"/>
              <w:spacing w:before="80"/>
              <w:ind w:left="119"/>
              <w:jc w:val="left"/>
              <w:rPr>
                <w:sz w:val="24"/>
              </w:rPr>
            </w:pPr>
            <w:r>
              <w:rPr>
                <w:i/>
              </w:rPr>
              <w:t>GMX 종료(디코딩됨)</w:t>
            </w:r>
          </w:p>
        </w:tc>
        <w:tc>
          <w:tcPr>
            <w:tcW w:w="2723" w:type="dxa"/>
          </w:tcPr>
          <w:p>
            <w:pPr>
              <w:pStyle w:val="TableParagraph"/>
              <w:spacing w:before="76"/>
              <w:ind w:left="132"/>
              <w:jc w:val="left"/>
              <w:rPr>
                <w:rFonts w:ascii="Calibri"/>
                <w:sz w:val="24"/>
              </w:rPr>
            </w:pPr>
            <w:r>
              <w:rPr>
                <w:rFonts w:ascii="Calibri"/>
                <w:spacing w:val="-2"/>
                <w:sz w:val="24"/>
              </w:rPr>
              <w:t>365</w:t>
            </w:r>
            <w:r>
              <w:rPr>
                <w:rFonts w:ascii="Calibri"/>
                <w:i/>
                <w:spacing w:val="-2"/>
                <w:sz w:val="24"/>
              </w:rPr>
              <w:t>,</w:t>
            </w:r>
            <w:r>
              <w:rPr>
                <w:rFonts w:ascii="Calibri"/>
                <w:spacing w:val="-2"/>
                <w:sz w:val="24"/>
              </w:rPr>
              <w:t>488</w:t>
            </w:r>
          </w:p>
        </w:tc>
      </w:tr>
      <w:tr>
        <w:trPr>
          <w:trHeight w:val="456" w:hRule="atLeast"/>
        </w:trPr>
        <w:tc>
          <w:tcPr>
            <w:tcW w:w="3203" w:type="dxa"/>
          </w:tcPr>
          <w:p>
            <w:pPr>
              <w:pStyle w:val="TableParagraph"/>
              <w:spacing w:before="80"/>
              <w:ind w:left="119"/>
              <w:jc w:val="left"/>
              <w:rPr>
                <w:sz w:val="24"/>
              </w:rPr>
            </w:pPr>
            <w:r>
              <w:rPr>
                <w:sz w:val="24"/>
              </w:rPr>
              <w:t>EndorseRank</w:t>
            </w:r>
            <w:r>
              <w:rPr>
                <w:spacing w:val="-14"/>
                <w:sz w:val="24"/>
              </w:rPr>
              <w:t> </w:t>
            </w:r>
            <w:r>
              <w:rPr>
                <w:spacing w:val="-2"/>
                <w:sz w:val="24"/>
              </w:rPr>
              <w:t>edges</w:t>
            </w:r>
          </w:p>
          <w:p>
            <w:pPr>
              <w:pStyle w:val="TableParagraph"/>
              <w:spacing w:before="80"/>
              <w:ind w:left="119"/>
              <w:jc w:val="left"/>
              <w:rPr>
                <w:sz w:val="24"/>
              </w:rPr>
            </w:pPr>
            <w:r>
              <w:rPr>
                <w:i/>
              </w:rPr>
              <w:t>EndorseRank 가장자리</w:t>
            </w:r>
          </w:p>
        </w:tc>
        <w:tc>
          <w:tcPr>
            <w:tcW w:w="2723" w:type="dxa"/>
          </w:tcPr>
          <w:p>
            <w:pPr>
              <w:pStyle w:val="TableParagraph"/>
              <w:spacing w:before="76"/>
              <w:ind w:left="132"/>
              <w:jc w:val="left"/>
              <w:rPr>
                <w:rFonts w:ascii="Calibri"/>
                <w:sz w:val="24"/>
              </w:rPr>
            </w:pPr>
            <w:r>
              <w:rPr>
                <w:rFonts w:ascii="Calibri"/>
                <w:spacing w:val="-2"/>
                <w:sz w:val="24"/>
              </w:rPr>
              <w:t>14</w:t>
            </w:r>
            <w:r>
              <w:rPr>
                <w:rFonts w:ascii="Calibri"/>
                <w:i/>
                <w:spacing w:val="-2"/>
                <w:sz w:val="24"/>
              </w:rPr>
              <w:t>,</w:t>
            </w:r>
            <w:r>
              <w:rPr>
                <w:rFonts w:ascii="Calibri"/>
                <w:spacing w:val="-2"/>
                <w:sz w:val="24"/>
              </w:rPr>
              <w:t>727</w:t>
            </w:r>
          </w:p>
        </w:tc>
      </w:tr>
      <w:tr>
        <w:trPr>
          <w:trHeight w:val="456" w:hRule="atLeast"/>
        </w:trPr>
        <w:tc>
          <w:tcPr>
            <w:tcW w:w="3203" w:type="dxa"/>
          </w:tcPr>
          <w:p>
            <w:pPr>
              <w:pStyle w:val="TableParagraph"/>
              <w:spacing w:before="80"/>
              <w:ind w:left="119"/>
              <w:jc w:val="left"/>
              <w:rPr>
                <w:sz w:val="24"/>
              </w:rPr>
            </w:pPr>
            <w:r>
              <w:rPr>
                <w:spacing w:val="-8"/>
                <w:sz w:val="24"/>
              </w:rPr>
              <w:t>AWP</w:t>
            </w:r>
            <w:r>
              <w:rPr>
                <w:spacing w:val="-4"/>
                <w:sz w:val="24"/>
              </w:rPr>
              <w:t> </w:t>
            </w:r>
            <w:r>
              <w:rPr>
                <w:spacing w:val="-2"/>
                <w:sz w:val="24"/>
              </w:rPr>
              <w:t>edges</w:t>
            </w:r>
          </w:p>
          <w:p>
            <w:pPr>
              <w:pStyle w:val="TableParagraph"/>
              <w:spacing w:before="80"/>
              <w:ind w:left="119"/>
              <w:jc w:val="left"/>
              <w:rPr>
                <w:sz w:val="24"/>
              </w:rPr>
            </w:pPr>
            <w:r>
              <w:rPr>
                <w:i/>
              </w:rPr>
              <w:t>AWP 가장자리</w:t>
            </w:r>
          </w:p>
        </w:tc>
        <w:tc>
          <w:tcPr>
            <w:tcW w:w="2723" w:type="dxa"/>
          </w:tcPr>
          <w:p>
            <w:pPr>
              <w:pStyle w:val="TableParagraph"/>
              <w:spacing w:before="76"/>
              <w:ind w:left="132"/>
              <w:jc w:val="left"/>
              <w:rPr>
                <w:rFonts w:ascii="Calibri"/>
                <w:sz w:val="24"/>
              </w:rPr>
            </w:pPr>
            <w:r>
              <w:rPr>
                <w:rFonts w:ascii="Calibri"/>
                <w:spacing w:val="-2"/>
                <w:sz w:val="24"/>
              </w:rPr>
              <w:t>137</w:t>
            </w:r>
            <w:r>
              <w:rPr>
                <w:rFonts w:ascii="Calibri"/>
                <w:i/>
                <w:spacing w:val="-2"/>
                <w:sz w:val="24"/>
              </w:rPr>
              <w:t>,</w:t>
            </w:r>
            <w:r>
              <w:rPr>
                <w:rFonts w:ascii="Calibri"/>
                <w:spacing w:val="-2"/>
                <w:sz w:val="24"/>
              </w:rPr>
              <w:t>087</w:t>
            </w:r>
          </w:p>
        </w:tc>
      </w:tr>
      <w:tr>
        <w:trPr>
          <w:trHeight w:val="456" w:hRule="atLeast"/>
        </w:trPr>
        <w:tc>
          <w:tcPr>
            <w:tcW w:w="3203" w:type="dxa"/>
          </w:tcPr>
          <w:p>
            <w:pPr>
              <w:pStyle w:val="TableParagraph"/>
              <w:spacing w:before="80"/>
              <w:ind w:left="119"/>
              <w:jc w:val="left"/>
              <w:rPr>
                <w:sz w:val="24"/>
              </w:rPr>
            </w:pPr>
            <w:r>
              <w:rPr>
                <w:sz w:val="24"/>
              </w:rPr>
              <w:t>EndorseRank</w:t>
            </w:r>
            <w:r>
              <w:rPr>
                <w:spacing w:val="-14"/>
                <w:sz w:val="24"/>
              </w:rPr>
              <w:t> </w:t>
            </w:r>
            <w:r>
              <w:rPr>
                <w:spacing w:val="-2"/>
                <w:sz w:val="24"/>
              </w:rPr>
              <w:t>runtime</w:t>
            </w:r>
          </w:p>
          <w:p>
            <w:pPr>
              <w:pStyle w:val="TableParagraph"/>
              <w:spacing w:before="80"/>
              <w:ind w:left="119"/>
              <w:jc w:val="left"/>
              <w:rPr>
                <w:sz w:val="24"/>
              </w:rPr>
            </w:pPr>
            <w:r>
              <w:rPr>
                <w:i/>
              </w:rPr>
              <w:t>EndorseRank 런타임</w:t>
            </w:r>
          </w:p>
        </w:tc>
        <w:tc>
          <w:tcPr>
            <w:tcW w:w="2723" w:type="dxa"/>
          </w:tcPr>
          <w:p>
            <w:pPr>
              <w:pStyle w:val="TableParagraph"/>
              <w:spacing w:before="76"/>
              <w:ind w:left="132"/>
              <w:jc w:val="left"/>
              <w:rPr>
                <w:sz w:val="24"/>
              </w:rPr>
            </w:pPr>
            <w:r>
              <w:rPr>
                <w:rFonts w:ascii="Calibri"/>
                <w:spacing w:val="-5"/>
                <w:sz w:val="24"/>
              </w:rPr>
              <w:t>2</w:t>
            </w:r>
            <w:r>
              <w:rPr>
                <w:rFonts w:ascii="Calibri"/>
                <w:i/>
                <w:spacing w:val="-5"/>
                <w:sz w:val="24"/>
              </w:rPr>
              <w:t>.</w:t>
            </w:r>
            <w:r>
              <w:rPr>
                <w:rFonts w:ascii="Calibri"/>
                <w:spacing w:val="-5"/>
                <w:sz w:val="24"/>
              </w:rPr>
              <w:t>105 </w:t>
            </w:r>
            <w:r>
              <w:rPr>
                <w:spacing w:val="-10"/>
                <w:sz w:val="24"/>
              </w:rPr>
              <w:t>s</w:t>
            </w:r>
          </w:p>
          <w:p>
            <w:pPr>
              <w:pStyle w:val="TableParagraph"/>
              <w:spacing w:before="76"/>
              <w:ind w:left="132"/>
              <w:jc w:val="left"/>
              <w:rPr>
                <w:sz w:val="24"/>
              </w:rPr>
            </w:pPr>
            <w:r>
              <w:rPr>
                <w:i/>
              </w:rPr>
              <w:t>2.105초</w:t>
            </w:r>
          </w:p>
        </w:tc>
      </w:tr>
      <w:tr>
        <w:trPr>
          <w:trHeight w:val="456" w:hRule="atLeast"/>
        </w:trPr>
        <w:tc>
          <w:tcPr>
            <w:tcW w:w="3203" w:type="dxa"/>
          </w:tcPr>
          <w:p>
            <w:pPr>
              <w:pStyle w:val="TableParagraph"/>
              <w:spacing w:before="80"/>
              <w:ind w:left="119"/>
              <w:jc w:val="left"/>
              <w:rPr>
                <w:sz w:val="24"/>
              </w:rPr>
            </w:pPr>
            <w:r>
              <w:rPr>
                <w:spacing w:val="-8"/>
                <w:sz w:val="24"/>
              </w:rPr>
              <w:t>AWP</w:t>
            </w:r>
            <w:r>
              <w:rPr>
                <w:spacing w:val="-4"/>
                <w:sz w:val="24"/>
              </w:rPr>
              <w:t> </w:t>
            </w:r>
            <w:r>
              <w:rPr>
                <w:spacing w:val="-2"/>
                <w:sz w:val="24"/>
              </w:rPr>
              <w:t>runtime</w:t>
            </w:r>
          </w:p>
          <w:p>
            <w:pPr>
              <w:pStyle w:val="TableParagraph"/>
              <w:spacing w:before="80"/>
              <w:ind w:left="119"/>
              <w:jc w:val="left"/>
              <w:rPr>
                <w:sz w:val="24"/>
              </w:rPr>
            </w:pPr>
            <w:r>
              <w:rPr>
                <w:i/>
              </w:rPr>
              <w:t>AWP 런타임</w:t>
            </w:r>
          </w:p>
        </w:tc>
        <w:tc>
          <w:tcPr>
            <w:tcW w:w="2723" w:type="dxa"/>
          </w:tcPr>
          <w:p>
            <w:pPr>
              <w:pStyle w:val="TableParagraph"/>
              <w:spacing w:before="76"/>
              <w:ind w:left="132"/>
              <w:jc w:val="left"/>
              <w:rPr>
                <w:sz w:val="24"/>
              </w:rPr>
            </w:pPr>
            <w:r>
              <w:rPr>
                <w:rFonts w:ascii="Calibri"/>
                <w:spacing w:val="-5"/>
                <w:sz w:val="24"/>
              </w:rPr>
              <w:t>18</w:t>
            </w:r>
            <w:r>
              <w:rPr>
                <w:rFonts w:ascii="Calibri"/>
                <w:i/>
                <w:spacing w:val="-5"/>
                <w:sz w:val="24"/>
              </w:rPr>
              <w:t>.</w:t>
            </w:r>
            <w:r>
              <w:rPr>
                <w:rFonts w:ascii="Calibri"/>
                <w:spacing w:val="-5"/>
                <w:sz w:val="24"/>
              </w:rPr>
              <w:t>711 </w:t>
            </w:r>
            <w:r>
              <w:rPr>
                <w:spacing w:val="-10"/>
                <w:sz w:val="24"/>
              </w:rPr>
              <w:t>s</w:t>
            </w:r>
          </w:p>
          <w:p>
            <w:pPr>
              <w:pStyle w:val="TableParagraph"/>
              <w:spacing w:before="76"/>
              <w:ind w:left="132"/>
              <w:jc w:val="left"/>
              <w:rPr>
                <w:sz w:val="24"/>
              </w:rPr>
            </w:pPr>
            <w:r>
              <w:rPr>
                <w:i/>
              </w:rPr>
              <w:t>18.711초</w:t>
            </w:r>
          </w:p>
        </w:tc>
      </w:tr>
      <w:tr>
        <w:trPr>
          <w:trHeight w:val="456" w:hRule="atLeast"/>
        </w:trPr>
        <w:tc>
          <w:tcPr>
            <w:tcW w:w="3203" w:type="dxa"/>
          </w:tcPr>
          <w:p>
            <w:pPr>
              <w:pStyle w:val="TableParagraph"/>
              <w:spacing w:before="80"/>
              <w:ind w:left="119"/>
              <w:jc w:val="left"/>
              <w:rPr>
                <w:sz w:val="24"/>
              </w:rPr>
            </w:pPr>
            <w:r>
              <w:rPr>
                <w:sz w:val="24"/>
              </w:rPr>
              <w:t>Runtime</w:t>
            </w:r>
            <w:r>
              <w:rPr>
                <w:spacing w:val="-8"/>
                <w:sz w:val="24"/>
              </w:rPr>
              <w:t> </w:t>
            </w:r>
            <w:r>
              <w:rPr>
                <w:sz w:val="24"/>
              </w:rPr>
              <w:t>ratio</w:t>
            </w:r>
            <w:r>
              <w:rPr>
                <w:spacing w:val="-7"/>
                <w:sz w:val="24"/>
              </w:rPr>
              <w:t> </w:t>
            </w:r>
            <w:r>
              <w:rPr>
                <w:spacing w:val="-2"/>
                <w:sz w:val="24"/>
              </w:rPr>
              <w:t>(AWP/ER)</w:t>
            </w:r>
          </w:p>
          <w:p>
            <w:pPr>
              <w:pStyle w:val="TableParagraph"/>
              <w:spacing w:before="80"/>
              <w:ind w:left="119"/>
              <w:jc w:val="left"/>
              <w:rPr>
                <w:sz w:val="24"/>
              </w:rPr>
            </w:pPr>
            <w:r>
              <w:rPr>
                <w:i/>
              </w:rPr>
              <w:t>런타임 비율(AWP/ER)</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4"/>
                <w:sz w:val="24"/>
              </w:rPr>
              <w:t>8</w:t>
            </w:r>
            <w:r>
              <w:rPr>
                <w:rFonts w:ascii="Calibri" w:hAnsi="Calibri"/>
                <w:i/>
                <w:spacing w:val="-4"/>
                <w:sz w:val="24"/>
              </w:rPr>
              <w:t>.</w:t>
            </w:r>
            <w:r>
              <w:rPr>
                <w:rFonts w:ascii="Calibri" w:hAnsi="Calibri"/>
                <w:spacing w:val="-4"/>
                <w:sz w:val="24"/>
              </w:rPr>
              <w:t>9</w:t>
            </w:r>
            <w:r>
              <w:rPr>
                <w:rFonts w:ascii="Lucida Sans Unicode" w:hAnsi="Lucida Sans Unicode"/>
                <w:spacing w:val="-4"/>
                <w:sz w:val="24"/>
              </w:rPr>
              <w:t>×</w:t>
            </w:r>
          </w:p>
        </w:tc>
      </w:tr>
      <w:tr>
        <w:trPr>
          <w:trHeight w:val="456" w:hRule="atLeast"/>
        </w:trPr>
        <w:tc>
          <w:tcPr>
            <w:tcW w:w="3203" w:type="dxa"/>
          </w:tcPr>
          <w:p>
            <w:pPr>
              <w:pStyle w:val="TableParagraph"/>
              <w:spacing w:before="76"/>
              <w:ind w:left="119"/>
              <w:jc w:val="left"/>
              <w:rPr>
                <w:rFonts w:ascii="Calibri" w:hAnsi="Calibri"/>
                <w:i/>
                <w:sz w:val="24"/>
              </w:rPr>
            </w:pPr>
            <w:r>
              <w:rPr>
                <w:spacing w:val="-2"/>
                <w:sz w:val="24"/>
              </w:rPr>
              <w:t>Inter-method</w:t>
            </w:r>
            <w:r>
              <w:rPr>
                <w:spacing w:val="5"/>
                <w:sz w:val="24"/>
              </w:rPr>
              <w:t> </w:t>
            </w:r>
            <w:r>
              <w:rPr>
                <w:rFonts w:ascii="Calibri" w:hAnsi="Calibri"/>
                <w:i/>
                <w:spacing w:val="-12"/>
                <w:sz w:val="24"/>
              </w:rPr>
              <w:t>τ</w:t>
            </w:r>
          </w:p>
          <w:p>
            <w:pPr>
              <w:pStyle w:val="TableParagraph"/>
              <w:spacing w:before="76"/>
              <w:ind w:left="119"/>
              <w:jc w:val="left"/>
              <w:rPr>
                <w:rFonts w:ascii="Calibri" w:hAnsi="Calibri"/>
                <w:i/>
                <w:sz w:val="24"/>
              </w:rPr>
            </w:pPr>
            <w:r>
              <w:rPr>
                <w:i/>
              </w:rPr>
              <w:t>방법 간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316</w:t>
            </w:r>
          </w:p>
        </w:tc>
      </w:tr>
      <w:tr>
        <w:trPr>
          <w:trHeight w:val="456" w:hRule="atLeast"/>
        </w:trPr>
        <w:tc>
          <w:tcPr>
            <w:tcW w:w="3203" w:type="dxa"/>
          </w:tcPr>
          <w:p>
            <w:pPr>
              <w:pStyle w:val="TableParagraph"/>
              <w:spacing w:before="76"/>
              <w:ind w:left="119"/>
              <w:jc w:val="left"/>
              <w:rPr>
                <w:rFonts w:ascii="Calibri" w:hAnsi="Calibri"/>
                <w:i/>
                <w:sz w:val="24"/>
              </w:rPr>
            </w:pPr>
            <w:r>
              <w:rPr>
                <w:sz w:val="24"/>
              </w:rPr>
              <w:t>ER</w:t>
            </w:r>
            <w:r>
              <w:rPr>
                <w:spacing w:val="-7"/>
                <w:sz w:val="24"/>
              </w:rPr>
              <w:t> </w:t>
            </w:r>
            <w:r>
              <w:rPr>
                <w:sz w:val="24"/>
              </w:rPr>
              <w:t>allowance</w:t>
            </w:r>
            <w:r>
              <w:rPr>
                <w:spacing w:val="-7"/>
                <w:sz w:val="24"/>
              </w:rPr>
              <w:t> </w:t>
            </w:r>
            <w:r>
              <w:rPr>
                <w:sz w:val="24"/>
              </w:rPr>
              <w:t>mean</w:t>
            </w:r>
            <w:r>
              <w:rPr>
                <w:spacing w:val="-7"/>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ER 허용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355</w:t>
            </w:r>
          </w:p>
        </w:tc>
      </w:tr>
      <w:tr>
        <w:trPr>
          <w:trHeight w:val="456" w:hRule="atLeast"/>
        </w:trPr>
        <w:tc>
          <w:tcPr>
            <w:tcW w:w="3203" w:type="dxa"/>
          </w:tcPr>
          <w:p>
            <w:pPr>
              <w:pStyle w:val="TableParagraph"/>
              <w:spacing w:before="76"/>
              <w:ind w:left="119"/>
              <w:jc w:val="left"/>
              <w:rPr>
                <w:rFonts w:ascii="Calibri" w:hAnsi="Calibri"/>
                <w:i/>
                <w:sz w:val="24"/>
              </w:rPr>
            </w:pPr>
            <w:r>
              <w:rPr>
                <w:sz w:val="24"/>
              </w:rPr>
              <w:t>AWP</w:t>
            </w:r>
            <w:r>
              <w:rPr>
                <w:spacing w:val="-14"/>
                <w:sz w:val="24"/>
              </w:rPr>
              <w:t> </w:t>
            </w:r>
            <w:r>
              <w:rPr>
                <w:sz w:val="24"/>
              </w:rPr>
              <w:t>transfer</w:t>
            </w:r>
            <w:r>
              <w:rPr>
                <w:spacing w:val="-14"/>
                <w:sz w:val="24"/>
              </w:rPr>
              <w:t> </w:t>
            </w:r>
            <w:r>
              <w:rPr>
                <w:sz w:val="24"/>
              </w:rPr>
              <w:t>mean</w:t>
            </w:r>
            <w:r>
              <w:rPr>
                <w:spacing w:val="-13"/>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AWP 전달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534</w:t>
            </w:r>
          </w:p>
        </w:tc>
      </w:tr>
      <w:tr>
        <w:trPr>
          <w:trHeight w:val="456" w:hRule="atLeast"/>
        </w:trPr>
        <w:tc>
          <w:tcPr>
            <w:tcW w:w="3203" w:type="dxa"/>
          </w:tcPr>
          <w:p>
            <w:pPr>
              <w:pStyle w:val="TableParagraph"/>
              <w:spacing w:before="76"/>
              <w:ind w:left="119"/>
              <w:jc w:val="left"/>
              <w:rPr>
                <w:rFonts w:ascii="Calibri" w:hAnsi="Calibri"/>
                <w:i/>
                <w:sz w:val="24"/>
              </w:rPr>
            </w:pPr>
            <w:r>
              <w:rPr>
                <w:sz w:val="24"/>
              </w:rPr>
              <w:t>ER</w:t>
            </w:r>
            <w:r>
              <w:rPr>
                <w:spacing w:val="-14"/>
                <w:sz w:val="24"/>
              </w:rPr>
              <w:t> </w:t>
            </w:r>
            <w:r>
              <w:rPr>
                <w:sz w:val="24"/>
              </w:rPr>
              <w:t>trading-success</w:t>
            </w:r>
            <w:r>
              <w:rPr>
                <w:spacing w:val="-13"/>
                <w:sz w:val="24"/>
              </w:rPr>
              <w:t> </w:t>
            </w:r>
            <w:r>
              <w:rPr>
                <w:sz w:val="24"/>
              </w:rPr>
              <w:t>mean</w:t>
            </w:r>
            <w:r>
              <w:rPr>
                <w:spacing w:val="-13"/>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ER 거래 성공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096</w:t>
            </w:r>
          </w:p>
        </w:tc>
      </w:tr>
      <w:tr>
        <w:trPr>
          <w:trHeight w:val="456" w:hRule="atLeast"/>
        </w:trPr>
        <w:tc>
          <w:tcPr>
            <w:tcW w:w="3203" w:type="dxa"/>
          </w:tcPr>
          <w:p>
            <w:pPr>
              <w:pStyle w:val="TableParagraph"/>
              <w:spacing w:before="76"/>
              <w:ind w:left="119"/>
              <w:jc w:val="left"/>
              <w:rPr>
                <w:rFonts w:ascii="Calibri" w:hAnsi="Calibri"/>
                <w:i/>
                <w:sz w:val="24"/>
              </w:rPr>
            </w:pPr>
            <w:r>
              <w:rPr>
                <w:spacing w:val="-2"/>
                <w:sz w:val="24"/>
              </w:rPr>
              <w:t>AWP</w:t>
            </w:r>
            <w:r>
              <w:rPr>
                <w:spacing w:val="-7"/>
                <w:sz w:val="24"/>
              </w:rPr>
              <w:t> </w:t>
            </w:r>
            <w:r>
              <w:rPr>
                <w:spacing w:val="-2"/>
                <w:sz w:val="24"/>
              </w:rPr>
              <w:t>trading-success</w:t>
            </w:r>
            <w:r>
              <w:rPr>
                <w:spacing w:val="-6"/>
                <w:sz w:val="24"/>
              </w:rPr>
              <w:t> </w:t>
            </w:r>
            <w:r>
              <w:rPr>
                <w:spacing w:val="-2"/>
                <w:sz w:val="24"/>
              </w:rPr>
              <w:t>mean</w:t>
            </w:r>
            <w:r>
              <w:rPr>
                <w:spacing w:val="-6"/>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AWP 거래 성공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179</w:t>
            </w:r>
          </w:p>
        </w:tc>
      </w:tr>
      <w:tr>
        <w:trPr>
          <w:trHeight w:val="456" w:hRule="atLeast"/>
        </w:trPr>
        <w:tc>
          <w:tcPr>
            <w:tcW w:w="3203" w:type="dxa"/>
          </w:tcPr>
          <w:p>
            <w:pPr>
              <w:pStyle w:val="TableParagraph"/>
              <w:spacing w:before="76"/>
              <w:ind w:left="119"/>
              <w:jc w:val="left"/>
              <w:rPr>
                <w:rFonts w:ascii="Calibri" w:hAnsi="Calibri"/>
                <w:i/>
                <w:sz w:val="24"/>
              </w:rPr>
            </w:pPr>
            <w:r>
              <w:rPr>
                <w:sz w:val="24"/>
              </w:rPr>
              <w:t>GF-PR</w:t>
            </w:r>
            <w:r>
              <w:rPr>
                <w:spacing w:val="-15"/>
                <w:sz w:val="24"/>
              </w:rPr>
              <w:t> </w:t>
            </w:r>
            <w:r>
              <w:rPr>
                <w:sz w:val="24"/>
              </w:rPr>
              <w:t>trading-success</w:t>
            </w:r>
            <w:r>
              <w:rPr>
                <w:spacing w:val="-15"/>
                <w:sz w:val="24"/>
              </w:rPr>
              <w:t> </w:t>
            </w:r>
            <w:r>
              <w:rPr>
                <w:sz w:val="24"/>
              </w:rPr>
              <w:t>mean</w:t>
            </w:r>
            <w:r>
              <w:rPr>
                <w:spacing w:val="-13"/>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GF-PR 거래 성공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583</w:t>
            </w:r>
          </w:p>
        </w:tc>
      </w:tr>
      <w:tr>
        <w:trPr>
          <w:trHeight w:val="456" w:hRule="atLeast"/>
        </w:trPr>
        <w:tc>
          <w:tcPr>
            <w:tcW w:w="3203" w:type="dxa"/>
          </w:tcPr>
          <w:p>
            <w:pPr>
              <w:pStyle w:val="TableParagraph"/>
              <w:spacing w:before="76"/>
              <w:ind w:left="119"/>
              <w:jc w:val="left"/>
              <w:rPr>
                <w:rFonts w:ascii="Calibri" w:hAnsi="Calibri"/>
                <w:i/>
                <w:sz w:val="24"/>
              </w:rPr>
            </w:pPr>
            <w:r>
              <w:rPr>
                <w:sz w:val="24"/>
              </w:rPr>
              <w:t>GF-PR</w:t>
            </w:r>
            <w:r>
              <w:rPr>
                <w:spacing w:val="-9"/>
                <w:sz w:val="24"/>
              </w:rPr>
              <w:t> </w:t>
            </w:r>
            <w:r>
              <w:rPr>
                <w:sz w:val="24"/>
              </w:rPr>
              <w:t>inverse-risk</w:t>
            </w:r>
            <w:r>
              <w:rPr>
                <w:spacing w:val="-9"/>
                <w:sz w:val="24"/>
              </w:rPr>
              <w:t> </w:t>
            </w:r>
            <w:r>
              <w:rPr>
                <w:sz w:val="24"/>
              </w:rPr>
              <w:t>mean</w:t>
            </w:r>
            <w:r>
              <w:rPr>
                <w:spacing w:val="-8"/>
                <w:sz w:val="24"/>
              </w:rPr>
              <w:t> </w:t>
            </w:r>
            <w:r>
              <w:rPr>
                <w:rFonts w:ascii="Calibri" w:hAnsi="Calibri"/>
                <w:i/>
                <w:spacing w:val="-10"/>
                <w:sz w:val="24"/>
              </w:rPr>
              <w:t>τ</w:t>
            </w:r>
          </w:p>
          <w:p>
            <w:pPr>
              <w:pStyle w:val="TableParagraph"/>
              <w:spacing w:before="76"/>
              <w:ind w:left="119"/>
              <w:jc w:val="left"/>
              <w:rPr>
                <w:rFonts w:ascii="Calibri" w:hAnsi="Calibri"/>
                <w:i/>
                <w:sz w:val="24"/>
              </w:rPr>
            </w:pPr>
            <w:r>
              <w:rPr>
                <w:i/>
              </w:rPr>
              <w:t>GF-PR 역위험 평균 τ</w:t>
            </w:r>
          </w:p>
        </w:tc>
        <w:tc>
          <w:tcPr>
            <w:tcW w:w="2723" w:type="dxa"/>
          </w:tcPr>
          <w:p>
            <w:pPr>
              <w:pStyle w:val="TableParagraph"/>
              <w:spacing w:before="76"/>
              <w:ind w:left="132"/>
              <w:jc w:val="left"/>
              <w:rPr>
                <w:rFonts w:ascii="Calibri"/>
                <w:sz w:val="24"/>
              </w:rPr>
            </w:pPr>
            <w:r>
              <w:rPr>
                <w:rFonts w:ascii="Calibri"/>
                <w:spacing w:val="-4"/>
                <w:sz w:val="24"/>
              </w:rPr>
              <w:t>0</w:t>
            </w:r>
            <w:r>
              <w:rPr>
                <w:rFonts w:ascii="Calibri"/>
                <w:i/>
                <w:spacing w:val="-4"/>
                <w:sz w:val="24"/>
              </w:rPr>
              <w:t>.</w:t>
            </w:r>
            <w:r>
              <w:rPr>
                <w:rFonts w:ascii="Calibri"/>
                <w:spacing w:val="-4"/>
                <w:sz w:val="24"/>
              </w:rPr>
              <w:t>376</w:t>
            </w:r>
          </w:p>
        </w:tc>
      </w:tr>
      <w:tr>
        <w:trPr>
          <w:trHeight w:val="456" w:hRule="atLeast"/>
        </w:trPr>
        <w:tc>
          <w:tcPr>
            <w:tcW w:w="3203" w:type="dxa"/>
          </w:tcPr>
          <w:p>
            <w:pPr>
              <w:pStyle w:val="TableParagraph"/>
              <w:spacing w:before="76"/>
              <w:ind w:left="119"/>
              <w:jc w:val="left"/>
              <w:rPr>
                <w:rFonts w:ascii="Calibri"/>
                <w:i/>
                <w:sz w:val="24"/>
              </w:rPr>
            </w:pPr>
            <w:r>
              <w:rPr>
                <w:sz w:val="24"/>
              </w:rPr>
              <w:t>Expanded</w:t>
            </w:r>
            <w:r>
              <w:rPr>
                <w:spacing w:val="-8"/>
                <w:sz w:val="24"/>
              </w:rPr>
              <w:t> </w:t>
            </w:r>
            <w:r>
              <w:rPr>
                <w:sz w:val="24"/>
              </w:rPr>
              <w:t>pool</w:t>
            </w:r>
            <w:r>
              <w:rPr>
                <w:spacing w:val="-8"/>
                <w:sz w:val="24"/>
              </w:rPr>
              <w:t> </w:t>
            </w:r>
            <w:r>
              <w:rPr>
                <w:rFonts w:ascii="Calibri"/>
                <w:i/>
                <w:spacing w:val="-10"/>
                <w:sz w:val="24"/>
              </w:rPr>
              <w:t>N</w:t>
            </w:r>
          </w:p>
          <w:p>
            <w:pPr>
              <w:pStyle w:val="TableParagraph"/>
              <w:spacing w:before="76"/>
              <w:ind w:left="119"/>
              <w:jc w:val="left"/>
              <w:rPr>
                <w:rFonts w:ascii="Calibri"/>
                <w:i/>
                <w:sz w:val="24"/>
              </w:rPr>
            </w:pPr>
            <w:r>
              <w:rPr>
                <w:i/>
              </w:rPr>
              <w:t>확장 풀 N</w:t>
            </w:r>
          </w:p>
        </w:tc>
        <w:tc>
          <w:tcPr>
            <w:tcW w:w="2723" w:type="dxa"/>
          </w:tcPr>
          <w:p>
            <w:pPr>
              <w:pStyle w:val="TableParagraph"/>
              <w:spacing w:before="76"/>
              <w:ind w:left="132"/>
              <w:jc w:val="left"/>
              <w:rPr>
                <w:rFonts w:ascii="Calibri"/>
                <w:sz w:val="24"/>
              </w:rPr>
            </w:pPr>
            <w:r>
              <w:rPr>
                <w:rFonts w:ascii="Calibri"/>
                <w:spacing w:val="-2"/>
                <w:sz w:val="24"/>
              </w:rPr>
              <w:t>31</w:t>
            </w:r>
            <w:r>
              <w:rPr>
                <w:rFonts w:ascii="Calibri"/>
                <w:i/>
                <w:spacing w:val="-2"/>
                <w:sz w:val="24"/>
              </w:rPr>
              <w:t>,</w:t>
            </w:r>
            <w:r>
              <w:rPr>
                <w:rFonts w:ascii="Calibri"/>
                <w:spacing w:val="-2"/>
                <w:sz w:val="24"/>
              </w:rPr>
              <w:t>612</w:t>
            </w:r>
          </w:p>
        </w:tc>
      </w:tr>
      <w:tr>
        <w:trPr>
          <w:trHeight w:val="456" w:hRule="atLeast"/>
        </w:trPr>
        <w:tc>
          <w:tcPr>
            <w:tcW w:w="3203" w:type="dxa"/>
          </w:tcPr>
          <w:p>
            <w:pPr>
              <w:pStyle w:val="TableParagraph"/>
              <w:spacing w:before="76"/>
              <w:ind w:left="119"/>
              <w:jc w:val="left"/>
              <w:rPr>
                <w:rFonts w:ascii="Calibri"/>
                <w:sz w:val="24"/>
              </w:rPr>
            </w:pPr>
            <w:r>
              <w:rPr>
                <w:w w:val="110"/>
                <w:sz w:val="24"/>
              </w:rPr>
              <w:t>Speedup</w:t>
            </w:r>
            <w:r>
              <w:rPr>
                <w:spacing w:val="-17"/>
                <w:w w:val="110"/>
                <w:sz w:val="24"/>
              </w:rPr>
              <w:t> </w:t>
            </w:r>
            <w:r>
              <w:rPr>
                <w:w w:val="110"/>
                <w:sz w:val="24"/>
              </w:rPr>
              <w:t>at</w:t>
            </w:r>
            <w:r>
              <w:rPr>
                <w:spacing w:val="-16"/>
                <w:w w:val="110"/>
                <w:sz w:val="24"/>
              </w:rPr>
              <w:t> </w:t>
            </w:r>
            <w:r>
              <w:rPr>
                <w:rFonts w:ascii="Calibri"/>
                <w:i/>
                <w:w w:val="110"/>
                <w:sz w:val="24"/>
              </w:rPr>
              <w:t>n</w:t>
            </w:r>
            <w:r>
              <w:rPr>
                <w:rFonts w:ascii="Calibri"/>
                <w:i/>
                <w:spacing w:val="-15"/>
                <w:w w:val="110"/>
                <w:sz w:val="24"/>
              </w:rPr>
              <w:t> </w:t>
            </w:r>
            <w:r>
              <w:rPr>
                <w:rFonts w:ascii="Calibri"/>
                <w:w w:val="110"/>
                <w:sz w:val="24"/>
              </w:rPr>
              <w:t>=</w:t>
            </w:r>
            <w:r>
              <w:rPr>
                <w:rFonts w:ascii="Calibri"/>
                <w:spacing w:val="-10"/>
                <w:w w:val="110"/>
                <w:sz w:val="24"/>
              </w:rPr>
              <w:t> </w:t>
            </w:r>
            <w:r>
              <w:rPr>
                <w:rFonts w:ascii="Calibri"/>
                <w:spacing w:val="-2"/>
                <w:w w:val="110"/>
                <w:sz w:val="24"/>
              </w:rPr>
              <w:t>10</w:t>
            </w:r>
            <w:r>
              <w:rPr>
                <w:rFonts w:ascii="Calibri"/>
                <w:i/>
                <w:spacing w:val="-2"/>
                <w:w w:val="110"/>
                <w:sz w:val="24"/>
              </w:rPr>
              <w:t>,</w:t>
            </w:r>
            <w:r>
              <w:rPr>
                <w:rFonts w:ascii="Calibri"/>
                <w:spacing w:val="-2"/>
                <w:w w:val="110"/>
                <w:sz w:val="24"/>
              </w:rPr>
              <w:t>000</w:t>
            </w:r>
          </w:p>
          <w:p>
            <w:pPr>
              <w:pStyle w:val="TableParagraph"/>
              <w:spacing w:before="76"/>
              <w:ind w:left="119"/>
              <w:jc w:val="left"/>
              <w:rPr>
                <w:rFonts w:ascii="Calibri"/>
                <w:sz w:val="24"/>
              </w:rPr>
            </w:pPr>
            <w:r>
              <w:rPr>
                <w:i/>
              </w:rPr>
              <w:t>n = 10,000에서의 속도 향상</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2"/>
                <w:sz w:val="24"/>
              </w:rPr>
              <w:t>10</w:t>
            </w:r>
            <w:r>
              <w:rPr>
                <w:rFonts w:ascii="Calibri" w:hAnsi="Calibri"/>
                <w:i/>
                <w:spacing w:val="-2"/>
                <w:sz w:val="24"/>
              </w:rPr>
              <w:t>.</w:t>
            </w:r>
            <w:r>
              <w:rPr>
                <w:rFonts w:ascii="Calibri" w:hAnsi="Calibri"/>
                <w:spacing w:val="-2"/>
                <w:sz w:val="24"/>
              </w:rPr>
              <w:t>4</w:t>
            </w:r>
            <w:r>
              <w:rPr>
                <w:rFonts w:ascii="Lucida Sans Unicode" w:hAnsi="Lucida Sans Unicode"/>
                <w:spacing w:val="-2"/>
                <w:sz w:val="24"/>
              </w:rPr>
              <w:t>×</w:t>
            </w:r>
          </w:p>
        </w:tc>
      </w:tr>
      <w:tr>
        <w:trPr>
          <w:trHeight w:val="456" w:hRule="atLeast"/>
        </w:trPr>
        <w:tc>
          <w:tcPr>
            <w:tcW w:w="3203" w:type="dxa"/>
          </w:tcPr>
          <w:p>
            <w:pPr>
              <w:pStyle w:val="TableParagraph"/>
              <w:spacing w:before="76"/>
              <w:ind w:left="119"/>
              <w:jc w:val="left"/>
              <w:rPr>
                <w:rFonts w:ascii="Calibri"/>
                <w:sz w:val="24"/>
              </w:rPr>
            </w:pPr>
            <w:r>
              <w:rPr>
                <w:w w:val="110"/>
                <w:sz w:val="24"/>
              </w:rPr>
              <w:t>Speedup</w:t>
            </w:r>
            <w:r>
              <w:rPr>
                <w:spacing w:val="-17"/>
                <w:w w:val="110"/>
                <w:sz w:val="24"/>
              </w:rPr>
              <w:t> </w:t>
            </w:r>
            <w:r>
              <w:rPr>
                <w:w w:val="110"/>
                <w:sz w:val="24"/>
              </w:rPr>
              <w:t>at</w:t>
            </w:r>
            <w:r>
              <w:rPr>
                <w:spacing w:val="-16"/>
                <w:w w:val="110"/>
                <w:sz w:val="24"/>
              </w:rPr>
              <w:t> </w:t>
            </w:r>
            <w:r>
              <w:rPr>
                <w:rFonts w:ascii="Calibri"/>
                <w:i/>
                <w:w w:val="110"/>
                <w:sz w:val="24"/>
              </w:rPr>
              <w:t>N</w:t>
            </w:r>
            <w:r>
              <w:rPr>
                <w:rFonts w:ascii="Calibri"/>
                <w:i/>
                <w:spacing w:val="-5"/>
                <w:w w:val="125"/>
                <w:sz w:val="24"/>
              </w:rPr>
              <w:t> </w:t>
            </w:r>
            <w:r>
              <w:rPr>
                <w:rFonts w:ascii="Calibri"/>
                <w:w w:val="125"/>
                <w:sz w:val="24"/>
              </w:rPr>
              <w:t>=</w:t>
            </w:r>
            <w:r>
              <w:rPr>
                <w:rFonts w:ascii="Calibri"/>
                <w:spacing w:val="-17"/>
                <w:w w:val="125"/>
                <w:sz w:val="24"/>
              </w:rPr>
              <w:t> </w:t>
            </w:r>
            <w:r>
              <w:rPr>
                <w:rFonts w:ascii="Calibri"/>
                <w:spacing w:val="-2"/>
                <w:w w:val="110"/>
                <w:sz w:val="24"/>
              </w:rPr>
              <w:t>31</w:t>
            </w:r>
            <w:r>
              <w:rPr>
                <w:rFonts w:ascii="Calibri"/>
                <w:i/>
                <w:spacing w:val="-2"/>
                <w:w w:val="110"/>
                <w:sz w:val="24"/>
              </w:rPr>
              <w:t>,</w:t>
            </w:r>
            <w:r>
              <w:rPr>
                <w:rFonts w:ascii="Calibri"/>
                <w:spacing w:val="-2"/>
                <w:w w:val="110"/>
                <w:sz w:val="24"/>
              </w:rPr>
              <w:t>612</w:t>
            </w:r>
          </w:p>
          <w:p>
            <w:pPr>
              <w:pStyle w:val="TableParagraph"/>
              <w:spacing w:before="76"/>
              <w:ind w:left="119"/>
              <w:jc w:val="left"/>
              <w:rPr>
                <w:rFonts w:ascii="Calibri"/>
                <w:sz w:val="24"/>
              </w:rPr>
            </w:pPr>
            <w:r>
              <w:rPr>
                <w:i/>
              </w:rPr>
              <w:t>N = 31,612에서의 속도 향상</w:t>
            </w:r>
          </w:p>
        </w:tc>
        <w:tc>
          <w:tcPr>
            <w:tcW w:w="2723" w:type="dxa"/>
          </w:tcPr>
          <w:p>
            <w:pPr>
              <w:pStyle w:val="TableParagraph"/>
              <w:spacing w:before="41"/>
              <w:ind w:left="132"/>
              <w:jc w:val="left"/>
              <w:rPr>
                <w:rFonts w:ascii="Lucida Sans Unicode" w:hAnsi="Lucida Sans Unicode"/>
                <w:sz w:val="24"/>
              </w:rPr>
            </w:pPr>
            <w:r>
              <w:rPr>
                <w:rFonts w:ascii="Lucida Sans Unicode" w:hAnsi="Lucida Sans Unicode"/>
                <w:sz w:val="24"/>
              </w:rPr>
              <w:t>≈</w:t>
            </w:r>
            <w:r>
              <w:rPr>
                <w:rFonts w:ascii="Lucida Sans Unicode" w:hAnsi="Lucida Sans Unicode"/>
                <w:spacing w:val="-16"/>
                <w:sz w:val="24"/>
              </w:rPr>
              <w:t> </w:t>
            </w:r>
            <w:r>
              <w:rPr>
                <w:rFonts w:ascii="Calibri" w:hAnsi="Calibri"/>
                <w:spacing w:val="-4"/>
                <w:sz w:val="24"/>
              </w:rPr>
              <w:t>9</w:t>
            </w:r>
            <w:r>
              <w:rPr>
                <w:rFonts w:ascii="Calibri" w:hAnsi="Calibri"/>
                <w:i/>
                <w:spacing w:val="-4"/>
                <w:sz w:val="24"/>
              </w:rPr>
              <w:t>.</w:t>
            </w:r>
            <w:r>
              <w:rPr>
                <w:rFonts w:ascii="Calibri" w:hAnsi="Calibri"/>
                <w:spacing w:val="-4"/>
                <w:sz w:val="24"/>
              </w:rPr>
              <w:t>4</w:t>
            </w:r>
            <w:r>
              <w:rPr>
                <w:rFonts w:ascii="Lucida Sans Unicode" w:hAnsi="Lucida Sans Unicode"/>
                <w:spacing w:val="-4"/>
                <w:sz w:val="24"/>
              </w:rPr>
              <w:t>×</w:t>
            </w:r>
          </w:p>
        </w:tc>
      </w:tr>
      <w:tr>
        <w:trPr>
          <w:trHeight w:val="484" w:hRule="atLeast"/>
        </w:trPr>
        <w:tc>
          <w:tcPr>
            <w:tcW w:w="3203" w:type="dxa"/>
            <w:tcBorders>
              <w:bottom w:val="single" w:sz="8" w:space="0" w:color="000000"/>
            </w:tcBorders>
          </w:tcPr>
          <w:p>
            <w:pPr>
              <w:pStyle w:val="TableParagraph"/>
              <w:spacing w:before="80"/>
              <w:ind w:left="119"/>
              <w:jc w:val="left"/>
              <w:rPr>
                <w:sz w:val="24"/>
              </w:rPr>
            </w:pPr>
            <w:r>
              <w:rPr>
                <w:sz w:val="24"/>
              </w:rPr>
              <w:t>Observation</w:t>
            </w:r>
            <w:r>
              <w:rPr>
                <w:spacing w:val="-13"/>
                <w:sz w:val="24"/>
              </w:rPr>
              <w:t> </w:t>
            </w:r>
            <w:r>
              <w:rPr>
                <w:spacing w:val="-2"/>
                <w:sz w:val="24"/>
              </w:rPr>
              <w:t>window</w:t>
            </w:r>
          </w:p>
          <w:p>
            <w:pPr>
              <w:pStyle w:val="TableParagraph"/>
              <w:spacing w:before="80"/>
              <w:ind w:left="119"/>
              <w:jc w:val="left"/>
              <w:rPr>
                <w:sz w:val="24"/>
              </w:rPr>
            </w:pPr>
            <w:r>
              <w:rPr>
                <w:i/>
              </w:rPr>
              <w:t>관찰 창</w:t>
            </w:r>
          </w:p>
        </w:tc>
        <w:tc>
          <w:tcPr>
            <w:tcW w:w="2723" w:type="dxa"/>
            <w:tcBorders>
              <w:bottom w:val="single" w:sz="8" w:space="0" w:color="000000"/>
            </w:tcBorders>
          </w:tcPr>
          <w:p>
            <w:pPr>
              <w:pStyle w:val="TableParagraph"/>
              <w:spacing w:before="80"/>
              <w:ind w:left="132"/>
              <w:jc w:val="left"/>
              <w:rPr>
                <w:sz w:val="24"/>
              </w:rPr>
            </w:pPr>
            <w:r>
              <w:rPr>
                <w:sz w:val="24"/>
              </w:rPr>
              <w:t>2025-12-01</w:t>
            </w:r>
            <w:r>
              <w:rPr>
                <w:spacing w:val="-12"/>
                <w:sz w:val="24"/>
              </w:rPr>
              <w:t> </w:t>
            </w:r>
            <w:r>
              <w:rPr>
                <w:sz w:val="24"/>
              </w:rPr>
              <w:t>–</w:t>
            </w:r>
            <w:r>
              <w:rPr>
                <w:spacing w:val="-12"/>
                <w:sz w:val="24"/>
              </w:rPr>
              <w:t> </w:t>
            </w:r>
            <w:r>
              <w:rPr>
                <w:sz w:val="24"/>
              </w:rPr>
              <w:t>2026-05-</w:t>
            </w:r>
            <w:r>
              <w:rPr>
                <w:spacing w:val="-5"/>
                <w:sz w:val="24"/>
              </w:rPr>
              <w:t>31</w:t>
            </w:r>
          </w:p>
        </w:tc>
      </w:tr>
    </w:tbl>
    <w:p>
      <w:pPr>
        <w:pStyle w:val="BodyText"/>
        <w:spacing w:line="396" w:lineRule="auto" w:before="135"/>
        <w:ind w:left="282" w:right="563" w:hanging="8"/>
        <w:jc w:val="both"/>
      </w:pPr>
      <w:r>
        <w:rPr/>
        <w:t>These</w:t>
      </w:r>
      <w:r>
        <w:rPr>
          <w:spacing w:val="-11"/>
        </w:rPr>
        <w:t> </w:t>
      </w:r>
      <w:r>
        <w:rPr/>
        <w:t>values</w:t>
      </w:r>
      <w:r>
        <w:rPr>
          <w:spacing w:val="-10"/>
        </w:rPr>
        <w:t> </w:t>
      </w:r>
      <w:r>
        <w:rPr/>
        <w:t>are</w:t>
      </w:r>
      <w:r>
        <w:rPr>
          <w:spacing w:val="-11"/>
        </w:rPr>
        <w:t> </w:t>
      </w:r>
      <w:r>
        <w:rPr/>
        <w:t>transcribed</w:t>
      </w:r>
      <w:r>
        <w:rPr>
          <w:spacing w:val="-10"/>
        </w:rPr>
        <w:t> </w:t>
      </w:r>
      <w:r>
        <w:rPr/>
        <w:t>from</w:t>
      </w:r>
      <w:r>
        <w:rPr>
          <w:spacing w:val="-11"/>
        </w:rPr>
        <w:t> </w:t>
      </w:r>
      <w:r>
        <w:rPr/>
        <w:t>the</w:t>
      </w:r>
      <w:r>
        <w:rPr>
          <w:spacing w:val="-10"/>
        </w:rPr>
        <w:t> </w:t>
      </w:r>
      <w:r>
        <w:rPr/>
        <w:t>pipeline’s</w:t>
      </w:r>
      <w:r>
        <w:rPr>
          <w:spacing w:val="-11"/>
        </w:rPr>
        <w:t> </w:t>
      </w:r>
      <w:r>
        <w:rPr/>
        <w:t>machine-readable</w:t>
      </w:r>
      <w:r>
        <w:rPr>
          <w:spacing w:val="-10"/>
        </w:rPr>
        <w:t> </w:t>
      </w:r>
      <w:r>
        <w:rPr/>
        <w:t>evaluation</w:t>
      </w:r>
      <w:r>
        <w:rPr>
          <w:spacing w:val="-11"/>
        </w:rPr>
        <w:t> </w:t>
      </w:r>
      <w:r>
        <w:rPr/>
        <w:t>summary</w:t>
      </w:r>
      <w:r>
        <w:rPr>
          <w:spacing w:val="-10"/>
        </w:rPr>
        <w:t> </w:t>
      </w:r>
      <w:r>
        <w:rPr/>
        <w:t>and</w:t>
      </w:r>
      <w:r>
        <w:rPr>
          <w:spacing w:val="-11"/>
        </w:rPr>
        <w:t> </w:t>
      </w:r>
      <w:r>
        <w:rPr/>
        <w:t>match </w:t>
      </w:r>
      <w:bookmarkStart w:name="Archived Extended Baselines" w:id="377"/>
      <w:bookmarkEnd w:id="377"/>
      <w:r>
        <w:rPr>
          <w:w w:val="99"/>
        </w:rPr>
      </w:r>
      <w:bookmarkStart w:name="_bookmark227" w:id="378"/>
      <w:bookmarkEnd w:id="378"/>
      <w:r>
        <w:rPr/>
        <w:t>the</w:t>
      </w:r>
      <w:r>
        <w:rPr/>
        <w:t> exported result tables.</w:t>
      </w:r>
    </w:p>
    <w:p>
      <w:pPr>
        <w:pStyle w:val="BodyText"/>
        <w:spacing w:line="396" w:lineRule="auto" w:before="135"/>
        <w:ind w:left="282" w:right="563" w:hanging="8"/>
        <w:jc w:val="both"/>
      </w:pPr>
      <w:r>
        <w:rPr>
          <w:i/>
        </w:rPr>
        <w:t>이러한 값은 파이프라인의 기계 판독 가능 평가 요약에서 기록되며 내보낸 결과 테이블과 일치합니다.</w:t>
      </w:r>
    </w:p>
    <w:p>
      <w:pPr>
        <w:pStyle w:val="BodyText"/>
        <w:spacing w:before="147"/>
      </w:pPr>
    </w:p>
    <w:p>
      <w:pPr>
        <w:pStyle w:val="Heading2"/>
        <w:numPr>
          <w:ilvl w:val="1"/>
          <w:numId w:val="8"/>
        </w:numPr>
        <w:tabs>
          <w:tab w:pos="783" w:val="left" w:leader="none"/>
        </w:tabs>
        <w:spacing w:line="240" w:lineRule="auto" w:before="0" w:after="0"/>
        <w:ind w:left="783" w:right="0" w:hanging="501"/>
        <w:jc w:val="left"/>
      </w:pPr>
      <w:r>
        <w:rPr/>
        <w:t>Archived</w:t>
      </w:r>
      <w:r>
        <w:rPr>
          <w:spacing w:val="14"/>
        </w:rPr>
        <w:t> </w:t>
      </w:r>
      <w:r>
        <w:rPr/>
        <w:t>Extended</w:t>
      </w:r>
      <w:r>
        <w:rPr>
          <w:spacing w:val="14"/>
        </w:rPr>
        <w:t> </w:t>
      </w:r>
      <w:r>
        <w:rPr>
          <w:spacing w:val="-2"/>
        </w:rPr>
        <w:t>Baselines</w:t>
      </w:r>
    </w:p>
    <w:p>
      <w:pPr>
        <w:pStyle w:val="Heading2"/>
        <w:numPr>
          <w:ilvl w:val="1"/>
          <w:numId w:val="8"/>
        </w:numPr>
        <w:tabs>
          <w:tab w:pos="783" w:val="left" w:leader="none"/>
        </w:tabs>
        <w:spacing w:line="240" w:lineRule="auto" w:before="0" w:after="0"/>
        <w:ind w:left="783" w:right="0" w:hanging="501"/>
        <w:jc w:val="left"/>
      </w:pPr>
      <w:r>
        <w:rPr>
          <w:i/>
        </w:rPr>
        <w:t>보관된 확장 기준선</w:t>
      </w:r>
    </w:p>
    <w:p>
      <w:pPr>
        <w:pStyle w:val="BodyText"/>
        <w:spacing w:before="24"/>
        <w:rPr>
          <w:b/>
          <w:sz w:val="28"/>
        </w:rPr>
      </w:pPr>
    </w:p>
    <w:p>
      <w:pPr>
        <w:pStyle w:val="BodyText"/>
        <w:spacing w:line="396" w:lineRule="auto"/>
        <w:ind w:left="282" w:right="563"/>
        <w:jc w:val="both"/>
      </w:pPr>
      <w:r>
        <w:rPr>
          <w:spacing w:val="-2"/>
        </w:rPr>
        <w:t>During</w:t>
      </w:r>
      <w:r>
        <w:rPr>
          <w:spacing w:val="-8"/>
        </w:rPr>
        <w:t> </w:t>
      </w:r>
      <w:r>
        <w:rPr>
          <w:spacing w:val="-2"/>
        </w:rPr>
        <w:t>exploratory</w:t>
      </w:r>
      <w:r>
        <w:rPr>
          <w:spacing w:val="-8"/>
        </w:rPr>
        <w:t> </w:t>
      </w:r>
      <w:r>
        <w:rPr>
          <w:spacing w:val="-2"/>
        </w:rPr>
        <w:t>analysis,</w:t>
      </w:r>
      <w:r>
        <w:rPr>
          <w:spacing w:val="-4"/>
        </w:rPr>
        <w:t> </w:t>
      </w:r>
      <w:r>
        <w:rPr>
          <w:spacing w:val="-2"/>
        </w:rPr>
        <w:t>additional</w:t>
      </w:r>
      <w:r>
        <w:rPr>
          <w:spacing w:val="-8"/>
        </w:rPr>
        <w:t> </w:t>
      </w:r>
      <w:r>
        <w:rPr>
          <w:spacing w:val="-2"/>
        </w:rPr>
        <w:t>PageRank</w:t>
      </w:r>
      <w:r>
        <w:rPr>
          <w:spacing w:val="-8"/>
        </w:rPr>
        <w:t> </w:t>
      </w:r>
      <w:r>
        <w:rPr>
          <w:spacing w:val="-2"/>
        </w:rPr>
        <w:t>variants</w:t>
      </w:r>
      <w:r>
        <w:rPr>
          <w:spacing w:val="-9"/>
        </w:rPr>
        <w:t> </w:t>
      </w:r>
      <w:r>
        <w:rPr>
          <w:spacing w:val="-2"/>
        </w:rPr>
        <w:t>were</w:t>
      </w:r>
      <w:r>
        <w:rPr>
          <w:spacing w:val="-8"/>
        </w:rPr>
        <w:t> </w:t>
      </w:r>
      <w:r>
        <w:rPr>
          <w:spacing w:val="-2"/>
        </w:rPr>
        <w:t>scored</w:t>
      </w:r>
      <w:r>
        <w:rPr>
          <w:spacing w:val="-8"/>
        </w:rPr>
        <w:t> </w:t>
      </w:r>
      <w:r>
        <w:rPr>
          <w:spacing w:val="-2"/>
        </w:rPr>
        <w:t>on</w:t>
      </w:r>
      <w:r>
        <w:rPr>
          <w:spacing w:val="-8"/>
        </w:rPr>
        <w:t> </w:t>
      </w:r>
      <w:r>
        <w:rPr>
          <w:spacing w:val="-2"/>
        </w:rPr>
        <w:t>the</w:t>
      </w:r>
      <w:r>
        <w:rPr>
          <w:spacing w:val="-8"/>
        </w:rPr>
        <w:t> </w:t>
      </w:r>
      <w:r>
        <w:rPr>
          <w:spacing w:val="-2"/>
        </w:rPr>
        <w:t>same</w:t>
      </w:r>
      <w:r>
        <w:rPr>
          <w:spacing w:val="-8"/>
        </w:rPr>
        <w:t> </w:t>
      </w:r>
      <w:r>
        <w:rPr>
          <w:spacing w:val="-2"/>
        </w:rPr>
        <w:t>matched</w:t>
      </w:r>
      <w:r>
        <w:rPr>
          <w:spacing w:val="-8"/>
        </w:rPr>
        <w:t> </w:t>
      </w:r>
      <w:r>
        <w:rPr>
          <w:spacing w:val="-2"/>
        </w:rPr>
        <w:t>cohort </w:t>
      </w:r>
      <w:r>
        <w:rPr/>
        <w:t>and proxy families.</w:t>
      </w:r>
      <w:r>
        <w:rPr>
          <w:spacing w:val="40"/>
        </w:rPr>
        <w:t> </w:t>
      </w:r>
      <w:r>
        <w:rPr/>
        <w:t>They are archived here for completeness and future work.</w:t>
      </w:r>
      <w:r>
        <w:rPr>
          <w:spacing w:val="40"/>
        </w:rPr>
        <w:t> </w:t>
      </w:r>
      <w:r>
        <w:rPr/>
        <w:t>They are </w:t>
      </w:r>
      <w:r>
        <w:rPr>
          <w:i/>
        </w:rPr>
        <w:t>not </w:t>
      </w:r>
      <w:r>
        <w:rPr/>
        <w:t>part of</w:t>
      </w:r>
      <w:r>
        <w:rPr>
          <w:spacing w:val="-9"/>
        </w:rPr>
        <w:t> </w:t>
      </w:r>
      <w:r>
        <w:rPr/>
        <w:t>the</w:t>
      </w:r>
      <w:r>
        <w:rPr>
          <w:spacing w:val="-9"/>
        </w:rPr>
        <w:t> </w:t>
      </w:r>
      <w:r>
        <w:rPr/>
        <w:t>primary</w:t>
      </w:r>
      <w:r>
        <w:rPr>
          <w:spacing w:val="-9"/>
        </w:rPr>
        <w:t> </w:t>
      </w:r>
      <w:r>
        <w:rPr/>
        <w:t>EndorseRank–AWP</w:t>
      </w:r>
      <w:r>
        <w:rPr>
          <w:spacing w:val="-9"/>
        </w:rPr>
        <w:t> </w:t>
      </w:r>
      <w:r>
        <w:rPr/>
        <w:t>research</w:t>
      </w:r>
      <w:r>
        <w:rPr>
          <w:spacing w:val="-9"/>
        </w:rPr>
        <w:t> </w:t>
      </w:r>
      <w:r>
        <w:rPr/>
        <w:t>questions</w:t>
      </w:r>
      <w:r>
        <w:rPr>
          <w:spacing w:val="-9"/>
        </w:rPr>
        <w:t> </w:t>
      </w:r>
      <w:r>
        <w:rPr/>
        <w:t>and</w:t>
      </w:r>
      <w:r>
        <w:rPr>
          <w:spacing w:val="-9"/>
        </w:rPr>
        <w:t> </w:t>
      </w:r>
      <w:r>
        <w:rPr/>
        <w:t>should</w:t>
      </w:r>
      <w:r>
        <w:rPr>
          <w:spacing w:val="-9"/>
        </w:rPr>
        <w:t> </w:t>
      </w:r>
      <w:r>
        <w:rPr/>
        <w:t>not</w:t>
      </w:r>
      <w:r>
        <w:rPr>
          <w:spacing w:val="-9"/>
        </w:rPr>
        <w:t> </w:t>
      </w:r>
      <w:r>
        <w:rPr/>
        <w:t>be</w:t>
      </w:r>
      <w:r>
        <w:rPr>
          <w:spacing w:val="-9"/>
        </w:rPr>
        <w:t> </w:t>
      </w:r>
      <w:r>
        <w:rPr/>
        <w:t>read</w:t>
      </w:r>
      <w:r>
        <w:rPr>
          <w:spacing w:val="-9"/>
        </w:rPr>
        <w:t> </w:t>
      </w:r>
      <w:r>
        <w:rPr/>
        <w:t>as</w:t>
      </w:r>
      <w:r>
        <w:rPr>
          <w:spacing w:val="-9"/>
        </w:rPr>
        <w:t> </w:t>
      </w:r>
      <w:r>
        <w:rPr/>
        <w:t>peer</w:t>
      </w:r>
      <w:r>
        <w:rPr>
          <w:spacing w:val="-9"/>
        </w:rPr>
        <w:t> </w:t>
      </w:r>
      <w:r>
        <w:rPr/>
        <w:t>claims</w:t>
      </w:r>
      <w:r>
        <w:rPr>
          <w:spacing w:val="-9"/>
        </w:rPr>
        <w:t> </w:t>
      </w:r>
      <w:r>
        <w:rPr/>
        <w:t>in</w:t>
      </w:r>
      <w:r>
        <w:rPr>
          <w:spacing w:val="-9"/>
        </w:rPr>
        <w:t> </w:t>
      </w:r>
      <w:r>
        <w:rPr/>
        <w:t>the</w:t>
      </w:r>
    </w:p>
    <w:p>
      <w:pPr>
        <w:pStyle w:val="BodyText"/>
        <w:spacing w:line="396" w:lineRule="auto"/>
        <w:ind w:left="282" w:right="563"/>
        <w:jc w:val="both"/>
      </w:pPr>
      <w:r>
        <w:rPr>
          <w:i/>
        </w:rPr>
        <w:t>탐색적 분석 중에 동일한 일치 코호트 및 프록시 계열에 대해 추가 PageRank 변종의 점수가 매겨졌습니다. 완전성과 향후 작업을 위해 여기에 보관됩니다. 이는 기본 EndorseRank–AWP 연구 질문의 일부가 아니며 동료 주장으로 읽어서는 안 됩니다.</w:t>
      </w:r>
    </w:p>
    <w:p>
      <w:pPr>
        <w:pStyle w:val="BodyText"/>
        <w:spacing w:after="0" w:line="396" w:lineRule="auto"/>
        <w:jc w:val="both"/>
        <w:sectPr>
          <w:pgSz w:w="11910" w:h="16840"/>
          <w:pgMar w:header="0" w:footer="2115" w:top="1880" w:bottom="2300" w:left="992" w:right="708"/>
        </w:sectPr>
      </w:pPr>
    </w:p>
    <w:p>
      <w:pPr>
        <w:pStyle w:val="BodyText"/>
        <w:spacing w:before="72"/>
        <w:ind w:left="282"/>
        <w:jc w:val="both"/>
      </w:pPr>
      <w:bookmarkStart w:name="Six-method Aave-oriented matrix" w:id="379"/>
      <w:bookmarkEnd w:id="379"/>
      <w:r>
        <w:rPr/>
      </w:r>
      <w:bookmarkStart w:name="_bookmark230" w:id="380"/>
      <w:bookmarkEnd w:id="380"/>
      <w:r>
        <w:rPr/>
      </w:r>
      <w:bookmarkStart w:name="Seven-method alignment matrix" w:id="381"/>
      <w:bookmarkEnd w:id="381"/>
      <w:r>
        <w:rPr/>
      </w:r>
      <w:bookmarkStart w:name="_bookmark228" w:id="382"/>
      <w:bookmarkEnd w:id="382"/>
      <w:r>
        <w:rPr/>
      </w:r>
      <w:r>
        <w:rPr/>
        <w:t>main</w:t>
      </w:r>
      <w:r>
        <w:rPr>
          <w:spacing w:val="-6"/>
        </w:rPr>
        <w:t> </w:t>
      </w:r>
      <w:r>
        <w:rPr>
          <w:spacing w:val="-2"/>
        </w:rPr>
        <w:t>narrative.</w:t>
      </w:r>
    </w:p>
    <w:p>
      <w:pPr>
        <w:pStyle w:val="BodyText"/>
        <w:spacing w:before="72"/>
        <w:ind w:left="282"/>
        <w:jc w:val="both"/>
      </w:pPr>
      <w:r>
        <w:rPr>
          <w:i/>
        </w:rPr>
        <w:t>주요 서사.</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r>
        <w:rPr>
          <w:spacing w:val="-2"/>
        </w:rPr>
        <w:t>Seven-method</w:t>
      </w:r>
      <w:r>
        <w:rPr>
          <w:spacing w:val="2"/>
        </w:rPr>
        <w:t> </w:t>
      </w:r>
      <w:r>
        <w:rPr>
          <w:spacing w:val="-2"/>
        </w:rPr>
        <w:t>alignment</w:t>
      </w:r>
      <w:r>
        <w:rPr>
          <w:spacing w:val="2"/>
        </w:rPr>
        <w:t> </w:t>
      </w:r>
      <w:r>
        <w:rPr>
          <w:spacing w:val="-2"/>
        </w:rPr>
        <w:t>matrix</w:t>
      </w:r>
    </w:p>
    <w:p>
      <w:pPr>
        <w:pStyle w:val="Heading4"/>
        <w:numPr>
          <w:ilvl w:val="2"/>
          <w:numId w:val="8"/>
        </w:numPr>
        <w:tabs>
          <w:tab w:pos="879" w:val="left" w:leader="none"/>
        </w:tabs>
        <w:spacing w:line="240" w:lineRule="auto" w:before="0" w:after="0"/>
        <w:ind w:left="879" w:right="0" w:hanging="597"/>
        <w:jc w:val="left"/>
      </w:pPr>
      <w:r>
        <w:rPr>
          <w:i/>
        </w:rPr>
        <w:t>7가지 방법 정렬 행렬</w:t>
      </w:r>
    </w:p>
    <w:p>
      <w:pPr>
        <w:pStyle w:val="BodyText"/>
        <w:spacing w:before="42"/>
        <w:rPr>
          <w:b/>
        </w:rPr>
      </w:pPr>
    </w:p>
    <w:p>
      <w:pPr>
        <w:pStyle w:val="BodyText"/>
        <w:spacing w:line="391" w:lineRule="auto"/>
        <w:ind w:left="282" w:right="524" w:hanging="8"/>
        <w:jc w:val="both"/>
      </w:pPr>
      <w:r>
        <w:rPr/>
        <w:t>Table</w:t>
      </w:r>
      <w:r>
        <w:rPr>
          <w:spacing w:val="-15"/>
        </w:rPr>
        <w:t> </w:t>
      </w:r>
      <w:hyperlink w:history="true" w:anchor="_bookmark229">
        <w:r>
          <w:rPr/>
          <w:t>8.4</w:t>
        </w:r>
      </w:hyperlink>
      <w:r>
        <w:rPr>
          <w:spacing w:val="-15"/>
        </w:rPr>
        <w:t> </w:t>
      </w:r>
      <w:r>
        <w:rPr/>
        <w:t>reports</w:t>
      </w:r>
      <w:r>
        <w:rPr>
          <w:spacing w:val="-15"/>
        </w:rPr>
        <w:t> </w:t>
      </w:r>
      <w:r>
        <w:rPr/>
        <w:t>family-level</w:t>
      </w:r>
      <w:r>
        <w:rPr>
          <w:spacing w:val="-15"/>
        </w:rPr>
        <w:t> </w:t>
      </w:r>
      <w:r>
        <w:rPr/>
        <w:t>mean</w:t>
      </w:r>
      <w:r>
        <w:rPr>
          <w:spacing w:val="-15"/>
        </w:rPr>
        <w:t> </w:t>
      </w:r>
      <w:r>
        <w:rPr/>
        <w:t>Kendall</w:t>
      </w:r>
      <w:r>
        <w:rPr>
          <w:spacing w:val="-15"/>
        </w:rPr>
        <w:t> </w:t>
      </w:r>
      <w:r>
        <w:rPr>
          <w:rFonts w:ascii="Calibri" w:hAnsi="Calibri"/>
          <w:i/>
        </w:rPr>
        <w:t>τ</w:t>
      </w:r>
      <w:r>
        <w:rPr>
          <w:rFonts w:ascii="Calibri" w:hAnsi="Calibri"/>
          <w:i/>
          <w:spacing w:val="-14"/>
        </w:rPr>
        <w:t> </w:t>
      </w:r>
      <w:r>
        <w:rPr/>
        <w:t>for</w:t>
      </w:r>
      <w:r>
        <w:rPr>
          <w:spacing w:val="-15"/>
        </w:rPr>
        <w:t> </w:t>
      </w:r>
      <w:r>
        <w:rPr/>
        <w:t>seven</w:t>
      </w:r>
      <w:r>
        <w:rPr>
          <w:spacing w:val="-15"/>
        </w:rPr>
        <w:t> </w:t>
      </w:r>
      <w:r>
        <w:rPr/>
        <w:t>methods,</w:t>
      </w:r>
      <w:r>
        <w:rPr>
          <w:spacing w:val="-15"/>
        </w:rPr>
        <w:t> </w:t>
      </w:r>
      <w:r>
        <w:rPr/>
        <w:t>including</w:t>
      </w:r>
      <w:r>
        <w:rPr>
          <w:spacing w:val="-15"/>
        </w:rPr>
        <w:t> </w:t>
      </w:r>
      <w:r>
        <w:rPr/>
        <w:t>LP-PR,</w:t>
      </w:r>
      <w:r>
        <w:rPr>
          <w:spacing w:val="-15"/>
        </w:rPr>
        <w:t> </w:t>
      </w:r>
      <w:r>
        <w:rPr/>
        <w:t>CW-AWP,</w:t>
      </w:r>
      <w:r>
        <w:rPr>
          <w:spacing w:val="-15"/>
        </w:rPr>
        <w:t> </w:t>
      </w:r>
      <w:r>
        <w:rPr/>
        <w:t>LF-PR, and RiskProp-style variants implemented in the evaluation codebase.</w:t>
      </w:r>
      <w:r>
        <w:rPr>
          <w:spacing w:val="40"/>
        </w:rPr>
        <w:t> </w:t>
      </w:r>
      <w:r>
        <w:rPr/>
        <w:t>EndorseRank remains the allowance-family leader; AWP (and closely related transfer variants) lead on transfer; GF-PR leads on inverse-risk and GMX success by construction.</w:t>
      </w:r>
    </w:p>
    <w:p>
      <w:pPr>
        <w:pStyle w:val="BodyText"/>
        <w:spacing w:line="391" w:lineRule="auto"/>
        <w:ind w:left="282" w:right="524" w:hanging="8"/>
        <w:jc w:val="both"/>
      </w:pPr>
      <w:r>
        <w:rPr>
          <w:i/>
        </w:rPr>
        <w:t>표 8.4는 평가 코드베이스에 구현된 LP-PR, CW-AWP, LF-PR 및 RiskProp 스타일 변형을 포함한 7가지 방법에 대한 제품군 수준 평균 Kendall τ를 보고합니다. EndorseRank는 수당 계열 리더로 남아 있고, AWP(및 밀접하게 관련된 이전 변형)는 이전을 주도하고, GF-PR은 역위험 및 GMX 건설 성공을 주도합니다.</w:t>
      </w:r>
    </w:p>
    <w:p>
      <w:pPr>
        <w:pStyle w:val="BodyText"/>
        <w:spacing w:line="244" w:lineRule="auto" w:before="75"/>
        <w:ind w:left="282" w:right="533" w:hanging="8"/>
        <w:jc w:val="both"/>
      </w:pPr>
      <w:bookmarkStart w:name="_bookmark229" w:id="383"/>
      <w:bookmarkEnd w:id="383"/>
      <w:r>
        <w:rPr/>
      </w:r>
      <w:r>
        <w:rPr/>
        <w:t>Table 8.4:</w:t>
      </w:r>
      <w:r>
        <w:rPr>
          <w:spacing w:val="40"/>
        </w:rPr>
        <w:t> </w:t>
      </w:r>
      <w:r>
        <w:rPr/>
        <w:t>Mean Kendall </w:t>
      </w:r>
      <w:r>
        <w:rPr>
          <w:rFonts w:ascii="Calibri" w:hAnsi="Calibri"/>
          <w:i/>
        </w:rPr>
        <w:t>τ </w:t>
      </w:r>
      <w:r>
        <w:rPr/>
        <w:t>by proxy family across 7 PageRank methods (</w:t>
      </w:r>
      <w:r>
        <w:rPr>
          <w:rFonts w:ascii="Calibri" w:hAnsi="Calibri"/>
          <w:i/>
        </w:rPr>
        <w:t>n</w:t>
      </w:r>
      <w:r>
        <w:rPr>
          <w:rFonts w:ascii="Calibri" w:hAnsi="Calibri"/>
          <w:i/>
          <w:w w:val="125"/>
        </w:rPr>
        <w:t> </w:t>
      </w:r>
      <w:r>
        <w:rPr>
          <w:rFonts w:ascii="Calibri" w:hAnsi="Calibri"/>
          <w:w w:val="125"/>
        </w:rPr>
        <w:t>=</w:t>
      </w:r>
      <w:r>
        <w:rPr>
          <w:rFonts w:ascii="Calibri" w:hAnsi="Calibri"/>
          <w:w w:val="125"/>
        </w:rPr>
        <w:t> </w:t>
      </w:r>
      <w:r>
        <w:rPr>
          <w:rFonts w:ascii="Calibri" w:hAnsi="Calibri"/>
        </w:rPr>
        <w:t>5521</w:t>
      </w:r>
      <w:r>
        <w:rPr/>
        <w:t>).</w:t>
      </w:r>
      <w:r>
        <w:rPr>
          <w:spacing w:val="40"/>
        </w:rPr>
        <w:t> </w:t>
      </w:r>
      <w:r>
        <w:rPr/>
        <w:t>Bold = column maximum.</w:t>
      </w:r>
      <w:r>
        <w:rPr>
          <w:spacing w:val="40"/>
        </w:rPr>
        <w:t> </w:t>
      </w:r>
      <w:r>
        <w:rPr/>
        <w:t>Runtime = mean PageRank wall time (s, 3 repeats).</w:t>
      </w:r>
      <w:r>
        <w:rPr>
          <w:spacing w:val="40"/>
        </w:rPr>
        <w:t> </w:t>
      </w:r>
      <w:r>
        <w:rPr/>
        <w:t>Edge counts: liq-</w:t>
      </w:r>
      <w:r>
        <w:rPr/>
        <w:t>pr=45, borrow-pr=484, repay-pr=787, borrow-pr-pool=262, repay-pr-pool=232, delegation-pr=0.</w:t>
      </w:r>
    </w:p>
    <w:p>
      <w:pPr>
        <w:pStyle w:val="BodyText"/>
        <w:spacing w:line="244" w:lineRule="auto" w:before="75"/>
        <w:ind w:left="282" w:right="533" w:hanging="8"/>
        <w:jc w:val="both"/>
      </w:pPr>
      <w:r>
        <w:rPr>
          <w:i/>
        </w:rPr>
        <w:t>표 8.4: 7개 PageRank 방법에 걸쳐 프록시 계열의 평균 Kendall τ(n = 5521). 굵은 글씨 = 열 최대값. 런타임 = 평균 PageRank 벽 시간(초, 3회 반복). 엣지 카운트: liq-pr=45, rent-pr=484, repay-pr=787, rent-pr-pool=262, repay-pr-pool=232, delegation-pr=0.</w:t>
      </w:r>
    </w:p>
    <w:p>
      <w:pPr>
        <w:pStyle w:val="BodyText"/>
        <w:spacing w:before="10"/>
        <w:rPr>
          <w:sz w:val="20"/>
        </w:rPr>
      </w:pPr>
    </w:p>
    <w:tbl>
      <w:tblPr>
        <w:tblW w:w="0" w:type="auto"/>
        <w:jc w:val="left"/>
        <w:tblInd w:w="1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5"/>
        <w:gridCol w:w="871"/>
        <w:gridCol w:w="1085"/>
        <w:gridCol w:w="631"/>
        <w:gridCol w:w="799"/>
        <w:gridCol w:w="631"/>
        <w:gridCol w:w="649"/>
        <w:gridCol w:w="1176"/>
      </w:tblGrid>
      <w:tr>
        <w:trPr>
          <w:trHeight w:val="381" w:hRule="atLeast"/>
        </w:trPr>
        <w:tc>
          <w:tcPr>
            <w:tcW w:w="1315"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p>
            <w:pPr>
              <w:pStyle w:val="TableParagraph"/>
              <w:spacing w:before="53"/>
              <w:ind w:left="69"/>
              <w:jc w:val="left"/>
              <w:rPr>
                <w:sz w:val="22"/>
              </w:rPr>
            </w:pPr>
            <w:r>
              <w:rPr>
                <w:i/>
              </w:rPr>
              <w:t>방법</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p>
            <w:pPr>
              <w:pStyle w:val="TableParagraph"/>
              <w:spacing w:before="53"/>
              <w:rPr>
                <w:sz w:val="22"/>
              </w:rPr>
            </w:pPr>
            <w:r>
              <w:rPr>
                <w:i/>
              </w:rPr>
              <w:t>옮기다</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p>
            <w:pPr>
              <w:pStyle w:val="TableParagraph"/>
              <w:spacing w:before="53"/>
              <w:ind w:left="1" w:right="1"/>
              <w:rPr>
                <w:sz w:val="22"/>
              </w:rPr>
            </w:pPr>
            <w:r>
              <w:rPr>
                <w:i/>
              </w:rPr>
              <w:t>용돈</w:t>
            </w:r>
          </w:p>
        </w:tc>
        <w:tc>
          <w:tcPr>
            <w:tcW w:w="631" w:type="dxa"/>
            <w:tcBorders>
              <w:top w:val="single" w:sz="8" w:space="0" w:color="000000"/>
              <w:bottom w:val="single" w:sz="6" w:space="0" w:color="000000"/>
            </w:tcBorders>
          </w:tcPr>
          <w:p>
            <w:pPr>
              <w:pStyle w:val="TableParagraph"/>
              <w:spacing w:before="53"/>
              <w:ind w:left="2" w:right="3"/>
              <w:rPr>
                <w:sz w:val="22"/>
              </w:rPr>
            </w:pPr>
            <w:r>
              <w:rPr>
                <w:spacing w:val="-4"/>
                <w:sz w:val="22"/>
              </w:rPr>
              <w:t>Liq.</w:t>
            </w:r>
          </w:p>
          <w:p>
            <w:pPr>
              <w:pStyle w:val="TableParagraph"/>
              <w:spacing w:before="53"/>
              <w:ind w:left="2" w:right="3"/>
              <w:rPr>
                <w:sz w:val="22"/>
              </w:rPr>
            </w:pPr>
            <w:r>
              <w:rPr>
                <w:i/>
              </w:rPr>
              <w:t>액체.</w:t>
            </w:r>
          </w:p>
        </w:tc>
        <w:tc>
          <w:tcPr>
            <w:tcW w:w="799" w:type="dxa"/>
            <w:tcBorders>
              <w:top w:val="single" w:sz="8" w:space="0" w:color="000000"/>
              <w:bottom w:val="single" w:sz="6" w:space="0" w:color="000000"/>
            </w:tcBorders>
          </w:tcPr>
          <w:p>
            <w:pPr>
              <w:pStyle w:val="TableParagraph"/>
              <w:spacing w:before="53"/>
              <w:ind w:left="2" w:right="2"/>
              <w:rPr>
                <w:sz w:val="22"/>
              </w:rPr>
            </w:pPr>
            <w:r>
              <w:rPr>
                <w:spacing w:val="-2"/>
                <w:sz w:val="22"/>
              </w:rPr>
              <w:t>Inv.risk</w:t>
            </w:r>
          </w:p>
          <w:p>
            <w:pPr>
              <w:pStyle w:val="TableParagraph"/>
              <w:spacing w:before="53"/>
              <w:ind w:left="2" w:right="2"/>
              <w:rPr>
                <w:sz w:val="22"/>
              </w:rPr>
            </w:pPr>
            <w:r>
              <w:rPr>
                <w:i/>
              </w:rPr>
              <w:t>투자위험</w:t>
            </w:r>
          </w:p>
        </w:tc>
        <w:tc>
          <w:tcPr>
            <w:tcW w:w="631" w:type="dxa"/>
            <w:tcBorders>
              <w:top w:val="single" w:sz="8" w:space="0" w:color="000000"/>
              <w:bottom w:val="single" w:sz="6" w:space="0" w:color="000000"/>
            </w:tcBorders>
          </w:tcPr>
          <w:p>
            <w:pPr>
              <w:pStyle w:val="TableParagraph"/>
              <w:spacing w:before="53"/>
              <w:ind w:left="1" w:right="3"/>
              <w:rPr>
                <w:sz w:val="22"/>
              </w:rPr>
            </w:pPr>
            <w:r>
              <w:rPr>
                <w:spacing w:val="-2"/>
                <w:sz w:val="22"/>
              </w:rPr>
              <w:t>Sybil</w:t>
            </w:r>
          </w:p>
        </w:tc>
        <w:tc>
          <w:tcPr>
            <w:tcW w:w="649" w:type="dxa"/>
            <w:tcBorders>
              <w:top w:val="single" w:sz="8" w:space="0" w:color="000000"/>
              <w:bottom w:val="single" w:sz="6" w:space="0" w:color="000000"/>
            </w:tcBorders>
          </w:tcPr>
          <w:p>
            <w:pPr>
              <w:pStyle w:val="TableParagraph"/>
              <w:spacing w:before="53"/>
              <w:ind w:left="1" w:right="4"/>
              <w:rPr>
                <w:sz w:val="22"/>
              </w:rPr>
            </w:pPr>
            <w:r>
              <w:rPr>
                <w:spacing w:val="-5"/>
                <w:sz w:val="22"/>
              </w:rPr>
              <w:t>GMX</w:t>
            </w:r>
          </w:p>
        </w:tc>
        <w:tc>
          <w:tcPr>
            <w:tcW w:w="1176" w:type="dxa"/>
            <w:tcBorders>
              <w:top w:val="single" w:sz="8" w:space="0" w:color="000000"/>
              <w:bottom w:val="single" w:sz="6" w:space="0" w:color="000000"/>
            </w:tcBorders>
          </w:tcPr>
          <w:p>
            <w:pPr>
              <w:pStyle w:val="TableParagraph"/>
              <w:spacing w:before="53"/>
              <w:ind w:right="70"/>
              <w:jc w:val="right"/>
              <w:rPr>
                <w:sz w:val="22"/>
              </w:rPr>
            </w:pPr>
            <w:r>
              <w:rPr>
                <w:sz w:val="22"/>
              </w:rPr>
              <w:t>Runtime</w:t>
            </w:r>
            <w:r>
              <w:rPr>
                <w:spacing w:val="-9"/>
                <w:sz w:val="22"/>
              </w:rPr>
              <w:t> </w:t>
            </w:r>
            <w:r>
              <w:rPr>
                <w:spacing w:val="-5"/>
                <w:sz w:val="22"/>
              </w:rPr>
              <w:t>(s)</w:t>
            </w:r>
          </w:p>
          <w:p>
            <w:pPr>
              <w:pStyle w:val="TableParagraph"/>
              <w:spacing w:before="53"/>
              <w:ind w:right="70"/>
              <w:jc w:val="right"/>
              <w:rPr>
                <w:sz w:val="22"/>
              </w:rPr>
            </w:pPr>
            <w:r>
              <w:rPr>
                <w:i/>
              </w:rPr>
              <w:t>런타임(들)</w:t>
            </w:r>
          </w:p>
        </w:tc>
      </w:tr>
      <w:tr>
        <w:trPr>
          <w:trHeight w:val="319" w:hRule="atLeast"/>
        </w:trPr>
        <w:tc>
          <w:tcPr>
            <w:tcW w:w="1315" w:type="dxa"/>
            <w:tcBorders>
              <w:top w:val="single" w:sz="6" w:space="0" w:color="000000"/>
            </w:tcBorders>
          </w:tcPr>
          <w:p>
            <w:pPr>
              <w:pStyle w:val="TableParagraph"/>
              <w:spacing w:line="247" w:lineRule="exact" w:before="52"/>
              <w:ind w:left="69"/>
              <w:jc w:val="left"/>
              <w:rPr>
                <w:sz w:val="22"/>
              </w:rPr>
            </w:pPr>
            <w:r>
              <w:rPr>
                <w:spacing w:val="-5"/>
                <w:sz w:val="22"/>
              </w:rPr>
              <w:t>AWP</w:t>
            </w:r>
          </w:p>
        </w:tc>
        <w:tc>
          <w:tcPr>
            <w:tcW w:w="871" w:type="dxa"/>
            <w:tcBorders>
              <w:top w:val="single" w:sz="6" w:space="0" w:color="000000"/>
            </w:tcBorders>
          </w:tcPr>
          <w:p>
            <w:pPr>
              <w:pStyle w:val="TableParagraph"/>
              <w:spacing w:line="247" w:lineRule="exact" w:before="52"/>
              <w:rPr>
                <w:sz w:val="22"/>
              </w:rPr>
            </w:pPr>
            <w:r>
              <w:rPr>
                <w:spacing w:val="-2"/>
                <w:sz w:val="22"/>
              </w:rPr>
              <w:t>0.534</w:t>
            </w:r>
          </w:p>
        </w:tc>
        <w:tc>
          <w:tcPr>
            <w:tcW w:w="1085" w:type="dxa"/>
            <w:tcBorders>
              <w:top w:val="single" w:sz="6" w:space="0" w:color="000000"/>
            </w:tcBorders>
          </w:tcPr>
          <w:p>
            <w:pPr>
              <w:pStyle w:val="TableParagraph"/>
              <w:spacing w:line="247" w:lineRule="exact" w:before="52"/>
              <w:ind w:right="1"/>
              <w:rPr>
                <w:sz w:val="22"/>
              </w:rPr>
            </w:pPr>
            <w:r>
              <w:rPr>
                <w:spacing w:val="-2"/>
                <w:sz w:val="22"/>
              </w:rPr>
              <w:t>-0.030</w:t>
            </w:r>
          </w:p>
        </w:tc>
        <w:tc>
          <w:tcPr>
            <w:tcW w:w="631" w:type="dxa"/>
            <w:tcBorders>
              <w:top w:val="single" w:sz="6" w:space="0" w:color="000000"/>
            </w:tcBorders>
          </w:tcPr>
          <w:p>
            <w:pPr>
              <w:pStyle w:val="TableParagraph"/>
              <w:spacing w:line="247" w:lineRule="exact" w:before="52"/>
              <w:ind w:left="3" w:right="3"/>
              <w:rPr>
                <w:sz w:val="22"/>
              </w:rPr>
            </w:pPr>
            <w:r>
              <w:rPr>
                <w:spacing w:val="-2"/>
                <w:sz w:val="22"/>
              </w:rPr>
              <w:t>0.113</w:t>
            </w:r>
          </w:p>
        </w:tc>
        <w:tc>
          <w:tcPr>
            <w:tcW w:w="799" w:type="dxa"/>
            <w:tcBorders>
              <w:top w:val="single" w:sz="6" w:space="0" w:color="000000"/>
            </w:tcBorders>
          </w:tcPr>
          <w:p>
            <w:pPr>
              <w:pStyle w:val="TableParagraph"/>
              <w:spacing w:line="247" w:lineRule="exact" w:before="52"/>
              <w:ind w:left="1" w:right="2"/>
              <w:rPr>
                <w:sz w:val="22"/>
              </w:rPr>
            </w:pPr>
            <w:r>
              <w:rPr>
                <w:spacing w:val="-2"/>
                <w:sz w:val="22"/>
              </w:rPr>
              <w:t>0.107</w:t>
            </w:r>
          </w:p>
        </w:tc>
        <w:tc>
          <w:tcPr>
            <w:tcW w:w="631" w:type="dxa"/>
            <w:tcBorders>
              <w:top w:val="single" w:sz="6" w:space="0" w:color="000000"/>
            </w:tcBorders>
          </w:tcPr>
          <w:p>
            <w:pPr>
              <w:pStyle w:val="TableParagraph"/>
              <w:spacing w:line="247" w:lineRule="exact" w:before="52"/>
              <w:ind w:right="3"/>
              <w:rPr>
                <w:b/>
                <w:sz w:val="22"/>
              </w:rPr>
            </w:pPr>
            <w:r>
              <w:rPr>
                <w:b/>
                <w:spacing w:val="-2"/>
                <w:sz w:val="22"/>
              </w:rPr>
              <w:t>0.286</w:t>
            </w:r>
          </w:p>
        </w:tc>
        <w:tc>
          <w:tcPr>
            <w:tcW w:w="649" w:type="dxa"/>
            <w:tcBorders>
              <w:top w:val="single" w:sz="6" w:space="0" w:color="000000"/>
            </w:tcBorders>
          </w:tcPr>
          <w:p>
            <w:pPr>
              <w:pStyle w:val="TableParagraph"/>
              <w:spacing w:line="247" w:lineRule="exact" w:before="52"/>
              <w:ind w:right="4"/>
              <w:rPr>
                <w:sz w:val="22"/>
              </w:rPr>
            </w:pPr>
            <w:r>
              <w:rPr>
                <w:spacing w:val="-2"/>
                <w:sz w:val="22"/>
              </w:rPr>
              <w:t>0.179</w:t>
            </w:r>
          </w:p>
        </w:tc>
        <w:tc>
          <w:tcPr>
            <w:tcW w:w="1176" w:type="dxa"/>
            <w:tcBorders>
              <w:top w:val="single" w:sz="6" w:space="0" w:color="000000"/>
            </w:tcBorders>
          </w:tcPr>
          <w:p>
            <w:pPr>
              <w:pStyle w:val="TableParagraph"/>
              <w:spacing w:line="247" w:lineRule="exact" w:before="52"/>
              <w:ind w:right="71"/>
              <w:jc w:val="right"/>
              <w:rPr>
                <w:sz w:val="22"/>
              </w:rPr>
            </w:pPr>
            <w:r>
              <w:rPr>
                <w:spacing w:val="-2"/>
                <w:sz w:val="22"/>
              </w:rPr>
              <w:t>22.757</w:t>
            </w:r>
          </w:p>
        </w:tc>
      </w:tr>
      <w:tr>
        <w:trPr>
          <w:trHeight w:val="270" w:hRule="atLeast"/>
        </w:trPr>
        <w:tc>
          <w:tcPr>
            <w:tcW w:w="1315" w:type="dxa"/>
          </w:tcPr>
          <w:p>
            <w:pPr>
              <w:pStyle w:val="TableParagraph"/>
              <w:spacing w:line="247" w:lineRule="exact"/>
              <w:ind w:left="69"/>
              <w:jc w:val="left"/>
              <w:rPr>
                <w:sz w:val="22"/>
              </w:rPr>
            </w:pPr>
            <w:r>
              <w:rPr>
                <w:spacing w:val="-2"/>
                <w:sz w:val="22"/>
              </w:rPr>
              <w:t>EndorseRank</w:t>
            </w:r>
          </w:p>
        </w:tc>
        <w:tc>
          <w:tcPr>
            <w:tcW w:w="871" w:type="dxa"/>
          </w:tcPr>
          <w:p>
            <w:pPr>
              <w:pStyle w:val="TableParagraph"/>
              <w:spacing w:line="247" w:lineRule="exact"/>
              <w:rPr>
                <w:sz w:val="22"/>
              </w:rPr>
            </w:pPr>
            <w:r>
              <w:rPr>
                <w:spacing w:val="-2"/>
                <w:sz w:val="22"/>
              </w:rPr>
              <w:t>0.333</w:t>
            </w:r>
          </w:p>
        </w:tc>
        <w:tc>
          <w:tcPr>
            <w:tcW w:w="1085" w:type="dxa"/>
          </w:tcPr>
          <w:p>
            <w:pPr>
              <w:pStyle w:val="TableParagraph"/>
              <w:spacing w:line="247" w:lineRule="exact"/>
              <w:ind w:right="1"/>
              <w:rPr>
                <w:b/>
                <w:sz w:val="22"/>
              </w:rPr>
            </w:pPr>
            <w:r>
              <w:rPr>
                <w:b/>
                <w:spacing w:val="-2"/>
                <w:sz w:val="22"/>
              </w:rPr>
              <w:t>0.355</w:t>
            </w:r>
          </w:p>
        </w:tc>
        <w:tc>
          <w:tcPr>
            <w:tcW w:w="631" w:type="dxa"/>
          </w:tcPr>
          <w:p>
            <w:pPr>
              <w:pStyle w:val="TableParagraph"/>
              <w:spacing w:line="247" w:lineRule="exact"/>
              <w:ind w:left="3" w:right="3"/>
              <w:rPr>
                <w:sz w:val="22"/>
              </w:rPr>
            </w:pPr>
            <w:r>
              <w:rPr>
                <w:spacing w:val="-2"/>
                <w:sz w:val="22"/>
              </w:rPr>
              <w:t>0.093</w:t>
            </w:r>
          </w:p>
        </w:tc>
        <w:tc>
          <w:tcPr>
            <w:tcW w:w="799" w:type="dxa"/>
          </w:tcPr>
          <w:p>
            <w:pPr>
              <w:pStyle w:val="TableParagraph"/>
              <w:spacing w:line="247" w:lineRule="exact"/>
              <w:ind w:left="1" w:right="2"/>
              <w:rPr>
                <w:sz w:val="22"/>
              </w:rPr>
            </w:pPr>
            <w:r>
              <w:rPr>
                <w:spacing w:val="-2"/>
                <w:sz w:val="22"/>
              </w:rPr>
              <w:t>0.035</w:t>
            </w:r>
          </w:p>
        </w:tc>
        <w:tc>
          <w:tcPr>
            <w:tcW w:w="631" w:type="dxa"/>
          </w:tcPr>
          <w:p>
            <w:pPr>
              <w:pStyle w:val="TableParagraph"/>
              <w:spacing w:line="247" w:lineRule="exact"/>
              <w:ind w:right="3"/>
              <w:rPr>
                <w:sz w:val="22"/>
              </w:rPr>
            </w:pPr>
            <w:r>
              <w:rPr>
                <w:spacing w:val="-2"/>
                <w:sz w:val="22"/>
              </w:rPr>
              <w:t>0.233</w:t>
            </w:r>
          </w:p>
        </w:tc>
        <w:tc>
          <w:tcPr>
            <w:tcW w:w="649" w:type="dxa"/>
          </w:tcPr>
          <w:p>
            <w:pPr>
              <w:pStyle w:val="TableParagraph"/>
              <w:spacing w:line="247" w:lineRule="exact"/>
              <w:ind w:right="4"/>
              <w:rPr>
                <w:sz w:val="22"/>
              </w:rPr>
            </w:pPr>
            <w:r>
              <w:rPr>
                <w:spacing w:val="-2"/>
                <w:sz w:val="22"/>
              </w:rPr>
              <w:t>0.096</w:t>
            </w:r>
          </w:p>
        </w:tc>
        <w:tc>
          <w:tcPr>
            <w:tcW w:w="1176" w:type="dxa"/>
          </w:tcPr>
          <w:p>
            <w:pPr>
              <w:pStyle w:val="TableParagraph"/>
              <w:spacing w:line="247" w:lineRule="exact"/>
              <w:ind w:right="71"/>
              <w:jc w:val="right"/>
              <w:rPr>
                <w:sz w:val="22"/>
              </w:rPr>
            </w:pPr>
            <w:r>
              <w:rPr>
                <w:spacing w:val="-2"/>
                <w:sz w:val="22"/>
              </w:rPr>
              <w:t>2.544</w:t>
            </w:r>
          </w:p>
        </w:tc>
      </w:tr>
      <w:tr>
        <w:trPr>
          <w:trHeight w:val="270" w:hRule="atLeast"/>
        </w:trPr>
        <w:tc>
          <w:tcPr>
            <w:tcW w:w="1315" w:type="dxa"/>
          </w:tcPr>
          <w:p>
            <w:pPr>
              <w:pStyle w:val="TableParagraph"/>
              <w:spacing w:line="247" w:lineRule="exact"/>
              <w:ind w:left="69"/>
              <w:jc w:val="left"/>
              <w:rPr>
                <w:sz w:val="22"/>
              </w:rPr>
            </w:pPr>
            <w:r>
              <w:rPr>
                <w:spacing w:val="-2"/>
                <w:sz w:val="22"/>
              </w:rPr>
              <w:t>GF-</w:t>
            </w:r>
            <w:r>
              <w:rPr>
                <w:spacing w:val="-5"/>
                <w:sz w:val="22"/>
              </w:rPr>
              <w:t>PR</w:t>
            </w:r>
          </w:p>
        </w:tc>
        <w:tc>
          <w:tcPr>
            <w:tcW w:w="871" w:type="dxa"/>
          </w:tcPr>
          <w:p>
            <w:pPr>
              <w:pStyle w:val="TableParagraph"/>
              <w:spacing w:line="247" w:lineRule="exact"/>
              <w:rPr>
                <w:sz w:val="22"/>
              </w:rPr>
            </w:pPr>
            <w:r>
              <w:rPr>
                <w:spacing w:val="-2"/>
                <w:sz w:val="22"/>
              </w:rPr>
              <w:t>0.246</w:t>
            </w:r>
          </w:p>
        </w:tc>
        <w:tc>
          <w:tcPr>
            <w:tcW w:w="1085" w:type="dxa"/>
          </w:tcPr>
          <w:p>
            <w:pPr>
              <w:pStyle w:val="TableParagraph"/>
              <w:spacing w:line="247" w:lineRule="exact"/>
              <w:ind w:right="1"/>
              <w:rPr>
                <w:sz w:val="22"/>
              </w:rPr>
            </w:pPr>
            <w:r>
              <w:rPr>
                <w:spacing w:val="-2"/>
                <w:sz w:val="22"/>
              </w:rPr>
              <w:t>-0.041</w:t>
            </w:r>
          </w:p>
        </w:tc>
        <w:tc>
          <w:tcPr>
            <w:tcW w:w="631" w:type="dxa"/>
          </w:tcPr>
          <w:p>
            <w:pPr>
              <w:pStyle w:val="TableParagraph"/>
              <w:spacing w:line="247" w:lineRule="exact"/>
              <w:ind w:left="3" w:right="3"/>
              <w:rPr>
                <w:sz w:val="22"/>
              </w:rPr>
            </w:pPr>
            <w:r>
              <w:rPr>
                <w:spacing w:val="-2"/>
                <w:sz w:val="22"/>
              </w:rPr>
              <w:t>0.132</w:t>
            </w:r>
          </w:p>
        </w:tc>
        <w:tc>
          <w:tcPr>
            <w:tcW w:w="799" w:type="dxa"/>
          </w:tcPr>
          <w:p>
            <w:pPr>
              <w:pStyle w:val="TableParagraph"/>
              <w:spacing w:line="247" w:lineRule="exact"/>
              <w:ind w:left="1" w:right="2"/>
              <w:rPr>
                <w:b/>
                <w:sz w:val="22"/>
              </w:rPr>
            </w:pPr>
            <w:r>
              <w:rPr>
                <w:b/>
                <w:spacing w:val="-2"/>
                <w:sz w:val="22"/>
              </w:rPr>
              <w:t>0.376</w:t>
            </w:r>
          </w:p>
        </w:tc>
        <w:tc>
          <w:tcPr>
            <w:tcW w:w="631" w:type="dxa"/>
          </w:tcPr>
          <w:p>
            <w:pPr>
              <w:pStyle w:val="TableParagraph"/>
              <w:spacing w:line="247" w:lineRule="exact"/>
              <w:ind w:right="3"/>
              <w:rPr>
                <w:sz w:val="22"/>
              </w:rPr>
            </w:pPr>
            <w:r>
              <w:rPr>
                <w:spacing w:val="-2"/>
                <w:sz w:val="22"/>
              </w:rPr>
              <w:t>0.093</w:t>
            </w:r>
          </w:p>
        </w:tc>
        <w:tc>
          <w:tcPr>
            <w:tcW w:w="649" w:type="dxa"/>
          </w:tcPr>
          <w:p>
            <w:pPr>
              <w:pStyle w:val="TableParagraph"/>
              <w:spacing w:line="247" w:lineRule="exact"/>
              <w:ind w:right="4"/>
              <w:rPr>
                <w:b/>
                <w:sz w:val="22"/>
              </w:rPr>
            </w:pPr>
            <w:r>
              <w:rPr>
                <w:b/>
                <w:spacing w:val="-2"/>
                <w:sz w:val="22"/>
              </w:rPr>
              <w:t>0.583</w:t>
            </w:r>
          </w:p>
        </w:tc>
        <w:tc>
          <w:tcPr>
            <w:tcW w:w="1176" w:type="dxa"/>
          </w:tcPr>
          <w:p>
            <w:pPr>
              <w:pStyle w:val="TableParagraph"/>
              <w:spacing w:line="247" w:lineRule="exact"/>
              <w:ind w:right="71"/>
              <w:jc w:val="right"/>
              <w:rPr>
                <w:sz w:val="22"/>
              </w:rPr>
            </w:pPr>
            <w:r>
              <w:rPr>
                <w:spacing w:val="-2"/>
                <w:sz w:val="22"/>
              </w:rPr>
              <w:t>1.879</w:t>
            </w:r>
          </w:p>
        </w:tc>
      </w:tr>
      <w:tr>
        <w:trPr>
          <w:trHeight w:val="270" w:hRule="atLeast"/>
        </w:trPr>
        <w:tc>
          <w:tcPr>
            <w:tcW w:w="1315" w:type="dxa"/>
          </w:tcPr>
          <w:p>
            <w:pPr>
              <w:pStyle w:val="TableParagraph"/>
              <w:spacing w:line="247" w:lineRule="exact"/>
              <w:ind w:left="69"/>
              <w:jc w:val="left"/>
              <w:rPr>
                <w:sz w:val="22"/>
              </w:rPr>
            </w:pPr>
            <w:r>
              <w:rPr>
                <w:spacing w:val="-2"/>
                <w:sz w:val="22"/>
              </w:rPr>
              <w:t>LP-</w:t>
            </w:r>
            <w:r>
              <w:rPr>
                <w:spacing w:val="-5"/>
                <w:sz w:val="22"/>
              </w:rPr>
              <w:t>PR</w:t>
            </w:r>
          </w:p>
        </w:tc>
        <w:tc>
          <w:tcPr>
            <w:tcW w:w="871" w:type="dxa"/>
          </w:tcPr>
          <w:p>
            <w:pPr>
              <w:pStyle w:val="TableParagraph"/>
              <w:spacing w:line="247" w:lineRule="exact"/>
              <w:rPr>
                <w:sz w:val="22"/>
              </w:rPr>
            </w:pPr>
            <w:r>
              <w:rPr>
                <w:spacing w:val="-2"/>
                <w:sz w:val="22"/>
              </w:rPr>
              <w:t>0.529</w:t>
            </w:r>
          </w:p>
        </w:tc>
        <w:tc>
          <w:tcPr>
            <w:tcW w:w="1085" w:type="dxa"/>
          </w:tcPr>
          <w:p>
            <w:pPr>
              <w:pStyle w:val="TableParagraph"/>
              <w:spacing w:line="247" w:lineRule="exact"/>
              <w:ind w:right="1"/>
              <w:rPr>
                <w:sz w:val="22"/>
              </w:rPr>
            </w:pPr>
            <w:r>
              <w:rPr>
                <w:spacing w:val="-2"/>
                <w:sz w:val="22"/>
              </w:rPr>
              <w:t>-0.027</w:t>
            </w:r>
          </w:p>
        </w:tc>
        <w:tc>
          <w:tcPr>
            <w:tcW w:w="631" w:type="dxa"/>
          </w:tcPr>
          <w:p>
            <w:pPr>
              <w:pStyle w:val="TableParagraph"/>
              <w:spacing w:line="247" w:lineRule="exact"/>
              <w:ind w:left="3" w:right="3"/>
              <w:rPr>
                <w:b/>
                <w:sz w:val="22"/>
              </w:rPr>
            </w:pPr>
            <w:r>
              <w:rPr>
                <w:b/>
                <w:spacing w:val="-2"/>
                <w:sz w:val="22"/>
              </w:rPr>
              <w:t>0.136</w:t>
            </w:r>
          </w:p>
        </w:tc>
        <w:tc>
          <w:tcPr>
            <w:tcW w:w="799" w:type="dxa"/>
          </w:tcPr>
          <w:p>
            <w:pPr>
              <w:pStyle w:val="TableParagraph"/>
              <w:spacing w:line="247" w:lineRule="exact"/>
              <w:ind w:left="1" w:right="2"/>
              <w:rPr>
                <w:sz w:val="22"/>
              </w:rPr>
            </w:pPr>
            <w:r>
              <w:rPr>
                <w:spacing w:val="-2"/>
                <w:sz w:val="22"/>
              </w:rPr>
              <w:t>0.098</w:t>
            </w:r>
          </w:p>
        </w:tc>
        <w:tc>
          <w:tcPr>
            <w:tcW w:w="631" w:type="dxa"/>
          </w:tcPr>
          <w:p>
            <w:pPr>
              <w:pStyle w:val="TableParagraph"/>
              <w:spacing w:line="247" w:lineRule="exact"/>
              <w:ind w:right="3"/>
              <w:rPr>
                <w:sz w:val="22"/>
              </w:rPr>
            </w:pPr>
            <w:r>
              <w:rPr>
                <w:spacing w:val="-2"/>
                <w:sz w:val="22"/>
              </w:rPr>
              <w:t>0.280</w:t>
            </w:r>
          </w:p>
        </w:tc>
        <w:tc>
          <w:tcPr>
            <w:tcW w:w="649" w:type="dxa"/>
          </w:tcPr>
          <w:p>
            <w:pPr>
              <w:pStyle w:val="TableParagraph"/>
              <w:spacing w:line="247" w:lineRule="exact"/>
              <w:ind w:right="4"/>
              <w:rPr>
                <w:sz w:val="22"/>
              </w:rPr>
            </w:pPr>
            <w:r>
              <w:rPr>
                <w:spacing w:val="-2"/>
                <w:sz w:val="22"/>
              </w:rPr>
              <w:t>0.196</w:t>
            </w:r>
          </w:p>
        </w:tc>
        <w:tc>
          <w:tcPr>
            <w:tcW w:w="1176" w:type="dxa"/>
          </w:tcPr>
          <w:p>
            <w:pPr>
              <w:pStyle w:val="TableParagraph"/>
              <w:spacing w:line="247" w:lineRule="exact"/>
              <w:ind w:right="71"/>
              <w:jc w:val="right"/>
              <w:rPr>
                <w:sz w:val="22"/>
              </w:rPr>
            </w:pPr>
            <w:r>
              <w:rPr>
                <w:spacing w:val="-2"/>
                <w:sz w:val="22"/>
              </w:rPr>
              <w:t>27.630</w:t>
            </w:r>
          </w:p>
        </w:tc>
      </w:tr>
      <w:tr>
        <w:trPr>
          <w:trHeight w:val="270" w:hRule="atLeast"/>
        </w:trPr>
        <w:tc>
          <w:tcPr>
            <w:tcW w:w="1315" w:type="dxa"/>
          </w:tcPr>
          <w:p>
            <w:pPr>
              <w:pStyle w:val="TableParagraph"/>
              <w:spacing w:line="247" w:lineRule="exact"/>
              <w:ind w:left="69"/>
              <w:jc w:val="left"/>
              <w:rPr>
                <w:sz w:val="22"/>
              </w:rPr>
            </w:pPr>
            <w:r>
              <w:rPr>
                <w:spacing w:val="-7"/>
                <w:sz w:val="22"/>
              </w:rPr>
              <w:t>CW-</w:t>
            </w:r>
            <w:r>
              <w:rPr>
                <w:spacing w:val="-5"/>
                <w:sz w:val="22"/>
              </w:rPr>
              <w:t>AWP</w:t>
            </w:r>
          </w:p>
        </w:tc>
        <w:tc>
          <w:tcPr>
            <w:tcW w:w="871" w:type="dxa"/>
          </w:tcPr>
          <w:p>
            <w:pPr>
              <w:pStyle w:val="TableParagraph"/>
              <w:spacing w:line="247" w:lineRule="exact"/>
              <w:rPr>
                <w:sz w:val="22"/>
              </w:rPr>
            </w:pPr>
            <w:r>
              <w:rPr>
                <w:spacing w:val="-2"/>
                <w:sz w:val="22"/>
              </w:rPr>
              <w:t>0.504</w:t>
            </w:r>
          </w:p>
        </w:tc>
        <w:tc>
          <w:tcPr>
            <w:tcW w:w="1085" w:type="dxa"/>
          </w:tcPr>
          <w:p>
            <w:pPr>
              <w:pStyle w:val="TableParagraph"/>
              <w:spacing w:line="247" w:lineRule="exact"/>
              <w:ind w:right="1"/>
              <w:rPr>
                <w:sz w:val="22"/>
              </w:rPr>
            </w:pPr>
            <w:r>
              <w:rPr>
                <w:spacing w:val="-2"/>
                <w:sz w:val="22"/>
              </w:rPr>
              <w:t>-0.013</w:t>
            </w:r>
          </w:p>
        </w:tc>
        <w:tc>
          <w:tcPr>
            <w:tcW w:w="631" w:type="dxa"/>
          </w:tcPr>
          <w:p>
            <w:pPr>
              <w:pStyle w:val="TableParagraph"/>
              <w:spacing w:line="247" w:lineRule="exact"/>
              <w:ind w:left="3" w:right="3"/>
              <w:rPr>
                <w:sz w:val="22"/>
              </w:rPr>
            </w:pPr>
            <w:r>
              <w:rPr>
                <w:spacing w:val="-2"/>
                <w:sz w:val="22"/>
              </w:rPr>
              <w:t>0.128</w:t>
            </w:r>
          </w:p>
        </w:tc>
        <w:tc>
          <w:tcPr>
            <w:tcW w:w="799" w:type="dxa"/>
          </w:tcPr>
          <w:p>
            <w:pPr>
              <w:pStyle w:val="TableParagraph"/>
              <w:spacing w:line="247" w:lineRule="exact"/>
              <w:ind w:left="1" w:right="2"/>
              <w:rPr>
                <w:sz w:val="22"/>
              </w:rPr>
            </w:pPr>
            <w:r>
              <w:rPr>
                <w:spacing w:val="-2"/>
                <w:sz w:val="22"/>
              </w:rPr>
              <w:t>0.114</w:t>
            </w:r>
          </w:p>
        </w:tc>
        <w:tc>
          <w:tcPr>
            <w:tcW w:w="631" w:type="dxa"/>
          </w:tcPr>
          <w:p>
            <w:pPr>
              <w:pStyle w:val="TableParagraph"/>
              <w:spacing w:line="247" w:lineRule="exact"/>
              <w:ind w:right="3"/>
              <w:rPr>
                <w:sz w:val="22"/>
              </w:rPr>
            </w:pPr>
            <w:r>
              <w:rPr>
                <w:spacing w:val="-2"/>
                <w:sz w:val="22"/>
              </w:rPr>
              <w:t>0.253</w:t>
            </w:r>
          </w:p>
        </w:tc>
        <w:tc>
          <w:tcPr>
            <w:tcW w:w="649" w:type="dxa"/>
          </w:tcPr>
          <w:p>
            <w:pPr>
              <w:pStyle w:val="TableParagraph"/>
              <w:spacing w:line="247" w:lineRule="exact"/>
              <w:ind w:right="4"/>
              <w:rPr>
                <w:sz w:val="22"/>
              </w:rPr>
            </w:pPr>
            <w:r>
              <w:rPr>
                <w:spacing w:val="-2"/>
                <w:sz w:val="22"/>
              </w:rPr>
              <w:t>0.204</w:t>
            </w:r>
          </w:p>
        </w:tc>
        <w:tc>
          <w:tcPr>
            <w:tcW w:w="1176" w:type="dxa"/>
          </w:tcPr>
          <w:p>
            <w:pPr>
              <w:pStyle w:val="TableParagraph"/>
              <w:spacing w:line="247" w:lineRule="exact"/>
              <w:ind w:right="71"/>
              <w:jc w:val="right"/>
              <w:rPr>
                <w:sz w:val="22"/>
              </w:rPr>
            </w:pPr>
            <w:r>
              <w:rPr>
                <w:spacing w:val="-2"/>
                <w:sz w:val="22"/>
              </w:rPr>
              <w:t>20.364</w:t>
            </w:r>
          </w:p>
        </w:tc>
      </w:tr>
      <w:tr>
        <w:trPr>
          <w:trHeight w:val="270" w:hRule="atLeast"/>
        </w:trPr>
        <w:tc>
          <w:tcPr>
            <w:tcW w:w="1315" w:type="dxa"/>
          </w:tcPr>
          <w:p>
            <w:pPr>
              <w:pStyle w:val="TableParagraph"/>
              <w:spacing w:line="247" w:lineRule="exact"/>
              <w:ind w:left="69"/>
              <w:jc w:val="left"/>
              <w:rPr>
                <w:sz w:val="22"/>
              </w:rPr>
            </w:pPr>
            <w:r>
              <w:rPr>
                <w:spacing w:val="-2"/>
                <w:sz w:val="22"/>
              </w:rPr>
              <w:t>LF-</w:t>
            </w:r>
            <w:r>
              <w:rPr>
                <w:spacing w:val="-5"/>
                <w:sz w:val="22"/>
              </w:rPr>
              <w:t>PR</w:t>
            </w:r>
          </w:p>
        </w:tc>
        <w:tc>
          <w:tcPr>
            <w:tcW w:w="871" w:type="dxa"/>
          </w:tcPr>
          <w:p>
            <w:pPr>
              <w:pStyle w:val="TableParagraph"/>
              <w:spacing w:line="247" w:lineRule="exact"/>
              <w:rPr>
                <w:sz w:val="22"/>
              </w:rPr>
            </w:pPr>
            <w:r>
              <w:rPr>
                <w:spacing w:val="-2"/>
                <w:sz w:val="22"/>
              </w:rPr>
              <w:t>0.197</w:t>
            </w:r>
          </w:p>
        </w:tc>
        <w:tc>
          <w:tcPr>
            <w:tcW w:w="1085" w:type="dxa"/>
          </w:tcPr>
          <w:p>
            <w:pPr>
              <w:pStyle w:val="TableParagraph"/>
              <w:spacing w:line="247" w:lineRule="exact"/>
              <w:ind w:right="1"/>
              <w:rPr>
                <w:sz w:val="22"/>
              </w:rPr>
            </w:pPr>
            <w:r>
              <w:rPr>
                <w:spacing w:val="-2"/>
                <w:sz w:val="22"/>
              </w:rPr>
              <w:t>-0.031</w:t>
            </w:r>
          </w:p>
        </w:tc>
        <w:tc>
          <w:tcPr>
            <w:tcW w:w="631" w:type="dxa"/>
          </w:tcPr>
          <w:p>
            <w:pPr>
              <w:pStyle w:val="TableParagraph"/>
              <w:spacing w:line="247" w:lineRule="exact"/>
              <w:ind w:left="3" w:right="3"/>
              <w:rPr>
                <w:sz w:val="22"/>
              </w:rPr>
            </w:pPr>
            <w:r>
              <w:rPr>
                <w:spacing w:val="-2"/>
                <w:sz w:val="22"/>
              </w:rPr>
              <w:t>0.045</w:t>
            </w:r>
          </w:p>
        </w:tc>
        <w:tc>
          <w:tcPr>
            <w:tcW w:w="799" w:type="dxa"/>
          </w:tcPr>
          <w:p>
            <w:pPr>
              <w:pStyle w:val="TableParagraph"/>
              <w:spacing w:line="247" w:lineRule="exact"/>
              <w:ind w:left="1" w:right="2"/>
              <w:rPr>
                <w:sz w:val="22"/>
              </w:rPr>
            </w:pPr>
            <w:r>
              <w:rPr>
                <w:spacing w:val="-2"/>
                <w:sz w:val="22"/>
              </w:rPr>
              <w:t>0.017</w:t>
            </w:r>
          </w:p>
        </w:tc>
        <w:tc>
          <w:tcPr>
            <w:tcW w:w="631" w:type="dxa"/>
          </w:tcPr>
          <w:p>
            <w:pPr>
              <w:pStyle w:val="TableParagraph"/>
              <w:spacing w:line="247" w:lineRule="exact"/>
              <w:ind w:right="3"/>
              <w:rPr>
                <w:sz w:val="22"/>
              </w:rPr>
            </w:pPr>
            <w:r>
              <w:rPr>
                <w:spacing w:val="-2"/>
                <w:sz w:val="22"/>
              </w:rPr>
              <w:t>0.102</w:t>
            </w:r>
          </w:p>
        </w:tc>
        <w:tc>
          <w:tcPr>
            <w:tcW w:w="649" w:type="dxa"/>
          </w:tcPr>
          <w:p>
            <w:pPr>
              <w:pStyle w:val="TableParagraph"/>
              <w:spacing w:line="247" w:lineRule="exact"/>
              <w:ind w:right="4"/>
              <w:rPr>
                <w:sz w:val="22"/>
              </w:rPr>
            </w:pPr>
            <w:r>
              <w:rPr>
                <w:spacing w:val="-2"/>
                <w:sz w:val="22"/>
              </w:rPr>
              <w:t>0.032</w:t>
            </w:r>
          </w:p>
        </w:tc>
        <w:tc>
          <w:tcPr>
            <w:tcW w:w="1176" w:type="dxa"/>
          </w:tcPr>
          <w:p>
            <w:pPr>
              <w:pStyle w:val="TableParagraph"/>
              <w:spacing w:line="247" w:lineRule="exact"/>
              <w:ind w:right="71"/>
              <w:jc w:val="right"/>
              <w:rPr>
                <w:sz w:val="22"/>
              </w:rPr>
            </w:pPr>
            <w:r>
              <w:rPr>
                <w:spacing w:val="-2"/>
                <w:sz w:val="22"/>
              </w:rPr>
              <w:t>0.113</w:t>
            </w:r>
          </w:p>
        </w:tc>
      </w:tr>
      <w:tr>
        <w:trPr>
          <w:trHeight w:val="332" w:hRule="atLeast"/>
        </w:trPr>
        <w:tc>
          <w:tcPr>
            <w:tcW w:w="1315" w:type="dxa"/>
            <w:tcBorders>
              <w:bottom w:val="single" w:sz="8" w:space="0" w:color="000000"/>
            </w:tcBorders>
          </w:tcPr>
          <w:p>
            <w:pPr>
              <w:pStyle w:val="TableParagraph"/>
              <w:ind w:left="69"/>
              <w:jc w:val="left"/>
              <w:rPr>
                <w:sz w:val="22"/>
              </w:rPr>
            </w:pPr>
            <w:r>
              <w:rPr>
                <w:spacing w:val="-2"/>
                <w:sz w:val="22"/>
              </w:rPr>
              <w:t>RiskProp</w:t>
            </w:r>
          </w:p>
        </w:tc>
        <w:tc>
          <w:tcPr>
            <w:tcW w:w="871" w:type="dxa"/>
            <w:tcBorders>
              <w:bottom w:val="single" w:sz="8" w:space="0" w:color="000000"/>
            </w:tcBorders>
          </w:tcPr>
          <w:p>
            <w:pPr>
              <w:pStyle w:val="TableParagraph"/>
              <w:rPr>
                <w:b/>
                <w:sz w:val="22"/>
              </w:rPr>
            </w:pPr>
            <w:r>
              <w:rPr>
                <w:b/>
                <w:spacing w:val="-2"/>
                <w:sz w:val="22"/>
              </w:rPr>
              <w:t>0.534</w:t>
            </w:r>
          </w:p>
        </w:tc>
        <w:tc>
          <w:tcPr>
            <w:tcW w:w="1085" w:type="dxa"/>
            <w:tcBorders>
              <w:bottom w:val="single" w:sz="8" w:space="0" w:color="000000"/>
            </w:tcBorders>
          </w:tcPr>
          <w:p>
            <w:pPr>
              <w:pStyle w:val="TableParagraph"/>
              <w:ind w:right="1"/>
              <w:rPr>
                <w:sz w:val="22"/>
              </w:rPr>
            </w:pPr>
            <w:r>
              <w:rPr>
                <w:spacing w:val="-2"/>
                <w:sz w:val="22"/>
              </w:rPr>
              <w:t>-0.030</w:t>
            </w:r>
          </w:p>
        </w:tc>
        <w:tc>
          <w:tcPr>
            <w:tcW w:w="631" w:type="dxa"/>
            <w:tcBorders>
              <w:bottom w:val="single" w:sz="8" w:space="0" w:color="000000"/>
            </w:tcBorders>
          </w:tcPr>
          <w:p>
            <w:pPr>
              <w:pStyle w:val="TableParagraph"/>
              <w:ind w:left="2" w:right="3"/>
              <w:rPr>
                <w:sz w:val="22"/>
              </w:rPr>
            </w:pPr>
            <w:r>
              <w:rPr>
                <w:spacing w:val="-2"/>
                <w:sz w:val="22"/>
              </w:rPr>
              <w:t>0.113</w:t>
            </w:r>
          </w:p>
        </w:tc>
        <w:tc>
          <w:tcPr>
            <w:tcW w:w="799" w:type="dxa"/>
            <w:tcBorders>
              <w:bottom w:val="single" w:sz="8" w:space="0" w:color="000000"/>
            </w:tcBorders>
          </w:tcPr>
          <w:p>
            <w:pPr>
              <w:pStyle w:val="TableParagraph"/>
              <w:ind w:right="2"/>
              <w:rPr>
                <w:sz w:val="22"/>
              </w:rPr>
            </w:pPr>
            <w:r>
              <w:rPr>
                <w:spacing w:val="-2"/>
                <w:sz w:val="22"/>
              </w:rPr>
              <w:t>0.107</w:t>
            </w:r>
          </w:p>
        </w:tc>
        <w:tc>
          <w:tcPr>
            <w:tcW w:w="631" w:type="dxa"/>
            <w:tcBorders>
              <w:bottom w:val="single" w:sz="8" w:space="0" w:color="000000"/>
            </w:tcBorders>
          </w:tcPr>
          <w:p>
            <w:pPr>
              <w:pStyle w:val="TableParagraph"/>
              <w:ind w:right="3"/>
              <w:rPr>
                <w:sz w:val="22"/>
              </w:rPr>
            </w:pPr>
            <w:r>
              <w:rPr>
                <w:spacing w:val="-2"/>
                <w:sz w:val="22"/>
              </w:rPr>
              <w:t>0.286</w:t>
            </w:r>
          </w:p>
        </w:tc>
        <w:tc>
          <w:tcPr>
            <w:tcW w:w="649" w:type="dxa"/>
            <w:tcBorders>
              <w:bottom w:val="single" w:sz="8" w:space="0" w:color="000000"/>
            </w:tcBorders>
          </w:tcPr>
          <w:p>
            <w:pPr>
              <w:pStyle w:val="TableParagraph"/>
              <w:ind w:right="4"/>
              <w:rPr>
                <w:sz w:val="22"/>
              </w:rPr>
            </w:pPr>
            <w:r>
              <w:rPr>
                <w:spacing w:val="-2"/>
                <w:sz w:val="22"/>
              </w:rPr>
              <w:t>0.179</w:t>
            </w:r>
          </w:p>
        </w:tc>
        <w:tc>
          <w:tcPr>
            <w:tcW w:w="1176" w:type="dxa"/>
            <w:tcBorders>
              <w:bottom w:val="single" w:sz="8" w:space="0" w:color="000000"/>
            </w:tcBorders>
          </w:tcPr>
          <w:p>
            <w:pPr>
              <w:pStyle w:val="TableParagraph"/>
              <w:ind w:right="71"/>
              <w:jc w:val="right"/>
              <w:rPr>
                <w:sz w:val="22"/>
              </w:rPr>
            </w:pPr>
            <w:r>
              <w:rPr>
                <w:spacing w:val="-2"/>
                <w:sz w:val="22"/>
              </w:rPr>
              <w:t>24.301</w:t>
            </w:r>
          </w:p>
        </w:tc>
      </w:tr>
    </w:tbl>
    <w:p>
      <w:pPr>
        <w:pStyle w:val="BodyText"/>
        <w:spacing w:before="179"/>
      </w:pPr>
    </w:p>
    <w:p>
      <w:pPr>
        <w:pStyle w:val="BodyText"/>
        <w:spacing w:before="1"/>
        <w:ind w:left="282"/>
        <w:jc w:val="both"/>
      </w:pPr>
      <w:r>
        <w:rPr/>
        <w:t>Interpretation</w:t>
      </w:r>
      <w:r>
        <w:rPr>
          <w:spacing w:val="-15"/>
        </w:rPr>
        <w:t> </w:t>
      </w:r>
      <w:r>
        <w:rPr>
          <w:spacing w:val="-2"/>
        </w:rPr>
        <w:t>guidelines:</w:t>
      </w:r>
    </w:p>
    <w:p>
      <w:pPr>
        <w:pStyle w:val="BodyText"/>
        <w:spacing w:before="1"/>
        <w:ind w:left="282"/>
        <w:jc w:val="both"/>
      </w:pPr>
      <w:r>
        <w:rPr>
          <w:i/>
        </w:rPr>
        <w:t>통역 지침:</w:t>
      </w:r>
    </w:p>
    <w:p>
      <w:pPr>
        <w:pStyle w:val="BodyText"/>
        <w:spacing w:before="23"/>
      </w:pPr>
    </w:p>
    <w:p>
      <w:pPr>
        <w:pStyle w:val="ListParagraph"/>
        <w:numPr>
          <w:ilvl w:val="3"/>
          <w:numId w:val="8"/>
        </w:numPr>
        <w:tabs>
          <w:tab w:pos="807" w:val="left" w:leader="none"/>
        </w:tabs>
        <w:spacing w:line="240" w:lineRule="auto" w:before="0" w:after="0"/>
        <w:ind w:left="807" w:right="0" w:hanging="214"/>
        <w:jc w:val="both"/>
        <w:rPr>
          <w:sz w:val="24"/>
        </w:rPr>
      </w:pPr>
      <w:r>
        <w:rPr>
          <w:sz w:val="24"/>
        </w:rPr>
        <w:t>Methods</w:t>
      </w:r>
      <w:r>
        <w:rPr>
          <w:spacing w:val="-10"/>
          <w:sz w:val="24"/>
        </w:rPr>
        <w:t> </w:t>
      </w:r>
      <w:r>
        <w:rPr>
          <w:sz w:val="24"/>
        </w:rPr>
        <w:t>built</w:t>
      </w:r>
      <w:r>
        <w:rPr>
          <w:spacing w:val="-9"/>
          <w:sz w:val="24"/>
        </w:rPr>
        <w:t> </w:t>
      </w:r>
      <w:r>
        <w:rPr>
          <w:sz w:val="24"/>
        </w:rPr>
        <w:t>on</w:t>
      </w:r>
      <w:r>
        <w:rPr>
          <w:spacing w:val="-10"/>
          <w:sz w:val="24"/>
        </w:rPr>
        <w:t> </w:t>
      </w:r>
      <w:r>
        <w:rPr>
          <w:sz w:val="24"/>
        </w:rPr>
        <w:t>transfer-like</w:t>
      </w:r>
      <w:r>
        <w:rPr>
          <w:spacing w:val="-9"/>
          <w:sz w:val="24"/>
        </w:rPr>
        <w:t> </w:t>
      </w:r>
      <w:r>
        <w:rPr>
          <w:sz w:val="24"/>
        </w:rPr>
        <w:t>edges</w:t>
      </w:r>
      <w:r>
        <w:rPr>
          <w:spacing w:val="-10"/>
          <w:sz w:val="24"/>
        </w:rPr>
        <w:t> </w:t>
      </w:r>
      <w:r>
        <w:rPr>
          <w:sz w:val="24"/>
        </w:rPr>
        <w:t>cluster</w:t>
      </w:r>
      <w:r>
        <w:rPr>
          <w:spacing w:val="-9"/>
          <w:sz w:val="24"/>
        </w:rPr>
        <w:t> </w:t>
      </w:r>
      <w:r>
        <w:rPr>
          <w:sz w:val="24"/>
        </w:rPr>
        <w:t>near</w:t>
      </w:r>
      <w:r>
        <w:rPr>
          <w:spacing w:val="-10"/>
          <w:sz w:val="24"/>
        </w:rPr>
        <w:t> </w:t>
      </w:r>
      <w:r>
        <w:rPr>
          <w:sz w:val="24"/>
        </w:rPr>
        <w:t>AWP</w:t>
      </w:r>
      <w:r>
        <w:rPr>
          <w:spacing w:val="-9"/>
          <w:sz w:val="24"/>
        </w:rPr>
        <w:t> </w:t>
      </w:r>
      <w:r>
        <w:rPr>
          <w:sz w:val="24"/>
        </w:rPr>
        <w:t>on</w:t>
      </w:r>
      <w:r>
        <w:rPr>
          <w:spacing w:val="-10"/>
          <w:sz w:val="24"/>
        </w:rPr>
        <w:t> </w:t>
      </w:r>
      <w:r>
        <w:rPr>
          <w:sz w:val="24"/>
        </w:rPr>
        <w:t>transfer</w:t>
      </w:r>
      <w:r>
        <w:rPr>
          <w:spacing w:val="-9"/>
          <w:sz w:val="24"/>
        </w:rPr>
        <w:t> </w:t>
      </w:r>
      <w:r>
        <w:rPr>
          <w:sz w:val="24"/>
        </w:rPr>
        <w:t>and</w:t>
      </w:r>
      <w:r>
        <w:rPr>
          <w:spacing w:val="-10"/>
          <w:sz w:val="24"/>
        </w:rPr>
        <w:t> </w:t>
      </w:r>
      <w:r>
        <w:rPr>
          <w:sz w:val="24"/>
        </w:rPr>
        <w:t>Sybil</w:t>
      </w:r>
      <w:r>
        <w:rPr>
          <w:spacing w:val="-9"/>
          <w:sz w:val="24"/>
        </w:rPr>
        <w:t> </w:t>
      </w:r>
      <w:r>
        <w:rPr>
          <w:spacing w:val="-2"/>
          <w:sz w:val="24"/>
        </w:rPr>
        <w:t>families.</w:t>
      </w:r>
    </w:p>
    <w:p>
      <w:pPr>
        <w:pStyle w:val="ListParagraph"/>
        <w:numPr>
          <w:ilvl w:val="3"/>
          <w:numId w:val="8"/>
        </w:numPr>
        <w:tabs>
          <w:tab w:pos="807" w:val="left" w:leader="none"/>
        </w:tabs>
        <w:spacing w:line="240" w:lineRule="auto" w:before="0" w:after="0"/>
        <w:ind w:left="807" w:right="0" w:hanging="214"/>
        <w:jc w:val="both"/>
        <w:rPr>
          <w:sz w:val="24"/>
        </w:rPr>
      </w:pPr>
      <w:r>
        <w:rPr>
          <w:i/>
        </w:rPr>
        <w:t>전송과 같은 에지에 구축된 메서드는 전송 시 AWP 및 Sybil 계열 근처에 클러스터됩니다.</w:t>
      </w:r>
    </w:p>
    <w:p>
      <w:pPr>
        <w:pStyle w:val="ListParagraph"/>
        <w:numPr>
          <w:ilvl w:val="3"/>
          <w:numId w:val="8"/>
        </w:numPr>
        <w:tabs>
          <w:tab w:pos="806" w:val="left" w:leader="none"/>
          <w:tab w:pos="808" w:val="left" w:leader="none"/>
        </w:tabs>
        <w:spacing w:line="386" w:lineRule="auto" w:before="217" w:after="0"/>
        <w:ind w:left="808" w:right="549" w:hanging="216"/>
        <w:jc w:val="both"/>
        <w:rPr>
          <w:sz w:val="24"/>
        </w:rPr>
      </w:pPr>
      <w:r>
        <w:rPr>
          <w:sz w:val="24"/>
        </w:rPr>
        <w:t>Methods</w:t>
      </w:r>
      <w:r>
        <w:rPr>
          <w:spacing w:val="-13"/>
          <w:sz w:val="24"/>
        </w:rPr>
        <w:t> </w:t>
      </w:r>
      <w:r>
        <w:rPr>
          <w:sz w:val="24"/>
        </w:rPr>
        <w:t>with</w:t>
      </w:r>
      <w:r>
        <w:rPr>
          <w:spacing w:val="-13"/>
          <w:sz w:val="24"/>
        </w:rPr>
        <w:t> </w:t>
      </w:r>
      <w:r>
        <w:rPr>
          <w:sz w:val="24"/>
        </w:rPr>
        <w:t>very</w:t>
      </w:r>
      <w:r>
        <w:rPr>
          <w:spacing w:val="-13"/>
          <w:sz w:val="24"/>
        </w:rPr>
        <w:t> </w:t>
      </w:r>
      <w:r>
        <w:rPr>
          <w:sz w:val="24"/>
        </w:rPr>
        <w:t>small</w:t>
      </w:r>
      <w:r>
        <w:rPr>
          <w:spacing w:val="-13"/>
          <w:sz w:val="24"/>
        </w:rPr>
        <w:t> </w:t>
      </w:r>
      <w:r>
        <w:rPr>
          <w:sz w:val="24"/>
        </w:rPr>
        <w:t>edge</w:t>
      </w:r>
      <w:r>
        <w:rPr>
          <w:spacing w:val="-13"/>
          <w:sz w:val="24"/>
        </w:rPr>
        <w:t> </w:t>
      </w:r>
      <w:r>
        <w:rPr>
          <w:sz w:val="24"/>
        </w:rPr>
        <w:t>counts</w:t>
      </w:r>
      <w:r>
        <w:rPr>
          <w:spacing w:val="-13"/>
          <w:sz w:val="24"/>
        </w:rPr>
        <w:t> </w:t>
      </w:r>
      <w:r>
        <w:rPr>
          <w:sz w:val="24"/>
        </w:rPr>
        <w:t>(e.g.,</w:t>
      </w:r>
      <w:r>
        <w:rPr>
          <w:spacing w:val="-11"/>
          <w:sz w:val="24"/>
        </w:rPr>
        <w:t> </w:t>
      </w:r>
      <w:r>
        <w:rPr>
          <w:sz w:val="24"/>
        </w:rPr>
        <w:t>liquidation-oriented</w:t>
      </w:r>
      <w:r>
        <w:rPr>
          <w:spacing w:val="-13"/>
          <w:sz w:val="24"/>
        </w:rPr>
        <w:t> </w:t>
      </w:r>
      <w:r>
        <w:rPr>
          <w:sz w:val="24"/>
        </w:rPr>
        <w:t>graphs</w:t>
      </w:r>
      <w:r>
        <w:rPr>
          <w:spacing w:val="-13"/>
          <w:sz w:val="24"/>
        </w:rPr>
        <w:t> </w:t>
      </w:r>
      <w:r>
        <w:rPr>
          <w:sz w:val="24"/>
        </w:rPr>
        <w:t>with</w:t>
      </w:r>
      <w:r>
        <w:rPr>
          <w:spacing w:val="-13"/>
          <w:sz w:val="24"/>
        </w:rPr>
        <w:t> </w:t>
      </w:r>
      <w:r>
        <w:rPr>
          <w:sz w:val="24"/>
        </w:rPr>
        <w:t>dozens</w:t>
      </w:r>
      <w:r>
        <w:rPr>
          <w:spacing w:val="-13"/>
          <w:sz w:val="24"/>
        </w:rPr>
        <w:t> </w:t>
      </w:r>
      <w:r>
        <w:rPr>
          <w:sz w:val="24"/>
        </w:rPr>
        <w:t>of</w:t>
      </w:r>
      <w:r>
        <w:rPr>
          <w:spacing w:val="-13"/>
          <w:sz w:val="24"/>
        </w:rPr>
        <w:t> </w:t>
      </w:r>
      <w:r>
        <w:rPr>
          <w:sz w:val="24"/>
        </w:rPr>
        <w:t>edges) can</w:t>
      </w:r>
      <w:r>
        <w:rPr>
          <w:spacing w:val="-8"/>
          <w:sz w:val="24"/>
        </w:rPr>
        <w:t> </w:t>
      </w:r>
      <w:r>
        <w:rPr>
          <w:sz w:val="24"/>
        </w:rPr>
        <w:t>produce</w:t>
      </w:r>
      <w:r>
        <w:rPr>
          <w:spacing w:val="-8"/>
          <w:sz w:val="24"/>
        </w:rPr>
        <w:t> </w:t>
      </w:r>
      <w:r>
        <w:rPr>
          <w:sz w:val="24"/>
        </w:rPr>
        <w:t>unstable</w:t>
      </w:r>
      <w:r>
        <w:rPr>
          <w:spacing w:val="-8"/>
          <w:sz w:val="24"/>
        </w:rPr>
        <w:t> </w:t>
      </w:r>
      <w:r>
        <w:rPr>
          <w:sz w:val="24"/>
        </w:rPr>
        <w:t>or</w:t>
      </w:r>
      <w:r>
        <w:rPr>
          <w:spacing w:val="-8"/>
          <w:sz w:val="24"/>
        </w:rPr>
        <w:t> </w:t>
      </w:r>
      <w:r>
        <w:rPr>
          <w:sz w:val="24"/>
        </w:rPr>
        <w:t>degenerate</w:t>
      </w:r>
      <w:r>
        <w:rPr>
          <w:spacing w:val="-8"/>
          <w:sz w:val="24"/>
        </w:rPr>
        <w:t> </w:t>
      </w:r>
      <w:r>
        <w:rPr>
          <w:sz w:val="24"/>
        </w:rPr>
        <w:t>rankings;</w:t>
      </w:r>
      <w:r>
        <w:rPr>
          <w:spacing w:val="-6"/>
          <w:sz w:val="24"/>
        </w:rPr>
        <w:t> </w:t>
      </w:r>
      <w:r>
        <w:rPr>
          <w:sz w:val="24"/>
        </w:rPr>
        <w:t>their</w:t>
      </w:r>
      <w:r>
        <w:rPr>
          <w:spacing w:val="-8"/>
          <w:sz w:val="24"/>
        </w:rPr>
        <w:t> </w:t>
      </w:r>
      <w:r>
        <w:rPr>
          <w:sz w:val="24"/>
        </w:rPr>
        <w:t>runtimes</w:t>
      </w:r>
      <w:r>
        <w:rPr>
          <w:spacing w:val="-8"/>
          <w:sz w:val="24"/>
        </w:rPr>
        <w:t> </w:t>
      </w:r>
      <w:r>
        <w:rPr>
          <w:sz w:val="24"/>
        </w:rPr>
        <w:t>may</w:t>
      </w:r>
      <w:r>
        <w:rPr>
          <w:spacing w:val="-8"/>
          <w:sz w:val="24"/>
        </w:rPr>
        <w:t> </w:t>
      </w:r>
      <w:r>
        <w:rPr>
          <w:sz w:val="24"/>
        </w:rPr>
        <w:t>be</w:t>
      </w:r>
      <w:r>
        <w:rPr>
          <w:spacing w:val="-8"/>
          <w:sz w:val="24"/>
        </w:rPr>
        <w:t> </w:t>
      </w:r>
      <w:r>
        <w:rPr>
          <w:sz w:val="24"/>
        </w:rPr>
        <w:t>low</w:t>
      </w:r>
      <w:r>
        <w:rPr>
          <w:spacing w:val="-8"/>
          <w:sz w:val="24"/>
        </w:rPr>
        <w:t> </w:t>
      </w:r>
      <w:r>
        <w:rPr>
          <w:sz w:val="24"/>
        </w:rPr>
        <w:t>simply</w:t>
      </w:r>
      <w:r>
        <w:rPr>
          <w:spacing w:val="-8"/>
          <w:sz w:val="24"/>
        </w:rPr>
        <w:t> </w:t>
      </w:r>
      <w:r>
        <w:rPr>
          <w:sz w:val="24"/>
        </w:rPr>
        <w:t>because</w:t>
      </w:r>
      <w:r>
        <w:rPr>
          <w:spacing w:val="-9"/>
          <w:sz w:val="24"/>
        </w:rPr>
        <w:t> </w:t>
      </w:r>
      <w:r>
        <w:rPr>
          <w:rFonts w:ascii="Calibri" w:hAnsi="Calibri"/>
          <w:i/>
          <w:sz w:val="24"/>
        </w:rPr>
        <w:t>m</w:t>
      </w:r>
      <w:r>
        <w:rPr>
          <w:rFonts w:ascii="Calibri" w:hAnsi="Calibri"/>
          <w:i/>
          <w:spacing w:val="-2"/>
          <w:sz w:val="24"/>
        </w:rPr>
        <w:t> </w:t>
      </w:r>
      <w:r>
        <w:rPr>
          <w:sz w:val="24"/>
        </w:rPr>
        <w:t>is </w:t>
      </w:r>
      <w:r>
        <w:rPr>
          <w:spacing w:val="-2"/>
          <w:sz w:val="24"/>
        </w:rPr>
        <w:t>tiny.</w:t>
      </w:r>
    </w:p>
    <w:p>
      <w:pPr>
        <w:pStyle w:val="ListParagraph"/>
        <w:numPr>
          <w:ilvl w:val="3"/>
          <w:numId w:val="8"/>
        </w:numPr>
        <w:tabs>
          <w:tab w:pos="806" w:val="left" w:leader="none"/>
          <w:tab w:pos="808" w:val="left" w:leader="none"/>
        </w:tabs>
        <w:spacing w:line="386" w:lineRule="auto" w:before="217" w:after="0"/>
        <w:ind w:left="808" w:right="549" w:hanging="216"/>
        <w:jc w:val="both"/>
        <w:rPr>
          <w:sz w:val="24"/>
        </w:rPr>
      </w:pPr>
      <w:r>
        <w:rPr>
          <w:i/>
        </w:rPr>
        <w:t>가장자리 수가 매우 작은 방법(예: 수십 개의 가장자리가 있는 청산 지향 그래프)은 순위가 불안정하거나 저하될 수 있습니다. 단순히 m이 작기 때문에 런타임이 낮을 수 있습니다.</w:t>
      </w:r>
    </w:p>
    <w:p>
      <w:pPr>
        <w:pStyle w:val="ListParagraph"/>
        <w:numPr>
          <w:ilvl w:val="3"/>
          <w:numId w:val="8"/>
        </w:numPr>
        <w:tabs>
          <w:tab w:pos="806" w:val="left" w:leader="none"/>
          <w:tab w:pos="808" w:val="left" w:leader="none"/>
        </w:tabs>
        <w:spacing w:line="396" w:lineRule="auto" w:before="46" w:after="0"/>
        <w:ind w:left="808" w:right="559" w:hanging="216"/>
        <w:jc w:val="both"/>
        <w:rPr>
          <w:sz w:val="24"/>
        </w:rPr>
      </w:pPr>
      <w:r>
        <w:rPr>
          <w:sz w:val="24"/>
        </w:rPr>
        <w:t>RiskProp-style rows that mirror AWP numerically indicate shared transfer structure rather than independent discovery.</w:t>
      </w:r>
    </w:p>
    <w:p>
      <w:pPr>
        <w:pStyle w:val="ListParagraph"/>
        <w:numPr>
          <w:ilvl w:val="3"/>
          <w:numId w:val="8"/>
        </w:numPr>
        <w:tabs>
          <w:tab w:pos="806" w:val="left" w:leader="none"/>
          <w:tab w:pos="808" w:val="left" w:leader="none"/>
        </w:tabs>
        <w:spacing w:line="396" w:lineRule="auto" w:before="46" w:after="0"/>
        <w:ind w:left="808" w:right="559" w:hanging="216"/>
        <w:jc w:val="both"/>
        <w:rPr>
          <w:sz w:val="24"/>
        </w:rPr>
      </w:pPr>
      <w:r>
        <w:rPr>
          <w:i/>
        </w:rPr>
        <w:t>AWP을 미러링하는 RiskProp 스타일 행은 독립적인 검색이 아닌 공유 전송 구조를 숫자로 나타냅니다.</w:t>
      </w:r>
    </w:p>
    <w:p>
      <w:pPr>
        <w:pStyle w:val="ListParagraph"/>
        <w:numPr>
          <w:ilvl w:val="3"/>
          <w:numId w:val="8"/>
        </w:numPr>
        <w:tabs>
          <w:tab w:pos="806" w:val="left" w:leader="none"/>
          <w:tab w:pos="808" w:val="left" w:leader="none"/>
        </w:tabs>
        <w:spacing w:line="396" w:lineRule="auto" w:before="39" w:after="0"/>
        <w:ind w:left="808" w:right="564" w:hanging="216"/>
        <w:jc w:val="both"/>
        <w:rPr>
          <w:sz w:val="24"/>
        </w:rPr>
      </w:pPr>
      <w:r>
        <w:rPr>
          <w:sz w:val="24"/>
        </w:rPr>
        <w:t>GF-PR’s dominance on outcome families remains a construct-overlap warning, identical to Chapter </w:t>
      </w:r>
      <w:hyperlink w:history="true" w:anchor="_bookmark84">
        <w:r>
          <w:rPr>
            <w:sz w:val="24"/>
          </w:rPr>
          <w:t>4</w:t>
        </w:r>
      </w:hyperlink>
      <w:r>
        <w:rPr>
          <w:sz w:val="24"/>
        </w:rPr>
        <w:t>.</w:t>
      </w:r>
    </w:p>
    <w:p>
      <w:pPr>
        <w:pStyle w:val="ListParagraph"/>
        <w:numPr>
          <w:ilvl w:val="3"/>
          <w:numId w:val="8"/>
        </w:numPr>
        <w:tabs>
          <w:tab w:pos="806" w:val="left" w:leader="none"/>
          <w:tab w:pos="808" w:val="left" w:leader="none"/>
        </w:tabs>
        <w:spacing w:line="396" w:lineRule="auto" w:before="39" w:after="0"/>
        <w:ind w:left="808" w:right="564" w:hanging="216"/>
        <w:jc w:val="both"/>
        <w:rPr>
          <w:sz w:val="24"/>
        </w:rPr>
      </w:pPr>
      <w:r>
        <w:rPr>
          <w:i/>
        </w:rPr>
        <w:t>결과 계열에 대한 GF-PR의 지배력은 4장과 동일하게 구성 중복 경고로 남아 있습니다.</w:t>
      </w:r>
    </w:p>
    <w:p>
      <w:pPr>
        <w:pStyle w:val="ListParagraph"/>
        <w:spacing w:after="0" w:line="396" w:lineRule="auto"/>
        <w:jc w:val="both"/>
        <w:rPr>
          <w:sz w:val="24"/>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Six-method Aave-oriented matrix</w:t>
      </w:r>
    </w:p>
    <w:p>
      <w:pPr>
        <w:pStyle w:val="Heading4"/>
        <w:numPr>
          <w:ilvl w:val="2"/>
          <w:numId w:val="8"/>
        </w:numPr>
        <w:tabs>
          <w:tab w:pos="879" w:val="left" w:leader="none"/>
        </w:tabs>
        <w:spacing w:line="240" w:lineRule="auto" w:before="73" w:after="0"/>
        <w:ind w:left="879" w:right="0" w:hanging="597"/>
        <w:jc w:val="left"/>
      </w:pPr>
      <w:r>
        <w:rPr>
          <w:i/>
        </w:rPr>
        <w:t>6가지 방법 Aave 중심 행렬</w:t>
      </w:r>
    </w:p>
    <w:p>
      <w:pPr>
        <w:pStyle w:val="BodyText"/>
        <w:spacing w:before="46"/>
        <w:rPr>
          <w:b/>
        </w:rPr>
      </w:pPr>
    </w:p>
    <w:p>
      <w:pPr>
        <w:pStyle w:val="BodyText"/>
        <w:spacing w:line="384" w:lineRule="auto"/>
        <w:ind w:left="273" w:right="563" w:firstLine="1"/>
        <w:jc w:val="both"/>
      </w:pPr>
      <w:r>
        <w:rPr/>
        <w:t>Table </w:t>
      </w:r>
      <w:hyperlink w:history="true" w:anchor="_bookmark231">
        <w:r>
          <w:rPr/>
          <w:t>8.5</w:t>
        </w:r>
      </w:hyperlink>
      <w:r>
        <w:rPr/>
        <w:t> reports an Aave-oriented preset.</w:t>
      </w:r>
      <w:r>
        <w:rPr>
          <w:spacing w:val="40"/>
        </w:rPr>
        <w:t> </w:t>
      </w:r>
      <w:r>
        <w:rPr/>
        <w:t>Several lending-event graphs are sparse on Arbitrum within the study window; delegation-based rows may be degenerate when </w:t>
      </w:r>
      <w:r>
        <w:rPr>
          <w:rFonts w:ascii="Calibri" w:hAnsi="Calibri"/>
        </w:rPr>
        <w:t>BorrowAllowanceDel </w:t>
      </w:r>
      <w:r>
        <w:rPr>
          <w:rFonts w:ascii="Calibri" w:hAnsi="Calibri"/>
          <w:w w:val="105"/>
        </w:rPr>
        <w:t>egated</w:t>
      </w:r>
      <w:r>
        <w:rPr>
          <w:rFonts w:ascii="Calibri" w:hAnsi="Calibri"/>
          <w:spacing w:val="-1"/>
          <w:w w:val="105"/>
        </w:rPr>
        <w:t> </w:t>
      </w:r>
      <w:r>
        <w:rPr>
          <w:w w:val="105"/>
        </w:rPr>
        <w:t>events</w:t>
      </w:r>
      <w:r>
        <w:rPr>
          <w:spacing w:val="-7"/>
          <w:w w:val="105"/>
        </w:rPr>
        <w:t> </w:t>
      </w:r>
      <w:r>
        <w:rPr>
          <w:w w:val="105"/>
        </w:rPr>
        <w:t>were</w:t>
      </w:r>
      <w:r>
        <w:rPr>
          <w:spacing w:val="-7"/>
          <w:w w:val="105"/>
        </w:rPr>
        <w:t> </w:t>
      </w:r>
      <w:r>
        <w:rPr>
          <w:w w:val="105"/>
        </w:rPr>
        <w:t>not</w:t>
      </w:r>
      <w:r>
        <w:rPr>
          <w:spacing w:val="-7"/>
          <w:w w:val="105"/>
        </w:rPr>
        <w:t> </w:t>
      </w:r>
      <w:r>
        <w:rPr>
          <w:w w:val="105"/>
        </w:rPr>
        <w:t>extracted</w:t>
      </w:r>
      <w:r>
        <w:rPr>
          <w:spacing w:val="-7"/>
          <w:w w:val="105"/>
        </w:rPr>
        <w:t> </w:t>
      </w:r>
      <w:r>
        <w:rPr>
          <w:w w:val="105"/>
        </w:rPr>
        <w:t>(Appendix</w:t>
      </w:r>
      <w:r>
        <w:rPr>
          <w:spacing w:val="-7"/>
          <w:w w:val="105"/>
        </w:rPr>
        <w:t> </w:t>
      </w:r>
      <w:hyperlink w:history="true" w:anchor="_bookmark198">
        <w:r>
          <w:rPr>
            <w:w w:val="105"/>
          </w:rPr>
          <w:t>8.1</w:t>
        </w:r>
      </w:hyperlink>
      <w:r>
        <w:rPr>
          <w:w w:val="105"/>
        </w:rPr>
        <w:t>).</w:t>
      </w:r>
    </w:p>
    <w:p>
      <w:pPr>
        <w:pStyle w:val="BodyText"/>
        <w:spacing w:line="384" w:lineRule="auto"/>
        <w:ind w:left="273" w:right="563" w:firstLine="1"/>
        <w:jc w:val="both"/>
      </w:pPr>
      <w:r>
        <w:rPr>
          <w:i/>
        </w:rPr>
        <w:t>표 8.5는 Aave 지향 사전 설정을 보고합니다. 여러 대출 이벤트 그래프가 연구 창 내의 Arbitrum에 드물게 표시됩니다. 위임 기반 행은 BorrowAllowanceDel egated 이벤트가 추출되지 않은 경우 퇴화될 수 있습니다(부록 8.1).</w:t>
      </w:r>
    </w:p>
    <w:p>
      <w:pPr>
        <w:pStyle w:val="BodyText"/>
        <w:spacing w:line="199" w:lineRule="auto" w:before="96"/>
        <w:ind w:left="274" w:right="524"/>
        <w:jc w:val="both"/>
      </w:pPr>
      <w:bookmarkStart w:name="_bookmark231" w:id="384"/>
      <w:bookmarkEnd w:id="384"/>
      <w:r>
        <w:rPr/>
      </w:r>
      <w:r>
        <w:rPr/>
        <w:t>Table 8.5:</w:t>
      </w:r>
      <w:r>
        <w:rPr>
          <w:spacing w:val="40"/>
        </w:rPr>
        <w:t> </w:t>
      </w:r>
      <w:r>
        <w:rPr/>
        <w:t>Mean Kendall </w:t>
      </w:r>
      <w:r>
        <w:rPr>
          <w:rFonts w:ascii="Calibri" w:hAnsi="Calibri"/>
          <w:i/>
        </w:rPr>
        <w:t>τ </w:t>
      </w:r>
      <w:r>
        <w:rPr/>
        <w:t>by proxy family across 6 PageRank methods (</w:t>
      </w:r>
      <w:r>
        <w:rPr>
          <w:rFonts w:ascii="Calibri" w:hAnsi="Calibri"/>
          <w:i/>
        </w:rPr>
        <w:t>n</w:t>
      </w:r>
      <w:r>
        <w:rPr>
          <w:rFonts w:ascii="Calibri" w:hAnsi="Calibri"/>
          <w:i/>
          <w:w w:val="120"/>
        </w:rPr>
        <w:t> </w:t>
      </w:r>
      <w:r>
        <w:rPr>
          <w:rFonts w:ascii="Calibri" w:hAnsi="Calibri"/>
          <w:w w:val="120"/>
        </w:rPr>
        <w:t>=</w:t>
      </w:r>
      <w:r>
        <w:rPr>
          <w:rFonts w:ascii="Calibri" w:hAnsi="Calibri"/>
          <w:w w:val="120"/>
        </w:rPr>
        <w:t> </w:t>
      </w:r>
      <w:r>
        <w:rPr>
          <w:rFonts w:ascii="Calibri" w:hAnsi="Calibri"/>
        </w:rPr>
        <w:t>5521</w:t>
      </w:r>
      <w:r>
        <w:rPr/>
        <w:t>).</w:t>
      </w:r>
      <w:r>
        <w:rPr>
          <w:spacing w:val="40"/>
        </w:rPr>
        <w:t> </w:t>
      </w:r>
      <w:r>
        <w:rPr/>
        <w:t>Bold = column maximum.</w:t>
      </w:r>
      <w:r>
        <w:rPr>
          <w:spacing w:val="40"/>
        </w:rPr>
        <w:t> </w:t>
      </w:r>
      <w:r>
        <w:rPr/>
        <w:t>Runtime = mean PageRank wall time (s, 3 repeats).</w:t>
      </w:r>
      <w:r>
        <w:rPr>
          <w:spacing w:val="40"/>
        </w:rPr>
        <w:t> </w:t>
      </w:r>
      <w:r>
        <w:rPr/>
        <w:t>Aave W</w:t>
      </w:r>
      <w:r>
        <w:rPr>
          <w:rFonts w:ascii="Lucida Sans Unicode" w:hAnsi="Lucida Sans Unicode"/>
        </w:rPr>
        <w:t>→</w:t>
      </w:r>
      <w:r>
        <w:rPr/>
        <w:t>W edges: LiqCall (liquidator</w:t>
      </w:r>
      <w:r>
        <w:rPr>
          <w:rFonts w:ascii="Lucida Sans Unicode" w:hAnsi="Lucida Sans Unicode"/>
        </w:rPr>
        <w:t>→</w:t>
      </w:r>
      <w:r>
        <w:rPr/>
        <w:t>user), Borrow (initiator</w:t>
      </w:r>
      <w:r>
        <w:rPr>
          <w:rFonts w:ascii="Lucida Sans Unicode" w:hAnsi="Lucida Sans Unicode"/>
        </w:rPr>
        <w:t>→</w:t>
      </w:r>
      <w:r>
        <w:rPr/>
        <w:t>onBehalfOf), Repay (repayer</w:t>
      </w:r>
      <w:r>
        <w:rPr>
          <w:rFonts w:ascii="Lucida Sans Unicode" w:hAnsi="Lucida Sans Unicode"/>
        </w:rPr>
        <w:t>→</w:t>
      </w:r>
      <w:r>
        <w:rPr/>
        <w:t>user), Delegation (delegator</w:t>
      </w:r>
      <w:r>
        <w:rPr>
          <w:rFonts w:ascii="Lucida Sans Unicode" w:hAnsi="Lucida Sans Unicode"/>
        </w:rPr>
        <w:t>→</w:t>
      </w:r>
      <w:r>
        <w:rPr/>
        <w:t>delegatee).</w:t>
      </w:r>
      <w:r>
        <w:rPr>
          <w:spacing w:val="40"/>
        </w:rPr>
        <w:t> </w:t>
      </w:r>
      <w:r>
        <w:rPr/>
        <w:t>Credit Delegation extract deferred when parquet absent—</w:t>
      </w:r>
      <w:r>
        <w:rPr>
          <w:rFonts w:ascii="Calibri" w:hAnsi="Calibri"/>
          <w:i/>
        </w:rPr>
        <w:t>τ </w:t>
      </w:r>
      <w:r>
        <w:rPr/>
        <w:t>may be de-generate.</w:t>
      </w:r>
      <w:r>
        <w:rPr>
          <w:spacing w:val="36"/>
        </w:rPr>
        <w:t> </w:t>
      </w:r>
      <w:r>
        <w:rPr/>
        <w:t>Edge counts:</w:t>
      </w:r>
      <w:r>
        <w:rPr>
          <w:spacing w:val="27"/>
        </w:rPr>
        <w:t> </w:t>
      </w:r>
      <w:r>
        <w:rPr/>
        <w:t>liq-pr=45,</w:t>
      </w:r>
      <w:r>
        <w:rPr>
          <w:spacing w:val="2"/>
        </w:rPr>
        <w:t> </w:t>
      </w:r>
      <w:r>
        <w:rPr/>
        <w:t>borrow-pr=484,</w:t>
      </w:r>
      <w:r>
        <w:rPr>
          <w:spacing w:val="3"/>
        </w:rPr>
        <w:t> </w:t>
      </w:r>
      <w:r>
        <w:rPr/>
        <w:t>repay-pr=787,</w:t>
      </w:r>
      <w:r>
        <w:rPr>
          <w:spacing w:val="2"/>
        </w:rPr>
        <w:t> </w:t>
      </w:r>
      <w:r>
        <w:rPr/>
        <w:t>borrow-pr-pool=262,</w:t>
      </w:r>
      <w:r>
        <w:rPr>
          <w:spacing w:val="3"/>
        </w:rPr>
        <w:t> </w:t>
      </w:r>
      <w:r>
        <w:rPr/>
        <w:t>repay-</w:t>
      </w:r>
      <w:r>
        <w:rPr>
          <w:spacing w:val="-5"/>
        </w:rPr>
        <w:t>pr-</w:t>
      </w:r>
    </w:p>
    <w:p>
      <w:pPr>
        <w:pStyle w:val="BodyText"/>
        <w:spacing w:line="199" w:lineRule="auto" w:before="96"/>
        <w:ind w:left="274" w:right="524"/>
        <w:jc w:val="both"/>
      </w:pPr>
      <w:r>
        <w:rPr>
          <w:i/>
        </w:rPr>
        <w:t>표 8.5: 6개 PageRank 방법에 걸쳐 프록시 계열의 평균 Kendall τ(n = 5521). 굵은 글씨 = 열 최대값. 런타임 = 평균 PageRank 벽 시간(초, 3회 반복). Aave W→W 에지: LiqCall(청산자→사용자), 차용(개시자→onBehalfOf), 상환(상환자→사용자), 위임(위임자→위임자). 마루가 없을 때 신용 위임 추출이 연기됩니다. τ가 퇴화될 수 있습니다. 엣지 카운트: liq-pr=45, rent-pr=484, repay-pr=787, rent-pr-pool=262, repay-pr-</w:t>
      </w:r>
    </w:p>
    <w:p>
      <w:pPr>
        <w:pStyle w:val="BodyText"/>
        <w:spacing w:before="20"/>
        <w:ind w:left="282"/>
        <w:jc w:val="both"/>
      </w:pPr>
      <w:r>
        <w:rPr>
          <w:spacing w:val="-2"/>
        </w:rPr>
        <w:t>pool=232,</w:t>
      </w:r>
      <w:r>
        <w:rPr>
          <w:spacing w:val="18"/>
        </w:rPr>
        <w:t> </w:t>
      </w:r>
      <w:r>
        <w:rPr>
          <w:spacing w:val="-2"/>
        </w:rPr>
        <w:t>delegation-pr=0.</w:t>
      </w:r>
    </w:p>
    <w:p>
      <w:pPr>
        <w:pStyle w:val="BodyText"/>
        <w:spacing w:before="20"/>
        <w:ind w:left="282"/>
        <w:jc w:val="both"/>
      </w:pPr>
      <w:r>
        <w:rPr>
          <w:i/>
        </w:rPr>
        <w:t>풀=232, 위임-pr=0.</w:t>
      </w:r>
    </w:p>
    <w:p>
      <w:pPr>
        <w:pStyle w:val="BodyText"/>
        <w:spacing w:before="13" w:after="1"/>
        <w:rPr>
          <w:sz w:val="20"/>
        </w:rPr>
      </w:pPr>
    </w:p>
    <w:tbl>
      <w:tblPr>
        <w:tblW w:w="0" w:type="auto"/>
        <w:jc w:val="left"/>
        <w:tblInd w:w="1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71"/>
        <w:gridCol w:w="1085"/>
        <w:gridCol w:w="703"/>
        <w:gridCol w:w="798"/>
        <w:gridCol w:w="630"/>
        <w:gridCol w:w="648"/>
        <w:gridCol w:w="1175"/>
      </w:tblGrid>
      <w:tr>
        <w:trPr>
          <w:trHeight w:val="381" w:hRule="atLeast"/>
        </w:trPr>
        <w:tc>
          <w:tcPr>
            <w:tcW w:w="1436" w:type="dxa"/>
            <w:tcBorders>
              <w:top w:val="single" w:sz="8" w:space="0" w:color="000000"/>
              <w:bottom w:val="single" w:sz="6" w:space="0" w:color="000000"/>
            </w:tcBorders>
          </w:tcPr>
          <w:p>
            <w:pPr>
              <w:pStyle w:val="TableParagraph"/>
              <w:spacing w:before="53"/>
              <w:ind w:left="69"/>
              <w:jc w:val="left"/>
              <w:rPr>
                <w:sz w:val="22"/>
              </w:rPr>
            </w:pPr>
            <w:r>
              <w:rPr>
                <w:spacing w:val="-2"/>
                <w:sz w:val="22"/>
              </w:rPr>
              <w:t>Method</w:t>
            </w:r>
          </w:p>
          <w:p>
            <w:pPr>
              <w:pStyle w:val="TableParagraph"/>
              <w:spacing w:before="53"/>
              <w:ind w:left="69"/>
              <w:jc w:val="left"/>
              <w:rPr>
                <w:sz w:val="22"/>
              </w:rPr>
            </w:pPr>
            <w:r>
              <w:rPr>
                <w:i/>
              </w:rPr>
              <w:t>방법</w:t>
            </w:r>
          </w:p>
        </w:tc>
        <w:tc>
          <w:tcPr>
            <w:tcW w:w="871" w:type="dxa"/>
            <w:tcBorders>
              <w:top w:val="single" w:sz="8" w:space="0" w:color="000000"/>
              <w:bottom w:val="single" w:sz="6" w:space="0" w:color="000000"/>
            </w:tcBorders>
          </w:tcPr>
          <w:p>
            <w:pPr>
              <w:pStyle w:val="TableParagraph"/>
              <w:spacing w:before="53"/>
              <w:rPr>
                <w:sz w:val="22"/>
              </w:rPr>
            </w:pPr>
            <w:r>
              <w:rPr>
                <w:spacing w:val="-2"/>
                <w:sz w:val="22"/>
              </w:rPr>
              <w:t>Transfer</w:t>
            </w:r>
          </w:p>
          <w:p>
            <w:pPr>
              <w:pStyle w:val="TableParagraph"/>
              <w:spacing w:before="53"/>
              <w:rPr>
                <w:sz w:val="22"/>
              </w:rPr>
            </w:pPr>
            <w:r>
              <w:rPr>
                <w:i/>
              </w:rPr>
              <w:t>옮기다</w:t>
            </w:r>
          </w:p>
        </w:tc>
        <w:tc>
          <w:tcPr>
            <w:tcW w:w="1085" w:type="dxa"/>
            <w:tcBorders>
              <w:top w:val="single" w:sz="8" w:space="0" w:color="000000"/>
              <w:bottom w:val="single" w:sz="6" w:space="0" w:color="000000"/>
            </w:tcBorders>
          </w:tcPr>
          <w:p>
            <w:pPr>
              <w:pStyle w:val="TableParagraph"/>
              <w:spacing w:before="53"/>
              <w:ind w:left="1" w:right="1"/>
              <w:rPr>
                <w:sz w:val="22"/>
              </w:rPr>
            </w:pPr>
            <w:r>
              <w:rPr>
                <w:spacing w:val="-2"/>
                <w:sz w:val="22"/>
              </w:rPr>
              <w:t>Allowance</w:t>
            </w:r>
          </w:p>
          <w:p>
            <w:pPr>
              <w:pStyle w:val="TableParagraph"/>
              <w:spacing w:before="53"/>
              <w:ind w:left="1" w:right="1"/>
              <w:rPr>
                <w:sz w:val="22"/>
              </w:rPr>
            </w:pPr>
            <w:r>
              <w:rPr>
                <w:i/>
              </w:rPr>
              <w:t>용돈</w:t>
            </w:r>
          </w:p>
        </w:tc>
        <w:tc>
          <w:tcPr>
            <w:tcW w:w="703" w:type="dxa"/>
            <w:tcBorders>
              <w:top w:val="single" w:sz="8" w:space="0" w:color="000000"/>
              <w:bottom w:val="single" w:sz="6" w:space="0" w:color="000000"/>
            </w:tcBorders>
          </w:tcPr>
          <w:p>
            <w:pPr>
              <w:pStyle w:val="TableParagraph"/>
              <w:spacing w:before="53"/>
              <w:ind w:left="1" w:right="1"/>
              <w:rPr>
                <w:sz w:val="22"/>
              </w:rPr>
            </w:pPr>
            <w:r>
              <w:rPr>
                <w:spacing w:val="-4"/>
                <w:sz w:val="22"/>
              </w:rPr>
              <w:t>Liq.</w:t>
            </w:r>
          </w:p>
          <w:p>
            <w:pPr>
              <w:pStyle w:val="TableParagraph"/>
              <w:spacing w:before="53"/>
              <w:ind w:left="1" w:right="1"/>
              <w:rPr>
                <w:sz w:val="22"/>
              </w:rPr>
            </w:pPr>
            <w:r>
              <w:rPr>
                <w:i/>
              </w:rPr>
              <w:t>액체.</w:t>
            </w:r>
          </w:p>
        </w:tc>
        <w:tc>
          <w:tcPr>
            <w:tcW w:w="798" w:type="dxa"/>
            <w:tcBorders>
              <w:top w:val="single" w:sz="8" w:space="0" w:color="000000"/>
              <w:bottom w:val="single" w:sz="6" w:space="0" w:color="000000"/>
            </w:tcBorders>
          </w:tcPr>
          <w:p>
            <w:pPr>
              <w:pStyle w:val="TableParagraph"/>
              <w:spacing w:before="53"/>
              <w:rPr>
                <w:sz w:val="22"/>
              </w:rPr>
            </w:pPr>
            <w:r>
              <w:rPr>
                <w:spacing w:val="-2"/>
                <w:sz w:val="22"/>
              </w:rPr>
              <w:t>Inv.risk</w:t>
            </w:r>
          </w:p>
          <w:p>
            <w:pPr>
              <w:pStyle w:val="TableParagraph"/>
              <w:spacing w:before="53"/>
              <w:rPr>
                <w:sz w:val="22"/>
              </w:rPr>
            </w:pPr>
            <w:r>
              <w:rPr>
                <w:i/>
              </w:rPr>
              <w:t>투자위험</w:t>
            </w:r>
          </w:p>
        </w:tc>
        <w:tc>
          <w:tcPr>
            <w:tcW w:w="630" w:type="dxa"/>
            <w:tcBorders>
              <w:top w:val="single" w:sz="8" w:space="0" w:color="000000"/>
              <w:bottom w:val="single" w:sz="6" w:space="0" w:color="000000"/>
            </w:tcBorders>
          </w:tcPr>
          <w:p>
            <w:pPr>
              <w:pStyle w:val="TableParagraph"/>
              <w:spacing w:before="53"/>
              <w:rPr>
                <w:sz w:val="22"/>
              </w:rPr>
            </w:pPr>
            <w:r>
              <w:rPr>
                <w:spacing w:val="-2"/>
                <w:sz w:val="22"/>
              </w:rPr>
              <w:t>Sybil</w:t>
            </w:r>
          </w:p>
        </w:tc>
        <w:tc>
          <w:tcPr>
            <w:tcW w:w="648" w:type="dxa"/>
            <w:tcBorders>
              <w:top w:val="single" w:sz="8" w:space="0" w:color="000000"/>
              <w:bottom w:val="single" w:sz="6" w:space="0" w:color="000000"/>
            </w:tcBorders>
          </w:tcPr>
          <w:p>
            <w:pPr>
              <w:pStyle w:val="TableParagraph"/>
              <w:spacing w:before="53"/>
              <w:rPr>
                <w:sz w:val="22"/>
              </w:rPr>
            </w:pPr>
            <w:r>
              <w:rPr>
                <w:spacing w:val="-5"/>
                <w:sz w:val="22"/>
              </w:rPr>
              <w:t>GMX</w:t>
            </w:r>
          </w:p>
        </w:tc>
        <w:tc>
          <w:tcPr>
            <w:tcW w:w="1175" w:type="dxa"/>
            <w:tcBorders>
              <w:top w:val="single" w:sz="8" w:space="0" w:color="000000"/>
              <w:bottom w:val="single" w:sz="6" w:space="0" w:color="000000"/>
            </w:tcBorders>
          </w:tcPr>
          <w:p>
            <w:pPr>
              <w:pStyle w:val="TableParagraph"/>
              <w:spacing w:before="53"/>
              <w:ind w:right="65"/>
              <w:jc w:val="right"/>
              <w:rPr>
                <w:sz w:val="22"/>
              </w:rPr>
            </w:pPr>
            <w:r>
              <w:rPr>
                <w:sz w:val="22"/>
              </w:rPr>
              <w:t>Runtime</w:t>
            </w:r>
            <w:r>
              <w:rPr>
                <w:spacing w:val="-9"/>
                <w:sz w:val="22"/>
              </w:rPr>
              <w:t> </w:t>
            </w:r>
            <w:r>
              <w:rPr>
                <w:spacing w:val="-5"/>
                <w:sz w:val="22"/>
              </w:rPr>
              <w:t>(s)</w:t>
            </w:r>
          </w:p>
          <w:p>
            <w:pPr>
              <w:pStyle w:val="TableParagraph"/>
              <w:spacing w:before="53"/>
              <w:ind w:right="65"/>
              <w:jc w:val="right"/>
              <w:rPr>
                <w:sz w:val="22"/>
              </w:rPr>
            </w:pPr>
            <w:r>
              <w:rPr>
                <w:i/>
              </w:rPr>
              <w:t>런타임(들)</w:t>
            </w:r>
          </w:p>
        </w:tc>
      </w:tr>
      <w:tr>
        <w:trPr>
          <w:trHeight w:val="319" w:hRule="atLeast"/>
        </w:trPr>
        <w:tc>
          <w:tcPr>
            <w:tcW w:w="1436" w:type="dxa"/>
            <w:tcBorders>
              <w:top w:val="single" w:sz="6" w:space="0" w:color="000000"/>
            </w:tcBorders>
          </w:tcPr>
          <w:p>
            <w:pPr>
              <w:pStyle w:val="TableParagraph"/>
              <w:spacing w:line="247" w:lineRule="exact" w:before="52"/>
              <w:ind w:left="69"/>
              <w:jc w:val="left"/>
              <w:rPr>
                <w:sz w:val="22"/>
              </w:rPr>
            </w:pPr>
            <w:r>
              <w:rPr>
                <w:spacing w:val="-5"/>
                <w:sz w:val="22"/>
              </w:rPr>
              <w:t>AWP</w:t>
            </w:r>
          </w:p>
        </w:tc>
        <w:tc>
          <w:tcPr>
            <w:tcW w:w="871" w:type="dxa"/>
            <w:tcBorders>
              <w:top w:val="single" w:sz="6" w:space="0" w:color="000000"/>
            </w:tcBorders>
          </w:tcPr>
          <w:p>
            <w:pPr>
              <w:pStyle w:val="TableParagraph"/>
              <w:spacing w:line="247" w:lineRule="exact" w:before="52"/>
              <w:rPr>
                <w:b/>
                <w:sz w:val="22"/>
              </w:rPr>
            </w:pPr>
            <w:r>
              <w:rPr>
                <w:b/>
                <w:spacing w:val="-2"/>
                <w:sz w:val="22"/>
              </w:rPr>
              <w:t>0.534</w:t>
            </w:r>
          </w:p>
        </w:tc>
        <w:tc>
          <w:tcPr>
            <w:tcW w:w="1085" w:type="dxa"/>
            <w:tcBorders>
              <w:top w:val="single" w:sz="6" w:space="0" w:color="000000"/>
            </w:tcBorders>
          </w:tcPr>
          <w:p>
            <w:pPr>
              <w:pStyle w:val="TableParagraph"/>
              <w:spacing w:line="247" w:lineRule="exact" w:before="52"/>
              <w:ind w:left="1" w:right="1"/>
              <w:rPr>
                <w:sz w:val="22"/>
              </w:rPr>
            </w:pPr>
            <w:r>
              <w:rPr>
                <w:spacing w:val="-2"/>
                <w:sz w:val="22"/>
              </w:rPr>
              <w:t>-0.030</w:t>
            </w:r>
          </w:p>
        </w:tc>
        <w:tc>
          <w:tcPr>
            <w:tcW w:w="703" w:type="dxa"/>
            <w:tcBorders>
              <w:top w:val="single" w:sz="6" w:space="0" w:color="000000"/>
            </w:tcBorders>
          </w:tcPr>
          <w:p>
            <w:pPr>
              <w:pStyle w:val="TableParagraph"/>
              <w:spacing w:line="247" w:lineRule="exact" w:before="52"/>
              <w:ind w:left="1" w:right="1"/>
              <w:rPr>
                <w:b/>
                <w:sz w:val="22"/>
              </w:rPr>
            </w:pPr>
            <w:r>
              <w:rPr>
                <w:b/>
                <w:spacing w:val="-2"/>
                <w:sz w:val="22"/>
              </w:rPr>
              <w:t>0.113</w:t>
            </w:r>
          </w:p>
        </w:tc>
        <w:tc>
          <w:tcPr>
            <w:tcW w:w="798" w:type="dxa"/>
            <w:tcBorders>
              <w:top w:val="single" w:sz="6" w:space="0" w:color="000000"/>
            </w:tcBorders>
          </w:tcPr>
          <w:p>
            <w:pPr>
              <w:pStyle w:val="TableParagraph"/>
              <w:spacing w:line="247" w:lineRule="exact" w:before="52"/>
              <w:ind w:right="1"/>
              <w:rPr>
                <w:b/>
                <w:sz w:val="22"/>
              </w:rPr>
            </w:pPr>
            <w:r>
              <w:rPr>
                <w:b/>
                <w:spacing w:val="-2"/>
                <w:sz w:val="22"/>
              </w:rPr>
              <w:t>0.107</w:t>
            </w:r>
          </w:p>
        </w:tc>
        <w:tc>
          <w:tcPr>
            <w:tcW w:w="630" w:type="dxa"/>
            <w:tcBorders>
              <w:top w:val="single" w:sz="6" w:space="0" w:color="000000"/>
            </w:tcBorders>
          </w:tcPr>
          <w:p>
            <w:pPr>
              <w:pStyle w:val="TableParagraph"/>
              <w:spacing w:line="247" w:lineRule="exact" w:before="52"/>
              <w:rPr>
                <w:b/>
                <w:sz w:val="22"/>
              </w:rPr>
            </w:pPr>
            <w:r>
              <w:rPr>
                <w:b/>
                <w:spacing w:val="-2"/>
                <w:sz w:val="22"/>
              </w:rPr>
              <w:t>0.286</w:t>
            </w:r>
          </w:p>
        </w:tc>
        <w:tc>
          <w:tcPr>
            <w:tcW w:w="648" w:type="dxa"/>
            <w:tcBorders>
              <w:top w:val="single" w:sz="6" w:space="0" w:color="000000"/>
            </w:tcBorders>
          </w:tcPr>
          <w:p>
            <w:pPr>
              <w:pStyle w:val="TableParagraph"/>
              <w:spacing w:line="247" w:lineRule="exact" w:before="52"/>
              <w:rPr>
                <w:b/>
                <w:sz w:val="22"/>
              </w:rPr>
            </w:pPr>
            <w:r>
              <w:rPr>
                <w:b/>
                <w:spacing w:val="-2"/>
                <w:sz w:val="22"/>
              </w:rPr>
              <w:t>0.179</w:t>
            </w:r>
          </w:p>
        </w:tc>
        <w:tc>
          <w:tcPr>
            <w:tcW w:w="1175" w:type="dxa"/>
            <w:tcBorders>
              <w:top w:val="single" w:sz="6" w:space="0" w:color="000000"/>
            </w:tcBorders>
          </w:tcPr>
          <w:p>
            <w:pPr>
              <w:pStyle w:val="TableParagraph"/>
              <w:spacing w:line="247" w:lineRule="exact" w:before="52"/>
              <w:ind w:right="66"/>
              <w:jc w:val="right"/>
              <w:rPr>
                <w:sz w:val="22"/>
              </w:rPr>
            </w:pPr>
            <w:r>
              <w:rPr>
                <w:spacing w:val="-2"/>
                <w:sz w:val="22"/>
              </w:rPr>
              <w:t>22.757</w:t>
            </w:r>
          </w:p>
        </w:tc>
      </w:tr>
      <w:tr>
        <w:trPr>
          <w:trHeight w:val="270" w:hRule="atLeast"/>
        </w:trPr>
        <w:tc>
          <w:tcPr>
            <w:tcW w:w="1436" w:type="dxa"/>
          </w:tcPr>
          <w:p>
            <w:pPr>
              <w:pStyle w:val="TableParagraph"/>
              <w:spacing w:line="247" w:lineRule="exact"/>
              <w:ind w:left="69"/>
              <w:jc w:val="left"/>
              <w:rPr>
                <w:sz w:val="22"/>
              </w:rPr>
            </w:pPr>
            <w:r>
              <w:rPr>
                <w:spacing w:val="-2"/>
                <w:sz w:val="22"/>
              </w:rPr>
              <w:t>EndorseRank</w:t>
            </w:r>
          </w:p>
        </w:tc>
        <w:tc>
          <w:tcPr>
            <w:tcW w:w="871" w:type="dxa"/>
          </w:tcPr>
          <w:p>
            <w:pPr>
              <w:pStyle w:val="TableParagraph"/>
              <w:spacing w:line="247" w:lineRule="exact"/>
              <w:rPr>
                <w:sz w:val="22"/>
              </w:rPr>
            </w:pPr>
            <w:r>
              <w:rPr>
                <w:spacing w:val="-2"/>
                <w:sz w:val="22"/>
              </w:rPr>
              <w:t>0.333</w:t>
            </w:r>
          </w:p>
        </w:tc>
        <w:tc>
          <w:tcPr>
            <w:tcW w:w="1085" w:type="dxa"/>
          </w:tcPr>
          <w:p>
            <w:pPr>
              <w:pStyle w:val="TableParagraph"/>
              <w:spacing w:line="247" w:lineRule="exact"/>
              <w:ind w:left="1" w:right="1"/>
              <w:rPr>
                <w:b/>
                <w:sz w:val="22"/>
              </w:rPr>
            </w:pPr>
            <w:r>
              <w:rPr>
                <w:b/>
                <w:spacing w:val="-2"/>
                <w:sz w:val="22"/>
              </w:rPr>
              <w:t>0.355</w:t>
            </w:r>
          </w:p>
        </w:tc>
        <w:tc>
          <w:tcPr>
            <w:tcW w:w="703" w:type="dxa"/>
          </w:tcPr>
          <w:p>
            <w:pPr>
              <w:pStyle w:val="TableParagraph"/>
              <w:spacing w:line="247" w:lineRule="exact"/>
              <w:ind w:right="1"/>
              <w:rPr>
                <w:sz w:val="22"/>
              </w:rPr>
            </w:pPr>
            <w:r>
              <w:rPr>
                <w:spacing w:val="-2"/>
                <w:sz w:val="22"/>
              </w:rPr>
              <w:t>0.093</w:t>
            </w:r>
          </w:p>
        </w:tc>
        <w:tc>
          <w:tcPr>
            <w:tcW w:w="798" w:type="dxa"/>
          </w:tcPr>
          <w:p>
            <w:pPr>
              <w:pStyle w:val="TableParagraph"/>
              <w:spacing w:line="247" w:lineRule="exact"/>
              <w:ind w:right="1"/>
              <w:rPr>
                <w:sz w:val="22"/>
              </w:rPr>
            </w:pPr>
            <w:r>
              <w:rPr>
                <w:spacing w:val="-2"/>
                <w:sz w:val="22"/>
              </w:rPr>
              <w:t>0.035</w:t>
            </w:r>
          </w:p>
        </w:tc>
        <w:tc>
          <w:tcPr>
            <w:tcW w:w="630" w:type="dxa"/>
          </w:tcPr>
          <w:p>
            <w:pPr>
              <w:pStyle w:val="TableParagraph"/>
              <w:spacing w:line="247" w:lineRule="exact"/>
              <w:rPr>
                <w:sz w:val="22"/>
              </w:rPr>
            </w:pPr>
            <w:r>
              <w:rPr>
                <w:spacing w:val="-2"/>
                <w:sz w:val="22"/>
              </w:rPr>
              <w:t>0.233</w:t>
            </w:r>
          </w:p>
        </w:tc>
        <w:tc>
          <w:tcPr>
            <w:tcW w:w="648" w:type="dxa"/>
          </w:tcPr>
          <w:p>
            <w:pPr>
              <w:pStyle w:val="TableParagraph"/>
              <w:spacing w:line="247" w:lineRule="exact"/>
              <w:rPr>
                <w:sz w:val="22"/>
              </w:rPr>
            </w:pPr>
            <w:r>
              <w:rPr>
                <w:spacing w:val="-2"/>
                <w:sz w:val="22"/>
              </w:rPr>
              <w:t>0.096</w:t>
            </w:r>
          </w:p>
        </w:tc>
        <w:tc>
          <w:tcPr>
            <w:tcW w:w="1175" w:type="dxa"/>
          </w:tcPr>
          <w:p>
            <w:pPr>
              <w:pStyle w:val="TableParagraph"/>
              <w:spacing w:line="247" w:lineRule="exact"/>
              <w:ind w:right="66"/>
              <w:jc w:val="right"/>
              <w:rPr>
                <w:sz w:val="22"/>
              </w:rPr>
            </w:pPr>
            <w:r>
              <w:rPr>
                <w:spacing w:val="-2"/>
                <w:sz w:val="22"/>
              </w:rPr>
              <w:t>2.544</w:t>
            </w:r>
          </w:p>
        </w:tc>
      </w:tr>
      <w:tr>
        <w:trPr>
          <w:trHeight w:val="270" w:hRule="atLeast"/>
        </w:trPr>
        <w:tc>
          <w:tcPr>
            <w:tcW w:w="1436" w:type="dxa"/>
          </w:tcPr>
          <w:p>
            <w:pPr>
              <w:pStyle w:val="TableParagraph"/>
              <w:spacing w:line="247" w:lineRule="exact"/>
              <w:ind w:left="69"/>
              <w:jc w:val="left"/>
              <w:rPr>
                <w:sz w:val="22"/>
              </w:rPr>
            </w:pPr>
            <w:r>
              <w:rPr>
                <w:spacing w:val="-2"/>
                <w:sz w:val="22"/>
              </w:rPr>
              <w:t>LiqCall-</w:t>
            </w:r>
            <w:r>
              <w:rPr>
                <w:spacing w:val="-5"/>
                <w:sz w:val="22"/>
              </w:rPr>
              <w:t>PR</w:t>
            </w:r>
          </w:p>
        </w:tc>
        <w:tc>
          <w:tcPr>
            <w:tcW w:w="871" w:type="dxa"/>
          </w:tcPr>
          <w:p>
            <w:pPr>
              <w:pStyle w:val="TableParagraph"/>
              <w:spacing w:line="247" w:lineRule="exact"/>
              <w:rPr>
                <w:sz w:val="22"/>
              </w:rPr>
            </w:pPr>
            <w:r>
              <w:rPr>
                <w:spacing w:val="-2"/>
                <w:sz w:val="22"/>
              </w:rPr>
              <w:t>0.053</w:t>
            </w:r>
          </w:p>
        </w:tc>
        <w:tc>
          <w:tcPr>
            <w:tcW w:w="1085" w:type="dxa"/>
          </w:tcPr>
          <w:p>
            <w:pPr>
              <w:pStyle w:val="TableParagraph"/>
              <w:spacing w:line="247" w:lineRule="exact"/>
              <w:ind w:left="1" w:right="1"/>
              <w:rPr>
                <w:sz w:val="22"/>
              </w:rPr>
            </w:pPr>
            <w:r>
              <w:rPr>
                <w:spacing w:val="-2"/>
                <w:sz w:val="22"/>
              </w:rPr>
              <w:t>-0.012</w:t>
            </w:r>
          </w:p>
        </w:tc>
        <w:tc>
          <w:tcPr>
            <w:tcW w:w="703" w:type="dxa"/>
          </w:tcPr>
          <w:p>
            <w:pPr>
              <w:pStyle w:val="TableParagraph"/>
              <w:spacing w:line="247" w:lineRule="exact"/>
              <w:ind w:right="1"/>
              <w:rPr>
                <w:sz w:val="22"/>
              </w:rPr>
            </w:pPr>
            <w:r>
              <w:rPr>
                <w:spacing w:val="-2"/>
                <w:sz w:val="22"/>
              </w:rPr>
              <w:t>-0.008</w:t>
            </w:r>
          </w:p>
        </w:tc>
        <w:tc>
          <w:tcPr>
            <w:tcW w:w="798" w:type="dxa"/>
          </w:tcPr>
          <w:p>
            <w:pPr>
              <w:pStyle w:val="TableParagraph"/>
              <w:spacing w:line="247" w:lineRule="exact"/>
              <w:ind w:right="1"/>
              <w:rPr>
                <w:sz w:val="22"/>
              </w:rPr>
            </w:pPr>
            <w:r>
              <w:rPr>
                <w:spacing w:val="-2"/>
                <w:sz w:val="22"/>
              </w:rPr>
              <w:t>0.026</w:t>
            </w:r>
          </w:p>
        </w:tc>
        <w:tc>
          <w:tcPr>
            <w:tcW w:w="630" w:type="dxa"/>
          </w:tcPr>
          <w:p>
            <w:pPr>
              <w:pStyle w:val="TableParagraph"/>
              <w:spacing w:line="247" w:lineRule="exact"/>
              <w:rPr>
                <w:sz w:val="22"/>
              </w:rPr>
            </w:pPr>
            <w:r>
              <w:rPr>
                <w:spacing w:val="-2"/>
                <w:sz w:val="22"/>
              </w:rPr>
              <w:t>0.025</w:t>
            </w:r>
          </w:p>
        </w:tc>
        <w:tc>
          <w:tcPr>
            <w:tcW w:w="648" w:type="dxa"/>
          </w:tcPr>
          <w:p>
            <w:pPr>
              <w:pStyle w:val="TableParagraph"/>
              <w:spacing w:line="247" w:lineRule="exact"/>
              <w:rPr>
                <w:sz w:val="22"/>
              </w:rPr>
            </w:pPr>
            <w:r>
              <w:rPr>
                <w:spacing w:val="-2"/>
                <w:sz w:val="22"/>
              </w:rPr>
              <w:t>0.030</w:t>
            </w:r>
          </w:p>
        </w:tc>
        <w:tc>
          <w:tcPr>
            <w:tcW w:w="1175" w:type="dxa"/>
          </w:tcPr>
          <w:p>
            <w:pPr>
              <w:pStyle w:val="TableParagraph"/>
              <w:spacing w:line="247" w:lineRule="exact"/>
              <w:ind w:right="66"/>
              <w:jc w:val="right"/>
              <w:rPr>
                <w:sz w:val="22"/>
              </w:rPr>
            </w:pPr>
            <w:r>
              <w:rPr>
                <w:spacing w:val="-2"/>
                <w:sz w:val="22"/>
              </w:rPr>
              <w:t>0.011</w:t>
            </w:r>
          </w:p>
        </w:tc>
      </w:tr>
      <w:tr>
        <w:trPr>
          <w:trHeight w:val="270" w:hRule="atLeast"/>
        </w:trPr>
        <w:tc>
          <w:tcPr>
            <w:tcW w:w="1436" w:type="dxa"/>
          </w:tcPr>
          <w:p>
            <w:pPr>
              <w:pStyle w:val="TableParagraph"/>
              <w:spacing w:line="247" w:lineRule="exact"/>
              <w:ind w:left="69"/>
              <w:jc w:val="left"/>
              <w:rPr>
                <w:sz w:val="22"/>
              </w:rPr>
            </w:pPr>
            <w:r>
              <w:rPr>
                <w:spacing w:val="-2"/>
                <w:sz w:val="22"/>
              </w:rPr>
              <w:t>Borrow-</w:t>
            </w:r>
            <w:r>
              <w:rPr>
                <w:spacing w:val="-5"/>
                <w:sz w:val="22"/>
              </w:rPr>
              <w:t>PR</w:t>
            </w:r>
          </w:p>
          <w:p>
            <w:pPr>
              <w:pStyle w:val="TableParagraph"/>
              <w:spacing w:line="247" w:lineRule="exact"/>
              <w:ind w:left="69"/>
              <w:jc w:val="left"/>
              <w:rPr>
                <w:sz w:val="22"/>
              </w:rPr>
            </w:pPr>
            <w:r>
              <w:rPr>
                <w:i/>
              </w:rPr>
              <w:t>차용-홍보</w:t>
            </w:r>
          </w:p>
        </w:tc>
        <w:tc>
          <w:tcPr>
            <w:tcW w:w="871" w:type="dxa"/>
          </w:tcPr>
          <w:p>
            <w:pPr>
              <w:pStyle w:val="TableParagraph"/>
              <w:spacing w:line="247" w:lineRule="exact"/>
              <w:rPr>
                <w:sz w:val="22"/>
              </w:rPr>
            </w:pPr>
            <w:r>
              <w:rPr>
                <w:spacing w:val="-2"/>
                <w:sz w:val="22"/>
              </w:rPr>
              <w:t>0.113</w:t>
            </w:r>
          </w:p>
        </w:tc>
        <w:tc>
          <w:tcPr>
            <w:tcW w:w="1085" w:type="dxa"/>
          </w:tcPr>
          <w:p>
            <w:pPr>
              <w:pStyle w:val="TableParagraph"/>
              <w:spacing w:line="247" w:lineRule="exact"/>
              <w:ind w:left="1" w:right="1"/>
              <w:rPr>
                <w:sz w:val="22"/>
              </w:rPr>
            </w:pPr>
            <w:r>
              <w:rPr>
                <w:spacing w:val="-2"/>
                <w:sz w:val="22"/>
              </w:rPr>
              <w:t>-0.019</w:t>
            </w:r>
          </w:p>
        </w:tc>
        <w:tc>
          <w:tcPr>
            <w:tcW w:w="703" w:type="dxa"/>
          </w:tcPr>
          <w:p>
            <w:pPr>
              <w:pStyle w:val="TableParagraph"/>
              <w:spacing w:line="247" w:lineRule="exact"/>
              <w:ind w:right="1"/>
              <w:rPr>
                <w:sz w:val="22"/>
              </w:rPr>
            </w:pPr>
            <w:r>
              <w:rPr>
                <w:spacing w:val="-2"/>
                <w:sz w:val="22"/>
              </w:rPr>
              <w:t>0.020</w:t>
            </w:r>
          </w:p>
        </w:tc>
        <w:tc>
          <w:tcPr>
            <w:tcW w:w="798" w:type="dxa"/>
          </w:tcPr>
          <w:p>
            <w:pPr>
              <w:pStyle w:val="TableParagraph"/>
              <w:spacing w:line="247" w:lineRule="exact"/>
              <w:ind w:right="1"/>
              <w:rPr>
                <w:sz w:val="22"/>
              </w:rPr>
            </w:pPr>
            <w:r>
              <w:rPr>
                <w:spacing w:val="-2"/>
                <w:sz w:val="22"/>
              </w:rPr>
              <w:t>0.014</w:t>
            </w:r>
          </w:p>
        </w:tc>
        <w:tc>
          <w:tcPr>
            <w:tcW w:w="630" w:type="dxa"/>
          </w:tcPr>
          <w:p>
            <w:pPr>
              <w:pStyle w:val="TableParagraph"/>
              <w:spacing w:line="247" w:lineRule="exact"/>
              <w:rPr>
                <w:sz w:val="22"/>
              </w:rPr>
            </w:pPr>
            <w:r>
              <w:rPr>
                <w:spacing w:val="-2"/>
                <w:sz w:val="22"/>
              </w:rPr>
              <w:t>0.055</w:t>
            </w:r>
          </w:p>
        </w:tc>
        <w:tc>
          <w:tcPr>
            <w:tcW w:w="648" w:type="dxa"/>
          </w:tcPr>
          <w:p>
            <w:pPr>
              <w:pStyle w:val="TableParagraph"/>
              <w:spacing w:line="247" w:lineRule="exact"/>
              <w:rPr>
                <w:sz w:val="22"/>
              </w:rPr>
            </w:pPr>
            <w:r>
              <w:rPr>
                <w:spacing w:val="-2"/>
                <w:sz w:val="22"/>
              </w:rPr>
              <w:t>0.023</w:t>
            </w:r>
          </w:p>
        </w:tc>
        <w:tc>
          <w:tcPr>
            <w:tcW w:w="1175" w:type="dxa"/>
          </w:tcPr>
          <w:p>
            <w:pPr>
              <w:pStyle w:val="TableParagraph"/>
              <w:spacing w:line="247" w:lineRule="exact"/>
              <w:ind w:right="66"/>
              <w:jc w:val="right"/>
              <w:rPr>
                <w:sz w:val="22"/>
              </w:rPr>
            </w:pPr>
            <w:r>
              <w:rPr>
                <w:spacing w:val="-2"/>
                <w:sz w:val="22"/>
              </w:rPr>
              <w:t>0.083</w:t>
            </w:r>
          </w:p>
        </w:tc>
      </w:tr>
      <w:tr>
        <w:trPr>
          <w:trHeight w:val="270" w:hRule="atLeast"/>
        </w:trPr>
        <w:tc>
          <w:tcPr>
            <w:tcW w:w="1436" w:type="dxa"/>
          </w:tcPr>
          <w:p>
            <w:pPr>
              <w:pStyle w:val="TableParagraph"/>
              <w:spacing w:line="247" w:lineRule="exact"/>
              <w:ind w:left="69"/>
              <w:jc w:val="left"/>
              <w:rPr>
                <w:sz w:val="22"/>
              </w:rPr>
            </w:pPr>
            <w:r>
              <w:rPr>
                <w:spacing w:val="-2"/>
                <w:sz w:val="22"/>
              </w:rPr>
              <w:t>Repay-</w:t>
            </w:r>
            <w:r>
              <w:rPr>
                <w:spacing w:val="-5"/>
                <w:sz w:val="22"/>
              </w:rPr>
              <w:t>PR</w:t>
            </w:r>
          </w:p>
          <w:p>
            <w:pPr>
              <w:pStyle w:val="TableParagraph"/>
              <w:spacing w:line="247" w:lineRule="exact"/>
              <w:ind w:left="69"/>
              <w:jc w:val="left"/>
              <w:rPr>
                <w:sz w:val="22"/>
              </w:rPr>
            </w:pPr>
            <w:r>
              <w:rPr>
                <w:i/>
              </w:rPr>
              <w:t>상환-홍보</w:t>
            </w:r>
          </w:p>
        </w:tc>
        <w:tc>
          <w:tcPr>
            <w:tcW w:w="871" w:type="dxa"/>
          </w:tcPr>
          <w:p>
            <w:pPr>
              <w:pStyle w:val="TableParagraph"/>
              <w:spacing w:line="247" w:lineRule="exact"/>
              <w:rPr>
                <w:sz w:val="22"/>
              </w:rPr>
            </w:pPr>
            <w:r>
              <w:rPr>
                <w:spacing w:val="-2"/>
                <w:sz w:val="22"/>
              </w:rPr>
              <w:t>0.143</w:t>
            </w:r>
          </w:p>
        </w:tc>
        <w:tc>
          <w:tcPr>
            <w:tcW w:w="1085" w:type="dxa"/>
          </w:tcPr>
          <w:p>
            <w:pPr>
              <w:pStyle w:val="TableParagraph"/>
              <w:spacing w:line="247" w:lineRule="exact"/>
              <w:ind w:left="1" w:right="1"/>
              <w:rPr>
                <w:sz w:val="22"/>
              </w:rPr>
            </w:pPr>
            <w:r>
              <w:rPr>
                <w:spacing w:val="-2"/>
                <w:sz w:val="22"/>
              </w:rPr>
              <w:t>-0.024</w:t>
            </w:r>
          </w:p>
        </w:tc>
        <w:tc>
          <w:tcPr>
            <w:tcW w:w="703" w:type="dxa"/>
          </w:tcPr>
          <w:p>
            <w:pPr>
              <w:pStyle w:val="TableParagraph"/>
              <w:spacing w:line="247" w:lineRule="exact"/>
              <w:ind w:right="1"/>
              <w:rPr>
                <w:sz w:val="22"/>
              </w:rPr>
            </w:pPr>
            <w:r>
              <w:rPr>
                <w:spacing w:val="-2"/>
                <w:sz w:val="22"/>
              </w:rPr>
              <w:t>0.016</w:t>
            </w:r>
          </w:p>
        </w:tc>
        <w:tc>
          <w:tcPr>
            <w:tcW w:w="798" w:type="dxa"/>
          </w:tcPr>
          <w:p>
            <w:pPr>
              <w:pStyle w:val="TableParagraph"/>
              <w:spacing w:line="247" w:lineRule="exact"/>
              <w:ind w:right="1"/>
              <w:rPr>
                <w:sz w:val="22"/>
              </w:rPr>
            </w:pPr>
            <w:r>
              <w:rPr>
                <w:spacing w:val="-2"/>
                <w:sz w:val="22"/>
              </w:rPr>
              <w:t>0.022</w:t>
            </w:r>
          </w:p>
        </w:tc>
        <w:tc>
          <w:tcPr>
            <w:tcW w:w="630" w:type="dxa"/>
          </w:tcPr>
          <w:p>
            <w:pPr>
              <w:pStyle w:val="TableParagraph"/>
              <w:spacing w:line="247" w:lineRule="exact"/>
              <w:rPr>
                <w:sz w:val="22"/>
              </w:rPr>
            </w:pPr>
            <w:r>
              <w:rPr>
                <w:spacing w:val="-2"/>
                <w:sz w:val="22"/>
              </w:rPr>
              <w:t>0.068</w:t>
            </w:r>
          </w:p>
        </w:tc>
        <w:tc>
          <w:tcPr>
            <w:tcW w:w="648" w:type="dxa"/>
          </w:tcPr>
          <w:p>
            <w:pPr>
              <w:pStyle w:val="TableParagraph"/>
              <w:spacing w:line="247" w:lineRule="exact"/>
              <w:rPr>
                <w:sz w:val="22"/>
              </w:rPr>
            </w:pPr>
            <w:r>
              <w:rPr>
                <w:spacing w:val="-2"/>
                <w:sz w:val="22"/>
              </w:rPr>
              <w:t>0.026</w:t>
            </w:r>
          </w:p>
        </w:tc>
        <w:tc>
          <w:tcPr>
            <w:tcW w:w="1175" w:type="dxa"/>
          </w:tcPr>
          <w:p>
            <w:pPr>
              <w:pStyle w:val="TableParagraph"/>
              <w:spacing w:line="247" w:lineRule="exact"/>
              <w:ind w:right="66"/>
              <w:jc w:val="right"/>
              <w:rPr>
                <w:sz w:val="22"/>
              </w:rPr>
            </w:pPr>
            <w:r>
              <w:rPr>
                <w:spacing w:val="-2"/>
                <w:sz w:val="22"/>
              </w:rPr>
              <w:t>0.131</w:t>
            </w:r>
          </w:p>
        </w:tc>
      </w:tr>
      <w:tr>
        <w:trPr>
          <w:trHeight w:val="332" w:hRule="atLeast"/>
        </w:trPr>
        <w:tc>
          <w:tcPr>
            <w:tcW w:w="1436" w:type="dxa"/>
            <w:tcBorders>
              <w:bottom w:val="single" w:sz="8" w:space="0" w:color="000000"/>
            </w:tcBorders>
          </w:tcPr>
          <w:p>
            <w:pPr>
              <w:pStyle w:val="TableParagraph"/>
              <w:ind w:left="69"/>
              <w:jc w:val="left"/>
              <w:rPr>
                <w:sz w:val="22"/>
              </w:rPr>
            </w:pPr>
            <w:r>
              <w:rPr>
                <w:spacing w:val="-2"/>
                <w:sz w:val="22"/>
              </w:rPr>
              <w:t>Delegation-</w:t>
            </w:r>
            <w:r>
              <w:rPr>
                <w:spacing w:val="-5"/>
                <w:sz w:val="22"/>
              </w:rPr>
              <w:t>PR</w:t>
            </w:r>
          </w:p>
          <w:p>
            <w:pPr>
              <w:pStyle w:val="TableParagraph"/>
              <w:ind w:left="69"/>
              <w:jc w:val="left"/>
              <w:rPr>
                <w:sz w:val="22"/>
              </w:rPr>
            </w:pPr>
            <w:r>
              <w:rPr>
                <w:i/>
              </w:rPr>
              <w:t>위임-홍보</w:t>
            </w:r>
          </w:p>
        </w:tc>
        <w:tc>
          <w:tcPr>
            <w:tcW w:w="871" w:type="dxa"/>
            <w:tcBorders>
              <w:bottom w:val="single" w:sz="8" w:space="0" w:color="000000"/>
            </w:tcBorders>
          </w:tcPr>
          <w:p>
            <w:pPr>
              <w:pStyle w:val="TableParagraph"/>
              <w:rPr>
                <w:sz w:val="22"/>
              </w:rPr>
            </w:pPr>
            <w:r>
              <w:rPr>
                <w:sz w:val="22"/>
              </w:rPr>
              <w:t>—</w:t>
            </w:r>
          </w:p>
        </w:tc>
        <w:tc>
          <w:tcPr>
            <w:tcW w:w="1085" w:type="dxa"/>
            <w:tcBorders>
              <w:bottom w:val="single" w:sz="8" w:space="0" w:color="000000"/>
            </w:tcBorders>
          </w:tcPr>
          <w:p>
            <w:pPr>
              <w:pStyle w:val="TableParagraph"/>
              <w:rPr>
                <w:sz w:val="22"/>
              </w:rPr>
            </w:pPr>
            <w:r>
              <w:rPr>
                <w:sz w:val="22"/>
              </w:rPr>
              <w:t>—</w:t>
            </w:r>
          </w:p>
        </w:tc>
        <w:tc>
          <w:tcPr>
            <w:tcW w:w="703" w:type="dxa"/>
            <w:tcBorders>
              <w:bottom w:val="single" w:sz="8" w:space="0" w:color="000000"/>
            </w:tcBorders>
          </w:tcPr>
          <w:p>
            <w:pPr>
              <w:pStyle w:val="TableParagraph"/>
              <w:ind w:right="1"/>
              <w:rPr>
                <w:sz w:val="22"/>
              </w:rPr>
            </w:pPr>
            <w:r>
              <w:rPr>
                <w:sz w:val="22"/>
              </w:rPr>
              <w:t>—</w:t>
            </w:r>
          </w:p>
        </w:tc>
        <w:tc>
          <w:tcPr>
            <w:tcW w:w="798" w:type="dxa"/>
            <w:tcBorders>
              <w:bottom w:val="single" w:sz="8" w:space="0" w:color="000000"/>
            </w:tcBorders>
          </w:tcPr>
          <w:p>
            <w:pPr>
              <w:pStyle w:val="TableParagraph"/>
              <w:ind w:right="1"/>
              <w:rPr>
                <w:sz w:val="22"/>
              </w:rPr>
            </w:pPr>
            <w:r>
              <w:rPr>
                <w:sz w:val="22"/>
              </w:rPr>
              <w:t>—</w:t>
            </w:r>
          </w:p>
        </w:tc>
        <w:tc>
          <w:tcPr>
            <w:tcW w:w="630" w:type="dxa"/>
            <w:tcBorders>
              <w:bottom w:val="single" w:sz="8" w:space="0" w:color="000000"/>
            </w:tcBorders>
          </w:tcPr>
          <w:p>
            <w:pPr>
              <w:pStyle w:val="TableParagraph"/>
              <w:rPr>
                <w:sz w:val="22"/>
              </w:rPr>
            </w:pPr>
            <w:r>
              <w:rPr>
                <w:sz w:val="22"/>
              </w:rPr>
              <w:t>—</w:t>
            </w:r>
          </w:p>
        </w:tc>
        <w:tc>
          <w:tcPr>
            <w:tcW w:w="648" w:type="dxa"/>
            <w:tcBorders>
              <w:bottom w:val="single" w:sz="8" w:space="0" w:color="000000"/>
            </w:tcBorders>
          </w:tcPr>
          <w:p>
            <w:pPr>
              <w:pStyle w:val="TableParagraph"/>
              <w:rPr>
                <w:sz w:val="22"/>
              </w:rPr>
            </w:pPr>
            <w:r>
              <w:rPr>
                <w:sz w:val="22"/>
              </w:rPr>
              <w:t>—</w:t>
            </w:r>
          </w:p>
        </w:tc>
        <w:tc>
          <w:tcPr>
            <w:tcW w:w="1175" w:type="dxa"/>
            <w:tcBorders>
              <w:bottom w:val="single" w:sz="8" w:space="0" w:color="000000"/>
            </w:tcBorders>
          </w:tcPr>
          <w:p>
            <w:pPr>
              <w:pStyle w:val="TableParagraph"/>
              <w:ind w:right="66"/>
              <w:jc w:val="right"/>
              <w:rPr>
                <w:sz w:val="22"/>
              </w:rPr>
            </w:pPr>
            <w:r>
              <w:rPr>
                <w:spacing w:val="-2"/>
                <w:sz w:val="22"/>
              </w:rPr>
              <w:t>0.000</w:t>
            </w:r>
          </w:p>
        </w:tc>
      </w:tr>
    </w:tbl>
    <w:p>
      <w:pPr>
        <w:pStyle w:val="BodyText"/>
        <w:spacing w:before="167"/>
      </w:pPr>
    </w:p>
    <w:p>
      <w:pPr>
        <w:pStyle w:val="BodyText"/>
        <w:spacing w:line="396" w:lineRule="auto"/>
        <w:ind w:left="282" w:right="534" w:hanging="8"/>
        <w:jc w:val="both"/>
      </w:pPr>
      <w:r>
        <w:rPr/>
        <w:t>These</w:t>
      </w:r>
      <w:r>
        <w:rPr>
          <w:spacing w:val="-6"/>
        </w:rPr>
        <w:t> </w:t>
      </w:r>
      <w:r>
        <w:rPr/>
        <w:t>matrices</w:t>
      </w:r>
      <w:r>
        <w:rPr>
          <w:spacing w:val="-6"/>
        </w:rPr>
        <w:t> </w:t>
      </w:r>
      <w:r>
        <w:rPr/>
        <w:t>motivate</w:t>
      </w:r>
      <w:r>
        <w:rPr>
          <w:spacing w:val="-6"/>
        </w:rPr>
        <w:t> </w:t>
      </w:r>
      <w:r>
        <w:rPr/>
        <w:t>future</w:t>
      </w:r>
      <w:r>
        <w:rPr>
          <w:spacing w:val="-6"/>
        </w:rPr>
        <w:t> </w:t>
      </w:r>
      <w:r>
        <w:rPr/>
        <w:t>work</w:t>
      </w:r>
      <w:r>
        <w:rPr>
          <w:spacing w:val="-6"/>
        </w:rPr>
        <w:t> </w:t>
      </w:r>
      <w:r>
        <w:rPr/>
        <w:t>on</w:t>
      </w:r>
      <w:r>
        <w:rPr>
          <w:spacing w:val="-6"/>
        </w:rPr>
        <w:t> </w:t>
      </w:r>
      <w:r>
        <w:rPr/>
        <w:t>credit-delegation</w:t>
      </w:r>
      <w:r>
        <w:rPr>
          <w:spacing w:val="-6"/>
        </w:rPr>
        <w:t> </w:t>
      </w:r>
      <w:r>
        <w:rPr/>
        <w:t>edges</w:t>
      </w:r>
      <w:r>
        <w:rPr>
          <w:spacing w:val="-6"/>
        </w:rPr>
        <w:t> </w:t>
      </w:r>
      <w:r>
        <w:rPr/>
        <w:t>and</w:t>
      </w:r>
      <w:r>
        <w:rPr>
          <w:spacing w:val="-6"/>
        </w:rPr>
        <w:t> </w:t>
      </w:r>
      <w:r>
        <w:rPr/>
        <w:t>cross-protocol</w:t>
      </w:r>
      <w:r>
        <w:rPr>
          <w:spacing w:val="-6"/>
        </w:rPr>
        <w:t> </w:t>
      </w:r>
      <w:r>
        <w:rPr/>
        <w:t>lending</w:t>
      </w:r>
      <w:r>
        <w:rPr>
          <w:spacing w:val="-6"/>
        </w:rPr>
        <w:t> </w:t>
      </w:r>
      <w:r>
        <w:rPr/>
        <w:t>labels, </w:t>
      </w:r>
      <w:bookmarkStart w:name="Why the main narrative uses three method" w:id="385"/>
      <w:bookmarkEnd w:id="385"/>
      <w:r>
        <w:rPr>
          <w:w w:val="99"/>
        </w:rPr>
      </w:r>
      <w:bookmarkStart w:name="_bookmark232" w:id="386"/>
      <w:bookmarkEnd w:id="386"/>
      <w:r>
        <w:rPr/>
        <w:t>but</w:t>
      </w:r>
      <w:r>
        <w:rPr/>
        <w:t> they do not alter Claims C1–C4 or SC1.</w:t>
      </w:r>
    </w:p>
    <w:p>
      <w:pPr>
        <w:pStyle w:val="BodyText"/>
        <w:spacing w:line="396" w:lineRule="auto"/>
        <w:ind w:left="282" w:right="534" w:hanging="8"/>
        <w:jc w:val="both"/>
      </w:pPr>
      <w:r>
        <w:rPr>
          <w:i/>
        </w:rPr>
        <w:t>이러한 매트릭스는 신용 위임 가장자리 및 프로토콜 간 대출 레이블에 대한 향후 작업에 동기를 부여하지만 청구 C1~C4 또는 SC1을 변경하지는 않습니다.</w:t>
      </w:r>
    </w:p>
    <w:p>
      <w:pPr>
        <w:pStyle w:val="BodyText"/>
        <w:spacing w:before="5"/>
      </w:pPr>
    </w:p>
    <w:p>
      <w:pPr>
        <w:pStyle w:val="Heading4"/>
        <w:numPr>
          <w:ilvl w:val="2"/>
          <w:numId w:val="8"/>
        </w:numPr>
        <w:tabs>
          <w:tab w:pos="879" w:val="left" w:leader="none"/>
        </w:tabs>
        <w:spacing w:line="240" w:lineRule="auto" w:before="0" w:after="0"/>
        <w:ind w:left="879" w:right="0" w:hanging="597"/>
        <w:jc w:val="left"/>
      </w:pPr>
      <w:r>
        <w:rPr/>
        <w:t>Why</w:t>
      </w:r>
      <w:r>
        <w:rPr>
          <w:spacing w:val="-9"/>
        </w:rPr>
        <w:t> </w:t>
      </w:r>
      <w:r>
        <w:rPr/>
        <w:t>the</w:t>
      </w:r>
      <w:r>
        <w:rPr>
          <w:spacing w:val="-8"/>
        </w:rPr>
        <w:t> </w:t>
      </w:r>
      <w:r>
        <w:rPr/>
        <w:t>main</w:t>
      </w:r>
      <w:r>
        <w:rPr>
          <w:spacing w:val="-8"/>
        </w:rPr>
        <w:t> </w:t>
      </w:r>
      <w:r>
        <w:rPr/>
        <w:t>narrative</w:t>
      </w:r>
      <w:r>
        <w:rPr>
          <w:spacing w:val="-9"/>
        </w:rPr>
        <w:t> </w:t>
      </w:r>
      <w:r>
        <w:rPr/>
        <w:t>uses</w:t>
      </w:r>
      <w:r>
        <w:rPr>
          <w:spacing w:val="-8"/>
        </w:rPr>
        <w:t> </w:t>
      </w:r>
      <w:r>
        <w:rPr/>
        <w:t>three</w:t>
      </w:r>
      <w:r>
        <w:rPr>
          <w:spacing w:val="-8"/>
        </w:rPr>
        <w:t> </w:t>
      </w:r>
      <w:r>
        <w:rPr>
          <w:spacing w:val="-2"/>
        </w:rPr>
        <w:t>methods</w:t>
      </w:r>
    </w:p>
    <w:p>
      <w:pPr>
        <w:pStyle w:val="Heading4"/>
        <w:numPr>
          <w:ilvl w:val="2"/>
          <w:numId w:val="8"/>
        </w:numPr>
        <w:tabs>
          <w:tab w:pos="879" w:val="left" w:leader="none"/>
        </w:tabs>
        <w:spacing w:line="240" w:lineRule="auto" w:before="0" w:after="0"/>
        <w:ind w:left="879" w:right="0" w:hanging="597"/>
        <w:jc w:val="left"/>
      </w:pPr>
      <w:r>
        <w:rPr>
          <w:i/>
        </w:rPr>
        <w:t>주요 서술이 세 가지 방법을 사용하는 이유</w:t>
      </w:r>
    </w:p>
    <w:p>
      <w:pPr>
        <w:pStyle w:val="BodyText"/>
        <w:spacing w:before="47"/>
        <w:rPr>
          <w:b/>
        </w:rPr>
      </w:pPr>
    </w:p>
    <w:p>
      <w:pPr>
        <w:pStyle w:val="BodyText"/>
        <w:ind w:left="282"/>
        <w:jc w:val="both"/>
      </w:pPr>
      <w:r>
        <w:rPr/>
        <w:t>Focusing</w:t>
      </w:r>
      <w:r>
        <w:rPr>
          <w:spacing w:val="-13"/>
        </w:rPr>
        <w:t> </w:t>
      </w:r>
      <w:r>
        <w:rPr/>
        <w:t>the</w:t>
      </w:r>
      <w:r>
        <w:rPr>
          <w:spacing w:val="-13"/>
        </w:rPr>
        <w:t> </w:t>
      </w:r>
      <w:r>
        <w:rPr/>
        <w:t>dissertation</w:t>
      </w:r>
      <w:r>
        <w:rPr>
          <w:spacing w:val="-13"/>
        </w:rPr>
        <w:t> </w:t>
      </w:r>
      <w:r>
        <w:rPr/>
        <w:t>on</w:t>
      </w:r>
      <w:r>
        <w:rPr>
          <w:spacing w:val="-13"/>
        </w:rPr>
        <w:t> </w:t>
      </w:r>
      <w:r>
        <w:rPr/>
        <w:t>EndorseRank,</w:t>
      </w:r>
      <w:r>
        <w:rPr>
          <w:spacing w:val="-13"/>
        </w:rPr>
        <w:t> </w:t>
      </w:r>
      <w:r>
        <w:rPr/>
        <w:t>AWP,</w:t>
      </w:r>
      <w:r>
        <w:rPr>
          <w:spacing w:val="-13"/>
        </w:rPr>
        <w:t> </w:t>
      </w:r>
      <w:r>
        <w:rPr/>
        <w:t>and</w:t>
      </w:r>
      <w:r>
        <w:rPr>
          <w:spacing w:val="-13"/>
        </w:rPr>
        <w:t> </w:t>
      </w:r>
      <w:r>
        <w:rPr/>
        <w:t>supplementary</w:t>
      </w:r>
      <w:r>
        <w:rPr>
          <w:spacing w:val="-13"/>
        </w:rPr>
        <w:t> </w:t>
      </w:r>
      <w:r>
        <w:rPr/>
        <w:t>GF-PR</w:t>
      </w:r>
      <w:r>
        <w:rPr>
          <w:spacing w:val="-13"/>
        </w:rPr>
        <w:t> </w:t>
      </w:r>
      <w:r>
        <w:rPr/>
        <w:t>serves</w:t>
      </w:r>
      <w:r>
        <w:rPr>
          <w:spacing w:val="-13"/>
        </w:rPr>
        <w:t> </w:t>
      </w:r>
      <w:r>
        <w:rPr/>
        <w:t>three</w:t>
      </w:r>
      <w:r>
        <w:rPr>
          <w:spacing w:val="-13"/>
        </w:rPr>
        <w:t> </w:t>
      </w:r>
      <w:r>
        <w:rPr>
          <w:spacing w:val="-2"/>
        </w:rPr>
        <w:t>goals:</w:t>
      </w:r>
    </w:p>
    <w:p>
      <w:pPr>
        <w:pStyle w:val="BodyText"/>
        <w:ind w:left="282"/>
        <w:jc w:val="both"/>
      </w:pPr>
      <w:r>
        <w:rPr>
          <w:i/>
        </w:rPr>
        <w:t>EndorseRank, AWP 및 보충 GF-PR에 대한 논문의 초점은 세 가지 목표를 달성합니다.</w:t>
      </w:r>
    </w:p>
    <w:p>
      <w:pPr>
        <w:pStyle w:val="BodyText"/>
        <w:spacing w:before="19"/>
      </w:pPr>
    </w:p>
    <w:p>
      <w:pPr>
        <w:pStyle w:val="ListParagraph"/>
        <w:numPr>
          <w:ilvl w:val="0"/>
          <w:numId w:val="31"/>
        </w:numPr>
        <w:tabs>
          <w:tab w:pos="856" w:val="left" w:leader="none"/>
        </w:tabs>
        <w:spacing w:line="396" w:lineRule="auto" w:before="1" w:after="0"/>
        <w:ind w:left="856" w:right="563" w:hanging="311"/>
        <w:jc w:val="left"/>
        <w:rPr>
          <w:sz w:val="24"/>
        </w:rPr>
      </w:pPr>
      <w:r>
        <w:rPr>
          <w:b/>
          <w:sz w:val="24"/>
        </w:rPr>
        <w:t>Clarity</w:t>
      </w:r>
      <w:r>
        <w:rPr>
          <w:b/>
          <w:spacing w:val="-5"/>
          <w:sz w:val="24"/>
        </w:rPr>
        <w:t> </w:t>
      </w:r>
      <w:r>
        <w:rPr>
          <w:b/>
          <w:sz w:val="24"/>
        </w:rPr>
        <w:t>of</w:t>
      </w:r>
      <w:r>
        <w:rPr>
          <w:b/>
          <w:spacing w:val="-5"/>
          <w:sz w:val="24"/>
        </w:rPr>
        <w:t> </w:t>
      </w:r>
      <w:r>
        <w:rPr>
          <w:b/>
          <w:sz w:val="24"/>
        </w:rPr>
        <w:t>contribution: </w:t>
      </w:r>
      <w:r>
        <w:rPr>
          <w:sz w:val="24"/>
        </w:rPr>
        <w:t>The</w:t>
      </w:r>
      <w:r>
        <w:rPr>
          <w:spacing w:val="-5"/>
          <w:sz w:val="24"/>
        </w:rPr>
        <w:t> </w:t>
      </w:r>
      <w:r>
        <w:rPr>
          <w:sz w:val="24"/>
        </w:rPr>
        <w:t>novel</w:t>
      </w:r>
      <w:r>
        <w:rPr>
          <w:spacing w:val="-5"/>
          <w:sz w:val="24"/>
        </w:rPr>
        <w:t> </w:t>
      </w:r>
      <w:r>
        <w:rPr>
          <w:sz w:val="24"/>
        </w:rPr>
        <w:t>construct</w:t>
      </w:r>
      <w:r>
        <w:rPr>
          <w:spacing w:val="-5"/>
          <w:sz w:val="24"/>
        </w:rPr>
        <w:t> </w:t>
      </w:r>
      <w:r>
        <w:rPr>
          <w:sz w:val="24"/>
        </w:rPr>
        <w:t>is</w:t>
      </w:r>
      <w:r>
        <w:rPr>
          <w:spacing w:val="-5"/>
          <w:sz w:val="24"/>
        </w:rPr>
        <w:t> </w:t>
      </w:r>
      <w:r>
        <w:rPr>
          <w:sz w:val="24"/>
        </w:rPr>
        <w:t>allowance-based</w:t>
      </w:r>
      <w:r>
        <w:rPr>
          <w:spacing w:val="-5"/>
          <w:sz w:val="24"/>
        </w:rPr>
        <w:t> </w:t>
      </w:r>
      <w:r>
        <w:rPr>
          <w:sz w:val="24"/>
        </w:rPr>
        <w:t>endorsement.</w:t>
      </w:r>
      <w:r>
        <w:rPr>
          <w:spacing w:val="18"/>
          <w:sz w:val="24"/>
        </w:rPr>
        <w:t> </w:t>
      </w:r>
      <w:r>
        <w:rPr>
          <w:sz w:val="24"/>
        </w:rPr>
        <w:t>Comparing it to the established transfer baseline </w:t>
      </w:r>
      <w:hyperlink w:history="true" w:anchor="_bookmark149">
        <w:r>
          <w:rPr>
            <w:sz w:val="24"/>
            <w:vertAlign w:val="superscript"/>
          </w:rPr>
          <w:t>[16]</w:t>
        </w:r>
      </w:hyperlink>
      <w:r>
        <w:rPr>
          <w:sz w:val="24"/>
          <w:vertAlign w:val="baseline"/>
        </w:rPr>
        <w:t> isolates the research question.</w:t>
      </w:r>
    </w:p>
    <w:p>
      <w:pPr>
        <w:pStyle w:val="ListParagraph"/>
        <w:numPr>
          <w:ilvl w:val="0"/>
          <w:numId w:val="31"/>
        </w:numPr>
        <w:tabs>
          <w:tab w:pos="856" w:val="left" w:leader="none"/>
        </w:tabs>
        <w:spacing w:line="396" w:lineRule="auto" w:before="1" w:after="0"/>
        <w:ind w:left="856" w:right="563" w:hanging="311"/>
        <w:jc w:val="left"/>
        <w:rPr>
          <w:sz w:val="24"/>
        </w:rPr>
      </w:pPr>
      <w:r>
        <w:rPr>
          <w:i/>
        </w:rPr>
        <w:t>기여의 명확성: 새로운 구조는 수당 기반 보증입니다. 이를 확립된 이전 기준선[16]과 비교하면 연구 문제가 분리됩니다.</w:t>
      </w:r>
    </w:p>
    <w:p>
      <w:pPr>
        <w:pStyle w:val="ListParagraph"/>
        <w:numPr>
          <w:ilvl w:val="0"/>
          <w:numId w:val="31"/>
        </w:numPr>
        <w:tabs>
          <w:tab w:pos="845" w:val="left" w:leader="none"/>
          <w:tab w:pos="847" w:val="left" w:leader="none"/>
        </w:tabs>
        <w:spacing w:line="396" w:lineRule="auto" w:before="38" w:after="0"/>
        <w:ind w:left="847" w:right="564" w:hanging="303"/>
        <w:jc w:val="left"/>
        <w:rPr>
          <w:sz w:val="24"/>
        </w:rPr>
      </w:pPr>
      <w:r>
        <w:rPr>
          <w:b/>
          <w:sz w:val="24"/>
        </w:rPr>
        <w:t>Avoiding</w:t>
      </w:r>
      <w:r>
        <w:rPr>
          <w:b/>
          <w:spacing w:val="-15"/>
          <w:sz w:val="24"/>
        </w:rPr>
        <w:t> </w:t>
      </w:r>
      <w:r>
        <w:rPr>
          <w:b/>
          <w:sz w:val="24"/>
        </w:rPr>
        <w:t>baseline</w:t>
      </w:r>
      <w:r>
        <w:rPr>
          <w:b/>
          <w:spacing w:val="-15"/>
          <w:sz w:val="24"/>
        </w:rPr>
        <w:t> </w:t>
      </w:r>
      <w:r>
        <w:rPr>
          <w:b/>
          <w:sz w:val="24"/>
        </w:rPr>
        <w:t>sprawl:</w:t>
      </w:r>
      <w:r>
        <w:rPr>
          <w:b/>
          <w:spacing w:val="-12"/>
          <w:sz w:val="24"/>
        </w:rPr>
        <w:t> </w:t>
      </w:r>
      <w:r>
        <w:rPr>
          <w:sz w:val="24"/>
        </w:rPr>
        <w:t>Additional</w:t>
      </w:r>
      <w:r>
        <w:rPr>
          <w:spacing w:val="-15"/>
          <w:sz w:val="24"/>
        </w:rPr>
        <w:t> </w:t>
      </w:r>
      <w:r>
        <w:rPr>
          <w:sz w:val="24"/>
        </w:rPr>
        <w:t>variants</w:t>
      </w:r>
      <w:r>
        <w:rPr>
          <w:spacing w:val="-15"/>
          <w:sz w:val="24"/>
        </w:rPr>
        <w:t> </w:t>
      </w:r>
      <w:r>
        <w:rPr>
          <w:sz w:val="24"/>
        </w:rPr>
        <w:t>that</w:t>
      </w:r>
      <w:r>
        <w:rPr>
          <w:spacing w:val="-15"/>
          <w:sz w:val="24"/>
        </w:rPr>
        <w:t> </w:t>
      </w:r>
      <w:r>
        <w:rPr>
          <w:sz w:val="24"/>
        </w:rPr>
        <w:t>share</w:t>
      </w:r>
      <w:r>
        <w:rPr>
          <w:spacing w:val="-15"/>
          <w:sz w:val="24"/>
        </w:rPr>
        <w:t> </w:t>
      </w:r>
      <w:r>
        <w:rPr>
          <w:sz w:val="24"/>
        </w:rPr>
        <w:t>transfer</w:t>
      </w:r>
      <w:r>
        <w:rPr>
          <w:spacing w:val="-15"/>
          <w:sz w:val="24"/>
        </w:rPr>
        <w:t> </w:t>
      </w:r>
      <w:r>
        <w:rPr>
          <w:sz w:val="24"/>
        </w:rPr>
        <w:t>edges</w:t>
      </w:r>
      <w:r>
        <w:rPr>
          <w:spacing w:val="-15"/>
          <w:sz w:val="24"/>
        </w:rPr>
        <w:t> </w:t>
      </w:r>
      <w:r>
        <w:rPr>
          <w:sz w:val="24"/>
        </w:rPr>
        <w:t>with</w:t>
      </w:r>
      <w:r>
        <w:rPr>
          <w:spacing w:val="-15"/>
          <w:sz w:val="24"/>
        </w:rPr>
        <w:t> </w:t>
      </w:r>
      <w:r>
        <w:rPr>
          <w:sz w:val="24"/>
        </w:rPr>
        <w:t>AWP</w:t>
      </w:r>
      <w:r>
        <w:rPr>
          <w:spacing w:val="-15"/>
          <w:sz w:val="24"/>
        </w:rPr>
        <w:t> </w:t>
      </w:r>
      <w:r>
        <w:rPr>
          <w:sz w:val="24"/>
        </w:rPr>
        <w:t>add</w:t>
      </w:r>
      <w:r>
        <w:rPr>
          <w:spacing w:val="-15"/>
          <w:sz w:val="24"/>
        </w:rPr>
        <w:t> </w:t>
      </w:r>
      <w:r>
        <w:rPr>
          <w:sz w:val="24"/>
        </w:rPr>
        <w:t>rows without adding independent constructs.</w:t>
      </w:r>
    </w:p>
    <w:p>
      <w:pPr>
        <w:pStyle w:val="ListParagraph"/>
        <w:numPr>
          <w:ilvl w:val="0"/>
          <w:numId w:val="31"/>
        </w:numPr>
        <w:tabs>
          <w:tab w:pos="845" w:val="left" w:leader="none"/>
          <w:tab w:pos="847" w:val="left" w:leader="none"/>
        </w:tabs>
        <w:spacing w:line="396" w:lineRule="auto" w:before="38" w:after="0"/>
        <w:ind w:left="847" w:right="564" w:hanging="303"/>
        <w:jc w:val="left"/>
        <w:rPr>
          <w:sz w:val="24"/>
        </w:rPr>
      </w:pPr>
      <w:r>
        <w:rPr>
          <w:i/>
        </w:rPr>
        <w:t>기준선 확장 방지: AWP와 전송 가장자리를 공유하는 추가 변형은 독립적인 구성을 추가하지 않고 행을 추가합니다.</w:t>
      </w:r>
    </w:p>
    <w:p>
      <w:pPr>
        <w:pStyle w:val="ListParagraph"/>
        <w:numPr>
          <w:ilvl w:val="0"/>
          <w:numId w:val="31"/>
        </w:numPr>
        <w:tabs>
          <w:tab w:pos="856" w:val="left" w:leader="none"/>
        </w:tabs>
        <w:spacing w:line="396" w:lineRule="auto" w:before="39" w:after="0"/>
        <w:ind w:left="856" w:right="564" w:hanging="311"/>
        <w:jc w:val="left"/>
        <w:rPr>
          <w:sz w:val="24"/>
        </w:rPr>
      </w:pPr>
      <w:r>
        <w:rPr>
          <w:b/>
          <w:sz w:val="24"/>
        </w:rPr>
        <w:t>Honest use of GF-PR: </w:t>
      </w:r>
      <w:r>
        <w:rPr>
          <w:sz w:val="24"/>
        </w:rPr>
        <w:t>Keeping GF-PR supplementary prevents readers from treating an outcome-native ceiling as a social reputation competitor.</w:t>
      </w:r>
    </w:p>
    <w:p>
      <w:pPr>
        <w:pStyle w:val="ListParagraph"/>
        <w:numPr>
          <w:ilvl w:val="0"/>
          <w:numId w:val="31"/>
        </w:numPr>
        <w:tabs>
          <w:tab w:pos="856" w:val="left" w:leader="none"/>
        </w:tabs>
        <w:spacing w:line="396" w:lineRule="auto" w:before="39" w:after="0"/>
        <w:ind w:left="856" w:right="564" w:hanging="311"/>
        <w:jc w:val="left"/>
        <w:rPr>
          <w:sz w:val="24"/>
        </w:rPr>
      </w:pPr>
      <w:r>
        <w:rPr>
          <w:i/>
        </w:rPr>
        <w:t>GF-PR의 정직한 사용: GF-PR을 보충적으로 유지하면 독자가 결과 기반 상한선을 사회적 평판 경쟁자로 취급하는 것을 방지할 수 있습니다.</w:t>
      </w:r>
    </w:p>
    <w:p>
      <w:pPr>
        <w:pStyle w:val="BodyText"/>
        <w:spacing w:before="117"/>
        <w:ind w:left="282"/>
      </w:pPr>
      <w:r>
        <w:rPr>
          <w:spacing w:val="-2"/>
        </w:rPr>
        <w:t>Researchers</w:t>
      </w:r>
      <w:r>
        <w:rPr>
          <w:spacing w:val="-9"/>
        </w:rPr>
        <w:t> </w:t>
      </w:r>
      <w:r>
        <w:rPr>
          <w:spacing w:val="-2"/>
        </w:rPr>
        <w:t>who</w:t>
      </w:r>
      <w:r>
        <w:rPr>
          <w:spacing w:val="-8"/>
        </w:rPr>
        <w:t> </w:t>
      </w:r>
      <w:r>
        <w:rPr>
          <w:spacing w:val="-2"/>
        </w:rPr>
        <w:t>need</w:t>
      </w:r>
      <w:r>
        <w:rPr>
          <w:spacing w:val="-9"/>
        </w:rPr>
        <w:t> </w:t>
      </w:r>
      <w:r>
        <w:rPr>
          <w:spacing w:val="-2"/>
        </w:rPr>
        <w:t>broader</w:t>
      </w:r>
      <w:r>
        <w:rPr>
          <w:spacing w:val="-8"/>
        </w:rPr>
        <w:t> </w:t>
      </w:r>
      <w:r>
        <w:rPr>
          <w:spacing w:val="-2"/>
        </w:rPr>
        <w:t>baselines</w:t>
      </w:r>
      <w:r>
        <w:rPr>
          <w:spacing w:val="-8"/>
        </w:rPr>
        <w:t> </w:t>
      </w:r>
      <w:r>
        <w:rPr>
          <w:spacing w:val="-2"/>
        </w:rPr>
        <w:t>can</w:t>
      </w:r>
      <w:r>
        <w:rPr>
          <w:spacing w:val="-9"/>
        </w:rPr>
        <w:t> </w:t>
      </w:r>
      <w:r>
        <w:rPr>
          <w:spacing w:val="-2"/>
        </w:rPr>
        <w:t>regenerate</w:t>
      </w:r>
      <w:r>
        <w:rPr>
          <w:spacing w:val="-8"/>
        </w:rPr>
        <w:t> </w:t>
      </w:r>
      <w:r>
        <w:rPr>
          <w:spacing w:val="-2"/>
        </w:rPr>
        <w:t>the</w:t>
      </w:r>
      <w:r>
        <w:rPr>
          <w:spacing w:val="-8"/>
        </w:rPr>
        <w:t> </w:t>
      </w:r>
      <w:r>
        <w:rPr>
          <w:spacing w:val="-2"/>
        </w:rPr>
        <w:t>archive</w:t>
      </w:r>
      <w:r>
        <w:rPr>
          <w:spacing w:val="-9"/>
        </w:rPr>
        <w:t> </w:t>
      </w:r>
      <w:r>
        <w:rPr>
          <w:spacing w:val="-2"/>
        </w:rPr>
        <w:t>tables</w:t>
      </w:r>
      <w:r>
        <w:rPr>
          <w:spacing w:val="-8"/>
        </w:rPr>
        <w:t> </w:t>
      </w:r>
      <w:r>
        <w:rPr>
          <w:spacing w:val="-2"/>
        </w:rPr>
        <w:t>from</w:t>
      </w:r>
      <w:r>
        <w:rPr>
          <w:spacing w:val="-8"/>
        </w:rPr>
        <w:t> </w:t>
      </w:r>
      <w:r>
        <w:rPr>
          <w:spacing w:val="-2"/>
        </w:rPr>
        <w:t>the</w:t>
      </w:r>
      <w:r>
        <w:rPr>
          <w:spacing w:val="-9"/>
        </w:rPr>
        <w:t> </w:t>
      </w:r>
      <w:r>
        <w:rPr>
          <w:spacing w:val="-2"/>
        </w:rPr>
        <w:t>open</w:t>
      </w:r>
      <w:r>
        <w:rPr>
          <w:spacing w:val="-8"/>
        </w:rPr>
        <w:t> </w:t>
      </w:r>
      <w:r>
        <w:rPr>
          <w:spacing w:val="-2"/>
        </w:rPr>
        <w:t>evaluation</w:t>
      </w:r>
    </w:p>
    <w:p>
      <w:pPr>
        <w:pStyle w:val="BodyText"/>
        <w:spacing w:before="117"/>
        <w:ind w:left="282"/>
      </w:pPr>
      <w:r>
        <w:rPr>
          <w:i/>
        </w:rPr>
        <w:t>더 광범위한 기준이 필요한 연구자는 공개 평가에서 아카이브 테이블을 재생성할 수 있습니다.</w:t>
      </w:r>
    </w:p>
    <w:p>
      <w:pPr>
        <w:pStyle w:val="BodyText"/>
        <w:spacing w:after="0"/>
        <w:sectPr>
          <w:pgSz w:w="11910" w:h="16840"/>
          <w:pgMar w:header="0" w:footer="2115" w:top="1920" w:bottom="2300" w:left="992" w:right="708"/>
        </w:sectPr>
      </w:pPr>
    </w:p>
    <w:p>
      <w:pPr>
        <w:pStyle w:val="BodyText"/>
        <w:spacing w:before="72"/>
        <w:ind w:left="282"/>
      </w:pPr>
      <w:bookmarkStart w:name="Reproducing archive tables" w:id="387"/>
      <w:bookmarkEnd w:id="387"/>
      <w:r>
        <w:rPr/>
      </w:r>
      <w:bookmarkStart w:name="_bookmark233" w:id="388"/>
      <w:bookmarkEnd w:id="388"/>
      <w:r>
        <w:rPr/>
      </w:r>
      <w:r>
        <w:rPr/>
        <w:t>pipeline</w:t>
      </w:r>
      <w:r>
        <w:rPr>
          <w:spacing w:val="-8"/>
        </w:rPr>
        <w:t> </w:t>
      </w:r>
      <w:r>
        <w:rPr/>
        <w:t>using</w:t>
      </w:r>
      <w:r>
        <w:rPr>
          <w:spacing w:val="-8"/>
        </w:rPr>
        <w:t> </w:t>
      </w:r>
      <w:r>
        <w:rPr/>
        <w:t>the</w:t>
      </w:r>
      <w:r>
        <w:rPr>
          <w:spacing w:val="-8"/>
        </w:rPr>
        <w:t> </w:t>
      </w:r>
      <w:r>
        <w:rPr/>
        <w:t>seven-method</w:t>
      </w:r>
      <w:r>
        <w:rPr>
          <w:spacing w:val="-8"/>
        </w:rPr>
        <w:t> </w:t>
      </w:r>
      <w:r>
        <w:rPr/>
        <w:t>and</w:t>
      </w:r>
      <w:r>
        <w:rPr>
          <w:spacing w:val="-8"/>
        </w:rPr>
        <w:t> </w:t>
      </w:r>
      <w:r>
        <w:rPr/>
        <w:t>six-Aave</w:t>
      </w:r>
      <w:r>
        <w:rPr>
          <w:spacing w:val="-8"/>
        </w:rPr>
        <w:t> </w:t>
      </w:r>
      <w:r>
        <w:rPr>
          <w:spacing w:val="-2"/>
        </w:rPr>
        <w:t>presets.</w:t>
      </w:r>
    </w:p>
    <w:p>
      <w:pPr>
        <w:pStyle w:val="BodyText"/>
        <w:spacing w:before="72"/>
        <w:ind w:left="282"/>
      </w:pPr>
      <w:r>
        <w:rPr>
          <w:i/>
        </w:rPr>
        <w:t>7가지 방법과 6가지 Aave 사전 설정을 사용하는 파이프라인.</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r>
        <w:rPr>
          <w:spacing w:val="-2"/>
        </w:rPr>
        <w:t>Reproducing</w:t>
      </w:r>
      <w:r>
        <w:rPr>
          <w:spacing w:val="1"/>
        </w:rPr>
        <w:t> </w:t>
      </w:r>
      <w:r>
        <w:rPr>
          <w:spacing w:val="-2"/>
        </w:rPr>
        <w:t>archive</w:t>
      </w:r>
      <w:r>
        <w:rPr>
          <w:spacing w:val="2"/>
        </w:rPr>
        <w:t> </w:t>
      </w:r>
      <w:r>
        <w:rPr>
          <w:spacing w:val="-2"/>
        </w:rPr>
        <w:t>tables</w:t>
      </w:r>
    </w:p>
    <w:p>
      <w:pPr>
        <w:pStyle w:val="Heading4"/>
        <w:numPr>
          <w:ilvl w:val="2"/>
          <w:numId w:val="8"/>
        </w:numPr>
        <w:tabs>
          <w:tab w:pos="879" w:val="left" w:leader="none"/>
        </w:tabs>
        <w:spacing w:line="240" w:lineRule="auto" w:before="0" w:after="0"/>
        <w:ind w:left="879" w:right="0" w:hanging="597"/>
        <w:jc w:val="left"/>
      </w:pPr>
      <w:r>
        <w:rPr>
          <w:i/>
        </w:rPr>
        <w:t>아카이브 테이블 재생성</w:t>
      </w:r>
    </w:p>
    <w:p>
      <w:pPr>
        <w:pStyle w:val="BodyText"/>
        <w:spacing w:before="46"/>
        <w:rPr>
          <w:b/>
        </w:rPr>
      </w:pPr>
    </w:p>
    <w:p>
      <w:pPr>
        <w:pStyle w:val="BodyText"/>
        <w:spacing w:line="396" w:lineRule="auto"/>
        <w:ind w:left="273" w:right="522"/>
      </w:pPr>
      <w:r>
        <w:rPr/>
        <w:t>Archive</w:t>
      </w:r>
      <w:r>
        <w:rPr>
          <w:spacing w:val="-15"/>
        </w:rPr>
        <w:t> </w:t>
      </w:r>
      <w:r>
        <w:rPr/>
        <w:t>tables</w:t>
      </w:r>
      <w:r>
        <w:rPr>
          <w:spacing w:val="-15"/>
        </w:rPr>
        <w:t> </w:t>
      </w:r>
      <w:r>
        <w:rPr/>
        <w:t>are</w:t>
      </w:r>
      <w:r>
        <w:rPr>
          <w:spacing w:val="-15"/>
        </w:rPr>
        <w:t> </w:t>
      </w:r>
      <w:r>
        <w:rPr/>
        <w:t>regenerated</w:t>
      </w:r>
      <w:r>
        <w:rPr>
          <w:spacing w:val="-15"/>
        </w:rPr>
        <w:t> </w:t>
      </w:r>
      <w:r>
        <w:rPr/>
        <w:t>by</w:t>
      </w:r>
      <w:r>
        <w:rPr>
          <w:spacing w:val="-15"/>
        </w:rPr>
        <w:t> </w:t>
      </w:r>
      <w:r>
        <w:rPr/>
        <w:t>the</w:t>
      </w:r>
      <w:r>
        <w:rPr>
          <w:spacing w:val="-15"/>
        </w:rPr>
        <w:t> </w:t>
      </w:r>
      <w:r>
        <w:rPr/>
        <w:t>evaluation</w:t>
      </w:r>
      <w:r>
        <w:rPr>
          <w:spacing w:val="-15"/>
        </w:rPr>
        <w:t> </w:t>
      </w:r>
      <w:r>
        <w:rPr/>
        <w:t>pipeline’s</w:t>
      </w:r>
      <w:r>
        <w:rPr>
          <w:spacing w:val="-15"/>
        </w:rPr>
        <w:t> </w:t>
      </w:r>
      <w:r>
        <w:rPr/>
        <w:t>table</w:t>
      </w:r>
      <w:r>
        <w:rPr>
          <w:spacing w:val="-15"/>
        </w:rPr>
        <w:t> </w:t>
      </w:r>
      <w:r>
        <w:rPr/>
        <w:t>export</w:t>
      </w:r>
      <w:r>
        <w:rPr>
          <w:spacing w:val="-15"/>
        </w:rPr>
        <w:t> </w:t>
      </w:r>
      <w:r>
        <w:rPr/>
        <w:t>with</w:t>
      </w:r>
      <w:r>
        <w:rPr>
          <w:spacing w:val="-15"/>
        </w:rPr>
        <w:t> </w:t>
      </w:r>
      <w:r>
        <w:rPr/>
        <w:t>seven-method</w:t>
      </w:r>
      <w:r>
        <w:rPr>
          <w:spacing w:val="-15"/>
        </w:rPr>
        <w:t> </w:t>
      </w:r>
      <w:r>
        <w:rPr/>
        <w:t>and</w:t>
      </w:r>
      <w:r>
        <w:rPr>
          <w:spacing w:val="-15"/>
        </w:rPr>
        <w:t> </w:t>
      </w:r>
      <w:r>
        <w:rPr/>
        <w:t>six-</w:t>
      </w:r>
      <w:bookmarkStart w:name="Notes on archived method identifiers" w:id="389"/>
      <w:bookmarkEnd w:id="389"/>
      <w:r>
        <w:rPr>
          <w:w w:val="99"/>
        </w:rPr>
      </w:r>
      <w:bookmarkStart w:name="_bookmark234" w:id="390"/>
      <w:bookmarkEnd w:id="390"/>
      <w:r>
        <w:rPr/>
        <w:t>Aave</w:t>
      </w:r>
      <w:r>
        <w:rPr>
          <w:spacing w:val="-12"/>
        </w:rPr>
        <w:t> </w:t>
      </w:r>
      <w:r>
        <w:rPr/>
        <w:t>presets.</w:t>
      </w:r>
      <w:r>
        <w:rPr>
          <w:spacing w:val="5"/>
        </w:rPr>
        <w:t> </w:t>
      </w:r>
      <w:r>
        <w:rPr/>
        <w:t>CSV</w:t>
      </w:r>
      <w:r>
        <w:rPr>
          <w:spacing w:val="-11"/>
        </w:rPr>
        <w:t> </w:t>
      </w:r>
      <w:r>
        <w:rPr/>
        <w:t>copies</w:t>
      </w:r>
      <w:r>
        <w:rPr>
          <w:spacing w:val="-12"/>
        </w:rPr>
        <w:t> </w:t>
      </w:r>
      <w:r>
        <w:rPr/>
        <w:t>are</w:t>
      </w:r>
      <w:r>
        <w:rPr>
          <w:spacing w:val="-12"/>
        </w:rPr>
        <w:t> </w:t>
      </w:r>
      <w:r>
        <w:rPr/>
        <w:t>recorded</w:t>
      </w:r>
      <w:r>
        <w:rPr>
          <w:spacing w:val="-12"/>
        </w:rPr>
        <w:t> </w:t>
      </w:r>
      <w:r>
        <w:rPr/>
        <w:t>alongside</w:t>
      </w:r>
      <w:r>
        <w:rPr>
          <w:spacing w:val="-12"/>
        </w:rPr>
        <w:t> </w:t>
      </w:r>
      <w:r>
        <w:rPr/>
        <w:t>the</w:t>
      </w:r>
      <w:r>
        <w:rPr>
          <w:spacing w:val="-12"/>
        </w:rPr>
        <w:t> </w:t>
      </w:r>
      <w:r>
        <w:rPr/>
        <w:t>LaTeX</w:t>
      </w:r>
      <w:r>
        <w:rPr>
          <w:spacing w:val="-12"/>
        </w:rPr>
        <w:t> </w:t>
      </w:r>
      <w:r>
        <w:rPr/>
        <w:t>fragments</w:t>
      </w:r>
      <w:r>
        <w:rPr>
          <w:spacing w:val="-12"/>
        </w:rPr>
        <w:t> </w:t>
      </w:r>
      <w:r>
        <w:rPr/>
        <w:t>for</w:t>
      </w:r>
      <w:r>
        <w:rPr>
          <w:spacing w:val="-12"/>
        </w:rPr>
        <w:t> </w:t>
      </w:r>
      <w:r>
        <w:rPr/>
        <w:t>spreadsheet</w:t>
      </w:r>
      <w:r>
        <w:rPr>
          <w:spacing w:val="-11"/>
        </w:rPr>
        <w:t> </w:t>
      </w:r>
      <w:r>
        <w:rPr>
          <w:spacing w:val="-2"/>
        </w:rPr>
        <w:t>inspection.</w:t>
      </w:r>
    </w:p>
    <w:p>
      <w:pPr>
        <w:pStyle w:val="BodyText"/>
        <w:spacing w:line="396" w:lineRule="auto"/>
        <w:ind w:left="273" w:right="522"/>
      </w:pPr>
      <w:r>
        <w:rPr>
          <w:i/>
        </w:rPr>
        <w:t>아카이브 테이블은 7가지 방법 및 6가지 Aave 사전 설정을 사용하여 평가 파이프라인의 테이블 내보내기를 통해 재생성됩니다. CSV 사본은 스프레드시트 검사를 위해 LaTeX 조각과 함께 기록됩니다.</w:t>
      </w:r>
    </w:p>
    <w:p>
      <w:pPr>
        <w:pStyle w:val="BodyText"/>
        <w:spacing w:before="7"/>
      </w:pPr>
    </w:p>
    <w:p>
      <w:pPr>
        <w:pStyle w:val="Heading4"/>
        <w:numPr>
          <w:ilvl w:val="2"/>
          <w:numId w:val="8"/>
        </w:numPr>
        <w:tabs>
          <w:tab w:pos="879" w:val="left" w:leader="none"/>
        </w:tabs>
        <w:spacing w:line="240" w:lineRule="auto" w:before="1" w:after="0"/>
        <w:ind w:left="879" w:right="0" w:hanging="597"/>
        <w:jc w:val="left"/>
      </w:pPr>
      <w:r>
        <w:rPr/>
        <w:t>Notes</w:t>
      </w:r>
      <w:r>
        <w:rPr>
          <w:spacing w:val="-13"/>
        </w:rPr>
        <w:t> </w:t>
      </w:r>
      <w:r>
        <w:rPr/>
        <w:t>on</w:t>
      </w:r>
      <w:r>
        <w:rPr>
          <w:spacing w:val="-12"/>
        </w:rPr>
        <w:t> </w:t>
      </w:r>
      <w:r>
        <w:rPr/>
        <w:t>archived</w:t>
      </w:r>
      <w:r>
        <w:rPr>
          <w:spacing w:val="-12"/>
        </w:rPr>
        <w:t> </w:t>
      </w:r>
      <w:r>
        <w:rPr/>
        <w:t>method</w:t>
      </w:r>
      <w:r>
        <w:rPr>
          <w:spacing w:val="-12"/>
        </w:rPr>
        <w:t> </w:t>
      </w:r>
      <w:r>
        <w:rPr>
          <w:spacing w:val="-2"/>
        </w:rPr>
        <w:t>identifiers</w:t>
      </w:r>
    </w:p>
    <w:p>
      <w:pPr>
        <w:pStyle w:val="Heading4"/>
        <w:numPr>
          <w:ilvl w:val="2"/>
          <w:numId w:val="8"/>
        </w:numPr>
        <w:tabs>
          <w:tab w:pos="879" w:val="left" w:leader="none"/>
        </w:tabs>
        <w:spacing w:line="240" w:lineRule="auto" w:before="1" w:after="0"/>
        <w:ind w:left="879" w:right="0" w:hanging="597"/>
        <w:jc w:val="left"/>
      </w:pPr>
      <w:r>
        <w:rPr>
          <w:i/>
        </w:rPr>
        <w:t>보관된 메서드 식별자에 대한 참고 사항</w:t>
      </w:r>
    </w:p>
    <w:p>
      <w:pPr>
        <w:pStyle w:val="BodyText"/>
        <w:spacing w:before="46"/>
        <w:rPr>
          <w:b/>
        </w:rPr>
      </w:pPr>
    </w:p>
    <w:p>
      <w:pPr>
        <w:pStyle w:val="BodyText"/>
        <w:spacing w:line="396" w:lineRule="auto"/>
        <w:ind w:left="282" w:hanging="8"/>
      </w:pPr>
      <w:r>
        <w:rPr/>
        <w:t>The following identifiers appear in archive tables and CSV exports.</w:t>
      </w:r>
      <w:r>
        <w:rPr>
          <w:spacing w:val="40"/>
        </w:rPr>
        <w:t> </w:t>
      </w:r>
      <w:r>
        <w:rPr/>
        <w:t>They document exploratory implementations in the evaluation codebase.</w:t>
      </w:r>
    </w:p>
    <w:p>
      <w:pPr>
        <w:pStyle w:val="BodyText"/>
        <w:spacing w:line="396" w:lineRule="auto"/>
        <w:ind w:left="282" w:hanging="8"/>
      </w:pPr>
      <w:r>
        <w:rPr>
          <w:i/>
        </w:rPr>
        <w:t>아카이브 테이블 및 CSV 내보내기에 다음 식별자가 나타납니다. 평가 코드베이스에 탐색적 구현을 ​​문서화합니다.</w:t>
      </w:r>
    </w:p>
    <w:p>
      <w:pPr>
        <w:pStyle w:val="BodyText"/>
        <w:spacing w:line="396" w:lineRule="auto" w:before="275"/>
        <w:ind w:left="880" w:right="524" w:hanging="598"/>
        <w:jc w:val="both"/>
      </w:pPr>
      <w:r>
        <w:rPr>
          <w:b/>
        </w:rPr>
        <w:t>LP-PR </w:t>
      </w:r>
      <w:r>
        <w:rPr/>
        <w:t>A transfer-graph variant with alternative loss-penalized or liquidity-oriented weighting explored during development.</w:t>
      </w:r>
      <w:r>
        <w:rPr>
          <w:spacing w:val="40"/>
        </w:rPr>
        <w:t> </w:t>
      </w:r>
      <w:r>
        <w:rPr/>
        <w:t>Empirically it tracks AWP closely on transfer families (Ta-ble </w:t>
      </w:r>
      <w:hyperlink w:history="true" w:anchor="_bookmark229">
        <w:r>
          <w:rPr/>
          <w:t>8.4</w:t>
        </w:r>
      </w:hyperlink>
      <w:r>
        <w:rPr/>
        <w:t>), indicating shared payment-flow structure.</w:t>
      </w:r>
    </w:p>
    <w:p>
      <w:pPr>
        <w:pStyle w:val="BodyText"/>
        <w:spacing w:line="396" w:lineRule="auto" w:before="275"/>
        <w:ind w:left="880" w:right="524" w:hanging="598"/>
        <w:jc w:val="both"/>
      </w:pPr>
      <w:r>
        <w:rPr>
          <w:i/>
        </w:rPr>
        <w:t>LP-PR 개발 중에 대체 손실 패널티 또는 유동성 중심 가중치를 적용한 전송 그래프 변형입니다. 경험적으로 이는 공유 지불 흐름 구조를 나타내는 이체 가족(표 8.4)에서 AWP를 밀접하게 추적합니다.</w:t>
      </w:r>
    </w:p>
    <w:p>
      <w:pPr>
        <w:pStyle w:val="BodyText"/>
        <w:spacing w:line="386" w:lineRule="auto" w:before="203"/>
        <w:ind w:left="880" w:right="564" w:hanging="598"/>
        <w:jc w:val="both"/>
      </w:pPr>
      <w:r>
        <w:rPr>
          <w:b/>
        </w:rPr>
        <w:t>CW-AWP</w:t>
      </w:r>
      <w:r>
        <w:rPr>
          <w:b/>
          <w:spacing w:val="31"/>
        </w:rPr>
        <w:t> </w:t>
      </w:r>
      <w:r>
        <w:rPr/>
        <w:t>A</w:t>
      </w:r>
      <w:r>
        <w:rPr>
          <w:spacing w:val="-1"/>
        </w:rPr>
        <w:t> </w:t>
      </w:r>
      <w:r>
        <w:rPr/>
        <w:t>counterparty-weighted</w:t>
      </w:r>
      <w:r>
        <w:rPr>
          <w:spacing w:val="-1"/>
        </w:rPr>
        <w:t> </w:t>
      </w:r>
      <w:r>
        <w:rPr/>
        <w:t>AWP</w:t>
      </w:r>
      <w:r>
        <w:rPr>
          <w:spacing w:val="-1"/>
        </w:rPr>
        <w:t> </w:t>
      </w:r>
      <w:r>
        <w:rPr/>
        <w:t>variant</w:t>
      </w:r>
      <w:r>
        <w:rPr>
          <w:spacing w:val="-1"/>
        </w:rPr>
        <w:t> </w:t>
      </w:r>
      <w:r>
        <w:rPr/>
        <w:t>that</w:t>
      </w:r>
      <w:r>
        <w:rPr>
          <w:spacing w:val="-1"/>
        </w:rPr>
        <w:t> </w:t>
      </w:r>
      <w:r>
        <w:rPr/>
        <w:t>down-weights</w:t>
      </w:r>
      <w:r>
        <w:rPr>
          <w:spacing w:val="-1"/>
        </w:rPr>
        <w:t> </w:t>
      </w:r>
      <w:r>
        <w:rPr/>
        <w:t>repeated</w:t>
      </w:r>
      <w:r>
        <w:rPr>
          <w:spacing w:val="-1"/>
        </w:rPr>
        <w:t> </w:t>
      </w:r>
      <w:r>
        <w:rPr/>
        <w:t>transfers</w:t>
      </w:r>
      <w:r>
        <w:rPr>
          <w:spacing w:val="-1"/>
        </w:rPr>
        <w:t> </w:t>
      </w:r>
      <w:r>
        <w:rPr/>
        <w:t>between the same pair.</w:t>
      </w:r>
      <w:r>
        <w:rPr>
          <w:spacing w:val="40"/>
        </w:rPr>
        <w:t> </w:t>
      </w:r>
      <w:r>
        <w:rPr/>
        <w:t>It slightly reduces transfer </w:t>
      </w:r>
      <w:r>
        <w:rPr>
          <w:rFonts w:ascii="Calibri" w:hAnsi="Calibri"/>
          <w:i/>
        </w:rPr>
        <w:t>τ</w:t>
      </w:r>
      <w:r>
        <w:rPr>
          <w:rFonts w:ascii="Calibri" w:hAnsi="Calibri"/>
          <w:i/>
          <w:spacing w:val="40"/>
        </w:rPr>
        <w:t> </w:t>
      </w:r>
      <w:r>
        <w:rPr/>
        <w:t>relative to AWP while remaining in the same construct family.</w:t>
      </w:r>
    </w:p>
    <w:p>
      <w:pPr>
        <w:pStyle w:val="BodyText"/>
        <w:spacing w:line="386" w:lineRule="auto" w:before="203"/>
        <w:ind w:left="880" w:right="564" w:hanging="598"/>
        <w:jc w:val="both"/>
      </w:pPr>
      <w:r>
        <w:rPr>
          <w:i/>
        </w:rPr>
        <w:t>CW-AWP 동일한 쌍 간의 반복적인 이체에 대한 가중치를 낮추는 거래상대방 가중치 AWP 변형입니다. 동일한 구성군을 유지하면서 AWP에 비해 전송 τ를 약간 줄입니다.</w:t>
      </w:r>
    </w:p>
    <w:p>
      <w:pPr>
        <w:pStyle w:val="BodyText"/>
        <w:spacing w:line="396" w:lineRule="auto" w:before="208"/>
        <w:ind w:left="880" w:right="524" w:hanging="598"/>
        <w:jc w:val="both"/>
      </w:pPr>
      <w:r>
        <w:rPr>
          <w:b/>
        </w:rPr>
        <w:t>LF-PR</w:t>
      </w:r>
      <w:r>
        <w:rPr>
          <w:b/>
          <w:spacing w:val="40"/>
        </w:rPr>
        <w:t> </w:t>
      </w:r>
      <w:r>
        <w:rPr/>
        <w:t>A low-frequency or lightly filtered graph with very small edge counts and near-zero run-times; rankings are not comparable to full AWP and are retained only to document a failed sparse baseline.</w:t>
      </w:r>
    </w:p>
    <w:p>
      <w:pPr>
        <w:pStyle w:val="BodyText"/>
        <w:spacing w:line="396" w:lineRule="auto" w:before="208"/>
        <w:ind w:left="880" w:right="524" w:hanging="598"/>
        <w:jc w:val="both"/>
      </w:pPr>
      <w:r>
        <w:rPr>
          <w:i/>
        </w:rPr>
        <w:t>LF-PR 매우 작은 간선 개수와 거의 0에 가까운 런타임을 갖는 저주파 또는 가볍게 필터링된 그래프입니다. 순위는 전체 AWP와 비교할 수 없으며 실패한 희소 기준선을 문서화하기 위해서만 유지됩니다.</w:t>
      </w:r>
    </w:p>
    <w:p>
      <w:pPr>
        <w:pStyle w:val="BodyText"/>
        <w:spacing w:line="396" w:lineRule="auto" w:before="203"/>
        <w:ind w:left="880" w:right="558" w:hanging="598"/>
        <w:jc w:val="both"/>
      </w:pPr>
      <w:r>
        <w:rPr>
          <w:b/>
        </w:rPr>
        <w:t>RiskProp</w:t>
      </w:r>
      <w:r>
        <w:rPr>
          <w:b/>
          <w:spacing w:val="40"/>
        </w:rPr>
        <w:t> </w:t>
      </w:r>
      <w:r>
        <w:rPr/>
        <w:t>A</w:t>
      </w:r>
      <w:r>
        <w:rPr>
          <w:spacing w:val="-15"/>
        </w:rPr>
        <w:t> </w:t>
      </w:r>
      <w:r>
        <w:rPr/>
        <w:t>risk-propagation</w:t>
      </w:r>
      <w:r>
        <w:rPr>
          <w:spacing w:val="-14"/>
        </w:rPr>
        <w:t> </w:t>
      </w:r>
      <w:r>
        <w:rPr/>
        <w:t>style</w:t>
      </w:r>
      <w:r>
        <w:rPr>
          <w:spacing w:val="-14"/>
        </w:rPr>
        <w:t> </w:t>
      </w:r>
      <w:r>
        <w:rPr/>
        <w:t>ranking</w:t>
      </w:r>
      <w:r>
        <w:rPr>
          <w:spacing w:val="-14"/>
        </w:rPr>
        <w:t> </w:t>
      </w:r>
      <w:r>
        <w:rPr/>
        <w:t>on</w:t>
      </w:r>
      <w:r>
        <w:rPr>
          <w:spacing w:val="-14"/>
        </w:rPr>
        <w:t> </w:t>
      </w:r>
      <w:r>
        <w:rPr/>
        <w:t>transfer-like</w:t>
      </w:r>
      <w:r>
        <w:rPr>
          <w:spacing w:val="-14"/>
        </w:rPr>
        <w:t> </w:t>
      </w:r>
      <w:r>
        <w:rPr/>
        <w:t>edges</w:t>
      </w:r>
      <w:r>
        <w:rPr>
          <w:spacing w:val="-14"/>
        </w:rPr>
        <w:t> </w:t>
      </w:r>
      <w:r>
        <w:rPr/>
        <w:t>inspired</w:t>
      </w:r>
      <w:r>
        <w:rPr>
          <w:spacing w:val="-14"/>
        </w:rPr>
        <w:t> </w:t>
      </w:r>
      <w:r>
        <w:rPr/>
        <w:t>by</w:t>
      </w:r>
      <w:r>
        <w:rPr>
          <w:spacing w:val="-14"/>
        </w:rPr>
        <w:t> </w:t>
      </w:r>
      <w:r>
        <w:rPr/>
        <w:t>Lin</w:t>
      </w:r>
      <w:r>
        <w:rPr>
          <w:spacing w:val="-14"/>
        </w:rPr>
        <w:t> </w:t>
      </w:r>
      <w:r>
        <w:rPr/>
        <w:t>et</w:t>
      </w:r>
      <w:r>
        <w:rPr>
          <w:spacing w:val="-14"/>
        </w:rPr>
        <w:t> </w:t>
      </w:r>
      <w:r>
        <w:rPr/>
        <w:t>al.</w:t>
      </w:r>
      <w:hyperlink w:history="true" w:anchor="_bookmark177">
        <w:r>
          <w:rPr>
            <w:vertAlign w:val="superscript"/>
          </w:rPr>
          <w:t>[44]</w:t>
        </w:r>
      </w:hyperlink>
      <w:r>
        <w:rPr>
          <w:vertAlign w:val="baseline"/>
        </w:rPr>
        <w:t>.</w:t>
      </w:r>
      <w:r>
        <w:rPr>
          <w:spacing w:val="10"/>
          <w:vertAlign w:val="baseline"/>
        </w:rPr>
        <w:t> </w:t>
      </w:r>
      <w:r>
        <w:rPr>
          <w:vertAlign w:val="baseline"/>
        </w:rPr>
        <w:t>On</w:t>
      </w:r>
      <w:r>
        <w:rPr>
          <w:spacing w:val="-15"/>
          <w:vertAlign w:val="baseline"/>
        </w:rPr>
        <w:t> </w:t>
      </w:r>
      <w:r>
        <w:rPr>
          <w:vertAlign w:val="baseline"/>
        </w:rPr>
        <w:t>this cohort</w:t>
      </w:r>
      <w:r>
        <w:rPr>
          <w:spacing w:val="-15"/>
          <w:vertAlign w:val="baseline"/>
        </w:rPr>
        <w:t> </w:t>
      </w:r>
      <w:r>
        <w:rPr>
          <w:vertAlign w:val="baseline"/>
        </w:rPr>
        <w:t>it</w:t>
      </w:r>
      <w:r>
        <w:rPr>
          <w:spacing w:val="-15"/>
          <w:vertAlign w:val="baseline"/>
        </w:rPr>
        <w:t> </w:t>
      </w:r>
      <w:r>
        <w:rPr>
          <w:vertAlign w:val="baseline"/>
        </w:rPr>
        <w:t>numerically</w:t>
      </w:r>
      <w:r>
        <w:rPr>
          <w:spacing w:val="-14"/>
          <w:vertAlign w:val="baseline"/>
        </w:rPr>
        <w:t> </w:t>
      </w:r>
      <w:r>
        <w:rPr>
          <w:vertAlign w:val="baseline"/>
        </w:rPr>
        <w:t>mirrors</w:t>
      </w:r>
      <w:r>
        <w:rPr>
          <w:spacing w:val="-15"/>
          <w:vertAlign w:val="baseline"/>
        </w:rPr>
        <w:t> </w:t>
      </w:r>
      <w:r>
        <w:rPr>
          <w:vertAlign w:val="baseline"/>
        </w:rPr>
        <w:t>AWP</w:t>
      </w:r>
      <w:r>
        <w:rPr>
          <w:spacing w:val="-15"/>
          <w:vertAlign w:val="baseline"/>
        </w:rPr>
        <w:t> </w:t>
      </w:r>
      <w:r>
        <w:rPr>
          <w:vertAlign w:val="baseline"/>
        </w:rPr>
        <w:t>on</w:t>
      </w:r>
      <w:r>
        <w:rPr>
          <w:spacing w:val="-15"/>
          <w:vertAlign w:val="baseline"/>
        </w:rPr>
        <w:t> </w:t>
      </w:r>
      <w:r>
        <w:rPr>
          <w:vertAlign w:val="baseline"/>
        </w:rPr>
        <w:t>several</w:t>
      </w:r>
      <w:r>
        <w:rPr>
          <w:spacing w:val="-15"/>
          <w:vertAlign w:val="baseline"/>
        </w:rPr>
        <w:t> </w:t>
      </w:r>
      <w:r>
        <w:rPr>
          <w:vertAlign w:val="baseline"/>
        </w:rPr>
        <w:t>families,</w:t>
      </w:r>
      <w:r>
        <w:rPr>
          <w:spacing w:val="-13"/>
          <w:vertAlign w:val="baseline"/>
        </w:rPr>
        <w:t> </w:t>
      </w:r>
      <w:r>
        <w:rPr>
          <w:vertAlign w:val="baseline"/>
        </w:rPr>
        <w:t>suggesting</w:t>
      </w:r>
      <w:r>
        <w:rPr>
          <w:spacing w:val="-15"/>
          <w:vertAlign w:val="baseline"/>
        </w:rPr>
        <w:t> </w:t>
      </w:r>
      <w:r>
        <w:rPr>
          <w:vertAlign w:val="baseline"/>
        </w:rPr>
        <w:t>that</w:t>
      </w:r>
      <w:r>
        <w:rPr>
          <w:spacing w:val="-15"/>
          <w:vertAlign w:val="baseline"/>
        </w:rPr>
        <w:t> </w:t>
      </w:r>
      <w:r>
        <w:rPr>
          <w:vertAlign w:val="baseline"/>
        </w:rPr>
        <w:t>the</w:t>
      </w:r>
      <w:r>
        <w:rPr>
          <w:spacing w:val="-14"/>
          <w:vertAlign w:val="baseline"/>
        </w:rPr>
        <w:t> </w:t>
      </w:r>
      <w:r>
        <w:rPr>
          <w:vertAlign w:val="baseline"/>
        </w:rPr>
        <w:t>implemented</w:t>
      </w:r>
      <w:r>
        <w:rPr>
          <w:spacing w:val="-15"/>
          <w:vertAlign w:val="baseline"/>
        </w:rPr>
        <w:t> </w:t>
      </w:r>
      <w:r>
        <w:rPr>
          <w:vertAlign w:val="baseline"/>
        </w:rPr>
        <w:t>risk signal did not diverge strongly from transfer centrality under the study’s parameterization.</w:t>
      </w:r>
    </w:p>
    <w:p>
      <w:pPr>
        <w:pStyle w:val="BodyText"/>
        <w:spacing w:line="396" w:lineRule="auto" w:before="203"/>
        <w:ind w:left="880" w:right="558" w:hanging="598"/>
        <w:jc w:val="both"/>
      </w:pPr>
      <w:r>
        <w:rPr>
          <w:i/>
        </w:rPr>
        <w:t>RiskProp Lin 등[44]에서 영감을 받은 전송 유사 에지에 대한 위험 전파 스타일 순위. 이 코호트에서는 여러 가족의 AWP을 수치적으로 반영하며, 이는 구현된 위험 신호가 연구의 매개변수화에 따라 전달 중심성과 크게 다르지 않음을 시사합니다.</w:t>
      </w:r>
    </w:p>
    <w:p>
      <w:pPr>
        <w:pStyle w:val="BodyText"/>
        <w:spacing w:line="396" w:lineRule="auto" w:before="202"/>
        <w:ind w:left="871" w:right="523" w:hanging="590"/>
        <w:jc w:val="both"/>
      </w:pPr>
      <w:r>
        <w:rPr>
          <w:b/>
        </w:rPr>
        <w:t>LiqCall-PR</w:t>
      </w:r>
      <w:r>
        <w:rPr>
          <w:b/>
          <w:spacing w:val="-7"/>
        </w:rPr>
        <w:t> </w:t>
      </w:r>
      <w:r>
        <w:rPr>
          <w:b/>
        </w:rPr>
        <w:t>/</w:t>
      </w:r>
      <w:r>
        <w:rPr>
          <w:b/>
          <w:spacing w:val="-7"/>
        </w:rPr>
        <w:t> </w:t>
      </w:r>
      <w:r>
        <w:rPr>
          <w:b/>
        </w:rPr>
        <w:t>Borrow-PR</w:t>
      </w:r>
      <w:r>
        <w:rPr>
          <w:b/>
          <w:spacing w:val="-7"/>
        </w:rPr>
        <w:t> </w:t>
      </w:r>
      <w:r>
        <w:rPr>
          <w:b/>
        </w:rPr>
        <w:t>/</w:t>
      </w:r>
      <w:r>
        <w:rPr>
          <w:b/>
          <w:spacing w:val="-7"/>
        </w:rPr>
        <w:t> </w:t>
      </w:r>
      <w:r>
        <w:rPr>
          <w:b/>
        </w:rPr>
        <w:t>Repay-PR</w:t>
      </w:r>
      <w:r>
        <w:rPr>
          <w:b/>
          <w:spacing w:val="40"/>
        </w:rPr>
        <w:t> </w:t>
      </w:r>
      <w:r>
        <w:rPr/>
        <w:t>Aave-oriented wallet-to-wallet graphs built from liquida-tion calls, borrows, and repays when those events are present.</w:t>
      </w:r>
      <w:r>
        <w:rPr>
          <w:spacing w:val="40"/>
        </w:rPr>
        <w:t> </w:t>
      </w:r>
      <w:r>
        <w:rPr/>
        <w:t>On Arbitrum in the study window, edge counts are small (tens to hundreds), so alignment is weak and runtimes are </w:t>
      </w:r>
      <w:r>
        <w:rPr>
          <w:spacing w:val="-2"/>
        </w:rPr>
        <w:t>negligible.</w:t>
      </w:r>
    </w:p>
    <w:p>
      <w:pPr>
        <w:pStyle w:val="BodyText"/>
        <w:spacing w:line="396" w:lineRule="auto" w:before="202"/>
        <w:ind w:left="871" w:right="523" w:hanging="590"/>
        <w:jc w:val="both"/>
      </w:pPr>
      <w:r>
        <w:rPr>
          <w:i/>
        </w:rPr>
        <w:t>LiqCall-PR / Borrow-PR / Repay-PR 해당 이벤트가 있을 때 청산 요청, 차입 및 상환으로 구축된 Aave 지향 지갑-지갑 그래프입니다. 연구 창의 Arbitrum에서는 가장자리 수가 적으므로(수십~수백) 정렬이 약하고 런타임도 무시할 수 있습니다.</w:t>
      </w:r>
    </w:p>
    <w:p>
      <w:pPr>
        <w:pStyle w:val="BodyText"/>
        <w:spacing w:after="0" w:line="396" w:lineRule="auto"/>
        <w:jc w:val="both"/>
        <w:sectPr>
          <w:pgSz w:w="11910" w:h="16840"/>
          <w:pgMar w:header="0" w:footer="2115" w:top="1840" w:bottom="2300" w:left="992" w:right="708"/>
        </w:sectPr>
      </w:pPr>
    </w:p>
    <w:p>
      <w:pPr>
        <w:pStyle w:val="BodyText"/>
        <w:spacing w:line="393" w:lineRule="auto" w:before="72"/>
        <w:ind w:left="880" w:right="534" w:hanging="598"/>
      </w:pPr>
      <w:r>
        <w:rPr>
          <w:b/>
        </w:rPr>
        <w:t>Delegation-PR</w:t>
      </w:r>
      <w:r>
        <w:rPr>
          <w:b/>
          <w:spacing w:val="18"/>
        </w:rPr>
        <w:t> </w:t>
      </w:r>
      <w:r>
        <w:rPr/>
        <w:t>Intended</w:t>
      </w:r>
      <w:r>
        <w:rPr>
          <w:spacing w:val="-19"/>
        </w:rPr>
        <w:t> </w:t>
      </w:r>
      <w:r>
        <w:rPr/>
        <w:t>to</w:t>
      </w:r>
      <w:r>
        <w:rPr>
          <w:spacing w:val="-19"/>
        </w:rPr>
        <w:t> </w:t>
      </w:r>
      <w:r>
        <w:rPr/>
        <w:t>use</w:t>
      </w:r>
      <w:r>
        <w:rPr>
          <w:spacing w:val="-19"/>
        </w:rPr>
        <w:t> </w:t>
      </w:r>
      <w:r>
        <w:rPr/>
        <w:t>credit-delegation</w:t>
      </w:r>
      <w:r>
        <w:rPr>
          <w:spacing w:val="-19"/>
        </w:rPr>
        <w:t> </w:t>
      </w:r>
      <w:r>
        <w:rPr/>
        <w:t>allowances;</w:t>
      </w:r>
      <w:r>
        <w:rPr>
          <w:spacing w:val="-15"/>
        </w:rPr>
        <w:t> </w:t>
      </w:r>
      <w:r>
        <w:rPr/>
        <w:t>with</w:t>
      </w:r>
      <w:r>
        <w:rPr>
          <w:spacing w:val="-19"/>
        </w:rPr>
        <w:t> </w:t>
      </w:r>
      <w:r>
        <w:rPr/>
        <w:t>zero</w:t>
      </w:r>
      <w:r>
        <w:rPr>
          <w:spacing w:val="-19"/>
        </w:rPr>
        <w:t> </w:t>
      </w:r>
      <w:r>
        <w:rPr/>
        <w:t>delegation</w:t>
      </w:r>
      <w:r>
        <w:rPr>
          <w:spacing w:val="-19"/>
        </w:rPr>
        <w:t> </w:t>
      </w:r>
      <w:r>
        <w:rPr/>
        <w:t>edges</w:t>
      </w:r>
      <w:r>
        <w:rPr>
          <w:spacing w:val="-19"/>
        </w:rPr>
        <w:t> </w:t>
      </w:r>
      <w:r>
        <w:rPr/>
        <w:t>extracted, scores are degenerate and </w:t>
      </w:r>
      <w:r>
        <w:rPr>
          <w:rFonts w:ascii="Calibri" w:hAnsi="Calibri"/>
          <w:i/>
        </w:rPr>
        <w:t>τ</w:t>
      </w:r>
      <w:r>
        <w:rPr>
          <w:rFonts w:ascii="Calibri" w:hAnsi="Calibri"/>
          <w:i/>
          <w:spacing w:val="40"/>
        </w:rPr>
        <w:t> </w:t>
      </w:r>
      <w:r>
        <w:rPr/>
        <w:t>is not interpretable.</w:t>
      </w:r>
    </w:p>
    <w:p>
      <w:pPr>
        <w:pStyle w:val="BodyText"/>
        <w:spacing w:line="393" w:lineRule="auto" w:before="72"/>
        <w:ind w:left="880" w:right="534" w:hanging="598"/>
      </w:pPr>
      <w:r>
        <w:rPr>
          <w:i/>
        </w:rPr>
        <w:t>Delegation-PR 학점 위임 수당을 사용하기 위한 것이며 위임 가장자리가 추출되지 않으면 점수가 저하되고 τ를 해석할 수 없습니다.</w:t>
      </w:r>
    </w:p>
    <w:p>
      <w:pPr>
        <w:pStyle w:val="BodyText"/>
        <w:spacing w:line="396" w:lineRule="auto" w:before="253"/>
        <w:ind w:left="282" w:right="524" w:hanging="8"/>
      </w:pPr>
      <w:r>
        <w:rPr>
          <w:spacing w:val="-2"/>
        </w:rPr>
        <w:t>These</w:t>
      </w:r>
      <w:r>
        <w:rPr>
          <w:spacing w:val="-12"/>
        </w:rPr>
        <w:t> </w:t>
      </w:r>
      <w:r>
        <w:rPr>
          <w:spacing w:val="-2"/>
        </w:rPr>
        <w:t>notes</w:t>
      </w:r>
      <w:r>
        <w:rPr>
          <w:spacing w:val="-12"/>
        </w:rPr>
        <w:t> </w:t>
      </w:r>
      <w:r>
        <w:rPr>
          <w:spacing w:val="-2"/>
        </w:rPr>
        <w:t>exist</w:t>
      </w:r>
      <w:r>
        <w:rPr>
          <w:spacing w:val="-12"/>
        </w:rPr>
        <w:t> </w:t>
      </w:r>
      <w:r>
        <w:rPr>
          <w:spacing w:val="-2"/>
        </w:rPr>
        <w:t>so</w:t>
      </w:r>
      <w:r>
        <w:rPr>
          <w:spacing w:val="-12"/>
        </w:rPr>
        <w:t> </w:t>
      </w:r>
      <w:r>
        <w:rPr>
          <w:spacing w:val="-2"/>
        </w:rPr>
        <w:t>that</w:t>
      </w:r>
      <w:r>
        <w:rPr>
          <w:spacing w:val="-12"/>
        </w:rPr>
        <w:t> </w:t>
      </w:r>
      <w:r>
        <w:rPr>
          <w:spacing w:val="-2"/>
        </w:rPr>
        <w:t>future</w:t>
      </w:r>
      <w:r>
        <w:rPr>
          <w:spacing w:val="-12"/>
        </w:rPr>
        <w:t> </w:t>
      </w:r>
      <w:r>
        <w:rPr>
          <w:spacing w:val="-2"/>
        </w:rPr>
        <w:t>researchers</w:t>
      </w:r>
      <w:r>
        <w:rPr>
          <w:spacing w:val="-12"/>
        </w:rPr>
        <w:t> </w:t>
      </w:r>
      <w:r>
        <w:rPr>
          <w:spacing w:val="-2"/>
        </w:rPr>
        <w:t>can</w:t>
      </w:r>
      <w:r>
        <w:rPr>
          <w:spacing w:val="-12"/>
        </w:rPr>
        <w:t> </w:t>
      </w:r>
      <w:r>
        <w:rPr>
          <w:spacing w:val="-2"/>
        </w:rPr>
        <w:t>decide</w:t>
      </w:r>
      <w:r>
        <w:rPr>
          <w:spacing w:val="-12"/>
        </w:rPr>
        <w:t> </w:t>
      </w:r>
      <w:r>
        <w:rPr>
          <w:spacing w:val="-2"/>
        </w:rPr>
        <w:t>which</w:t>
      </w:r>
      <w:r>
        <w:rPr>
          <w:spacing w:val="-12"/>
        </w:rPr>
        <w:t> </w:t>
      </w:r>
      <w:r>
        <w:rPr>
          <w:spacing w:val="-2"/>
        </w:rPr>
        <w:t>variants</w:t>
      </w:r>
      <w:r>
        <w:rPr>
          <w:spacing w:val="-12"/>
        </w:rPr>
        <w:t> </w:t>
      </w:r>
      <w:r>
        <w:rPr>
          <w:spacing w:val="-2"/>
        </w:rPr>
        <w:t>deserve</w:t>
      </w:r>
      <w:r>
        <w:rPr>
          <w:spacing w:val="-12"/>
        </w:rPr>
        <w:t> </w:t>
      </w:r>
      <w:r>
        <w:rPr>
          <w:spacing w:val="-2"/>
        </w:rPr>
        <w:t>full</w:t>
      </w:r>
      <w:r>
        <w:rPr>
          <w:spacing w:val="-12"/>
        </w:rPr>
        <w:t> </w:t>
      </w:r>
      <w:r>
        <w:rPr>
          <w:spacing w:val="-2"/>
        </w:rPr>
        <w:t>re-implementation </w:t>
      </w:r>
      <w:bookmarkStart w:name="Decision log: what stayed in the main te" w:id="391"/>
      <w:bookmarkEnd w:id="391"/>
      <w:r>
        <w:rPr>
          <w:w w:val="99"/>
        </w:rPr>
      </w:r>
      <w:bookmarkStart w:name="_bookmark235" w:id="392"/>
      <w:bookmarkEnd w:id="392"/>
      <w:r>
        <w:rPr/>
        <w:t>rather</w:t>
      </w:r>
      <w:r>
        <w:rPr/>
        <w:t> than treating archive rows as peer-reviewed baselines.</w:t>
      </w:r>
    </w:p>
    <w:p>
      <w:pPr>
        <w:pStyle w:val="BodyText"/>
        <w:spacing w:line="396" w:lineRule="auto" w:before="253"/>
        <w:ind w:left="282" w:right="524" w:hanging="8"/>
      </w:pPr>
      <w:r>
        <w:rPr>
          <w:i/>
        </w:rPr>
        <w:t>이러한 메모는 미래의 연구원이 아카이브 행을 동료 검토 기준으로 처리하는 대신 완전한 재구현이 필요한 변형을 결정할 수 있도록 하기 위해 존재합니다.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Decision</w:t>
      </w:r>
      <w:r>
        <w:rPr>
          <w:spacing w:val="-8"/>
        </w:rPr>
        <w:t> </w:t>
      </w:r>
      <w:r>
        <w:rPr/>
        <w:t>log:</w:t>
      </w:r>
      <w:r>
        <w:rPr>
          <w:spacing w:val="9"/>
        </w:rPr>
        <w:t> </w:t>
      </w:r>
      <w:r>
        <w:rPr/>
        <w:t>what</w:t>
      </w:r>
      <w:r>
        <w:rPr>
          <w:spacing w:val="-7"/>
        </w:rPr>
        <w:t> </w:t>
      </w:r>
      <w:r>
        <w:rPr/>
        <w:t>stayed</w:t>
      </w:r>
      <w:r>
        <w:rPr>
          <w:spacing w:val="-8"/>
        </w:rPr>
        <w:t> </w:t>
      </w:r>
      <w:r>
        <w:rPr/>
        <w:t>in</w:t>
      </w:r>
      <w:r>
        <w:rPr>
          <w:spacing w:val="-8"/>
        </w:rPr>
        <w:t> </w:t>
      </w:r>
      <w:r>
        <w:rPr/>
        <w:t>the</w:t>
      </w:r>
      <w:r>
        <w:rPr>
          <w:spacing w:val="-8"/>
        </w:rPr>
        <w:t> </w:t>
      </w:r>
      <w:r>
        <w:rPr/>
        <w:t>main</w:t>
      </w:r>
      <w:r>
        <w:rPr>
          <w:spacing w:val="-8"/>
        </w:rPr>
        <w:t> </w:t>
      </w:r>
      <w:r>
        <w:rPr>
          <w:spacing w:val="-4"/>
        </w:rPr>
        <w:t>text</w:t>
      </w:r>
    </w:p>
    <w:p>
      <w:pPr>
        <w:pStyle w:val="Heading4"/>
        <w:numPr>
          <w:ilvl w:val="2"/>
          <w:numId w:val="8"/>
        </w:numPr>
        <w:tabs>
          <w:tab w:pos="879" w:val="left" w:leader="none"/>
        </w:tabs>
        <w:spacing w:line="240" w:lineRule="auto" w:before="0" w:after="0"/>
        <w:ind w:left="879" w:right="0" w:hanging="597"/>
        <w:jc w:val="left"/>
      </w:pPr>
      <w:r>
        <w:rPr>
          <w:i/>
        </w:rPr>
        <w:t>결정일지: 본문에 남은 내용</w:t>
      </w:r>
    </w:p>
    <w:p>
      <w:pPr>
        <w:pStyle w:val="BodyText"/>
        <w:spacing w:before="46"/>
        <w:rPr>
          <w:b/>
        </w:rPr>
      </w:pPr>
    </w:p>
    <w:p>
      <w:pPr>
        <w:pStyle w:val="BodyText"/>
        <w:spacing w:line="396" w:lineRule="auto" w:before="1"/>
        <w:ind w:left="282" w:right="564" w:hanging="8"/>
      </w:pPr>
      <w:r>
        <w:rPr/>
        <w:t>The decision to keep only EndorseRank, AWP, and supplementary GF-PR in Chapters </w:t>
      </w:r>
      <w:hyperlink w:history="true" w:anchor="_bookmark84">
        <w:r>
          <w:rPr/>
          <w:t>4</w:t>
        </w:r>
      </w:hyperlink>
      <w:r>
        <w:rPr/>
        <w:t>–</w:t>
      </w:r>
      <w:hyperlink w:history="true" w:anchor="_bookmark114">
        <w:r>
          <w:rPr/>
          <w:t>5</w:t>
        </w:r>
      </w:hyperlink>
      <w:r>
        <w:rPr/>
        <w:t> was made after inspecting the seven-method and six-Aave matrices. Criteria were:</w:t>
      </w:r>
    </w:p>
    <w:p>
      <w:pPr>
        <w:pStyle w:val="BodyText"/>
        <w:spacing w:line="396" w:lineRule="auto" w:before="1"/>
        <w:ind w:left="282" w:right="564" w:hanging="8"/>
      </w:pPr>
      <w:r>
        <w:rPr>
          <w:i/>
        </w:rPr>
        <w:t>4~5장의 EndorseRank, AWP 및 보충 GF-PR만 유지하기로 결정한 것은 7-메서드와 6-Aave 행렬을 검사한 후 이루어졌습니다. 기준은 다음과 같습니다.</w:t>
      </w:r>
    </w:p>
    <w:p>
      <w:pPr>
        <w:pStyle w:val="ListParagraph"/>
        <w:numPr>
          <w:ilvl w:val="0"/>
          <w:numId w:val="32"/>
        </w:numPr>
        <w:tabs>
          <w:tab w:pos="856" w:val="left" w:leader="none"/>
        </w:tabs>
        <w:spacing w:line="396" w:lineRule="auto" w:before="121" w:after="0"/>
        <w:ind w:left="856" w:right="559" w:hanging="311"/>
        <w:jc w:val="left"/>
        <w:rPr>
          <w:sz w:val="24"/>
        </w:rPr>
      </w:pPr>
      <w:r>
        <w:rPr>
          <w:b/>
          <w:sz w:val="24"/>
        </w:rPr>
        <w:t>Construct</w:t>
      </w:r>
      <w:r>
        <w:rPr>
          <w:b/>
          <w:spacing w:val="-15"/>
          <w:sz w:val="24"/>
        </w:rPr>
        <w:t> </w:t>
      </w:r>
      <w:r>
        <w:rPr>
          <w:b/>
          <w:sz w:val="24"/>
        </w:rPr>
        <w:t>independence:</w:t>
      </w:r>
      <w:r>
        <w:rPr>
          <w:b/>
          <w:spacing w:val="-13"/>
          <w:sz w:val="24"/>
        </w:rPr>
        <w:t> </w:t>
      </w:r>
      <w:r>
        <w:rPr>
          <w:sz w:val="24"/>
        </w:rPr>
        <w:t>A</w:t>
      </w:r>
      <w:r>
        <w:rPr>
          <w:spacing w:val="-15"/>
          <w:sz w:val="24"/>
        </w:rPr>
        <w:t> </w:t>
      </w:r>
      <w:r>
        <w:rPr>
          <w:sz w:val="24"/>
        </w:rPr>
        <w:t>baseline</w:t>
      </w:r>
      <w:r>
        <w:rPr>
          <w:spacing w:val="-15"/>
          <w:sz w:val="24"/>
        </w:rPr>
        <w:t> </w:t>
      </w:r>
      <w:r>
        <w:rPr>
          <w:sz w:val="24"/>
        </w:rPr>
        <w:t>must</w:t>
      </w:r>
      <w:r>
        <w:rPr>
          <w:spacing w:val="-15"/>
          <w:sz w:val="24"/>
        </w:rPr>
        <w:t> </w:t>
      </w:r>
      <w:r>
        <w:rPr>
          <w:sz w:val="24"/>
        </w:rPr>
        <w:t>implement</w:t>
      </w:r>
      <w:r>
        <w:rPr>
          <w:spacing w:val="-15"/>
          <w:sz w:val="24"/>
        </w:rPr>
        <w:t> </w:t>
      </w:r>
      <w:r>
        <w:rPr>
          <w:sz w:val="24"/>
        </w:rPr>
        <w:t>a</w:t>
      </w:r>
      <w:r>
        <w:rPr>
          <w:spacing w:val="-15"/>
          <w:sz w:val="24"/>
        </w:rPr>
        <w:t> </w:t>
      </w:r>
      <w:r>
        <w:rPr>
          <w:sz w:val="24"/>
        </w:rPr>
        <w:t>distinct</w:t>
      </w:r>
      <w:r>
        <w:rPr>
          <w:spacing w:val="-15"/>
          <w:sz w:val="24"/>
        </w:rPr>
        <w:t> </w:t>
      </w:r>
      <w:r>
        <w:rPr>
          <w:sz w:val="24"/>
        </w:rPr>
        <w:t>edge</w:t>
      </w:r>
      <w:r>
        <w:rPr>
          <w:spacing w:val="-15"/>
          <w:sz w:val="24"/>
        </w:rPr>
        <w:t> </w:t>
      </w:r>
      <w:r>
        <w:rPr>
          <w:sz w:val="24"/>
        </w:rPr>
        <w:t>semantics,</w:t>
      </w:r>
      <w:r>
        <w:rPr>
          <w:spacing w:val="-15"/>
          <w:sz w:val="24"/>
        </w:rPr>
        <w:t> </w:t>
      </w:r>
      <w:r>
        <w:rPr>
          <w:sz w:val="24"/>
        </w:rPr>
        <w:t>not</w:t>
      </w:r>
      <w:r>
        <w:rPr>
          <w:spacing w:val="-15"/>
          <w:sz w:val="24"/>
        </w:rPr>
        <w:t> </w:t>
      </w:r>
      <w:r>
        <w:rPr>
          <w:sz w:val="24"/>
        </w:rPr>
        <w:t>a</w:t>
      </w:r>
      <w:r>
        <w:rPr>
          <w:spacing w:val="-15"/>
          <w:sz w:val="24"/>
        </w:rPr>
        <w:t> </w:t>
      </w:r>
      <w:r>
        <w:rPr>
          <w:sz w:val="24"/>
        </w:rPr>
        <w:t>minor reweighting of transfers.</w:t>
      </w:r>
    </w:p>
    <w:p>
      <w:pPr>
        <w:pStyle w:val="ListParagraph"/>
        <w:numPr>
          <w:ilvl w:val="0"/>
          <w:numId w:val="32"/>
        </w:numPr>
        <w:tabs>
          <w:tab w:pos="856" w:val="left" w:leader="none"/>
        </w:tabs>
        <w:spacing w:line="396" w:lineRule="auto" w:before="121" w:after="0"/>
        <w:ind w:left="856" w:right="559" w:hanging="311"/>
        <w:jc w:val="left"/>
        <w:rPr>
          <w:sz w:val="24"/>
        </w:rPr>
      </w:pPr>
      <w:r>
        <w:rPr>
          <w:i/>
        </w:rPr>
        <w:t>구성 독립성: 기준선은 전송에 대한 사소한 재가중화가 아닌 고유한 에지 의미론을 구현해야 합니다.</w:t>
      </w:r>
    </w:p>
    <w:p>
      <w:pPr>
        <w:pStyle w:val="ListParagraph"/>
        <w:numPr>
          <w:ilvl w:val="0"/>
          <w:numId w:val="32"/>
        </w:numPr>
        <w:tabs>
          <w:tab w:pos="856" w:val="left" w:leader="none"/>
        </w:tabs>
        <w:spacing w:line="396" w:lineRule="auto" w:before="39" w:after="0"/>
        <w:ind w:left="856" w:right="564" w:hanging="311"/>
        <w:jc w:val="left"/>
        <w:rPr>
          <w:sz w:val="24"/>
        </w:rPr>
      </w:pPr>
      <w:r>
        <w:rPr>
          <w:b/>
          <w:sz w:val="24"/>
        </w:rPr>
        <w:t>Data adequacy:</w:t>
      </w:r>
      <w:r>
        <w:rPr>
          <w:b/>
          <w:spacing w:val="40"/>
          <w:sz w:val="24"/>
        </w:rPr>
        <w:t> </w:t>
      </w:r>
      <w:r>
        <w:rPr>
          <w:sz w:val="24"/>
        </w:rPr>
        <w:t>Edge counts must be large enough for stable PageRank on the matched</w:t>
      </w:r>
      <w:r>
        <w:rPr>
          <w:spacing w:val="40"/>
          <w:sz w:val="24"/>
        </w:rPr>
        <w:t> </w:t>
      </w:r>
      <w:r>
        <w:rPr>
          <w:spacing w:val="-2"/>
          <w:sz w:val="24"/>
        </w:rPr>
        <w:t>cohort.</w:t>
      </w:r>
    </w:p>
    <w:p>
      <w:pPr>
        <w:pStyle w:val="ListParagraph"/>
        <w:numPr>
          <w:ilvl w:val="0"/>
          <w:numId w:val="32"/>
        </w:numPr>
        <w:tabs>
          <w:tab w:pos="856" w:val="left" w:leader="none"/>
        </w:tabs>
        <w:spacing w:line="396" w:lineRule="auto" w:before="39" w:after="0"/>
        <w:ind w:left="856" w:right="564" w:hanging="311"/>
        <w:jc w:val="left"/>
        <w:rPr>
          <w:sz w:val="24"/>
        </w:rPr>
      </w:pPr>
      <w:r>
        <w:rPr>
          <w:i/>
        </w:rPr>
        <w:t>데이터 타당성: 에지 개수는 일치하는 코호트에서 안정적인 PageRank을 위해 충분히 커야 합니다.</w:t>
      </w:r>
    </w:p>
    <w:p>
      <w:pPr>
        <w:pStyle w:val="ListParagraph"/>
        <w:numPr>
          <w:ilvl w:val="0"/>
          <w:numId w:val="32"/>
        </w:numPr>
        <w:tabs>
          <w:tab w:pos="850" w:val="left" w:leader="none"/>
          <w:tab w:pos="855" w:val="left" w:leader="none"/>
        </w:tabs>
        <w:spacing w:line="396" w:lineRule="auto" w:before="39" w:after="0"/>
        <w:ind w:left="850" w:right="524" w:hanging="305"/>
        <w:jc w:val="left"/>
        <w:rPr>
          <w:sz w:val="24"/>
        </w:rPr>
      </w:pPr>
      <w:r>
        <w:rPr>
          <w:b/>
          <w:sz w:val="24"/>
        </w:rPr>
        <w:t>Narrative</w:t>
      </w:r>
      <w:r>
        <w:rPr>
          <w:b/>
          <w:spacing w:val="-7"/>
          <w:sz w:val="24"/>
        </w:rPr>
        <w:t> </w:t>
      </w:r>
      <w:r>
        <w:rPr>
          <w:b/>
          <w:sz w:val="24"/>
        </w:rPr>
        <w:t>focus: </w:t>
      </w:r>
      <w:r>
        <w:rPr>
          <w:sz w:val="24"/>
        </w:rPr>
        <w:t>The</w:t>
      </w:r>
      <w:r>
        <w:rPr>
          <w:spacing w:val="-11"/>
          <w:sz w:val="24"/>
        </w:rPr>
        <w:t> </w:t>
      </w:r>
      <w:r>
        <w:rPr>
          <w:sz w:val="24"/>
        </w:rPr>
        <w:t>dissertation’s</w:t>
      </w:r>
      <w:r>
        <w:rPr>
          <w:spacing w:val="-11"/>
          <w:sz w:val="24"/>
        </w:rPr>
        <w:t> </w:t>
      </w:r>
      <w:r>
        <w:rPr>
          <w:sz w:val="24"/>
        </w:rPr>
        <w:t>contribution</w:t>
      </w:r>
      <w:r>
        <w:rPr>
          <w:spacing w:val="-10"/>
          <w:sz w:val="24"/>
        </w:rPr>
        <w:t> </w:t>
      </w:r>
      <w:r>
        <w:rPr>
          <w:sz w:val="24"/>
        </w:rPr>
        <w:t>is</w:t>
      </w:r>
      <w:r>
        <w:rPr>
          <w:spacing w:val="-11"/>
          <w:sz w:val="24"/>
        </w:rPr>
        <w:t> </w:t>
      </w:r>
      <w:r>
        <w:rPr>
          <w:sz w:val="24"/>
        </w:rPr>
        <w:t>allowance-based</w:t>
      </w:r>
      <w:r>
        <w:rPr>
          <w:spacing w:val="-10"/>
          <w:sz w:val="24"/>
        </w:rPr>
        <w:t> </w:t>
      </w:r>
      <w:r>
        <w:rPr>
          <w:sz w:val="24"/>
        </w:rPr>
        <w:t>endorsement,</w:t>
      </w:r>
      <w:r>
        <w:rPr>
          <w:spacing w:val="-10"/>
          <w:sz w:val="24"/>
        </w:rPr>
        <w:t> </w:t>
      </w:r>
      <w:r>
        <w:rPr>
          <w:sz w:val="24"/>
        </w:rPr>
        <w:t>not</w:t>
      </w:r>
      <w:r>
        <w:rPr>
          <w:spacing w:val="-11"/>
          <w:sz w:val="24"/>
        </w:rPr>
        <w:t> </w:t>
      </w:r>
      <w:r>
        <w:rPr>
          <w:sz w:val="24"/>
        </w:rPr>
        <w:t>a</w:t>
      </w:r>
      <w:r>
        <w:rPr>
          <w:spacing w:val="-10"/>
          <w:sz w:val="24"/>
        </w:rPr>
        <w:t> </w:t>
      </w:r>
      <w:r>
        <w:rPr>
          <w:sz w:val="24"/>
        </w:rPr>
        <w:t>sur-vey of all possible PageRank variants.</w:t>
      </w:r>
    </w:p>
    <w:p>
      <w:pPr>
        <w:pStyle w:val="ListParagraph"/>
        <w:numPr>
          <w:ilvl w:val="0"/>
          <w:numId w:val="32"/>
        </w:numPr>
        <w:tabs>
          <w:tab w:pos="850" w:val="left" w:leader="none"/>
          <w:tab w:pos="855" w:val="left" w:leader="none"/>
        </w:tabs>
        <w:spacing w:line="396" w:lineRule="auto" w:before="39" w:after="0"/>
        <w:ind w:left="850" w:right="524" w:hanging="305"/>
        <w:jc w:val="left"/>
        <w:rPr>
          <w:sz w:val="24"/>
        </w:rPr>
      </w:pPr>
      <w:r>
        <w:rPr>
          <w:i/>
        </w:rPr>
        <w:t>서술 초점: 논문의 기여는 가능한 모든 PageRank 변형에 대한 조사가 아니라 허용 기준 승인입니다.</w:t>
      </w:r>
    </w:p>
    <w:p>
      <w:pPr>
        <w:pStyle w:val="ListParagraph"/>
        <w:numPr>
          <w:ilvl w:val="0"/>
          <w:numId w:val="32"/>
        </w:numPr>
        <w:tabs>
          <w:tab w:pos="855" w:val="left" w:leader="none"/>
        </w:tabs>
        <w:spacing w:line="240" w:lineRule="auto" w:before="38" w:after="0"/>
        <w:ind w:left="855" w:right="0" w:hanging="310"/>
        <w:jc w:val="left"/>
        <w:rPr>
          <w:sz w:val="24"/>
        </w:rPr>
      </w:pPr>
      <w:r>
        <w:rPr>
          <w:b/>
          <w:sz w:val="24"/>
        </w:rPr>
        <w:t>Evaluation</w:t>
      </w:r>
      <w:r>
        <w:rPr>
          <w:b/>
          <w:spacing w:val="-14"/>
          <w:sz w:val="24"/>
        </w:rPr>
        <w:t> </w:t>
      </w:r>
      <w:r>
        <w:rPr>
          <w:b/>
          <w:sz w:val="24"/>
        </w:rPr>
        <w:t>honesty:</w:t>
      </w:r>
      <w:r>
        <w:rPr>
          <w:b/>
          <w:spacing w:val="3"/>
          <w:sz w:val="24"/>
        </w:rPr>
        <w:t> </w:t>
      </w:r>
      <w:r>
        <w:rPr>
          <w:sz w:val="24"/>
        </w:rPr>
        <w:t>Outcome-native</w:t>
      </w:r>
      <w:r>
        <w:rPr>
          <w:spacing w:val="-13"/>
          <w:sz w:val="24"/>
        </w:rPr>
        <w:t> </w:t>
      </w:r>
      <w:r>
        <w:rPr>
          <w:sz w:val="24"/>
        </w:rPr>
        <w:t>methods</w:t>
      </w:r>
      <w:r>
        <w:rPr>
          <w:spacing w:val="-14"/>
          <w:sz w:val="24"/>
        </w:rPr>
        <w:t> </w:t>
      </w:r>
      <w:r>
        <w:rPr>
          <w:sz w:val="24"/>
        </w:rPr>
        <w:t>remain</w:t>
      </w:r>
      <w:r>
        <w:rPr>
          <w:spacing w:val="-13"/>
          <w:sz w:val="24"/>
        </w:rPr>
        <w:t> </w:t>
      </w:r>
      <w:r>
        <w:rPr>
          <w:sz w:val="24"/>
        </w:rPr>
        <w:t>supplementary</w:t>
      </w:r>
      <w:r>
        <w:rPr>
          <w:spacing w:val="-14"/>
          <w:sz w:val="24"/>
        </w:rPr>
        <w:t> </w:t>
      </w:r>
      <w:r>
        <w:rPr>
          <w:spacing w:val="-2"/>
          <w:sz w:val="24"/>
        </w:rPr>
        <w:t>diagnostics.</w:t>
      </w:r>
    </w:p>
    <w:p>
      <w:pPr>
        <w:pStyle w:val="ListParagraph"/>
        <w:numPr>
          <w:ilvl w:val="0"/>
          <w:numId w:val="32"/>
        </w:numPr>
        <w:tabs>
          <w:tab w:pos="855" w:val="left" w:leader="none"/>
        </w:tabs>
        <w:spacing w:line="240" w:lineRule="auto" w:before="38" w:after="0"/>
        <w:ind w:left="855" w:right="0" w:hanging="310"/>
        <w:jc w:val="left"/>
        <w:rPr>
          <w:sz w:val="24"/>
        </w:rPr>
      </w:pPr>
      <w:r>
        <w:rPr>
          <w:i/>
        </w:rPr>
        <w:t>평가 정직성: 결과 기반 방법은 여전히 ​​보조 진단입니다.</w:t>
      </w:r>
    </w:p>
    <w:p>
      <w:pPr>
        <w:pStyle w:val="BodyText"/>
        <w:spacing w:before="24"/>
      </w:pPr>
    </w:p>
    <w:p>
      <w:pPr>
        <w:pStyle w:val="BodyText"/>
        <w:spacing w:line="396" w:lineRule="auto"/>
        <w:ind w:left="282" w:right="524"/>
        <w:jc w:val="both"/>
      </w:pPr>
      <w:r>
        <w:rPr/>
        <w:t>Under</w:t>
      </w:r>
      <w:r>
        <w:rPr>
          <w:spacing w:val="-7"/>
        </w:rPr>
        <w:t> </w:t>
      </w:r>
      <w:r>
        <w:rPr/>
        <w:t>these</w:t>
      </w:r>
      <w:r>
        <w:rPr>
          <w:spacing w:val="-7"/>
        </w:rPr>
        <w:t> </w:t>
      </w:r>
      <w:r>
        <w:rPr/>
        <w:t>criteria,</w:t>
      </w:r>
      <w:r>
        <w:rPr>
          <w:spacing w:val="-6"/>
        </w:rPr>
        <w:t> </w:t>
      </w:r>
      <w:r>
        <w:rPr/>
        <w:t>EndorseRank</w:t>
      </w:r>
      <w:r>
        <w:rPr>
          <w:spacing w:val="-7"/>
        </w:rPr>
        <w:t> </w:t>
      </w:r>
      <w:r>
        <w:rPr/>
        <w:t>(allowance),</w:t>
      </w:r>
      <w:r>
        <w:rPr>
          <w:spacing w:val="-6"/>
        </w:rPr>
        <w:t> </w:t>
      </w:r>
      <w:r>
        <w:rPr/>
        <w:t>AWP</w:t>
      </w:r>
      <w:r>
        <w:rPr>
          <w:spacing w:val="-7"/>
        </w:rPr>
        <w:t> </w:t>
      </w:r>
      <w:r>
        <w:rPr/>
        <w:t>(transfer),</w:t>
      </w:r>
      <w:r>
        <w:rPr>
          <w:spacing w:val="-6"/>
        </w:rPr>
        <w:t> </w:t>
      </w:r>
      <w:r>
        <w:rPr/>
        <w:t>and</w:t>
      </w:r>
      <w:r>
        <w:rPr>
          <w:spacing w:val="-7"/>
        </w:rPr>
        <w:t> </w:t>
      </w:r>
      <w:r>
        <w:rPr/>
        <w:t>GF-PR</w:t>
      </w:r>
      <w:r>
        <w:rPr>
          <w:spacing w:val="-7"/>
        </w:rPr>
        <w:t> </w:t>
      </w:r>
      <w:r>
        <w:rPr/>
        <w:t>(outcome-native</w:t>
      </w:r>
      <w:r>
        <w:rPr>
          <w:spacing w:val="-7"/>
        </w:rPr>
        <w:t> </w:t>
      </w:r>
      <w:r>
        <w:rPr/>
        <w:t>ceil-</w:t>
      </w:r>
      <w:r>
        <w:rPr>
          <w:spacing w:val="-2"/>
        </w:rPr>
        <w:t>ing)</w:t>
      </w:r>
      <w:r>
        <w:rPr>
          <w:spacing w:val="-10"/>
        </w:rPr>
        <w:t> </w:t>
      </w:r>
      <w:r>
        <w:rPr>
          <w:spacing w:val="-2"/>
        </w:rPr>
        <w:t>form</w:t>
      </w:r>
      <w:r>
        <w:rPr>
          <w:spacing w:val="-9"/>
        </w:rPr>
        <w:t> </w:t>
      </w:r>
      <w:r>
        <w:rPr>
          <w:spacing w:val="-2"/>
        </w:rPr>
        <w:t>a</w:t>
      </w:r>
      <w:r>
        <w:rPr>
          <w:spacing w:val="-10"/>
        </w:rPr>
        <w:t> </w:t>
      </w:r>
      <w:r>
        <w:rPr>
          <w:spacing w:val="-2"/>
        </w:rPr>
        <w:t>minimal</w:t>
      </w:r>
      <w:r>
        <w:rPr>
          <w:spacing w:val="-9"/>
        </w:rPr>
        <w:t> </w:t>
      </w:r>
      <w:r>
        <w:rPr>
          <w:spacing w:val="-2"/>
        </w:rPr>
        <w:t>sufficient</w:t>
      </w:r>
      <w:r>
        <w:rPr>
          <w:spacing w:val="-10"/>
        </w:rPr>
        <w:t> </w:t>
      </w:r>
      <w:r>
        <w:rPr>
          <w:spacing w:val="-2"/>
        </w:rPr>
        <w:t>set.</w:t>
      </w:r>
      <w:r>
        <w:rPr>
          <w:spacing w:val="29"/>
        </w:rPr>
        <w:t> </w:t>
      </w:r>
      <w:r>
        <w:rPr>
          <w:spacing w:val="-2"/>
        </w:rPr>
        <w:t>Archive</w:t>
      </w:r>
      <w:r>
        <w:rPr>
          <w:spacing w:val="-10"/>
        </w:rPr>
        <w:t> </w:t>
      </w:r>
      <w:r>
        <w:rPr>
          <w:spacing w:val="-2"/>
        </w:rPr>
        <w:t>tables</w:t>
      </w:r>
      <w:r>
        <w:rPr>
          <w:spacing w:val="-9"/>
        </w:rPr>
        <w:t> </w:t>
      </w:r>
      <w:r>
        <w:rPr>
          <w:spacing w:val="-2"/>
        </w:rPr>
        <w:t>remain</w:t>
      </w:r>
      <w:r>
        <w:rPr>
          <w:spacing w:val="-10"/>
        </w:rPr>
        <w:t> </w:t>
      </w:r>
      <w:r>
        <w:rPr>
          <w:spacing w:val="-2"/>
        </w:rPr>
        <w:t>available</w:t>
      </w:r>
      <w:r>
        <w:rPr>
          <w:spacing w:val="-9"/>
        </w:rPr>
        <w:t> </w:t>
      </w:r>
      <w:r>
        <w:rPr>
          <w:spacing w:val="-2"/>
        </w:rPr>
        <w:t>for</w:t>
      </w:r>
      <w:r>
        <w:rPr>
          <w:spacing w:val="-10"/>
        </w:rPr>
        <w:t> </w:t>
      </w:r>
      <w:r>
        <w:rPr>
          <w:spacing w:val="-2"/>
        </w:rPr>
        <w:t>readers</w:t>
      </w:r>
      <w:r>
        <w:rPr>
          <w:spacing w:val="-9"/>
        </w:rPr>
        <w:t> </w:t>
      </w:r>
      <w:r>
        <w:rPr>
          <w:spacing w:val="-2"/>
        </w:rPr>
        <w:t>who</w:t>
      </w:r>
      <w:r>
        <w:rPr>
          <w:spacing w:val="-9"/>
        </w:rPr>
        <w:t> </w:t>
      </w:r>
      <w:r>
        <w:rPr>
          <w:spacing w:val="-2"/>
        </w:rPr>
        <w:t>want</w:t>
      </w:r>
      <w:r>
        <w:rPr>
          <w:spacing w:val="-10"/>
        </w:rPr>
        <w:t> </w:t>
      </w:r>
      <w:r>
        <w:rPr>
          <w:spacing w:val="-2"/>
        </w:rPr>
        <w:t>the</w:t>
      </w:r>
      <w:r>
        <w:rPr>
          <w:spacing w:val="-9"/>
        </w:rPr>
        <w:t> </w:t>
      </w:r>
      <w:r>
        <w:rPr>
          <w:spacing w:val="-2"/>
        </w:rPr>
        <w:t>broader </w:t>
      </w:r>
      <w:bookmarkStart w:name="Claim-to-Evidence Map" w:id="393"/>
      <w:bookmarkEnd w:id="393"/>
      <w:r>
        <w:rPr>
          <w:w w:val="99"/>
        </w:rPr>
      </w:r>
      <w:bookmarkStart w:name="_bookmark236" w:id="394"/>
      <w:bookmarkEnd w:id="394"/>
      <w:r>
        <w:rPr/>
        <w:t>landscape</w:t>
      </w:r>
      <w:r>
        <w:rPr/>
        <w:t> without diluting the primary claims.</w:t>
      </w:r>
    </w:p>
    <w:p>
      <w:pPr>
        <w:pStyle w:val="BodyText"/>
        <w:spacing w:line="396" w:lineRule="auto"/>
        <w:ind w:left="282" w:right="524"/>
        <w:jc w:val="both"/>
      </w:pPr>
      <w:r>
        <w:rPr>
          <w:i/>
        </w:rPr>
        <w:t>이러한 기준에 따라 EndorseRank(수당), AWP(전학) 및 GF-PR(결과 기본 천장)이 최소 충분 세트를 형성합니다. 기본 주장을 희석시키지 않고 더 넓은 환경을 원하는 독자는 아카이브 테이블을 계속 사용할 수 있습니다.</w:t>
      </w:r>
    </w:p>
    <w:p>
      <w:pPr>
        <w:pStyle w:val="BodyText"/>
        <w:spacing w:before="161"/>
      </w:pPr>
    </w:p>
    <w:p>
      <w:pPr>
        <w:pStyle w:val="Heading2"/>
        <w:numPr>
          <w:ilvl w:val="1"/>
          <w:numId w:val="8"/>
        </w:numPr>
        <w:tabs>
          <w:tab w:pos="783" w:val="left" w:leader="none"/>
        </w:tabs>
        <w:spacing w:line="240" w:lineRule="auto" w:before="1" w:after="0"/>
        <w:ind w:left="783" w:right="0" w:hanging="501"/>
        <w:jc w:val="left"/>
      </w:pPr>
      <w:r>
        <w:rPr/>
        <w:t>Claim-to-Evidence</w:t>
      </w:r>
      <w:r>
        <w:rPr>
          <w:spacing w:val="45"/>
        </w:rPr>
        <w:t> </w:t>
      </w:r>
      <w:r>
        <w:rPr>
          <w:spacing w:val="-5"/>
        </w:rPr>
        <w:t>Map</w:t>
      </w:r>
    </w:p>
    <w:p>
      <w:pPr>
        <w:pStyle w:val="Heading2"/>
        <w:numPr>
          <w:ilvl w:val="1"/>
          <w:numId w:val="8"/>
        </w:numPr>
        <w:tabs>
          <w:tab w:pos="783" w:val="left" w:leader="none"/>
        </w:tabs>
        <w:spacing w:line="240" w:lineRule="auto" w:before="1" w:after="0"/>
        <w:ind w:left="783" w:right="0" w:hanging="501"/>
        <w:jc w:val="left"/>
      </w:pPr>
      <w:r>
        <w:rPr>
          <w:i/>
        </w:rPr>
        <w:t>주장-증거 지도</w:t>
      </w:r>
    </w:p>
    <w:p>
      <w:pPr>
        <w:pStyle w:val="BodyText"/>
        <w:spacing w:before="23"/>
        <w:rPr>
          <w:b/>
          <w:sz w:val="28"/>
        </w:rPr>
      </w:pPr>
    </w:p>
    <w:p>
      <w:pPr>
        <w:pStyle w:val="BodyText"/>
        <w:spacing w:line="396" w:lineRule="auto" w:before="1"/>
        <w:ind w:left="282" w:right="523" w:hanging="8"/>
        <w:jc w:val="both"/>
      </w:pPr>
      <w:r>
        <w:rPr/>
        <w:t>This appendix maps each hypothesis, research question, and empirical claim to the specific evi-</w:t>
      </w:r>
      <w:bookmarkStart w:name="H1 / RQ1 — Rank divergence" w:id="395"/>
      <w:bookmarkEnd w:id="395"/>
      <w:r>
        <w:rPr>
          <w:w w:val="99"/>
        </w:rPr>
      </w:r>
      <w:bookmarkStart w:name="_bookmark237" w:id="396"/>
      <w:bookmarkEnd w:id="396"/>
      <w:r>
        <w:rPr/>
        <w:t>dence</w:t>
      </w:r>
      <w:r>
        <w:rPr/>
        <w:t> in Chapter </w:t>
      </w:r>
      <w:hyperlink w:history="true" w:anchor="_bookmark84">
        <w:r>
          <w:rPr/>
          <w:t>4</w:t>
        </w:r>
      </w:hyperlink>
      <w:r>
        <w:rPr/>
        <w:t>. It is intended as a navigation aid for examiners and replicators.</w:t>
      </w:r>
    </w:p>
    <w:p>
      <w:pPr>
        <w:pStyle w:val="BodyText"/>
        <w:spacing w:line="396" w:lineRule="auto" w:before="1"/>
        <w:ind w:left="282" w:right="523" w:hanging="8"/>
        <w:jc w:val="both"/>
      </w:pPr>
      <w:r>
        <w:rPr>
          <w:i/>
        </w:rPr>
        <w:t>이 부록은 각각의 가설, 연구 질문 및 경험적 주장을 4장의 특정 증거에 매핑합니다. 이는 조사자와 복제자를 위한 탐색 보조 자료로 작성되었습니다.</w:t>
      </w:r>
    </w:p>
    <w:p>
      <w:pPr>
        <w:pStyle w:val="BodyText"/>
        <w:spacing w:before="7"/>
      </w:pPr>
    </w:p>
    <w:p>
      <w:pPr>
        <w:pStyle w:val="Heading4"/>
        <w:numPr>
          <w:ilvl w:val="2"/>
          <w:numId w:val="8"/>
        </w:numPr>
        <w:tabs>
          <w:tab w:pos="879" w:val="left" w:leader="none"/>
        </w:tabs>
        <w:spacing w:line="240" w:lineRule="auto" w:before="0" w:after="0"/>
        <w:ind w:left="879" w:right="0" w:hanging="597"/>
        <w:jc w:val="left"/>
      </w:pPr>
      <w:r>
        <w:rPr/>
        <w:t>H1</w:t>
      </w:r>
      <w:r>
        <w:rPr>
          <w:spacing w:val="-5"/>
        </w:rPr>
        <w:t> </w:t>
      </w:r>
      <w:r>
        <w:rPr/>
        <w:t>/</w:t>
      </w:r>
      <w:r>
        <w:rPr>
          <w:spacing w:val="-5"/>
        </w:rPr>
        <w:t> </w:t>
      </w:r>
      <w:r>
        <w:rPr/>
        <w:t>RQ1</w:t>
      </w:r>
      <w:r>
        <w:rPr>
          <w:spacing w:val="-5"/>
        </w:rPr>
        <w:t> </w:t>
      </w:r>
      <w:r>
        <w:rPr/>
        <w:t>—</w:t>
      </w:r>
      <w:r>
        <w:rPr>
          <w:spacing w:val="-5"/>
        </w:rPr>
        <w:t> </w:t>
      </w:r>
      <w:r>
        <w:rPr/>
        <w:t>Rank</w:t>
      </w:r>
      <w:r>
        <w:rPr>
          <w:spacing w:val="-5"/>
        </w:rPr>
        <w:t> </w:t>
      </w:r>
      <w:r>
        <w:rPr>
          <w:spacing w:val="-2"/>
        </w:rPr>
        <w:t>divergence</w:t>
      </w:r>
    </w:p>
    <w:p>
      <w:pPr>
        <w:pStyle w:val="Heading4"/>
        <w:numPr>
          <w:ilvl w:val="2"/>
          <w:numId w:val="8"/>
        </w:numPr>
        <w:tabs>
          <w:tab w:pos="879" w:val="left" w:leader="none"/>
        </w:tabs>
        <w:spacing w:line="240" w:lineRule="auto" w:before="0" w:after="0"/>
        <w:ind w:left="879" w:right="0" w:hanging="597"/>
        <w:jc w:val="left"/>
      </w:pPr>
      <w:r>
        <w:rPr>
          <w:i/>
        </w:rPr>
        <w:t>H1 / RQ1 - 순위 차이</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7"/>
          <w:sz w:val="24"/>
        </w:rPr>
        <w:t> </w:t>
      </w:r>
      <w:r>
        <w:rPr>
          <w:sz w:val="24"/>
        </w:rPr>
        <w:t>EndorseRank</w:t>
      </w:r>
      <w:r>
        <w:rPr>
          <w:spacing w:val="-10"/>
          <w:sz w:val="24"/>
        </w:rPr>
        <w:t> </w:t>
      </w:r>
      <w:r>
        <w:rPr>
          <w:sz w:val="24"/>
        </w:rPr>
        <w:t>and</w:t>
      </w:r>
      <w:r>
        <w:rPr>
          <w:spacing w:val="-10"/>
          <w:sz w:val="24"/>
        </w:rPr>
        <w:t> </w:t>
      </w:r>
      <w:r>
        <w:rPr>
          <w:sz w:val="24"/>
        </w:rPr>
        <w:t>AWP</w:t>
      </w:r>
      <w:r>
        <w:rPr>
          <w:spacing w:val="-9"/>
          <w:sz w:val="24"/>
        </w:rPr>
        <w:t> </w:t>
      </w:r>
      <w:r>
        <w:rPr>
          <w:sz w:val="24"/>
        </w:rPr>
        <w:t>yield</w:t>
      </w:r>
      <w:r>
        <w:rPr>
          <w:spacing w:val="-10"/>
          <w:sz w:val="24"/>
        </w:rPr>
        <w:t> </w:t>
      </w:r>
      <w:r>
        <w:rPr>
          <w:sz w:val="24"/>
        </w:rPr>
        <w:t>distinct</w:t>
      </w:r>
      <w:r>
        <w:rPr>
          <w:spacing w:val="-10"/>
          <w:sz w:val="24"/>
        </w:rPr>
        <w:t> </w:t>
      </w:r>
      <w:r>
        <w:rPr>
          <w:sz w:val="24"/>
        </w:rPr>
        <w:t>wallet</w:t>
      </w:r>
      <w:r>
        <w:rPr>
          <w:spacing w:val="-10"/>
          <w:sz w:val="24"/>
        </w:rPr>
        <w:t> </w:t>
      </w:r>
      <w:r>
        <w:rPr>
          <w:sz w:val="24"/>
        </w:rPr>
        <w:t>orderings</w:t>
      </w:r>
      <w:r>
        <w:rPr>
          <w:spacing w:val="-9"/>
          <w:sz w:val="24"/>
        </w:rPr>
        <w:t> </w:t>
      </w:r>
      <w:r>
        <w:rPr>
          <w:sz w:val="24"/>
        </w:rPr>
        <w:t>on</w:t>
      </w:r>
      <w:r>
        <w:rPr>
          <w:spacing w:val="-10"/>
          <w:sz w:val="24"/>
        </w:rPr>
        <w:t> </w:t>
      </w:r>
      <w:r>
        <w:rPr>
          <w:sz w:val="24"/>
        </w:rPr>
        <w:t>the</w:t>
      </w:r>
      <w:r>
        <w:rPr>
          <w:spacing w:val="-10"/>
          <w:sz w:val="24"/>
        </w:rPr>
        <w:t> </w:t>
      </w:r>
      <w:r>
        <w:rPr>
          <w:sz w:val="24"/>
        </w:rPr>
        <w:t>same</w:t>
      </w:r>
      <w:r>
        <w:rPr>
          <w:spacing w:val="-9"/>
          <w:sz w:val="24"/>
        </w:rPr>
        <w:t> </w:t>
      </w:r>
      <w:r>
        <w:rPr>
          <w:spacing w:val="-2"/>
          <w:sz w:val="24"/>
        </w:rPr>
        <w:t>cohort.</w:t>
      </w:r>
    </w:p>
    <w:p>
      <w:pPr>
        <w:pStyle w:val="ListParagraph"/>
        <w:numPr>
          <w:ilvl w:val="3"/>
          <w:numId w:val="8"/>
        </w:numPr>
        <w:tabs>
          <w:tab w:pos="807" w:val="left" w:leader="none"/>
        </w:tabs>
        <w:spacing w:line="240" w:lineRule="auto" w:before="0" w:after="0"/>
        <w:ind w:left="807" w:right="0" w:hanging="214"/>
        <w:jc w:val="left"/>
        <w:rPr>
          <w:sz w:val="24"/>
        </w:rPr>
      </w:pPr>
      <w:r>
        <w:rPr>
          <w:i/>
        </w:rPr>
        <w:t>설명: EndorseRank 및 AWP는 동일한 집단에서 서로 다른 지갑 순서를 나타냅니다.</w:t>
      </w:r>
    </w:p>
    <w:p>
      <w:pPr>
        <w:pStyle w:val="ListParagraph"/>
        <w:spacing w:after="0" w:line="240" w:lineRule="auto"/>
        <w:jc w:val="left"/>
        <w:rPr>
          <w:sz w:val="24"/>
        </w:rPr>
        <w:sectPr>
          <w:pgSz w:w="11910" w:h="16840"/>
          <w:pgMar w:header="0" w:footer="2115" w:top="1840" w:bottom="2300" w:left="992" w:right="708"/>
        </w:sectPr>
      </w:pPr>
    </w:p>
    <w:p>
      <w:pPr>
        <w:pStyle w:val="ListParagraph"/>
        <w:numPr>
          <w:ilvl w:val="3"/>
          <w:numId w:val="8"/>
        </w:numPr>
        <w:tabs>
          <w:tab w:pos="806" w:val="left" w:leader="none"/>
          <w:tab w:pos="808" w:val="left" w:leader="none"/>
        </w:tabs>
        <w:spacing w:line="376" w:lineRule="auto" w:before="68" w:after="0"/>
        <w:ind w:left="808" w:right="560" w:hanging="216"/>
        <w:jc w:val="left"/>
        <w:rPr>
          <w:sz w:val="24"/>
        </w:rPr>
      </w:pPr>
      <w:bookmarkStart w:name="Claims C1–C4" w:id="397"/>
      <w:bookmarkEnd w:id="397"/>
      <w:r>
        <w:rPr/>
      </w:r>
      <w:bookmarkStart w:name="_bookmark242" w:id="398"/>
      <w:bookmarkEnd w:id="398"/>
      <w:r>
        <w:rPr/>
      </w:r>
      <w:r>
        <w:rPr>
          <w:b/>
          <w:sz w:val="24"/>
        </w:rPr>
        <w:t>Evidence: </w:t>
      </w:r>
      <w:r>
        <w:rPr>
          <w:sz w:val="24"/>
        </w:rPr>
        <w:t>Inter-method</w:t>
      </w:r>
      <w:r>
        <w:rPr>
          <w:spacing w:val="-9"/>
          <w:sz w:val="24"/>
        </w:rPr>
        <w:t> </w:t>
      </w:r>
      <w:r>
        <w:rPr>
          <w:sz w:val="24"/>
        </w:rPr>
        <w:t>Kendall</w:t>
      </w:r>
      <w:r>
        <w:rPr>
          <w:spacing w:val="-9"/>
          <w:sz w:val="24"/>
        </w:rPr>
        <w:t> </w:t>
      </w:r>
      <w:r>
        <w:rPr>
          <w:rFonts w:ascii="Calibri" w:hAnsi="Calibri"/>
          <w:i/>
          <w:sz w:val="24"/>
        </w:rPr>
        <w:t>τ</w:t>
      </w:r>
      <w:r>
        <w:rPr>
          <w:rFonts w:ascii="Calibri" w:hAnsi="Calibri"/>
          <w:i/>
          <w:spacing w:val="20"/>
          <w:w w:val="125"/>
          <w:sz w:val="24"/>
        </w:rPr>
        <w:t> </w:t>
      </w:r>
      <w:r>
        <w:rPr>
          <w:rFonts w:ascii="Calibri" w:hAnsi="Calibri"/>
          <w:w w:val="125"/>
          <w:sz w:val="24"/>
        </w:rPr>
        <w:t>=</w:t>
      </w:r>
      <w:r>
        <w:rPr>
          <w:rFonts w:ascii="Calibri" w:hAnsi="Calibri"/>
          <w:spacing w:val="-6"/>
          <w:w w:val="125"/>
          <w:sz w:val="24"/>
        </w:rPr>
        <w:t> </w:t>
      </w:r>
      <w:r>
        <w:rPr>
          <w:rFonts w:ascii="Calibri" w:hAnsi="Calibri"/>
          <w:sz w:val="24"/>
        </w:rPr>
        <w:t>0</w:t>
      </w:r>
      <w:r>
        <w:rPr>
          <w:rFonts w:ascii="Calibri" w:hAnsi="Calibri"/>
          <w:i/>
          <w:sz w:val="24"/>
        </w:rPr>
        <w:t>.</w:t>
      </w:r>
      <w:r>
        <w:rPr>
          <w:rFonts w:ascii="Calibri" w:hAnsi="Calibri"/>
          <w:sz w:val="24"/>
        </w:rPr>
        <w:t>316</w:t>
      </w:r>
      <w:r>
        <w:rPr>
          <w:rFonts w:ascii="Calibri" w:hAnsi="Calibri"/>
          <w:spacing w:val="-3"/>
          <w:sz w:val="24"/>
        </w:rPr>
        <w:t> </w:t>
      </w:r>
      <w:r>
        <w:rPr>
          <w:sz w:val="24"/>
        </w:rPr>
        <w:t>between</w:t>
      </w:r>
      <w:r>
        <w:rPr>
          <w:spacing w:val="-9"/>
          <w:sz w:val="24"/>
        </w:rPr>
        <w:t> </w:t>
      </w:r>
      <w:r>
        <w:rPr>
          <w:sz w:val="24"/>
        </w:rPr>
        <w:t>score</w:t>
      </w:r>
      <w:r>
        <w:rPr>
          <w:spacing w:val="-9"/>
          <w:sz w:val="24"/>
        </w:rPr>
        <w:t> </w:t>
      </w:r>
      <w:r>
        <w:rPr>
          <w:sz w:val="24"/>
        </w:rPr>
        <w:t>vectors</w:t>
      </w:r>
      <w:r>
        <w:rPr>
          <w:spacing w:val="-9"/>
          <w:sz w:val="24"/>
        </w:rPr>
        <w:t> </w:t>
      </w:r>
      <w:r>
        <w:rPr>
          <w:sz w:val="24"/>
        </w:rPr>
        <w:t>(Section</w:t>
      </w:r>
      <w:r>
        <w:rPr>
          <w:spacing w:val="-9"/>
          <w:sz w:val="24"/>
        </w:rPr>
        <w:t> </w:t>
      </w:r>
      <w:hyperlink w:history="true" w:anchor="_bookmark109">
        <w:r>
          <w:rPr>
            <w:sz w:val="24"/>
          </w:rPr>
          <w:t>4.6</w:t>
        </w:r>
      </w:hyperlink>
      <w:r>
        <w:rPr>
          <w:sz w:val="24"/>
        </w:rPr>
        <w:t>);</w:t>
      </w:r>
      <w:r>
        <w:rPr>
          <w:spacing w:val="-7"/>
          <w:sz w:val="24"/>
        </w:rPr>
        <w:t> </w:t>
      </w:r>
      <w:r>
        <w:rPr>
          <w:sz w:val="24"/>
        </w:rPr>
        <w:t>rank</w:t>
      </w:r>
      <w:r>
        <w:rPr>
          <w:spacing w:val="-9"/>
          <w:sz w:val="24"/>
        </w:rPr>
        <w:t> </w:t>
      </w:r>
      <w:r>
        <w:rPr>
          <w:sz w:val="24"/>
        </w:rPr>
        <w:t>scatter in Figure </w:t>
      </w:r>
      <w:hyperlink w:history="true" w:anchor="_bookmark111">
        <w:r>
          <w:rPr>
            <w:sz w:val="24"/>
          </w:rPr>
          <w:t>4.8</w:t>
        </w:r>
      </w:hyperlink>
      <w:r>
        <w:rPr>
          <w:sz w:val="24"/>
        </w:rPr>
        <w:t>; score distributions in Figure </w:t>
      </w:r>
      <w:hyperlink w:history="true" w:anchor="_bookmark110">
        <w:r>
          <w:rPr>
            <w:sz w:val="24"/>
          </w:rPr>
          <w:t>4.7</w:t>
        </w:r>
      </w:hyperlink>
      <w:r>
        <w:rPr>
          <w:sz w:val="24"/>
        </w:rPr>
        <w:t>.</w:t>
      </w:r>
    </w:p>
    <w:p>
      <w:pPr>
        <w:pStyle w:val="ListParagraph"/>
        <w:numPr>
          <w:ilvl w:val="3"/>
          <w:numId w:val="8"/>
        </w:numPr>
        <w:tabs>
          <w:tab w:pos="806" w:val="left" w:leader="none"/>
          <w:tab w:pos="808" w:val="left" w:leader="none"/>
        </w:tabs>
        <w:spacing w:line="376" w:lineRule="auto" w:before="68" w:after="0"/>
        <w:ind w:left="808" w:right="560" w:hanging="216"/>
        <w:jc w:val="left"/>
        <w:rPr>
          <w:sz w:val="24"/>
        </w:rPr>
      </w:pPr>
      <w:r>
        <w:rPr>
          <w:i/>
        </w:rPr>
        <w:t>증거: 점수 벡터 간 방법 간 Kendall τ = 0.316(섹션 4.6), 그림 4.8의 순위 분산, 그림 4.7의 점수 분포.</w:t>
      </w:r>
    </w:p>
    <w:p>
      <w:pPr>
        <w:pStyle w:val="ListParagraph"/>
        <w:numPr>
          <w:ilvl w:val="3"/>
          <w:numId w:val="8"/>
        </w:numPr>
        <w:tabs>
          <w:tab w:pos="806" w:val="left" w:leader="none"/>
          <w:tab w:pos="808" w:val="left" w:leader="none"/>
        </w:tabs>
        <w:spacing w:line="396" w:lineRule="auto" w:before="60" w:after="0"/>
        <w:ind w:left="808" w:right="522" w:hanging="216"/>
        <w:jc w:val="left"/>
        <w:rPr>
          <w:sz w:val="24"/>
        </w:rPr>
      </w:pPr>
      <w:r>
        <w:rPr>
          <w:b/>
          <w:sz w:val="24"/>
        </w:rPr>
        <w:t>Interpretation band:</w:t>
      </w:r>
      <w:r>
        <w:rPr>
          <w:b/>
          <w:spacing w:val="40"/>
          <w:sz w:val="24"/>
        </w:rPr>
        <w:t> </w:t>
      </w:r>
      <w:r>
        <w:rPr>
          <w:sz w:val="24"/>
        </w:rPr>
        <w:t>Weak-to-moderate agreement:</w:t>
      </w:r>
      <w:r>
        <w:rPr>
          <w:spacing w:val="40"/>
          <w:sz w:val="24"/>
        </w:rPr>
        <w:t> </w:t>
      </w:r>
      <w:r>
        <w:rPr>
          <w:sz w:val="24"/>
        </w:rPr>
        <w:t>related but not interchangeable rank-</w:t>
      </w:r>
      <w:r>
        <w:rPr>
          <w:spacing w:val="-2"/>
          <w:sz w:val="24"/>
        </w:rPr>
        <w:t>ings.</w:t>
      </w:r>
    </w:p>
    <w:p>
      <w:pPr>
        <w:pStyle w:val="ListParagraph"/>
        <w:numPr>
          <w:ilvl w:val="3"/>
          <w:numId w:val="8"/>
        </w:numPr>
        <w:tabs>
          <w:tab w:pos="806" w:val="left" w:leader="none"/>
          <w:tab w:pos="808" w:val="left" w:leader="none"/>
        </w:tabs>
        <w:spacing w:line="396" w:lineRule="auto" w:before="60" w:after="0"/>
        <w:ind w:left="808" w:right="522" w:hanging="216"/>
        <w:jc w:val="left"/>
        <w:rPr>
          <w:sz w:val="24"/>
        </w:rPr>
      </w:pPr>
      <w:r>
        <w:rPr>
          <w:i/>
        </w:rPr>
        <w:t>해석 범위: 약한 수준에서 중간 수준의 합의: 관련이 있지만 상호 교환할 수 없는 순위.</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bookmarkStart w:name="H2 / RQ2 — Construct-specific alignment" w:id="399"/>
      <w:bookmarkEnd w:id="399"/>
      <w:r>
        <w:rPr>
          <w:b w:val="0"/>
        </w:rPr>
      </w:r>
      <w:bookmarkStart w:name="_bookmark238" w:id="400"/>
      <w:bookmarkEnd w:id="400"/>
      <w:r>
        <w:rPr>
          <w:b w:val="0"/>
        </w:rPr>
      </w:r>
      <w:r>
        <w:rPr/>
        <w:t>H2</w:t>
      </w:r>
      <w:r>
        <w:rPr>
          <w:spacing w:val="-7"/>
        </w:rPr>
        <w:t> </w:t>
      </w:r>
      <w:r>
        <w:rPr/>
        <w:t>/</w:t>
      </w:r>
      <w:r>
        <w:rPr>
          <w:spacing w:val="-7"/>
        </w:rPr>
        <w:t> </w:t>
      </w:r>
      <w:r>
        <w:rPr/>
        <w:t>RQ2</w:t>
      </w:r>
      <w:r>
        <w:rPr>
          <w:spacing w:val="-7"/>
        </w:rPr>
        <w:t> </w:t>
      </w:r>
      <w:r>
        <w:rPr/>
        <w:t>—</w:t>
      </w:r>
      <w:r>
        <w:rPr>
          <w:spacing w:val="-7"/>
        </w:rPr>
        <w:t> </w:t>
      </w:r>
      <w:r>
        <w:rPr/>
        <w:t>Construct-specific</w:t>
      </w:r>
      <w:r>
        <w:rPr>
          <w:spacing w:val="-7"/>
        </w:rPr>
        <w:t> </w:t>
      </w:r>
      <w:r>
        <w:rPr>
          <w:spacing w:val="-2"/>
        </w:rPr>
        <w:t>alignment</w:t>
      </w:r>
    </w:p>
    <w:p>
      <w:pPr>
        <w:pStyle w:val="Heading4"/>
        <w:numPr>
          <w:ilvl w:val="2"/>
          <w:numId w:val="8"/>
        </w:numPr>
        <w:tabs>
          <w:tab w:pos="879" w:val="left" w:leader="none"/>
        </w:tabs>
        <w:spacing w:line="240" w:lineRule="auto" w:before="0" w:after="0"/>
        <w:ind w:left="879" w:right="0" w:hanging="597"/>
        <w:jc w:val="left"/>
      </w:pPr>
      <w:r>
        <w:rPr>
          <w:i/>
        </w:rPr>
        <w:t>H2 / RQ2 — 구성별 정렬</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8"/>
          <w:sz w:val="24"/>
        </w:rPr>
        <w:t> </w:t>
      </w:r>
      <w:r>
        <w:rPr>
          <w:sz w:val="24"/>
        </w:rPr>
        <w:t>Social</w:t>
      </w:r>
      <w:r>
        <w:rPr>
          <w:spacing w:val="-8"/>
          <w:sz w:val="24"/>
        </w:rPr>
        <w:t> </w:t>
      </w:r>
      <w:r>
        <w:rPr>
          <w:sz w:val="24"/>
        </w:rPr>
        <w:t>methods</w:t>
      </w:r>
      <w:r>
        <w:rPr>
          <w:spacing w:val="-9"/>
          <w:sz w:val="24"/>
        </w:rPr>
        <w:t> </w:t>
      </w:r>
      <w:r>
        <w:rPr>
          <w:sz w:val="24"/>
        </w:rPr>
        <w:t>differ</w:t>
      </w:r>
      <w:r>
        <w:rPr>
          <w:spacing w:val="-8"/>
          <w:sz w:val="24"/>
        </w:rPr>
        <w:t> </w:t>
      </w:r>
      <w:r>
        <w:rPr>
          <w:sz w:val="24"/>
        </w:rPr>
        <w:t>in</w:t>
      </w:r>
      <w:r>
        <w:rPr>
          <w:spacing w:val="-9"/>
          <w:sz w:val="24"/>
        </w:rPr>
        <w:t> </w:t>
      </w:r>
      <w:r>
        <w:rPr>
          <w:sz w:val="24"/>
        </w:rPr>
        <w:t>which</w:t>
      </w:r>
      <w:r>
        <w:rPr>
          <w:spacing w:val="-9"/>
          <w:sz w:val="24"/>
        </w:rPr>
        <w:t> </w:t>
      </w:r>
      <w:r>
        <w:rPr>
          <w:sz w:val="24"/>
        </w:rPr>
        <w:t>proxy</w:t>
      </w:r>
      <w:r>
        <w:rPr>
          <w:spacing w:val="-8"/>
          <w:sz w:val="24"/>
        </w:rPr>
        <w:t> </w:t>
      </w:r>
      <w:r>
        <w:rPr>
          <w:sz w:val="24"/>
        </w:rPr>
        <w:t>families</w:t>
      </w:r>
      <w:r>
        <w:rPr>
          <w:spacing w:val="-9"/>
          <w:sz w:val="24"/>
        </w:rPr>
        <w:t> </w:t>
      </w:r>
      <w:r>
        <w:rPr>
          <w:sz w:val="24"/>
        </w:rPr>
        <w:t>they</w:t>
      </w:r>
      <w:r>
        <w:rPr>
          <w:spacing w:val="-9"/>
          <w:sz w:val="24"/>
        </w:rPr>
        <w:t> </w:t>
      </w:r>
      <w:r>
        <w:rPr>
          <w:sz w:val="24"/>
        </w:rPr>
        <w:t>align</w:t>
      </w:r>
      <w:r>
        <w:rPr>
          <w:spacing w:val="-8"/>
          <w:sz w:val="24"/>
        </w:rPr>
        <w:t> </w:t>
      </w:r>
      <w:r>
        <w:rPr>
          <w:spacing w:val="-2"/>
          <w:sz w:val="24"/>
        </w:rPr>
        <w:t>with.</w:t>
      </w:r>
    </w:p>
    <w:p>
      <w:pPr>
        <w:pStyle w:val="ListParagraph"/>
        <w:numPr>
          <w:ilvl w:val="3"/>
          <w:numId w:val="8"/>
        </w:numPr>
        <w:tabs>
          <w:tab w:pos="807" w:val="left" w:leader="none"/>
        </w:tabs>
        <w:spacing w:line="240" w:lineRule="auto" w:before="0" w:after="0"/>
        <w:ind w:left="807" w:right="0" w:hanging="214"/>
        <w:jc w:val="left"/>
        <w:rPr>
          <w:sz w:val="24"/>
        </w:rPr>
      </w:pPr>
      <w:r>
        <w:rPr>
          <w:i/>
        </w:rPr>
        <w:t>성명서: 사회적 방법은 어떤 대리 가족과 일치하는지에 따라 다릅니다.</w:t>
      </w:r>
    </w:p>
    <w:p>
      <w:pPr>
        <w:pStyle w:val="ListParagraph"/>
        <w:numPr>
          <w:ilvl w:val="3"/>
          <w:numId w:val="8"/>
        </w:numPr>
        <w:tabs>
          <w:tab w:pos="807" w:val="left" w:leader="none"/>
        </w:tabs>
        <w:spacing w:line="240" w:lineRule="auto" w:before="217" w:after="0"/>
        <w:ind w:left="807" w:right="0" w:hanging="214"/>
        <w:jc w:val="left"/>
        <w:rPr>
          <w:sz w:val="24"/>
        </w:rPr>
      </w:pPr>
      <w:r>
        <w:rPr>
          <w:b/>
          <w:sz w:val="24"/>
        </w:rPr>
        <w:t>Evidence:</w:t>
      </w:r>
      <w:r>
        <w:rPr>
          <w:b/>
          <w:spacing w:val="2"/>
          <w:sz w:val="24"/>
        </w:rPr>
        <w:t> </w:t>
      </w:r>
      <w:r>
        <w:rPr>
          <w:sz w:val="24"/>
        </w:rPr>
        <w:t>Table</w:t>
      </w:r>
      <w:r>
        <w:rPr>
          <w:spacing w:val="-13"/>
          <w:sz w:val="24"/>
        </w:rPr>
        <w:t> </w:t>
      </w:r>
      <w:hyperlink w:history="true" w:anchor="_bookmark101">
        <w:r>
          <w:rPr>
            <w:sz w:val="24"/>
          </w:rPr>
          <w:t>4.7</w:t>
        </w:r>
      </w:hyperlink>
      <w:r>
        <w:rPr>
          <w:sz w:val="24"/>
        </w:rPr>
        <w:t>;</w:t>
      </w:r>
      <w:r>
        <w:rPr>
          <w:spacing w:val="-14"/>
          <w:sz w:val="24"/>
        </w:rPr>
        <w:t> </w:t>
      </w:r>
      <w:r>
        <w:rPr>
          <w:sz w:val="24"/>
        </w:rPr>
        <w:t>per-family</w:t>
      </w:r>
      <w:r>
        <w:rPr>
          <w:spacing w:val="-13"/>
          <w:sz w:val="24"/>
        </w:rPr>
        <w:t> </w:t>
      </w:r>
      <w:r>
        <w:rPr>
          <w:sz w:val="24"/>
        </w:rPr>
        <w:t>Tables</w:t>
      </w:r>
      <w:r>
        <w:rPr>
          <w:spacing w:val="-14"/>
          <w:sz w:val="24"/>
        </w:rPr>
        <w:t> </w:t>
      </w:r>
      <w:hyperlink w:history="true" w:anchor="_bookmark104">
        <w:r>
          <w:rPr>
            <w:sz w:val="24"/>
          </w:rPr>
          <w:t>4.8</w:t>
        </w:r>
      </w:hyperlink>
      <w:r>
        <w:rPr>
          <w:sz w:val="24"/>
        </w:rPr>
        <w:t>–</w:t>
      </w:r>
      <w:hyperlink w:history="true" w:anchor="_bookmark108">
        <w:r>
          <w:rPr>
            <w:sz w:val="24"/>
          </w:rPr>
          <w:t>4.12</w:t>
        </w:r>
      </w:hyperlink>
      <w:r>
        <w:rPr>
          <w:sz w:val="24"/>
        </w:rPr>
        <w:t>;</w:t>
      </w:r>
      <w:r>
        <w:rPr>
          <w:spacing w:val="-13"/>
          <w:sz w:val="24"/>
        </w:rPr>
        <w:t> </w:t>
      </w:r>
      <w:r>
        <w:rPr>
          <w:sz w:val="24"/>
        </w:rPr>
        <w:t>heatmap</w:t>
      </w:r>
      <w:r>
        <w:rPr>
          <w:spacing w:val="-13"/>
          <w:sz w:val="24"/>
        </w:rPr>
        <w:t> </w:t>
      </w:r>
      <w:r>
        <w:rPr>
          <w:sz w:val="24"/>
        </w:rPr>
        <w:t>Figure</w:t>
      </w:r>
      <w:r>
        <w:rPr>
          <w:spacing w:val="-14"/>
          <w:sz w:val="24"/>
        </w:rPr>
        <w:t> </w:t>
      </w:r>
      <w:hyperlink w:history="true" w:anchor="_bookmark102">
        <w:r>
          <w:rPr>
            <w:spacing w:val="-4"/>
            <w:sz w:val="24"/>
          </w:rPr>
          <w:t>4.6</w:t>
        </w:r>
      </w:hyperlink>
      <w:r>
        <w:rPr>
          <w:spacing w:val="-4"/>
          <w:sz w:val="24"/>
        </w:rPr>
        <w:t>.</w:t>
      </w:r>
    </w:p>
    <w:p>
      <w:pPr>
        <w:pStyle w:val="ListParagraph"/>
        <w:numPr>
          <w:ilvl w:val="3"/>
          <w:numId w:val="8"/>
        </w:numPr>
        <w:tabs>
          <w:tab w:pos="807" w:val="left" w:leader="none"/>
        </w:tabs>
        <w:spacing w:line="240" w:lineRule="auto" w:before="217" w:after="0"/>
        <w:ind w:left="807" w:right="0" w:hanging="214"/>
        <w:jc w:val="left"/>
        <w:rPr>
          <w:sz w:val="24"/>
        </w:rPr>
      </w:pPr>
      <w:r>
        <w:rPr>
          <w:i/>
        </w:rPr>
        <w:t>증거: 표 4.7, 가족별 표 4.8–4.12, 히트맵 그림 4.6.</w:t>
      </w:r>
    </w:p>
    <w:p>
      <w:pPr>
        <w:pStyle w:val="ListParagraph"/>
        <w:numPr>
          <w:ilvl w:val="3"/>
          <w:numId w:val="8"/>
        </w:numPr>
        <w:tabs>
          <w:tab w:pos="795" w:val="left" w:leader="none"/>
        </w:tabs>
        <w:spacing w:line="240" w:lineRule="auto" w:before="178" w:after="0"/>
        <w:ind w:left="795" w:right="0" w:hanging="202"/>
        <w:jc w:val="left"/>
        <w:rPr>
          <w:sz w:val="24"/>
        </w:rPr>
      </w:pPr>
      <w:r>
        <w:rPr>
          <w:b/>
          <w:sz w:val="24"/>
        </w:rPr>
        <w:t>Winners:</w:t>
      </w:r>
      <w:r>
        <w:rPr>
          <w:b/>
          <w:spacing w:val="28"/>
          <w:sz w:val="24"/>
        </w:rPr>
        <w:t> </w:t>
      </w:r>
      <w:r>
        <w:rPr>
          <w:sz w:val="24"/>
        </w:rPr>
        <w:t>EndorseRank</w:t>
      </w:r>
      <w:r>
        <w:rPr>
          <w:spacing w:val="1"/>
          <w:sz w:val="24"/>
        </w:rPr>
        <w:t> </w:t>
      </w:r>
      <w:r>
        <w:rPr>
          <w:sz w:val="24"/>
        </w:rPr>
        <w:t>on</w:t>
      </w:r>
      <w:r>
        <w:rPr>
          <w:spacing w:val="1"/>
          <w:sz w:val="24"/>
        </w:rPr>
        <w:t> </w:t>
      </w:r>
      <w:r>
        <w:rPr>
          <w:sz w:val="24"/>
        </w:rPr>
        <w:t>allowance</w:t>
      </w:r>
      <w:r>
        <w:rPr>
          <w:spacing w:val="1"/>
          <w:sz w:val="24"/>
        </w:rPr>
        <w:t> </w:t>
      </w:r>
      <w:r>
        <w:rPr>
          <w:sz w:val="24"/>
        </w:rPr>
        <w:t>(</w:t>
      </w:r>
      <w:r>
        <w:rPr>
          <w:rFonts w:ascii="Calibri" w:hAnsi="Calibri"/>
          <w:i/>
          <w:sz w:val="24"/>
        </w:rPr>
        <w:t>τ</w:t>
      </w:r>
      <w:r>
        <w:rPr>
          <w:rFonts w:ascii="Calibri" w:hAnsi="Calibri"/>
          <w:i/>
          <w:spacing w:val="34"/>
          <w:w w:val="125"/>
          <w:sz w:val="24"/>
        </w:rPr>
        <w:t> </w:t>
      </w:r>
      <w:r>
        <w:rPr>
          <w:rFonts w:ascii="Calibri" w:hAnsi="Calibri"/>
          <w:w w:val="125"/>
          <w:sz w:val="24"/>
        </w:rPr>
        <w:t>=</w:t>
      </w:r>
      <w:r>
        <w:rPr>
          <w:rFonts w:ascii="Calibri" w:hAnsi="Calibri"/>
          <w:spacing w:val="11"/>
          <w:w w:val="125"/>
          <w:sz w:val="24"/>
        </w:rPr>
        <w:t> </w:t>
      </w:r>
      <w:r>
        <w:rPr>
          <w:rFonts w:ascii="Calibri" w:hAnsi="Calibri"/>
          <w:sz w:val="24"/>
        </w:rPr>
        <w:t>0</w:t>
      </w:r>
      <w:r>
        <w:rPr>
          <w:rFonts w:ascii="Calibri" w:hAnsi="Calibri"/>
          <w:i/>
          <w:sz w:val="24"/>
        </w:rPr>
        <w:t>.</w:t>
      </w:r>
      <w:r>
        <w:rPr>
          <w:rFonts w:ascii="Calibri" w:hAnsi="Calibri"/>
          <w:sz w:val="24"/>
        </w:rPr>
        <w:t>355</w:t>
      </w:r>
      <w:r>
        <w:rPr>
          <w:rFonts w:ascii="Calibri" w:hAnsi="Calibri"/>
          <w:spacing w:val="7"/>
          <w:sz w:val="24"/>
        </w:rPr>
        <w:t> </w:t>
      </w:r>
      <w:r>
        <w:rPr>
          <w:sz w:val="24"/>
        </w:rPr>
        <w:t>vs.</w:t>
      </w:r>
      <w:r>
        <w:rPr>
          <w:spacing w:val="1"/>
          <w:sz w:val="24"/>
        </w:rPr>
        <w:t> </w:t>
      </w:r>
      <w:r>
        <w:rPr>
          <w:rFonts w:ascii="Lucida Sans Unicode" w:hAnsi="Lucida Sans Unicode"/>
          <w:sz w:val="24"/>
        </w:rPr>
        <w:t>—</w:t>
      </w:r>
      <w:r>
        <w:rPr>
          <w:rFonts w:ascii="Calibri" w:hAnsi="Calibri"/>
          <w:sz w:val="24"/>
        </w:rPr>
        <w:t>0</w:t>
      </w:r>
      <w:r>
        <w:rPr>
          <w:rFonts w:ascii="Calibri" w:hAnsi="Calibri"/>
          <w:i/>
          <w:sz w:val="24"/>
        </w:rPr>
        <w:t>.</w:t>
      </w:r>
      <w:r>
        <w:rPr>
          <w:rFonts w:ascii="Calibri" w:hAnsi="Calibri"/>
          <w:sz w:val="24"/>
        </w:rPr>
        <w:t>030</w:t>
      </w:r>
      <w:r>
        <w:rPr>
          <w:sz w:val="24"/>
        </w:rPr>
        <w:t>);</w:t>
      </w:r>
      <w:r>
        <w:rPr>
          <w:spacing w:val="6"/>
          <w:sz w:val="24"/>
        </w:rPr>
        <w:t> </w:t>
      </w:r>
      <w:r>
        <w:rPr>
          <w:sz w:val="24"/>
        </w:rPr>
        <w:t>AWP</w:t>
      </w:r>
      <w:r>
        <w:rPr>
          <w:spacing w:val="1"/>
          <w:sz w:val="24"/>
        </w:rPr>
        <w:t> </w:t>
      </w:r>
      <w:r>
        <w:rPr>
          <w:sz w:val="24"/>
        </w:rPr>
        <w:t>on</w:t>
      </w:r>
      <w:r>
        <w:rPr>
          <w:spacing w:val="1"/>
          <w:sz w:val="24"/>
        </w:rPr>
        <w:t> </w:t>
      </w:r>
      <w:r>
        <w:rPr>
          <w:sz w:val="24"/>
        </w:rPr>
        <w:t>transfer</w:t>
      </w:r>
      <w:r>
        <w:rPr>
          <w:spacing w:val="1"/>
          <w:sz w:val="24"/>
        </w:rPr>
        <w:t> </w:t>
      </w:r>
      <w:r>
        <w:rPr>
          <w:sz w:val="24"/>
        </w:rPr>
        <w:t>(</w:t>
      </w:r>
      <w:r>
        <w:rPr>
          <w:rFonts w:ascii="Calibri" w:hAnsi="Calibri"/>
          <w:sz w:val="24"/>
        </w:rPr>
        <w:t>0</w:t>
      </w:r>
      <w:r>
        <w:rPr>
          <w:rFonts w:ascii="Calibri" w:hAnsi="Calibri"/>
          <w:i/>
          <w:sz w:val="24"/>
        </w:rPr>
        <w:t>.</w:t>
      </w:r>
      <w:r>
        <w:rPr>
          <w:rFonts w:ascii="Calibri" w:hAnsi="Calibri"/>
          <w:sz w:val="24"/>
        </w:rPr>
        <w:t>534</w:t>
      </w:r>
      <w:r>
        <w:rPr>
          <w:rFonts w:ascii="Calibri" w:hAnsi="Calibri"/>
          <w:spacing w:val="7"/>
          <w:sz w:val="24"/>
        </w:rPr>
        <w:t> </w:t>
      </w:r>
      <w:r>
        <w:rPr>
          <w:spacing w:val="-5"/>
          <w:sz w:val="24"/>
        </w:rPr>
        <w:t>vs.</w:t>
      </w:r>
    </w:p>
    <w:p>
      <w:pPr>
        <w:pStyle w:val="ListParagraph"/>
        <w:numPr>
          <w:ilvl w:val="3"/>
          <w:numId w:val="8"/>
        </w:numPr>
        <w:tabs>
          <w:tab w:pos="795" w:val="left" w:leader="none"/>
        </w:tabs>
        <w:spacing w:line="240" w:lineRule="auto" w:before="178" w:after="0"/>
        <w:ind w:left="795" w:right="0" w:hanging="202"/>
        <w:jc w:val="left"/>
        <w:rPr>
          <w:sz w:val="24"/>
        </w:rPr>
      </w:pPr>
      <w:r>
        <w:rPr>
          <w:i/>
        </w:rPr>
        <w:t>승자: 수당 EndorseRank(τ = 0.355 대 -0.030), 이적 시 AWP(0.534 대 -0.030)</w:t>
      </w:r>
    </w:p>
    <w:p>
      <w:pPr>
        <w:pStyle w:val="BodyText"/>
        <w:spacing w:before="123"/>
        <w:ind w:left="808"/>
      </w:pPr>
      <w:r>
        <w:rPr>
          <w:rFonts w:ascii="Calibri"/>
        </w:rPr>
        <w:t>0</w:t>
      </w:r>
      <w:r>
        <w:rPr>
          <w:rFonts w:ascii="Calibri"/>
          <w:i/>
        </w:rPr>
        <w:t>.</w:t>
      </w:r>
      <w:r>
        <w:rPr>
          <w:rFonts w:ascii="Calibri"/>
        </w:rPr>
        <w:t>333</w:t>
      </w:r>
      <w:r>
        <w:rPr/>
        <w:t>)</w:t>
      </w:r>
      <w:r>
        <w:rPr>
          <w:spacing w:val="-11"/>
        </w:rPr>
        <w:t> </w:t>
      </w:r>
      <w:r>
        <w:rPr/>
        <w:t>and</w:t>
      </w:r>
      <w:r>
        <w:rPr>
          <w:spacing w:val="-11"/>
        </w:rPr>
        <w:t> </w:t>
      </w:r>
      <w:r>
        <w:rPr/>
        <w:t>trading</w:t>
      </w:r>
      <w:r>
        <w:rPr>
          <w:spacing w:val="-10"/>
        </w:rPr>
        <w:t> </w:t>
      </w:r>
      <w:r>
        <w:rPr/>
        <w:t>success</w:t>
      </w:r>
      <w:r>
        <w:rPr>
          <w:spacing w:val="-11"/>
        </w:rPr>
        <w:t> </w:t>
      </w:r>
      <w:r>
        <w:rPr/>
        <w:t>among</w:t>
      </w:r>
      <w:r>
        <w:rPr>
          <w:spacing w:val="-10"/>
        </w:rPr>
        <w:t> </w:t>
      </w:r>
      <w:r>
        <w:rPr/>
        <w:t>social</w:t>
      </w:r>
      <w:r>
        <w:rPr>
          <w:spacing w:val="-11"/>
        </w:rPr>
        <w:t> </w:t>
      </w:r>
      <w:r>
        <w:rPr/>
        <w:t>methods</w:t>
      </w:r>
      <w:r>
        <w:rPr>
          <w:spacing w:val="-10"/>
        </w:rPr>
        <w:t> </w:t>
      </w:r>
      <w:r>
        <w:rPr/>
        <w:t>(</w:t>
      </w:r>
      <w:r>
        <w:rPr>
          <w:rFonts w:ascii="Calibri"/>
        </w:rPr>
        <w:t>0</w:t>
      </w:r>
      <w:r>
        <w:rPr>
          <w:rFonts w:ascii="Calibri"/>
          <w:i/>
        </w:rPr>
        <w:t>.</w:t>
      </w:r>
      <w:r>
        <w:rPr>
          <w:rFonts w:ascii="Calibri"/>
        </w:rPr>
        <w:t>179</w:t>
      </w:r>
      <w:r>
        <w:rPr>
          <w:rFonts w:ascii="Calibri"/>
          <w:spacing w:val="-5"/>
        </w:rPr>
        <w:t> </w:t>
      </w:r>
      <w:r>
        <w:rPr/>
        <w:t>vs.</w:t>
      </w:r>
      <w:r>
        <w:rPr>
          <w:spacing w:val="-10"/>
        </w:rPr>
        <w:t> </w:t>
      </w:r>
      <w:r>
        <w:rPr>
          <w:rFonts w:ascii="Calibri"/>
          <w:spacing w:val="-2"/>
        </w:rPr>
        <w:t>0</w:t>
      </w:r>
      <w:r>
        <w:rPr>
          <w:rFonts w:ascii="Calibri"/>
          <w:i/>
          <w:spacing w:val="-2"/>
        </w:rPr>
        <w:t>.</w:t>
      </w:r>
      <w:r>
        <w:rPr>
          <w:rFonts w:ascii="Calibri"/>
          <w:spacing w:val="-2"/>
        </w:rPr>
        <w:t>096</w:t>
      </w:r>
      <w:r>
        <w:rPr>
          <w:spacing w:val="-2"/>
        </w:rPr>
        <w:t>).</w:t>
      </w:r>
    </w:p>
    <w:p>
      <w:pPr>
        <w:pStyle w:val="BodyText"/>
        <w:spacing w:before="123"/>
        <w:ind w:left="808"/>
      </w:pPr>
      <w:r>
        <w:rPr>
          <w:i/>
        </w:rPr>
        <w:t>0.333), 소셜 방식 간의 거래 성공률(0.179 대 0.096)입니다.</w:t>
      </w:r>
    </w:p>
    <w:p>
      <w:pPr>
        <w:pStyle w:val="BodyText"/>
        <w:spacing w:before="172"/>
      </w:pPr>
    </w:p>
    <w:p>
      <w:pPr>
        <w:pStyle w:val="Heading4"/>
        <w:numPr>
          <w:ilvl w:val="2"/>
          <w:numId w:val="8"/>
        </w:numPr>
        <w:tabs>
          <w:tab w:pos="879" w:val="left" w:leader="none"/>
        </w:tabs>
        <w:spacing w:line="240" w:lineRule="auto" w:before="1" w:after="0"/>
        <w:ind w:left="879" w:right="0" w:hanging="597"/>
        <w:jc w:val="left"/>
      </w:pPr>
      <w:bookmarkStart w:name="H3 / RQ3 — Computational efficiency" w:id="401"/>
      <w:bookmarkEnd w:id="401"/>
      <w:r>
        <w:rPr>
          <w:b w:val="0"/>
        </w:rPr>
      </w:r>
      <w:bookmarkStart w:name="_bookmark239" w:id="402"/>
      <w:bookmarkEnd w:id="402"/>
      <w:r>
        <w:rPr>
          <w:b w:val="0"/>
        </w:rPr>
      </w:r>
      <w:r>
        <w:rPr/>
        <w:t>H3</w:t>
      </w:r>
      <w:r>
        <w:rPr>
          <w:spacing w:val="-7"/>
        </w:rPr>
        <w:t> </w:t>
      </w:r>
      <w:r>
        <w:rPr/>
        <w:t>/</w:t>
      </w:r>
      <w:r>
        <w:rPr>
          <w:spacing w:val="-6"/>
        </w:rPr>
        <w:t> </w:t>
      </w:r>
      <w:r>
        <w:rPr/>
        <w:t>RQ3</w:t>
      </w:r>
      <w:r>
        <w:rPr>
          <w:spacing w:val="-6"/>
        </w:rPr>
        <w:t> </w:t>
      </w:r>
      <w:r>
        <w:rPr/>
        <w:t>—</w:t>
      </w:r>
      <w:r>
        <w:rPr>
          <w:spacing w:val="-7"/>
        </w:rPr>
        <w:t> </w:t>
      </w:r>
      <w:r>
        <w:rPr/>
        <w:t>Computational</w:t>
      </w:r>
      <w:r>
        <w:rPr>
          <w:spacing w:val="-6"/>
        </w:rPr>
        <w:t> </w:t>
      </w:r>
      <w:r>
        <w:rPr>
          <w:spacing w:val="-2"/>
        </w:rPr>
        <w:t>efficiency</w:t>
      </w:r>
    </w:p>
    <w:p>
      <w:pPr>
        <w:pStyle w:val="Heading4"/>
        <w:numPr>
          <w:ilvl w:val="2"/>
          <w:numId w:val="8"/>
        </w:numPr>
        <w:tabs>
          <w:tab w:pos="879" w:val="left" w:leader="none"/>
        </w:tabs>
        <w:spacing w:line="240" w:lineRule="auto" w:before="1" w:after="0"/>
        <w:ind w:left="879" w:right="0" w:hanging="597"/>
        <w:jc w:val="left"/>
      </w:pPr>
      <w:r>
        <w:rPr>
          <w:i/>
        </w:rPr>
        <w:t>H3 / RQ3 - 계산 효율성</w:t>
      </w:r>
    </w:p>
    <w:p>
      <w:pPr>
        <w:pStyle w:val="BodyText"/>
        <w:spacing w:before="42"/>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Statement:</w:t>
      </w:r>
      <w:r>
        <w:rPr>
          <w:b/>
          <w:spacing w:val="7"/>
          <w:sz w:val="24"/>
        </w:rPr>
        <w:t> </w:t>
      </w:r>
      <w:r>
        <w:rPr>
          <w:sz w:val="24"/>
        </w:rPr>
        <w:t>EndorseRank</w:t>
      </w:r>
      <w:r>
        <w:rPr>
          <w:spacing w:val="-9"/>
          <w:sz w:val="24"/>
        </w:rPr>
        <w:t> </w:t>
      </w:r>
      <w:r>
        <w:rPr>
          <w:sz w:val="24"/>
        </w:rPr>
        <w:t>is</w:t>
      </w:r>
      <w:r>
        <w:rPr>
          <w:spacing w:val="-9"/>
          <w:sz w:val="24"/>
        </w:rPr>
        <w:t> </w:t>
      </w:r>
      <w:r>
        <w:rPr>
          <w:sz w:val="24"/>
        </w:rPr>
        <w:t>faster</w:t>
      </w:r>
      <w:r>
        <w:rPr>
          <w:spacing w:val="-10"/>
          <w:sz w:val="24"/>
        </w:rPr>
        <w:t> </w:t>
      </w:r>
      <w:r>
        <w:rPr>
          <w:sz w:val="24"/>
        </w:rPr>
        <w:t>than</w:t>
      </w:r>
      <w:r>
        <w:rPr>
          <w:spacing w:val="-9"/>
          <w:sz w:val="24"/>
        </w:rPr>
        <w:t> </w:t>
      </w:r>
      <w:r>
        <w:rPr>
          <w:sz w:val="24"/>
        </w:rPr>
        <w:t>AWP</w:t>
      </w:r>
      <w:r>
        <w:rPr>
          <w:spacing w:val="-9"/>
          <w:sz w:val="24"/>
        </w:rPr>
        <w:t> </w:t>
      </w:r>
      <w:r>
        <w:rPr>
          <w:sz w:val="24"/>
        </w:rPr>
        <w:t>at</w:t>
      </w:r>
      <w:r>
        <w:rPr>
          <w:spacing w:val="-10"/>
          <w:sz w:val="24"/>
        </w:rPr>
        <w:t> </w:t>
      </w:r>
      <w:r>
        <w:rPr>
          <w:sz w:val="24"/>
        </w:rPr>
        <w:t>equal</w:t>
      </w:r>
      <w:r>
        <w:rPr>
          <w:spacing w:val="-9"/>
          <w:sz w:val="24"/>
        </w:rPr>
        <w:t> </w:t>
      </w:r>
      <w:r>
        <w:rPr>
          <w:rFonts w:ascii="Calibri" w:hAnsi="Calibri"/>
          <w:i/>
          <w:spacing w:val="-5"/>
          <w:sz w:val="24"/>
        </w:rPr>
        <w:t>n</w:t>
      </w:r>
      <w:r>
        <w:rPr>
          <w:spacing w:val="-5"/>
          <w:sz w:val="24"/>
        </w:rPr>
        <w:t>.</w:t>
      </w:r>
    </w:p>
    <w:p>
      <w:pPr>
        <w:pStyle w:val="ListParagraph"/>
        <w:numPr>
          <w:ilvl w:val="3"/>
          <w:numId w:val="8"/>
        </w:numPr>
        <w:tabs>
          <w:tab w:pos="807" w:val="left" w:leader="none"/>
        </w:tabs>
        <w:spacing w:line="240" w:lineRule="auto" w:before="0" w:after="0"/>
        <w:ind w:left="807" w:right="0" w:hanging="214"/>
        <w:jc w:val="left"/>
        <w:rPr>
          <w:sz w:val="24"/>
        </w:rPr>
      </w:pPr>
      <w:r>
        <w:rPr>
          <w:i/>
        </w:rPr>
        <w:t>설명: EndorseRank는 n이 동일할 때 AWP보다 빠릅니다.</w:t>
      </w:r>
    </w:p>
    <w:p>
      <w:pPr>
        <w:pStyle w:val="ListParagraph"/>
        <w:numPr>
          <w:ilvl w:val="3"/>
          <w:numId w:val="8"/>
        </w:numPr>
        <w:tabs>
          <w:tab w:pos="807" w:val="left" w:leader="none"/>
        </w:tabs>
        <w:spacing w:line="240" w:lineRule="auto" w:before="165" w:after="0"/>
        <w:ind w:left="807" w:right="0" w:hanging="214"/>
        <w:jc w:val="left"/>
        <w:rPr>
          <w:sz w:val="24"/>
        </w:rPr>
      </w:pPr>
      <w:r>
        <w:rPr>
          <w:b/>
          <w:w w:val="105"/>
          <w:sz w:val="24"/>
        </w:rPr>
        <w:t>Evidence:</w:t>
      </w:r>
      <w:r>
        <w:rPr>
          <w:b/>
          <w:spacing w:val="17"/>
          <w:w w:val="105"/>
          <w:sz w:val="24"/>
        </w:rPr>
        <w:t> </w:t>
      </w:r>
      <w:r>
        <w:rPr>
          <w:w w:val="105"/>
          <w:sz w:val="24"/>
        </w:rPr>
        <w:t>Table</w:t>
      </w:r>
      <w:r>
        <w:rPr>
          <w:spacing w:val="-10"/>
          <w:w w:val="105"/>
          <w:sz w:val="24"/>
        </w:rPr>
        <w:t> </w:t>
      </w:r>
      <w:hyperlink w:history="true" w:anchor="_bookmark91">
        <w:r>
          <w:rPr>
            <w:w w:val="105"/>
            <w:sz w:val="24"/>
          </w:rPr>
          <w:t>4.2</w:t>
        </w:r>
      </w:hyperlink>
      <w:r>
        <w:rPr>
          <w:spacing w:val="-10"/>
          <w:w w:val="105"/>
          <w:sz w:val="24"/>
        </w:rPr>
        <w:t> </w:t>
      </w:r>
      <w:r>
        <w:rPr>
          <w:w w:val="105"/>
          <w:sz w:val="24"/>
        </w:rPr>
        <w:t>(</w:t>
      </w:r>
      <w:r>
        <w:rPr>
          <w:rFonts w:ascii="Calibri" w:hAnsi="Calibri"/>
          <w:w w:val="105"/>
          <w:sz w:val="24"/>
        </w:rPr>
        <w:t>2</w:t>
      </w:r>
      <w:r>
        <w:rPr>
          <w:rFonts w:ascii="Calibri" w:hAnsi="Calibri"/>
          <w:i/>
          <w:w w:val="105"/>
          <w:sz w:val="24"/>
        </w:rPr>
        <w:t>.</w:t>
      </w:r>
      <w:r>
        <w:rPr>
          <w:rFonts w:ascii="Calibri" w:hAnsi="Calibri"/>
          <w:w w:val="105"/>
          <w:sz w:val="24"/>
        </w:rPr>
        <w:t>105</w:t>
      </w:r>
      <w:r>
        <w:rPr>
          <w:rFonts w:ascii="Calibri" w:hAnsi="Calibri"/>
          <w:spacing w:val="-17"/>
          <w:w w:val="105"/>
          <w:sz w:val="24"/>
        </w:rPr>
        <w:t> </w:t>
      </w:r>
      <w:r>
        <w:rPr>
          <w:w w:val="105"/>
          <w:sz w:val="24"/>
        </w:rPr>
        <w:t>s</w:t>
      </w:r>
      <w:r>
        <w:rPr>
          <w:spacing w:val="-9"/>
          <w:w w:val="105"/>
          <w:sz w:val="24"/>
        </w:rPr>
        <w:t> </w:t>
      </w:r>
      <w:r>
        <w:rPr>
          <w:w w:val="105"/>
          <w:sz w:val="24"/>
        </w:rPr>
        <w:t>vs.</w:t>
      </w:r>
      <w:r>
        <w:rPr>
          <w:spacing w:val="-4"/>
          <w:w w:val="105"/>
          <w:sz w:val="24"/>
        </w:rPr>
        <w:t> </w:t>
      </w:r>
      <w:r>
        <w:rPr>
          <w:rFonts w:ascii="Calibri" w:hAnsi="Calibri"/>
          <w:w w:val="105"/>
          <w:sz w:val="24"/>
        </w:rPr>
        <w:t>18</w:t>
      </w:r>
      <w:r>
        <w:rPr>
          <w:rFonts w:ascii="Calibri" w:hAnsi="Calibri"/>
          <w:i/>
          <w:w w:val="105"/>
          <w:sz w:val="24"/>
        </w:rPr>
        <w:t>.</w:t>
      </w:r>
      <w:r>
        <w:rPr>
          <w:rFonts w:ascii="Calibri" w:hAnsi="Calibri"/>
          <w:w w:val="105"/>
          <w:sz w:val="24"/>
        </w:rPr>
        <w:t>711</w:t>
      </w:r>
      <w:r>
        <w:rPr>
          <w:rFonts w:ascii="Calibri" w:hAnsi="Calibri"/>
          <w:spacing w:val="-17"/>
          <w:w w:val="105"/>
          <w:sz w:val="24"/>
        </w:rPr>
        <w:t> </w:t>
      </w:r>
      <w:r>
        <w:rPr>
          <w:w w:val="105"/>
          <w:sz w:val="24"/>
        </w:rPr>
        <w:t>s,</w:t>
      </w:r>
      <w:r>
        <w:rPr>
          <w:spacing w:val="-1"/>
          <w:w w:val="105"/>
          <w:sz w:val="24"/>
        </w:rPr>
        <w:t> </w:t>
      </w:r>
      <w:r>
        <w:rPr>
          <w:rFonts w:ascii="Lucida Sans Unicode" w:hAnsi="Lucida Sans Unicode"/>
          <w:w w:val="105"/>
          <w:sz w:val="24"/>
        </w:rPr>
        <w:t>≈</w:t>
      </w:r>
      <w:r>
        <w:rPr>
          <w:rFonts w:ascii="Lucida Sans Unicode" w:hAnsi="Lucida Sans Unicode"/>
          <w:spacing w:val="3"/>
          <w:w w:val="105"/>
          <w:sz w:val="24"/>
        </w:rPr>
        <w:t> </w:t>
      </w:r>
      <w:r>
        <w:rPr>
          <w:rFonts w:ascii="Calibri" w:hAnsi="Calibri"/>
          <w:w w:val="105"/>
          <w:sz w:val="24"/>
        </w:rPr>
        <w:t>8</w:t>
      </w:r>
      <w:r>
        <w:rPr>
          <w:rFonts w:ascii="Calibri" w:hAnsi="Calibri"/>
          <w:i/>
          <w:w w:val="105"/>
          <w:sz w:val="24"/>
        </w:rPr>
        <w:t>.</w:t>
      </w:r>
      <w:r>
        <w:rPr>
          <w:rFonts w:ascii="Calibri" w:hAnsi="Calibri"/>
          <w:w w:val="105"/>
          <w:sz w:val="24"/>
        </w:rPr>
        <w:t>9</w:t>
      </w:r>
      <w:r>
        <w:rPr>
          <w:rFonts w:ascii="Lucida Sans Unicode" w:hAnsi="Lucida Sans Unicode"/>
          <w:w w:val="105"/>
          <w:sz w:val="24"/>
        </w:rPr>
        <w:t>×</w:t>
      </w:r>
      <w:r>
        <w:rPr>
          <w:w w:val="105"/>
          <w:sz w:val="24"/>
        </w:rPr>
        <w:t>);</w:t>
      </w:r>
      <w:r>
        <w:rPr>
          <w:spacing w:val="3"/>
          <w:w w:val="105"/>
          <w:sz w:val="24"/>
        </w:rPr>
        <w:t> </w:t>
      </w:r>
      <w:r>
        <w:rPr>
          <w:w w:val="105"/>
          <w:sz w:val="24"/>
        </w:rPr>
        <w:t>Table</w:t>
      </w:r>
      <w:r>
        <w:rPr>
          <w:spacing w:val="-5"/>
          <w:w w:val="105"/>
          <w:sz w:val="24"/>
        </w:rPr>
        <w:t> </w:t>
      </w:r>
      <w:hyperlink w:history="true" w:anchor="_bookmark93">
        <w:r>
          <w:rPr>
            <w:w w:val="105"/>
            <w:sz w:val="24"/>
          </w:rPr>
          <w:t>4.3</w:t>
        </w:r>
      </w:hyperlink>
      <w:r>
        <w:rPr>
          <w:spacing w:val="-4"/>
          <w:w w:val="105"/>
          <w:sz w:val="24"/>
        </w:rPr>
        <w:t> </w:t>
      </w:r>
      <w:r>
        <w:rPr>
          <w:w w:val="105"/>
          <w:sz w:val="24"/>
        </w:rPr>
        <w:t>(</w:t>
      </w:r>
      <w:r>
        <w:rPr>
          <w:rFonts w:ascii="Lucida Sans Unicode" w:hAnsi="Lucida Sans Unicode"/>
          <w:w w:val="105"/>
          <w:sz w:val="24"/>
        </w:rPr>
        <w:t>≈</w:t>
      </w:r>
      <w:r>
        <w:rPr>
          <w:rFonts w:ascii="Lucida Sans Unicode" w:hAnsi="Lucida Sans Unicode"/>
          <w:spacing w:val="3"/>
          <w:w w:val="105"/>
          <w:sz w:val="24"/>
        </w:rPr>
        <w:t> </w:t>
      </w:r>
      <w:r>
        <w:rPr>
          <w:rFonts w:ascii="Calibri" w:hAnsi="Calibri"/>
          <w:w w:val="105"/>
          <w:sz w:val="24"/>
        </w:rPr>
        <w:t>10</w:t>
      </w:r>
      <w:r>
        <w:rPr>
          <w:rFonts w:ascii="Calibri" w:hAnsi="Calibri"/>
          <w:i/>
          <w:w w:val="105"/>
          <w:sz w:val="24"/>
        </w:rPr>
        <w:t>.</w:t>
      </w:r>
      <w:r>
        <w:rPr>
          <w:rFonts w:ascii="Calibri" w:hAnsi="Calibri"/>
          <w:w w:val="105"/>
          <w:sz w:val="24"/>
        </w:rPr>
        <w:t>4</w:t>
      </w:r>
      <w:r>
        <w:rPr>
          <w:rFonts w:ascii="Lucida Sans Unicode" w:hAnsi="Lucida Sans Unicode"/>
          <w:w w:val="105"/>
          <w:sz w:val="24"/>
        </w:rPr>
        <w:t>×</w:t>
      </w:r>
      <w:r>
        <w:rPr>
          <w:rFonts w:ascii="Lucida Sans Unicode" w:hAnsi="Lucida Sans Unicode"/>
          <w:spacing w:val="-20"/>
          <w:w w:val="105"/>
          <w:sz w:val="24"/>
        </w:rPr>
        <w:t> </w:t>
      </w:r>
      <w:r>
        <w:rPr>
          <w:w w:val="105"/>
          <w:sz w:val="24"/>
        </w:rPr>
        <w:t>at</w:t>
      </w:r>
      <w:r>
        <w:rPr>
          <w:spacing w:val="-5"/>
          <w:w w:val="105"/>
          <w:sz w:val="24"/>
        </w:rPr>
        <w:t> </w:t>
      </w:r>
      <w:r>
        <w:rPr>
          <w:rFonts w:ascii="Calibri" w:hAnsi="Calibri"/>
          <w:i/>
          <w:w w:val="105"/>
          <w:sz w:val="24"/>
        </w:rPr>
        <w:t>n</w:t>
      </w:r>
      <w:r>
        <w:rPr>
          <w:rFonts w:ascii="Calibri" w:hAnsi="Calibri"/>
          <w:i/>
          <w:spacing w:val="16"/>
          <w:w w:val="125"/>
          <w:sz w:val="24"/>
        </w:rPr>
        <w:t> </w:t>
      </w:r>
      <w:r>
        <w:rPr>
          <w:rFonts w:ascii="Calibri" w:hAnsi="Calibri"/>
          <w:w w:val="125"/>
          <w:sz w:val="24"/>
        </w:rPr>
        <w:t>=</w:t>
      </w:r>
      <w:r>
        <w:rPr>
          <w:rFonts w:ascii="Calibri" w:hAnsi="Calibri"/>
          <w:spacing w:val="14"/>
          <w:w w:val="125"/>
          <w:sz w:val="24"/>
        </w:rPr>
        <w:t> </w:t>
      </w:r>
      <w:r>
        <w:rPr>
          <w:rFonts w:ascii="Calibri" w:hAnsi="Calibri"/>
          <w:spacing w:val="-2"/>
          <w:w w:val="105"/>
          <w:sz w:val="24"/>
        </w:rPr>
        <w:t>10</w:t>
      </w:r>
      <w:r>
        <w:rPr>
          <w:rFonts w:ascii="Calibri" w:hAnsi="Calibri"/>
          <w:i/>
          <w:spacing w:val="-2"/>
          <w:w w:val="105"/>
          <w:sz w:val="24"/>
        </w:rPr>
        <w:t>,</w:t>
      </w:r>
      <w:r>
        <w:rPr>
          <w:rFonts w:ascii="Calibri" w:hAnsi="Calibri"/>
          <w:spacing w:val="-2"/>
          <w:w w:val="105"/>
          <w:sz w:val="24"/>
        </w:rPr>
        <w:t>000</w:t>
      </w:r>
      <w:r>
        <w:rPr>
          <w:spacing w:val="-2"/>
          <w:w w:val="105"/>
          <w:sz w:val="24"/>
        </w:rPr>
        <w:t>;</w:t>
      </w:r>
    </w:p>
    <w:p>
      <w:pPr>
        <w:pStyle w:val="ListParagraph"/>
        <w:numPr>
          <w:ilvl w:val="3"/>
          <w:numId w:val="8"/>
        </w:numPr>
        <w:tabs>
          <w:tab w:pos="807" w:val="left" w:leader="none"/>
        </w:tabs>
        <w:spacing w:line="240" w:lineRule="auto" w:before="165" w:after="0"/>
        <w:ind w:left="807" w:right="0" w:hanging="214"/>
        <w:jc w:val="left"/>
        <w:rPr>
          <w:sz w:val="24"/>
        </w:rPr>
      </w:pPr>
      <w:r>
        <w:rPr>
          <w:i/>
        </w:rPr>
        <w:t>증거: 표 4.2(2.105초 대 18.711초, ≒ 8.9×), 표 4.3(n = 10,000에서 ≒ 10.4×;</w:t>
      </w:r>
    </w:p>
    <w:p>
      <w:pPr>
        <w:pStyle w:val="BodyText"/>
        <w:spacing w:before="88"/>
        <w:ind w:left="808"/>
      </w:pPr>
      <w:r>
        <w:rPr>
          <w:rFonts w:ascii="Lucida Sans Unicode" w:hAnsi="Lucida Sans Unicode"/>
        </w:rPr>
        <w:t>≈</w:t>
      </w:r>
      <w:r>
        <w:rPr>
          <w:rFonts w:ascii="Lucida Sans Unicode" w:hAnsi="Lucida Sans Unicode"/>
          <w:spacing w:val="-10"/>
        </w:rPr>
        <w:t> </w:t>
      </w:r>
      <w:r>
        <w:rPr>
          <w:rFonts w:ascii="Calibri" w:hAnsi="Calibri"/>
        </w:rPr>
        <w:t>9</w:t>
      </w:r>
      <w:r>
        <w:rPr>
          <w:rFonts w:ascii="Calibri" w:hAnsi="Calibri"/>
          <w:i/>
        </w:rPr>
        <w:t>.</w:t>
      </w:r>
      <w:r>
        <w:rPr>
          <w:rFonts w:ascii="Calibri" w:hAnsi="Calibri"/>
        </w:rPr>
        <w:t>4</w:t>
      </w:r>
      <w:r>
        <w:rPr>
          <w:rFonts w:ascii="Lucida Sans Unicode" w:hAnsi="Lucida Sans Unicode"/>
        </w:rPr>
        <w:t>×</w:t>
      </w:r>
      <w:r>
        <w:rPr>
          <w:rFonts w:ascii="Lucida Sans Unicode" w:hAnsi="Lucida Sans Unicode"/>
          <w:spacing w:val="-15"/>
        </w:rPr>
        <w:t> </w:t>
      </w:r>
      <w:r>
        <w:rPr/>
        <w:t>at</w:t>
      </w:r>
      <w:r>
        <w:rPr>
          <w:spacing w:val="-1"/>
        </w:rPr>
        <w:t> </w:t>
      </w:r>
      <w:r>
        <w:rPr>
          <w:rFonts w:ascii="Calibri" w:hAnsi="Calibri"/>
          <w:i/>
        </w:rPr>
        <w:t>N</w:t>
      </w:r>
      <w:r>
        <w:rPr>
          <w:rFonts w:ascii="Calibri" w:hAnsi="Calibri"/>
          <w:i/>
          <w:spacing w:val="37"/>
        </w:rPr>
        <w:t> </w:t>
      </w:r>
      <w:r>
        <w:rPr>
          <w:rFonts w:ascii="Calibri" w:hAnsi="Calibri"/>
        </w:rPr>
        <w:t>=</w:t>
      </w:r>
      <w:r>
        <w:rPr>
          <w:rFonts w:ascii="Calibri" w:hAnsi="Calibri"/>
          <w:spacing w:val="11"/>
        </w:rPr>
        <w:t> </w:t>
      </w:r>
      <w:r>
        <w:rPr>
          <w:rFonts w:ascii="Calibri" w:hAnsi="Calibri"/>
        </w:rPr>
        <w:t>31</w:t>
      </w:r>
      <w:r>
        <w:rPr>
          <w:rFonts w:ascii="Calibri" w:hAnsi="Calibri"/>
          <w:i/>
        </w:rPr>
        <w:t>,</w:t>
      </w:r>
      <w:r>
        <w:rPr>
          <w:rFonts w:ascii="Calibri" w:hAnsi="Calibri"/>
        </w:rPr>
        <w:t>612</w:t>
      </w:r>
      <w:r>
        <w:rPr/>
        <w:t>); Figure</w:t>
      </w:r>
      <w:r>
        <w:rPr>
          <w:spacing w:val="-1"/>
        </w:rPr>
        <w:t> </w:t>
      </w:r>
      <w:hyperlink w:history="true" w:anchor="_bookmark94">
        <w:r>
          <w:rPr/>
          <w:t>4.4</w:t>
        </w:r>
      </w:hyperlink>
      <w:r>
        <w:rPr/>
        <w:t>; edge</w:t>
      </w:r>
      <w:r>
        <w:rPr>
          <w:spacing w:val="-1"/>
        </w:rPr>
        <w:t> </w:t>
      </w:r>
      <w:r>
        <w:rPr/>
        <w:t>counts</w:t>
      </w:r>
      <w:r>
        <w:rPr>
          <w:spacing w:val="1"/>
        </w:rPr>
        <w:t> </w:t>
      </w:r>
      <w:r>
        <w:rPr>
          <w:rFonts w:ascii="Calibri" w:hAnsi="Calibri"/>
        </w:rPr>
        <w:t>14</w:t>
      </w:r>
      <w:r>
        <w:rPr>
          <w:rFonts w:ascii="Calibri" w:hAnsi="Calibri"/>
          <w:i/>
        </w:rPr>
        <w:t>,</w:t>
      </w:r>
      <w:r>
        <w:rPr>
          <w:rFonts w:ascii="Calibri" w:hAnsi="Calibri"/>
        </w:rPr>
        <w:t>727</w:t>
      </w:r>
      <w:r>
        <w:rPr>
          <w:rFonts w:ascii="Calibri" w:hAnsi="Calibri"/>
          <w:spacing w:val="5"/>
        </w:rPr>
        <w:t> </w:t>
      </w:r>
      <w:r>
        <w:rPr/>
        <w:t>vs. </w:t>
      </w:r>
      <w:r>
        <w:rPr>
          <w:rFonts w:ascii="Calibri" w:hAnsi="Calibri"/>
          <w:spacing w:val="-2"/>
        </w:rPr>
        <w:t>137</w:t>
      </w:r>
      <w:r>
        <w:rPr>
          <w:rFonts w:ascii="Calibri" w:hAnsi="Calibri"/>
          <w:i/>
          <w:spacing w:val="-2"/>
        </w:rPr>
        <w:t>,</w:t>
      </w:r>
      <w:r>
        <w:rPr>
          <w:rFonts w:ascii="Calibri" w:hAnsi="Calibri"/>
          <w:spacing w:val="-2"/>
        </w:rPr>
        <w:t>087</w:t>
      </w:r>
      <w:r>
        <w:rPr>
          <w:spacing w:val="-2"/>
        </w:rPr>
        <w:t>.</w:t>
      </w:r>
    </w:p>
    <w:p>
      <w:pPr>
        <w:pStyle w:val="BodyText"/>
        <w:spacing w:before="88"/>
        <w:ind w:left="808"/>
      </w:pPr>
      <w:r>
        <w:rPr>
          <w:i/>
        </w:rPr>
        <w:t>N = 31,612에서 약 9.4×), 그림 4.4, 모서리 개수는 14,727 대 137,087입니다.</w:t>
      </w:r>
    </w:p>
    <w:p>
      <w:pPr>
        <w:pStyle w:val="BodyText"/>
        <w:spacing w:before="132"/>
      </w:pPr>
    </w:p>
    <w:p>
      <w:pPr>
        <w:pStyle w:val="Heading4"/>
        <w:numPr>
          <w:ilvl w:val="2"/>
          <w:numId w:val="8"/>
        </w:numPr>
        <w:tabs>
          <w:tab w:pos="879" w:val="left" w:leader="none"/>
        </w:tabs>
        <w:spacing w:line="240" w:lineRule="auto" w:before="0" w:after="0"/>
        <w:ind w:left="879" w:right="0" w:hanging="597"/>
        <w:jc w:val="left"/>
      </w:pPr>
      <w:bookmarkStart w:name="RQ4 — Validation frame" w:id="403"/>
      <w:bookmarkEnd w:id="403"/>
      <w:r>
        <w:rPr>
          <w:b w:val="0"/>
        </w:rPr>
      </w:r>
      <w:bookmarkStart w:name="_bookmark240" w:id="404"/>
      <w:bookmarkEnd w:id="404"/>
      <w:r>
        <w:rPr>
          <w:b w:val="0"/>
        </w:rPr>
      </w:r>
      <w:r>
        <w:rPr>
          <w:spacing w:val="-2"/>
        </w:rPr>
        <w:t>RQ4</w:t>
      </w:r>
      <w:r>
        <w:rPr>
          <w:spacing w:val="-10"/>
        </w:rPr>
        <w:t> </w:t>
      </w:r>
      <w:r>
        <w:rPr>
          <w:spacing w:val="-2"/>
        </w:rPr>
        <w:t>—</w:t>
      </w:r>
      <w:r>
        <w:rPr>
          <w:spacing w:val="-8"/>
        </w:rPr>
        <w:t> </w:t>
      </w:r>
      <w:r>
        <w:rPr>
          <w:spacing w:val="-2"/>
        </w:rPr>
        <w:t>Validation</w:t>
      </w:r>
      <w:r>
        <w:rPr>
          <w:spacing w:val="-7"/>
        </w:rPr>
        <w:t> </w:t>
      </w:r>
      <w:r>
        <w:rPr>
          <w:spacing w:val="-4"/>
        </w:rPr>
        <w:t>frame</w:t>
      </w:r>
    </w:p>
    <w:p>
      <w:pPr>
        <w:pStyle w:val="Heading4"/>
        <w:numPr>
          <w:ilvl w:val="2"/>
          <w:numId w:val="8"/>
        </w:numPr>
        <w:tabs>
          <w:tab w:pos="879" w:val="left" w:leader="none"/>
        </w:tabs>
        <w:spacing w:line="240" w:lineRule="auto" w:before="0" w:after="0"/>
        <w:ind w:left="879" w:right="0" w:hanging="597"/>
        <w:jc w:val="left"/>
      </w:pPr>
      <w:r>
        <w:rPr>
          <w:i/>
        </w:rPr>
        <w:t>RQ4 — 검증 프레임</w:t>
      </w:r>
    </w:p>
    <w:p>
      <w:pPr>
        <w:pStyle w:val="BodyText"/>
        <w:spacing w:before="46"/>
        <w:rPr>
          <w:b/>
        </w:rPr>
      </w:pPr>
    </w:p>
    <w:p>
      <w:pPr>
        <w:pStyle w:val="ListParagraph"/>
        <w:numPr>
          <w:ilvl w:val="3"/>
          <w:numId w:val="8"/>
        </w:numPr>
        <w:tabs>
          <w:tab w:pos="806" w:val="left" w:leader="none"/>
          <w:tab w:pos="808" w:val="left" w:leader="none"/>
        </w:tabs>
        <w:spacing w:line="396" w:lineRule="auto" w:before="0" w:after="0"/>
        <w:ind w:left="808" w:right="564" w:hanging="216"/>
        <w:jc w:val="left"/>
        <w:rPr>
          <w:sz w:val="24"/>
        </w:rPr>
      </w:pPr>
      <w:r>
        <w:rPr>
          <w:b/>
          <w:sz w:val="24"/>
        </w:rPr>
        <w:t>Statement:</w:t>
      </w:r>
      <w:r>
        <w:rPr>
          <w:b/>
          <w:spacing w:val="40"/>
          <w:sz w:val="24"/>
        </w:rPr>
        <w:t> </w:t>
      </w:r>
      <w:r>
        <w:rPr>
          <w:sz w:val="24"/>
        </w:rPr>
        <w:t>For social methods, transfer proxies align more strongly than trading-success proxies on this chain.</w:t>
      </w:r>
    </w:p>
    <w:p>
      <w:pPr>
        <w:pStyle w:val="ListParagraph"/>
        <w:numPr>
          <w:ilvl w:val="3"/>
          <w:numId w:val="8"/>
        </w:numPr>
        <w:tabs>
          <w:tab w:pos="806" w:val="left" w:leader="none"/>
          <w:tab w:pos="808" w:val="left" w:leader="none"/>
        </w:tabs>
        <w:spacing w:line="396" w:lineRule="auto" w:before="0" w:after="0"/>
        <w:ind w:left="808" w:right="564" w:hanging="216"/>
        <w:jc w:val="left"/>
        <w:rPr>
          <w:sz w:val="24"/>
        </w:rPr>
      </w:pPr>
      <w:r>
        <w:rPr>
          <w:i/>
        </w:rPr>
        <w:t>성명서: 사회적 방법의 경우 전송 프록시는 이 체인의 거래 성공 프록시보다 더 강력하게 정렬됩니다.</w:t>
      </w:r>
    </w:p>
    <w:p>
      <w:pPr>
        <w:pStyle w:val="ListParagraph"/>
        <w:numPr>
          <w:ilvl w:val="3"/>
          <w:numId w:val="8"/>
        </w:numPr>
        <w:tabs>
          <w:tab w:pos="806" w:val="left" w:leader="none"/>
          <w:tab w:pos="808" w:val="left" w:leader="none"/>
        </w:tabs>
        <w:spacing w:line="374" w:lineRule="auto" w:before="35" w:after="0"/>
        <w:ind w:left="808" w:right="565" w:hanging="216"/>
        <w:jc w:val="left"/>
        <w:rPr>
          <w:sz w:val="24"/>
        </w:rPr>
      </w:pPr>
      <w:r>
        <w:rPr>
          <w:b/>
          <w:sz w:val="24"/>
        </w:rPr>
        <w:t>Evidence:</w:t>
      </w:r>
      <w:r>
        <w:rPr>
          <w:b/>
          <w:spacing w:val="36"/>
          <w:sz w:val="24"/>
        </w:rPr>
        <w:t> </w:t>
      </w:r>
      <w:r>
        <w:rPr>
          <w:sz w:val="24"/>
        </w:rPr>
        <w:t>Table </w:t>
      </w:r>
      <w:hyperlink w:history="true" w:anchor="_bookmark101">
        <w:r>
          <w:rPr>
            <w:sz w:val="24"/>
          </w:rPr>
          <w:t>4.7</w:t>
        </w:r>
      </w:hyperlink>
      <w:r>
        <w:rPr>
          <w:sz w:val="24"/>
        </w:rPr>
        <w:t>:</w:t>
      </w:r>
      <w:r>
        <w:rPr>
          <w:spacing w:val="35"/>
          <w:sz w:val="24"/>
        </w:rPr>
        <w:t> </w:t>
      </w:r>
      <w:r>
        <w:rPr>
          <w:sz w:val="24"/>
        </w:rPr>
        <w:t>transfer means </w:t>
      </w:r>
      <w:r>
        <w:rPr>
          <w:rFonts w:ascii="Calibri" w:hAnsi="Calibri"/>
          <w:sz w:val="24"/>
        </w:rPr>
        <w:t>0</w:t>
      </w:r>
      <w:r>
        <w:rPr>
          <w:rFonts w:ascii="Calibri" w:hAnsi="Calibri"/>
          <w:i/>
          <w:sz w:val="24"/>
        </w:rPr>
        <w:t>.</w:t>
      </w:r>
      <w:r>
        <w:rPr>
          <w:rFonts w:ascii="Calibri" w:hAnsi="Calibri"/>
          <w:sz w:val="24"/>
        </w:rPr>
        <w:t>333 </w:t>
      </w:r>
      <w:r>
        <w:rPr>
          <w:sz w:val="24"/>
        </w:rPr>
        <w:t>(ER) and </w:t>
      </w:r>
      <w:r>
        <w:rPr>
          <w:rFonts w:ascii="Calibri" w:hAnsi="Calibri"/>
          <w:sz w:val="24"/>
        </w:rPr>
        <w:t>0</w:t>
      </w:r>
      <w:r>
        <w:rPr>
          <w:rFonts w:ascii="Calibri" w:hAnsi="Calibri"/>
          <w:i/>
          <w:sz w:val="24"/>
        </w:rPr>
        <w:t>.</w:t>
      </w:r>
      <w:r>
        <w:rPr>
          <w:rFonts w:ascii="Calibri" w:hAnsi="Calibri"/>
          <w:sz w:val="24"/>
        </w:rPr>
        <w:t>534 </w:t>
      </w:r>
      <w:r>
        <w:rPr>
          <w:sz w:val="24"/>
        </w:rPr>
        <w:t>(AWP) exceed trading-success means </w:t>
      </w:r>
      <w:r>
        <w:rPr>
          <w:rFonts w:ascii="Calibri" w:hAnsi="Calibri"/>
          <w:sz w:val="24"/>
        </w:rPr>
        <w:t>0</w:t>
      </w:r>
      <w:r>
        <w:rPr>
          <w:rFonts w:ascii="Calibri" w:hAnsi="Calibri"/>
          <w:i/>
          <w:sz w:val="24"/>
        </w:rPr>
        <w:t>.</w:t>
      </w:r>
      <w:r>
        <w:rPr>
          <w:rFonts w:ascii="Calibri" w:hAnsi="Calibri"/>
          <w:sz w:val="24"/>
        </w:rPr>
        <w:t>096 </w:t>
      </w:r>
      <w:r>
        <w:rPr>
          <w:sz w:val="24"/>
        </w:rPr>
        <w:t>(ER) and </w:t>
      </w:r>
      <w:r>
        <w:rPr>
          <w:rFonts w:ascii="Calibri" w:hAnsi="Calibri"/>
          <w:sz w:val="24"/>
        </w:rPr>
        <w:t>0</w:t>
      </w:r>
      <w:r>
        <w:rPr>
          <w:rFonts w:ascii="Calibri" w:hAnsi="Calibri"/>
          <w:i/>
          <w:sz w:val="24"/>
        </w:rPr>
        <w:t>.</w:t>
      </w:r>
      <w:r>
        <w:rPr>
          <w:rFonts w:ascii="Calibri" w:hAnsi="Calibri"/>
          <w:sz w:val="24"/>
        </w:rPr>
        <w:t>179 </w:t>
      </w:r>
      <w:r>
        <w:rPr>
          <w:sz w:val="24"/>
        </w:rPr>
        <w:t>(AWP).</w:t>
      </w:r>
    </w:p>
    <w:p>
      <w:pPr>
        <w:pStyle w:val="ListParagraph"/>
        <w:numPr>
          <w:ilvl w:val="3"/>
          <w:numId w:val="8"/>
        </w:numPr>
        <w:tabs>
          <w:tab w:pos="806" w:val="left" w:leader="none"/>
          <w:tab w:pos="808" w:val="left" w:leader="none"/>
        </w:tabs>
        <w:spacing w:line="374" w:lineRule="auto" w:before="35" w:after="0"/>
        <w:ind w:left="808" w:right="565" w:hanging="216"/>
        <w:jc w:val="left"/>
        <w:rPr>
          <w:sz w:val="24"/>
        </w:rPr>
      </w:pPr>
      <w:r>
        <w:rPr>
          <w:i/>
        </w:rPr>
        <w:t>증거: 표 4.7: 이체 평균 0.333(ER) 및 0.534(AWP)가 거래 성공 평균 0.096(ER) 및 0.179(AWP)를 초과합니다.</w:t>
      </w:r>
    </w:p>
    <w:p>
      <w:pPr>
        <w:pStyle w:val="BodyText"/>
        <w:spacing w:before="8"/>
      </w:pPr>
    </w:p>
    <w:p>
      <w:pPr>
        <w:pStyle w:val="Heading4"/>
        <w:numPr>
          <w:ilvl w:val="2"/>
          <w:numId w:val="8"/>
        </w:numPr>
        <w:tabs>
          <w:tab w:pos="879" w:val="left" w:leader="none"/>
        </w:tabs>
        <w:spacing w:line="240" w:lineRule="auto" w:before="0" w:after="0"/>
        <w:ind w:left="879" w:right="0" w:hanging="597"/>
        <w:jc w:val="left"/>
      </w:pPr>
      <w:bookmarkStart w:name="SRQ1 / SC1 — GF-PR ceiling" w:id="405"/>
      <w:bookmarkEnd w:id="405"/>
      <w:r>
        <w:rPr>
          <w:b w:val="0"/>
        </w:rPr>
      </w:r>
      <w:bookmarkStart w:name="_bookmark241" w:id="406"/>
      <w:bookmarkEnd w:id="406"/>
      <w:r>
        <w:rPr>
          <w:b w:val="0"/>
        </w:rPr>
      </w:r>
      <w:r>
        <w:rPr/>
        <w:t>SRQ1</w:t>
      </w:r>
      <w:r>
        <w:rPr>
          <w:spacing w:val="-6"/>
        </w:rPr>
        <w:t> </w:t>
      </w:r>
      <w:r>
        <w:rPr/>
        <w:t>/</w:t>
      </w:r>
      <w:r>
        <w:rPr>
          <w:spacing w:val="-6"/>
        </w:rPr>
        <w:t> </w:t>
      </w:r>
      <w:r>
        <w:rPr/>
        <w:t>SC1</w:t>
      </w:r>
      <w:r>
        <w:rPr>
          <w:spacing w:val="-6"/>
        </w:rPr>
        <w:t> </w:t>
      </w:r>
      <w:r>
        <w:rPr/>
        <w:t>—</w:t>
      </w:r>
      <w:r>
        <w:rPr>
          <w:spacing w:val="-6"/>
        </w:rPr>
        <w:t> </w:t>
      </w:r>
      <w:r>
        <w:rPr/>
        <w:t>GF-PR</w:t>
      </w:r>
      <w:r>
        <w:rPr>
          <w:spacing w:val="-6"/>
        </w:rPr>
        <w:t> </w:t>
      </w:r>
      <w:r>
        <w:rPr>
          <w:spacing w:val="-2"/>
        </w:rPr>
        <w:t>ceiling</w:t>
      </w:r>
    </w:p>
    <w:p>
      <w:pPr>
        <w:pStyle w:val="Heading4"/>
        <w:numPr>
          <w:ilvl w:val="2"/>
          <w:numId w:val="8"/>
        </w:numPr>
        <w:tabs>
          <w:tab w:pos="879" w:val="left" w:leader="none"/>
        </w:tabs>
        <w:spacing w:line="240" w:lineRule="auto" w:before="0" w:after="0"/>
        <w:ind w:left="879" w:right="0" w:hanging="597"/>
        <w:jc w:val="left"/>
      </w:pPr>
      <w:r>
        <w:rPr>
          <w:i/>
        </w:rPr>
        <w:t>SRQ1 / SC1 - GF-PR 천장</w:t>
      </w:r>
    </w:p>
    <w:p>
      <w:pPr>
        <w:pStyle w:val="BodyText"/>
        <w:spacing w:before="46"/>
        <w:rPr>
          <w:b/>
        </w:rPr>
      </w:pPr>
    </w:p>
    <w:p>
      <w:pPr>
        <w:pStyle w:val="ListParagraph"/>
        <w:numPr>
          <w:ilvl w:val="3"/>
          <w:numId w:val="8"/>
        </w:numPr>
        <w:tabs>
          <w:tab w:pos="807" w:val="left" w:leader="none"/>
        </w:tabs>
        <w:spacing w:line="240" w:lineRule="auto" w:before="1" w:after="0"/>
        <w:ind w:left="807" w:right="0" w:hanging="214"/>
        <w:jc w:val="left"/>
        <w:rPr>
          <w:sz w:val="24"/>
        </w:rPr>
      </w:pPr>
      <w:r>
        <w:rPr>
          <w:b/>
          <w:sz w:val="24"/>
        </w:rPr>
        <w:t>Statement:</w:t>
      </w:r>
      <w:r>
        <w:rPr>
          <w:b/>
          <w:spacing w:val="6"/>
          <w:sz w:val="24"/>
        </w:rPr>
        <w:t> </w:t>
      </w:r>
      <w:r>
        <w:rPr>
          <w:sz w:val="24"/>
        </w:rPr>
        <w:t>GF-PR</w:t>
      </w:r>
      <w:r>
        <w:rPr>
          <w:spacing w:val="-10"/>
          <w:sz w:val="24"/>
        </w:rPr>
        <w:t> </w:t>
      </w:r>
      <w:r>
        <w:rPr>
          <w:sz w:val="24"/>
        </w:rPr>
        <w:t>bounds</w:t>
      </w:r>
      <w:r>
        <w:rPr>
          <w:spacing w:val="-10"/>
          <w:sz w:val="24"/>
        </w:rPr>
        <w:t> </w:t>
      </w:r>
      <w:r>
        <w:rPr>
          <w:sz w:val="24"/>
        </w:rPr>
        <w:t>trading-outcome</w:t>
      </w:r>
      <w:r>
        <w:rPr>
          <w:spacing w:val="-10"/>
          <w:sz w:val="24"/>
        </w:rPr>
        <w:t> </w:t>
      </w:r>
      <w:r>
        <w:rPr>
          <w:sz w:val="24"/>
        </w:rPr>
        <w:t>alignment</w:t>
      </w:r>
      <w:r>
        <w:rPr>
          <w:spacing w:val="-10"/>
          <w:sz w:val="24"/>
        </w:rPr>
        <w:t> </w:t>
      </w:r>
      <w:r>
        <w:rPr>
          <w:sz w:val="24"/>
        </w:rPr>
        <w:t>via</w:t>
      </w:r>
      <w:r>
        <w:rPr>
          <w:spacing w:val="-10"/>
          <w:sz w:val="24"/>
        </w:rPr>
        <w:t> </w:t>
      </w:r>
      <w:r>
        <w:rPr>
          <w:sz w:val="24"/>
        </w:rPr>
        <w:t>construct</w:t>
      </w:r>
      <w:r>
        <w:rPr>
          <w:spacing w:val="-11"/>
          <w:sz w:val="24"/>
        </w:rPr>
        <w:t> </w:t>
      </w:r>
      <w:r>
        <w:rPr>
          <w:spacing w:val="-2"/>
          <w:sz w:val="24"/>
        </w:rPr>
        <w:t>overlap.</w:t>
      </w:r>
    </w:p>
    <w:p>
      <w:pPr>
        <w:pStyle w:val="ListParagraph"/>
        <w:numPr>
          <w:ilvl w:val="3"/>
          <w:numId w:val="8"/>
        </w:numPr>
        <w:tabs>
          <w:tab w:pos="807" w:val="left" w:leader="none"/>
        </w:tabs>
        <w:spacing w:line="240" w:lineRule="auto" w:before="1" w:after="0"/>
        <w:ind w:left="807" w:right="0" w:hanging="214"/>
        <w:jc w:val="left"/>
        <w:rPr>
          <w:sz w:val="24"/>
        </w:rPr>
      </w:pPr>
      <w:r>
        <w:rPr>
          <w:i/>
        </w:rPr>
        <w:t>성명서: GF-PR은 구성 중복을 통해 거래 결과 정렬을 제한합니다.</w:t>
      </w:r>
    </w:p>
    <w:p>
      <w:pPr>
        <w:pStyle w:val="ListParagraph"/>
        <w:numPr>
          <w:ilvl w:val="3"/>
          <w:numId w:val="8"/>
        </w:numPr>
        <w:tabs>
          <w:tab w:pos="807" w:val="left" w:leader="none"/>
        </w:tabs>
        <w:spacing w:line="240" w:lineRule="auto" w:before="212" w:after="0"/>
        <w:ind w:left="807" w:right="0" w:hanging="214"/>
        <w:jc w:val="left"/>
        <w:rPr>
          <w:sz w:val="24"/>
        </w:rPr>
      </w:pPr>
      <w:r>
        <w:rPr>
          <w:b/>
          <w:sz w:val="24"/>
        </w:rPr>
        <w:t>Evidence:</w:t>
      </w:r>
      <w:r>
        <w:rPr>
          <w:b/>
          <w:spacing w:val="4"/>
          <w:sz w:val="24"/>
        </w:rPr>
        <w:t> </w:t>
      </w:r>
      <w:r>
        <w:rPr>
          <w:sz w:val="24"/>
        </w:rPr>
        <w:t>Table</w:t>
      </w:r>
      <w:r>
        <w:rPr>
          <w:spacing w:val="-11"/>
          <w:sz w:val="24"/>
        </w:rPr>
        <w:t> </w:t>
      </w:r>
      <w:hyperlink w:history="true" w:anchor="_bookmark101">
        <w:r>
          <w:rPr>
            <w:sz w:val="24"/>
          </w:rPr>
          <w:t>4.7</w:t>
        </w:r>
      </w:hyperlink>
      <w:r>
        <w:rPr>
          <w:spacing w:val="-12"/>
          <w:sz w:val="24"/>
        </w:rPr>
        <w:t> </w:t>
      </w:r>
      <w:r>
        <w:rPr>
          <w:sz w:val="24"/>
        </w:rPr>
        <w:t>row</w:t>
      </w:r>
      <w:r>
        <w:rPr>
          <w:spacing w:val="-11"/>
          <w:sz w:val="24"/>
        </w:rPr>
        <w:t> </w:t>
      </w:r>
      <w:r>
        <w:rPr>
          <w:sz w:val="24"/>
        </w:rPr>
        <w:t>GF-PR:</w:t>
      </w:r>
      <w:r>
        <w:rPr>
          <w:spacing w:val="-12"/>
          <w:sz w:val="24"/>
        </w:rPr>
        <w:t> </w:t>
      </w:r>
      <w:r>
        <w:rPr>
          <w:sz w:val="24"/>
        </w:rPr>
        <w:t>inverse-risk</w:t>
      </w:r>
      <w:r>
        <w:rPr>
          <w:spacing w:val="-12"/>
          <w:sz w:val="24"/>
        </w:rPr>
        <w:t> </w:t>
      </w:r>
      <w:r>
        <w:rPr>
          <w:rFonts w:ascii="Calibri" w:hAnsi="Calibri"/>
          <w:sz w:val="24"/>
        </w:rPr>
        <w:t>0</w:t>
      </w:r>
      <w:r>
        <w:rPr>
          <w:rFonts w:ascii="Calibri" w:hAnsi="Calibri"/>
          <w:i/>
          <w:sz w:val="24"/>
        </w:rPr>
        <w:t>.</w:t>
      </w:r>
      <w:r>
        <w:rPr>
          <w:rFonts w:ascii="Calibri" w:hAnsi="Calibri"/>
          <w:sz w:val="24"/>
        </w:rPr>
        <w:t>376</w:t>
      </w:r>
      <w:r>
        <w:rPr>
          <w:sz w:val="24"/>
        </w:rPr>
        <w:t>,</w:t>
      </w:r>
      <w:r>
        <w:rPr>
          <w:spacing w:val="-11"/>
          <w:sz w:val="24"/>
        </w:rPr>
        <w:t> </w:t>
      </w:r>
      <w:r>
        <w:rPr>
          <w:sz w:val="24"/>
        </w:rPr>
        <w:t>trading</w:t>
      </w:r>
      <w:r>
        <w:rPr>
          <w:spacing w:val="-12"/>
          <w:sz w:val="24"/>
        </w:rPr>
        <w:t> </w:t>
      </w:r>
      <w:r>
        <w:rPr>
          <w:sz w:val="24"/>
        </w:rPr>
        <w:t>success</w:t>
      </w:r>
      <w:r>
        <w:rPr>
          <w:spacing w:val="-11"/>
          <w:sz w:val="24"/>
        </w:rPr>
        <w:t> </w:t>
      </w:r>
      <w:r>
        <w:rPr>
          <w:rFonts w:ascii="Calibri" w:hAnsi="Calibri"/>
          <w:sz w:val="24"/>
        </w:rPr>
        <w:t>0</w:t>
      </w:r>
      <w:r>
        <w:rPr>
          <w:rFonts w:ascii="Calibri" w:hAnsi="Calibri"/>
          <w:i/>
          <w:sz w:val="24"/>
        </w:rPr>
        <w:t>.</w:t>
      </w:r>
      <w:r>
        <w:rPr>
          <w:rFonts w:ascii="Calibri" w:hAnsi="Calibri"/>
          <w:sz w:val="24"/>
        </w:rPr>
        <w:t>583</w:t>
      </w:r>
      <w:r>
        <w:rPr>
          <w:sz w:val="24"/>
        </w:rPr>
        <w:t>;</w:t>
      </w:r>
      <w:r>
        <w:rPr>
          <w:spacing w:val="-11"/>
          <w:sz w:val="24"/>
        </w:rPr>
        <w:t> </w:t>
      </w:r>
      <w:r>
        <w:rPr>
          <w:sz w:val="24"/>
        </w:rPr>
        <w:t>Section</w:t>
      </w:r>
      <w:r>
        <w:rPr>
          <w:spacing w:val="-12"/>
          <w:sz w:val="24"/>
        </w:rPr>
        <w:t> </w:t>
      </w:r>
      <w:hyperlink w:history="true" w:anchor="_bookmark112">
        <w:r>
          <w:rPr>
            <w:spacing w:val="-4"/>
            <w:sz w:val="24"/>
          </w:rPr>
          <w:t>4.7</w:t>
        </w:r>
      </w:hyperlink>
      <w:r>
        <w:rPr>
          <w:spacing w:val="-4"/>
          <w:sz w:val="24"/>
        </w:rPr>
        <w:t>.</w:t>
      </w:r>
    </w:p>
    <w:p>
      <w:pPr>
        <w:pStyle w:val="ListParagraph"/>
        <w:numPr>
          <w:ilvl w:val="3"/>
          <w:numId w:val="8"/>
        </w:numPr>
        <w:tabs>
          <w:tab w:pos="807" w:val="left" w:leader="none"/>
        </w:tabs>
        <w:spacing w:line="240" w:lineRule="auto" w:before="212" w:after="0"/>
        <w:ind w:left="807" w:right="0" w:hanging="214"/>
        <w:jc w:val="left"/>
        <w:rPr>
          <w:sz w:val="24"/>
        </w:rPr>
      </w:pPr>
      <w:r>
        <w:rPr>
          <w:i/>
        </w:rPr>
        <w:t>증거: 표 4.7 행 GF-PR: 역위험 0.376, 거래 성공 0.583, 섹션 4.7.</w:t>
      </w:r>
    </w:p>
    <w:p>
      <w:pPr>
        <w:pStyle w:val="ListParagraph"/>
        <w:spacing w:after="0" w:line="240" w:lineRule="auto"/>
        <w:jc w:val="left"/>
        <w:rPr>
          <w:sz w:val="24"/>
        </w:rPr>
        <w:sectPr>
          <w:pgSz w:w="11910" w:h="16840"/>
          <w:pgMar w:header="0" w:footer="2115" w:top="1840" w:bottom="2300" w:left="992" w:right="708"/>
        </w:sectPr>
      </w:pPr>
    </w:p>
    <w:p>
      <w:pPr>
        <w:pStyle w:val="Heading4"/>
        <w:numPr>
          <w:ilvl w:val="2"/>
          <w:numId w:val="8"/>
        </w:numPr>
        <w:tabs>
          <w:tab w:pos="879" w:val="left" w:leader="none"/>
        </w:tabs>
        <w:spacing w:line="240" w:lineRule="auto" w:before="73" w:after="0"/>
        <w:ind w:left="879" w:right="0" w:hanging="597"/>
        <w:jc w:val="left"/>
      </w:pPr>
      <w:r>
        <w:rPr>
          <w:spacing w:val="-2"/>
        </w:rPr>
        <w:t>Claims</w:t>
      </w:r>
      <w:r>
        <w:rPr/>
        <w:t> </w:t>
      </w:r>
      <w:r>
        <w:rPr>
          <w:spacing w:val="-2"/>
        </w:rPr>
        <w:t>C1–</w:t>
      </w:r>
      <w:r>
        <w:rPr>
          <w:spacing w:val="-5"/>
        </w:rPr>
        <w:t>C4</w:t>
      </w:r>
    </w:p>
    <w:p>
      <w:pPr>
        <w:pStyle w:val="Heading4"/>
        <w:numPr>
          <w:ilvl w:val="2"/>
          <w:numId w:val="8"/>
        </w:numPr>
        <w:tabs>
          <w:tab w:pos="879" w:val="left" w:leader="none"/>
        </w:tabs>
        <w:spacing w:line="240" w:lineRule="auto" w:before="73" w:after="0"/>
        <w:ind w:left="879" w:right="0" w:hanging="597"/>
        <w:jc w:val="left"/>
      </w:pPr>
      <w:r>
        <w:rPr>
          <w:i/>
        </w:rPr>
        <w:t>클레임 C1~C4</w:t>
      </w:r>
    </w:p>
    <w:p>
      <w:pPr>
        <w:pStyle w:val="BodyText"/>
        <w:spacing w:before="46"/>
        <w:rPr>
          <w:b/>
        </w:rPr>
      </w:pPr>
    </w:p>
    <w:p>
      <w:pPr>
        <w:pStyle w:val="ListParagraph"/>
        <w:numPr>
          <w:ilvl w:val="3"/>
          <w:numId w:val="8"/>
        </w:numPr>
        <w:tabs>
          <w:tab w:pos="807" w:val="left" w:leader="none"/>
        </w:tabs>
        <w:spacing w:line="240" w:lineRule="auto" w:before="0" w:after="0"/>
        <w:ind w:left="807" w:right="0" w:hanging="214"/>
        <w:jc w:val="left"/>
        <w:rPr>
          <w:sz w:val="24"/>
        </w:rPr>
      </w:pPr>
      <w:r>
        <w:rPr>
          <w:b/>
          <w:sz w:val="24"/>
        </w:rPr>
        <w:t>C1:</w:t>
      </w:r>
      <w:r>
        <w:rPr>
          <w:b/>
          <w:spacing w:val="12"/>
          <w:sz w:val="24"/>
        </w:rPr>
        <w:t> </w:t>
      </w:r>
      <w:r>
        <w:rPr>
          <w:sz w:val="24"/>
        </w:rPr>
        <w:t>runtime</w:t>
      </w:r>
      <w:r>
        <w:rPr>
          <w:spacing w:val="-5"/>
          <w:sz w:val="24"/>
        </w:rPr>
        <w:t> </w:t>
      </w:r>
      <w:r>
        <w:rPr>
          <w:sz w:val="24"/>
        </w:rPr>
        <w:t>evidence</w:t>
      </w:r>
      <w:r>
        <w:rPr>
          <w:spacing w:val="-6"/>
          <w:sz w:val="24"/>
        </w:rPr>
        <w:t> </w:t>
      </w:r>
      <w:r>
        <w:rPr>
          <w:sz w:val="24"/>
        </w:rPr>
        <w:t>as</w:t>
      </w:r>
      <w:r>
        <w:rPr>
          <w:spacing w:val="-5"/>
          <w:sz w:val="24"/>
        </w:rPr>
        <w:t> </w:t>
      </w:r>
      <w:r>
        <w:rPr>
          <w:sz w:val="24"/>
        </w:rPr>
        <w:t>in</w:t>
      </w:r>
      <w:r>
        <w:rPr>
          <w:spacing w:val="-6"/>
          <w:sz w:val="24"/>
        </w:rPr>
        <w:t> </w:t>
      </w:r>
      <w:r>
        <w:rPr>
          <w:spacing w:val="-2"/>
          <w:sz w:val="24"/>
        </w:rPr>
        <w:t>H3/RQ3.</w:t>
      </w:r>
    </w:p>
    <w:p>
      <w:pPr>
        <w:pStyle w:val="ListParagraph"/>
        <w:numPr>
          <w:ilvl w:val="3"/>
          <w:numId w:val="8"/>
        </w:numPr>
        <w:tabs>
          <w:tab w:pos="807" w:val="left" w:leader="none"/>
        </w:tabs>
        <w:spacing w:line="240" w:lineRule="auto" w:before="0" w:after="0"/>
        <w:ind w:left="807" w:right="0" w:hanging="214"/>
        <w:jc w:val="left"/>
        <w:rPr>
          <w:sz w:val="24"/>
        </w:rPr>
      </w:pPr>
      <w:r>
        <w:rPr>
          <w:i/>
        </w:rPr>
        <w:t>C1: H3/RQ3과 같은 런타임 증거.</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b/>
          <w:sz w:val="24"/>
        </w:rPr>
        <w:t>C2:</w:t>
      </w:r>
      <w:r>
        <w:rPr>
          <w:b/>
          <w:spacing w:val="40"/>
          <w:sz w:val="24"/>
        </w:rPr>
        <w:t> </w:t>
      </w:r>
      <w:r>
        <w:rPr>
          <w:sz w:val="24"/>
        </w:rPr>
        <w:t>credible alignment on selected proxies—allowance for ER, transfer for AWP—in </w:t>
      </w:r>
      <w:r>
        <w:rPr>
          <w:sz w:val="24"/>
        </w:rPr>
        <w:t>Ta-bles </w:t>
      </w:r>
      <w:hyperlink w:history="true" w:anchor="_bookmark105">
        <w:r>
          <w:rPr>
            <w:sz w:val="24"/>
          </w:rPr>
          <w:t>4.9</w:t>
        </w:r>
      </w:hyperlink>
      <w:r>
        <w:rPr>
          <w:sz w:val="24"/>
        </w:rPr>
        <w:t> and </w:t>
      </w:r>
      <w:hyperlink w:history="true" w:anchor="_bookmark104">
        <w:r>
          <w:rPr>
            <w:sz w:val="24"/>
          </w:rPr>
          <w:t>4.8</w:t>
        </w:r>
      </w:hyperlink>
      <w:r>
        <w:rPr>
          <w:sz w:val="24"/>
        </w:rPr>
        <w:t>.</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i/>
        </w:rPr>
        <w:t>C2: 선택된 프록시에 대한 신뢰할 수 있는 정렬(ER 허용, AWP 전송)(표 4.9 및 4.8).</w:t>
      </w:r>
    </w:p>
    <w:p>
      <w:pPr>
        <w:pStyle w:val="ListParagraph"/>
        <w:numPr>
          <w:ilvl w:val="3"/>
          <w:numId w:val="8"/>
        </w:numPr>
        <w:tabs>
          <w:tab w:pos="807" w:val="left" w:leader="none"/>
        </w:tabs>
        <w:spacing w:line="240" w:lineRule="auto" w:before="39" w:after="0"/>
        <w:ind w:left="807" w:right="0" w:hanging="214"/>
        <w:jc w:val="left"/>
        <w:rPr>
          <w:sz w:val="24"/>
        </w:rPr>
      </w:pPr>
      <w:r>
        <w:rPr>
          <w:b/>
          <w:sz w:val="24"/>
        </w:rPr>
        <w:t>C3:</w:t>
      </w:r>
      <w:r>
        <w:rPr>
          <w:b/>
          <w:spacing w:val="9"/>
          <w:sz w:val="24"/>
        </w:rPr>
        <w:t> </w:t>
      </w:r>
      <w:r>
        <w:rPr>
          <w:sz w:val="24"/>
        </w:rPr>
        <w:t>construct-specific</w:t>
      </w:r>
      <w:r>
        <w:rPr>
          <w:spacing w:val="-9"/>
          <w:sz w:val="24"/>
        </w:rPr>
        <w:t> </w:t>
      </w:r>
      <w:r>
        <w:rPr>
          <w:sz w:val="24"/>
        </w:rPr>
        <w:t>winners</w:t>
      </w:r>
      <w:r>
        <w:rPr>
          <w:spacing w:val="-8"/>
          <w:sz w:val="24"/>
        </w:rPr>
        <w:t> </w:t>
      </w:r>
      <w:r>
        <w:rPr>
          <w:sz w:val="24"/>
        </w:rPr>
        <w:t>as</w:t>
      </w:r>
      <w:r>
        <w:rPr>
          <w:spacing w:val="-8"/>
          <w:sz w:val="24"/>
        </w:rPr>
        <w:t> </w:t>
      </w:r>
      <w:r>
        <w:rPr>
          <w:sz w:val="24"/>
        </w:rPr>
        <w:t>in</w:t>
      </w:r>
      <w:r>
        <w:rPr>
          <w:spacing w:val="-9"/>
          <w:sz w:val="24"/>
        </w:rPr>
        <w:t> </w:t>
      </w:r>
      <w:r>
        <w:rPr>
          <w:spacing w:val="-2"/>
          <w:sz w:val="24"/>
        </w:rPr>
        <w:t>H2/RQ2.</w:t>
      </w:r>
    </w:p>
    <w:p>
      <w:pPr>
        <w:pStyle w:val="ListParagraph"/>
        <w:numPr>
          <w:ilvl w:val="3"/>
          <w:numId w:val="8"/>
        </w:numPr>
        <w:tabs>
          <w:tab w:pos="807" w:val="left" w:leader="none"/>
        </w:tabs>
        <w:spacing w:line="240" w:lineRule="auto" w:before="39" w:after="0"/>
        <w:ind w:left="807" w:right="0" w:hanging="214"/>
        <w:jc w:val="left"/>
        <w:rPr>
          <w:sz w:val="24"/>
        </w:rPr>
      </w:pPr>
      <w:r>
        <w:rPr>
          <w:i/>
        </w:rPr>
        <w:t>C3: H2/RQ2와 같은 구성별 승자.</w:t>
      </w:r>
    </w:p>
    <w:p>
      <w:pPr>
        <w:pStyle w:val="ListParagraph"/>
        <w:numPr>
          <w:ilvl w:val="3"/>
          <w:numId w:val="8"/>
        </w:numPr>
        <w:tabs>
          <w:tab w:pos="807" w:val="left" w:leader="none"/>
        </w:tabs>
        <w:spacing w:line="240" w:lineRule="auto" w:before="213" w:after="0"/>
        <w:ind w:left="807" w:right="0" w:hanging="214"/>
        <w:jc w:val="left"/>
        <w:rPr>
          <w:sz w:val="24"/>
        </w:rPr>
      </w:pPr>
      <w:r>
        <w:rPr>
          <w:b/>
          <w:sz w:val="24"/>
        </w:rPr>
        <w:t>C4:</w:t>
      </w:r>
      <w:r>
        <w:rPr>
          <w:b/>
          <w:spacing w:val="57"/>
          <w:sz w:val="24"/>
        </w:rPr>
        <w:t> </w:t>
      </w:r>
      <w:r>
        <w:rPr>
          <w:sz w:val="24"/>
        </w:rPr>
        <w:t>efficiency–alignment</w:t>
      </w:r>
      <w:r>
        <w:rPr>
          <w:spacing w:val="19"/>
          <w:sz w:val="24"/>
        </w:rPr>
        <w:t> </w:t>
      </w:r>
      <w:r>
        <w:rPr>
          <w:sz w:val="24"/>
        </w:rPr>
        <w:t>trade-off</w:t>
      </w:r>
      <w:r>
        <w:rPr>
          <w:spacing w:val="18"/>
          <w:sz w:val="24"/>
        </w:rPr>
        <w:t> </w:t>
      </w:r>
      <w:r>
        <w:rPr>
          <w:sz w:val="24"/>
        </w:rPr>
        <w:t>combining</w:t>
      </w:r>
      <w:r>
        <w:rPr>
          <w:spacing w:val="19"/>
          <w:sz w:val="24"/>
        </w:rPr>
        <w:t> </w:t>
      </w:r>
      <w:r>
        <w:rPr>
          <w:sz w:val="24"/>
        </w:rPr>
        <w:t>C1</w:t>
      </w:r>
      <w:r>
        <w:rPr>
          <w:spacing w:val="19"/>
          <w:sz w:val="24"/>
        </w:rPr>
        <w:t> </w:t>
      </w:r>
      <w:r>
        <w:rPr>
          <w:sz w:val="24"/>
        </w:rPr>
        <w:t>with</w:t>
      </w:r>
      <w:r>
        <w:rPr>
          <w:spacing w:val="18"/>
          <w:sz w:val="24"/>
        </w:rPr>
        <w:t> </w:t>
      </w:r>
      <w:r>
        <w:rPr>
          <w:sz w:val="24"/>
        </w:rPr>
        <w:t>allowance</w:t>
      </w:r>
      <w:r>
        <w:rPr>
          <w:spacing w:val="18"/>
          <w:sz w:val="24"/>
        </w:rPr>
        <w:t> </w:t>
      </w:r>
      <w:r>
        <w:rPr>
          <w:rFonts w:ascii="Calibri" w:hAnsi="Calibri"/>
          <w:i/>
          <w:sz w:val="24"/>
        </w:rPr>
        <w:t>τ</w:t>
      </w:r>
      <w:r>
        <w:rPr>
          <w:rFonts w:ascii="Calibri" w:hAnsi="Calibri"/>
          <w:i/>
          <w:spacing w:val="54"/>
          <w:w w:val="150"/>
          <w:sz w:val="24"/>
        </w:rPr>
        <w:t> </w:t>
      </w:r>
      <w:r>
        <w:rPr>
          <w:rFonts w:ascii="Calibri" w:hAnsi="Calibri"/>
          <w:sz w:val="24"/>
        </w:rPr>
        <w:t>=</w:t>
      </w:r>
      <w:r>
        <w:rPr>
          <w:rFonts w:ascii="Calibri" w:hAnsi="Calibri"/>
          <w:spacing w:val="55"/>
          <w:sz w:val="24"/>
        </w:rPr>
        <w:t> </w:t>
      </w:r>
      <w:r>
        <w:rPr>
          <w:rFonts w:ascii="Calibri" w:hAnsi="Calibri"/>
          <w:sz w:val="24"/>
        </w:rPr>
        <w:t>0</w:t>
      </w:r>
      <w:r>
        <w:rPr>
          <w:rFonts w:ascii="Calibri" w:hAnsi="Calibri"/>
          <w:i/>
          <w:sz w:val="24"/>
        </w:rPr>
        <w:t>.</w:t>
      </w:r>
      <w:r>
        <w:rPr>
          <w:rFonts w:ascii="Calibri" w:hAnsi="Calibri"/>
          <w:sz w:val="24"/>
        </w:rPr>
        <w:t>355</w:t>
      </w:r>
      <w:r>
        <w:rPr>
          <w:rFonts w:ascii="Calibri" w:hAnsi="Calibri"/>
          <w:spacing w:val="24"/>
          <w:sz w:val="24"/>
        </w:rPr>
        <w:t> </w:t>
      </w:r>
      <w:r>
        <w:rPr>
          <w:sz w:val="24"/>
        </w:rPr>
        <w:t>and</w:t>
      </w:r>
      <w:r>
        <w:rPr>
          <w:spacing w:val="19"/>
          <w:sz w:val="24"/>
        </w:rPr>
        <w:t> </w:t>
      </w:r>
      <w:r>
        <w:rPr>
          <w:spacing w:val="-2"/>
          <w:sz w:val="24"/>
        </w:rPr>
        <w:t>transfer</w:t>
      </w:r>
    </w:p>
    <w:p>
      <w:pPr>
        <w:pStyle w:val="ListParagraph"/>
        <w:numPr>
          <w:ilvl w:val="3"/>
          <w:numId w:val="8"/>
        </w:numPr>
        <w:tabs>
          <w:tab w:pos="807" w:val="left" w:leader="none"/>
        </w:tabs>
        <w:spacing w:line="240" w:lineRule="auto" w:before="213" w:after="0"/>
        <w:ind w:left="807" w:right="0" w:hanging="214"/>
        <w:jc w:val="left"/>
        <w:rPr>
          <w:sz w:val="24"/>
        </w:rPr>
      </w:pPr>
      <w:r>
        <w:rPr>
          <w:i/>
        </w:rPr>
        <w:t>C4: C1과 허용량 τ = 0.355 및 전송을 결합한 효율성-정렬 트레이드오프</w:t>
      </w:r>
    </w:p>
    <w:p>
      <w:pPr>
        <w:pStyle w:val="BodyText"/>
        <w:spacing w:before="163"/>
        <w:ind w:left="808"/>
      </w:pPr>
      <w:r>
        <w:rPr>
          <w:rFonts w:ascii="Calibri" w:hAnsi="Calibri"/>
          <w:i/>
        </w:rPr>
        <w:t>τ</w:t>
      </w:r>
      <w:r>
        <w:rPr>
          <w:rFonts w:ascii="Calibri" w:hAnsi="Calibri"/>
          <w:i/>
          <w:spacing w:val="34"/>
        </w:rPr>
        <w:t> </w:t>
      </w:r>
      <w:r>
        <w:rPr>
          <w:rFonts w:ascii="Calibri" w:hAnsi="Calibri"/>
        </w:rPr>
        <w:t>=</w:t>
      </w:r>
      <w:r>
        <w:rPr>
          <w:rFonts w:ascii="Calibri" w:hAnsi="Calibri"/>
          <w:spacing w:val="8"/>
        </w:rPr>
        <w:t> </w:t>
      </w:r>
      <w:r>
        <w:rPr>
          <w:rFonts w:ascii="Calibri" w:hAnsi="Calibri"/>
        </w:rPr>
        <w:t>0</w:t>
      </w:r>
      <w:r>
        <w:rPr>
          <w:rFonts w:ascii="Calibri" w:hAnsi="Calibri"/>
          <w:i/>
        </w:rPr>
        <w:t>.</w:t>
      </w:r>
      <w:r>
        <w:rPr>
          <w:rFonts w:ascii="Calibri" w:hAnsi="Calibri"/>
        </w:rPr>
        <w:t>333</w:t>
      </w:r>
      <w:r>
        <w:rPr>
          <w:rFonts w:ascii="Calibri" w:hAnsi="Calibri"/>
          <w:spacing w:val="3"/>
        </w:rPr>
        <w:t> </w:t>
      </w:r>
      <w:r>
        <w:rPr/>
        <w:t>for</w:t>
      </w:r>
      <w:r>
        <w:rPr>
          <w:spacing w:val="-4"/>
        </w:rPr>
        <w:t> </w:t>
      </w:r>
      <w:r>
        <w:rPr/>
        <w:t>EndorseRank;</w:t>
      </w:r>
      <w:r>
        <w:rPr>
          <w:spacing w:val="-3"/>
        </w:rPr>
        <w:t> </w:t>
      </w:r>
      <w:r>
        <w:rPr/>
        <w:t>robustness</w:t>
      </w:r>
      <w:r>
        <w:rPr>
          <w:spacing w:val="-4"/>
        </w:rPr>
        <w:t> </w:t>
      </w:r>
      <w:r>
        <w:rPr/>
        <w:t>in</w:t>
      </w:r>
      <w:r>
        <w:rPr>
          <w:spacing w:val="-3"/>
        </w:rPr>
        <w:t> </w:t>
      </w:r>
      <w:r>
        <w:rPr/>
        <w:t>Tables</w:t>
      </w:r>
      <w:r>
        <w:rPr>
          <w:spacing w:val="-3"/>
        </w:rPr>
        <w:t> </w:t>
      </w:r>
      <w:hyperlink w:history="true" w:anchor="_bookmark96">
        <w:r>
          <w:rPr/>
          <w:t>4.4</w:t>
        </w:r>
      </w:hyperlink>
      <w:r>
        <w:rPr/>
        <w:t>–</w:t>
      </w:r>
      <w:hyperlink w:history="true" w:anchor="_bookmark99">
        <w:r>
          <w:rPr/>
          <w:t>4.6</w:t>
        </w:r>
      </w:hyperlink>
      <w:r>
        <w:rPr>
          <w:spacing w:val="-4"/>
        </w:rPr>
        <w:t> </w:t>
      </w:r>
      <w:r>
        <w:rPr/>
        <w:t>and</w:t>
      </w:r>
      <w:r>
        <w:rPr>
          <w:spacing w:val="-3"/>
        </w:rPr>
        <w:t> </w:t>
      </w:r>
      <w:r>
        <w:rPr/>
        <w:t>Figure</w:t>
      </w:r>
      <w:r>
        <w:rPr>
          <w:spacing w:val="-4"/>
        </w:rPr>
        <w:t> </w:t>
      </w:r>
      <w:hyperlink w:history="true" w:anchor="_bookmark97">
        <w:r>
          <w:rPr>
            <w:spacing w:val="-4"/>
          </w:rPr>
          <w:t>4.5</w:t>
        </w:r>
      </w:hyperlink>
      <w:r>
        <w:rPr>
          <w:spacing w:val="-4"/>
        </w:rPr>
        <w:t>.</w:t>
      </w:r>
    </w:p>
    <w:p>
      <w:pPr>
        <w:pStyle w:val="BodyText"/>
        <w:spacing w:before="163"/>
        <w:ind w:left="808"/>
      </w:pPr>
      <w:r>
        <w:rPr>
          <w:i/>
        </w:rPr>
        <w:t>EndorseRank의 경우 τ = 0.333, 표 4.4–4.6 및 그림 4.5의 견고성.</w:t>
      </w:r>
    </w:p>
    <w:p>
      <w:pPr>
        <w:pStyle w:val="BodyText"/>
        <w:spacing w:before="173"/>
      </w:pPr>
    </w:p>
    <w:p>
      <w:pPr>
        <w:pStyle w:val="Heading4"/>
        <w:numPr>
          <w:ilvl w:val="2"/>
          <w:numId w:val="8"/>
        </w:numPr>
        <w:tabs>
          <w:tab w:pos="879" w:val="left" w:leader="none"/>
        </w:tabs>
        <w:spacing w:line="240" w:lineRule="auto" w:before="0" w:after="0"/>
        <w:ind w:left="879" w:right="0" w:hanging="597"/>
        <w:jc w:val="left"/>
      </w:pPr>
      <w:bookmarkStart w:name="Explicit non-claims" w:id="407"/>
      <w:bookmarkEnd w:id="407"/>
      <w:r>
        <w:rPr>
          <w:b w:val="0"/>
        </w:rPr>
      </w:r>
      <w:bookmarkStart w:name="_bookmark243" w:id="408"/>
      <w:bookmarkEnd w:id="408"/>
      <w:r>
        <w:rPr>
          <w:b w:val="0"/>
        </w:rPr>
      </w:r>
      <w:r>
        <w:rPr>
          <w:spacing w:val="-2"/>
        </w:rPr>
        <w:t>Explicit</w:t>
      </w:r>
      <w:r>
        <w:rPr>
          <w:spacing w:val="6"/>
        </w:rPr>
        <w:t> </w:t>
      </w:r>
      <w:r>
        <w:rPr>
          <w:spacing w:val="-2"/>
        </w:rPr>
        <w:t>non-claims</w:t>
      </w:r>
    </w:p>
    <w:p>
      <w:pPr>
        <w:pStyle w:val="Heading4"/>
        <w:numPr>
          <w:ilvl w:val="2"/>
          <w:numId w:val="8"/>
        </w:numPr>
        <w:tabs>
          <w:tab w:pos="879" w:val="left" w:leader="none"/>
        </w:tabs>
        <w:spacing w:line="240" w:lineRule="auto" w:before="0" w:after="0"/>
        <w:ind w:left="879" w:right="0" w:hanging="597"/>
        <w:jc w:val="left"/>
      </w:pPr>
      <w:r>
        <w:rPr>
          <w:i/>
        </w:rPr>
        <w:t>명시적인 비청구</w:t>
      </w:r>
    </w:p>
    <w:p>
      <w:pPr>
        <w:pStyle w:val="BodyText"/>
        <w:spacing w:before="46"/>
        <w:rPr>
          <w:b/>
        </w:rPr>
      </w:pPr>
    </w:p>
    <w:p>
      <w:pPr>
        <w:pStyle w:val="BodyText"/>
        <w:spacing w:before="1"/>
        <w:ind w:left="274"/>
      </w:pPr>
      <w:r>
        <w:rPr/>
        <w:t>The</w:t>
      </w:r>
      <w:r>
        <w:rPr>
          <w:spacing w:val="-8"/>
        </w:rPr>
        <w:t> </w:t>
      </w:r>
      <w:r>
        <w:rPr/>
        <w:t>dissertation</w:t>
      </w:r>
      <w:r>
        <w:rPr>
          <w:spacing w:val="-7"/>
        </w:rPr>
        <w:t> </w:t>
      </w:r>
      <w:r>
        <w:rPr/>
        <w:t>does</w:t>
      </w:r>
      <w:r>
        <w:rPr>
          <w:spacing w:val="-7"/>
        </w:rPr>
        <w:t> </w:t>
      </w:r>
      <w:r>
        <w:rPr>
          <w:i/>
        </w:rPr>
        <w:t>not</w:t>
      </w:r>
      <w:r>
        <w:rPr>
          <w:i/>
          <w:spacing w:val="-3"/>
        </w:rPr>
        <w:t> </w:t>
      </w:r>
      <w:r>
        <w:rPr>
          <w:spacing w:val="-2"/>
        </w:rPr>
        <w:t>claim:</w:t>
      </w:r>
    </w:p>
    <w:p>
      <w:pPr>
        <w:pStyle w:val="BodyText"/>
        <w:spacing w:before="1"/>
        <w:ind w:left="274"/>
      </w:pPr>
      <w:r>
        <w:rPr>
          <w:i/>
        </w:rPr>
        <w:t>논문은 다음을 주장하지 않습니다:</w:t>
      </w:r>
    </w:p>
    <w:p>
      <w:pPr>
        <w:pStyle w:val="BodyText"/>
        <w:spacing w:before="23"/>
      </w:pPr>
    </w:p>
    <w:p>
      <w:pPr>
        <w:pStyle w:val="ListParagraph"/>
        <w:numPr>
          <w:ilvl w:val="3"/>
          <w:numId w:val="8"/>
        </w:numPr>
        <w:tabs>
          <w:tab w:pos="807" w:val="left" w:leader="none"/>
        </w:tabs>
        <w:spacing w:line="240" w:lineRule="auto" w:before="0" w:after="0"/>
        <w:ind w:left="807" w:right="0" w:hanging="214"/>
        <w:jc w:val="left"/>
        <w:rPr>
          <w:sz w:val="24"/>
        </w:rPr>
      </w:pPr>
      <w:r>
        <w:rPr>
          <w:sz w:val="24"/>
        </w:rPr>
        <w:t>that</w:t>
      </w:r>
      <w:r>
        <w:rPr>
          <w:spacing w:val="-11"/>
          <w:sz w:val="24"/>
        </w:rPr>
        <w:t> </w:t>
      </w:r>
      <w:r>
        <w:rPr>
          <w:sz w:val="24"/>
        </w:rPr>
        <w:t>EndorseRank</w:t>
      </w:r>
      <w:r>
        <w:rPr>
          <w:spacing w:val="-11"/>
          <w:sz w:val="24"/>
        </w:rPr>
        <w:t> </w:t>
      </w:r>
      <w:r>
        <w:rPr>
          <w:sz w:val="24"/>
        </w:rPr>
        <w:t>or</w:t>
      </w:r>
      <w:r>
        <w:rPr>
          <w:spacing w:val="-11"/>
          <w:sz w:val="24"/>
        </w:rPr>
        <w:t> </w:t>
      </w:r>
      <w:r>
        <w:rPr>
          <w:sz w:val="24"/>
        </w:rPr>
        <w:t>AWP</w:t>
      </w:r>
      <w:r>
        <w:rPr>
          <w:spacing w:val="-11"/>
          <w:sz w:val="24"/>
        </w:rPr>
        <w:t> </w:t>
      </w:r>
      <w:r>
        <w:rPr>
          <w:sz w:val="24"/>
        </w:rPr>
        <w:t>predicts</w:t>
      </w:r>
      <w:r>
        <w:rPr>
          <w:spacing w:val="-11"/>
          <w:sz w:val="24"/>
        </w:rPr>
        <w:t> </w:t>
      </w:r>
      <w:r>
        <w:rPr>
          <w:sz w:val="24"/>
        </w:rPr>
        <w:t>trading</w:t>
      </w:r>
      <w:r>
        <w:rPr>
          <w:spacing w:val="-11"/>
          <w:sz w:val="24"/>
        </w:rPr>
        <w:t> </w:t>
      </w:r>
      <w:r>
        <w:rPr>
          <w:sz w:val="24"/>
        </w:rPr>
        <w:t>profits</w:t>
      </w:r>
      <w:r>
        <w:rPr>
          <w:spacing w:val="-11"/>
          <w:sz w:val="24"/>
        </w:rPr>
        <w:t> </w:t>
      </w:r>
      <w:r>
        <w:rPr>
          <w:sz w:val="24"/>
        </w:rPr>
        <w:t>from</w:t>
      </w:r>
      <w:r>
        <w:rPr>
          <w:spacing w:val="-11"/>
          <w:sz w:val="24"/>
        </w:rPr>
        <w:t> </w:t>
      </w:r>
      <w:r>
        <w:rPr>
          <w:sz w:val="24"/>
        </w:rPr>
        <w:t>social</w:t>
      </w:r>
      <w:r>
        <w:rPr>
          <w:spacing w:val="-11"/>
          <w:sz w:val="24"/>
        </w:rPr>
        <w:t> </w:t>
      </w:r>
      <w:r>
        <w:rPr>
          <w:sz w:val="24"/>
        </w:rPr>
        <w:t>graphs</w:t>
      </w:r>
      <w:r>
        <w:rPr>
          <w:spacing w:val="-11"/>
          <w:sz w:val="24"/>
        </w:rPr>
        <w:t> </w:t>
      </w:r>
      <w:r>
        <w:rPr>
          <w:spacing w:val="-2"/>
          <w:sz w:val="24"/>
        </w:rPr>
        <w:t>alone;</w:t>
      </w:r>
    </w:p>
    <w:p>
      <w:pPr>
        <w:pStyle w:val="ListParagraph"/>
        <w:numPr>
          <w:ilvl w:val="3"/>
          <w:numId w:val="8"/>
        </w:numPr>
        <w:tabs>
          <w:tab w:pos="807" w:val="left" w:leader="none"/>
        </w:tabs>
        <w:spacing w:line="240" w:lineRule="auto" w:before="0" w:after="0"/>
        <w:ind w:left="807" w:right="0" w:hanging="214"/>
        <w:jc w:val="left"/>
        <w:rPr>
          <w:sz w:val="24"/>
        </w:rPr>
      </w:pPr>
      <w:r>
        <w:rPr>
          <w:i/>
        </w:rPr>
        <w:t>EndorseRank 또는 AWP는 소셜 그래프만으로 거래 수익을 예측합니다.</w:t>
      </w:r>
    </w:p>
    <w:p>
      <w:pPr>
        <w:pStyle w:val="ListParagraph"/>
        <w:numPr>
          <w:ilvl w:val="3"/>
          <w:numId w:val="8"/>
        </w:numPr>
        <w:tabs>
          <w:tab w:pos="807" w:val="left" w:leader="none"/>
        </w:tabs>
        <w:spacing w:line="240" w:lineRule="auto" w:before="217" w:after="0"/>
        <w:ind w:left="807" w:right="0" w:hanging="214"/>
        <w:jc w:val="left"/>
        <w:rPr>
          <w:sz w:val="24"/>
        </w:rPr>
      </w:pPr>
      <w:r>
        <w:rPr>
          <w:sz w:val="24"/>
        </w:rPr>
        <w:t>that</w:t>
      </w:r>
      <w:r>
        <w:rPr>
          <w:spacing w:val="-12"/>
          <w:sz w:val="24"/>
        </w:rPr>
        <w:t> </w:t>
      </w:r>
      <w:r>
        <w:rPr>
          <w:sz w:val="24"/>
        </w:rPr>
        <w:t>AWP</w:t>
      </w:r>
      <w:r>
        <w:rPr>
          <w:spacing w:val="-12"/>
          <w:sz w:val="24"/>
        </w:rPr>
        <w:t> </w:t>
      </w:r>
      <w:r>
        <w:rPr>
          <w:sz w:val="24"/>
        </w:rPr>
        <w:t>is</w:t>
      </w:r>
      <w:r>
        <w:rPr>
          <w:spacing w:val="-11"/>
          <w:sz w:val="24"/>
        </w:rPr>
        <w:t> </w:t>
      </w:r>
      <w:r>
        <w:rPr>
          <w:spacing w:val="-2"/>
          <w:sz w:val="24"/>
        </w:rPr>
        <w:t>obsolete;</w:t>
      </w:r>
    </w:p>
    <w:p>
      <w:pPr>
        <w:pStyle w:val="ListParagraph"/>
        <w:numPr>
          <w:ilvl w:val="3"/>
          <w:numId w:val="8"/>
        </w:numPr>
        <w:tabs>
          <w:tab w:pos="807" w:val="left" w:leader="none"/>
        </w:tabs>
        <w:spacing w:line="240" w:lineRule="auto" w:before="217" w:after="0"/>
        <w:ind w:left="807" w:right="0" w:hanging="214"/>
        <w:jc w:val="left"/>
        <w:rPr>
          <w:sz w:val="24"/>
        </w:rPr>
      </w:pPr>
      <w:r>
        <w:rPr>
          <w:i/>
        </w:rPr>
        <w:t>AWP는 더 이상 사용되지 않습니다.</w:t>
      </w:r>
    </w:p>
    <w:p>
      <w:pPr>
        <w:pStyle w:val="ListParagraph"/>
        <w:numPr>
          <w:ilvl w:val="3"/>
          <w:numId w:val="8"/>
        </w:numPr>
        <w:tabs>
          <w:tab w:pos="807" w:val="left" w:leader="none"/>
        </w:tabs>
        <w:spacing w:line="240" w:lineRule="auto" w:before="217" w:after="0"/>
        <w:ind w:left="807" w:right="0" w:hanging="214"/>
        <w:jc w:val="left"/>
        <w:rPr>
          <w:sz w:val="24"/>
        </w:rPr>
      </w:pPr>
      <w:r>
        <w:rPr>
          <w:sz w:val="24"/>
        </w:rPr>
        <w:t>that</w:t>
      </w:r>
      <w:r>
        <w:rPr>
          <w:spacing w:val="-7"/>
          <w:sz w:val="24"/>
        </w:rPr>
        <w:t> </w:t>
      </w:r>
      <w:r>
        <w:rPr>
          <w:sz w:val="24"/>
        </w:rPr>
        <w:t>GF-PR</w:t>
      </w:r>
      <w:r>
        <w:rPr>
          <w:spacing w:val="-7"/>
          <w:sz w:val="24"/>
        </w:rPr>
        <w:t> </w:t>
      </w:r>
      <w:r>
        <w:rPr>
          <w:sz w:val="24"/>
        </w:rPr>
        <w:t>is</w:t>
      </w:r>
      <w:r>
        <w:rPr>
          <w:spacing w:val="-7"/>
          <w:sz w:val="24"/>
        </w:rPr>
        <w:t> </w:t>
      </w:r>
      <w:r>
        <w:rPr>
          <w:sz w:val="24"/>
        </w:rPr>
        <w:t>a</w:t>
      </w:r>
      <w:r>
        <w:rPr>
          <w:spacing w:val="-6"/>
          <w:sz w:val="24"/>
        </w:rPr>
        <w:t> </w:t>
      </w:r>
      <w:r>
        <w:rPr>
          <w:sz w:val="24"/>
        </w:rPr>
        <w:t>deployable</w:t>
      </w:r>
      <w:r>
        <w:rPr>
          <w:spacing w:val="-7"/>
          <w:sz w:val="24"/>
        </w:rPr>
        <w:t> </w:t>
      </w:r>
      <w:r>
        <w:rPr>
          <w:sz w:val="24"/>
        </w:rPr>
        <w:t>social</w:t>
      </w:r>
      <w:r>
        <w:rPr>
          <w:spacing w:val="-7"/>
          <w:sz w:val="24"/>
        </w:rPr>
        <w:t> </w:t>
      </w:r>
      <w:r>
        <w:rPr>
          <w:sz w:val="24"/>
        </w:rPr>
        <w:t>reputation</w:t>
      </w:r>
      <w:r>
        <w:rPr>
          <w:spacing w:val="-6"/>
          <w:sz w:val="24"/>
        </w:rPr>
        <w:t> </w:t>
      </w:r>
      <w:r>
        <w:rPr>
          <w:spacing w:val="-2"/>
          <w:sz w:val="24"/>
        </w:rPr>
        <w:t>score;</w:t>
      </w:r>
    </w:p>
    <w:p>
      <w:pPr>
        <w:pStyle w:val="ListParagraph"/>
        <w:numPr>
          <w:ilvl w:val="3"/>
          <w:numId w:val="8"/>
        </w:numPr>
        <w:tabs>
          <w:tab w:pos="807" w:val="left" w:leader="none"/>
        </w:tabs>
        <w:spacing w:line="240" w:lineRule="auto" w:before="217" w:after="0"/>
        <w:ind w:left="807" w:right="0" w:hanging="214"/>
        <w:jc w:val="left"/>
        <w:rPr>
          <w:sz w:val="24"/>
        </w:rPr>
      </w:pPr>
      <w:r>
        <w:rPr>
          <w:i/>
        </w:rPr>
        <w:t>GF-PR은 배포 가능한 사회적 평판 점수입니다.</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sz w:val="24"/>
        </w:rPr>
        <w:t>that</w:t>
      </w:r>
      <w:r>
        <w:rPr>
          <w:spacing w:val="-6"/>
          <w:sz w:val="24"/>
        </w:rPr>
        <w:t> </w:t>
      </w:r>
      <w:r>
        <w:rPr>
          <w:sz w:val="24"/>
        </w:rPr>
        <w:t>results</w:t>
      </w:r>
      <w:r>
        <w:rPr>
          <w:spacing w:val="-6"/>
          <w:sz w:val="24"/>
        </w:rPr>
        <w:t> </w:t>
      </w:r>
      <w:r>
        <w:rPr>
          <w:sz w:val="24"/>
        </w:rPr>
        <w:t>generalize</w:t>
      </w:r>
      <w:r>
        <w:rPr>
          <w:spacing w:val="-6"/>
          <w:sz w:val="24"/>
        </w:rPr>
        <w:t> </w:t>
      </w:r>
      <w:r>
        <w:rPr>
          <w:sz w:val="24"/>
        </w:rPr>
        <w:t>beyond</w:t>
      </w:r>
      <w:r>
        <w:rPr>
          <w:spacing w:val="-6"/>
          <w:sz w:val="24"/>
        </w:rPr>
        <w:t> </w:t>
      </w:r>
      <w:r>
        <w:rPr>
          <w:sz w:val="24"/>
        </w:rPr>
        <w:t>Arbitrum</w:t>
      </w:r>
      <w:r>
        <w:rPr>
          <w:spacing w:val="-6"/>
          <w:sz w:val="24"/>
        </w:rPr>
        <w:t> </w:t>
      </w:r>
      <w:r>
        <w:rPr>
          <w:sz w:val="24"/>
        </w:rPr>
        <w:t>One,</w:t>
      </w:r>
      <w:r>
        <w:rPr>
          <w:spacing w:val="-6"/>
          <w:sz w:val="24"/>
        </w:rPr>
        <w:t> </w:t>
      </w:r>
      <w:r>
        <w:rPr>
          <w:sz w:val="24"/>
        </w:rPr>
        <w:t>GMX</w:t>
      </w:r>
      <w:r>
        <w:rPr>
          <w:spacing w:val="-6"/>
          <w:sz w:val="24"/>
        </w:rPr>
        <w:t> </w:t>
      </w:r>
      <w:r>
        <w:rPr>
          <w:sz w:val="24"/>
        </w:rPr>
        <w:t>V2,</w:t>
      </w:r>
      <w:r>
        <w:rPr>
          <w:spacing w:val="-6"/>
          <w:sz w:val="24"/>
        </w:rPr>
        <w:t> </w:t>
      </w:r>
      <w:r>
        <w:rPr>
          <w:sz w:val="24"/>
        </w:rPr>
        <w:t>and</w:t>
      </w:r>
      <w:r>
        <w:rPr>
          <w:spacing w:val="-6"/>
          <w:sz w:val="24"/>
        </w:rPr>
        <w:t> </w:t>
      </w:r>
      <w:r>
        <w:rPr>
          <w:sz w:val="24"/>
        </w:rPr>
        <w:t>the</w:t>
      </w:r>
      <w:r>
        <w:rPr>
          <w:spacing w:val="-6"/>
          <w:sz w:val="24"/>
        </w:rPr>
        <w:t> </w:t>
      </w:r>
      <w:r>
        <w:rPr>
          <w:sz w:val="24"/>
        </w:rPr>
        <w:t>study</w:t>
      </w:r>
      <w:r>
        <w:rPr>
          <w:spacing w:val="-6"/>
          <w:sz w:val="24"/>
        </w:rPr>
        <w:t> </w:t>
      </w:r>
      <w:r>
        <w:rPr>
          <w:sz w:val="24"/>
        </w:rPr>
        <w:t>window</w:t>
      </w:r>
      <w:r>
        <w:rPr>
          <w:spacing w:val="-6"/>
          <w:sz w:val="24"/>
        </w:rPr>
        <w:t> </w:t>
      </w:r>
      <w:r>
        <w:rPr>
          <w:sz w:val="24"/>
        </w:rPr>
        <w:t>without</w:t>
      </w:r>
      <w:r>
        <w:rPr>
          <w:spacing w:val="-6"/>
          <w:sz w:val="24"/>
        </w:rPr>
        <w:t> </w:t>
      </w:r>
      <w:r>
        <w:rPr>
          <w:sz w:val="24"/>
        </w:rPr>
        <w:t>repli-</w:t>
      </w:r>
      <w:r>
        <w:rPr>
          <w:spacing w:val="-2"/>
          <w:sz w:val="24"/>
        </w:rPr>
        <w:t>cation;</w:t>
      </w:r>
    </w:p>
    <w:p>
      <w:pPr>
        <w:pStyle w:val="ListParagraph"/>
        <w:numPr>
          <w:ilvl w:val="3"/>
          <w:numId w:val="8"/>
        </w:numPr>
        <w:tabs>
          <w:tab w:pos="806" w:val="left" w:leader="none"/>
          <w:tab w:pos="808" w:val="left" w:leader="none"/>
        </w:tabs>
        <w:spacing w:line="396" w:lineRule="auto" w:before="217" w:after="0"/>
        <w:ind w:left="808" w:right="523" w:hanging="216"/>
        <w:jc w:val="left"/>
        <w:rPr>
          <w:sz w:val="24"/>
        </w:rPr>
      </w:pPr>
      <w:r>
        <w:rPr>
          <w:i/>
        </w:rPr>
        <w:t>그 결과는 Arbitrum One, GMX V2 및 복제 없이 연구 창을 넘어 일반화됩니다.</w:t>
      </w:r>
    </w:p>
    <w:p>
      <w:pPr>
        <w:pStyle w:val="ListParagraph"/>
        <w:numPr>
          <w:ilvl w:val="3"/>
          <w:numId w:val="8"/>
        </w:numPr>
        <w:tabs>
          <w:tab w:pos="807" w:val="left" w:leader="none"/>
        </w:tabs>
        <w:spacing w:line="240" w:lineRule="auto" w:before="39" w:after="0"/>
        <w:ind w:left="807" w:right="0" w:hanging="214"/>
        <w:jc w:val="left"/>
        <w:rPr>
          <w:sz w:val="24"/>
        </w:rPr>
      </w:pPr>
      <w:r>
        <w:rPr>
          <w:sz w:val="24"/>
        </w:rPr>
        <w:t>that</w:t>
      </w:r>
      <w:r>
        <w:rPr>
          <w:spacing w:val="-8"/>
          <w:sz w:val="24"/>
        </w:rPr>
        <w:t> </w:t>
      </w:r>
      <w:r>
        <w:rPr>
          <w:sz w:val="24"/>
        </w:rPr>
        <w:t>on-chain</w:t>
      </w:r>
      <w:r>
        <w:rPr>
          <w:spacing w:val="-8"/>
          <w:sz w:val="24"/>
        </w:rPr>
        <w:t> </w:t>
      </w:r>
      <w:r>
        <w:rPr>
          <w:sz w:val="24"/>
        </w:rPr>
        <w:t>scores</w:t>
      </w:r>
      <w:r>
        <w:rPr>
          <w:spacing w:val="-7"/>
          <w:sz w:val="24"/>
        </w:rPr>
        <w:t> </w:t>
      </w:r>
      <w:r>
        <w:rPr>
          <w:sz w:val="24"/>
        </w:rPr>
        <w:t>replace</w:t>
      </w:r>
      <w:r>
        <w:rPr>
          <w:spacing w:val="-8"/>
          <w:sz w:val="24"/>
        </w:rPr>
        <w:t> </w:t>
      </w:r>
      <w:r>
        <w:rPr>
          <w:sz w:val="24"/>
        </w:rPr>
        <w:t>collateral</w:t>
      </w:r>
      <w:r>
        <w:rPr>
          <w:spacing w:val="-8"/>
          <w:sz w:val="24"/>
        </w:rPr>
        <w:t> </w:t>
      </w:r>
      <w:r>
        <w:rPr>
          <w:sz w:val="24"/>
        </w:rPr>
        <w:t>or</w:t>
      </w:r>
      <w:r>
        <w:rPr>
          <w:spacing w:val="-7"/>
          <w:sz w:val="24"/>
        </w:rPr>
        <w:t> </w:t>
      </w:r>
      <w:r>
        <w:rPr>
          <w:sz w:val="24"/>
        </w:rPr>
        <w:t>legal</w:t>
      </w:r>
      <w:r>
        <w:rPr>
          <w:spacing w:val="-8"/>
          <w:sz w:val="24"/>
        </w:rPr>
        <w:t> </w:t>
      </w:r>
      <w:r>
        <w:rPr>
          <w:sz w:val="24"/>
        </w:rPr>
        <w:t>identity</w:t>
      </w:r>
      <w:r>
        <w:rPr>
          <w:spacing w:val="-7"/>
          <w:sz w:val="24"/>
        </w:rPr>
        <w:t> </w:t>
      </w:r>
      <w:r>
        <w:rPr>
          <w:spacing w:val="-2"/>
          <w:sz w:val="24"/>
        </w:rPr>
        <w:t>systems.</w:t>
      </w:r>
    </w:p>
    <w:p>
      <w:pPr>
        <w:pStyle w:val="ListParagraph"/>
        <w:numPr>
          <w:ilvl w:val="3"/>
          <w:numId w:val="8"/>
        </w:numPr>
        <w:tabs>
          <w:tab w:pos="807" w:val="left" w:leader="none"/>
        </w:tabs>
        <w:spacing w:line="240" w:lineRule="auto" w:before="39" w:after="0"/>
        <w:ind w:left="807" w:right="0" w:hanging="214"/>
        <w:jc w:val="left"/>
        <w:rPr>
          <w:sz w:val="24"/>
        </w:rPr>
      </w:pPr>
      <w:r>
        <w:rPr>
          <w:i/>
        </w:rPr>
        <w:t>온체인 점수는 담보 또는 법적 신원 시스템을 대체합니다.</w:t>
      </w:r>
    </w:p>
    <w:p>
      <w:pPr>
        <w:pStyle w:val="BodyText"/>
        <w:spacing w:before="186"/>
      </w:pPr>
    </w:p>
    <w:p>
      <w:pPr>
        <w:pStyle w:val="Heading4"/>
        <w:numPr>
          <w:ilvl w:val="2"/>
          <w:numId w:val="8"/>
        </w:numPr>
        <w:tabs>
          <w:tab w:pos="879" w:val="left" w:leader="none"/>
        </w:tabs>
        <w:spacing w:line="240" w:lineRule="auto" w:before="0" w:after="0"/>
        <w:ind w:left="879" w:right="0" w:hanging="597"/>
        <w:jc w:val="left"/>
      </w:pPr>
      <w:bookmarkStart w:name="Artifact checklist for replication" w:id="409"/>
      <w:bookmarkEnd w:id="409"/>
      <w:r>
        <w:rPr>
          <w:b w:val="0"/>
        </w:rPr>
      </w:r>
      <w:bookmarkStart w:name="_bookmark244" w:id="410"/>
      <w:bookmarkEnd w:id="410"/>
      <w:r>
        <w:rPr>
          <w:b w:val="0"/>
        </w:rPr>
      </w:r>
      <w:r>
        <w:rPr/>
        <w:t>Artifact</w:t>
      </w:r>
      <w:r>
        <w:rPr>
          <w:spacing w:val="-8"/>
        </w:rPr>
        <w:t> </w:t>
      </w:r>
      <w:r>
        <w:rPr/>
        <w:t>checklist</w:t>
      </w:r>
      <w:r>
        <w:rPr>
          <w:spacing w:val="-8"/>
        </w:rPr>
        <w:t> </w:t>
      </w:r>
      <w:r>
        <w:rPr/>
        <w:t>for</w:t>
      </w:r>
      <w:r>
        <w:rPr>
          <w:spacing w:val="-8"/>
        </w:rPr>
        <w:t> </w:t>
      </w:r>
      <w:r>
        <w:rPr>
          <w:spacing w:val="-2"/>
        </w:rPr>
        <w:t>replication</w:t>
      </w:r>
    </w:p>
    <w:p>
      <w:pPr>
        <w:pStyle w:val="Heading4"/>
        <w:numPr>
          <w:ilvl w:val="2"/>
          <w:numId w:val="8"/>
        </w:numPr>
        <w:tabs>
          <w:tab w:pos="879" w:val="left" w:leader="none"/>
        </w:tabs>
        <w:spacing w:line="240" w:lineRule="auto" w:before="0" w:after="0"/>
        <w:ind w:left="879" w:right="0" w:hanging="597"/>
        <w:jc w:val="left"/>
      </w:pPr>
      <w:r>
        <w:rPr>
          <w:i/>
        </w:rPr>
        <w:t>복제를 위한 아티팩트 체크리스트</w:t>
      </w:r>
    </w:p>
    <w:p>
      <w:pPr>
        <w:pStyle w:val="BodyText"/>
        <w:spacing w:before="46"/>
        <w:rPr>
          <w:b/>
        </w:rPr>
      </w:pPr>
    </w:p>
    <w:p>
      <w:pPr>
        <w:pStyle w:val="ListParagraph"/>
        <w:numPr>
          <w:ilvl w:val="0"/>
          <w:numId w:val="33"/>
        </w:numPr>
        <w:tabs>
          <w:tab w:pos="855" w:val="left" w:leader="none"/>
        </w:tabs>
        <w:spacing w:line="240" w:lineRule="auto" w:before="0" w:after="0"/>
        <w:ind w:left="855" w:right="0" w:hanging="310"/>
        <w:jc w:val="left"/>
        <w:rPr>
          <w:sz w:val="24"/>
        </w:rPr>
      </w:pPr>
      <w:r>
        <w:rPr>
          <w:sz w:val="24"/>
        </w:rPr>
        <w:t>Merged</w:t>
      </w:r>
      <w:r>
        <w:rPr>
          <w:spacing w:val="-15"/>
          <w:sz w:val="24"/>
        </w:rPr>
        <w:t> </w:t>
      </w:r>
      <w:r>
        <w:rPr>
          <w:sz w:val="24"/>
        </w:rPr>
        <w:t>wallet-ranking</w:t>
      </w:r>
      <w:r>
        <w:rPr>
          <w:spacing w:val="-14"/>
          <w:sz w:val="24"/>
        </w:rPr>
        <w:t> </w:t>
      </w:r>
      <w:r>
        <w:rPr>
          <w:sz w:val="24"/>
        </w:rPr>
        <w:t>table</w:t>
      </w:r>
      <w:r>
        <w:rPr>
          <w:spacing w:val="-15"/>
          <w:sz w:val="24"/>
        </w:rPr>
        <w:t> </w:t>
      </w:r>
      <w:r>
        <w:rPr>
          <w:sz w:val="24"/>
        </w:rPr>
        <w:t>—</w:t>
      </w:r>
      <w:r>
        <w:rPr>
          <w:spacing w:val="-14"/>
          <w:sz w:val="24"/>
        </w:rPr>
        <w:t> </w:t>
      </w:r>
      <w:r>
        <w:rPr>
          <w:sz w:val="24"/>
        </w:rPr>
        <w:t>scores</w:t>
      </w:r>
      <w:r>
        <w:rPr>
          <w:spacing w:val="-15"/>
          <w:sz w:val="24"/>
        </w:rPr>
        <w:t> </w:t>
      </w:r>
      <w:r>
        <w:rPr>
          <w:sz w:val="24"/>
        </w:rPr>
        <w:t>for</w:t>
      </w:r>
      <w:r>
        <w:rPr>
          <w:spacing w:val="-14"/>
          <w:sz w:val="24"/>
        </w:rPr>
        <w:t> </w:t>
      </w:r>
      <w:r>
        <w:rPr>
          <w:sz w:val="24"/>
        </w:rPr>
        <w:t>ER,</w:t>
      </w:r>
      <w:r>
        <w:rPr>
          <w:spacing w:val="-15"/>
          <w:sz w:val="24"/>
        </w:rPr>
        <w:t> </w:t>
      </w:r>
      <w:r>
        <w:rPr>
          <w:sz w:val="24"/>
        </w:rPr>
        <w:t>AWP,</w:t>
      </w:r>
      <w:r>
        <w:rPr>
          <w:spacing w:val="-14"/>
          <w:sz w:val="24"/>
        </w:rPr>
        <w:t> </w:t>
      </w:r>
      <w:r>
        <w:rPr>
          <w:sz w:val="24"/>
        </w:rPr>
        <w:t>GF-</w:t>
      </w:r>
      <w:r>
        <w:rPr>
          <w:spacing w:val="-5"/>
          <w:sz w:val="24"/>
        </w:rPr>
        <w:t>PR.</w:t>
      </w:r>
    </w:p>
    <w:p>
      <w:pPr>
        <w:pStyle w:val="ListParagraph"/>
        <w:numPr>
          <w:ilvl w:val="0"/>
          <w:numId w:val="33"/>
        </w:numPr>
        <w:tabs>
          <w:tab w:pos="855" w:val="left" w:leader="none"/>
        </w:tabs>
        <w:spacing w:line="240" w:lineRule="auto" w:before="0" w:after="0"/>
        <w:ind w:left="855" w:right="0" w:hanging="310"/>
        <w:jc w:val="left"/>
        <w:rPr>
          <w:sz w:val="24"/>
        </w:rPr>
      </w:pPr>
      <w:r>
        <w:rPr>
          <w:i/>
        </w:rPr>
        <w:t>병합된 지갑 순위표 — ER, AWP, GF-PR 점수.</w:t>
      </w:r>
    </w:p>
    <w:p>
      <w:pPr>
        <w:pStyle w:val="ListParagraph"/>
        <w:numPr>
          <w:ilvl w:val="0"/>
          <w:numId w:val="33"/>
        </w:numPr>
        <w:tabs>
          <w:tab w:pos="855" w:val="left" w:leader="none"/>
        </w:tabs>
        <w:spacing w:line="240" w:lineRule="auto" w:before="217" w:after="0"/>
        <w:ind w:left="855" w:right="0" w:hanging="310"/>
        <w:jc w:val="left"/>
        <w:rPr>
          <w:sz w:val="24"/>
        </w:rPr>
      </w:pPr>
      <w:r>
        <w:rPr>
          <w:sz w:val="24"/>
        </w:rPr>
        <w:t>Decoded</w:t>
      </w:r>
      <w:r>
        <w:rPr>
          <w:spacing w:val="-8"/>
          <w:sz w:val="24"/>
        </w:rPr>
        <w:t> </w:t>
      </w:r>
      <w:r>
        <w:rPr>
          <w:sz w:val="24"/>
        </w:rPr>
        <w:t>GMX</w:t>
      </w:r>
      <w:r>
        <w:rPr>
          <w:spacing w:val="-8"/>
          <w:sz w:val="24"/>
        </w:rPr>
        <w:t> </w:t>
      </w:r>
      <w:r>
        <w:rPr>
          <w:sz w:val="24"/>
        </w:rPr>
        <w:t>close</w:t>
      </w:r>
      <w:r>
        <w:rPr>
          <w:spacing w:val="-8"/>
          <w:sz w:val="24"/>
        </w:rPr>
        <w:t> </w:t>
      </w:r>
      <w:r>
        <w:rPr>
          <w:sz w:val="24"/>
        </w:rPr>
        <w:t>events</w:t>
      </w:r>
      <w:r>
        <w:rPr>
          <w:spacing w:val="-8"/>
          <w:sz w:val="24"/>
        </w:rPr>
        <w:t> </w:t>
      </w:r>
      <w:r>
        <w:rPr>
          <w:sz w:val="24"/>
        </w:rPr>
        <w:t>with</w:t>
      </w:r>
      <w:r>
        <w:rPr>
          <w:spacing w:val="-7"/>
          <w:sz w:val="24"/>
        </w:rPr>
        <w:t> </w:t>
      </w:r>
      <w:r>
        <w:rPr>
          <w:sz w:val="24"/>
        </w:rPr>
        <w:t>PnL</w:t>
      </w:r>
      <w:r>
        <w:rPr>
          <w:spacing w:val="-8"/>
          <w:sz w:val="24"/>
        </w:rPr>
        <w:t> </w:t>
      </w:r>
      <w:r>
        <w:rPr>
          <w:sz w:val="24"/>
        </w:rPr>
        <w:t>and</w:t>
      </w:r>
      <w:r>
        <w:rPr>
          <w:spacing w:val="-8"/>
          <w:sz w:val="24"/>
        </w:rPr>
        <w:t> </w:t>
      </w:r>
      <w:r>
        <w:rPr>
          <w:sz w:val="24"/>
        </w:rPr>
        <w:t>liquidation</w:t>
      </w:r>
      <w:r>
        <w:rPr>
          <w:spacing w:val="-8"/>
          <w:sz w:val="24"/>
        </w:rPr>
        <w:t> </w:t>
      </w:r>
      <w:r>
        <w:rPr>
          <w:spacing w:val="-2"/>
          <w:sz w:val="24"/>
        </w:rPr>
        <w:t>flags.</w:t>
      </w:r>
    </w:p>
    <w:p>
      <w:pPr>
        <w:pStyle w:val="ListParagraph"/>
        <w:numPr>
          <w:ilvl w:val="0"/>
          <w:numId w:val="33"/>
        </w:numPr>
        <w:tabs>
          <w:tab w:pos="855" w:val="left" w:leader="none"/>
        </w:tabs>
        <w:spacing w:line="240" w:lineRule="auto" w:before="217" w:after="0"/>
        <w:ind w:left="855" w:right="0" w:hanging="310"/>
        <w:jc w:val="left"/>
        <w:rPr>
          <w:sz w:val="24"/>
        </w:rPr>
      </w:pPr>
      <w:r>
        <w:rPr>
          <w:i/>
        </w:rPr>
        <w:t>손익 및 청산 플래그가 포함된 GMX 청산 이벤트를 디코딩했습니다.</w:t>
      </w:r>
    </w:p>
    <w:p>
      <w:pPr>
        <w:pStyle w:val="ListParagraph"/>
        <w:numPr>
          <w:ilvl w:val="0"/>
          <w:numId w:val="33"/>
        </w:numPr>
        <w:tabs>
          <w:tab w:pos="855" w:val="left" w:leader="none"/>
        </w:tabs>
        <w:spacing w:line="240" w:lineRule="auto" w:before="217" w:after="0"/>
        <w:ind w:left="855" w:right="0" w:hanging="310"/>
        <w:jc w:val="left"/>
        <w:rPr>
          <w:sz w:val="24"/>
        </w:rPr>
      </w:pPr>
      <w:r>
        <w:rPr>
          <w:sz w:val="24"/>
        </w:rPr>
        <w:t>Machine-readable</w:t>
      </w:r>
      <w:r>
        <w:rPr>
          <w:spacing w:val="-12"/>
          <w:sz w:val="24"/>
        </w:rPr>
        <w:t> </w:t>
      </w:r>
      <w:r>
        <w:rPr>
          <w:sz w:val="24"/>
        </w:rPr>
        <w:t>evaluation</w:t>
      </w:r>
      <w:r>
        <w:rPr>
          <w:spacing w:val="-11"/>
          <w:sz w:val="24"/>
        </w:rPr>
        <w:t> </w:t>
      </w:r>
      <w:r>
        <w:rPr>
          <w:sz w:val="24"/>
        </w:rPr>
        <w:t>summary</w:t>
      </w:r>
      <w:r>
        <w:rPr>
          <w:spacing w:val="-11"/>
          <w:sz w:val="24"/>
        </w:rPr>
        <w:t> </w:t>
      </w:r>
      <w:r>
        <w:rPr>
          <w:sz w:val="24"/>
        </w:rPr>
        <w:t>—</w:t>
      </w:r>
      <w:r>
        <w:rPr>
          <w:spacing w:val="-11"/>
          <w:sz w:val="24"/>
        </w:rPr>
        <w:t> </w:t>
      </w:r>
      <w:r>
        <w:rPr>
          <w:sz w:val="24"/>
        </w:rPr>
        <w:t>authoritative</w:t>
      </w:r>
      <w:r>
        <w:rPr>
          <w:spacing w:val="-11"/>
          <w:sz w:val="24"/>
        </w:rPr>
        <w:t> </w:t>
      </w:r>
      <w:r>
        <w:rPr>
          <w:spacing w:val="-2"/>
          <w:sz w:val="24"/>
        </w:rPr>
        <w:t>numerics.</w:t>
      </w:r>
    </w:p>
    <w:p>
      <w:pPr>
        <w:pStyle w:val="ListParagraph"/>
        <w:numPr>
          <w:ilvl w:val="0"/>
          <w:numId w:val="33"/>
        </w:numPr>
        <w:tabs>
          <w:tab w:pos="855" w:val="left" w:leader="none"/>
        </w:tabs>
        <w:spacing w:line="240" w:lineRule="auto" w:before="217" w:after="0"/>
        <w:ind w:left="855" w:right="0" w:hanging="310"/>
        <w:jc w:val="left"/>
        <w:rPr>
          <w:sz w:val="24"/>
        </w:rPr>
      </w:pPr>
      <w:r>
        <w:rPr>
          <w:i/>
        </w:rPr>
        <w:t>기계가 읽을 수 있는 평가 요약 - 신뢰할 수 있는 수치입니다.</w:t>
      </w:r>
    </w:p>
    <w:p>
      <w:pPr>
        <w:pStyle w:val="ListParagraph"/>
        <w:numPr>
          <w:ilvl w:val="0"/>
          <w:numId w:val="33"/>
        </w:numPr>
        <w:tabs>
          <w:tab w:pos="855" w:val="left" w:leader="none"/>
        </w:tabs>
        <w:spacing w:line="240" w:lineRule="auto" w:before="217" w:after="0"/>
        <w:ind w:left="855" w:right="0" w:hanging="310"/>
        <w:jc w:val="left"/>
        <w:rPr>
          <w:sz w:val="24"/>
        </w:rPr>
      </w:pPr>
      <w:r>
        <w:rPr>
          <w:sz w:val="24"/>
        </w:rPr>
        <w:t>Exported</w:t>
      </w:r>
      <w:r>
        <w:rPr>
          <w:spacing w:val="-14"/>
          <w:sz w:val="24"/>
        </w:rPr>
        <w:t> </w:t>
      </w:r>
      <w:r>
        <w:rPr>
          <w:sz w:val="24"/>
        </w:rPr>
        <w:t>LaTeX</w:t>
      </w:r>
      <w:r>
        <w:rPr>
          <w:spacing w:val="-14"/>
          <w:sz w:val="24"/>
        </w:rPr>
        <w:t> </w:t>
      </w:r>
      <w:r>
        <w:rPr>
          <w:sz w:val="24"/>
        </w:rPr>
        <w:t>table</w:t>
      </w:r>
      <w:r>
        <w:rPr>
          <w:spacing w:val="-14"/>
          <w:sz w:val="24"/>
        </w:rPr>
        <w:t> </w:t>
      </w:r>
      <w:r>
        <w:rPr>
          <w:spacing w:val="-2"/>
          <w:sz w:val="24"/>
        </w:rPr>
        <w:t>fragments.</w:t>
      </w:r>
    </w:p>
    <w:p>
      <w:pPr>
        <w:pStyle w:val="ListParagraph"/>
        <w:numPr>
          <w:ilvl w:val="0"/>
          <w:numId w:val="33"/>
        </w:numPr>
        <w:tabs>
          <w:tab w:pos="855" w:val="left" w:leader="none"/>
        </w:tabs>
        <w:spacing w:line="240" w:lineRule="auto" w:before="217" w:after="0"/>
        <w:ind w:left="855" w:right="0" w:hanging="310"/>
        <w:jc w:val="left"/>
        <w:rPr>
          <w:sz w:val="24"/>
        </w:rPr>
      </w:pPr>
      <w:r>
        <w:rPr>
          <w:i/>
        </w:rPr>
        <w:t>LaTeX 테이블 조각을 내보냈습니다.</w:t>
      </w:r>
    </w:p>
    <w:p>
      <w:pPr>
        <w:pStyle w:val="ListParagraph"/>
        <w:numPr>
          <w:ilvl w:val="0"/>
          <w:numId w:val="33"/>
        </w:numPr>
        <w:tabs>
          <w:tab w:pos="855" w:val="left" w:leader="none"/>
        </w:tabs>
        <w:spacing w:line="240" w:lineRule="auto" w:before="217" w:after="0"/>
        <w:ind w:left="855" w:right="0" w:hanging="310"/>
        <w:jc w:val="left"/>
        <w:rPr>
          <w:sz w:val="24"/>
        </w:rPr>
      </w:pPr>
      <w:r>
        <w:rPr>
          <w:sz w:val="24"/>
        </w:rPr>
        <w:t>Exported</w:t>
      </w:r>
      <w:r>
        <w:rPr>
          <w:spacing w:val="-9"/>
          <w:sz w:val="24"/>
        </w:rPr>
        <w:t> </w:t>
      </w:r>
      <w:r>
        <w:rPr>
          <w:sz w:val="24"/>
        </w:rPr>
        <w:t>vector</w:t>
      </w:r>
      <w:r>
        <w:rPr>
          <w:spacing w:val="-8"/>
          <w:sz w:val="24"/>
        </w:rPr>
        <w:t> </w:t>
      </w:r>
      <w:r>
        <w:rPr>
          <w:spacing w:val="-2"/>
          <w:sz w:val="24"/>
        </w:rPr>
        <w:t>figures.</w:t>
      </w:r>
    </w:p>
    <w:p>
      <w:pPr>
        <w:pStyle w:val="ListParagraph"/>
        <w:numPr>
          <w:ilvl w:val="0"/>
          <w:numId w:val="33"/>
        </w:numPr>
        <w:tabs>
          <w:tab w:pos="855" w:val="left" w:leader="none"/>
        </w:tabs>
        <w:spacing w:line="240" w:lineRule="auto" w:before="217" w:after="0"/>
        <w:ind w:left="855" w:right="0" w:hanging="310"/>
        <w:jc w:val="left"/>
        <w:rPr>
          <w:sz w:val="24"/>
        </w:rPr>
      </w:pPr>
      <w:r>
        <w:rPr>
          <w:i/>
        </w:rPr>
        <w:t>벡터 그림을 내보냈습니다.</w:t>
      </w:r>
    </w:p>
    <w:p>
      <w:pPr>
        <w:pStyle w:val="ListParagraph"/>
        <w:numPr>
          <w:ilvl w:val="0"/>
          <w:numId w:val="33"/>
        </w:numPr>
        <w:tabs>
          <w:tab w:pos="855" w:val="left" w:leader="none"/>
        </w:tabs>
        <w:spacing w:line="240" w:lineRule="auto" w:before="217" w:after="0"/>
        <w:ind w:left="855" w:right="0" w:hanging="310"/>
        <w:jc w:val="left"/>
        <w:rPr>
          <w:sz w:val="24"/>
        </w:rPr>
      </w:pPr>
      <w:r>
        <w:rPr>
          <w:sz w:val="24"/>
        </w:rPr>
        <w:t>Optional</w:t>
      </w:r>
      <w:r>
        <w:rPr>
          <w:spacing w:val="-13"/>
          <w:sz w:val="24"/>
        </w:rPr>
        <w:t> </w:t>
      </w:r>
      <w:r>
        <w:rPr>
          <w:sz w:val="24"/>
        </w:rPr>
        <w:t>archived</w:t>
      </w:r>
      <w:r>
        <w:rPr>
          <w:spacing w:val="-12"/>
          <w:sz w:val="24"/>
        </w:rPr>
        <w:t> </w:t>
      </w:r>
      <w:r>
        <w:rPr>
          <w:sz w:val="24"/>
        </w:rPr>
        <w:t>extended-baseline</w:t>
      </w:r>
      <w:r>
        <w:rPr>
          <w:spacing w:val="-12"/>
          <w:sz w:val="24"/>
        </w:rPr>
        <w:t> </w:t>
      </w:r>
      <w:r>
        <w:rPr>
          <w:spacing w:val="-2"/>
          <w:sz w:val="24"/>
        </w:rPr>
        <w:t>matrices.</w:t>
      </w:r>
    </w:p>
    <w:p>
      <w:pPr>
        <w:pStyle w:val="ListParagraph"/>
        <w:numPr>
          <w:ilvl w:val="0"/>
          <w:numId w:val="33"/>
        </w:numPr>
        <w:tabs>
          <w:tab w:pos="855" w:val="left" w:leader="none"/>
        </w:tabs>
        <w:spacing w:line="240" w:lineRule="auto" w:before="217" w:after="0"/>
        <w:ind w:left="855" w:right="0" w:hanging="310"/>
        <w:jc w:val="left"/>
        <w:rPr>
          <w:sz w:val="24"/>
        </w:rPr>
      </w:pPr>
      <w:r>
        <w:rPr>
          <w:i/>
        </w:rPr>
        <w:t>선택적으로 보관된 확장 기준선 행렬.</w:t>
      </w:r>
    </w:p>
    <w:p>
      <w:pPr>
        <w:pStyle w:val="BodyText"/>
        <w:spacing w:before="24"/>
      </w:pPr>
    </w:p>
    <w:p>
      <w:pPr>
        <w:pStyle w:val="BodyText"/>
        <w:ind w:left="282"/>
      </w:pPr>
      <w:r>
        <w:rPr/>
        <w:t>Replicators</w:t>
      </w:r>
      <w:r>
        <w:rPr>
          <w:spacing w:val="-3"/>
        </w:rPr>
        <w:t> </w:t>
      </w:r>
      <w:r>
        <w:rPr/>
        <w:t>can</w:t>
      </w:r>
      <w:r>
        <w:rPr>
          <w:spacing w:val="-2"/>
        </w:rPr>
        <w:t> </w:t>
      </w:r>
      <w:r>
        <w:rPr/>
        <w:t>regenerate</w:t>
      </w:r>
      <w:r>
        <w:rPr>
          <w:spacing w:val="-2"/>
        </w:rPr>
        <w:t> </w:t>
      </w:r>
      <w:r>
        <w:rPr/>
        <w:t>tables</w:t>
      </w:r>
      <w:r>
        <w:rPr>
          <w:spacing w:val="-2"/>
        </w:rPr>
        <w:t> </w:t>
      </w:r>
      <w:r>
        <w:rPr/>
        <w:t>and</w:t>
      </w:r>
      <w:r>
        <w:rPr>
          <w:spacing w:val="-3"/>
        </w:rPr>
        <w:t> </w:t>
      </w:r>
      <w:r>
        <w:rPr/>
        <w:t>figures</w:t>
      </w:r>
      <w:r>
        <w:rPr>
          <w:spacing w:val="-2"/>
        </w:rPr>
        <w:t> </w:t>
      </w:r>
      <w:r>
        <w:rPr/>
        <w:t>by</w:t>
      </w:r>
      <w:r>
        <w:rPr>
          <w:spacing w:val="-2"/>
        </w:rPr>
        <w:t> </w:t>
      </w:r>
      <w:r>
        <w:rPr/>
        <w:t>running</w:t>
      </w:r>
      <w:r>
        <w:rPr>
          <w:spacing w:val="-2"/>
        </w:rPr>
        <w:t> </w:t>
      </w:r>
      <w:r>
        <w:rPr/>
        <w:t>the</w:t>
      </w:r>
      <w:r>
        <w:rPr>
          <w:spacing w:val="-3"/>
        </w:rPr>
        <w:t> </w:t>
      </w:r>
      <w:r>
        <w:rPr/>
        <w:t>evaluation</w:t>
      </w:r>
      <w:r>
        <w:rPr>
          <w:spacing w:val="-2"/>
        </w:rPr>
        <w:t> </w:t>
      </w:r>
      <w:r>
        <w:rPr/>
        <w:t>pipeline</w:t>
      </w:r>
      <w:r>
        <w:rPr>
          <w:spacing w:val="-2"/>
        </w:rPr>
        <w:t> </w:t>
      </w:r>
      <w:r>
        <w:rPr/>
        <w:t>on</w:t>
      </w:r>
      <w:r>
        <w:rPr>
          <w:spacing w:val="-2"/>
        </w:rPr>
        <w:t> </w:t>
      </w:r>
      <w:r>
        <w:rPr/>
        <w:t>real</w:t>
      </w:r>
      <w:r>
        <w:rPr>
          <w:spacing w:val="-3"/>
        </w:rPr>
        <w:t> </w:t>
      </w:r>
      <w:r>
        <w:rPr/>
        <w:t>data</w:t>
      </w:r>
      <w:r>
        <w:rPr>
          <w:spacing w:val="-2"/>
        </w:rPr>
        <w:t> </w:t>
      </w:r>
      <w:r>
        <w:rPr>
          <w:spacing w:val="-4"/>
        </w:rPr>
        <w:t>with</w:t>
      </w:r>
    </w:p>
    <w:p>
      <w:pPr>
        <w:pStyle w:val="BodyText"/>
        <w:ind w:left="282"/>
      </w:pPr>
      <w:r>
        <w:rPr>
          <w:i/>
        </w:rPr>
        <w:t>복제기는 실제 데이터에 대한 평가 파이프라인을 실행하여 테이블과 그림을 다시 생성할 수 있습니다.</w:t>
      </w:r>
    </w:p>
    <w:p>
      <w:pPr>
        <w:pStyle w:val="BodyText"/>
        <w:spacing w:after="0"/>
        <w:sectPr>
          <w:pgSz w:w="11910" w:h="16840"/>
          <w:pgMar w:header="0" w:footer="2115" w:top="1920" w:bottom="2300" w:left="992" w:right="708"/>
        </w:sectPr>
      </w:pPr>
    </w:p>
    <w:p>
      <w:pPr>
        <w:pStyle w:val="BodyText"/>
        <w:spacing w:before="72"/>
        <w:ind w:left="282"/>
      </w:pPr>
      <w:r>
        <w:rPr/>
        <w:t>robustness</w:t>
      </w:r>
      <w:r>
        <w:rPr>
          <w:spacing w:val="-9"/>
        </w:rPr>
        <w:t> </w:t>
      </w:r>
      <w:r>
        <w:rPr/>
        <w:t>sweeps</w:t>
      </w:r>
      <w:r>
        <w:rPr>
          <w:spacing w:val="-9"/>
        </w:rPr>
        <w:t> </w:t>
      </w:r>
      <w:r>
        <w:rPr/>
        <w:t>and</w:t>
      </w:r>
      <w:r>
        <w:rPr>
          <w:spacing w:val="-9"/>
        </w:rPr>
        <w:t> </w:t>
      </w:r>
      <w:r>
        <w:rPr/>
        <w:t>table</w:t>
      </w:r>
      <w:r>
        <w:rPr>
          <w:spacing w:val="-9"/>
        </w:rPr>
        <w:t> </w:t>
      </w:r>
      <w:r>
        <w:rPr/>
        <w:t>export,</w:t>
      </w:r>
      <w:r>
        <w:rPr>
          <w:spacing w:val="-9"/>
        </w:rPr>
        <w:t> </w:t>
      </w:r>
      <w:r>
        <w:rPr/>
        <w:t>then</w:t>
      </w:r>
      <w:r>
        <w:rPr>
          <w:spacing w:val="-9"/>
        </w:rPr>
        <w:t> </w:t>
      </w:r>
      <w:r>
        <w:rPr/>
        <w:t>regenerating</w:t>
      </w:r>
      <w:r>
        <w:rPr>
          <w:spacing w:val="-9"/>
        </w:rPr>
        <w:t> </w:t>
      </w:r>
      <w:r>
        <w:rPr/>
        <w:t>figures</w:t>
      </w:r>
      <w:r>
        <w:rPr>
          <w:spacing w:val="-9"/>
        </w:rPr>
        <w:t> </w:t>
      </w:r>
      <w:r>
        <w:rPr/>
        <w:t>from</w:t>
      </w:r>
      <w:r>
        <w:rPr>
          <w:spacing w:val="-9"/>
        </w:rPr>
        <w:t> </w:t>
      </w:r>
      <w:r>
        <w:rPr/>
        <w:t>the</w:t>
      </w:r>
      <w:r>
        <w:rPr>
          <w:spacing w:val="-9"/>
        </w:rPr>
        <w:t> </w:t>
      </w:r>
      <w:r>
        <w:rPr/>
        <w:t>same</w:t>
      </w:r>
      <w:r>
        <w:rPr>
          <w:spacing w:val="-9"/>
        </w:rPr>
        <w:t> </w:t>
      </w:r>
      <w:r>
        <w:rPr>
          <w:spacing w:val="-2"/>
        </w:rPr>
        <w:t>artifacts.</w:t>
      </w:r>
    </w:p>
    <w:p>
      <w:pPr>
        <w:pStyle w:val="BodyText"/>
        <w:spacing w:before="72"/>
        <w:ind w:left="282"/>
      </w:pPr>
      <w:r>
        <w:rPr>
          <w:i/>
        </w:rPr>
        <w:t>견고성 스윕 및 테이블 내보내기를 수행한 다음 동일한 아티팩트에서 그림을 다시 생성합니다.</w:t>
      </w:r>
    </w:p>
    <w:sectPr>
      <w:pgSz w:w="11910" w:h="16840"/>
      <w:pgMar w:header="0" w:footer="2115" w:top="1840" w:bottom="230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Lucida Sans Unicode">
    <w:altName w:val="Lucida Sans Unicode"/>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Trebuchet MS">
    <w:altName w:val="Trebuchet MS"/>
    <w:charset w:val="1"/>
    <w:family w:val="swiss"/>
    <w:pitch w:val="variable"/>
  </w:font>
  <w:font w:name="Verdana">
    <w:altName w:val="Verdana"/>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136">
              <wp:simplePos x="0" y="0"/>
              <wp:positionH relativeFrom="page">
                <wp:posOffset>3653421</wp:posOffset>
              </wp:positionH>
              <wp:positionV relativeFrom="page">
                <wp:posOffset>9208968</wp:posOffset>
              </wp:positionV>
              <wp:extent cx="253365" cy="1936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3365" cy="193675"/>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67099pt;margin-top:725.115601pt;width:19.95pt;height:15.25pt;mso-position-horizontal-relative:page;mso-position-vertical-relative:page;z-index:-19321344" type="#_x0000_t202" id="docshape1"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31">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30">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29">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28">
    <w:multiLevelType w:val="hybridMultilevel"/>
    <w:lvl w:ilvl="0">
      <w:start w:val="1"/>
      <w:numFmt w:val="decimal"/>
      <w:lvlText w:val="%1."/>
      <w:lvlJc w:val="left"/>
      <w:pPr>
        <w:ind w:left="856"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03"/>
      </w:pPr>
      <w:rPr>
        <w:rFonts w:hint="default"/>
        <w:lang w:val="en-US" w:eastAsia="en-US" w:bidi="ar-SA"/>
      </w:rPr>
    </w:lvl>
    <w:lvl w:ilvl="2">
      <w:start w:val="0"/>
      <w:numFmt w:val="bullet"/>
      <w:lvlText w:val="•"/>
      <w:lvlJc w:val="left"/>
      <w:pPr>
        <w:ind w:left="2729" w:hanging="303"/>
      </w:pPr>
      <w:rPr>
        <w:rFonts w:hint="default"/>
        <w:lang w:val="en-US" w:eastAsia="en-US" w:bidi="ar-SA"/>
      </w:rPr>
    </w:lvl>
    <w:lvl w:ilvl="3">
      <w:start w:val="0"/>
      <w:numFmt w:val="bullet"/>
      <w:lvlText w:val="•"/>
      <w:lvlJc w:val="left"/>
      <w:pPr>
        <w:ind w:left="3663" w:hanging="303"/>
      </w:pPr>
      <w:rPr>
        <w:rFonts w:hint="default"/>
        <w:lang w:val="en-US" w:eastAsia="en-US" w:bidi="ar-SA"/>
      </w:rPr>
    </w:lvl>
    <w:lvl w:ilvl="4">
      <w:start w:val="0"/>
      <w:numFmt w:val="bullet"/>
      <w:lvlText w:val="•"/>
      <w:lvlJc w:val="left"/>
      <w:pPr>
        <w:ind w:left="4598" w:hanging="303"/>
      </w:pPr>
      <w:rPr>
        <w:rFonts w:hint="default"/>
        <w:lang w:val="en-US" w:eastAsia="en-US" w:bidi="ar-SA"/>
      </w:rPr>
    </w:lvl>
    <w:lvl w:ilvl="5">
      <w:start w:val="0"/>
      <w:numFmt w:val="bullet"/>
      <w:lvlText w:val="•"/>
      <w:lvlJc w:val="left"/>
      <w:pPr>
        <w:ind w:left="5532" w:hanging="303"/>
      </w:pPr>
      <w:rPr>
        <w:rFonts w:hint="default"/>
        <w:lang w:val="en-US" w:eastAsia="en-US" w:bidi="ar-SA"/>
      </w:rPr>
    </w:lvl>
    <w:lvl w:ilvl="6">
      <w:start w:val="0"/>
      <w:numFmt w:val="bullet"/>
      <w:lvlText w:val="•"/>
      <w:lvlJc w:val="left"/>
      <w:pPr>
        <w:ind w:left="6467" w:hanging="303"/>
      </w:pPr>
      <w:rPr>
        <w:rFonts w:hint="default"/>
        <w:lang w:val="en-US" w:eastAsia="en-US" w:bidi="ar-SA"/>
      </w:rPr>
    </w:lvl>
    <w:lvl w:ilvl="7">
      <w:start w:val="0"/>
      <w:numFmt w:val="bullet"/>
      <w:lvlText w:val="•"/>
      <w:lvlJc w:val="left"/>
      <w:pPr>
        <w:ind w:left="7401" w:hanging="303"/>
      </w:pPr>
      <w:rPr>
        <w:rFonts w:hint="default"/>
        <w:lang w:val="en-US" w:eastAsia="en-US" w:bidi="ar-SA"/>
      </w:rPr>
    </w:lvl>
    <w:lvl w:ilvl="8">
      <w:start w:val="0"/>
      <w:numFmt w:val="bullet"/>
      <w:lvlText w:val="•"/>
      <w:lvlJc w:val="left"/>
      <w:pPr>
        <w:ind w:left="8336" w:hanging="303"/>
      </w:pPr>
      <w:rPr>
        <w:rFonts w:hint="default"/>
        <w:lang w:val="en-US" w:eastAsia="en-US" w:bidi="ar-SA"/>
      </w:rPr>
    </w:lvl>
  </w:abstractNum>
  <w:abstractNum w:abstractNumId="27">
    <w:multiLevelType w:val="hybridMultilevel"/>
    <w:lvl w:ilvl="0">
      <w:start w:val="1"/>
      <w:numFmt w:val="decimal"/>
      <w:lvlText w:val="[%1]"/>
      <w:lvlJc w:val="left"/>
      <w:pPr>
        <w:ind w:left="692" w:hanging="411"/>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50" w:hanging="411"/>
      </w:pPr>
      <w:rPr>
        <w:rFonts w:hint="default"/>
        <w:lang w:val="en-US" w:eastAsia="en-US" w:bidi="ar-SA"/>
      </w:rPr>
    </w:lvl>
    <w:lvl w:ilvl="2">
      <w:start w:val="0"/>
      <w:numFmt w:val="bullet"/>
      <w:lvlText w:val="•"/>
      <w:lvlJc w:val="left"/>
      <w:pPr>
        <w:ind w:left="2601" w:hanging="411"/>
      </w:pPr>
      <w:rPr>
        <w:rFonts w:hint="default"/>
        <w:lang w:val="en-US" w:eastAsia="en-US" w:bidi="ar-SA"/>
      </w:rPr>
    </w:lvl>
    <w:lvl w:ilvl="3">
      <w:start w:val="0"/>
      <w:numFmt w:val="bullet"/>
      <w:lvlText w:val="•"/>
      <w:lvlJc w:val="left"/>
      <w:pPr>
        <w:ind w:left="3551" w:hanging="411"/>
      </w:pPr>
      <w:rPr>
        <w:rFonts w:hint="default"/>
        <w:lang w:val="en-US" w:eastAsia="en-US" w:bidi="ar-SA"/>
      </w:rPr>
    </w:lvl>
    <w:lvl w:ilvl="4">
      <w:start w:val="0"/>
      <w:numFmt w:val="bullet"/>
      <w:lvlText w:val="•"/>
      <w:lvlJc w:val="left"/>
      <w:pPr>
        <w:ind w:left="4502" w:hanging="411"/>
      </w:pPr>
      <w:rPr>
        <w:rFonts w:hint="default"/>
        <w:lang w:val="en-US" w:eastAsia="en-US" w:bidi="ar-SA"/>
      </w:rPr>
    </w:lvl>
    <w:lvl w:ilvl="5">
      <w:start w:val="0"/>
      <w:numFmt w:val="bullet"/>
      <w:lvlText w:val="•"/>
      <w:lvlJc w:val="left"/>
      <w:pPr>
        <w:ind w:left="5452" w:hanging="411"/>
      </w:pPr>
      <w:rPr>
        <w:rFonts w:hint="default"/>
        <w:lang w:val="en-US" w:eastAsia="en-US" w:bidi="ar-SA"/>
      </w:rPr>
    </w:lvl>
    <w:lvl w:ilvl="6">
      <w:start w:val="0"/>
      <w:numFmt w:val="bullet"/>
      <w:lvlText w:val="•"/>
      <w:lvlJc w:val="left"/>
      <w:pPr>
        <w:ind w:left="6403" w:hanging="411"/>
      </w:pPr>
      <w:rPr>
        <w:rFonts w:hint="default"/>
        <w:lang w:val="en-US" w:eastAsia="en-US" w:bidi="ar-SA"/>
      </w:rPr>
    </w:lvl>
    <w:lvl w:ilvl="7">
      <w:start w:val="0"/>
      <w:numFmt w:val="bullet"/>
      <w:lvlText w:val="•"/>
      <w:lvlJc w:val="left"/>
      <w:pPr>
        <w:ind w:left="7353" w:hanging="411"/>
      </w:pPr>
      <w:rPr>
        <w:rFonts w:hint="default"/>
        <w:lang w:val="en-US" w:eastAsia="en-US" w:bidi="ar-SA"/>
      </w:rPr>
    </w:lvl>
    <w:lvl w:ilvl="8">
      <w:start w:val="0"/>
      <w:numFmt w:val="bullet"/>
      <w:lvlText w:val="•"/>
      <w:lvlJc w:val="left"/>
      <w:pPr>
        <w:ind w:left="8304" w:hanging="411"/>
      </w:pPr>
      <w:rPr>
        <w:rFonts w:hint="default"/>
        <w:lang w:val="en-US" w:eastAsia="en-US" w:bidi="ar-SA"/>
      </w:rPr>
    </w:lvl>
  </w:abstractNum>
  <w:abstractNum w:abstractNumId="26">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5">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4">
    <w:multiLevelType w:val="hybridMultilevel"/>
    <w:lvl w:ilvl="0">
      <w:start w:val="1"/>
      <w:numFmt w:val="decimal"/>
      <w:lvlText w:val="%1."/>
      <w:lvlJc w:val="left"/>
      <w:pPr>
        <w:ind w:left="856"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03"/>
      </w:pPr>
      <w:rPr>
        <w:rFonts w:hint="default"/>
        <w:lang w:val="en-US" w:eastAsia="en-US" w:bidi="ar-SA"/>
      </w:rPr>
    </w:lvl>
    <w:lvl w:ilvl="2">
      <w:start w:val="0"/>
      <w:numFmt w:val="bullet"/>
      <w:lvlText w:val="•"/>
      <w:lvlJc w:val="left"/>
      <w:pPr>
        <w:ind w:left="2729" w:hanging="303"/>
      </w:pPr>
      <w:rPr>
        <w:rFonts w:hint="default"/>
        <w:lang w:val="en-US" w:eastAsia="en-US" w:bidi="ar-SA"/>
      </w:rPr>
    </w:lvl>
    <w:lvl w:ilvl="3">
      <w:start w:val="0"/>
      <w:numFmt w:val="bullet"/>
      <w:lvlText w:val="•"/>
      <w:lvlJc w:val="left"/>
      <w:pPr>
        <w:ind w:left="3663" w:hanging="303"/>
      </w:pPr>
      <w:rPr>
        <w:rFonts w:hint="default"/>
        <w:lang w:val="en-US" w:eastAsia="en-US" w:bidi="ar-SA"/>
      </w:rPr>
    </w:lvl>
    <w:lvl w:ilvl="4">
      <w:start w:val="0"/>
      <w:numFmt w:val="bullet"/>
      <w:lvlText w:val="•"/>
      <w:lvlJc w:val="left"/>
      <w:pPr>
        <w:ind w:left="4598" w:hanging="303"/>
      </w:pPr>
      <w:rPr>
        <w:rFonts w:hint="default"/>
        <w:lang w:val="en-US" w:eastAsia="en-US" w:bidi="ar-SA"/>
      </w:rPr>
    </w:lvl>
    <w:lvl w:ilvl="5">
      <w:start w:val="0"/>
      <w:numFmt w:val="bullet"/>
      <w:lvlText w:val="•"/>
      <w:lvlJc w:val="left"/>
      <w:pPr>
        <w:ind w:left="5532" w:hanging="303"/>
      </w:pPr>
      <w:rPr>
        <w:rFonts w:hint="default"/>
        <w:lang w:val="en-US" w:eastAsia="en-US" w:bidi="ar-SA"/>
      </w:rPr>
    </w:lvl>
    <w:lvl w:ilvl="6">
      <w:start w:val="0"/>
      <w:numFmt w:val="bullet"/>
      <w:lvlText w:val="•"/>
      <w:lvlJc w:val="left"/>
      <w:pPr>
        <w:ind w:left="6467" w:hanging="303"/>
      </w:pPr>
      <w:rPr>
        <w:rFonts w:hint="default"/>
        <w:lang w:val="en-US" w:eastAsia="en-US" w:bidi="ar-SA"/>
      </w:rPr>
    </w:lvl>
    <w:lvl w:ilvl="7">
      <w:start w:val="0"/>
      <w:numFmt w:val="bullet"/>
      <w:lvlText w:val="•"/>
      <w:lvlJc w:val="left"/>
      <w:pPr>
        <w:ind w:left="7401" w:hanging="303"/>
      </w:pPr>
      <w:rPr>
        <w:rFonts w:hint="default"/>
        <w:lang w:val="en-US" w:eastAsia="en-US" w:bidi="ar-SA"/>
      </w:rPr>
    </w:lvl>
    <w:lvl w:ilvl="8">
      <w:start w:val="0"/>
      <w:numFmt w:val="bullet"/>
      <w:lvlText w:val="•"/>
      <w:lvlJc w:val="left"/>
      <w:pPr>
        <w:ind w:left="8336" w:hanging="303"/>
      </w:pPr>
      <w:rPr>
        <w:rFonts w:hint="default"/>
        <w:lang w:val="en-US" w:eastAsia="en-US" w:bidi="ar-SA"/>
      </w:rPr>
    </w:lvl>
  </w:abstractNum>
  <w:abstractNum w:abstractNumId="23">
    <w:multiLevelType w:val="hybridMultilevel"/>
    <w:lvl w:ilvl="0">
      <w:start w:val="0"/>
      <w:numFmt w:val="bullet"/>
      <w:lvlText w:val="•"/>
      <w:lvlJc w:val="left"/>
      <w:pPr>
        <w:ind w:left="776"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2" w:hanging="216"/>
      </w:pPr>
      <w:rPr>
        <w:rFonts w:hint="default"/>
        <w:lang w:val="en-US" w:eastAsia="en-US" w:bidi="ar-SA"/>
      </w:rPr>
    </w:lvl>
    <w:lvl w:ilvl="2">
      <w:start w:val="0"/>
      <w:numFmt w:val="bullet"/>
      <w:lvlText w:val="•"/>
      <w:lvlJc w:val="left"/>
      <w:pPr>
        <w:ind w:left="2665" w:hanging="216"/>
      </w:pPr>
      <w:rPr>
        <w:rFonts w:hint="default"/>
        <w:lang w:val="en-US" w:eastAsia="en-US" w:bidi="ar-SA"/>
      </w:rPr>
    </w:lvl>
    <w:lvl w:ilvl="3">
      <w:start w:val="0"/>
      <w:numFmt w:val="bullet"/>
      <w:lvlText w:val="•"/>
      <w:lvlJc w:val="left"/>
      <w:pPr>
        <w:ind w:left="3607" w:hanging="216"/>
      </w:pPr>
      <w:rPr>
        <w:rFonts w:hint="default"/>
        <w:lang w:val="en-US" w:eastAsia="en-US" w:bidi="ar-SA"/>
      </w:rPr>
    </w:lvl>
    <w:lvl w:ilvl="4">
      <w:start w:val="0"/>
      <w:numFmt w:val="bullet"/>
      <w:lvlText w:val="•"/>
      <w:lvlJc w:val="left"/>
      <w:pPr>
        <w:ind w:left="4550" w:hanging="216"/>
      </w:pPr>
      <w:rPr>
        <w:rFonts w:hint="default"/>
        <w:lang w:val="en-US" w:eastAsia="en-US" w:bidi="ar-SA"/>
      </w:rPr>
    </w:lvl>
    <w:lvl w:ilvl="5">
      <w:start w:val="0"/>
      <w:numFmt w:val="bullet"/>
      <w:lvlText w:val="•"/>
      <w:lvlJc w:val="left"/>
      <w:pPr>
        <w:ind w:left="5492" w:hanging="216"/>
      </w:pPr>
      <w:rPr>
        <w:rFonts w:hint="default"/>
        <w:lang w:val="en-US" w:eastAsia="en-US" w:bidi="ar-SA"/>
      </w:rPr>
    </w:lvl>
    <w:lvl w:ilvl="6">
      <w:start w:val="0"/>
      <w:numFmt w:val="bullet"/>
      <w:lvlText w:val="•"/>
      <w:lvlJc w:val="left"/>
      <w:pPr>
        <w:ind w:left="6435" w:hanging="216"/>
      </w:pPr>
      <w:rPr>
        <w:rFonts w:hint="default"/>
        <w:lang w:val="en-US" w:eastAsia="en-US" w:bidi="ar-SA"/>
      </w:rPr>
    </w:lvl>
    <w:lvl w:ilvl="7">
      <w:start w:val="0"/>
      <w:numFmt w:val="bullet"/>
      <w:lvlText w:val="•"/>
      <w:lvlJc w:val="left"/>
      <w:pPr>
        <w:ind w:left="7377" w:hanging="216"/>
      </w:pPr>
      <w:rPr>
        <w:rFonts w:hint="default"/>
        <w:lang w:val="en-US" w:eastAsia="en-US" w:bidi="ar-SA"/>
      </w:rPr>
    </w:lvl>
    <w:lvl w:ilvl="8">
      <w:start w:val="0"/>
      <w:numFmt w:val="bullet"/>
      <w:lvlText w:val="•"/>
      <w:lvlJc w:val="left"/>
      <w:pPr>
        <w:ind w:left="8320" w:hanging="216"/>
      </w:pPr>
      <w:rPr>
        <w:rFonts w:hint="default"/>
        <w:lang w:val="en-US" w:eastAsia="en-US" w:bidi="ar-SA"/>
      </w:rPr>
    </w:lvl>
  </w:abstractNum>
  <w:abstractNum w:abstractNumId="22">
    <w:multiLevelType w:val="hybridMultilevel"/>
    <w:lvl w:ilvl="0">
      <w:start w:val="0"/>
      <w:numFmt w:val="bullet"/>
      <w:lvlText w:val="•"/>
      <w:lvlJc w:val="left"/>
      <w:pPr>
        <w:ind w:left="801" w:hanging="208"/>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08"/>
      </w:pPr>
      <w:rPr>
        <w:rFonts w:hint="default"/>
        <w:lang w:val="en-US" w:eastAsia="en-US" w:bidi="ar-SA"/>
      </w:rPr>
    </w:lvl>
    <w:lvl w:ilvl="2">
      <w:start w:val="0"/>
      <w:numFmt w:val="bullet"/>
      <w:lvlText w:val="•"/>
      <w:lvlJc w:val="left"/>
      <w:pPr>
        <w:ind w:left="2681" w:hanging="208"/>
      </w:pPr>
      <w:rPr>
        <w:rFonts w:hint="default"/>
        <w:lang w:val="en-US" w:eastAsia="en-US" w:bidi="ar-SA"/>
      </w:rPr>
    </w:lvl>
    <w:lvl w:ilvl="3">
      <w:start w:val="0"/>
      <w:numFmt w:val="bullet"/>
      <w:lvlText w:val="•"/>
      <w:lvlJc w:val="left"/>
      <w:pPr>
        <w:ind w:left="3621" w:hanging="208"/>
      </w:pPr>
      <w:rPr>
        <w:rFonts w:hint="default"/>
        <w:lang w:val="en-US" w:eastAsia="en-US" w:bidi="ar-SA"/>
      </w:rPr>
    </w:lvl>
    <w:lvl w:ilvl="4">
      <w:start w:val="0"/>
      <w:numFmt w:val="bullet"/>
      <w:lvlText w:val="•"/>
      <w:lvlJc w:val="left"/>
      <w:pPr>
        <w:ind w:left="4562" w:hanging="208"/>
      </w:pPr>
      <w:rPr>
        <w:rFonts w:hint="default"/>
        <w:lang w:val="en-US" w:eastAsia="en-US" w:bidi="ar-SA"/>
      </w:rPr>
    </w:lvl>
    <w:lvl w:ilvl="5">
      <w:start w:val="0"/>
      <w:numFmt w:val="bullet"/>
      <w:lvlText w:val="•"/>
      <w:lvlJc w:val="left"/>
      <w:pPr>
        <w:ind w:left="5502" w:hanging="208"/>
      </w:pPr>
      <w:rPr>
        <w:rFonts w:hint="default"/>
        <w:lang w:val="en-US" w:eastAsia="en-US" w:bidi="ar-SA"/>
      </w:rPr>
    </w:lvl>
    <w:lvl w:ilvl="6">
      <w:start w:val="0"/>
      <w:numFmt w:val="bullet"/>
      <w:lvlText w:val="•"/>
      <w:lvlJc w:val="left"/>
      <w:pPr>
        <w:ind w:left="6443" w:hanging="208"/>
      </w:pPr>
      <w:rPr>
        <w:rFonts w:hint="default"/>
        <w:lang w:val="en-US" w:eastAsia="en-US" w:bidi="ar-SA"/>
      </w:rPr>
    </w:lvl>
    <w:lvl w:ilvl="7">
      <w:start w:val="0"/>
      <w:numFmt w:val="bullet"/>
      <w:lvlText w:val="•"/>
      <w:lvlJc w:val="left"/>
      <w:pPr>
        <w:ind w:left="7383" w:hanging="208"/>
      </w:pPr>
      <w:rPr>
        <w:rFonts w:hint="default"/>
        <w:lang w:val="en-US" w:eastAsia="en-US" w:bidi="ar-SA"/>
      </w:rPr>
    </w:lvl>
    <w:lvl w:ilvl="8">
      <w:start w:val="0"/>
      <w:numFmt w:val="bullet"/>
      <w:lvlText w:val="•"/>
      <w:lvlJc w:val="left"/>
      <w:pPr>
        <w:ind w:left="8324" w:hanging="208"/>
      </w:pPr>
      <w:rPr>
        <w:rFonts w:hint="default"/>
        <w:lang w:val="en-US" w:eastAsia="en-US" w:bidi="ar-SA"/>
      </w:rPr>
    </w:lvl>
  </w:abstractNum>
  <w:abstractNum w:abstractNumId="21">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20">
    <w:multiLevelType w:val="hybridMultilevel"/>
    <w:lvl w:ilvl="0">
      <w:start w:val="1"/>
      <w:numFmt w:val="decimal"/>
      <w:lvlText w:val="%1."/>
      <w:lvlJc w:val="left"/>
      <w:pPr>
        <w:ind w:left="848" w:hanging="30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76" w:hanging="303"/>
      </w:pPr>
      <w:rPr>
        <w:rFonts w:hint="default"/>
        <w:lang w:val="en-US" w:eastAsia="en-US" w:bidi="ar-SA"/>
      </w:rPr>
    </w:lvl>
    <w:lvl w:ilvl="2">
      <w:start w:val="0"/>
      <w:numFmt w:val="bullet"/>
      <w:lvlText w:val="•"/>
      <w:lvlJc w:val="left"/>
      <w:pPr>
        <w:ind w:left="2713" w:hanging="303"/>
      </w:pPr>
      <w:rPr>
        <w:rFonts w:hint="default"/>
        <w:lang w:val="en-US" w:eastAsia="en-US" w:bidi="ar-SA"/>
      </w:rPr>
    </w:lvl>
    <w:lvl w:ilvl="3">
      <w:start w:val="0"/>
      <w:numFmt w:val="bullet"/>
      <w:lvlText w:val="•"/>
      <w:lvlJc w:val="left"/>
      <w:pPr>
        <w:ind w:left="3649" w:hanging="303"/>
      </w:pPr>
      <w:rPr>
        <w:rFonts w:hint="default"/>
        <w:lang w:val="en-US" w:eastAsia="en-US" w:bidi="ar-SA"/>
      </w:rPr>
    </w:lvl>
    <w:lvl w:ilvl="4">
      <w:start w:val="0"/>
      <w:numFmt w:val="bullet"/>
      <w:lvlText w:val="•"/>
      <w:lvlJc w:val="left"/>
      <w:pPr>
        <w:ind w:left="4586" w:hanging="303"/>
      </w:pPr>
      <w:rPr>
        <w:rFonts w:hint="default"/>
        <w:lang w:val="en-US" w:eastAsia="en-US" w:bidi="ar-SA"/>
      </w:rPr>
    </w:lvl>
    <w:lvl w:ilvl="5">
      <w:start w:val="0"/>
      <w:numFmt w:val="bullet"/>
      <w:lvlText w:val="•"/>
      <w:lvlJc w:val="left"/>
      <w:pPr>
        <w:ind w:left="5522" w:hanging="303"/>
      </w:pPr>
      <w:rPr>
        <w:rFonts w:hint="default"/>
        <w:lang w:val="en-US" w:eastAsia="en-US" w:bidi="ar-SA"/>
      </w:rPr>
    </w:lvl>
    <w:lvl w:ilvl="6">
      <w:start w:val="0"/>
      <w:numFmt w:val="bullet"/>
      <w:lvlText w:val="•"/>
      <w:lvlJc w:val="left"/>
      <w:pPr>
        <w:ind w:left="6459" w:hanging="303"/>
      </w:pPr>
      <w:rPr>
        <w:rFonts w:hint="default"/>
        <w:lang w:val="en-US" w:eastAsia="en-US" w:bidi="ar-SA"/>
      </w:rPr>
    </w:lvl>
    <w:lvl w:ilvl="7">
      <w:start w:val="0"/>
      <w:numFmt w:val="bullet"/>
      <w:lvlText w:val="•"/>
      <w:lvlJc w:val="left"/>
      <w:pPr>
        <w:ind w:left="7395" w:hanging="303"/>
      </w:pPr>
      <w:rPr>
        <w:rFonts w:hint="default"/>
        <w:lang w:val="en-US" w:eastAsia="en-US" w:bidi="ar-SA"/>
      </w:rPr>
    </w:lvl>
    <w:lvl w:ilvl="8">
      <w:start w:val="0"/>
      <w:numFmt w:val="bullet"/>
      <w:lvlText w:val="•"/>
      <w:lvlJc w:val="left"/>
      <w:pPr>
        <w:ind w:left="8332" w:hanging="303"/>
      </w:pPr>
      <w:rPr>
        <w:rFonts w:hint="default"/>
        <w:lang w:val="en-US" w:eastAsia="en-US" w:bidi="ar-SA"/>
      </w:rPr>
    </w:lvl>
  </w:abstractNum>
  <w:abstractNum w:abstractNumId="19">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8">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7">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6">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5">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4">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3">
    <w:multiLevelType w:val="hybridMultilevel"/>
    <w:lvl w:ilvl="0">
      <w:start w:val="1"/>
      <w:numFmt w:val="decimal"/>
      <w:lvlText w:val="%1."/>
      <w:lvlJc w:val="left"/>
      <w:pPr>
        <w:ind w:left="856" w:hanging="311"/>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94" w:hanging="311"/>
      </w:pPr>
      <w:rPr>
        <w:rFonts w:hint="default"/>
        <w:lang w:val="en-US" w:eastAsia="en-US" w:bidi="ar-SA"/>
      </w:rPr>
    </w:lvl>
    <w:lvl w:ilvl="2">
      <w:start w:val="0"/>
      <w:numFmt w:val="bullet"/>
      <w:lvlText w:val="•"/>
      <w:lvlJc w:val="left"/>
      <w:pPr>
        <w:ind w:left="2729" w:hanging="311"/>
      </w:pPr>
      <w:rPr>
        <w:rFonts w:hint="default"/>
        <w:lang w:val="en-US" w:eastAsia="en-US" w:bidi="ar-SA"/>
      </w:rPr>
    </w:lvl>
    <w:lvl w:ilvl="3">
      <w:start w:val="0"/>
      <w:numFmt w:val="bullet"/>
      <w:lvlText w:val="•"/>
      <w:lvlJc w:val="left"/>
      <w:pPr>
        <w:ind w:left="3663" w:hanging="311"/>
      </w:pPr>
      <w:rPr>
        <w:rFonts w:hint="default"/>
        <w:lang w:val="en-US" w:eastAsia="en-US" w:bidi="ar-SA"/>
      </w:rPr>
    </w:lvl>
    <w:lvl w:ilvl="4">
      <w:start w:val="0"/>
      <w:numFmt w:val="bullet"/>
      <w:lvlText w:val="•"/>
      <w:lvlJc w:val="left"/>
      <w:pPr>
        <w:ind w:left="4598" w:hanging="311"/>
      </w:pPr>
      <w:rPr>
        <w:rFonts w:hint="default"/>
        <w:lang w:val="en-US" w:eastAsia="en-US" w:bidi="ar-SA"/>
      </w:rPr>
    </w:lvl>
    <w:lvl w:ilvl="5">
      <w:start w:val="0"/>
      <w:numFmt w:val="bullet"/>
      <w:lvlText w:val="•"/>
      <w:lvlJc w:val="left"/>
      <w:pPr>
        <w:ind w:left="5532" w:hanging="311"/>
      </w:pPr>
      <w:rPr>
        <w:rFonts w:hint="default"/>
        <w:lang w:val="en-US" w:eastAsia="en-US" w:bidi="ar-SA"/>
      </w:rPr>
    </w:lvl>
    <w:lvl w:ilvl="6">
      <w:start w:val="0"/>
      <w:numFmt w:val="bullet"/>
      <w:lvlText w:val="•"/>
      <w:lvlJc w:val="left"/>
      <w:pPr>
        <w:ind w:left="6467" w:hanging="311"/>
      </w:pPr>
      <w:rPr>
        <w:rFonts w:hint="default"/>
        <w:lang w:val="en-US" w:eastAsia="en-US" w:bidi="ar-SA"/>
      </w:rPr>
    </w:lvl>
    <w:lvl w:ilvl="7">
      <w:start w:val="0"/>
      <w:numFmt w:val="bullet"/>
      <w:lvlText w:val="•"/>
      <w:lvlJc w:val="left"/>
      <w:pPr>
        <w:ind w:left="7401" w:hanging="311"/>
      </w:pPr>
      <w:rPr>
        <w:rFonts w:hint="default"/>
        <w:lang w:val="en-US" w:eastAsia="en-US" w:bidi="ar-SA"/>
      </w:rPr>
    </w:lvl>
    <w:lvl w:ilvl="8">
      <w:start w:val="0"/>
      <w:numFmt w:val="bullet"/>
      <w:lvlText w:val="•"/>
      <w:lvlJc w:val="left"/>
      <w:pPr>
        <w:ind w:left="8336" w:hanging="311"/>
      </w:pPr>
      <w:rPr>
        <w:rFonts w:hint="default"/>
        <w:lang w:val="en-US" w:eastAsia="en-US" w:bidi="ar-SA"/>
      </w:rPr>
    </w:lvl>
  </w:abstractNum>
  <w:abstractNum w:abstractNumId="12">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1">
    <w:multiLevelType w:val="hybridMultilevel"/>
    <w:lvl w:ilvl="0">
      <w:start w:val="0"/>
      <w:numFmt w:val="bullet"/>
      <w:lvlText w:val="•"/>
      <w:lvlJc w:val="left"/>
      <w:pPr>
        <w:ind w:left="799"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10">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8">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9">
    <w:multiLevelType w:val="hybridMultilevel"/>
    <w:lvl w:ilvl="0">
      <w:start w:val="0"/>
      <w:numFmt w:val="bullet"/>
      <w:lvlText w:val="•"/>
      <w:lvlJc w:val="left"/>
      <w:pPr>
        <w:ind w:left="808"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40" w:hanging="216"/>
      </w:pPr>
      <w:rPr>
        <w:rFonts w:hint="default"/>
        <w:lang w:val="en-US" w:eastAsia="en-US" w:bidi="ar-SA"/>
      </w:rPr>
    </w:lvl>
    <w:lvl w:ilvl="2">
      <w:start w:val="0"/>
      <w:numFmt w:val="bullet"/>
      <w:lvlText w:val="•"/>
      <w:lvlJc w:val="left"/>
      <w:pPr>
        <w:ind w:left="2681" w:hanging="216"/>
      </w:pPr>
      <w:rPr>
        <w:rFonts w:hint="default"/>
        <w:lang w:val="en-US" w:eastAsia="en-US" w:bidi="ar-SA"/>
      </w:rPr>
    </w:lvl>
    <w:lvl w:ilvl="3">
      <w:start w:val="0"/>
      <w:numFmt w:val="bullet"/>
      <w:lvlText w:val="•"/>
      <w:lvlJc w:val="left"/>
      <w:pPr>
        <w:ind w:left="3621" w:hanging="216"/>
      </w:pPr>
      <w:rPr>
        <w:rFonts w:hint="default"/>
        <w:lang w:val="en-US" w:eastAsia="en-US" w:bidi="ar-SA"/>
      </w:rPr>
    </w:lvl>
    <w:lvl w:ilvl="4">
      <w:start w:val="0"/>
      <w:numFmt w:val="bullet"/>
      <w:lvlText w:val="•"/>
      <w:lvlJc w:val="left"/>
      <w:pPr>
        <w:ind w:left="4562" w:hanging="216"/>
      </w:pPr>
      <w:rPr>
        <w:rFonts w:hint="default"/>
        <w:lang w:val="en-US" w:eastAsia="en-US" w:bidi="ar-SA"/>
      </w:rPr>
    </w:lvl>
    <w:lvl w:ilvl="5">
      <w:start w:val="0"/>
      <w:numFmt w:val="bullet"/>
      <w:lvlText w:val="•"/>
      <w:lvlJc w:val="left"/>
      <w:pPr>
        <w:ind w:left="5502" w:hanging="216"/>
      </w:pPr>
      <w:rPr>
        <w:rFonts w:hint="default"/>
        <w:lang w:val="en-US" w:eastAsia="en-US" w:bidi="ar-SA"/>
      </w:rPr>
    </w:lvl>
    <w:lvl w:ilvl="6">
      <w:start w:val="0"/>
      <w:numFmt w:val="bullet"/>
      <w:lvlText w:val="•"/>
      <w:lvlJc w:val="left"/>
      <w:pPr>
        <w:ind w:left="6443" w:hanging="216"/>
      </w:pPr>
      <w:rPr>
        <w:rFonts w:hint="default"/>
        <w:lang w:val="en-US" w:eastAsia="en-US" w:bidi="ar-SA"/>
      </w:rPr>
    </w:lvl>
    <w:lvl w:ilvl="7">
      <w:start w:val="0"/>
      <w:numFmt w:val="bullet"/>
      <w:lvlText w:val="•"/>
      <w:lvlJc w:val="left"/>
      <w:pPr>
        <w:ind w:left="7383" w:hanging="216"/>
      </w:pPr>
      <w:rPr>
        <w:rFonts w:hint="default"/>
        <w:lang w:val="en-US" w:eastAsia="en-US" w:bidi="ar-SA"/>
      </w:rPr>
    </w:lvl>
    <w:lvl w:ilvl="8">
      <w:start w:val="0"/>
      <w:numFmt w:val="bullet"/>
      <w:lvlText w:val="•"/>
      <w:lvlJc w:val="left"/>
      <w:pPr>
        <w:ind w:left="8324" w:hanging="216"/>
      </w:pPr>
      <w:rPr>
        <w:rFonts w:hint="default"/>
        <w:lang w:val="en-US" w:eastAsia="en-US" w:bidi="ar-SA"/>
      </w:rPr>
    </w:lvl>
  </w:abstractNum>
  <w:abstractNum w:abstractNumId="7">
    <w:multiLevelType w:val="hybridMultilevel"/>
    <w:lvl w:ilvl="0">
      <w:start w:val="1"/>
      <w:numFmt w:val="decimal"/>
      <w:lvlText w:val="%1"/>
      <w:lvlJc w:val="left"/>
      <w:pPr>
        <w:ind w:left="626" w:hanging="344"/>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784" w:hanging="503"/>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80" w:hanging="59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799" w:hanging="216"/>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1000" w:hanging="216"/>
      </w:pPr>
      <w:rPr>
        <w:rFonts w:hint="default"/>
        <w:lang w:val="en-US" w:eastAsia="en-US" w:bidi="ar-SA"/>
      </w:rPr>
    </w:lvl>
    <w:lvl w:ilvl="5">
      <w:start w:val="0"/>
      <w:numFmt w:val="bullet"/>
      <w:lvlText w:val="•"/>
      <w:lvlJc w:val="left"/>
      <w:pPr>
        <w:ind w:left="2534" w:hanging="216"/>
      </w:pPr>
      <w:rPr>
        <w:rFonts w:hint="default"/>
        <w:lang w:val="en-US" w:eastAsia="en-US" w:bidi="ar-SA"/>
      </w:rPr>
    </w:lvl>
    <w:lvl w:ilvl="6">
      <w:start w:val="0"/>
      <w:numFmt w:val="bullet"/>
      <w:lvlText w:val="•"/>
      <w:lvlJc w:val="left"/>
      <w:pPr>
        <w:ind w:left="4068" w:hanging="216"/>
      </w:pPr>
      <w:rPr>
        <w:rFonts w:hint="default"/>
        <w:lang w:val="en-US" w:eastAsia="en-US" w:bidi="ar-SA"/>
      </w:rPr>
    </w:lvl>
    <w:lvl w:ilvl="7">
      <w:start w:val="0"/>
      <w:numFmt w:val="bullet"/>
      <w:lvlText w:val="•"/>
      <w:lvlJc w:val="left"/>
      <w:pPr>
        <w:ind w:left="5602" w:hanging="216"/>
      </w:pPr>
      <w:rPr>
        <w:rFonts w:hint="default"/>
        <w:lang w:val="en-US" w:eastAsia="en-US" w:bidi="ar-SA"/>
      </w:rPr>
    </w:lvl>
    <w:lvl w:ilvl="8">
      <w:start w:val="0"/>
      <w:numFmt w:val="bullet"/>
      <w:lvlText w:val="•"/>
      <w:lvlJc w:val="left"/>
      <w:pPr>
        <w:ind w:left="7137" w:hanging="216"/>
      </w:pPr>
      <w:rPr>
        <w:rFonts w:hint="default"/>
        <w:lang w:val="en-US" w:eastAsia="en-US" w:bidi="ar-SA"/>
      </w:rPr>
    </w:lvl>
  </w:abstractNum>
  <w:abstractNum w:abstractNumId="6">
    <w:multiLevelType w:val="hybridMultilevel"/>
    <w:lvl w:ilvl="0">
      <w:start w:val="8"/>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5">
    <w:multiLevelType w:val="hybridMultilevel"/>
    <w:lvl w:ilvl="0">
      <w:start w:val="4"/>
      <w:numFmt w:val="decimal"/>
      <w:lvlText w:val="%1"/>
      <w:lvlJc w:val="left"/>
      <w:pPr>
        <w:ind w:left="1190" w:hanging="550"/>
        <w:jc w:val="left"/>
      </w:pPr>
      <w:rPr>
        <w:rFonts w:hint="default"/>
        <w:lang w:val="en-US" w:eastAsia="en-US" w:bidi="ar-SA"/>
      </w:rPr>
    </w:lvl>
    <w:lvl w:ilvl="1">
      <w:start w:val="8"/>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4">
    <w:multiLevelType w:val="hybridMultilevel"/>
    <w:lvl w:ilvl="0">
      <w:start w:val="4"/>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3">
    <w:multiLevelType w:val="hybridMultilevel"/>
    <w:lvl w:ilvl="0">
      <w:start w:val="3"/>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2">
    <w:multiLevelType w:val="hybridMultilevel"/>
    <w:lvl w:ilvl="0">
      <w:start w:val="2"/>
      <w:numFmt w:val="decimal"/>
      <w:lvlText w:val="%1"/>
      <w:lvlJc w:val="left"/>
      <w:pPr>
        <w:ind w:left="1190" w:hanging="550"/>
        <w:jc w:val="left"/>
      </w:pPr>
      <w:rPr>
        <w:rFonts w:hint="default"/>
        <w:lang w:val="en-US" w:eastAsia="en-US" w:bidi="ar-SA"/>
      </w:rPr>
    </w:lvl>
    <w:lvl w:ilvl="1">
      <w:start w:val="1"/>
      <w:numFmt w:val="decimal"/>
      <w:lvlText w:val="%1.%2"/>
      <w:lvlJc w:val="left"/>
      <w:pPr>
        <w:ind w:left="1190"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001" w:hanging="550"/>
      </w:pPr>
      <w:rPr>
        <w:rFonts w:hint="default"/>
        <w:lang w:val="en-US" w:eastAsia="en-US" w:bidi="ar-SA"/>
      </w:rPr>
    </w:lvl>
    <w:lvl w:ilvl="3">
      <w:start w:val="0"/>
      <w:numFmt w:val="bullet"/>
      <w:lvlText w:val="•"/>
      <w:lvlJc w:val="left"/>
      <w:pPr>
        <w:ind w:left="3901" w:hanging="550"/>
      </w:pPr>
      <w:rPr>
        <w:rFonts w:hint="default"/>
        <w:lang w:val="en-US" w:eastAsia="en-US" w:bidi="ar-SA"/>
      </w:rPr>
    </w:lvl>
    <w:lvl w:ilvl="4">
      <w:start w:val="0"/>
      <w:numFmt w:val="bullet"/>
      <w:lvlText w:val="•"/>
      <w:lvlJc w:val="left"/>
      <w:pPr>
        <w:ind w:left="4802" w:hanging="550"/>
      </w:pPr>
      <w:rPr>
        <w:rFonts w:hint="default"/>
        <w:lang w:val="en-US" w:eastAsia="en-US" w:bidi="ar-SA"/>
      </w:rPr>
    </w:lvl>
    <w:lvl w:ilvl="5">
      <w:start w:val="0"/>
      <w:numFmt w:val="bullet"/>
      <w:lvlText w:val="•"/>
      <w:lvlJc w:val="left"/>
      <w:pPr>
        <w:ind w:left="5702" w:hanging="550"/>
      </w:pPr>
      <w:rPr>
        <w:rFonts w:hint="default"/>
        <w:lang w:val="en-US" w:eastAsia="en-US" w:bidi="ar-SA"/>
      </w:rPr>
    </w:lvl>
    <w:lvl w:ilvl="6">
      <w:start w:val="0"/>
      <w:numFmt w:val="bullet"/>
      <w:lvlText w:val="•"/>
      <w:lvlJc w:val="left"/>
      <w:pPr>
        <w:ind w:left="6603" w:hanging="550"/>
      </w:pPr>
      <w:rPr>
        <w:rFonts w:hint="default"/>
        <w:lang w:val="en-US" w:eastAsia="en-US" w:bidi="ar-SA"/>
      </w:rPr>
    </w:lvl>
    <w:lvl w:ilvl="7">
      <w:start w:val="0"/>
      <w:numFmt w:val="bullet"/>
      <w:lvlText w:val="•"/>
      <w:lvlJc w:val="left"/>
      <w:pPr>
        <w:ind w:left="7503" w:hanging="550"/>
      </w:pPr>
      <w:rPr>
        <w:rFonts w:hint="default"/>
        <w:lang w:val="en-US" w:eastAsia="en-US" w:bidi="ar-SA"/>
      </w:rPr>
    </w:lvl>
    <w:lvl w:ilvl="8">
      <w:start w:val="0"/>
      <w:numFmt w:val="bullet"/>
      <w:lvlText w:val="•"/>
      <w:lvlJc w:val="left"/>
      <w:pPr>
        <w:ind w:left="8404" w:hanging="550"/>
      </w:pPr>
      <w:rPr>
        <w:rFonts w:hint="default"/>
        <w:lang w:val="en-US" w:eastAsia="en-US" w:bidi="ar-SA"/>
      </w:rPr>
    </w:lvl>
  </w:abstractNum>
  <w:abstractNum w:abstractNumId="1">
    <w:multiLevelType w:val="hybridMultilevel"/>
    <w:lvl w:ilvl="0">
      <w:start w:val="0"/>
      <w:numFmt w:val="bullet"/>
      <w:lvlText w:val="•"/>
      <w:lvlJc w:val="left"/>
      <w:pPr>
        <w:ind w:left="1717" w:hanging="14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568" w:hanging="144"/>
      </w:pPr>
      <w:rPr>
        <w:rFonts w:hint="default"/>
        <w:lang w:val="en-US" w:eastAsia="en-US" w:bidi="ar-SA"/>
      </w:rPr>
    </w:lvl>
    <w:lvl w:ilvl="2">
      <w:start w:val="0"/>
      <w:numFmt w:val="bullet"/>
      <w:lvlText w:val="•"/>
      <w:lvlJc w:val="left"/>
      <w:pPr>
        <w:ind w:left="3417" w:hanging="144"/>
      </w:pPr>
      <w:rPr>
        <w:rFonts w:hint="default"/>
        <w:lang w:val="en-US" w:eastAsia="en-US" w:bidi="ar-SA"/>
      </w:rPr>
    </w:lvl>
    <w:lvl w:ilvl="3">
      <w:start w:val="0"/>
      <w:numFmt w:val="bullet"/>
      <w:lvlText w:val="•"/>
      <w:lvlJc w:val="left"/>
      <w:pPr>
        <w:ind w:left="4265" w:hanging="144"/>
      </w:pPr>
      <w:rPr>
        <w:rFonts w:hint="default"/>
        <w:lang w:val="en-US" w:eastAsia="en-US" w:bidi="ar-SA"/>
      </w:rPr>
    </w:lvl>
    <w:lvl w:ilvl="4">
      <w:start w:val="0"/>
      <w:numFmt w:val="bullet"/>
      <w:lvlText w:val="•"/>
      <w:lvlJc w:val="left"/>
      <w:pPr>
        <w:ind w:left="5114" w:hanging="144"/>
      </w:pPr>
      <w:rPr>
        <w:rFonts w:hint="default"/>
        <w:lang w:val="en-US" w:eastAsia="en-US" w:bidi="ar-SA"/>
      </w:rPr>
    </w:lvl>
    <w:lvl w:ilvl="5">
      <w:start w:val="0"/>
      <w:numFmt w:val="bullet"/>
      <w:lvlText w:val="•"/>
      <w:lvlJc w:val="left"/>
      <w:pPr>
        <w:ind w:left="5962" w:hanging="144"/>
      </w:pPr>
      <w:rPr>
        <w:rFonts w:hint="default"/>
        <w:lang w:val="en-US" w:eastAsia="en-US" w:bidi="ar-SA"/>
      </w:rPr>
    </w:lvl>
    <w:lvl w:ilvl="6">
      <w:start w:val="0"/>
      <w:numFmt w:val="bullet"/>
      <w:lvlText w:val="•"/>
      <w:lvlJc w:val="left"/>
      <w:pPr>
        <w:ind w:left="6811" w:hanging="144"/>
      </w:pPr>
      <w:rPr>
        <w:rFonts w:hint="default"/>
        <w:lang w:val="en-US" w:eastAsia="en-US" w:bidi="ar-SA"/>
      </w:rPr>
    </w:lvl>
    <w:lvl w:ilvl="7">
      <w:start w:val="0"/>
      <w:numFmt w:val="bullet"/>
      <w:lvlText w:val="•"/>
      <w:lvlJc w:val="left"/>
      <w:pPr>
        <w:ind w:left="7659" w:hanging="144"/>
      </w:pPr>
      <w:rPr>
        <w:rFonts w:hint="default"/>
        <w:lang w:val="en-US" w:eastAsia="en-US" w:bidi="ar-SA"/>
      </w:rPr>
    </w:lvl>
    <w:lvl w:ilvl="8">
      <w:start w:val="0"/>
      <w:numFmt w:val="bullet"/>
      <w:lvlText w:val="•"/>
      <w:lvlJc w:val="left"/>
      <w:pPr>
        <w:ind w:left="8508" w:hanging="144"/>
      </w:pPr>
      <w:rPr>
        <w:rFonts w:hint="default"/>
        <w:lang w:val="en-US" w:eastAsia="en-US" w:bidi="ar-SA"/>
      </w:rPr>
    </w:lvl>
  </w:abstractNum>
  <w:abstractNum w:abstractNumId="0">
    <w:multiLevelType w:val="hybridMultilevel"/>
    <w:lvl w:ilvl="0">
      <w:start w:val="1"/>
      <w:numFmt w:val="decimal"/>
      <w:lvlText w:val="%1"/>
      <w:lvlJc w:val="left"/>
      <w:pPr>
        <w:ind w:left="856"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1214"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573" w:hanging="574"/>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2658" w:hanging="574"/>
      </w:pPr>
      <w:rPr>
        <w:rFonts w:hint="default"/>
        <w:lang w:val="en-US" w:eastAsia="en-US" w:bidi="ar-SA"/>
      </w:rPr>
    </w:lvl>
    <w:lvl w:ilvl="4">
      <w:start w:val="0"/>
      <w:numFmt w:val="bullet"/>
      <w:lvlText w:val="•"/>
      <w:lvlJc w:val="left"/>
      <w:pPr>
        <w:ind w:left="3736" w:hanging="574"/>
      </w:pPr>
      <w:rPr>
        <w:rFonts w:hint="default"/>
        <w:lang w:val="en-US" w:eastAsia="en-US" w:bidi="ar-SA"/>
      </w:rPr>
    </w:lvl>
    <w:lvl w:ilvl="5">
      <w:start w:val="0"/>
      <w:numFmt w:val="bullet"/>
      <w:lvlText w:val="•"/>
      <w:lvlJc w:val="left"/>
      <w:pPr>
        <w:ind w:left="4814" w:hanging="574"/>
      </w:pPr>
      <w:rPr>
        <w:rFonts w:hint="default"/>
        <w:lang w:val="en-US" w:eastAsia="en-US" w:bidi="ar-SA"/>
      </w:rPr>
    </w:lvl>
    <w:lvl w:ilvl="6">
      <w:start w:val="0"/>
      <w:numFmt w:val="bullet"/>
      <w:lvlText w:val="•"/>
      <w:lvlJc w:val="left"/>
      <w:pPr>
        <w:ind w:left="5892" w:hanging="574"/>
      </w:pPr>
      <w:rPr>
        <w:rFonts w:hint="default"/>
        <w:lang w:val="en-US" w:eastAsia="en-US" w:bidi="ar-SA"/>
      </w:rPr>
    </w:lvl>
    <w:lvl w:ilvl="7">
      <w:start w:val="0"/>
      <w:numFmt w:val="bullet"/>
      <w:lvlText w:val="•"/>
      <w:lvlJc w:val="left"/>
      <w:pPr>
        <w:ind w:left="6971" w:hanging="574"/>
      </w:pPr>
      <w:rPr>
        <w:rFonts w:hint="default"/>
        <w:lang w:val="en-US" w:eastAsia="en-US" w:bidi="ar-SA"/>
      </w:rPr>
    </w:lvl>
    <w:lvl w:ilvl="8">
      <w:start w:val="0"/>
      <w:numFmt w:val="bullet"/>
      <w:lvlText w:val="•"/>
      <w:lvlJc w:val="left"/>
      <w:pPr>
        <w:ind w:left="8049" w:hanging="574"/>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30"/>
      <w:ind w:left="856" w:hanging="57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30"/>
      <w:ind w:left="856" w:hanging="574"/>
    </w:pPr>
    <w:rPr>
      <w:rFonts w:ascii="Times New Roman" w:hAnsi="Times New Roman" w:eastAsia="Times New Roman" w:cs="Times New Roman"/>
      <w:b/>
      <w:bCs/>
      <w:i/>
      <w:iCs/>
      <w:lang w:val="en-US" w:eastAsia="en-US" w:bidi="ar-SA"/>
    </w:rPr>
  </w:style>
  <w:style w:styleId="TOC3" w:type="paragraph">
    <w:name w:val="TOC 3"/>
    <w:basedOn w:val="Normal"/>
    <w:uiPriority w:val="1"/>
    <w:qFormat/>
    <w:pPr>
      <w:spacing w:before="230"/>
      <w:ind w:left="1214" w:hanging="573"/>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230"/>
      <w:ind w:left="1214" w:hanging="573"/>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230"/>
      <w:ind w:left="856"/>
    </w:pPr>
    <w:rPr>
      <w:rFonts w:ascii="Times New Roman" w:hAnsi="Times New Roman" w:eastAsia="Times New Roman" w:cs="Times New Roman"/>
      <w:b/>
      <w:bCs/>
      <w:sz w:val="24"/>
      <w:szCs w:val="24"/>
      <w:lang w:val="en-US" w:eastAsia="en-US" w:bidi="ar-SA"/>
    </w:rPr>
  </w:style>
  <w:style w:styleId="TOC6" w:type="paragraph">
    <w:name w:val="TOC 6"/>
    <w:basedOn w:val="Normal"/>
    <w:uiPriority w:val="1"/>
    <w:qFormat/>
    <w:pPr>
      <w:spacing w:before="230"/>
      <w:ind w:left="1572" w:hanging="573"/>
    </w:pPr>
    <w:rPr>
      <w:rFonts w:ascii="Times New Roman" w:hAnsi="Times New Roman" w:eastAsia="Times New Roman" w:cs="Times New Roman"/>
      <w:sz w:val="24"/>
      <w:szCs w:val="24"/>
      <w:lang w:val="en-US" w:eastAsia="en-US" w:bidi="ar-SA"/>
    </w:rPr>
  </w:style>
  <w:style w:styleId="TOC7" w:type="paragraph">
    <w:name w:val="TOC 7"/>
    <w:basedOn w:val="Normal"/>
    <w:uiPriority w:val="1"/>
    <w:qFormat/>
    <w:pPr>
      <w:spacing w:before="230"/>
      <w:ind w:left="1715" w:hanging="142"/>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25" w:hanging="343"/>
      <w:jc w:val="both"/>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783" w:hanging="50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line="278" w:lineRule="exact"/>
      <w:ind w:left="20"/>
      <w:outlineLvl w:val="3"/>
    </w:pPr>
    <w:rPr>
      <w:rFonts w:ascii="Verdana" w:hAnsi="Verdana" w:eastAsia="Verdana" w:cs="Verdana"/>
      <w:sz w:val="26"/>
      <w:szCs w:val="26"/>
      <w:lang w:val="en-US" w:eastAsia="en-US" w:bidi="ar-SA"/>
    </w:rPr>
  </w:style>
  <w:style w:styleId="Heading4" w:type="paragraph">
    <w:name w:val="Heading 4"/>
    <w:basedOn w:val="Normal"/>
    <w:uiPriority w:val="1"/>
    <w:qFormat/>
    <w:pPr>
      <w:ind w:left="879" w:hanging="597"/>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79" w:hanging="57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hyperlink" Target="https://doi.org/10.2307/1879431" TargetMode="External"/><Relationship Id="rId27" Type="http://schemas.openxmlformats.org/officeDocument/2006/relationships/hyperlink" Target="https://doi.org/10.1145/3419614.3423251" TargetMode="External"/><Relationship Id="rId28" Type="http://schemas.openxmlformats.org/officeDocument/2006/relationships/hyperlink" Target="https://doi.org/10.1007/978-3-662-63958-0_40" TargetMode="External"/><Relationship Id="rId29" Type="http://schemas.openxmlformats.org/officeDocument/2006/relationships/hyperlink" Target="https://doi.org/10.1111/j.1540-6261.1977.tb01979.x" TargetMode="External"/><Relationship Id="rId30" Type="http://schemas.openxmlformats.org/officeDocument/2006/relationships/hyperlink" Target="https://doi.org/10.1109/SP.2015.14" TargetMode="External"/><Relationship Id="rId31" Type="http://schemas.openxmlformats.org/officeDocument/2006/relationships/hyperlink" Target="https://doi.org/10.1016/S0169-7552(98)00110-X" TargetMode="External"/><Relationship Id="rId32" Type="http://schemas.openxmlformats.org/officeDocument/2006/relationships/hyperlink" Target="https://doi.org/10.1016/j.jbvi.2019.e00151" TargetMode="External"/><Relationship Id="rId33" Type="http://schemas.openxmlformats.org/officeDocument/2006/relationships/hyperlink" Target="https://doi.org/10.1093/rfs/hhaa089" TargetMode="External"/><Relationship Id="rId34" Type="http://schemas.openxmlformats.org/officeDocument/2006/relationships/hyperlink" Target="https://doi.org/10.1037/h0040957" TargetMode="External"/><Relationship Id="rId35" Type="http://schemas.openxmlformats.org/officeDocument/2006/relationships/hyperlink" Target="https://doi.org/10.1109/SP40000.2020.00040" TargetMode="External"/><Relationship Id="rId36" Type="http://schemas.openxmlformats.org/officeDocument/2006/relationships/hyperlink" Target="https://doi.org/10.4018/IJSI.315737" TargetMode="External"/><Relationship Id="rId37" Type="http://schemas.openxmlformats.org/officeDocument/2006/relationships/hyperlink" Target="https://doi.org/10.1007/3-540-45748-8_24" TargetMode="External"/><Relationship Id="rId38" Type="http://schemas.openxmlformats.org/officeDocument/2006/relationships/hyperlink" Target="https://eips.ethereum.org/EIPS/eip-20" TargetMode="External"/><Relationship Id="rId39" Type="http://schemas.openxmlformats.org/officeDocument/2006/relationships/hyperlink" Target="https://eips.ethereum.org/EIPS/eip-2612" TargetMode="External"/><Relationship Id="rId40" Type="http://schemas.openxmlformats.org/officeDocument/2006/relationships/hyperlink" Target="https://doi.org/10.1111/j.1540-6261.1992.tb04398.x" TargetMode="External"/><Relationship Id="rId41" Type="http://schemas.openxmlformats.org/officeDocument/2006/relationships/hyperlink" Target="https://doi.org/10.1145/2976749.2978341" TargetMode="External"/><Relationship Id="rId42" Type="http://schemas.openxmlformats.org/officeDocument/2006/relationships/hyperlink" Target="https://docs.gmx.io/" TargetMode="External"/><Relationship Id="rId43" Type="http://schemas.openxmlformats.org/officeDocument/2006/relationships/hyperlink" Target="https://doi.org/10.1007/978-3-030-51280-4_12" TargetMode="External"/><Relationship Id="rId44" Type="http://schemas.openxmlformats.org/officeDocument/2006/relationships/hyperlink" Target="https://doi.org/10.1109/TNSE.2020.2982488" TargetMode="External"/><Relationship Id="rId45" Type="http://schemas.openxmlformats.org/officeDocument/2006/relationships/hyperlink" Target="https://doi.org/10.1109/TKDE.2003.1208999" TargetMode="External"/><Relationship Id="rId46" Type="http://schemas.openxmlformats.org/officeDocument/2006/relationships/hyperlink" Target="https://doi.org/10.2308/acch.1999.13.4.365" TargetMode="External"/><Relationship Id="rId47" Type="http://schemas.openxmlformats.org/officeDocument/2006/relationships/hyperlink" Target="https://doi.org/10.1145/775152.775191" TargetMode="External"/><Relationship Id="rId48" Type="http://schemas.openxmlformats.org/officeDocument/2006/relationships/hyperlink" Target="https://doi.org/10.1145/775152.775242" TargetMode="External"/><Relationship Id="rId49" Type="http://schemas.openxmlformats.org/officeDocument/2006/relationships/hyperlink" Target="https://doi.org/10.2307/2332226" TargetMode="External"/><Relationship Id="rId50" Type="http://schemas.openxmlformats.org/officeDocument/2006/relationships/hyperlink" Target="https://doi.org/10.1145/324133.324140" TargetMode="External"/><Relationship Id="rId51" Type="http://schemas.openxmlformats.org/officeDocument/2006/relationships/hyperlink" Target="https://doi.org/10.1109/IMSA58542.2023.10217411" TargetMode="External"/><Relationship Id="rId52" Type="http://schemas.openxmlformats.org/officeDocument/2006/relationships/hyperlink" Target="https://doi.org/10.2139/ssrn.3905316" TargetMode="External"/><Relationship Id="rId53" Type="http://schemas.openxmlformats.org/officeDocument/2006/relationships/hyperlink" Target="https://doi.org/10.1109/TDSC.2024.3475825" TargetMode="External"/><Relationship Id="rId54" Type="http://schemas.openxmlformats.org/officeDocument/2006/relationships/hyperlink" Target="https://doi.org/10.1016/j.jfineco.2019.07.001" TargetMode="External"/><Relationship Id="rId55" Type="http://schemas.openxmlformats.org/officeDocument/2006/relationships/hyperlink" Target="https://bitcoin.org/bitcoin.pdf" TargetMode="External"/><Relationship Id="rId56" Type="http://schemas.openxmlformats.org/officeDocument/2006/relationships/hyperlink" Target="https://doi.org/10.2139/ssrn.4375920" TargetMode="External"/><Relationship Id="rId57" Type="http://schemas.openxmlformats.org/officeDocument/2006/relationships/hyperlink" Target="https://doi.org/10.1007/978-3-662-64322-8_1" TargetMode="External"/><Relationship Id="rId58" Type="http://schemas.openxmlformats.org/officeDocument/2006/relationships/hyperlink" Target="https://doi.org/10.20955/r.103.153-74" TargetMode="External"/><Relationship Id="rId59" Type="http://schemas.openxmlformats.org/officeDocument/2006/relationships/hyperlink" Target="https://doi.org/10.2307/1412159" TargetMode="External"/><Relationship Id="rId60" Type="http://schemas.openxmlformats.org/officeDocument/2006/relationships/hyperlink" Target="https://doi.org/10.5210/fm.v2i9.548" TargetMode="External"/><Relationship Id="rId61" Type="http://schemas.openxmlformats.org/officeDocument/2006/relationships/hyperlink" Target="https://doi.org/10.1145/3442381.3449824" TargetMode="External"/><Relationship Id="rId62" Type="http://schemas.openxmlformats.org/officeDocument/2006/relationships/hyperlink" Target="https://doi.org/10.1145/3558535.3559780" TargetMode="External"/><Relationship Id="rId63" Type="http://schemas.openxmlformats.org/officeDocument/2006/relationships/hyperlink" Target="https://doi.org/10.1145/3570639" TargetMode="External"/><Relationship Id="rId64" Type="http://schemas.openxmlformats.org/officeDocument/2006/relationships/hyperlink" Target="https://doi.org/10.1093/jfr/fjaa010" TargetMode="External"/><Relationship Id="rId65" Type="http://schemas.openxmlformats.org/officeDocument/2006/relationships/hyperlink" Target="https://doi.org/10.1109/SP40001.2021.00027" TargetMode="External"/><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keywords>DeFi, EndorseRank, PageRank, on-chain reputation, Arbitrum, GMX</cp:keywords>
  <dc:subject>Doctor of Philosophy dissertation, Computer Science, University of South Africa</dc:subject>
  <dc:title>Integrating ERC-20 Allowance Edges into PageRank for Enhanced On-Chain Wallet Reputation Scoring</dc:title>
  <dcterms:created xsi:type="dcterms:W3CDTF">2026-07-29T00:44:05Z</dcterms:created>
  <dcterms:modified xsi:type="dcterms:W3CDTF">2026-07-29T00:44:05Z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LaTeX with hyperref</vt:lpwstr>
  </property>
  <property fmtid="{D5CDD505-2E9C-101B-9397-08002B2CF9AE}" pid="5" name="Producer">
    <vt:lpwstr>MiKTeX-dvipdfmx (20250410)</vt:lpwstr>
  </property>
  <property fmtid="{D5CDD505-2E9C-101B-9397-08002B2CF9AE}" pid="6" name="LastSaved">
    <vt:filetime>2026-07-04T00:00:00Z</vt:filetime>
  </property>
</Properties>
</file>