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454CD" w14:textId="77777777" w:rsidR="008448AE" w:rsidRPr="00F71EE9" w:rsidRDefault="00F71EE9" w:rsidP="00F71EE9">
      <w:pPr>
        <w:jc w:val="center"/>
        <w:rPr>
          <w:rFonts w:ascii="Arial" w:hAnsi="Arial" w:cs="Arial"/>
          <w:b/>
          <w:bCs/>
          <w:sz w:val="24"/>
          <w:szCs w:val="24"/>
        </w:rPr>
      </w:pPr>
      <w:r>
        <w:rPr>
          <w:rFonts w:ascii="Arial" w:hAnsi="Arial" w:cs="Arial"/>
          <w:b/>
          <w:bCs/>
          <w:sz w:val="24"/>
          <w:szCs w:val="24"/>
        </w:rPr>
        <w:t>Correction Table for Work Submitted to the Examiner</w:t>
      </w:r>
    </w:p>
    <w:p w14:paraId="1EC61DA9" w14:textId="77777777" w:rsidR="007363C3" w:rsidRPr="000262F6" w:rsidRDefault="007363C3" w:rsidP="008448AE">
      <w:pPr>
        <w:rPr>
          <w:rFonts w:ascii="Arial" w:hAnsi="Arial"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204"/>
        <w:gridCol w:w="3204"/>
        <w:gridCol w:w="3204"/>
      </w:tblGrid>
      <w:tr w:rsidR="00F71EE9" w:rsidRPr="00294006" w14:paraId="7789402D" w14:textId="77777777" w:rsidTr="00F71EE9">
        <w:trPr>
          <w:trHeight w:val="941"/>
          <w:jc w:val="center"/>
        </w:trPr>
        <w:tc>
          <w:tcPr>
            <w:tcW w:w="3204" w:type="dxa"/>
            <w:shd w:val="clear" w:color="auto" w:fill="FFFFFF"/>
            <w:tcMar>
              <w:top w:w="0" w:type="dxa"/>
              <w:left w:w="108" w:type="dxa"/>
              <w:bottom w:w="0" w:type="dxa"/>
              <w:right w:w="108" w:type="dxa"/>
            </w:tcMar>
            <w:hideMark/>
          </w:tcPr>
          <w:p w14:paraId="316C9711" w14:textId="77777777" w:rsidR="00F71EE9" w:rsidRDefault="00F71EE9" w:rsidP="00F71EE9">
            <w:pPr>
              <w:spacing w:after="0" w:line="240" w:lineRule="auto"/>
              <w:rPr>
                <w:rFonts w:ascii="Arial" w:eastAsia="Times New Roman" w:hAnsi="Arial" w:cs="Arial"/>
                <w:b/>
                <w:bCs/>
                <w:sz w:val="24"/>
                <w:szCs w:val="24"/>
              </w:rPr>
            </w:pPr>
            <w:r>
              <w:rPr>
                <w:rFonts w:ascii="Arial" w:eastAsia="Times New Roman" w:hAnsi="Arial" w:cs="Arial"/>
                <w:b/>
                <w:bCs/>
                <w:sz w:val="24"/>
                <w:szCs w:val="24"/>
              </w:rPr>
              <w:t>Examiner’s Comments</w:t>
            </w:r>
          </w:p>
          <w:p w14:paraId="2DEC2345" w14:textId="77777777" w:rsidR="00F71EE9" w:rsidRPr="00F71EE9" w:rsidRDefault="00F71EE9" w:rsidP="00F71EE9">
            <w:pPr>
              <w:spacing w:after="0" w:line="240" w:lineRule="auto"/>
              <w:rPr>
                <w:rFonts w:ascii="Arial" w:eastAsia="Times New Roman" w:hAnsi="Arial" w:cs="Arial"/>
                <w:i/>
                <w:iCs/>
                <w:sz w:val="20"/>
                <w:szCs w:val="20"/>
              </w:rPr>
            </w:pPr>
            <w:r w:rsidRPr="00F71EE9">
              <w:rPr>
                <w:rFonts w:ascii="Arial" w:eastAsia="Times New Roman" w:hAnsi="Arial" w:cs="Arial"/>
                <w:i/>
                <w:iCs/>
                <w:sz w:val="20"/>
                <w:szCs w:val="20"/>
              </w:rPr>
              <w:t>(list the ones where correction is requested)</w:t>
            </w:r>
          </w:p>
        </w:tc>
        <w:tc>
          <w:tcPr>
            <w:tcW w:w="3204" w:type="dxa"/>
            <w:shd w:val="clear" w:color="auto" w:fill="FFFFFF"/>
            <w:tcMar>
              <w:top w:w="0" w:type="dxa"/>
              <w:left w:w="108" w:type="dxa"/>
              <w:bottom w:w="0" w:type="dxa"/>
              <w:right w:w="108" w:type="dxa"/>
            </w:tcMar>
            <w:hideMark/>
          </w:tcPr>
          <w:p w14:paraId="5711DB77" w14:textId="77777777" w:rsidR="00F71EE9" w:rsidRPr="00294006" w:rsidRDefault="00F71EE9" w:rsidP="00F71EE9">
            <w:pPr>
              <w:spacing w:after="0" w:line="240" w:lineRule="auto"/>
              <w:rPr>
                <w:rFonts w:ascii="Arial" w:eastAsia="Times New Roman" w:hAnsi="Arial" w:cs="Arial"/>
                <w:b/>
                <w:bCs/>
                <w:sz w:val="24"/>
                <w:szCs w:val="24"/>
              </w:rPr>
            </w:pPr>
            <w:r>
              <w:rPr>
                <w:rFonts w:ascii="Arial" w:eastAsia="Times New Roman" w:hAnsi="Arial" w:cs="Arial"/>
                <w:b/>
                <w:bCs/>
                <w:sz w:val="24"/>
                <w:szCs w:val="24"/>
              </w:rPr>
              <w:t>W</w:t>
            </w:r>
            <w:r w:rsidRPr="00287AB0">
              <w:rPr>
                <w:rFonts w:ascii="Arial" w:eastAsia="Times New Roman" w:hAnsi="Arial" w:cs="Arial"/>
                <w:b/>
                <w:bCs/>
                <w:sz w:val="24"/>
                <w:szCs w:val="24"/>
              </w:rPr>
              <w:t xml:space="preserve">hat </w:t>
            </w:r>
            <w:r>
              <w:rPr>
                <w:rFonts w:ascii="Arial" w:eastAsia="Times New Roman" w:hAnsi="Arial" w:cs="Arial"/>
                <w:b/>
                <w:bCs/>
                <w:sz w:val="24"/>
                <w:szCs w:val="24"/>
              </w:rPr>
              <w:t>w</w:t>
            </w:r>
            <w:r w:rsidRPr="00287AB0">
              <w:rPr>
                <w:rFonts w:ascii="Arial" w:eastAsia="Times New Roman" w:hAnsi="Arial" w:cs="Arial"/>
                <w:b/>
                <w:bCs/>
                <w:sz w:val="24"/>
                <w:szCs w:val="24"/>
              </w:rPr>
              <w:t>as done</w:t>
            </w:r>
            <w:r>
              <w:rPr>
                <w:rFonts w:ascii="Arial" w:eastAsia="Times New Roman" w:hAnsi="Arial" w:cs="Arial"/>
                <w:b/>
                <w:bCs/>
                <w:sz w:val="24"/>
                <w:szCs w:val="24"/>
              </w:rPr>
              <w:t xml:space="preserve"> to address the comment</w:t>
            </w:r>
          </w:p>
        </w:tc>
        <w:tc>
          <w:tcPr>
            <w:tcW w:w="3204" w:type="dxa"/>
            <w:shd w:val="clear" w:color="auto" w:fill="FFFFFF"/>
            <w:tcMar>
              <w:top w:w="0" w:type="dxa"/>
              <w:left w:w="108" w:type="dxa"/>
              <w:bottom w:w="0" w:type="dxa"/>
              <w:right w:w="108" w:type="dxa"/>
            </w:tcMar>
            <w:hideMark/>
          </w:tcPr>
          <w:p w14:paraId="631D566B" w14:textId="77777777" w:rsidR="00F71EE9" w:rsidRPr="00294006" w:rsidRDefault="00F71EE9" w:rsidP="00F71EE9">
            <w:pPr>
              <w:spacing w:after="0" w:line="240" w:lineRule="auto"/>
              <w:rPr>
                <w:rFonts w:ascii="Arial" w:eastAsia="Times New Roman" w:hAnsi="Arial" w:cs="Arial"/>
                <w:b/>
                <w:bCs/>
                <w:sz w:val="24"/>
                <w:szCs w:val="24"/>
              </w:rPr>
            </w:pPr>
            <w:r w:rsidRPr="00294006">
              <w:rPr>
                <w:rFonts w:ascii="Arial" w:eastAsia="Times New Roman" w:hAnsi="Arial" w:cs="Arial"/>
                <w:b/>
                <w:bCs/>
                <w:sz w:val="24"/>
                <w:szCs w:val="24"/>
              </w:rPr>
              <w:t xml:space="preserve">Page number </w:t>
            </w:r>
            <w:r>
              <w:rPr>
                <w:rFonts w:ascii="Arial" w:eastAsia="Times New Roman" w:hAnsi="Arial" w:cs="Arial"/>
                <w:b/>
                <w:bCs/>
                <w:sz w:val="24"/>
                <w:szCs w:val="24"/>
              </w:rPr>
              <w:t>where correction is</w:t>
            </w:r>
          </w:p>
        </w:tc>
      </w:tr>
      <w:tr w:rsidR="00F71EE9" w:rsidRPr="000262F6" w14:paraId="219F680C" w14:textId="77777777" w:rsidTr="00F71EE9">
        <w:trPr>
          <w:trHeight w:val="446"/>
          <w:jc w:val="center"/>
        </w:trPr>
        <w:tc>
          <w:tcPr>
            <w:tcW w:w="3204" w:type="dxa"/>
            <w:shd w:val="clear" w:color="auto" w:fill="FFFFFF"/>
            <w:tcMar>
              <w:top w:w="0" w:type="dxa"/>
              <w:left w:w="108" w:type="dxa"/>
              <w:bottom w:w="0" w:type="dxa"/>
              <w:right w:w="108" w:type="dxa"/>
            </w:tcMar>
          </w:tcPr>
          <w:p w14:paraId="67700178" w14:textId="77777777" w:rsidR="00F71EE9" w:rsidRPr="000262F6" w:rsidRDefault="00F71EE9" w:rsidP="00F71EE9">
            <w:pPr>
              <w:spacing w:after="0" w:line="240" w:lineRule="auto"/>
              <w:rPr>
                <w:rFonts w:ascii="Arial" w:eastAsia="Times New Roman" w:hAnsi="Arial" w:cs="Arial"/>
                <w:sz w:val="24"/>
                <w:szCs w:val="24"/>
              </w:rPr>
            </w:pPr>
            <w:r>
              <w:rPr>
                <w:rFonts w:ascii="Arial" w:eastAsia="Times New Roman" w:hAnsi="Arial" w:cs="Arial"/>
                <w:sz w:val="24"/>
                <w:szCs w:val="24"/>
              </w:rPr>
              <w:t>An entity builds a financial trust relationship on a DeFi system through consistent wallet activity which must is conducted on the block chain in a transparent, clear aprouch. The system is fairly automated in that sense and cannot really be manipulated (or if you try, then your trust score tanks, making the chance of transacting a problem.</w:t>
            </w:r>
          </w:p>
        </w:tc>
        <w:tc>
          <w:tcPr>
            <w:tcW w:w="3204" w:type="dxa"/>
            <w:shd w:val="clear" w:color="auto" w:fill="FFFFFF"/>
            <w:tcMar>
              <w:top w:w="0" w:type="dxa"/>
              <w:left w:w="108" w:type="dxa"/>
              <w:bottom w:w="0" w:type="dxa"/>
              <w:right w:w="108" w:type="dxa"/>
            </w:tcMar>
          </w:tcPr>
          <w:p w14:paraId="4EF55400" w14:textId="77777777" w:rsidR="00F71EE9" w:rsidRPr="000262F6" w:rsidRDefault="00F71EE9" w:rsidP="00F71EE9">
            <w:pPr>
              <w:spacing w:after="0" w:line="360" w:lineRule="auto"/>
              <w:rPr>
                <w:rFonts w:ascii="Arial" w:eastAsia="Times New Roman" w:hAnsi="Arial" w:cs="Arial"/>
                <w:sz w:val="24"/>
                <w:szCs w:val="24"/>
              </w:rPr>
            </w:pPr>
            <w:r>
              <w:rPr>
                <w:rFonts w:ascii="Arial" w:eastAsia="Times New Roman" w:hAnsi="Arial" w:cs="Arial"/>
                <w:sz w:val="24"/>
                <w:szCs w:val="24"/>
              </w:rPr>
              <w:t xml:space="preserve">Section 1 now states how trust is normally established in a DeFi system before EndorseRank is introduced. An address accrues standing through consistent, transparent on-chain activity, and because that history is immutable and openly auditable, attempts to inflate it are costly and tend to depress rather than raise the resulting score. Definitions of attestation-based reputation and of a Sybil </w:t>
            </w:r>
            <w:r>
              <w:rPr>
                <w:rFonts w:ascii="Arial" w:eastAsia="Times New Roman" w:hAnsi="Arial" w:cs="Arial"/>
                <w:sz w:val="24"/>
                <w:szCs w:val="24"/>
              </w:rPr>
              <w:lastRenderedPageBreak/>
              <w:t>attack were added to the terminology list on the preceding page.</w:t>
            </w:r>
          </w:p>
        </w:tc>
        <w:tc>
          <w:tcPr>
            <w:tcW w:w="3204" w:type="dxa"/>
            <w:shd w:val="clear" w:color="auto" w:fill="FFFFFF"/>
            <w:tcMar>
              <w:top w:w="0" w:type="dxa"/>
              <w:left w:w="108" w:type="dxa"/>
              <w:bottom w:w="0" w:type="dxa"/>
              <w:right w:w="108" w:type="dxa"/>
            </w:tcMar>
          </w:tcPr>
          <w:p w14:paraId="34A4640F" w14:textId="77777777" w:rsidR="00F71EE9" w:rsidRPr="000262F6" w:rsidRDefault="00F71EE9" w:rsidP="00F71EE9">
            <w:pPr>
              <w:spacing w:after="0" w:line="240" w:lineRule="auto"/>
              <w:rPr>
                <w:rFonts w:ascii="Arial" w:eastAsia="Times New Roman" w:hAnsi="Arial" w:cs="Arial"/>
                <w:sz w:val="24"/>
                <w:szCs w:val="24"/>
              </w:rPr>
            </w:pPr>
            <w:r>
              <w:rPr>
                <w:rFonts w:ascii="Arial" w:eastAsia="Times New Roman" w:hAnsi="Arial" w:cs="Arial"/>
                <w:sz w:val="24"/>
                <w:szCs w:val="24"/>
              </w:rPr>
              <w:lastRenderedPageBreak/>
              <w:t>pp. 6-7</w:t>
            </w:r>
          </w:p>
        </w:tc>
      </w:tr>
      <w:tr w:rsidR="00F71EE9" w:rsidRPr="000262F6" w14:paraId="26BD4A28" w14:textId="77777777" w:rsidTr="00F71EE9">
        <w:trPr>
          <w:trHeight w:val="446"/>
          <w:jc w:val="center"/>
        </w:trPr>
        <w:tc>
          <w:tcPr>
            <w:tcW w:w="3204" w:type="dxa"/>
            <w:shd w:val="clear" w:color="auto" w:fill="FFFFFF"/>
            <w:tcMar>
              <w:top w:w="0" w:type="dxa"/>
              <w:left w:w="108" w:type="dxa"/>
              <w:bottom w:w="0" w:type="dxa"/>
              <w:right w:w="108" w:type="dxa"/>
            </w:tcMar>
          </w:tcPr>
          <w:p w14:paraId="7B674A9B" w14:textId="77777777" w:rsidR="00F71EE9" w:rsidRPr="000262F6" w:rsidRDefault="00F71EE9" w:rsidP="00F71EE9">
            <w:pPr>
              <w:spacing w:after="0" w:line="240" w:lineRule="auto"/>
              <w:rPr>
                <w:rFonts w:ascii="Arial" w:eastAsia="Times New Roman" w:hAnsi="Arial" w:cs="Arial"/>
                <w:sz w:val="24"/>
                <w:szCs w:val="24"/>
              </w:rPr>
            </w:pPr>
            <w:r>
              <w:rPr>
                <w:rFonts w:ascii="Arial" w:eastAsia="Times New Roman" w:hAnsi="Arial" w:cs="Arial"/>
                <w:sz w:val="24"/>
                <w:szCs w:val="24"/>
              </w:rPr>
              <w:t>Typical reputational metrics are achieved by using tools like Gitcoin passport, and is linked to the transactional wallet, where trust is tied directly to a wallet address and verifiable actions on the chain.</w:t>
            </w:r>
          </w:p>
        </w:tc>
        <w:tc>
          <w:tcPr>
            <w:tcW w:w="3204" w:type="dxa"/>
            <w:shd w:val="clear" w:color="auto" w:fill="FFFFFF"/>
            <w:tcMar>
              <w:top w:w="0" w:type="dxa"/>
              <w:left w:w="108" w:type="dxa"/>
              <w:bottom w:w="0" w:type="dxa"/>
              <w:right w:w="108" w:type="dxa"/>
            </w:tcMar>
          </w:tcPr>
          <w:p w14:paraId="44A609A1" w14:textId="77777777" w:rsidR="00F71EE9" w:rsidRPr="000262F6" w:rsidRDefault="00F71EE9" w:rsidP="00F71EE9">
            <w:pPr>
              <w:spacing w:after="0" w:line="360" w:lineRule="auto"/>
              <w:rPr>
                <w:rFonts w:ascii="Arial" w:eastAsia="Times New Roman" w:hAnsi="Arial" w:cs="Arial"/>
                <w:sz w:val="24"/>
                <w:szCs w:val="24"/>
              </w:rPr>
            </w:pPr>
            <w:r>
              <w:rPr>
                <w:rFonts w:ascii="Arial" w:eastAsia="Times New Roman" w:hAnsi="Arial" w:cs="Arial"/>
                <w:sz w:val="24"/>
                <w:szCs w:val="24"/>
              </w:rPr>
              <w:t xml:space="preserve">A new Section 3.4, Attestation-Based Reputation Tooling in Deployed DeFi Systems, reviews this practice with Gitcoin / Human Passport as the primary case. Stamps are verifiable credentials bound to a wallet address, each weighted by its cost of forgery, summed into a score and compared against a passing threshold, and optionally minted on-chain as attestations through the Ethereum Attestation </w:t>
            </w:r>
            <w:r>
              <w:rPr>
                <w:rFonts w:ascii="Arial" w:eastAsia="Times New Roman" w:hAnsi="Arial" w:cs="Arial"/>
                <w:sz w:val="24"/>
                <w:szCs w:val="24"/>
              </w:rPr>
              <w:lastRenderedPageBreak/>
              <w:t>Service. Four sources were added to the reference list: Human Passport (n.d.); Bordeianu and Popescu (2026); Siddarth et al. (2020); Buterin et al. (2019).</w:t>
            </w:r>
          </w:p>
        </w:tc>
        <w:tc>
          <w:tcPr>
            <w:tcW w:w="3204" w:type="dxa"/>
            <w:shd w:val="clear" w:color="auto" w:fill="FFFFFF"/>
            <w:tcMar>
              <w:top w:w="0" w:type="dxa"/>
              <w:left w:w="108" w:type="dxa"/>
              <w:bottom w:w="0" w:type="dxa"/>
              <w:right w:w="108" w:type="dxa"/>
            </w:tcMar>
          </w:tcPr>
          <w:p w14:paraId="30CC3FEE" w14:textId="77777777" w:rsidR="00F71EE9" w:rsidRPr="000262F6" w:rsidRDefault="00F71EE9" w:rsidP="00F71EE9">
            <w:pPr>
              <w:spacing w:after="0" w:line="240" w:lineRule="auto"/>
              <w:rPr>
                <w:rFonts w:ascii="Arial" w:eastAsia="Times New Roman" w:hAnsi="Arial" w:cs="Arial"/>
                <w:sz w:val="24"/>
                <w:szCs w:val="24"/>
              </w:rPr>
            </w:pPr>
            <w:r>
              <w:rPr>
                <w:rFonts w:ascii="Arial" w:eastAsia="Times New Roman" w:hAnsi="Arial" w:cs="Arial"/>
                <w:sz w:val="24"/>
                <w:szCs w:val="24"/>
              </w:rPr>
              <w:lastRenderedPageBreak/>
              <w:t>pp. 23-24; references pp. 53-54</w:t>
            </w:r>
          </w:p>
        </w:tc>
      </w:tr>
      <w:tr w:rsidR="00F71EE9" w:rsidRPr="000262F6" w14:paraId="2B3E5D06" w14:textId="77777777" w:rsidTr="00F71EE9">
        <w:trPr>
          <w:trHeight w:val="446"/>
          <w:jc w:val="center"/>
        </w:trPr>
        <w:tc>
          <w:tcPr>
            <w:tcW w:w="3204" w:type="dxa"/>
            <w:shd w:val="clear" w:color="auto" w:fill="FFFFFF"/>
            <w:tcMar>
              <w:top w:w="0" w:type="dxa"/>
              <w:left w:w="108" w:type="dxa"/>
              <w:bottom w:w="0" w:type="dxa"/>
              <w:right w:w="108" w:type="dxa"/>
            </w:tcMar>
          </w:tcPr>
          <w:p w14:paraId="46D298F4" w14:textId="77777777" w:rsidR="00F71EE9" w:rsidRPr="000262F6" w:rsidRDefault="00F71EE9" w:rsidP="00F71EE9">
            <w:pPr>
              <w:spacing w:after="0" w:line="240" w:lineRule="auto"/>
              <w:rPr>
                <w:rFonts w:ascii="Arial" w:eastAsia="Times New Roman" w:hAnsi="Arial" w:cs="Arial"/>
                <w:sz w:val="24"/>
                <w:szCs w:val="24"/>
              </w:rPr>
            </w:pPr>
            <w:r>
              <w:rPr>
                <w:rFonts w:ascii="Arial" w:eastAsia="Times New Roman" w:hAnsi="Arial" w:cs="Arial"/>
                <w:sz w:val="24"/>
                <w:szCs w:val="24"/>
              </w:rPr>
              <w:t>Considering that the proposal does not mention one of the core tools used for reputational trust in this financial system, it is not clear how the proposed “EndorseRank” will make a novel contribution. Without referencing how trust is usually established in a DeFi blockchain system the proposal lacks clarity on the key discussions for a tool like Gitcoin (to name just one).</w:t>
            </w:r>
          </w:p>
        </w:tc>
        <w:tc>
          <w:tcPr>
            <w:tcW w:w="3204" w:type="dxa"/>
            <w:shd w:val="clear" w:color="auto" w:fill="FFFFFF"/>
            <w:tcMar>
              <w:top w:w="0" w:type="dxa"/>
              <w:left w:w="108" w:type="dxa"/>
              <w:bottom w:w="0" w:type="dxa"/>
              <w:right w:w="108" w:type="dxa"/>
            </w:tcMar>
          </w:tcPr>
          <w:p w14:paraId="184299DE" w14:textId="77777777" w:rsidR="00F71EE9" w:rsidRPr="000262F6" w:rsidRDefault="00F71EE9" w:rsidP="00F71EE9">
            <w:pPr>
              <w:spacing w:after="0" w:line="360" w:lineRule="auto"/>
              <w:rPr>
                <w:rFonts w:ascii="Arial" w:eastAsia="Times New Roman" w:hAnsi="Arial" w:cs="Arial"/>
                <w:sz w:val="24"/>
                <w:szCs w:val="24"/>
              </w:rPr>
            </w:pPr>
            <w:r>
              <w:rPr>
                <w:rFonts w:ascii="Arial" w:eastAsia="Times New Roman" w:hAnsi="Arial" w:cs="Arial"/>
                <w:sz w:val="24"/>
                <w:szCs w:val="24"/>
              </w:rPr>
              <w:t xml:space="preserve">The novel contribution is now stated as an explicit contrast with Passport-style tooling along five dimensions: signal source, data scope, question answered, output form and validation target. Section 3.3 points forward to Section 3.4; the Section 1 gap statement was rewritten so that it no longer claims that no existing study addresses the area, </w:t>
            </w:r>
            <w:r>
              <w:rPr>
                <w:rFonts w:ascii="Arial" w:eastAsia="Times New Roman" w:hAnsi="Arial" w:cs="Arial"/>
                <w:sz w:val="24"/>
                <w:szCs w:val="24"/>
              </w:rPr>
              <w:lastRenderedPageBreak/>
              <w:t xml:space="preserve">and instead says what the graph-based literature and the deployed tooling each do not do; the research problem in Section 2 distinguishes an admission gate from a graded ordering of wallets; and Section 8 restates the original contribution as the treatment of delegation as a measurable, </w:t>
            </w:r>
            <w:proofErr w:type="spellStart"/>
            <w:r>
              <w:rPr>
                <w:rFonts w:ascii="Arial" w:eastAsia="Times New Roman" w:hAnsi="Arial" w:cs="Arial"/>
                <w:sz w:val="24"/>
                <w:szCs w:val="24"/>
              </w:rPr>
              <w:t>rankable</w:t>
            </w:r>
            <w:proofErr w:type="spellEnd"/>
            <w:r>
              <w:rPr>
                <w:rFonts w:ascii="Arial" w:eastAsia="Times New Roman" w:hAnsi="Arial" w:cs="Arial"/>
                <w:sz w:val="24"/>
                <w:szCs w:val="24"/>
              </w:rPr>
              <w:t xml:space="preserve"> trust relation.</w:t>
            </w:r>
          </w:p>
        </w:tc>
        <w:tc>
          <w:tcPr>
            <w:tcW w:w="3204" w:type="dxa"/>
            <w:shd w:val="clear" w:color="auto" w:fill="FFFFFF"/>
            <w:tcMar>
              <w:top w:w="0" w:type="dxa"/>
              <w:left w:w="108" w:type="dxa"/>
              <w:bottom w:w="0" w:type="dxa"/>
              <w:right w:w="108" w:type="dxa"/>
            </w:tcMar>
          </w:tcPr>
          <w:p w14:paraId="4E15893A" w14:textId="77777777" w:rsidR="00F71EE9" w:rsidRPr="000262F6" w:rsidRDefault="00F71EE9" w:rsidP="00F71EE9">
            <w:pPr>
              <w:spacing w:after="0" w:line="240" w:lineRule="auto"/>
              <w:rPr>
                <w:rFonts w:ascii="Arial" w:eastAsia="Times New Roman" w:hAnsi="Arial" w:cs="Arial"/>
                <w:sz w:val="24"/>
                <w:szCs w:val="24"/>
              </w:rPr>
            </w:pPr>
            <w:r>
              <w:rPr>
                <w:rFonts w:ascii="Arial" w:eastAsia="Times New Roman" w:hAnsi="Arial" w:cs="Arial"/>
                <w:sz w:val="24"/>
                <w:szCs w:val="24"/>
              </w:rPr>
              <w:lastRenderedPageBreak/>
              <w:t>pp. 9, 10, 23, 25, 44</w:t>
            </w:r>
          </w:p>
        </w:tc>
      </w:tr>
      <w:tr w:rsidR="00F71EE9" w:rsidRPr="000262F6" w14:paraId="51ED847E" w14:textId="77777777" w:rsidTr="00F71EE9">
        <w:trPr>
          <w:trHeight w:val="446"/>
          <w:jc w:val="center"/>
        </w:trPr>
        <w:tc>
          <w:tcPr>
            <w:tcW w:w="3204" w:type="dxa"/>
            <w:shd w:val="clear" w:color="auto" w:fill="FFFFFF"/>
            <w:tcMar>
              <w:top w:w="0" w:type="dxa"/>
              <w:left w:w="108" w:type="dxa"/>
              <w:bottom w:w="0" w:type="dxa"/>
              <w:right w:w="108" w:type="dxa"/>
            </w:tcMar>
          </w:tcPr>
          <w:p w14:paraId="128378B0" w14:textId="77777777" w:rsidR="00F71EE9" w:rsidRPr="000262F6" w:rsidRDefault="00F71EE9" w:rsidP="00F71EE9">
            <w:pPr>
              <w:spacing w:after="0" w:line="360" w:lineRule="auto"/>
              <w:rPr>
                <w:rFonts w:ascii="Arial" w:hAnsi="Arial" w:cs="Arial"/>
                <w:sz w:val="24"/>
                <w:szCs w:val="24"/>
                <w:highlight w:val="yellow"/>
              </w:rPr>
            </w:pPr>
            <w:r>
              <w:rPr>
                <w:rFonts w:ascii="Arial" w:eastAsia="Times New Roman" w:hAnsi="Arial" w:cs="Arial"/>
                <w:sz w:val="24"/>
                <w:szCs w:val="24"/>
              </w:rPr>
              <w:t>It must be noted that Gitcoin passport does consider both on-chain and off-chain data to calculate a trust score, to address (among other things), sybil attacks.</w:t>
            </w:r>
          </w:p>
        </w:tc>
        <w:tc>
          <w:tcPr>
            <w:tcW w:w="3204" w:type="dxa"/>
            <w:shd w:val="clear" w:color="auto" w:fill="FFFFFF"/>
            <w:tcMar>
              <w:top w:w="0" w:type="dxa"/>
              <w:left w:w="108" w:type="dxa"/>
              <w:bottom w:w="0" w:type="dxa"/>
              <w:right w:w="108" w:type="dxa"/>
            </w:tcMar>
          </w:tcPr>
          <w:p w14:paraId="58B9B2AE" w14:textId="77777777" w:rsidR="00F71EE9" w:rsidRPr="000262F6" w:rsidRDefault="00F71EE9" w:rsidP="00F71EE9">
            <w:pPr>
              <w:spacing w:after="0" w:line="360" w:lineRule="auto"/>
              <w:rPr>
                <w:rFonts w:ascii="Arial" w:eastAsia="Times New Roman" w:hAnsi="Arial" w:cs="Arial"/>
                <w:sz w:val="24"/>
                <w:szCs w:val="24"/>
              </w:rPr>
            </w:pPr>
            <w:r>
              <w:rPr>
                <w:rFonts w:ascii="Arial" w:eastAsia="Times New Roman" w:hAnsi="Arial" w:cs="Arial"/>
                <w:sz w:val="24"/>
                <w:szCs w:val="24"/>
              </w:rPr>
              <w:t xml:space="preserve">Section 3.4 records this explicitly, including the model-based scoring that classifies EVM addresses in real time from on-chain activity on Ethereum and Layer-2 networks such as Arbitrum, and the residual </w:t>
            </w:r>
            <w:r>
              <w:rPr>
                <w:rFonts w:ascii="Arial" w:eastAsia="Times New Roman" w:hAnsi="Arial" w:cs="Arial"/>
                <w:sz w:val="24"/>
                <w:szCs w:val="24"/>
              </w:rPr>
              <w:lastRenderedPageBreak/>
              <w:t>credential-farming weakness reported by Bordeianu and Popescu (2026). Section 6 adds two limitations: EndorseRank draws on no off-chain evidence and therefore offers no personhood guarantee of its own, and composing a Passport-style gate with EndorseRank is left to future work because it requires labelled Sybil data not collected here.</w:t>
            </w:r>
          </w:p>
        </w:tc>
        <w:tc>
          <w:tcPr>
            <w:tcW w:w="3204" w:type="dxa"/>
            <w:shd w:val="clear" w:color="auto" w:fill="FFFFFF"/>
            <w:tcMar>
              <w:top w:w="0" w:type="dxa"/>
              <w:left w:w="108" w:type="dxa"/>
              <w:bottom w:w="0" w:type="dxa"/>
              <w:right w:w="108" w:type="dxa"/>
            </w:tcMar>
          </w:tcPr>
          <w:p w14:paraId="6708A6A2" w14:textId="77777777" w:rsidR="00F71EE9" w:rsidRPr="000262F6" w:rsidRDefault="00F71EE9" w:rsidP="00F71EE9">
            <w:pPr>
              <w:spacing w:after="0" w:line="240" w:lineRule="auto"/>
              <w:rPr>
                <w:rFonts w:ascii="Arial" w:eastAsia="Times New Roman" w:hAnsi="Arial" w:cs="Arial"/>
                <w:sz w:val="24"/>
                <w:szCs w:val="24"/>
              </w:rPr>
            </w:pPr>
            <w:r>
              <w:rPr>
                <w:rFonts w:ascii="Arial" w:eastAsia="Times New Roman" w:hAnsi="Arial" w:cs="Arial"/>
                <w:sz w:val="24"/>
                <w:szCs w:val="24"/>
              </w:rPr>
              <w:lastRenderedPageBreak/>
              <w:t>pp. 24, 40-41</w:t>
            </w:r>
          </w:p>
        </w:tc>
      </w:tr>
      <w:tr w:rsidR="00F71EE9" w:rsidRPr="000262F6" w14:paraId="5A29B494" w14:textId="77777777" w:rsidTr="00F71EE9">
        <w:trPr>
          <w:trHeight w:val="446"/>
          <w:jc w:val="center"/>
        </w:trPr>
        <w:tc>
          <w:tcPr>
            <w:tcW w:w="3204" w:type="dxa"/>
            <w:shd w:val="clear" w:color="auto" w:fill="FFFFFF"/>
            <w:tcMar>
              <w:top w:w="0" w:type="dxa"/>
              <w:left w:w="108" w:type="dxa"/>
              <w:bottom w:w="0" w:type="dxa"/>
              <w:right w:w="108" w:type="dxa"/>
            </w:tcMar>
          </w:tcPr>
          <w:p w14:paraId="2000C857" w14:textId="77777777" w:rsidR="00F71EE9" w:rsidRDefault="00F71EE9" w:rsidP="00F71EE9">
            <w:pPr>
              <w:spacing w:after="0" w:line="360" w:lineRule="auto"/>
              <w:rPr>
                <w:rFonts w:ascii="Arial" w:hAnsi="Arial" w:cs="Arial"/>
                <w:sz w:val="24"/>
                <w:szCs w:val="24"/>
                <w:highlight w:val="yellow"/>
              </w:rPr>
            </w:pPr>
            <w:r>
              <w:rPr>
                <w:rFonts w:ascii="Arial" w:eastAsia="Times New Roman" w:hAnsi="Arial" w:cs="Arial"/>
                <w:sz w:val="24"/>
                <w:szCs w:val="24"/>
              </w:rPr>
              <w:t xml:space="preserve">I also feel that the research question is too verbose, and as all is linked back to the essence of the main research question, I feel that the question must be more concise and not worry </w:t>
            </w:r>
            <w:r>
              <w:rPr>
                <w:rFonts w:ascii="Arial" w:eastAsia="Times New Roman" w:hAnsi="Arial" w:cs="Arial"/>
                <w:sz w:val="24"/>
                <w:szCs w:val="24"/>
              </w:rPr>
              <w:lastRenderedPageBreak/>
              <w:t>too much about all the “side comments” made in the research question.</w:t>
            </w:r>
          </w:p>
        </w:tc>
        <w:tc>
          <w:tcPr>
            <w:tcW w:w="3204" w:type="dxa"/>
            <w:shd w:val="clear" w:color="auto" w:fill="FFFFFF"/>
            <w:tcMar>
              <w:top w:w="0" w:type="dxa"/>
              <w:left w:w="108" w:type="dxa"/>
              <w:bottom w:w="0" w:type="dxa"/>
              <w:right w:w="108" w:type="dxa"/>
            </w:tcMar>
          </w:tcPr>
          <w:p w14:paraId="59128107" w14:textId="77777777" w:rsidR="00F71EE9" w:rsidRPr="000262F6" w:rsidRDefault="00F71EE9" w:rsidP="00F71EE9">
            <w:pPr>
              <w:spacing w:after="0" w:line="360" w:lineRule="auto"/>
              <w:rPr>
                <w:rFonts w:ascii="Arial" w:eastAsia="Times New Roman" w:hAnsi="Arial" w:cs="Arial"/>
                <w:sz w:val="24"/>
                <w:szCs w:val="24"/>
              </w:rPr>
            </w:pPr>
            <w:r>
              <w:rPr>
                <w:rFonts w:ascii="Arial" w:eastAsia="Times New Roman" w:hAnsi="Arial" w:cs="Arial"/>
                <w:sz w:val="24"/>
                <w:szCs w:val="24"/>
              </w:rPr>
              <w:lastRenderedPageBreak/>
              <w:t xml:space="preserve">The main research question in Section 2.1 was shortened from 65 words to 28: “Can EndorseRank, a Weighted PageRank computed over ERC-20 allowance relationships, </w:t>
            </w:r>
            <w:r>
              <w:rPr>
                <w:rFonts w:ascii="Arial" w:eastAsia="Times New Roman" w:hAnsi="Arial" w:cs="Arial"/>
                <w:sz w:val="24"/>
                <w:szCs w:val="24"/>
              </w:rPr>
              <w:lastRenderedPageBreak/>
              <w:t>match or outperform transaction-based PageRank baselines in ranking Arbitrum One wallets by trading success, at lower computational cost?” The setting, perspective, comparison baselines and evaluation criteria are carried by the SPICE table immediately below the question, so no information is lost and the sub-questions are unchanged.</w:t>
            </w:r>
          </w:p>
        </w:tc>
        <w:tc>
          <w:tcPr>
            <w:tcW w:w="3204" w:type="dxa"/>
            <w:shd w:val="clear" w:color="auto" w:fill="FFFFFF"/>
            <w:tcMar>
              <w:top w:w="0" w:type="dxa"/>
              <w:left w:w="108" w:type="dxa"/>
              <w:bottom w:w="0" w:type="dxa"/>
              <w:right w:w="108" w:type="dxa"/>
            </w:tcMar>
          </w:tcPr>
          <w:p w14:paraId="35ECD810" w14:textId="77777777" w:rsidR="00F71EE9" w:rsidRPr="000262F6" w:rsidRDefault="00F71EE9" w:rsidP="00F71EE9">
            <w:pPr>
              <w:spacing w:after="0" w:line="240" w:lineRule="auto"/>
              <w:rPr>
                <w:rFonts w:ascii="Arial" w:eastAsia="Times New Roman" w:hAnsi="Arial" w:cs="Arial"/>
                <w:sz w:val="24"/>
                <w:szCs w:val="24"/>
              </w:rPr>
            </w:pPr>
            <w:r>
              <w:rPr>
                <w:rFonts w:ascii="Arial" w:eastAsia="Times New Roman" w:hAnsi="Arial" w:cs="Arial"/>
                <w:sz w:val="24"/>
                <w:szCs w:val="24"/>
              </w:rPr>
              <w:lastRenderedPageBreak/>
              <w:t>p. 11</w:t>
            </w:r>
          </w:p>
        </w:tc>
      </w:tr>
    </w:tbl>
    <w:p w14:paraId="0D0178A5" w14:textId="77777777" w:rsidR="008448AE" w:rsidRPr="000262F6" w:rsidRDefault="008448AE" w:rsidP="008448AE">
      <w:pPr>
        <w:rPr>
          <w:rFonts w:ascii="Arial" w:hAnsi="Arial" w:cs="Arial"/>
          <w:sz w:val="24"/>
          <w:szCs w:val="24"/>
        </w:rPr>
      </w:pPr>
    </w:p>
    <w:sectPr w:rsidR="008448AE" w:rsidRPr="000262F6" w:rsidSect="006236F4">
      <w:pgSz w:w="16839" w:h="11907"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DACA5" w14:textId="77777777" w:rsidR="00D00FC7" w:rsidRDefault="00D00FC7" w:rsidP="00134002">
      <w:pPr>
        <w:spacing w:after="0" w:line="240" w:lineRule="auto"/>
      </w:pPr>
      <w:r>
        <w:separator/>
      </w:r>
    </w:p>
  </w:endnote>
  <w:endnote w:type="continuationSeparator" w:id="0">
    <w:p w14:paraId="18931E80" w14:textId="77777777" w:rsidR="00D00FC7" w:rsidRDefault="00D00FC7" w:rsidP="00134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0C701" w14:textId="77777777" w:rsidR="00D00FC7" w:rsidRDefault="00D00FC7" w:rsidP="00134002">
      <w:pPr>
        <w:spacing w:after="0" w:line="240" w:lineRule="auto"/>
      </w:pPr>
      <w:r>
        <w:separator/>
      </w:r>
    </w:p>
  </w:footnote>
  <w:footnote w:type="continuationSeparator" w:id="0">
    <w:p w14:paraId="768A71B1" w14:textId="77777777" w:rsidR="00D00FC7" w:rsidRDefault="00D00FC7" w:rsidP="001340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4048"/>
    <w:multiLevelType w:val="hybridMultilevel"/>
    <w:tmpl w:val="9FFE3E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C594197"/>
    <w:multiLevelType w:val="hybridMultilevel"/>
    <w:tmpl w:val="F23C6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FA59B4"/>
    <w:multiLevelType w:val="hybridMultilevel"/>
    <w:tmpl w:val="3AD2EC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6C99044F"/>
    <w:multiLevelType w:val="hybridMultilevel"/>
    <w:tmpl w:val="0942A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647485"/>
    <w:multiLevelType w:val="hybridMultilevel"/>
    <w:tmpl w:val="CAC4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5712907">
    <w:abstractNumId w:val="2"/>
  </w:num>
  <w:num w:numId="2" w16cid:durableId="2025135039">
    <w:abstractNumId w:val="3"/>
  </w:num>
  <w:num w:numId="3" w16cid:durableId="580794723">
    <w:abstractNumId w:val="0"/>
  </w:num>
  <w:num w:numId="4" w16cid:durableId="639068601">
    <w:abstractNumId w:val="1"/>
  </w:num>
  <w:num w:numId="5" w16cid:durableId="9730214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46E2"/>
    <w:rsid w:val="000262F6"/>
    <w:rsid w:val="00042EAE"/>
    <w:rsid w:val="00134002"/>
    <w:rsid w:val="001370A8"/>
    <w:rsid w:val="00192BDC"/>
    <w:rsid w:val="00287AB0"/>
    <w:rsid w:val="00294006"/>
    <w:rsid w:val="002A6C4B"/>
    <w:rsid w:val="00410A31"/>
    <w:rsid w:val="00451902"/>
    <w:rsid w:val="004909A4"/>
    <w:rsid w:val="004D1D89"/>
    <w:rsid w:val="006236F4"/>
    <w:rsid w:val="00624A25"/>
    <w:rsid w:val="006A55D3"/>
    <w:rsid w:val="006C2E3D"/>
    <w:rsid w:val="006F0FAA"/>
    <w:rsid w:val="006F46E2"/>
    <w:rsid w:val="00727ADC"/>
    <w:rsid w:val="007363C3"/>
    <w:rsid w:val="007B2B47"/>
    <w:rsid w:val="007E74E5"/>
    <w:rsid w:val="008037DF"/>
    <w:rsid w:val="008448AE"/>
    <w:rsid w:val="00977802"/>
    <w:rsid w:val="009E7175"/>
    <w:rsid w:val="00A57901"/>
    <w:rsid w:val="00BF79E4"/>
    <w:rsid w:val="00C973FF"/>
    <w:rsid w:val="00D00FC7"/>
    <w:rsid w:val="00DC31FA"/>
    <w:rsid w:val="00DE769F"/>
    <w:rsid w:val="00E2378B"/>
    <w:rsid w:val="00E460ED"/>
    <w:rsid w:val="00E70368"/>
    <w:rsid w:val="00E854DB"/>
    <w:rsid w:val="00EA787D"/>
    <w:rsid w:val="00F200AE"/>
    <w:rsid w:val="00F25A10"/>
    <w:rsid w:val="00F71EE9"/>
    <w:rsid w:val="00FF230B"/>
  </w:rsids>
  <m:mathPr>
    <m:mathFont m:val="Cambria Math"/>
    <m:brkBin m:val="before"/>
    <m:brkBinSub m:val="--"/>
    <m:smallFrac m:val="0"/>
    <m:dispDef/>
    <m:lMargin m:val="0"/>
    <m:rMargin m:val="0"/>
    <m:defJc m:val="centerGroup"/>
    <m:wrapIndent m:val="1440"/>
    <m:intLim m:val="subSup"/>
    <m:naryLim m:val="undOvr"/>
  </m:mathPr>
  <w:themeFontLang w:val="en-US" w:eastAsia="ko-KR"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747CB8"/>
  <w15:docId w15:val="{0B120B94-0C6D-4A75-9565-AB0DEFCAD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787D"/>
    <w:rPr>
      <w:lang w:val="en-GB"/>
    </w:rPr>
  </w:style>
  <w:style w:type="paragraph" w:styleId="3">
    <w:name w:val="heading 3"/>
    <w:basedOn w:val="a"/>
    <w:next w:val="a"/>
    <w:link w:val="3Char"/>
    <w:uiPriority w:val="9"/>
    <w:unhideWhenUsed/>
    <w:qFormat/>
    <w:rsid w:val="00134002"/>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A787D"/>
    <w:pPr>
      <w:ind w:left="720"/>
      <w:contextualSpacing/>
    </w:pPr>
  </w:style>
  <w:style w:type="character" w:customStyle="1" w:styleId="3Char">
    <w:name w:val="제목 3 Char"/>
    <w:basedOn w:val="a0"/>
    <w:link w:val="3"/>
    <w:uiPriority w:val="9"/>
    <w:rsid w:val="00134002"/>
    <w:rPr>
      <w:rFonts w:asciiTheme="majorHAnsi" w:eastAsiaTheme="majorEastAsia" w:hAnsiTheme="majorHAnsi" w:cstheme="majorBidi"/>
      <w:b/>
      <w:bCs/>
      <w:color w:val="4F81BD" w:themeColor="accent1"/>
      <w:lang w:val="en-GB"/>
    </w:rPr>
  </w:style>
  <w:style w:type="character" w:styleId="a4">
    <w:name w:val="Hyperlink"/>
    <w:basedOn w:val="a0"/>
    <w:uiPriority w:val="99"/>
    <w:unhideWhenUsed/>
    <w:rsid w:val="00134002"/>
    <w:rPr>
      <w:color w:val="0000FF" w:themeColor="hyperlink"/>
      <w:u w:val="single"/>
    </w:rPr>
  </w:style>
  <w:style w:type="paragraph" w:styleId="a5">
    <w:name w:val="footnote text"/>
    <w:basedOn w:val="a"/>
    <w:link w:val="Char"/>
    <w:uiPriority w:val="99"/>
    <w:semiHidden/>
    <w:unhideWhenUsed/>
    <w:rsid w:val="00134002"/>
    <w:pPr>
      <w:spacing w:after="0" w:line="240" w:lineRule="auto"/>
    </w:pPr>
    <w:rPr>
      <w:sz w:val="20"/>
      <w:szCs w:val="20"/>
    </w:rPr>
  </w:style>
  <w:style w:type="character" w:customStyle="1" w:styleId="Char">
    <w:name w:val="각주 텍스트 Char"/>
    <w:basedOn w:val="a0"/>
    <w:link w:val="a5"/>
    <w:uiPriority w:val="99"/>
    <w:semiHidden/>
    <w:rsid w:val="00134002"/>
    <w:rPr>
      <w:rFonts w:eastAsiaTheme="minorEastAsia"/>
      <w:sz w:val="20"/>
      <w:szCs w:val="20"/>
      <w:lang w:val="en-GB"/>
    </w:rPr>
  </w:style>
  <w:style w:type="character" w:styleId="a6">
    <w:name w:val="footnote reference"/>
    <w:basedOn w:val="a0"/>
    <w:uiPriority w:val="99"/>
    <w:semiHidden/>
    <w:unhideWhenUsed/>
    <w:rsid w:val="00134002"/>
    <w:rPr>
      <w:vertAlign w:val="superscript"/>
    </w:rPr>
  </w:style>
  <w:style w:type="paragraph" w:styleId="a7">
    <w:name w:val="annotation text"/>
    <w:basedOn w:val="a"/>
    <w:link w:val="Char0"/>
    <w:uiPriority w:val="99"/>
    <w:semiHidden/>
    <w:unhideWhenUsed/>
  </w:style>
  <w:style w:type="character" w:customStyle="1" w:styleId="Char0">
    <w:name w:val="메모 텍스트 Char"/>
    <w:basedOn w:val="a0"/>
    <w:link w:val="a7"/>
    <w:uiPriority w:val="99"/>
    <w:semiHidden/>
    <w:rPr>
      <w:rFonts w:eastAsiaTheme="minorEastAsia"/>
      <w:lang w:val="en-GB"/>
    </w:rPr>
  </w:style>
  <w:style w:type="character" w:styleId="a8">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679</Words>
  <Characters>3662</Characters>
  <Application>Microsoft Office Word</Application>
  <DocSecurity>0</DocSecurity>
  <Lines>192</Lines>
  <Paragraphs>23</Paragraphs>
  <ScaleCrop>false</ScaleCrop>
  <HeadingPairs>
    <vt:vector size="2" baseType="variant">
      <vt:variant>
        <vt:lpstr>Title</vt:lpstr>
      </vt:variant>
      <vt:variant>
        <vt:i4>1</vt:i4>
      </vt:variant>
    </vt:vector>
  </HeadingPairs>
  <TitlesOfParts>
    <vt:vector size="1" baseType="lpstr">
      <vt:lpstr/>
    </vt:vector>
  </TitlesOfParts>
  <Company>US Peace Corps</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mnkane@unisa.ac.za;Ernest</dc:creator>
  <cp:lastModifiedBy>권 태홍</cp:lastModifiedBy>
  <cp:revision>4</cp:revision>
  <dcterms:created xsi:type="dcterms:W3CDTF">2024-11-20T18:06:00Z</dcterms:created>
  <dcterms:modified xsi:type="dcterms:W3CDTF">2026-08-04T07:27:00Z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3f1ede31a6235581307909b5d1a3ee23b02afb135e06bf89046bcb6ba27b0136</vt:lpwstr>
  </property>
</Properties>
</file>