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r>
        <w:rPr>
          <w:b/>
          <w:bCs/>
          <w:sz w:val="28"/>
          <w:szCs w:val="28"/>
        </w:rPr>
        <w:t>TAEHONG KWON</w:t>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commentRangeStart w:id="0"/>
      <w:r>
        <w:rPr>
          <w:b/>
          <w:bCs/>
          <w:sz w:val="28"/>
          <w:szCs w:val="28"/>
        </w:rPr>
        <w:t>DOCTOR OF PHILOSOPHY</w:t>
      </w:r>
      <w:commentRangeEnd w:id="0"/>
      <w:r>
        <w:rPr>
          <w:rStyle w:val="CommentReference"/>
        </w:rPr>
        <w:commentReference w:id="0"/>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5CB03E96"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primarily rely on transaction volume and recency (time-decay) to assess wallet trustworthiness. While these approaches effectively capture eco- nomic flows and activity levels, they might incur substantial computational overhead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4E3EC4FF"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AbitoRank, a novel on-chain reputation metric leveraging ERC-20 approve and permit allowances as direct indicators of wallet endorsement. Each approve/permit action explicitly grants spending permissions to another wallet,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 xml:space="preserve">based solely on the most recent allowance amounts for each wallet pair, AbitoRank eliminates the need for historical time-decay adjustments and </w:t>
      </w:r>
      <w:r w:rsidR="00C74C8E">
        <w:rPr>
          <w:rFonts w:eastAsia="Calibri"/>
          <w:color w:val="000000"/>
          <w:sz w:val="24"/>
          <w:szCs w:val="24"/>
        </w:rPr>
        <w:t>significantly</w:t>
      </w:r>
      <w:r>
        <w:rPr>
          <w:rFonts w:eastAsia="Calibri"/>
          <w:color w:val="000000"/>
          <w:sz w:val="24"/>
          <w:szCs w:val="24"/>
        </w:rPr>
        <w:t xml:space="preserve">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AbitoRank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r>
        <w:rPr>
          <w:sz w:val="24"/>
          <w:szCs w:val="24"/>
        </w:rPr>
        <w:t>Develop a robust data pipeline to extract and manage the latest approve/permit allowances.</w:t>
      </w:r>
    </w:p>
    <w:p w14:paraId="42F89F88" w14:textId="1E9A02E6" w:rsidR="00A271CD" w:rsidRPr="00C74C8E" w:rsidRDefault="006A4981" w:rsidP="00C74C8E">
      <w:pPr>
        <w:numPr>
          <w:ilvl w:val="0"/>
          <w:numId w:val="36"/>
        </w:numPr>
        <w:pBdr>
          <w:top w:val="nil"/>
          <w:left w:val="nil"/>
          <w:bottom w:val="nil"/>
          <w:right w:val="nil"/>
          <w:between w:val="nil"/>
        </w:pBdr>
        <w:tabs>
          <w:tab w:val="left" w:pos="669"/>
          <w:tab w:val="left" w:pos="671"/>
        </w:tabs>
        <w:spacing w:before="12" w:line="291" w:lineRule="auto"/>
        <w:ind w:right="296"/>
        <w:rPr>
          <w:color w:val="000000"/>
          <w:sz w:val="24"/>
          <w:szCs w:val="24"/>
        </w:rPr>
      </w:pPr>
      <w:r w:rsidRPr="00C74C8E">
        <w:rPr>
          <w:rFonts w:eastAsia="Calibri"/>
          <w:color w:val="000000"/>
          <w:sz w:val="24"/>
          <w:szCs w:val="24"/>
        </w:rPr>
        <w:t>Construct and efficiently compute reputation scores from a sparse and endorsement- oriented graph.</w:t>
      </w: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 xml:space="preserve">Evaluate AbitoRank’s predictive accuracy concerning on-chain financial risk (e.g., defaults on Aave) compared to established transaction-based methods, using </w:t>
      </w:r>
      <w:r>
        <w:rPr>
          <w:rFonts w:eastAsia="Calibri"/>
          <w:color w:val="000000"/>
          <w:sz w:val="24"/>
          <w:szCs w:val="24"/>
        </w:rPr>
        <w:lastRenderedPageBreak/>
        <w:t>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77777777"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AbitoRank seeks to provide a computation- ally efficient, semantically clear, and accurate reputation scoring mechanism suit- able for real-world DeFi platforms, enabling better risk management and decision- making.</w:t>
      </w: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footerReference w:type="default" r:id="rId7"/>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4D6FBE29" w14:textId="77777777" w:rsidR="000B78E5" w:rsidRDefault="000B78E5">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5AB6539A" w14:textId="77777777" w:rsidR="000B78E5" w:rsidRDefault="000B78E5">
      <w:pPr>
        <w:pBdr>
          <w:top w:val="nil"/>
          <w:left w:val="nil"/>
          <w:bottom w:val="nil"/>
          <w:right w:val="nil"/>
          <w:between w:val="nil"/>
        </w:pBdr>
        <w:spacing w:before="304"/>
        <w:rPr>
          <w:b/>
          <w:bCs/>
          <w:color w:val="000000"/>
          <w:sz w:val="49"/>
          <w:szCs w:val="49"/>
        </w:rPr>
      </w:pPr>
    </w:p>
    <w:p w14:paraId="0DF99303" w14:textId="77777777" w:rsidR="000B78E5" w:rsidRDefault="000B78E5">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7DA61F84"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77777777"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31</w:t>
      </w:r>
    </w:p>
    <w:p w14:paraId="56D79D9E" w14:textId="77777777" w:rsidR="00AB0C37" w:rsidRDefault="00AB0C37" w:rsidP="00AB0C37">
      <w:pPr>
        <w:numPr>
          <w:ilvl w:val="0"/>
          <w:numId w:val="44"/>
        </w:numPr>
        <w:pBdr>
          <w:top w:val="nil"/>
          <w:left w:val="nil"/>
          <w:bottom w:val="nil"/>
          <w:right w:val="nil"/>
          <w:between w:val="nil"/>
        </w:pBdr>
        <w:tabs>
          <w:tab w:val="left" w:pos="435"/>
          <w:tab w:val="right" w:pos="8419"/>
        </w:tabs>
        <w:spacing w:before="300"/>
        <w:ind w:left="435" w:hanging="350"/>
      </w:pPr>
      <w:commentRangeStart w:id="13"/>
      <w:r>
        <w:t>Dissertation/Thesis Outline35</w:t>
      </w:r>
      <w:commentRangeEnd w:id="13"/>
      <w:r>
        <w:rPr>
          <w:rStyle w:val="CommentReference"/>
        </w:rPr>
        <w:commentReference w:id="13"/>
      </w:r>
    </w:p>
    <w:p w14:paraId="28C69795" w14:textId="77777777" w:rsidR="00AB0C37" w:rsidRDefault="00AB0C37" w:rsidP="00AB0C37">
      <w:pPr>
        <w:numPr>
          <w:ilvl w:val="1"/>
          <w:numId w:val="44"/>
        </w:numPr>
        <w:pBdr>
          <w:top w:val="nil"/>
          <w:left w:val="nil"/>
          <w:bottom w:val="nil"/>
          <w:right w:val="nil"/>
          <w:between w:val="nil"/>
        </w:pBdr>
        <w:tabs>
          <w:tab w:val="left" w:pos="974"/>
          <w:tab w:val="right" w:leader="dot" w:pos="8418"/>
        </w:tabs>
        <w:spacing w:before="65"/>
        <w:ind w:left="974" w:hanging="537"/>
      </w:pPr>
      <w:r>
        <w:t>References36</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39CF6078" w14:textId="77777777" w:rsidR="00A271CD" w:rsidRDefault="006A4981">
      <w:pPr>
        <w:spacing w:before="542"/>
        <w:ind w:left="85"/>
        <w:rPr>
          <w:b/>
          <w:bCs/>
          <w:sz w:val="49"/>
          <w:szCs w:val="49"/>
        </w:rPr>
      </w:pPr>
      <w:bookmarkStart w:id="0" w:name="gj4k9mjfpi2z" w:colFirst="0" w:colLast="0"/>
      <w:bookmarkStart w:id="1" w:name="_hlfabiwwndsb" w:colFirst="0" w:colLast="0"/>
      <w:bookmarkEnd w:id="0"/>
      <w:bookmarkEnd w:id="1"/>
      <w:r>
        <w:rPr>
          <w:b/>
          <w:bCs/>
          <w:sz w:val="49"/>
          <w:szCs w:val="49"/>
        </w:rPr>
        <w:lastRenderedPageBreak/>
        <w:t xml:space="preserve">Introduction and </w:t>
      </w:r>
      <w:r>
        <w:rPr>
          <w:b/>
          <w:bCs/>
          <w:sz w:val="49"/>
          <w:szCs w:val="49"/>
        </w:rPr>
        <w:t>background</w:t>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credit risk / default event: </w:t>
      </w:r>
      <w:r>
        <w:rPr>
          <w:sz w:val="24"/>
          <w:szCs w:val="24"/>
        </w:rPr>
        <w:t xml:space="preserve">Observable adverse outcomes such as loan </w:t>
      </w:r>
      <w:r>
        <w:rPr>
          <w:sz w:val="24"/>
          <w:szCs w:val="24"/>
        </w:rPr>
        <w:lastRenderedPageBreak/>
        <w:t>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 (e.g.,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4D92A6CB" w:rsidR="00A271CD" w:rsidRDefault="006A4981">
      <w:pPr>
        <w:pBdr>
          <w:top w:val="nil"/>
          <w:left w:val="nil"/>
          <w:bottom w:val="nil"/>
          <w:right w:val="nil"/>
          <w:between w:val="nil"/>
        </w:pBdr>
        <w:spacing w:line="291" w:lineRule="auto"/>
        <w:ind w:left="85" w:right="932"/>
        <w:jc w:val="both"/>
        <w:rPr>
          <w:color w:val="FF0000"/>
          <w:sz w:val="24"/>
          <w:szCs w:val="24"/>
        </w:rPr>
      </w:pPr>
      <w: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economic magnitude and temporal relevance, it does not directly model explicit spending authorization as a trust signal.</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approval based relationships, no existing study has systematically leveraged ERC-20 allowances as primary edge weights for PageRank. This methodological gap moti- vates AbitoRank, our proposed on-chain reputation algorithm that applies a stan- dard Weighted PageRank to </w:t>
      </w:r>
      <w:r>
        <w:rPr>
          <w:i/>
          <w:iCs/>
          <w:sz w:val="24"/>
          <w:szCs w:val="24"/>
        </w:rPr>
        <w:t>G</w:t>
      </w:r>
      <w:r>
        <w:rPr>
          <w:i/>
          <w:iCs/>
          <w:sz w:val="24"/>
          <w:szCs w:val="24"/>
          <w:vertAlign w:val="subscript"/>
        </w:rPr>
        <w:t>approve</w:t>
      </w:r>
      <w:r>
        <w:rPr>
          <w:sz w:val="24"/>
          <w:szCs w:val="24"/>
        </w:rPr>
        <w:t xml:space="preserve">. We hypothesize that AbitoRank will achieve comparable or superior predictive power for financial risk (e.g., default events) while significantly reducing data-processing complexity compared to transaction- value– and time-decay–based methods. </w:t>
      </w:r>
      <w:r>
        <w:rPr>
          <w:sz w:val="24"/>
          <w:szCs w:val="24"/>
        </w:rPr>
        <w:t>To ensure a clear alignment between this motivation and what the study will deliver, the proposal specifies objective-linked expected results:</w:t>
      </w:r>
    </w:p>
    <w:p w14:paraId="0515AF48"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 reproducible pipeline and latest-allowance endorsement graph  derived from ERC-20 approve/permit states;</w:t>
      </w:r>
    </w:p>
    <w:p w14:paraId="2BF2065E"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An optimized, scalable Weighted PageRank implementation (AbitoRank) operating on this sparse,  trust-semantic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2"/>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AbitoRank matches or improves risk-prediction performance relative to transaction-based baselines while reducing computational overhead.</w:t>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6" w:name="45gx6lhyoey9" w:colFirst="0" w:colLast="0"/>
      <w:bookmarkStart w:id="7" w:name="_r4votdpqwib2" w:colFirst="0" w:colLast="0"/>
      <w:bookmarkEnd w:id="6"/>
      <w:bookmarkEnd w:id="7"/>
      <w:r>
        <w:rPr>
          <w:b/>
          <w:bCs/>
          <w:sz w:val="49"/>
          <w:szCs w:val="49"/>
        </w:rPr>
        <w:t>Research Problem</w:t>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approve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r>
        <w:rPr>
          <w:sz w:val="24"/>
          <w:szCs w:val="24"/>
        </w:rPr>
        <w:t>To address this issue, we will design, implement, and evaluate the AbitoRank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AbitoRank correlates with observable credit risk outcomes such as default or liquidation events in lending protocols (e.g., Aave) (Wolf et al., 2022).</w:t>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13" w:name="3z1zu3nyapyn" w:colFirst="0" w:colLast="0"/>
      <w:bookmarkStart w:id="14" w:name="_rhsa6kdwzark" w:colFirst="0" w:colLast="0"/>
      <w:bookmarkEnd w:id="13"/>
      <w:bookmarkEnd w:id="14"/>
      <w:r>
        <w:rPr>
          <w:color w:val="000000"/>
        </w:rPr>
        <w:t>Research Questions</w:t>
      </w:r>
    </w:p>
    <w:p w14:paraId="0673A1BD" w14:textId="77777777" w:rsidR="00B574BB" w:rsidRDefault="00000000">
      <w:pPr>
        <w:pStyle w:val="2"/>
      </w:pPr>
      <w:commentRangeStart w:id="1"/>
      <w:r>
        <w:t>SPICE Alignment</w:t>
      </w:r>
      <w:commentRangeEnd w:id="1"/>
      <w:r>
        <w:rPr>
          <w:rStyle w:val="CommentReference"/>
        </w:rPr>
        <w:commentReference w:id="1"/>
      </w:r>
    </w:p>
    <w:p w14:paraId="1D107128" w14:textId="77777777" w:rsidR="00B574BB" w:rsidRDefault="00000000">
      <w:pPr>
        <w:spacing w:before="120" w:line="276" w:lineRule="auto"/>
        <w:jc w:val="both"/>
      </w:pPr>
      <w:r>
        <w:t>The main research question is aligned with the SPICE model as follows: Setting: Ethereum-based DeFi lending and on-chain wallet reputation scoring; Perspective: DeFi protocols, risk analysts, wallet users, and researchers who need explainable wallet-level risk indicators; Intervention: AbitoRank, a Weighted PageRank metric built from ERC-20 approval/permit-derived allowance relationships; Comparison: Adaptive Weighted PageRank and transfer-based PageRank models that rely on historical transaction flows; Evaluation: rank divergence, default/liquidation prediction performance, runtime, memory use, and convergence stability.</w:t>
      </w:r>
    </w:p>
    <w:p w14:paraId="6B64F906" w14:textId="77777777"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1EFF0A82"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AbitoRank’s ranking output differ from </w:t>
      </w:r>
      <w:r>
        <w:rPr>
          <w:rFonts w:eastAsia="Calibri"/>
          <w:color w:val="000000"/>
          <w:sz w:val="24"/>
          <w:szCs w:val="24"/>
        </w:rPr>
        <w:t>AWP</w:t>
      </w:r>
      <w:r>
        <w:rPr>
          <w:rFonts w:eastAsia="Calibri"/>
          <w:color w:val="000000"/>
          <w:sz w:val="24"/>
          <w:szCs w:val="24"/>
        </w:rPr>
        <w:t xml:space="preserve"> and traditional transaction-based PageRank </w:t>
      </w:r>
      <w:r>
        <w:rPr>
          <w:sz w:val="24"/>
          <w:szCs w:val="24"/>
        </w:rPr>
        <w:t>scoring</w:t>
      </w:r>
      <w:r>
        <w:rPr>
          <w:rFonts w:eastAsia="Calibri"/>
          <w:color w:val="000000"/>
          <w:sz w:val="24"/>
          <w:szCs w:val="24"/>
        </w:rPr>
        <w:t xml:space="preserve"> in terms of relative ordering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AbitoRank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AbitoRank scores and on-chain default or liquidation events (e.g., on Aave V3)?</w:t>
      </w:r>
    </w:p>
    <w:p w14:paraId="62323DA6" w14:textId="36BAB20A" w:rsidR="00A271CD" w:rsidRPr="000B78E5" w:rsidRDefault="006A4981" w:rsidP="000B78E5">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sz w:val="24"/>
          <w:szCs w:val="24"/>
        </w:rPr>
      </w:pPr>
      <w:r w:rsidRPr="000B78E5">
        <w:rPr>
          <w:rFonts w:eastAsia="Calibri"/>
          <w:color w:val="000000"/>
          <w:sz w:val="24"/>
          <w:szCs w:val="24"/>
        </w:rPr>
        <w:t>RQ3.2: How does AbitoRank’s predictive power (e.g., measured via AUC, precision, recall) for default events compare to that of AWP and transaction-based PageRank?</w:t>
      </w: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 xml:space="preserve">RQ4.1: What is the execution time and resource usage (CPU, memory) </w:t>
      </w:r>
      <w:r>
        <w:rPr>
          <w:rFonts w:eastAsia="Calibri"/>
          <w:color w:val="000000"/>
          <w:sz w:val="24"/>
          <w:szCs w:val="24"/>
        </w:rPr>
        <w:lastRenderedPageBreak/>
        <w:t>required to compute AbitoRank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19" w:name="nfnhqstubsa8" w:colFirst="0" w:colLast="0"/>
      <w:bookmarkStart w:id="20" w:name="_6igkw6wuglcw" w:colFirst="0" w:colLast="0"/>
      <w:bookmarkEnd w:id="19"/>
      <w:bookmarkEnd w:id="20"/>
      <w:r>
        <w:t>Objectives</w:t>
      </w:r>
    </w:p>
    <w:p w14:paraId="3EDC4672" w14:textId="334CEA5F"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w:t>
      </w:r>
      <w:r w:rsidR="000B78E5">
        <w:rPr>
          <w:rFonts w:hint="eastAsia"/>
          <w:color w:val="000000"/>
          <w:sz w:val="24"/>
          <w:szCs w:val="24"/>
        </w:rPr>
        <w:t>n</w:t>
      </w:r>
      <w:r>
        <w:rPr>
          <w:rFonts w:eastAsia="Calibri"/>
          <w:color w:val="000000"/>
          <w:sz w:val="24"/>
          <w:szCs w:val="24"/>
        </w:rPr>
        <w:t xml:space="preserve"> AbitoRank algorithm that leverages ERC-20 approve/permit allowances as edge weights with- out any time decay factors—so as to produce a computationally efficient and trust- reflective on-chain reputation score. Specifically, we aim to:</w:t>
      </w:r>
    </w:p>
    <w:p w14:paraId="7040F29E" w14:textId="77777777" w:rsidR="00B574BB" w:rsidRDefault="00000000">
      <w:pPr>
        <w:pStyle w:val="2"/>
      </w:pPr>
      <w:commentRangeStart w:id="2"/>
      <w:r>
        <w:t>SMART Alignment</w:t>
      </w:r>
      <w:commentRangeEnd w:id="2"/>
      <w:r>
        <w:rPr>
          <w:rStyle w:val="CommentReference"/>
        </w:rPr>
        <w:commentReference w:id="2"/>
      </w:r>
    </w:p>
    <w:p w14:paraId="06A88AB8" w14:textId="77777777" w:rsidR="00B574BB" w:rsidRDefault="00000000">
      <w:pPr>
        <w:spacing w:before="120" w:line="276" w:lineRule="auto"/>
        <w:jc w:val="both"/>
      </w:pPr>
      <w:r>
        <w:t>The objectives are specific because each one targets a concrete research output: data pipeline, graph construction, algorithm implementation, baseline reproduction, predictive evaluation, and scalability benchmarking. They are measurable through rank-correlation statistics, AUC, precision, recall, F1-score, calibration, runtime, memory, and convergence tolerance. They are attainable and realistic because they use public blockchain logs, Aave V3 liquidation events, reproducible Python-based tooling, and fixed computational resources. They are time-bound through the post-approval schedule, which allocates data extraction, implementation, evaluation, writing, and publication milestones between June 2026 and January 2028.</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6AE03B51"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approved amount </w:t>
      </w:r>
      <w:r>
        <w:rPr>
          <w:rFonts w:eastAsia="Calibri"/>
          <w:color w:val="000000"/>
          <w:sz w:val="24"/>
          <w:szCs w:val="24"/>
        </w:rPr>
        <w:t>(e.g., in ETH or token units) from wallet u (owner) to wallet v (spender).</w:t>
      </w:r>
    </w:p>
    <w:p w14:paraId="6C2BB46D" w14:textId="26E85553"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aggregation; all older approvals are superseded by the most recent event.</w:t>
      </w:r>
    </w:p>
    <w:p w14:paraId="4B1EFC64" w14:textId="2EA95184" w:rsidR="00A271CD" w:rsidRPr="000B78E5" w:rsidRDefault="006A4981" w:rsidP="000B78E5">
      <w:pPr>
        <w:pStyle w:val="2"/>
        <w:numPr>
          <w:ilvl w:val="0"/>
          <w:numId w:val="31"/>
        </w:numPr>
        <w:pBdr>
          <w:top w:val="nil"/>
          <w:left w:val="nil"/>
          <w:bottom w:val="nil"/>
          <w:right w:val="nil"/>
          <w:between w:val="nil"/>
        </w:pBdr>
        <w:tabs>
          <w:tab w:val="left" w:pos="669"/>
        </w:tabs>
        <w:spacing w:before="202"/>
        <w:ind w:left="669" w:hanging="298"/>
        <w:rPr>
          <w:color w:val="000000"/>
        </w:rPr>
      </w:pPr>
      <w:r>
        <w:t>AbitoRank Algorithm Implementation</w:t>
      </w: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Pr="004C2D23"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rFonts w:eastAsia="Calibri"/>
          <w:color w:val="000000"/>
          <w:sz w:val="24"/>
          <w:szCs w:val="24"/>
        </w:rPr>
      </w:pPr>
      <w:r>
        <w:rPr>
          <w:rFonts w:eastAsia="Calibri"/>
          <w:color w:val="000000"/>
          <w:sz w:val="24"/>
          <w:szCs w:val="24"/>
        </w:rPr>
        <w:t xml:space="preserve">Normalize each node’s outgoing edges so that for node </w:t>
      </w:r>
      <w:r w:rsidRPr="004C2D23">
        <w:rPr>
          <w:rFonts w:eastAsia="Calibri"/>
          <w:color w:val="000000"/>
          <w:sz w:val="24"/>
          <w:szCs w:val="24"/>
        </w:rPr>
        <w:t>u</w:t>
      </w:r>
      <w:r>
        <w:rPr>
          <w:rFonts w:eastAsia="Calibri"/>
          <w:color w:val="000000"/>
          <w:sz w:val="24"/>
          <w:szCs w:val="24"/>
        </w:rPr>
        <w:t xml:space="preserve">, the probability of transitioning to neighbor </w:t>
      </w:r>
      <w:r w:rsidRPr="004C2D23">
        <w:rPr>
          <w:rFonts w:eastAsia="Calibri"/>
          <w:color w:val="000000"/>
          <w:sz w:val="24"/>
          <w:szCs w:val="24"/>
        </w:rPr>
        <w:t xml:space="preserve">v </w:t>
      </w:r>
      <w:r>
        <w:rPr>
          <w:rFonts w:eastAsia="Calibri"/>
          <w:color w:val="000000"/>
          <w:sz w:val="24"/>
          <w:szCs w:val="24"/>
        </w:rPr>
        <w:t>is:</w:t>
      </w:r>
    </w:p>
    <w:p w14:paraId="52C8BF3B" w14:textId="77777777" w:rsidR="004C2D23" w:rsidRDefault="006A4981" w:rsidP="004C2D23">
      <w:pPr>
        <w:pBdr>
          <w:top w:val="nil"/>
          <w:left w:val="nil"/>
          <w:bottom w:val="nil"/>
          <w:right w:val="nil"/>
          <w:between w:val="nil"/>
        </w:pBdr>
        <w:tabs>
          <w:tab w:val="left" w:pos="2020"/>
          <w:tab w:val="left" w:pos="2022"/>
        </w:tabs>
        <w:spacing w:before="116" w:line="291" w:lineRule="auto"/>
        <w:ind w:left="2022" w:right="934"/>
        <w:jc w:val="center"/>
        <w:rPr>
          <w:color w:val="000000"/>
          <w:sz w:val="24"/>
          <w:szCs w:val="24"/>
        </w:rPr>
      </w:pPr>
      <w:r>
        <w:rPr>
          <w:noProof/>
          <w:sz w:val="24"/>
          <w:szCs w:val="24"/>
        </w:rPr>
        <w:drawing>
          <wp:inline distT="114300" distB="114300" distL="114300" distR="114300" wp14:anchorId="77DFA601" wp14:editId="59F05B77">
            <wp:extent cx="2971800" cy="847725"/>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71800" cy="847725"/>
                    </a:xfrm>
                    <a:prstGeom prst="rect">
                      <a:avLst/>
                    </a:prstGeom>
                    <a:ln/>
                  </pic:spPr>
                </pic:pic>
              </a:graphicData>
            </a:graphic>
          </wp:inline>
        </w:drawing>
      </w:r>
    </w:p>
    <w:p w14:paraId="46A3ECED" w14:textId="3838C228" w:rsidR="00A271CD" w:rsidRPr="004C2D23" w:rsidRDefault="006A4981" w:rsidP="004C2D23">
      <w:pPr>
        <w:pBdr>
          <w:top w:val="nil"/>
          <w:left w:val="nil"/>
          <w:bottom w:val="nil"/>
          <w:right w:val="nil"/>
          <w:between w:val="nil"/>
        </w:pBdr>
        <w:tabs>
          <w:tab w:val="left" w:pos="2020"/>
          <w:tab w:val="left" w:pos="2022"/>
        </w:tabs>
        <w:spacing w:before="116" w:line="291" w:lineRule="auto"/>
        <w:ind w:left="2022" w:right="934"/>
        <w:jc w:val="both"/>
        <w:rPr>
          <w:rFonts w:eastAsia="Calibri"/>
          <w:color w:val="000000"/>
          <w:sz w:val="24"/>
          <w:szCs w:val="24"/>
        </w:rPr>
      </w:pPr>
      <w:r>
        <w:rPr>
          <w:rFonts w:eastAsia="Calibri"/>
          <w:color w:val="000000"/>
          <w:sz w:val="24"/>
          <w:szCs w:val="24"/>
        </w:rPr>
        <w:t>where N</w:t>
      </w:r>
      <w:r w:rsidRPr="004C2D23">
        <w:rPr>
          <w:rFonts w:eastAsia="Calibri"/>
          <w:color w:val="000000"/>
          <w:sz w:val="24"/>
          <w:szCs w:val="24"/>
        </w:rPr>
        <w:t>+</w:t>
      </w:r>
      <w:r>
        <w:rPr>
          <w:rFonts w:eastAsia="Calibri"/>
          <w:color w:val="000000"/>
          <w:sz w:val="24"/>
          <w:szCs w:val="24"/>
        </w:rPr>
        <w:t xml:space="preserve">(u) is the set of out-neighbors of u (all nodes </w:t>
      </w:r>
      <w:r w:rsidRPr="004C2D23">
        <w:rPr>
          <w:rFonts w:eastAsia="Calibri"/>
          <w:color w:val="000000"/>
          <w:sz w:val="24"/>
          <w:szCs w:val="24"/>
        </w:rPr>
        <w:t xml:space="preserve">x </w:t>
      </w:r>
      <w:r>
        <w:rPr>
          <w:rFonts w:eastAsia="Calibri"/>
          <w:color w:val="000000"/>
          <w:sz w:val="24"/>
          <w:szCs w:val="24"/>
        </w:rPr>
        <w:t>that u approves), x is an element of N</w:t>
      </w:r>
      <w:r w:rsidRPr="004C2D23">
        <w:rPr>
          <w:rFonts w:eastAsia="Calibri"/>
          <w:color w:val="000000"/>
          <w:sz w:val="24"/>
          <w:szCs w:val="24"/>
        </w:rPr>
        <w:t>+</w:t>
      </w:r>
      <w:r>
        <w:rPr>
          <w:rFonts w:eastAsia="Calibri"/>
          <w:color w:val="000000"/>
          <w:sz w:val="24"/>
          <w:szCs w:val="24"/>
        </w:rPr>
        <w:t>(u), and</w:t>
      </w:r>
      <w:r w:rsidRPr="004C2D23">
        <w:rPr>
          <w:rFonts w:eastAsia="Calibri"/>
          <w:color w:val="000000"/>
          <w:sz w:val="24"/>
          <w:szCs w:val="24"/>
        </w:rPr>
        <w:t xml:space="preserve"> </w:t>
      </w:r>
      <w:r w:rsidR="000B78E5">
        <w:rPr>
          <w:rFonts w:hint="eastAsia"/>
          <w:color w:val="000000"/>
          <w:sz w:val="24"/>
          <w:szCs w:val="24"/>
        </w:rPr>
        <w:t>W</w:t>
      </w:r>
      <w:r w:rsidRPr="000B78E5">
        <w:rPr>
          <w:rFonts w:eastAsia="Calibri"/>
          <w:i/>
          <w:iCs/>
          <w:color w:val="000000"/>
          <w:sz w:val="24"/>
          <w:szCs w:val="24"/>
          <w:vertAlign w:val="subscript"/>
        </w:rPr>
        <w:t>u→v</w:t>
      </w:r>
      <w:r w:rsidRPr="000B78E5">
        <w:rPr>
          <w:rFonts w:eastAsia="Calibri"/>
          <w:i/>
          <w:iCs/>
          <w:color w:val="000000"/>
          <w:sz w:val="24"/>
          <w:szCs w:val="24"/>
          <w:vertAlign w:val="subscript"/>
        </w:rPr>
        <w:t xml:space="preserve"> </w:t>
      </w:r>
      <w:r>
        <w:rPr>
          <w:rFonts w:eastAsia="Calibri"/>
          <w:color w:val="000000"/>
          <w:sz w:val="24"/>
          <w:szCs w:val="24"/>
        </w:rPr>
        <w:t>is the latest approved amount.</w:t>
      </w:r>
    </w:p>
    <w:p w14:paraId="10D708A0" w14:textId="77777777" w:rsidR="00B574BB" w:rsidRDefault="00000000">
      <w:pPr>
        <w:spacing w:before="120" w:line="276" w:lineRule="auto"/>
        <w:jc w:val="both"/>
      </w:pPr>
      <w:commentRangeStart w:id="7"/>
      <w:r>
        <w:t>The embedded formula above specifies the transition probability used by AbitoRank: P(u to v) equals the latest allowance weight w(u,v) divided by the sum of all outgoing allowance weights from wallet u. Thus, each wallet distributes its PageRank mass only across currently active approval relationships, proportionally to normalized allowance strength.</w:t>
      </w:r>
      <w:commentRangeEnd w:id="7"/>
      <w:r>
        <w:rPr>
          <w:rStyle w:val="CommentReference"/>
        </w:rPr>
        <w:commentReference w:id="7"/>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t xml:space="preserve">O2.2: </w:t>
      </w:r>
      <w:r>
        <w:rPr>
          <w:rFonts w:eastAsia="Calibri"/>
          <w:color w:val="000000"/>
          <w:sz w:val="24"/>
          <w:szCs w:val="24"/>
        </w:rPr>
        <w:t>Optimize the AbitoRank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05E7E289"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lastRenderedPageBreak/>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Transfer-Based Weighted PageRank: a simpler model that uses raw ERC-20 transfer amounts as edge weights, without time decay.</w:t>
      </w:r>
    </w:p>
    <w:p w14:paraId="037553A3" w14:textId="298829DF" w:rsidR="00A271CD" w:rsidRPr="00C74C8E" w:rsidRDefault="006A4981" w:rsidP="00C74C8E">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sz w:val="24"/>
          <w:szCs w:val="24"/>
        </w:rPr>
      </w:pPr>
      <w:r w:rsidRPr="00C74C8E">
        <w:rPr>
          <w:rFonts w:eastAsia="Calibri"/>
          <w:b/>
          <w:bCs/>
          <w:color w:val="000000"/>
          <w:sz w:val="24"/>
          <w:szCs w:val="24"/>
        </w:rPr>
        <w:t xml:space="preserve">O3.2: </w:t>
      </w:r>
      <w:r w:rsidRPr="00C74C8E">
        <w:rPr>
          <w:rFonts w:eastAsia="Calibri"/>
          <w:color w:val="000000"/>
          <w:sz w:val="24"/>
          <w:szCs w:val="24"/>
        </w:rPr>
        <w:t>Maintain a uniform data-processing pipeline so that AbitoRank, AWP, and Transfer-Based PageRank all operate on the same set of wallets and the same period’s events, ensuring that any differences in results are due solely to the ranking logic rather than data inconsistencies.</w:t>
      </w: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Default="00CE4ED5" w:rsidP="00C74C8E">
      <w:pPr>
        <w:pStyle w:val="2"/>
        <w:numPr>
          <w:ilvl w:val="0"/>
          <w:numId w:val="31"/>
        </w:numPr>
        <w:tabs>
          <w:tab w:val="left" w:pos="670"/>
        </w:tabs>
        <w:spacing w:before="204"/>
        <w:ind w:left="670" w:hanging="298"/>
        <w:rPr>
          <w:b w:val="0"/>
          <w:bCs w:val="0"/>
          <w:color w:val="000000"/>
          <w:shd w:val="clear" w:color="auto" w:fill="FEEC99"/>
        </w:rPr>
      </w:pPr>
      <w:r>
        <w:rPr>
          <w:color w:val="000000"/>
          <w:shd w:val="clear" w:color="auto" w:fill="FEEC99"/>
        </w:rPr>
        <w:t>Performance Evaluation</w:t>
      </w:r>
    </w:p>
    <w:p w14:paraId="2B76561C" w14:textId="77777777" w:rsidR="00CE4ED5" w:rsidRDefault="00CE4ED5"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b/>
          <w:bCs/>
          <w:color w:val="000000"/>
          <w:sz w:val="24"/>
          <w:szCs w:val="24"/>
        </w:rPr>
      </w:pPr>
      <w:r>
        <w:rPr>
          <w:rFonts w:eastAsia="Calibri"/>
          <w:b/>
          <w:bCs/>
          <w:color w:val="000000"/>
          <w:sz w:val="24"/>
          <w:szCs w:val="24"/>
        </w:rPr>
        <w:t xml:space="preserve">O4.1: </w:t>
      </w:r>
      <w:r w:rsidRPr="00C74C8E">
        <w:rPr>
          <w:rFonts w:eastAsia="Calibri"/>
          <w:color w:val="000000"/>
          <w:sz w:val="24"/>
          <w:szCs w:val="24"/>
        </w:rPr>
        <w:t>Compute</w:t>
      </w:r>
      <w:r>
        <w:rPr>
          <w:rFonts w:eastAsia="Calibri"/>
          <w:b/>
          <w:bCs/>
          <w:color w:val="000000"/>
          <w:sz w:val="24"/>
          <w:szCs w:val="24"/>
        </w:rPr>
        <w:t xml:space="preserve"> </w:t>
      </w:r>
      <w:r w:rsidRPr="00E66970">
        <w:rPr>
          <w:rFonts w:eastAsia="Calibri"/>
          <w:color w:val="000000"/>
          <w:sz w:val="24"/>
          <w:szCs w:val="24"/>
        </w:rPr>
        <w:t>Spearman's rho and Kendall's tau</w:t>
      </w:r>
      <w:r w:rsidRPr="00E66970">
        <w:rPr>
          <w:rFonts w:eastAsia="Calibri"/>
          <w:color w:val="000000"/>
          <w:sz w:val="24"/>
          <w:szCs w:val="24"/>
        </w:rPr>
        <w:t xml:space="preserve"> between AbitoRank scores and each of the two baselines (AWP and Transfer-Based PageRank) to quantify how similarly or differently wallets are ordered. Spearman's rho captures monotonic rank agreement, while Kendall's tau measures pairwise ordering agreement.</w:t>
      </w:r>
    </w:p>
    <w:p w14:paraId="7298B090" w14:textId="1D48DBFD"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Pr>
          <w:rFonts w:eastAsia="Calibri"/>
          <w:b/>
          <w:bCs/>
          <w:color w:val="000000"/>
          <w:sz w:val="24"/>
          <w:szCs w:val="24"/>
        </w:rPr>
        <w:t>O4.2:</w:t>
      </w:r>
      <w:r w:rsidR="004C2D23">
        <w:rPr>
          <w:rFonts w:hint="eastAsia"/>
          <w:b/>
          <w:bCs/>
          <w:color w:val="000000"/>
          <w:sz w:val="24"/>
          <w:szCs w:val="24"/>
        </w:rPr>
        <w:t xml:space="preserve"> </w:t>
      </w:r>
      <w:r>
        <w:rPr>
          <w:rFonts w:eastAsia="Calibri"/>
          <w:color w:val="000000"/>
          <w:sz w:val="24"/>
          <w:szCs w:val="24"/>
        </w:rPr>
        <w:t>Compare the distribution of scores (e.g., mean, median, interquartile range) for AbitoRank versus the baselines, identifying any outlier wallets that receive disproportionately high approval-based weights but low transfer-based weights (or vice versa).</w:t>
      </w:r>
    </w:p>
    <w:p w14:paraId="66BA6F29" w14:textId="77777777"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sidRPr="00C74C8E">
        <w:rPr>
          <w:rFonts w:eastAsia="Calibri"/>
          <w:b/>
          <w:bCs/>
          <w:color w:val="000000"/>
          <w:sz w:val="24"/>
          <w:szCs w:val="24"/>
        </w:rPr>
        <w:t>O4.3</w:t>
      </w:r>
      <w:r>
        <w:t xml:space="preserve">: </w:t>
      </w:r>
      <w:r w:rsidRPr="00C74C8E">
        <w:rPr>
          <w:rFonts w:eastAsia="Calibri"/>
          <w:color w:val="000000"/>
          <w:sz w:val="24"/>
          <w:szCs w:val="24"/>
        </w:rPr>
        <w:t>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2C470B15"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Using each ranking score as a predictive feature, train simple classifiers (</w:t>
      </w:r>
      <w:r w:rsidR="000B78E5">
        <w:rPr>
          <w:rFonts w:hint="eastAsia"/>
          <w:color w:val="000000"/>
          <w:sz w:val="24"/>
          <w:szCs w:val="24"/>
        </w:rPr>
        <w:t xml:space="preserve">e.g., </w:t>
      </w:r>
      <w:r>
        <w:rPr>
          <w:rFonts w:eastAsia="Calibri"/>
          <w:color w:val="000000"/>
          <w:sz w:val="24"/>
          <w:szCs w:val="24"/>
        </w:rPr>
        <w:t>logistic regression and random forest</w:t>
      </w:r>
      <w:r>
        <w:rPr>
          <w:rFonts w:eastAsia="Calibri"/>
          <w:color w:val="000000"/>
          <w:sz w:val="24"/>
          <w:szCs w:val="24"/>
        </w:rPr>
        <w: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AbitoRank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lastRenderedPageBreak/>
        <w:t xml:space="preserve">O5.1 Runtime Benchmarking: </w:t>
      </w:r>
      <w:r>
        <w:rPr>
          <w:rFonts w:eastAsia="Calibri"/>
          <w:color w:val="000000"/>
          <w:sz w:val="24"/>
          <w:szCs w:val="24"/>
        </w:rPr>
        <w:t>Measure and compare the total time required (data extraction + graph construction + PageRank convergence) for AbitoRank,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Record peak memory usage for each method, highlighting how AbitoRank’s use of only the latest approval amounts results in a sparser graph and lower memory footprint than transaction- based graphs.</w:t>
      </w:r>
    </w:p>
    <w:p w14:paraId="3183AC07" w14:textId="631BDD8E" w:rsidR="000B78E5" w:rsidRPr="000B78E5" w:rsidRDefault="006A4981" w:rsidP="000B78E5">
      <w:pPr>
        <w:numPr>
          <w:ilvl w:val="1"/>
          <w:numId w:val="31"/>
        </w:numPr>
        <w:pBdr>
          <w:top w:val="nil"/>
          <w:left w:val="nil"/>
          <w:bottom w:val="nil"/>
          <w:right w:val="nil"/>
          <w:between w:val="nil"/>
        </w:pBdr>
        <w:tabs>
          <w:tab w:val="left" w:pos="1184"/>
          <w:tab w:val="left" w:pos="1186"/>
        </w:tabs>
        <w:spacing w:before="12" w:line="278" w:lineRule="auto"/>
        <w:ind w:right="932"/>
        <w:jc w:val="both"/>
        <w:rPr>
          <w:color w:val="000000"/>
          <w:sz w:val="24"/>
          <w:szCs w:val="24"/>
        </w:rPr>
      </w:pPr>
      <w:r w:rsidRPr="004C2D23">
        <w:rPr>
          <w:rFonts w:eastAsia="Calibri"/>
          <w:b/>
          <w:bCs/>
          <w:color w:val="000000"/>
          <w:sz w:val="24"/>
          <w:szCs w:val="24"/>
        </w:rPr>
        <w:t>O5.3 Convergence Stability</w:t>
      </w:r>
      <w:r w:rsidR="000B78E5">
        <w:rPr>
          <w:rFonts w:hint="eastAsia"/>
          <w:b/>
          <w:bCs/>
          <w:color w:val="000000"/>
          <w:sz w:val="24"/>
          <w:szCs w:val="24"/>
        </w:rPr>
        <w:t xml:space="preserve">: </w:t>
      </w:r>
      <w:r w:rsidRPr="004C2D23">
        <w:rPr>
          <w:rFonts w:eastAsia="Calibri"/>
          <w:color w:val="000000"/>
          <w:sz w:val="24"/>
          <w:szCs w:val="24"/>
        </w:rPr>
        <w:t>Analyze the number of iterations needed for each algorithm to reach a predefined convergence tolerance (e.g., 10</w:t>
      </w:r>
      <w:r w:rsidRPr="004C2D23">
        <w:rPr>
          <w:rFonts w:ascii="Lucida Sans" w:eastAsia="Lucida Sans" w:hAnsi="Lucida Sans" w:cs="Lucida Sans"/>
          <w:color w:val="000000"/>
          <w:sz w:val="24"/>
          <w:szCs w:val="24"/>
          <w:vertAlign w:val="superscript"/>
        </w:rPr>
        <w:t>−</w:t>
      </w:r>
      <w:r w:rsidRPr="004C2D23">
        <w:rPr>
          <w:rFonts w:eastAsia="Calibri"/>
          <w:color w:val="000000"/>
          <w:sz w:val="24"/>
          <w:szCs w:val="24"/>
          <w:vertAlign w:val="superscript"/>
        </w:rPr>
        <w:t>6</w:t>
      </w:r>
      <w:r w:rsidRPr="004C2D23">
        <w:rPr>
          <w:rFonts w:eastAsia="Calibri"/>
          <w:color w:val="000000"/>
          <w:sz w:val="24"/>
          <w:szCs w:val="24"/>
        </w:rPr>
        <w:t>) under different damping factors and token supply scales, verifyin</w:t>
      </w:r>
      <w:r w:rsidR="004C2D23" w:rsidRPr="004C2D23">
        <w:rPr>
          <w:rFonts w:hint="eastAsia"/>
          <w:color w:val="000000"/>
          <w:sz w:val="24"/>
          <w:szCs w:val="24"/>
        </w:rPr>
        <w:t>g</w:t>
      </w:r>
      <w:r w:rsidR="004C2D23">
        <w:rPr>
          <w:rFonts w:hint="eastAsia"/>
          <w:color w:val="000000"/>
          <w:sz w:val="24"/>
          <w:szCs w:val="24"/>
        </w:rPr>
        <w:t xml:space="preserve"> </w:t>
      </w:r>
      <w:r w:rsidRPr="004C2D23">
        <w:rPr>
          <w:rFonts w:eastAsia="Calibri"/>
          <w:color w:val="000000"/>
          <w:sz w:val="24"/>
          <w:szCs w:val="24"/>
        </w:rPr>
        <w:t>that AbitoRank remains numerically stable despite potentially large allowance values.</w:t>
      </w:r>
    </w:p>
    <w:p w14:paraId="12EC9709" w14:textId="351D7F46" w:rsidR="00A271CD" w:rsidRPr="000B78E5" w:rsidRDefault="00CE4ED5" w:rsidP="000B78E5">
      <w:pPr>
        <w:pBdr>
          <w:top w:val="nil"/>
          <w:left w:val="nil"/>
          <w:bottom w:val="nil"/>
          <w:right w:val="nil"/>
          <w:between w:val="nil"/>
        </w:pBdr>
        <w:spacing w:before="275" w:line="291" w:lineRule="auto"/>
        <w:ind w:left="85" w:right="506"/>
        <w:rPr>
          <w:color w:val="000000" w:themeColor="text1"/>
          <w:sz w:val="24"/>
          <w:szCs w:val="24"/>
        </w:rPr>
      </w:pPr>
      <w:r w:rsidRPr="000B78E5">
        <w:rPr>
          <w:color w:val="000000" w:themeColor="text1"/>
          <w:sz w:val="24"/>
          <w:szCs w:val="24"/>
        </w:rPr>
        <w:t xml:space="preserve">By accomplishing these objectives, we will demonstrate how a latest-allowance-weighted approach to PageRank can yield a scalable, trust-aligned </w:t>
      </w:r>
      <w:r w:rsidRPr="000B78E5">
        <w:rPr>
          <w:color w:val="000000" w:themeColor="text1"/>
          <w:sz w:val="24"/>
          <w:szCs w:val="24"/>
        </w:rPr>
        <w:t>reputation-scoring model, AbitoRank</w:t>
      </w:r>
      <w:r w:rsidRPr="000B78E5">
        <w:rPr>
          <w:color w:val="000000" w:themeColor="text1"/>
          <w:sz w:val="24"/>
          <w:szCs w:val="24"/>
        </w:rPr>
        <w:t>, that outperforms or matches existing transaction-value-based methods without 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Pr="008C0179" w:rsidRDefault="006A4981">
      <w:pPr>
        <w:pStyle w:val="1"/>
        <w:numPr>
          <w:ilvl w:val="1"/>
          <w:numId w:val="32"/>
        </w:numPr>
        <w:tabs>
          <w:tab w:val="left" w:pos="968"/>
        </w:tabs>
        <w:spacing w:before="1"/>
        <w:rPr>
          <w:color w:val="000000" w:themeColor="text1"/>
        </w:rPr>
      </w:pPr>
      <w:bookmarkStart w:id="33" w:name="_jatp35e1gk66" w:colFirst="0" w:colLast="0"/>
      <w:bookmarkEnd w:id="33"/>
      <w:r w:rsidRPr="008C0179">
        <w:rPr>
          <w:color w:val="000000" w:themeColor="text1"/>
        </w:rPr>
        <w:t>Expected Results</w:t>
      </w:r>
    </w:p>
    <w:p w14:paraId="16E79D36" w14:textId="77777777" w:rsidR="00A271CD" w:rsidRPr="008C0179" w:rsidRDefault="006A4981">
      <w:pPr>
        <w:pBdr>
          <w:top w:val="nil"/>
          <w:left w:val="nil"/>
          <w:bottom w:val="nil"/>
          <w:right w:val="nil"/>
          <w:between w:val="nil"/>
        </w:pBdr>
        <w:spacing w:before="275" w:line="291" w:lineRule="auto"/>
        <w:ind w:left="85" w:right="506"/>
        <w:rPr>
          <w:color w:val="000000" w:themeColor="text1"/>
        </w:rPr>
      </w:pPr>
      <w:r w:rsidRPr="008C0179">
        <w:rPr>
          <w:color w:val="000000" w:themeColor="text1"/>
          <w:sz w:val="24"/>
          <w:szCs w:val="24"/>
        </w:rPr>
        <w:t>This section states the expected outcomes of the study and explicitly aligns them with the objectives above.</w:t>
      </w:r>
    </w:p>
    <w:p w14:paraId="1B1A08E9" w14:textId="77777777" w:rsidR="00CE4ED5" w:rsidRPr="008C0179" w:rsidRDefault="00CE4ED5">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These expected results map directly onto Objectives O1-O5 and mirror the three themes introduced in the background: endorsement-based trust structure, default-risk prediction, and computational efficiency relative to transfer-based baselines.</w:t>
      </w:r>
    </w:p>
    <w:p w14:paraId="4E86E148" w14:textId="1665379B"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ER1: Reproducible allowance dataset and endorsement graph (O1.</w:t>
      </w:r>
      <w:r w:rsidR="000B78E5" w:rsidRPr="008C0179">
        <w:rPr>
          <w:color w:val="000000" w:themeColor="text1"/>
        </w:rPr>
        <w:t>1-O1</w:t>
      </w:r>
      <w:r w:rsidRPr="008C0179">
        <w:rPr>
          <w:color w:val="000000" w:themeColor="text1"/>
        </w:rPr>
        <w:t>.2)</w:t>
      </w:r>
    </w:p>
    <w:p w14:paraId="277D57A2" w14:textId="3FC666F9"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A documented, reproducible data-extraction pipeline that outputs the latest ERC-20 approve/permit allowance state for each </w:t>
      </w:r>
      <w:r w:rsidR="000B78E5" w:rsidRPr="008C0179">
        <w:rPr>
          <w:color w:val="000000" w:themeColor="text1"/>
          <w:sz w:val="24"/>
          <w:szCs w:val="24"/>
        </w:rPr>
        <w:t>owner-spender</w:t>
      </w:r>
      <w:r w:rsidRPr="008C0179">
        <w:rPr>
          <w:color w:val="000000" w:themeColor="text1"/>
          <w:sz w:val="24"/>
          <w:szCs w:val="24"/>
        </w:rPr>
        <w:t xml:space="preserve"> pair over a defined time window.</w:t>
      </w:r>
    </w:p>
    <w:p w14:paraId="0E97987A" w14:textId="4B6E331B"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 xml:space="preserve">A directed, weighted endorsement graph </w:t>
      </w:r>
      <w:r w:rsidR="000B78E5">
        <w:rPr>
          <w:rFonts w:eastAsia="Calibri"/>
          <w:i/>
          <w:iCs/>
          <w:color w:val="000000"/>
          <w:sz w:val="24"/>
          <w:szCs w:val="24"/>
        </w:rPr>
        <w:t>G</w:t>
      </w:r>
      <w:r w:rsidR="000B78E5">
        <w:rPr>
          <w:rFonts w:eastAsia="Calibri"/>
          <w:i/>
          <w:iCs/>
          <w:color w:val="000000"/>
          <w:sz w:val="24"/>
          <w:szCs w:val="24"/>
          <w:vertAlign w:val="subscript"/>
        </w:rPr>
        <w:t>approve</w:t>
      </w:r>
      <w:r w:rsidRPr="008C0179">
        <w:rPr>
          <w:color w:val="000000" w:themeColor="text1"/>
          <w:sz w:val="24"/>
          <w:szCs w:val="24"/>
        </w:rPr>
        <w:t xml:space="preserve"> constructed from these latest-allowance states, accompanied by summary </w:t>
      </w:r>
      <w:r w:rsidR="000B78E5" w:rsidRPr="008C0179">
        <w:rPr>
          <w:color w:val="000000" w:themeColor="text1"/>
          <w:sz w:val="24"/>
          <w:szCs w:val="24"/>
        </w:rPr>
        <w:t>statistics (</w:t>
      </w:r>
      <w:r w:rsidRPr="008C0179">
        <w:rPr>
          <w:color w:val="000000" w:themeColor="text1"/>
          <w:sz w:val="24"/>
          <w:szCs w:val="24"/>
        </w:rPr>
        <w:t>e.g., node/edge counts, sparsity, degree distributions) that substantiate the intended sparsity relative to transfer graphs.</w:t>
      </w:r>
    </w:p>
    <w:p w14:paraId="68C143C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lastRenderedPageBreak/>
        <w:t>ER2: Scalable AbitoRank implementation (O2.1--O2.2)</w:t>
      </w:r>
    </w:p>
    <w:p w14:paraId="59512F3C"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26CC3DEC"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ER3: Baseline reproduction and ranking-difference evidence (O3.</w:t>
      </w:r>
      <w:r w:rsidR="000B78E5" w:rsidRPr="008C0179">
        <w:rPr>
          <w:color w:val="000000" w:themeColor="text1"/>
        </w:rPr>
        <w:t>1-O4</w:t>
      </w:r>
      <w:r w:rsidRPr="008C0179">
        <w:rPr>
          <w:color w:val="000000" w:themeColor="text1"/>
        </w:rPr>
        <w:t>.2)</w:t>
      </w:r>
    </w:p>
    <w:p w14:paraId="6539DDD7"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Reproduced baseline rankings (AWP and transfer-based weighted PageRank) computed on the same wallet set and the same observation window as AbitoRank.</w:t>
      </w:r>
    </w:p>
    <w:p w14:paraId="780063EF"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ER4: Risk-prediction results with standard metrics (O4.3)</w:t>
      </w:r>
    </w:p>
    <w:p w14:paraId="16D041EA" w14:textId="77777777" w:rsidR="00A271CD" w:rsidRPr="000B78E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A labeled dataset of default/liquidation outcomes (e.g., Aave V3) and comparative evaluation results showing whether AbitoRank yields comparable or superior predictive performance relative to AWP and transfer-based PageRank (AUC, precision, recall, F1, and calibration where applicable).</w:t>
      </w:r>
    </w:p>
    <w:p w14:paraId="4E7D6A66" w14:textId="06D2B7ED"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ER5: End-to-end efficiency and scalability benchmarks (O5.</w:t>
      </w:r>
      <w:r w:rsidR="000B78E5" w:rsidRPr="008C0179">
        <w:rPr>
          <w:color w:val="000000" w:themeColor="text1"/>
        </w:rPr>
        <w:t>1-O5</w:t>
      </w:r>
      <w:r w:rsidRPr="008C0179">
        <w:rPr>
          <w:color w:val="000000" w:themeColor="text1"/>
        </w:rPr>
        <w:t>.3)</w:t>
      </w:r>
    </w:p>
    <w:p w14:paraId="3C67B454"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Runtime and memory profiling results for (data extraction + graph construction + PageRank convergence) demonstrating the computational advantage of using only the latest allowance state versus exhaustive transfer-history parsing.</w:t>
      </w:r>
    </w:p>
    <w:p w14:paraId="717DDC38"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t>A scalability analysis that reports how graph sparsity affects convergence speed and resource consumption across methods.</w:t>
      </w:r>
    </w:p>
    <w:p w14:paraId="426B7A02" w14:textId="77777777" w:rsidR="00C74C8E" w:rsidRPr="00C74C8E" w:rsidRDefault="00C74C8E" w:rsidP="00C74C8E">
      <w:pPr>
        <w:pBdr>
          <w:top w:val="nil"/>
          <w:left w:val="nil"/>
          <w:bottom w:val="nil"/>
          <w:right w:val="nil"/>
          <w:between w:val="nil"/>
        </w:pBdr>
        <w:rPr>
          <w:color w:val="000000"/>
          <w:sz w:val="49"/>
          <w:szCs w:val="49"/>
        </w:rPr>
      </w:pPr>
    </w:p>
    <w:p w14:paraId="30346636" w14:textId="77777777" w:rsidR="00C74C8E" w:rsidRPr="00C74C8E" w:rsidRDefault="00C74C8E" w:rsidP="00C74C8E">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36" w:name="wm8uvozi6slm" w:colFirst="0" w:colLast="0"/>
      <w:bookmarkStart w:id="37" w:name="_m3bwyc7myc6f" w:colFirst="0" w:colLast="0"/>
      <w:bookmarkEnd w:id="36"/>
      <w:bookmarkEnd w:id="37"/>
      <w:r>
        <w:rPr>
          <w:b/>
          <w:bCs/>
          <w:color w:val="000000"/>
          <w:sz w:val="49"/>
          <w:szCs w:val="49"/>
          <w:shd w:val="clear" w:color="auto" w:fill="FEEC99"/>
        </w:rPr>
        <w:t>Literature Review</w:t>
      </w:r>
    </w:p>
    <w:p w14:paraId="7CE422A1" w14:textId="77777777" w:rsidR="00A271CD" w:rsidRDefault="006A4981">
      <w:pPr>
        <w:pStyle w:val="1"/>
        <w:numPr>
          <w:ilvl w:val="1"/>
          <w:numId w:val="29"/>
        </w:numPr>
        <w:tabs>
          <w:tab w:val="left" w:pos="968"/>
        </w:tabs>
        <w:spacing w:before="339"/>
      </w:pPr>
      <w:bookmarkStart w:id="40" w:name="s0irps3zh9jo" w:colFirst="0" w:colLast="0"/>
      <w:bookmarkStart w:id="41" w:name="_26mq67nvzc58" w:colFirst="0" w:colLast="0"/>
      <w:bookmarkEnd w:id="40"/>
      <w:bookmarkEnd w:id="41"/>
      <w:r>
        <w:t>Graph-Based On-Chain Reputation Scoring</w:t>
      </w:r>
    </w:p>
    <w:p w14:paraId="5711682F" w14:textId="0F1DA8AD"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lending and customer protection. In this framework, an address accumulates higher score if it is “trusted” by many or large transactions from others, analogous to how important web pages have many incoming links. PageRank thus measures connectivity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rsidP="000B78E5">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w:t>
      </w:r>
      <w:r>
        <w:rPr>
          <w:rFonts w:eastAsia="Calibri"/>
          <w:color w:val="000000"/>
          <w:sz w:val="24"/>
          <w:szCs w:val="24"/>
        </w:rPr>
        <w:lastRenderedPageBreak/>
        <w:t>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rsidP="000B78E5">
      <w:pPr>
        <w:pBdr>
          <w:top w:val="nil"/>
          <w:left w:val="nil"/>
          <w:bottom w:val="nil"/>
          <w:right w:val="nil"/>
          <w:between w:val="nil"/>
        </w:pBdr>
        <w:spacing w:line="291" w:lineRule="auto"/>
        <w:ind w:left="85" w:right="930"/>
        <w:jc w:val="both"/>
        <w:rPr>
          <w:rFonts w:eastAsia="Calibri"/>
          <w:color w:val="000000"/>
          <w:sz w:val="24"/>
          <w:szCs w:val="24"/>
        </w:rPr>
      </w:pPr>
      <w:r>
        <w:rPr>
          <w:rFonts w:eastAsia="Calibri"/>
          <w:color w:val="000000"/>
          <w:sz w:val="24"/>
          <w:szCs w:val="24"/>
        </w:rPr>
        <w:t xml:space="preserve">One limitation of a </w:t>
      </w:r>
      <w:r>
        <w:rPr>
          <w:rFonts w:eastAsia="Calibri"/>
          <w:color w:val="000000"/>
          <w:sz w:val="24"/>
          <w:szCs w:val="24"/>
        </w:rPr>
        <w:t>vanilla PageRank, i.e., the unmodified PageRank formulation</w:t>
      </w:r>
      <w:r>
        <w:rPr>
          <w:rFonts w:eastAsia="Calibri"/>
          <w:color w:val="000000"/>
          <w:sz w:val="24"/>
          <w:szCs w:val="24"/>
        </w:rPr>
        <w:t xml:space="preserve"> applied to a transaction graph without explicit risk propagation or domain-specific adjustments, is that it may not distinguish malicious but active actors from genuinely reputable ones. Imig (2023)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w:t>
      </w:r>
      <w:r>
        <w:rPr>
          <w:rFonts w:eastAsia="Calibri"/>
          <w:color w:val="000000"/>
          <w:sz w:val="24"/>
          <w:szCs w:val="24"/>
        </w:rPr>
        <w:t>RiskProp, a network-propagation-based risk scoring model</w:t>
      </w:r>
      <w:r>
        <w:rPr>
          <w:rFonts w:eastAsia="Calibri"/>
          <w:color w:val="000000"/>
          <w:sz w:val="24"/>
          <w:szCs w:val="24"/>
        </w:rPr>
        <w:t xml:space="preserve"> for Ethereum accounts (Yang et al., 2024).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Pr="000B78E5" w:rsidRDefault="00A271CD" w:rsidP="000B78E5">
      <w:pPr>
        <w:pBdr>
          <w:top w:val="nil"/>
          <w:left w:val="nil"/>
          <w:bottom w:val="nil"/>
          <w:right w:val="nil"/>
          <w:between w:val="nil"/>
        </w:pBdr>
        <w:spacing w:line="291" w:lineRule="auto"/>
        <w:ind w:left="85" w:right="930"/>
        <w:jc w:val="both"/>
        <w:rPr>
          <w:rFonts w:eastAsia="Calibri"/>
          <w:color w:val="000000"/>
          <w:sz w:val="24"/>
          <w:szCs w:val="24"/>
        </w:rPr>
      </w:pPr>
    </w:p>
    <w:p w14:paraId="4B9DDA7B" w14:textId="386682C7" w:rsidR="00A271CD" w:rsidRDefault="006A4981" w:rsidP="000B78E5">
      <w:pPr>
        <w:pBdr>
          <w:top w:val="nil"/>
          <w:left w:val="nil"/>
          <w:bottom w:val="nil"/>
          <w:right w:val="nil"/>
          <w:between w:val="nil"/>
        </w:pBdr>
        <w:spacing w:line="291" w:lineRule="auto"/>
        <w:ind w:left="85" w:right="930"/>
        <w:jc w:val="both"/>
        <w:rPr>
          <w:color w:val="000000"/>
          <w:sz w:val="24"/>
          <w:szCs w:val="24"/>
        </w:rPr>
      </w:pPr>
      <w:r>
        <w:t>It is worth noting that graph-based reputation systems often consider temporal dynamics. Real-world creditworthiness changes over time, so some models incorporate time-decay factors to diminish the influence of stale interactions. A dynamic reputation model might weight recent transactions more heavily or periodically expire old edges. This prevents entities from resting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rsidP="000B78E5">
      <w:pPr>
        <w:pStyle w:val="1"/>
        <w:numPr>
          <w:ilvl w:val="1"/>
          <w:numId w:val="29"/>
        </w:numPr>
        <w:tabs>
          <w:tab w:val="left" w:pos="968"/>
        </w:tabs>
        <w:spacing w:before="339"/>
      </w:pPr>
      <w:bookmarkStart w:id="46" w:name="ad7j3ok9jmnj" w:colFirst="0" w:colLast="0"/>
      <w:bookmarkStart w:id="47" w:name="_qm65s21jph5d" w:colFirst="0" w:colLast="0"/>
      <w:bookmarkEnd w:id="46"/>
      <w:bookmarkEnd w:id="47"/>
      <w:r>
        <w:lastRenderedPageBreak/>
        <w:t>Predictive Modeling for On-Chain Credit Risk</w:t>
      </w:r>
    </w:p>
    <w:p w14:paraId="55D338A2" w14:textId="787BCD3D" w:rsidR="00CE4ED5" w:rsidRPr="000B78E5" w:rsidRDefault="00CE4ED5" w:rsidP="000B78E5">
      <w:pPr>
        <w:pBdr>
          <w:top w:val="nil"/>
          <w:left w:val="nil"/>
          <w:bottom w:val="nil"/>
          <w:right w:val="nil"/>
          <w:between w:val="nil"/>
        </w:pBdr>
        <w:spacing w:before="276" w:line="291" w:lineRule="auto"/>
        <w:ind w:left="85" w:right="931"/>
        <w:jc w:val="both"/>
        <w:rPr>
          <w:color w:val="000000"/>
          <w:sz w:val="24"/>
          <w:szCs w:val="24"/>
        </w:rPr>
      </w:pPr>
      <w:r w:rsidRPr="000B78E5">
        <w:rPr>
          <w:color w:val="000000"/>
          <w:sz w:val="24"/>
          <w:szCs w:val="24"/>
        </w:rPr>
        <w:t>In parallel with graph-</w:t>
      </w:r>
      <w:r w:rsidR="00134A6C" w:rsidRPr="000B78E5">
        <w:rPr>
          <w:color w:val="000000"/>
          <w:sz w:val="24"/>
          <w:szCs w:val="24"/>
        </w:rPr>
        <w:t>theoretical</w:t>
      </w:r>
      <w:r w:rsidRPr="000B78E5">
        <w:rPr>
          <w:color w:val="000000"/>
          <w:sz w:val="24"/>
          <w:szCs w:val="24"/>
        </w:rPr>
        <w:t xml:space="preserve">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for example, </w:t>
      </w:r>
      <w:r w:rsidRPr="000B78E5">
        <w:rPr>
          <w:color w:val="000000"/>
          <w:sz w:val="24"/>
          <w:szCs w:val="24"/>
        </w:rPr>
        <w:t>proposed a credit scoring system</w:t>
      </w:r>
      <w:r w:rsidRPr="000B78E5">
        <w:rPr>
          <w:color w:val="000000"/>
          <w:sz w:val="24"/>
          <w:szCs w:val="24"/>
        </w:rPr>
        <w:t xml:space="preserve">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w:t>
      </w:r>
      <w:r w:rsidR="00134A6C" w:rsidRPr="000B78E5">
        <w:rPr>
          <w:color w:val="000000"/>
          <w:sz w:val="24"/>
          <w:szCs w:val="24"/>
        </w:rPr>
        <w:t>reports</w:t>
      </w:r>
      <w:r w:rsidRPr="000B78E5">
        <w:rPr>
          <w:color w:val="000000"/>
          <w:sz w:val="24"/>
          <w:szCs w:val="24"/>
        </w:rPr>
        <w:t xml:space="preserve">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0B1E79F2"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Other machine-learning approaches similarly treat</w:t>
      </w:r>
      <w:r w:rsidRPr="00134A6C">
        <w:rPr>
          <w:color w:val="000000"/>
          <w:sz w:val="24"/>
          <w:szCs w:val="24"/>
        </w:rPr>
        <w:t xml:space="preserve"> on-chain </w:t>
      </w:r>
      <w:r w:rsidR="00134A6C" w:rsidRPr="00134A6C">
        <w:rPr>
          <w:color w:val="000000"/>
          <w:sz w:val="24"/>
          <w:szCs w:val="24"/>
        </w:rPr>
        <w:t>transactions</w:t>
      </w:r>
      <w:r w:rsidRPr="00134A6C">
        <w:rPr>
          <w:color w:val="000000"/>
          <w:sz w:val="24"/>
          <w:szCs w:val="24"/>
        </w:rPr>
        <w:t xml:space="preserve"> and account data as inputs to predictive models for creditworthiness. Hassija et al. (2020)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6541D9D6"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Similarly, Jain et al. (2019) developed an Ethereum-based system called Bit-Score for underbanked populations, using a self-sovereign identity to aggregate both financial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2E1039D5" w:rsidR="00A271CD" w:rsidRDefault="006A4981">
      <w:pPr>
        <w:pStyle w:val="1"/>
        <w:numPr>
          <w:ilvl w:val="1"/>
          <w:numId w:val="29"/>
        </w:numPr>
        <w:tabs>
          <w:tab w:val="left" w:pos="968"/>
        </w:tabs>
        <w:spacing w:line="314" w:lineRule="auto"/>
        <w:ind w:right="933"/>
      </w:pPr>
      <w:bookmarkStart w:id="52" w:name="oneg7x1wrt2t" w:colFirst="0" w:colLast="0"/>
      <w:bookmarkStart w:id="53" w:name="_3rlxygnxmj4d" w:colFirst="0" w:colLast="0"/>
      <w:bookmarkEnd w:id="52"/>
      <w:bookmarkEnd w:id="53"/>
      <w:r>
        <w:t>Industry Initiatives and Non-Scholarly Perspectives</w:t>
      </w:r>
    </w:p>
    <w:p w14:paraId="126B4CD3"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Outside the academic literature, the demand for on-chain credit scoring has led to several industry-driven solutions. While not peer-reviewed, these initiatives illustrate real-world interest in the problem and help motivate the AbitoRank research. Cred Protocol is a prominent example: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w:t>
      </w:r>
      <w:r w:rsidRPr="00134A6C">
        <w:rPr>
          <w:color w:val="000000"/>
          <w:sz w:val="24"/>
          <w:szCs w:val="24"/>
        </w:rPr>
        <w:t>3Jane Protocol documentation</w:t>
      </w:r>
      <w:r w:rsidRPr="00134A6C">
        <w:rPr>
          <w:color w:val="000000"/>
          <w:sz w:val="24"/>
          <w:szCs w:val="24"/>
        </w:rPr>
        <w:t>,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under-collateralized loans.</w:t>
      </w: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Another noteworthy industry example is </w:t>
      </w:r>
      <w:r w:rsidRPr="00134A6C">
        <w:rPr>
          <w:color w:val="000000"/>
          <w:sz w:val="24"/>
          <w:szCs w:val="24"/>
        </w:rPr>
        <w:t>3Jane's Jane Score</w:t>
      </w:r>
      <w:r w:rsidRPr="00134A6C">
        <w:rPr>
          <w:color w:val="000000"/>
          <w:sz w:val="24"/>
          <w:szCs w:val="24"/>
        </w:rPr>
        <w:t xml:space="preserve">,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w:t>
      </w:r>
      <w:r w:rsidRPr="00134A6C">
        <w:rPr>
          <w:color w:val="000000"/>
          <w:sz w:val="24"/>
          <w:szCs w:val="24"/>
        </w:rPr>
        <w:lastRenderedPageBreak/>
        <w:t>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544C3310" w14:textId="357B1E36"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CredScore and JaneScore also highlight current gaps that the AbitoRank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ignore these approval edges, focusing only on realized transfers of value. AbitoRank addresses this research gap by integrating ERC-20 approve/permit edges as firs</w:t>
      </w:r>
      <w:r w:rsidR="00C74C8E">
        <w:rPr>
          <w:rFonts w:hint="eastAsia"/>
          <w:color w:val="000000"/>
          <w:sz w:val="24"/>
          <w:szCs w:val="24"/>
        </w:rPr>
        <w:t>t-c</w:t>
      </w:r>
      <w:r>
        <w:rPr>
          <w:rFonts w:eastAsia="Calibri"/>
          <w:color w:val="000000"/>
          <w:sz w:val="24"/>
          <w:szCs w:val="24"/>
        </w:rPr>
        <w:t>lass links in the reputation graph, treating them as directed weighted edges that can augment a wallet’s influence and risk profile in the PageRank computation. In AbitoRank’s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 xml:space="preserve">Furthermore, AbitoRank is distinctive in its handling of temporal effects. Whereas many reputation systems apply time-based decay to down-weight old interactions, AbitoRank proposes to forgo time decay for approval/permit edges. The rationale is that an approval remains in force until revoked; a permission granted a year ago is equally pertinent today if the allowance is still active. By giving persistent weight to long-lived trust links, AbitoRank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no-decay approach is novel, as most prior works have either not included such edges at </w:t>
      </w:r>
      <w:r>
        <w:rPr>
          <w:rFonts w:eastAsia="Calibri"/>
          <w:color w:val="000000"/>
          <w:sz w:val="24"/>
          <w:szCs w:val="24"/>
        </w:rPr>
        <w:lastRenderedPageBreak/>
        <w:t>all or have not considered the temporal aspect of trust explicitly. By integrating ERC-20 approval networks with PageRank and maintaining their influence over time, AbitoRank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602955D3" w14:textId="1D00B7B1"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In summary, the literature shows a progression from simple graph-based reputation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w:t>
      </w:r>
      <w:r w:rsidR="00C74C8E">
        <w:rPr>
          <w:rFonts w:hint="eastAsia"/>
          <w:color w:val="000000"/>
          <w:sz w:val="24"/>
          <w:szCs w:val="24"/>
        </w:rPr>
        <w:t xml:space="preserve">t </w:t>
      </w:r>
      <w:r>
        <w:rPr>
          <w:rFonts w:eastAsia="Calibri"/>
          <w:color w:val="000000"/>
          <w:sz w:val="24"/>
          <w:szCs w:val="24"/>
        </w:rPr>
        <w:t>can be both explainable and predictive. AbitoRank aims to bridge this gap. It builds on the insight that network structure matters – who trusts whom (via both transfers and approvals) – and that this structure can be quantified through a PageRank-style algorithm. By doing so without arbitrarily discarding older trust links, AbitoRank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4F395DB9" w14:textId="53E94367" w:rsidR="00A271CD" w:rsidRDefault="006A4981">
      <w:pPr>
        <w:ind w:left="85"/>
        <w:rPr>
          <w:b/>
          <w:bCs/>
          <w:sz w:val="49"/>
          <w:szCs w:val="49"/>
        </w:rPr>
      </w:pPr>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rsidP="00134A6C">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 xml:space="preserve">This study is grounded in hyperlink-citation theory, predictive validity, and computational complexity theory to compare AbitoRank against Adaptive Weighted PageRank (AWP) across three core constructs: Reputation Structure, Risk Predictive Validity, and Computational Efficiency. Each construct links directly to </w:t>
      </w:r>
      <w:r>
        <w:rPr>
          <w:rFonts w:eastAsia="Calibri"/>
          <w:color w:val="000000"/>
          <w:sz w:val="24"/>
          <w:szCs w:val="24"/>
        </w:rPr>
        <w:t>the parameter definitions introduced earlier in the research objectives and expected-results framework</w:t>
      </w:r>
      <w:r>
        <w:rPr>
          <w:rFonts w:eastAsia="Calibri"/>
          <w:color w:val="000000"/>
          <w:sz w:val="24"/>
          <w:szCs w:val="24"/>
        </w:rPr>
        <w:t xml:space="preserve"> and supports testable hypotheses.</w:t>
      </w:r>
    </w:p>
    <w:p w14:paraId="0B5F1E0B" w14:textId="1BCA2B8C" w:rsidR="00A271CD" w:rsidRPr="003226F8" w:rsidRDefault="00A271CD">
      <w:pPr>
        <w:pBdr>
          <w:top w:val="nil"/>
          <w:left w:val="nil"/>
          <w:bottom w:val="nil"/>
          <w:right w:val="nil"/>
          <w:between w:val="nil"/>
        </w:pBdr>
        <w:spacing w:before="163"/>
        <w:rPr>
          <w:color w:val="000000"/>
          <w:sz w:val="24"/>
          <w:szCs w:val="24"/>
        </w:rPr>
      </w:pPr>
    </w:p>
    <w:p w14:paraId="1B0F033C" w14:textId="7C71A67F" w:rsidR="00A271CD" w:rsidRPr="00C74C8E" w:rsidRDefault="006A4981" w:rsidP="00C74C8E">
      <w:pPr>
        <w:pStyle w:val="1"/>
        <w:numPr>
          <w:ilvl w:val="1"/>
          <w:numId w:val="27"/>
        </w:numPr>
        <w:pBdr>
          <w:top w:val="nil"/>
          <w:left w:val="nil"/>
          <w:bottom w:val="nil"/>
          <w:right w:val="nil"/>
          <w:between w:val="nil"/>
        </w:pBdr>
        <w:tabs>
          <w:tab w:val="left" w:pos="968"/>
        </w:tabs>
        <w:rPr>
          <w:color w:val="000000"/>
          <w:sz w:val="20"/>
          <w:szCs w:val="20"/>
        </w:rPr>
      </w:pPr>
      <w:bookmarkStart w:id="60" w:name="345otpgqepgv" w:colFirst="0" w:colLast="0"/>
      <w:bookmarkStart w:id="61" w:name="_kehbej2xmhzy" w:colFirst="0" w:colLast="0"/>
      <w:bookmarkEnd w:id="60"/>
      <w:bookmarkEnd w:id="61"/>
      <w:r>
        <w:t>Constructs and Variable Mapping</w:t>
      </w:r>
    </w:p>
    <w:p w14:paraId="29FBC37B" w14:textId="77777777" w:rsidR="00A271CD" w:rsidRDefault="00A271CD">
      <w:pPr>
        <w:pBdr>
          <w:top w:val="nil"/>
          <w:left w:val="nil"/>
          <w:bottom w:val="nil"/>
          <w:right w:val="nil"/>
          <w:between w:val="nil"/>
        </w:pBdr>
        <w:spacing w:before="99"/>
        <w:rPr>
          <w:b/>
          <w:bCs/>
          <w:color w:val="000000"/>
          <w:sz w:val="20"/>
          <w:szCs w:val="20"/>
        </w:rPr>
      </w:pPr>
    </w:p>
    <w:p w14:paraId="0885C980" w14:textId="267685C4" w:rsidR="00A31711" w:rsidRPr="00A52392" w:rsidRDefault="00A31711" w:rsidP="00A31711">
      <w:pPr>
        <w:pStyle w:val="af2"/>
        <w:keepNext/>
        <w:jc w:val="center"/>
        <w:rPr>
          <w:sz w:val="22"/>
          <w:szCs w:val="22"/>
        </w:rPr>
      </w:pPr>
      <w:r w:rsidRPr="00A52392">
        <w:rPr>
          <w:sz w:val="22"/>
          <w:szCs w:val="22"/>
        </w:rPr>
        <w:t xml:space="preserve">Table </w:t>
      </w:r>
      <w:r w:rsidRPr="00A52392">
        <w:rPr>
          <w:sz w:val="22"/>
          <w:szCs w:val="22"/>
        </w:rPr>
        <w:fldChar w:fldCharType="begin"/>
      </w:r>
      <w:r w:rsidRPr="00A52392">
        <w:rPr>
          <w:sz w:val="22"/>
          <w:szCs w:val="22"/>
        </w:rPr>
        <w:instrText xml:space="preserve"> STYLEREF 1 \s </w:instrText>
      </w:r>
      <w:r w:rsidRPr="00A52392">
        <w:rPr>
          <w:sz w:val="22"/>
          <w:szCs w:val="22"/>
        </w:rPr>
        <w:fldChar w:fldCharType="separate"/>
      </w:r>
      <w:r w:rsidRPr="00A52392">
        <w:rPr>
          <w:noProof/>
          <w:sz w:val="22"/>
          <w:szCs w:val="22"/>
        </w:rPr>
        <w:t>4.1</w:t>
      </w:r>
      <w:r w:rsidRPr="00A52392">
        <w:rPr>
          <w:sz w:val="22"/>
          <w:szCs w:val="22"/>
        </w:rPr>
        <w:fldChar w:fldCharType="end"/>
      </w:r>
      <w:r w:rsidRPr="00A52392">
        <w:rPr>
          <w:rFonts w:hint="eastAsia"/>
          <w:sz w:val="22"/>
          <w:szCs w:val="22"/>
        </w:rPr>
        <w:t>: Evaluation Constructs and Associated Variables</w:t>
      </w:r>
    </w:p>
    <w:tbl>
      <w:tblPr>
        <w:tblStyle w:val="a5"/>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C74C8E" w14:paraId="78201A87" w14:textId="77777777" w:rsidTr="006B6F67">
        <w:trPr>
          <w:trHeight w:val="863"/>
        </w:trPr>
        <w:tc>
          <w:tcPr>
            <w:tcW w:w="1948" w:type="dxa"/>
            <w:tcBorders>
              <w:bottom w:val="nil"/>
            </w:tcBorders>
          </w:tcPr>
          <w:p w14:paraId="6E8B0BCB"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C74C8E" w:rsidRDefault="00C74C8E">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vMerge w:val="restart"/>
          </w:tcPr>
          <w:p w14:paraId="0C0561C4" w14:textId="77777777" w:rsidR="00C74C8E" w:rsidRDefault="00C74C8E" w:rsidP="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AbitoRank score;</w:t>
            </w:r>
          </w:p>
          <w:p w14:paraId="3E4742DB" w14:textId="77777777" w:rsid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3E08F15C" w14:textId="3DB1EB86" w:rsidR="00C74C8E" w:rsidRP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sidRPr="00C74C8E">
              <w:rPr>
                <w:rFonts w:eastAsia="Calibri"/>
                <w:color w:val="000000"/>
                <w:sz w:val="24"/>
                <w:szCs w:val="24"/>
              </w:rPr>
              <w:t>Rank</w:t>
            </w:r>
            <w:r>
              <w:rPr>
                <w:rFonts w:hint="eastAsia"/>
                <w:color w:val="000000"/>
                <w:sz w:val="24"/>
                <w:szCs w:val="24"/>
              </w:rPr>
              <w:t xml:space="preserve"> </w:t>
            </w:r>
            <w:r w:rsidRPr="00C74C8E">
              <w:rPr>
                <w:rFonts w:eastAsia="Calibri"/>
                <w:color w:val="000000"/>
                <w:sz w:val="24"/>
                <w:szCs w:val="24"/>
              </w:rPr>
              <w:t xml:space="preserve">correlation(Spear- man’s </w:t>
            </w:r>
            <w:r w:rsidRPr="00C74C8E">
              <w:rPr>
                <w:rFonts w:eastAsia="Calibri"/>
                <w:i/>
                <w:iCs/>
                <w:color w:val="000000"/>
                <w:sz w:val="24"/>
                <w:szCs w:val="24"/>
              </w:rPr>
              <w:t xml:space="preserve">ρ </w:t>
            </w:r>
            <w:r w:rsidRPr="00C74C8E">
              <w:rPr>
                <w:rFonts w:eastAsia="Calibri"/>
                <w:color w:val="000000"/>
                <w:sz w:val="24"/>
                <w:szCs w:val="24"/>
              </w:rPr>
              <w:t xml:space="preserve">/ Kendall’s </w:t>
            </w:r>
            <w:r w:rsidRPr="00C74C8E">
              <w:rPr>
                <w:rFonts w:eastAsia="Calibri"/>
                <w:i/>
                <w:iCs/>
                <w:color w:val="000000"/>
                <w:sz w:val="24"/>
                <w:szCs w:val="24"/>
              </w:rPr>
              <w:t xml:space="preserve">τ </w:t>
            </w:r>
            <w:r w:rsidRPr="00C74C8E">
              <w:rPr>
                <w:rFonts w:eastAsia="Calibri"/>
                <w:color w:val="000000"/>
                <w:sz w:val="24"/>
                <w:szCs w:val="24"/>
              </w:rPr>
              <w:t>) between</w:t>
            </w:r>
            <w:r>
              <w:rPr>
                <w:rFonts w:hint="eastAsia"/>
                <w:color w:val="000000"/>
              </w:rPr>
              <w:t xml:space="preserve"> </w:t>
            </w:r>
            <w:r w:rsidRPr="00C74C8E">
              <w:rPr>
                <w:rFonts w:eastAsia="Calibri"/>
                <w:color w:val="000000"/>
                <w:sz w:val="24"/>
                <w:szCs w:val="24"/>
              </w:rPr>
              <w:t>AbitoRank and AWP</w:t>
            </w:r>
          </w:p>
        </w:tc>
      </w:tr>
      <w:tr w:rsidR="00C74C8E" w14:paraId="55EC956E" w14:textId="77777777" w:rsidTr="00134A6C">
        <w:trPr>
          <w:trHeight w:val="740"/>
        </w:trPr>
        <w:tc>
          <w:tcPr>
            <w:tcW w:w="1948" w:type="dxa"/>
            <w:tcBorders>
              <w:top w:val="nil"/>
            </w:tcBorders>
          </w:tcPr>
          <w:p w14:paraId="02A6B18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4FF4F430" w14:textId="77777777" w:rsidR="00C74C8E" w:rsidRDefault="00C74C8E">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vMerge/>
          </w:tcPr>
          <w:p w14:paraId="06BE8478" w14:textId="1BD9C272" w:rsidR="00C74C8E" w:rsidRDefault="00C74C8E">
            <w:pPr>
              <w:pBdr>
                <w:top w:val="nil"/>
                <w:left w:val="nil"/>
                <w:bottom w:val="nil"/>
                <w:right w:val="nil"/>
                <w:between w:val="nil"/>
              </w:pBdr>
              <w:spacing w:line="288" w:lineRule="auto"/>
              <w:ind w:left="122"/>
              <w:rPr>
                <w:color w:val="000000"/>
                <w:sz w:val="24"/>
                <w:szCs w:val="24"/>
              </w:rPr>
            </w:pPr>
          </w:p>
        </w:tc>
      </w:tr>
      <w:tr w:rsidR="00A271CD" w14:paraId="71940618" w14:textId="77777777" w:rsidTr="00134A6C">
        <w:trPr>
          <w:trHeight w:val="1402"/>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610B711B" w14:textId="61217ADB" w:rsidR="00A271CD" w:rsidRDefault="006A4981" w:rsidP="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reputation score forecasts actual default events on a DeFi platform.</w:t>
            </w:r>
          </w:p>
        </w:tc>
        <w:tc>
          <w:tcPr>
            <w:tcW w:w="3649" w:type="dxa"/>
          </w:tcPr>
          <w:p w14:paraId="67534918" w14:textId="70C6F693" w:rsidR="00A271CD" w:rsidRPr="00C74C8E" w:rsidRDefault="006A4981" w:rsidP="00C74C8E">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01280340" w14:textId="43C62B5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AbitoRank’s predictive metrics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C74C8E" w14:paraId="46EB5283" w14:textId="77777777" w:rsidTr="00235233">
        <w:trPr>
          <w:trHeight w:val="1152"/>
        </w:trPr>
        <w:tc>
          <w:tcPr>
            <w:tcW w:w="1948" w:type="dxa"/>
            <w:tcBorders>
              <w:bottom w:val="nil"/>
            </w:tcBorders>
          </w:tcPr>
          <w:p w14:paraId="56BAB4A3"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414976A0" w14:textId="25CB4830" w:rsidR="00C74C8E" w:rsidRDefault="00C74C8E" w:rsidP="00C74C8E">
            <w:pPr>
              <w:pBdr>
                <w:top w:val="nil"/>
                <w:left w:val="nil"/>
                <w:bottom w:val="nil"/>
                <w:right w:val="nil"/>
                <w:between w:val="nil"/>
              </w:pBdr>
              <w:tabs>
                <w:tab w:val="left" w:pos="2598"/>
              </w:tabs>
              <w:spacing w:line="264" w:lineRule="auto"/>
              <w:ind w:left="122"/>
              <w:rPr>
                <w:color w:val="000000"/>
                <w:sz w:val="24"/>
                <w:szCs w:val="24"/>
              </w:rPr>
            </w:pPr>
            <w:r>
              <w:rPr>
                <w:rFonts w:eastAsia="Calibri"/>
                <w:color w:val="000000"/>
                <w:sz w:val="24"/>
                <w:szCs w:val="24"/>
              </w:rPr>
              <w:t>The</w:t>
            </w:r>
            <w:r>
              <w:rPr>
                <w:rFonts w:hint="eastAsia"/>
                <w:color w:val="000000"/>
                <w:sz w:val="24"/>
                <w:szCs w:val="24"/>
              </w:rPr>
              <w:t xml:space="preserve"> </w:t>
            </w:r>
            <w:r>
              <w:rPr>
                <w:rFonts w:eastAsia="Calibri"/>
                <w:color w:val="000000"/>
                <w:sz w:val="24"/>
                <w:szCs w:val="24"/>
              </w:rPr>
              <w:t>computational</w:t>
            </w:r>
            <w:r>
              <w:rPr>
                <w:rFonts w:hint="eastAsia"/>
                <w:color w:val="000000"/>
                <w:sz w:val="24"/>
                <w:szCs w:val="24"/>
              </w:rPr>
              <w:t xml:space="preserve"> </w:t>
            </w:r>
            <w:r>
              <w:rPr>
                <w:rFonts w:eastAsia="Calibri"/>
                <w:color w:val="000000"/>
                <w:sz w:val="24"/>
                <w:szCs w:val="24"/>
              </w:rPr>
              <w:t>resources(tim</w:t>
            </w:r>
            <w:r>
              <w:rPr>
                <w:rFonts w:hint="eastAsia"/>
                <w:color w:val="000000"/>
                <w:sz w:val="24"/>
                <w:szCs w:val="24"/>
              </w:rPr>
              <w:t xml:space="preserve">e, </w:t>
            </w:r>
            <w:r>
              <w:rPr>
                <w:rFonts w:eastAsia="Calibri"/>
                <w:color w:val="000000"/>
                <w:sz w:val="24"/>
                <w:szCs w:val="24"/>
              </w:rPr>
              <w:t>memory,</w:t>
            </w:r>
            <w:r>
              <w:rPr>
                <w:rFonts w:hint="eastAsia"/>
                <w:color w:val="000000"/>
                <w:sz w:val="24"/>
                <w:szCs w:val="24"/>
              </w:rPr>
              <w:t xml:space="preserve"> </w:t>
            </w:r>
            <w:r>
              <w:rPr>
                <w:rFonts w:eastAsia="Calibri"/>
                <w:color w:val="000000"/>
                <w:sz w:val="24"/>
                <w:szCs w:val="24"/>
              </w:rPr>
              <w:t>convergence iterations) required to compute</w:t>
            </w:r>
          </w:p>
          <w:p w14:paraId="3A58B38A" w14:textId="77777777" w:rsidR="00C74C8E" w:rsidRDefault="00C74C8E">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vMerge w:val="restart"/>
          </w:tcPr>
          <w:p w14:paraId="2762CC5E" w14:textId="77777777" w:rsidR="00C74C8E" w:rsidRDefault="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AbitoRank runtime;</w:t>
            </w:r>
          </w:p>
          <w:p w14:paraId="1446F344" w14:textId="77777777" w:rsidR="00C74C8E" w:rsidRDefault="00C74C8E">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00EF2544" w14:textId="77777777" w:rsidR="00C74C8E" w:rsidRDefault="00C74C8E">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77EC7FAF" w14:textId="71753F99" w:rsidR="00C74C8E" w:rsidRDefault="00C74C8E" w:rsidP="00235233">
            <w:pPr>
              <w:numPr>
                <w:ilvl w:val="0"/>
                <w:numId w:val="24"/>
              </w:numPr>
              <w:pBdr>
                <w:top w:val="nil"/>
                <w:left w:val="nil"/>
                <w:bottom w:val="nil"/>
                <w:right w:val="nil"/>
                <w:between w:val="nil"/>
              </w:pBdr>
              <w:tabs>
                <w:tab w:val="left" w:pos="614"/>
              </w:tabs>
              <w:spacing w:line="291" w:lineRule="auto"/>
              <w:ind w:left="614" w:hanging="492"/>
              <w:rPr>
                <w:color w:val="000000"/>
                <w:sz w:val="24"/>
                <w:szCs w:val="24"/>
              </w:rPr>
            </w:pPr>
            <w:r>
              <w:rPr>
                <w:rFonts w:eastAsia="Calibri"/>
                <w:color w:val="000000"/>
                <w:sz w:val="24"/>
                <w:szCs w:val="24"/>
              </w:rPr>
              <w:t>Iterations to convergence</w:t>
            </w:r>
          </w:p>
        </w:tc>
      </w:tr>
      <w:tr w:rsidR="00C74C8E" w14:paraId="4E457855" w14:textId="77777777" w:rsidTr="00A31711">
        <w:trPr>
          <w:trHeight w:val="81"/>
        </w:trPr>
        <w:tc>
          <w:tcPr>
            <w:tcW w:w="1948" w:type="dxa"/>
            <w:tcBorders>
              <w:top w:val="nil"/>
            </w:tcBorders>
          </w:tcPr>
          <w:p w14:paraId="4CC941D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5FEF64D7"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vMerge/>
          </w:tcPr>
          <w:p w14:paraId="422CDDCA" w14:textId="6FE7B6F5" w:rsidR="00C74C8E" w:rsidRDefault="00C74C8E" w:rsidP="00A31711">
            <w:pPr>
              <w:keepNext/>
              <w:numPr>
                <w:ilvl w:val="0"/>
                <w:numId w:val="24"/>
              </w:numPr>
              <w:pBdr>
                <w:top w:val="nil"/>
                <w:left w:val="nil"/>
                <w:bottom w:val="nil"/>
                <w:right w:val="nil"/>
                <w:between w:val="nil"/>
              </w:pBdr>
              <w:tabs>
                <w:tab w:val="left" w:pos="614"/>
              </w:tabs>
              <w:spacing w:line="291" w:lineRule="auto"/>
              <w:ind w:left="614" w:hanging="492"/>
              <w:rPr>
                <w:color w:val="000000"/>
              </w:rPr>
            </w:pPr>
          </w:p>
        </w:tc>
      </w:tr>
    </w:tbl>
    <w:p w14:paraId="5DD5F226" w14:textId="77777777" w:rsidR="00A31711" w:rsidRPr="00A31711" w:rsidRDefault="00A31711" w:rsidP="00A31711">
      <w:pPr>
        <w:pStyle w:val="1"/>
        <w:tabs>
          <w:tab w:val="left" w:pos="968"/>
        </w:tabs>
        <w:spacing w:before="250"/>
        <w:ind w:firstLine="0"/>
      </w:pPr>
      <w:bookmarkStart w:id="62" w:name="lu00p8817zch" w:colFirst="0" w:colLast="0"/>
      <w:bookmarkStart w:id="63" w:name="_5z6it39nq9xn" w:colFirst="0" w:colLast="0"/>
      <w:bookmarkEnd w:id="62"/>
      <w:bookmarkEnd w:id="63"/>
    </w:p>
    <w:p w14:paraId="6F07284E" w14:textId="592DF8E0" w:rsidR="00A271CD" w:rsidRPr="00A52392" w:rsidRDefault="003226F8" w:rsidP="00A52392">
      <w:pPr>
        <w:pStyle w:val="1"/>
        <w:numPr>
          <w:ilvl w:val="1"/>
          <w:numId w:val="27"/>
        </w:numPr>
        <w:pBdr>
          <w:top w:val="nil"/>
          <w:left w:val="nil"/>
          <w:bottom w:val="nil"/>
          <w:right w:val="nil"/>
          <w:between w:val="nil"/>
        </w:pBdr>
        <w:tabs>
          <w:tab w:val="left" w:pos="968"/>
        </w:tabs>
        <w:spacing w:before="250"/>
        <w:rPr>
          <w:color w:val="000000"/>
          <w:sz w:val="20"/>
          <w:szCs w:val="20"/>
        </w:rPr>
      </w:pPr>
      <w:r>
        <w:t>Conceptual Model</w:t>
      </w:r>
    </w:p>
    <w:p w14:paraId="00A23492" w14:textId="77777777" w:rsidR="00A271CD" w:rsidRDefault="00A271CD">
      <w:pPr>
        <w:pBdr>
          <w:top w:val="nil"/>
          <w:left w:val="nil"/>
          <w:bottom w:val="nil"/>
          <w:right w:val="nil"/>
          <w:between w:val="nil"/>
        </w:pBdr>
        <w:spacing w:before="99"/>
        <w:rPr>
          <w:b/>
          <w:bCs/>
          <w:color w:val="000000"/>
          <w:sz w:val="20"/>
          <w:szCs w:val="20"/>
        </w:rPr>
      </w:pPr>
    </w:p>
    <w:p w14:paraId="00896DD8" w14:textId="77777777" w:rsidR="00A52392" w:rsidRDefault="006A4981" w:rsidP="00A52392">
      <w:pPr>
        <w:keepNext/>
        <w:pBdr>
          <w:top w:val="nil"/>
          <w:left w:val="nil"/>
          <w:bottom w:val="nil"/>
          <w:right w:val="nil"/>
          <w:between w:val="nil"/>
        </w:pBdr>
        <w:ind w:left="85"/>
        <w:rPr>
          <w:color w:val="000000"/>
          <w:sz w:val="24"/>
          <w:szCs w:val="24"/>
        </w:rPr>
      </w:pPr>
      <w:r>
        <w:rPr>
          <w:noProof/>
          <w:color w:val="000000"/>
          <w:sz w:val="20"/>
          <w:szCs w:val="20"/>
        </w:rPr>
        <mc:AlternateContent>
          <mc:Choice Requires="wpg">
            <w:drawing>
              <wp:inline distT="0" distB="0" distL="0" distR="0" wp14:anchorId="0C40C560" wp14:editId="2BE0A64E">
                <wp:extent cx="5450205" cy="1657350"/>
                <wp:effectExtent l="0" t="0" r="0" b="0"/>
                <wp:docPr id="2" name="그룹 2"/>
                <wp:cNvGraphicFramePr/>
                <a:graphic xmlns:a="http://schemas.openxmlformats.org/drawingml/2006/main">
                  <a:graphicData uri="http://schemas.microsoft.com/office/word/2010/wordprocessingGroup">
                    <wpg:wgp>
                      <wpg:cNvGrpSpPr/>
                      <wpg:grpSpPr>
                        <a:xfrm>
                          <a:off x="0" y="0"/>
                          <a:ext cx="5450205" cy="1657350"/>
                          <a:chOff x="2618650" y="2949075"/>
                          <a:chExt cx="5454550" cy="1661525"/>
                        </a:xfrm>
                      </wpg:grpSpPr>
                      <wpg:grpSp>
                        <wpg:cNvPr id="2132482422" name="그룹 2132482422"/>
                        <wpg:cNvGrpSpPr/>
                        <wpg:grpSpPr>
                          <a:xfrm>
                            <a:off x="2620898" y="2951325"/>
                            <a:ext cx="5450200" cy="1657350"/>
                            <a:chOff x="0" y="0"/>
                            <a:chExt cx="5450200" cy="1657350"/>
                          </a:xfrm>
                        </wpg:grpSpPr>
                        <wps:wsp>
                          <wps:cNvPr id="32936522" name="직사각형 32936522"/>
                          <wps:cNvSpPr/>
                          <wps:spPr>
                            <a:xfrm>
                              <a:off x="0" y="0"/>
                              <a:ext cx="5450200" cy="1657350"/>
                            </a:xfrm>
                            <a:prstGeom prst="rect">
                              <a:avLst/>
                            </a:prstGeom>
                            <a:noFill/>
                            <a:ln>
                              <a:noFill/>
                            </a:ln>
                          </wps:spPr>
                          <wps:txbx>
                            <w:txbxContent>
                              <w:p w14:paraId="0FC5C854" w14:textId="77777777" w:rsidR="00A271CD" w:rsidRDefault="00A271CD">
                                <w:pPr>
                                  <w:textDirection w:val="btLr"/>
                                </w:pPr>
                              </w:p>
                            </w:txbxContent>
                          </wps:txbx>
                          <wps:bodyPr spcFirstLastPara="1" wrap="square" lIns="91425" tIns="91425" rIns="91425" bIns="91425" anchor="ctr" anchorCtr="0">
                            <a:noAutofit/>
                          </wps:bodyPr>
                        </wps:wsp>
                        <wps:wsp>
                          <wps:cNvPr id="156506678" name="자유형: 도형 156506678"/>
                          <wps:cNvSpPr/>
                          <wps:spPr>
                            <a:xfrm>
                              <a:off x="2530" y="619598"/>
                              <a:ext cx="5445125" cy="252095"/>
                            </a:xfrm>
                            <a:custGeom>
                              <a:avLst/>
                              <a:gdLst/>
                              <a:ahLst/>
                              <a:cxnLst/>
                              <a:rect l="l" t="t" r="r" b="b"/>
                              <a:pathLst>
                                <a:path w="5445125" h="252095" extrusionOk="0">
                                  <a:moveTo>
                                    <a:pt x="1049854" y="0"/>
                                  </a:moveTo>
                                  <a:lnTo>
                                    <a:pt x="50610" y="0"/>
                                  </a:lnTo>
                                  <a:lnTo>
                                    <a:pt x="30910" y="3977"/>
                                  </a:lnTo>
                                  <a:lnTo>
                                    <a:pt x="14823" y="14823"/>
                                  </a:lnTo>
                                  <a:lnTo>
                                    <a:pt x="3977" y="30910"/>
                                  </a:lnTo>
                                  <a:lnTo>
                                    <a:pt x="0" y="50610"/>
                                  </a:lnTo>
                                  <a:lnTo>
                                    <a:pt x="0" y="201391"/>
                                  </a:lnTo>
                                  <a:lnTo>
                                    <a:pt x="3977" y="221092"/>
                                  </a:lnTo>
                                  <a:lnTo>
                                    <a:pt x="14823" y="237179"/>
                                  </a:lnTo>
                                  <a:lnTo>
                                    <a:pt x="30910" y="248025"/>
                                  </a:lnTo>
                                  <a:lnTo>
                                    <a:pt x="50610" y="252002"/>
                                  </a:lnTo>
                                  <a:lnTo>
                                    <a:pt x="1049854" y="252002"/>
                                  </a:lnTo>
                                  <a:lnTo>
                                    <a:pt x="1069554" y="248025"/>
                                  </a:lnTo>
                                  <a:lnTo>
                                    <a:pt x="1085641" y="237179"/>
                                  </a:lnTo>
                                  <a:lnTo>
                                    <a:pt x="1096488" y="221092"/>
                                  </a:lnTo>
                                  <a:lnTo>
                                    <a:pt x="1100465" y="201391"/>
                                  </a:lnTo>
                                  <a:lnTo>
                                    <a:pt x="1100465" y="50610"/>
                                  </a:lnTo>
                                  <a:lnTo>
                                    <a:pt x="1096488" y="30910"/>
                                  </a:lnTo>
                                  <a:lnTo>
                                    <a:pt x="1085641" y="14823"/>
                                  </a:lnTo>
                                  <a:lnTo>
                                    <a:pt x="1069554" y="3977"/>
                                  </a:lnTo>
                                  <a:lnTo>
                                    <a:pt x="1049854" y="0"/>
                                  </a:lnTo>
                                  <a:close/>
                                </a:path>
                                <a:path w="5445125" h="252095" extrusionOk="0">
                                  <a:moveTo>
                                    <a:pt x="5394258" y="0"/>
                                  </a:moveTo>
                                  <a:lnTo>
                                    <a:pt x="4415466" y="0"/>
                                  </a:lnTo>
                                  <a:lnTo>
                                    <a:pt x="4395766" y="3977"/>
                                  </a:lnTo>
                                  <a:lnTo>
                                    <a:pt x="4379679" y="14823"/>
                                  </a:lnTo>
                                  <a:lnTo>
                                    <a:pt x="4368832" y="30910"/>
                                  </a:lnTo>
                                  <a:lnTo>
                                    <a:pt x="4364855" y="50610"/>
                                  </a:lnTo>
                                  <a:lnTo>
                                    <a:pt x="4364855" y="201391"/>
                                  </a:lnTo>
                                  <a:lnTo>
                                    <a:pt x="4368832" y="221092"/>
                                  </a:lnTo>
                                  <a:lnTo>
                                    <a:pt x="4379679" y="237179"/>
                                  </a:lnTo>
                                  <a:lnTo>
                                    <a:pt x="4395766" y="248025"/>
                                  </a:lnTo>
                                  <a:lnTo>
                                    <a:pt x="4415466" y="252002"/>
                                  </a:lnTo>
                                  <a:lnTo>
                                    <a:pt x="5394258" y="252002"/>
                                  </a:lnTo>
                                  <a:lnTo>
                                    <a:pt x="5413958" y="248025"/>
                                  </a:lnTo>
                                  <a:lnTo>
                                    <a:pt x="5430045" y="237179"/>
                                  </a:lnTo>
                                  <a:lnTo>
                                    <a:pt x="5440892" y="221092"/>
                                  </a:lnTo>
                                  <a:lnTo>
                                    <a:pt x="5444869" y="201391"/>
                                  </a:lnTo>
                                  <a:lnTo>
                                    <a:pt x="5444869" y="50610"/>
                                  </a:lnTo>
                                  <a:lnTo>
                                    <a:pt x="5440892" y="30910"/>
                                  </a:lnTo>
                                  <a:lnTo>
                                    <a:pt x="5430045" y="14823"/>
                                  </a:lnTo>
                                  <a:lnTo>
                                    <a:pt x="5413958" y="3977"/>
                                  </a:lnTo>
                                  <a:lnTo>
                                    <a:pt x="5394258"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407821" name="자유형: 도형 1759407821"/>
                          <wps:cNvSpPr/>
                          <wps:spPr>
                            <a:xfrm>
                              <a:off x="1071495" y="257063"/>
                              <a:ext cx="1209675" cy="342265"/>
                            </a:xfrm>
                            <a:custGeom>
                              <a:avLst/>
                              <a:gdLst/>
                              <a:ahLst/>
                              <a:cxnLst/>
                              <a:rect l="l" t="t" r="r" b="b"/>
                              <a:pathLst>
                                <a:path w="1209675" h="342265" extrusionOk="0">
                                  <a:moveTo>
                                    <a:pt x="1209126" y="0"/>
                                  </a:moveTo>
                                  <a:lnTo>
                                    <a:pt x="0" y="341797"/>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9909549" name="자유형: 도형 1689909549"/>
                          <wps:cNvSpPr/>
                          <wps:spPr>
                            <a:xfrm>
                              <a:off x="1027162" y="581359"/>
                              <a:ext cx="49530" cy="35560"/>
                            </a:xfrm>
                            <a:custGeom>
                              <a:avLst/>
                              <a:gdLst/>
                              <a:ahLst/>
                              <a:cxnLst/>
                              <a:rect l="l" t="t" r="r" b="b"/>
                              <a:pathLst>
                                <a:path w="49530" h="35560" extrusionOk="0">
                                  <a:moveTo>
                                    <a:pt x="49280" y="35003"/>
                                  </a:moveTo>
                                  <a:lnTo>
                                    <a:pt x="39386" y="0"/>
                                  </a:lnTo>
                                  <a:lnTo>
                                    <a:pt x="28636" y="9616"/>
                                  </a:lnTo>
                                  <a:lnTo>
                                    <a:pt x="16872" y="18667"/>
                                  </a:lnTo>
                                  <a:lnTo>
                                    <a:pt x="6519" y="25893"/>
                                  </a:lnTo>
                                  <a:lnTo>
                                    <a:pt x="0" y="30033"/>
                                  </a:lnTo>
                                  <a:lnTo>
                                    <a:pt x="7721" y="30147"/>
                                  </a:lnTo>
                                  <a:lnTo>
                                    <a:pt x="20325" y="30884"/>
                                  </a:lnTo>
                                  <a:lnTo>
                                    <a:pt x="35087" y="32438"/>
                                  </a:lnTo>
                                  <a:lnTo>
                                    <a:pt x="49280" y="35003"/>
                                  </a:lnTo>
                                  <a:close/>
                                </a:path>
                              </a:pathLst>
                            </a:custGeom>
                            <a:solidFill>
                              <a:srgbClr val="000000"/>
                            </a:solidFill>
                            <a:ln>
                              <a:noFill/>
                            </a:ln>
                          </wps:spPr>
                          <wps:bodyPr spcFirstLastPara="1" wrap="square" lIns="91425" tIns="91425" rIns="91425" bIns="91425" anchor="ctr" anchorCtr="0">
                            <a:noAutofit/>
                          </wps:bodyPr>
                        </wps:wsp>
                        <wps:wsp>
                          <wps:cNvPr id="421161545" name="자유형: 도형 421161545"/>
                          <wps:cNvSpPr/>
                          <wps:spPr>
                            <a:xfrm>
                              <a:off x="1027162" y="581359"/>
                              <a:ext cx="49530" cy="35560"/>
                            </a:xfrm>
                            <a:custGeom>
                              <a:avLst/>
                              <a:gdLst/>
                              <a:ahLst/>
                              <a:cxnLst/>
                              <a:rect l="l" t="t" r="r" b="b"/>
                              <a:pathLst>
                                <a:path w="49530" h="35560" extrusionOk="0">
                                  <a:moveTo>
                                    <a:pt x="0" y="30033"/>
                                  </a:moveTo>
                                  <a:lnTo>
                                    <a:pt x="7721" y="30147"/>
                                  </a:lnTo>
                                  <a:lnTo>
                                    <a:pt x="20325" y="30884"/>
                                  </a:lnTo>
                                  <a:lnTo>
                                    <a:pt x="35087" y="32438"/>
                                  </a:lnTo>
                                  <a:lnTo>
                                    <a:pt x="49280" y="35003"/>
                                  </a:lnTo>
                                  <a:lnTo>
                                    <a:pt x="39386" y="0"/>
                                  </a:lnTo>
                                  <a:lnTo>
                                    <a:pt x="28636" y="9616"/>
                                  </a:lnTo>
                                  <a:lnTo>
                                    <a:pt x="16872" y="18667"/>
                                  </a:lnTo>
                                  <a:lnTo>
                                    <a:pt x="6519" y="25893"/>
                                  </a:lnTo>
                                  <a:lnTo>
                                    <a:pt x="0" y="30033"/>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074424" name="자유형: 도형 1029074424"/>
                          <wps:cNvSpPr/>
                          <wps:spPr>
                            <a:xfrm>
                              <a:off x="2735190" y="257063"/>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548337" name="자유형: 도형 308548337"/>
                          <wps:cNvSpPr/>
                          <wps:spPr>
                            <a:xfrm>
                              <a:off x="2717002" y="550128"/>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916493749" name="자유형: 도형 916493749"/>
                          <wps:cNvSpPr/>
                          <wps:spPr>
                            <a:xfrm>
                              <a:off x="2717002" y="550128"/>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714926" name="자유형: 도형 708714926"/>
                          <wps:cNvSpPr/>
                          <wps:spPr>
                            <a:xfrm>
                              <a:off x="3187629" y="257063"/>
                              <a:ext cx="1203325" cy="342265"/>
                            </a:xfrm>
                            <a:custGeom>
                              <a:avLst/>
                              <a:gdLst/>
                              <a:ahLst/>
                              <a:cxnLst/>
                              <a:rect l="l" t="t" r="r" b="b"/>
                              <a:pathLst>
                                <a:path w="1203325" h="342265" extrusionOk="0">
                                  <a:moveTo>
                                    <a:pt x="0" y="0"/>
                                  </a:moveTo>
                                  <a:lnTo>
                                    <a:pt x="1203180" y="341718"/>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496421" name="자유형: 도형 901496421"/>
                          <wps:cNvSpPr/>
                          <wps:spPr>
                            <a:xfrm>
                              <a:off x="4385841" y="581285"/>
                              <a:ext cx="49530" cy="35560"/>
                            </a:xfrm>
                            <a:custGeom>
                              <a:avLst/>
                              <a:gdLst/>
                              <a:ahLst/>
                              <a:cxnLst/>
                              <a:rect l="l" t="t" r="r" b="b"/>
                              <a:pathLst>
                                <a:path w="49530" h="35560" extrusionOk="0">
                                  <a:moveTo>
                                    <a:pt x="9937" y="0"/>
                                  </a:moveTo>
                                  <a:lnTo>
                                    <a:pt x="0" y="34992"/>
                                  </a:lnTo>
                                  <a:lnTo>
                                    <a:pt x="14196" y="32443"/>
                                  </a:lnTo>
                                  <a:lnTo>
                                    <a:pt x="28959" y="30908"/>
                                  </a:lnTo>
                                  <a:lnTo>
                                    <a:pt x="41565" y="30187"/>
                                  </a:lnTo>
                                  <a:lnTo>
                                    <a:pt x="49287" y="30082"/>
                                  </a:lnTo>
                                  <a:lnTo>
                                    <a:pt x="42772" y="25934"/>
                                  </a:lnTo>
                                  <a:lnTo>
                                    <a:pt x="32428" y="18695"/>
                                  </a:lnTo>
                                  <a:lnTo>
                                    <a:pt x="20675" y="9629"/>
                                  </a:lnTo>
                                  <a:lnTo>
                                    <a:pt x="9937" y="0"/>
                                  </a:lnTo>
                                  <a:close/>
                                </a:path>
                              </a:pathLst>
                            </a:custGeom>
                            <a:solidFill>
                              <a:srgbClr val="000000"/>
                            </a:solidFill>
                            <a:ln>
                              <a:noFill/>
                            </a:ln>
                          </wps:spPr>
                          <wps:bodyPr spcFirstLastPara="1" wrap="square" lIns="91425" tIns="91425" rIns="91425" bIns="91425" anchor="ctr" anchorCtr="0">
                            <a:noAutofit/>
                          </wps:bodyPr>
                        </wps:wsp>
                        <wps:wsp>
                          <wps:cNvPr id="1267871541" name="자유형: 도형 1267871541"/>
                          <wps:cNvSpPr/>
                          <wps:spPr>
                            <a:xfrm>
                              <a:off x="4385841" y="581285"/>
                              <a:ext cx="49530" cy="35560"/>
                            </a:xfrm>
                            <a:custGeom>
                              <a:avLst/>
                              <a:gdLst/>
                              <a:ahLst/>
                              <a:cxnLst/>
                              <a:rect l="l" t="t" r="r" b="b"/>
                              <a:pathLst>
                                <a:path w="49530" h="35560" extrusionOk="0">
                                  <a:moveTo>
                                    <a:pt x="49287" y="30082"/>
                                  </a:moveTo>
                                  <a:lnTo>
                                    <a:pt x="42772" y="25934"/>
                                  </a:lnTo>
                                  <a:lnTo>
                                    <a:pt x="32428" y="18695"/>
                                  </a:lnTo>
                                  <a:lnTo>
                                    <a:pt x="20675" y="9629"/>
                                  </a:lnTo>
                                  <a:lnTo>
                                    <a:pt x="9937" y="0"/>
                                  </a:lnTo>
                                  <a:lnTo>
                                    <a:pt x="0" y="34992"/>
                                  </a:lnTo>
                                  <a:lnTo>
                                    <a:pt x="14196" y="32443"/>
                                  </a:lnTo>
                                  <a:lnTo>
                                    <a:pt x="28959" y="30908"/>
                                  </a:lnTo>
                                  <a:lnTo>
                                    <a:pt x="41565" y="30187"/>
                                  </a:lnTo>
                                  <a:lnTo>
                                    <a:pt x="49287" y="3008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021019" name="자유형: 도형 1036021019"/>
                          <wps:cNvSpPr/>
                          <wps:spPr>
                            <a:xfrm>
                              <a:off x="55276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4083941" name="자유형: 도형 1534083941"/>
                          <wps:cNvSpPr/>
                          <wps:spPr>
                            <a:xfrm>
                              <a:off x="53457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425302749" name="자유형: 도형 425302749"/>
                          <wps:cNvSpPr/>
                          <wps:spPr>
                            <a:xfrm>
                              <a:off x="53457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532647" name="자유형: 도형 1152532647"/>
                          <wps:cNvSpPr/>
                          <wps:spPr>
                            <a:xfrm>
                              <a:off x="2735190"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2418382" name="자유형: 도형 1772418382"/>
                          <wps:cNvSpPr/>
                          <wps:spPr>
                            <a:xfrm>
                              <a:off x="2717002"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1360504456" name="자유형: 도형 1360504456"/>
                          <wps:cNvSpPr/>
                          <wps:spPr>
                            <a:xfrm>
                              <a:off x="2717002"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559692" name="자유형: 도형 682559692"/>
                          <wps:cNvSpPr/>
                          <wps:spPr>
                            <a:xfrm>
                              <a:off x="490739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570534" name="자유형: 도형 2024570534"/>
                          <wps:cNvSpPr/>
                          <wps:spPr>
                            <a:xfrm>
                              <a:off x="488920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543664040" name="자유형: 도형 543664040"/>
                          <wps:cNvSpPr/>
                          <wps:spPr>
                            <a:xfrm>
                              <a:off x="488920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461022" name="직사각형 1294461022"/>
                          <wps:cNvSpPr/>
                          <wps:spPr>
                            <a:xfrm>
                              <a:off x="0" y="252002"/>
                              <a:ext cx="2286000" cy="966469"/>
                            </a:xfrm>
                            <a:prstGeom prst="rect">
                              <a:avLst/>
                            </a:prstGeom>
                            <a:noFill/>
                            <a:ln>
                              <a:noFill/>
                            </a:ln>
                          </wps:spPr>
                          <wps:txbx>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wps:txbx>
                          <wps:bodyPr spcFirstLastPara="1" wrap="square" lIns="0" tIns="0" rIns="0" bIns="0" anchor="t" anchorCtr="0">
                            <a:noAutofit/>
                          </wps:bodyPr>
                        </wps:wsp>
                        <wps:wsp>
                          <wps:cNvPr id="1735130302" name="직사각형 1735130302"/>
                          <wps:cNvSpPr/>
                          <wps:spPr>
                            <a:xfrm>
                              <a:off x="12756" y="1236667"/>
                              <a:ext cx="1080135" cy="386715"/>
                            </a:xfrm>
                            <a:prstGeom prst="rect">
                              <a:avLst/>
                            </a:prstGeom>
                            <a:noFill/>
                            <a:ln w="9525" cap="flat" cmpd="sng">
                              <a:solidFill>
                                <a:srgbClr val="000000"/>
                              </a:solidFill>
                              <a:prstDash val="solid"/>
                              <a:round/>
                              <a:headEnd type="none" w="sm" len="sm"/>
                              <a:tailEnd type="none" w="sm" len="sm"/>
                            </a:ln>
                          </wps:spPr>
                          <wps:txbx>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wps:txbx>
                          <wps:bodyPr spcFirstLastPara="1" wrap="square" lIns="0" tIns="0" rIns="0" bIns="0" anchor="t" anchorCtr="0">
                            <a:noAutofit/>
                          </wps:bodyPr>
                        </wps:wsp>
                        <wps:wsp>
                          <wps:cNvPr id="464678108" name="직사각형 464678108"/>
                          <wps:cNvSpPr/>
                          <wps:spPr>
                            <a:xfrm>
                              <a:off x="3182568" y="252002"/>
                              <a:ext cx="2267585" cy="966469"/>
                            </a:xfrm>
                            <a:prstGeom prst="rect">
                              <a:avLst/>
                            </a:prstGeom>
                            <a:noFill/>
                            <a:ln>
                              <a:noFill/>
                            </a:ln>
                          </wps:spPr>
                          <wps:txbx>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wps:txbx>
                          <wps:bodyPr spcFirstLastPara="1" wrap="square" lIns="0" tIns="0" rIns="0" bIns="0" anchor="t" anchorCtr="0">
                            <a:noAutofit/>
                          </wps:bodyPr>
                        </wps:wsp>
                        <wps:wsp>
                          <wps:cNvPr id="1366644555" name="직사각형 1366644555"/>
                          <wps:cNvSpPr/>
                          <wps:spPr>
                            <a:xfrm>
                              <a:off x="2195184" y="619598"/>
                              <a:ext cx="1080135" cy="252095"/>
                            </a:xfrm>
                            <a:prstGeom prst="rect">
                              <a:avLst/>
                            </a:prstGeom>
                            <a:noFill/>
                            <a:ln w="9525" cap="flat" cmpd="sng">
                              <a:solidFill>
                                <a:srgbClr val="000000"/>
                              </a:solidFill>
                              <a:prstDash val="solid"/>
                              <a:round/>
                              <a:headEnd type="none" w="sm" len="sm"/>
                              <a:tailEnd type="none" w="sm" len="sm"/>
                            </a:ln>
                          </wps:spPr>
                          <wps:txbx>
                            <w:txbxContent>
                              <w:p w14:paraId="420280AE" w14:textId="77777777" w:rsidR="00A271CD" w:rsidRDefault="006A4981">
                                <w:pPr>
                                  <w:spacing w:before="49"/>
                                  <w:ind w:left="100" w:firstLine="100"/>
                                  <w:textDirection w:val="btLr"/>
                                </w:pPr>
                                <w:r>
                                  <w:rPr>
                                    <w:rFonts w:eastAsia="Calibri"/>
                                    <w:color w:val="000000"/>
                                    <w:sz w:val="24"/>
                                  </w:rPr>
                                  <w:t>H2: Predictive</w:t>
                                </w:r>
                              </w:p>
                            </w:txbxContent>
                          </wps:txbx>
                          <wps:bodyPr spcFirstLastPara="1" wrap="square" lIns="0" tIns="0" rIns="0" bIns="0" anchor="t" anchorCtr="0">
                            <a:noAutofit/>
                          </wps:bodyPr>
                        </wps:wsp>
                        <wps:wsp>
                          <wps:cNvPr id="2004611777" name="직사각형 2004611777"/>
                          <wps:cNvSpPr/>
                          <wps:spPr>
                            <a:xfrm>
                              <a:off x="2008068" y="2530"/>
                              <a:ext cx="1454785" cy="252095"/>
                            </a:xfrm>
                            <a:prstGeom prst="rect">
                              <a:avLst/>
                            </a:prstGeom>
                            <a:noFill/>
                            <a:ln w="9525" cap="flat" cmpd="sng">
                              <a:solidFill>
                                <a:srgbClr val="000000"/>
                              </a:solidFill>
                              <a:prstDash val="solid"/>
                              <a:round/>
                              <a:headEnd type="none" w="sm" len="sm"/>
                              <a:tailEnd type="none" w="sm" len="sm"/>
                            </a:ln>
                          </wps:spPr>
                          <wps:txbx>
                            <w:txbxContent>
                              <w:p w14:paraId="69679975" w14:textId="77777777" w:rsidR="00A271CD" w:rsidRDefault="006A4981">
                                <w:pPr>
                                  <w:spacing w:before="49"/>
                                  <w:ind w:left="74" w:firstLine="74"/>
                                  <w:textDirection w:val="btLr"/>
                                </w:pPr>
                                <w:r>
                                  <w:rPr>
                                    <w:rFonts w:eastAsia="Calibri"/>
                                    <w:color w:val="000000"/>
                                    <w:sz w:val="24"/>
                                  </w:rPr>
                                  <w:t>AbitoRank vs. AWP</w:t>
                                </w:r>
                              </w:p>
                            </w:txbxContent>
                          </wps:txbx>
                          <wps:bodyPr spcFirstLastPara="1" wrap="square" lIns="0" tIns="0" rIns="0" bIns="0" anchor="t" anchorCtr="0">
                            <a:noAutofit/>
                          </wps:bodyPr>
                        </wps:wsp>
                        <wps:wsp>
                          <wps:cNvPr id="1787117521" name="직사각형 1787117521"/>
                          <wps:cNvSpPr/>
                          <wps:spPr>
                            <a:xfrm>
                              <a:off x="4367386" y="1236667"/>
                              <a:ext cx="1080135" cy="417830"/>
                            </a:xfrm>
                            <a:prstGeom prst="rect">
                              <a:avLst/>
                            </a:prstGeom>
                            <a:noFill/>
                            <a:ln w="9525" cap="flat" cmpd="sng">
                              <a:solidFill>
                                <a:srgbClr val="000000"/>
                              </a:solidFill>
                              <a:prstDash val="solid"/>
                              <a:round/>
                              <a:headEnd type="none" w="sm" len="sm"/>
                              <a:tailEnd type="none" w="sm" len="sm"/>
                            </a:ln>
                          </wps:spPr>
                          <wps:txbx>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wps:txbx>
                          <wps:bodyPr spcFirstLastPara="1" wrap="square" lIns="0" tIns="0" rIns="0" bIns="0" anchor="t" anchorCtr="0">
                            <a:noAutofit/>
                          </wps:bodyPr>
                        </wps:wsp>
                        <wps:wsp>
                          <wps:cNvPr id="1867339413" name="직사각형 1867339413"/>
                          <wps:cNvSpPr/>
                          <wps:spPr>
                            <a:xfrm>
                              <a:off x="2189694" y="1236667"/>
                              <a:ext cx="1091565" cy="417830"/>
                            </a:xfrm>
                            <a:prstGeom prst="rect">
                              <a:avLst/>
                            </a:prstGeom>
                            <a:noFill/>
                            <a:ln w="9525" cap="flat" cmpd="sng">
                              <a:solidFill>
                                <a:srgbClr val="000000"/>
                              </a:solidFill>
                              <a:prstDash val="solid"/>
                              <a:round/>
                              <a:headEnd type="none" w="sm" len="sm"/>
                              <a:tailEnd type="none" w="sm" len="sm"/>
                            </a:ln>
                          </wps:spPr>
                          <wps:txbx>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wps:txbx>
                          <wps:bodyPr spcFirstLastPara="1" wrap="square" lIns="0" tIns="0" rIns="0" bIns="0" anchor="t" anchorCtr="0">
                            <a:noAutofit/>
                          </wps:bodyPr>
                        </wps:wsp>
                      </wpg:grpSp>
                    </wpg:wgp>
                  </a:graphicData>
                </a:graphic>
              </wp:inline>
            </w:drawing>
          </mc:Choice>
          <mc:Fallback>
            <w:pict>
              <v:group w14:anchorId="0C40C560" id="그룹 2" o:spid="_x0000_s1026" style="width:429.15pt;height:130.5pt;mso-position-horizontal-relative:char;mso-position-vertical-relative:line" coordorigin="26186,29490" coordsize="54545,1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">
                <v:group id="그룹 2132482422" o:spid="_x0000_s1027"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102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1029" style="position:absolute;left:25;top:6195;width:54451;height:2521;visibility:visible;mso-wrap-style:square;v-text-anchor:middle" coordsize="544512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v:path arrowok="t" o:extrusionok="f"/>
                  </v:shape>
                  <v:shape id="자유형: 도형 1759407821" o:spid="_x0000_s1030"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1031"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1032"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103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1034"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1035"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1036"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1037"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103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1039"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1040"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1041"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1042"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104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1044"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1045"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1046"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1047"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104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1049"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1050"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1051"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1052"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AbitoRank vs. AWP</w:t>
                          </w:r>
                        </w:p>
                      </w:txbxContent>
                    </v:textbox>
                  </v:rect>
                  <v:rect id="직사각형 1787117521" o:spid="_x0000_s1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1054"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anchorlock/>
              </v:group>
            </w:pict>
          </mc:Fallback>
        </mc:AlternateContent>
      </w:r>
      <w:r w:rsidR="00A52392">
        <w:br/>
      </w:r>
      <w:r w:rsidR="00A52392">
        <w:br/>
      </w:r>
    </w:p>
    <w:p w14:paraId="69C77ECE" w14:textId="0BD4DF5B" w:rsidR="00A271CD" w:rsidRPr="00A52392" w:rsidRDefault="00A52392" w:rsidP="00A52392">
      <w:pPr>
        <w:keepNext/>
        <w:pBdr>
          <w:top w:val="nil"/>
          <w:left w:val="nil"/>
          <w:bottom w:val="nil"/>
          <w:right w:val="nil"/>
          <w:between w:val="nil"/>
        </w:pBdr>
        <w:ind w:left="85"/>
        <w:jc w:val="center"/>
        <w:rPr>
          <w:color w:val="000000"/>
          <w:sz w:val="24"/>
          <w:szCs w:val="24"/>
        </w:rPr>
      </w:pPr>
      <w:r w:rsidRPr="00A52392">
        <w:rPr>
          <w:rFonts w:eastAsia="Calibri"/>
          <w:color w:val="000000"/>
          <w:sz w:val="24"/>
          <w:szCs w:val="24"/>
        </w:rPr>
        <w:t xml:space="preserve">Figure </w:t>
      </w:r>
      <w:r w:rsidRPr="00A52392">
        <w:rPr>
          <w:rFonts w:eastAsia="Calibri" w:hint="eastAsia"/>
          <w:color w:val="000000"/>
          <w:sz w:val="24"/>
          <w:szCs w:val="24"/>
        </w:rPr>
        <w:t>4.</w:t>
      </w:r>
      <w:r w:rsidRPr="00A52392">
        <w:rPr>
          <w:rFonts w:eastAsia="Calibri"/>
          <w:color w:val="000000"/>
          <w:sz w:val="24"/>
          <w:szCs w:val="24"/>
        </w:rPr>
        <w:fldChar w:fldCharType="begin"/>
      </w:r>
      <w:r w:rsidRPr="00A52392">
        <w:rPr>
          <w:rFonts w:eastAsia="Calibri"/>
          <w:color w:val="000000"/>
          <w:sz w:val="24"/>
          <w:szCs w:val="24"/>
        </w:rPr>
        <w:instrText xml:space="preserve"> SEQ Figure \* ARABIC \s 1 </w:instrText>
      </w:r>
      <w:r w:rsidRPr="00A52392">
        <w:rPr>
          <w:rFonts w:eastAsia="Calibri"/>
          <w:color w:val="000000"/>
          <w:sz w:val="24"/>
          <w:szCs w:val="24"/>
        </w:rPr>
        <w:fldChar w:fldCharType="separate"/>
      </w:r>
      <w:r w:rsidRPr="00A52392">
        <w:rPr>
          <w:rFonts w:eastAsia="Calibri"/>
          <w:color w:val="000000"/>
          <w:sz w:val="24"/>
          <w:szCs w:val="24"/>
        </w:rPr>
        <w:t>1</w:t>
      </w:r>
      <w:r w:rsidRPr="00A52392">
        <w:rPr>
          <w:rFonts w:eastAsia="Calibri"/>
          <w:color w:val="000000"/>
          <w:sz w:val="24"/>
          <w:szCs w:val="24"/>
        </w:rPr>
        <w:fldChar w:fldCharType="end"/>
      </w:r>
      <w:r w:rsidRPr="00A52392">
        <w:rPr>
          <w:rFonts w:eastAsia="Calibri" w:hint="eastAsia"/>
          <w:color w:val="000000"/>
          <w:sz w:val="24"/>
          <w:szCs w:val="24"/>
        </w:rPr>
        <w:t>: AbitoRank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AbitoRank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t xml:space="preserve">H2 (Predictive Validity): </w:t>
      </w:r>
      <w:r>
        <w:rPr>
          <w:rFonts w:eastAsia="Calibri"/>
          <w:color w:val="000000"/>
          <w:sz w:val="24"/>
          <w:szCs w:val="24"/>
        </w:rPr>
        <w:t xml:space="preserve">AbitoRank’s scores will correlate more strongly with </w:t>
      </w:r>
      <w:r>
        <w:rPr>
          <w:rFonts w:eastAsia="Calibri"/>
          <w:color w:val="000000"/>
          <w:sz w:val="24"/>
          <w:szCs w:val="24"/>
        </w:rPr>
        <w:lastRenderedPageBreak/>
        <w:t>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AbitoRank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64" w:name="8ixln57cjwp6" w:colFirst="0" w:colLast="0"/>
      <w:bookmarkStart w:id="65" w:name="_hc7h8xmdrzoi" w:colFirst="0" w:colLast="0"/>
      <w:bookmarkEnd w:id="64"/>
      <w:bookmarkEnd w:id="65"/>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AbitoRank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66" w:name="ai42761w0xkw" w:colFirst="0" w:colLast="0"/>
      <w:bookmarkStart w:id="67" w:name="_7d4ezdfb8ls" w:colFirst="0" w:colLast="0"/>
      <w:bookmarkEnd w:id="66"/>
      <w:bookmarkEnd w:id="67"/>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AbitoRank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482F7934"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τ</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AbitoRank’s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68" w:name="9lkfrik6bv4d" w:colFirst="0" w:colLast="0"/>
      <w:bookmarkEnd w:id="68"/>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AbitoRank,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69" w:name="xjtjcn5ltn8s" w:colFirst="0" w:colLast="0"/>
      <w:bookmarkStart w:id="70" w:name="_qi4t651rs7ik" w:colFirst="0" w:colLast="0"/>
      <w:bookmarkEnd w:id="69"/>
      <w:bookmarkEnd w:id="70"/>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pPr>
        <w:pStyle w:val="2"/>
        <w:numPr>
          <w:ilvl w:val="0"/>
          <w:numId w:val="21"/>
        </w:numPr>
        <w:tabs>
          <w:tab w:val="left" w:pos="383"/>
        </w:tabs>
        <w:spacing w:before="276"/>
        <w:ind w:left="383" w:hanging="298"/>
      </w:pPr>
      <w:r>
        <w:t>Dataset Overview and Characteristics</w:t>
      </w:r>
    </w:p>
    <w:p w14:paraId="29EE45CC" w14:textId="77777777" w:rsidR="00A271CD" w:rsidRDefault="006A4981">
      <w:pPr>
        <w:numPr>
          <w:ilvl w:val="1"/>
          <w:numId w:val="21"/>
        </w:numPr>
        <w:pBdr>
          <w:top w:val="nil"/>
          <w:left w:val="nil"/>
          <w:bottom w:val="nil"/>
          <w:right w:val="nil"/>
          <w:between w:val="nil"/>
        </w:pBdr>
        <w:tabs>
          <w:tab w:val="left" w:pos="898"/>
        </w:tabs>
        <w:spacing w:before="265"/>
        <w:ind w:left="898" w:hanging="232"/>
      </w:pPr>
      <w:r>
        <w:rPr>
          <w:b/>
          <w:bCs/>
          <w:sz w:val="24"/>
          <w:szCs w:val="24"/>
        </w:rPr>
        <w:t xml:space="preserve"> Dataset Overview</w:t>
      </w:r>
    </w:p>
    <w:p w14:paraId="34F86772"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Core unit of analysis</w:t>
      </w:r>
    </w:p>
    <w:p w14:paraId="388A580C"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Wallet addresses and directed relationships between wallets (owner → spender), later represented as a sparse graph.</w:t>
      </w:r>
    </w:p>
    <w:p w14:paraId="2E609A27"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Primary signals</w:t>
      </w:r>
    </w:p>
    <w:p w14:paraId="4B06A32F"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Sparsity and heavy tails</w:t>
      </w:r>
    </w:p>
    <w:p w14:paraId="4F983FA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Temporal structure</w:t>
      </w:r>
    </w:p>
    <w:p w14:paraId="7513C14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Events form a time series; we operationalize AbitoRank on a fixed observation window and construct “latest state” edge weights by retaining the most recent relevant allowance information per relationship.</w:t>
      </w:r>
    </w:p>
    <w:p w14:paraId="11EA62E3"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Data quality consideration</w:t>
      </w:r>
      <w:r>
        <w:t>s</w:t>
      </w:r>
    </w:p>
    <w:p w14:paraId="67E06AD1"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pPr>
        <w:pStyle w:val="2"/>
        <w:numPr>
          <w:ilvl w:val="0"/>
          <w:numId w:val="21"/>
        </w:numPr>
        <w:tabs>
          <w:tab w:val="left" w:pos="383"/>
        </w:tabs>
        <w:spacing w:before="276"/>
      </w:pPr>
      <w:bookmarkStart w:id="71" w:name="_lys20rawrd3r" w:colFirst="0" w:colLast="0"/>
      <w:bookmarkEnd w:id="71"/>
      <w:r>
        <w:t>Data Collection &amp; Preprocessing</w:t>
      </w:r>
    </w:p>
    <w:p w14:paraId="5C9423CC" w14:textId="77777777" w:rsidR="00A271CD" w:rsidRDefault="006A4981">
      <w:pPr>
        <w:numPr>
          <w:ilvl w:val="1"/>
          <w:numId w:val="21"/>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Blockchain Data Source</w:t>
      </w:r>
    </w:p>
    <w:p w14:paraId="3A2E20A0"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2"/>
        <w:rPr>
          <w:color w:val="000000"/>
        </w:rPr>
      </w:pPr>
      <w:r>
        <w:rPr>
          <w:rFonts w:eastAsia="Calibri"/>
          <w:color w:val="000000"/>
          <w:sz w:val="24"/>
          <w:szCs w:val="24"/>
        </w:rPr>
        <w:t>Ethereum Mainnet (January 1, 2025 – June 30, 2025) via Google BigQuery or an archive node.</w:t>
      </w:r>
    </w:p>
    <w:p w14:paraId="16A679F6" w14:textId="77777777" w:rsidR="00A271CD" w:rsidRDefault="006A4981">
      <w:pPr>
        <w:pStyle w:val="2"/>
        <w:numPr>
          <w:ilvl w:val="1"/>
          <w:numId w:val="21"/>
        </w:numPr>
        <w:tabs>
          <w:tab w:val="left" w:pos="898"/>
        </w:tabs>
        <w:spacing w:before="102"/>
        <w:ind w:left="898" w:hanging="232"/>
      </w:pPr>
      <w:r>
        <w:t>Event Extraction</w:t>
      </w:r>
    </w:p>
    <w:p w14:paraId="0BA1920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commentRangeStart w:id="3"/>
      <w:r>
        <w:t>Approval/permit-derived authorizations: all ERC-20 Approval(owner, spender, value) events, including approvals generated through permit-compatible flows where the token emits the standard Approval event; where permit-specific traces are available, they will be used only to validate the authorization source.</w:t>
      </w:r>
      <w:commentRangeEnd w:id="3"/>
      <w:r>
        <w:rPr>
          <w:rStyle w:val="CommentReference"/>
        </w:rPr>
        <w:commentReference w:id="3"/>
      </w:r>
    </w:p>
    <w:p w14:paraId="027487A6" w14:textId="77777777" w:rsidR="00A271CD" w:rsidRDefault="006A4981">
      <w:pPr>
        <w:pStyle w:val="2"/>
        <w:numPr>
          <w:ilvl w:val="1"/>
          <w:numId w:val="21"/>
        </w:numPr>
        <w:tabs>
          <w:tab w:val="left" w:pos="898"/>
        </w:tabs>
        <w:spacing w:before="165"/>
        <w:ind w:left="898" w:hanging="232"/>
      </w:pPr>
      <w:r>
        <w:t>Default Labels</w:t>
      </w:r>
    </w:p>
    <w:p w14:paraId="4B84A9D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commentRangeStart w:id="4"/>
      <w:r>
        <w:t>Aave V3 liquidation events will be used as the observable on-chain proxy for default. A wallet will be labelled as defaulted only when the liquidation outcome occurs after the feature-observation window, so that AbitoRank and baseline scores are computed before the outcome they are used to predict.</w:t>
      </w:r>
      <w:commentRangeEnd w:id="4"/>
      <w:r>
        <w:rPr>
          <w:rStyle w:val="CommentReference"/>
        </w:rPr>
        <w:commentReference w:id="4"/>
      </w:r>
    </w:p>
    <w:p w14:paraId="3B759D31" w14:textId="77777777" w:rsidR="00A271CD" w:rsidRDefault="006A4981">
      <w:pPr>
        <w:pStyle w:val="2"/>
        <w:numPr>
          <w:ilvl w:val="1"/>
          <w:numId w:val="21"/>
        </w:numPr>
        <w:tabs>
          <w:tab w:val="left" w:pos="898"/>
        </w:tabs>
        <w:spacing w:before="166"/>
        <w:ind w:left="898" w:hanging="232"/>
      </w:pPr>
      <w:r>
        <w:t>Sampling</w:t>
      </w:r>
    </w:p>
    <w:p w14:paraId="2A1C2EBA"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4"/>
        <w:rPr>
          <w:color w:val="000000"/>
        </w:rPr>
      </w:pPr>
      <w:commentRangeStart w:id="5"/>
      <w:r>
        <w:t>Sampling: the predictive analysis will use the full set of Aave V3-active wallets that appear in the observation window and have sufficient event history for feature construction. Computational benchmarks will use a reproducible random sample of 100,000 wallets with a fixed seed, and robustness checks will compare 50,000- and 200,000-wallet samples to test scalability sensitivity.</w:t>
      </w:r>
      <w:commentRangeEnd w:id="5"/>
      <w:r>
        <w:rPr>
          <w:rStyle w:val="CommentReference"/>
        </w:rPr>
        <w:commentReference w:id="5"/>
      </w:r>
    </w:p>
    <w:p w14:paraId="16396BD1" w14:textId="77777777" w:rsidR="00A271CD" w:rsidRDefault="006A4981">
      <w:pPr>
        <w:pStyle w:val="2"/>
        <w:numPr>
          <w:ilvl w:val="0"/>
          <w:numId w:val="21"/>
        </w:numPr>
        <w:tabs>
          <w:tab w:val="left" w:pos="383"/>
        </w:tabs>
        <w:spacing w:before="201"/>
        <w:ind w:left="383" w:hanging="298"/>
      </w:pPr>
      <w:r>
        <w:t>Graph Construction &amp; Algorithm Implementation</w:t>
      </w:r>
    </w:p>
    <w:p w14:paraId="33E9E706" w14:textId="77777777" w:rsidR="00A271CD" w:rsidRDefault="00A271CD">
      <w:pPr>
        <w:tabs>
          <w:tab w:val="left" w:pos="383"/>
        </w:tabs>
      </w:pPr>
    </w:p>
    <w:p w14:paraId="2F50B091" w14:textId="77777777" w:rsidR="00A271CD" w:rsidRDefault="00A271CD">
      <w:pPr>
        <w:tabs>
          <w:tab w:val="left" w:pos="383"/>
        </w:tabs>
        <w:sectPr w:rsidR="00A271CD">
          <w:pgSz w:w="11910" w:h="16840"/>
          <w:pgMar w:top="1920" w:right="850" w:bottom="2100" w:left="1700" w:header="0" w:footer="1907" w:gutter="0"/>
          <w:cols w:space="720"/>
        </w:sectPr>
      </w:pPr>
    </w:p>
    <w:p w14:paraId="459266EB" w14:textId="2DBA25C3" w:rsidR="00A271CD" w:rsidRDefault="00A271CD">
      <w:pPr>
        <w:pBdr>
          <w:top w:val="nil"/>
          <w:left w:val="nil"/>
          <w:bottom w:val="nil"/>
          <w:right w:val="nil"/>
          <w:between w:val="nil"/>
        </w:pBdr>
        <w:rPr>
          <w:b/>
          <w:bCs/>
          <w:color w:val="000000"/>
          <w:sz w:val="24"/>
          <w:szCs w:val="24"/>
        </w:rPr>
      </w:pPr>
    </w:p>
    <w:p w14:paraId="1C8320B6" w14:textId="77777777" w:rsidR="00A271CD" w:rsidRDefault="00A271CD">
      <w:pPr>
        <w:pBdr>
          <w:top w:val="nil"/>
          <w:left w:val="nil"/>
          <w:bottom w:val="nil"/>
          <w:right w:val="nil"/>
          <w:between w:val="nil"/>
        </w:pBdr>
        <w:spacing w:before="12"/>
        <w:rPr>
          <w:b/>
          <w:bCs/>
          <w:color w:val="000000"/>
          <w:sz w:val="24"/>
          <w:szCs w:val="24"/>
        </w:rPr>
      </w:pPr>
    </w:p>
    <w:p w14:paraId="6D8AA9B3" w14:textId="77777777" w:rsidR="00A271CD" w:rsidRDefault="006A4981">
      <w:pPr>
        <w:numPr>
          <w:ilvl w:val="1"/>
          <w:numId w:val="21"/>
        </w:numPr>
        <w:pBdr>
          <w:top w:val="nil"/>
          <w:left w:val="nil"/>
          <w:bottom w:val="nil"/>
          <w:right w:val="nil"/>
          <w:between w:val="nil"/>
        </w:pBdr>
        <w:tabs>
          <w:tab w:val="left" w:pos="898"/>
        </w:tabs>
        <w:ind w:left="898" w:hanging="232"/>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pPr>
        <w:numPr>
          <w:ilvl w:val="2"/>
          <w:numId w:val="21"/>
        </w:numPr>
        <w:pBdr>
          <w:top w:val="nil"/>
          <w:left w:val="nil"/>
          <w:bottom w:val="nil"/>
          <w:right w:val="nil"/>
          <w:between w:val="nil"/>
        </w:pBdr>
        <w:tabs>
          <w:tab w:val="left" w:pos="1336"/>
        </w:tabs>
        <w:spacing w:before="54"/>
        <w:ind w:left="1336" w:hanging="250"/>
        <w:rPr>
          <w:color w:val="000000"/>
        </w:rPr>
      </w:pPr>
      <w:commentRangeStart w:id="6"/>
      <w:r>
        <w:t>Edges: directed owner-to-spender relationships weighted by the latest nonzero allowance from u to v. Because ERC-20 tokens differ in decimals and economic scale, weights will first be token-decimal adjusted; sensitivity checks will compare raw allowance weights, log-transformed weights, and value-normalized weights where reliable price data are available.</w:t>
      </w:r>
      <w:commentRangeEnd w:id="6"/>
      <w:r>
        <w:rPr>
          <w:rStyle w:val="CommentReference"/>
        </w:rPr>
        <w:commentReference w:id="6"/>
      </w:r>
    </w:p>
    <w:p w14:paraId="10A605E4"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pPr>
        <w:numPr>
          <w:ilvl w:val="2"/>
          <w:numId w:val="21"/>
        </w:numPr>
        <w:pBdr>
          <w:top w:val="nil"/>
          <w:left w:val="nil"/>
          <w:bottom w:val="nil"/>
          <w:right w:val="nil"/>
          <w:between w:val="nil"/>
        </w:pBdr>
        <w:tabs>
          <w:tab w:val="left" w:pos="1336"/>
        </w:tabs>
        <w:spacing w:before="95"/>
        <w:ind w:left="1336" w:hanging="250"/>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pPr>
        <w:pStyle w:val="2"/>
        <w:numPr>
          <w:ilvl w:val="1"/>
          <w:numId w:val="21"/>
        </w:numPr>
        <w:tabs>
          <w:tab w:val="left" w:pos="898"/>
        </w:tabs>
        <w:spacing w:before="145"/>
        <w:ind w:left="898" w:hanging="232"/>
      </w:pPr>
      <w:r>
        <w:t>Algorithms</w:t>
      </w:r>
    </w:p>
    <w:p w14:paraId="4F03182A" w14:textId="38233B82" w:rsidR="00CE4ED5" w:rsidRDefault="00CE4ED5">
      <w:pPr>
        <w:pBdr>
          <w:top w:val="nil"/>
          <w:left w:val="nil"/>
          <w:bottom w:val="nil"/>
          <w:right w:val="nil"/>
          <w:between w:val="nil"/>
        </w:pBdr>
        <w:spacing w:before="6"/>
        <w:rPr>
          <w:rFonts w:eastAsia="Calibri"/>
          <w:b/>
          <w:bCs/>
          <w:color w:val="000000"/>
          <w:sz w:val="24"/>
          <w:szCs w:val="24"/>
        </w:rPr>
      </w:pPr>
      <w:r>
        <w:rPr>
          <w:rFonts w:eastAsia="Calibri"/>
          <w:b/>
          <w:bCs/>
          <w:color w:val="000000"/>
          <w:sz w:val="24"/>
          <w:szCs w:val="24"/>
        </w:rPr>
        <w:t xml:space="preserve">AbitoRank: Weighted PageRank on </w:t>
      </w:r>
      <w:r w:rsidR="000B78E5">
        <w:rPr>
          <w:rFonts w:eastAsia="Calibri"/>
          <w:i/>
          <w:iCs/>
          <w:color w:val="000000"/>
          <w:sz w:val="24"/>
          <w:szCs w:val="24"/>
        </w:rPr>
        <w:t>G</w:t>
      </w:r>
      <w:r w:rsidR="000B78E5">
        <w:rPr>
          <w:rFonts w:eastAsia="Calibri"/>
          <w:i/>
          <w:iCs/>
          <w:color w:val="000000"/>
          <w:sz w:val="24"/>
          <w:szCs w:val="24"/>
          <w:vertAlign w:val="subscript"/>
        </w:rPr>
        <w:t>approve</w:t>
      </w:r>
      <w:r w:rsidR="000B78E5">
        <w:rPr>
          <w:rFonts w:eastAsia="Calibri"/>
          <w:i/>
          <w:iCs/>
          <w:color w:val="000000"/>
          <w:sz w:val="24"/>
          <w:szCs w:val="24"/>
        </w:rPr>
        <w:t xml:space="preserve"> </w:t>
      </w:r>
      <w:r>
        <w:rPr>
          <w:rFonts w:eastAsia="Calibri"/>
          <w:b/>
          <w:bCs/>
          <w:color w:val="000000"/>
          <w:sz w:val="24"/>
          <w:szCs w:val="24"/>
        </w:rPr>
        <w:t xml:space="preserve">with damping factor </w:t>
      </w:r>
      <w:r>
        <w:rPr>
          <w:rFonts w:eastAsia="Calibri"/>
          <w:b/>
          <w:bCs/>
          <w:color w:val="000000"/>
          <w:sz w:val="24"/>
          <w:szCs w:val="24"/>
        </w:rPr>
        <w:t>d = 0.85</w:t>
      </w:r>
      <w:r>
        <w:rPr>
          <w:rFonts w:eastAsia="Calibri"/>
          <w:b/>
          <w:bCs/>
          <w:color w:val="000000"/>
          <w:sz w:val="24"/>
          <w:szCs w:val="24"/>
        </w:rPr>
        <w:t>. This value is retained because 0.85 is the standard PageRank setting, provides a stable balance between diffusion and teleportation, and enables direct comparison with prior graph-ranking studies.</w:t>
      </w:r>
    </w:p>
    <w:p w14:paraId="4B259E9D" w14:textId="4965C36E" w:rsidR="00A271CD" w:rsidRDefault="00A271CD">
      <w:pPr>
        <w:pBdr>
          <w:top w:val="nil"/>
          <w:left w:val="nil"/>
          <w:bottom w:val="nil"/>
          <w:right w:val="nil"/>
          <w:between w:val="nil"/>
        </w:pBdr>
        <w:spacing w:before="6"/>
        <w:rPr>
          <w:color w:val="000000"/>
          <w:sz w:val="7"/>
          <w:szCs w:val="7"/>
        </w:rPr>
      </w:pPr>
    </w:p>
    <w:p w14:paraId="7D42BB2F" w14:textId="77777777" w:rsidR="00A271CD" w:rsidRDefault="006A4981">
      <w:pPr>
        <w:numPr>
          <w:ilvl w:val="2"/>
          <w:numId w:val="21"/>
        </w:numPr>
        <w:pBdr>
          <w:top w:val="nil"/>
          <w:left w:val="nil"/>
          <w:bottom w:val="nil"/>
          <w:right w:val="nil"/>
          <w:between w:val="nil"/>
        </w:pBdr>
        <w:tabs>
          <w:tab w:val="left" w:pos="1336"/>
        </w:tabs>
        <w:spacing w:before="70"/>
        <w:ind w:left="1336" w:hanging="250"/>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pPr>
        <w:pBdr>
          <w:top w:val="nil"/>
          <w:left w:val="nil"/>
          <w:bottom w:val="nil"/>
          <w:right w:val="nil"/>
          <w:between w:val="nil"/>
        </w:pBdr>
        <w:spacing w:before="65"/>
        <w:ind w:left="1337"/>
        <w:rPr>
          <w:color w:val="000000"/>
          <w:sz w:val="24"/>
          <w:szCs w:val="24"/>
        </w:rPr>
      </w:pPr>
      <w:r>
        <w:rPr>
          <w:rFonts w:eastAsia="Calibri"/>
          <w:color w:val="000000"/>
          <w:sz w:val="24"/>
          <w:szCs w:val="24"/>
        </w:rPr>
        <w:t>incorporating time and value decay per Do et al. (2023).</w:t>
      </w:r>
    </w:p>
    <w:p w14:paraId="0A4D8BF5" w14:textId="77777777" w:rsidR="00A271CD" w:rsidRDefault="006A4981">
      <w:pPr>
        <w:pStyle w:val="2"/>
        <w:numPr>
          <w:ilvl w:val="1"/>
          <w:numId w:val="21"/>
        </w:numPr>
        <w:tabs>
          <w:tab w:val="left" w:pos="898"/>
        </w:tabs>
        <w:spacing w:before="148"/>
        <w:ind w:left="898" w:hanging="232"/>
      </w:pPr>
      <w:r>
        <w:t>Tools &amp; Environment</w:t>
      </w:r>
    </w:p>
    <w:p w14:paraId="5BFEFE15" w14:textId="77777777" w:rsidR="00A271CD" w:rsidRDefault="006A4981">
      <w:pPr>
        <w:numPr>
          <w:ilvl w:val="2"/>
          <w:numId w:val="21"/>
        </w:numPr>
        <w:pBdr>
          <w:top w:val="nil"/>
          <w:left w:val="nil"/>
          <w:bottom w:val="nil"/>
          <w:right w:val="nil"/>
          <w:between w:val="nil"/>
        </w:pBdr>
        <w:tabs>
          <w:tab w:val="left" w:pos="1335"/>
          <w:tab w:val="left" w:pos="1337"/>
        </w:tabs>
        <w:spacing w:before="148" w:line="291" w:lineRule="auto"/>
        <w:ind w:right="933"/>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pPr>
        <w:pStyle w:val="2"/>
        <w:numPr>
          <w:ilvl w:val="0"/>
          <w:numId w:val="21"/>
        </w:numPr>
        <w:tabs>
          <w:tab w:val="left" w:pos="383"/>
        </w:tabs>
        <w:spacing w:before="176"/>
        <w:ind w:left="383" w:hanging="298"/>
      </w:pPr>
      <w:r>
        <w:t>Performance Evaluation Procedures</w:t>
      </w:r>
    </w:p>
    <w:p w14:paraId="52C26D61" w14:textId="77777777" w:rsidR="00A271CD" w:rsidRDefault="006A4981">
      <w:pPr>
        <w:numPr>
          <w:ilvl w:val="1"/>
          <w:numId w:val="21"/>
        </w:numPr>
        <w:pBdr>
          <w:top w:val="nil"/>
          <w:left w:val="nil"/>
          <w:bottom w:val="nil"/>
          <w:right w:val="nil"/>
          <w:between w:val="nil"/>
        </w:pBdr>
        <w:tabs>
          <w:tab w:val="left" w:pos="898"/>
        </w:tabs>
        <w:spacing w:before="247"/>
        <w:ind w:left="898" w:hanging="232"/>
        <w:rPr>
          <w:color w:val="000000"/>
        </w:rPr>
      </w:pPr>
      <w:r>
        <w:rPr>
          <w:rFonts w:eastAsia="Calibri"/>
          <w:color w:val="000000"/>
          <w:sz w:val="24"/>
          <w:szCs w:val="24"/>
        </w:rPr>
        <w:t>Predictive Performance</w:t>
      </w:r>
    </w:p>
    <w:p w14:paraId="07EB0AC4"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Features: AbitoRank and AWP scores.</w:t>
      </w:r>
    </w:p>
    <w:p w14:paraId="5F08C397"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Labels: Binary default status.</w:t>
      </w:r>
    </w:p>
    <w:p w14:paraId="055D9A97" w14:textId="77777777" w:rsidR="00CE4ED5" w:rsidRDefault="00CE4ED5">
      <w:pPr>
        <w:numPr>
          <w:ilvl w:val="2"/>
          <w:numId w:val="21"/>
        </w:numPr>
        <w:pBdr>
          <w:top w:val="nil"/>
          <w:left w:val="nil"/>
          <w:bottom w:val="nil"/>
          <w:right w:val="nil"/>
          <w:between w:val="nil"/>
        </w:pBdr>
        <w:tabs>
          <w:tab w:val="left" w:pos="1336"/>
        </w:tabs>
        <w:spacing w:before="106"/>
        <w:ind w:left="1336" w:hanging="250"/>
        <w:rPr>
          <w:rFonts w:eastAsia="Calibri"/>
          <w:color w:val="000000"/>
          <w:sz w:val="24"/>
          <w:szCs w:val="24"/>
        </w:rPr>
      </w:pPr>
      <w:r>
        <w:rPr>
          <w:rFonts w:eastAsia="Calibri"/>
          <w:color w:val="000000"/>
          <w:sz w:val="24"/>
          <w:szCs w:val="24"/>
        </w:rPr>
        <w:t>Models: Logistic regression and random forest</w:t>
      </w:r>
      <w:r>
        <w:rPr>
          <w:rFonts w:eastAsia="Calibri"/>
          <w:color w:val="000000"/>
          <w:sz w:val="24"/>
          <w:szCs w:val="24"/>
        </w:rPr>
        <w:t>. Logistic regression is used as an interpretable linear baseline, while random forest captures nonlinear interactions and offers a stronger benchmark for mixed on-chain feature patterns.</w:t>
      </w:r>
    </w:p>
    <w:p w14:paraId="4D9D2FBC" w14:textId="44C2EF28" w:rsidR="00A271CD" w:rsidRDefault="006A4981">
      <w:pPr>
        <w:numPr>
          <w:ilvl w:val="2"/>
          <w:numId w:val="21"/>
        </w:numPr>
        <w:pBdr>
          <w:top w:val="nil"/>
          <w:left w:val="nil"/>
          <w:bottom w:val="nil"/>
          <w:right w:val="nil"/>
          <w:between w:val="nil"/>
        </w:pBdr>
        <w:tabs>
          <w:tab w:val="left" w:pos="1336"/>
        </w:tabs>
        <w:spacing w:before="106"/>
        <w:ind w:left="1336" w:hanging="250"/>
        <w:rPr>
          <w:color w:val="000000"/>
        </w:rPr>
      </w:pPr>
      <w:r>
        <w:rPr>
          <w:rFonts w:eastAsia="Calibri"/>
          <w:color w:val="000000"/>
          <w:sz w:val="24"/>
          <w:szCs w:val="24"/>
        </w:rPr>
        <w:t>Metrics: AUC, Precision@k, Recall, F1-score.</w:t>
      </w:r>
    </w:p>
    <w:p w14:paraId="6D2995F4" w14:textId="77777777" w:rsidR="00CE4ED5" w:rsidRDefault="00CE4ED5">
      <w:pPr>
        <w:numPr>
          <w:ilvl w:val="1"/>
          <w:numId w:val="21"/>
        </w:numPr>
        <w:pBdr>
          <w:top w:val="nil"/>
          <w:left w:val="nil"/>
          <w:bottom w:val="nil"/>
          <w:right w:val="nil"/>
          <w:between w:val="nil"/>
        </w:pBdr>
        <w:tabs>
          <w:tab w:val="left" w:pos="898"/>
        </w:tabs>
        <w:spacing w:before="145"/>
        <w:ind w:left="898" w:hanging="232"/>
        <w:rPr>
          <w:rFonts w:eastAsia="Calibri"/>
          <w:color w:val="000000"/>
          <w:sz w:val="24"/>
          <w:szCs w:val="24"/>
        </w:rPr>
      </w:pPr>
      <w:r>
        <w:rPr>
          <w:rFonts w:eastAsia="Calibri"/>
          <w:color w:val="000000"/>
          <w:sz w:val="24"/>
          <w:szCs w:val="24"/>
        </w:rPr>
        <w:t xml:space="preserve">Validation: </w:t>
      </w:r>
      <w:r>
        <w:rPr>
          <w:rFonts w:eastAsia="Calibri"/>
          <w:color w:val="000000"/>
          <w:sz w:val="24"/>
          <w:szCs w:val="24"/>
        </w:rPr>
        <w:t>5-fold cross-validation</w:t>
      </w:r>
      <w:r>
        <w:rPr>
          <w:rFonts w:eastAsia="Calibri"/>
          <w:color w:val="000000"/>
          <w:sz w:val="24"/>
          <w:szCs w:val="24"/>
        </w:rPr>
        <w:t>, reporting mean +/- SD. Five folds provide a practical bias-variance trade-off while keeping repeated model fitting manageable for multiple baselines, robustness checks, and hardware-limited experiments.</w:t>
      </w:r>
    </w:p>
    <w:p w14:paraId="7E7FBEFA" w14:textId="77777777" w:rsidR="00B574BB" w:rsidRDefault="00000000">
      <w:pPr>
        <w:spacing w:before="120" w:line="276" w:lineRule="auto"/>
        <w:jc w:val="both"/>
      </w:pPr>
      <w:commentRangeStart w:id="8"/>
      <w:r>
        <w:t xml:space="preserve">Temporal validation will be used alongside cross-validation to prevent look-ahead bias: graph features and reputation scores will be computed from events before the prediction cut-off, while liquidation/default labels will be drawn from a subsequent outcome window. This separation ensures that the model is evaluated on forward-looking predictive performance rather than on information that would </w:t>
      </w:r>
      <w:r>
        <w:lastRenderedPageBreak/>
        <w:t>not have been available at scoring time.</w:t>
      </w:r>
      <w:commentRangeEnd w:id="8"/>
      <w:r>
        <w:rPr>
          <w:rStyle w:val="CommentReference"/>
        </w:rPr>
        <w:commentReference w:id="8"/>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AbitoRank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78" w:name="45rnrcbg0xji" w:colFirst="0" w:colLast="0"/>
      <w:bookmarkStart w:id="79" w:name="_a7l5q7j67hzk" w:colFirst="0" w:colLast="0"/>
      <w:bookmarkEnd w:id="78"/>
      <w:bookmarkEnd w:id="79"/>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AbitoRank’s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80" w:name="jkv0mfuoi5pt" w:colFirst="0" w:colLast="0"/>
      <w:bookmarkStart w:id="81" w:name="_guzs0k6m505l" w:colFirst="0" w:colLast="0"/>
      <w:bookmarkEnd w:id="80"/>
      <w:bookmarkEnd w:id="81"/>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AbitoRank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 xml:space="preserve">Event Completeness: We rely on public event logs (Approve, Permit, Transfer) from Ethereum archives or BigQuery. </w:t>
      </w:r>
      <w:r>
        <w:rPr>
          <w:rFonts w:eastAsia="Calibri"/>
          <w:b/>
          <w:bCs/>
          <w:color w:val="000000"/>
          <w:sz w:val="24"/>
          <w:szCs w:val="24"/>
        </w:rPr>
        <w:t>Some missing or misindexed events</w:t>
      </w:r>
      <w:r>
        <w:rPr>
          <w:rFonts w:eastAsia="Calibri"/>
          <w:b/>
          <w:bCs/>
          <w:color w:val="000000"/>
          <w:sz w:val="24"/>
          <w:szCs w:val="24"/>
        </w:rPr>
        <w:t xml:space="preserve">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AbitoRank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388F2193"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AbitoRank’s predictive power may differ for other lending protocols (Compound, MakerDAO)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AbitoRank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6607D70C"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AbitoRank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AD4481" w:rsidR="00A271CD" w:rsidRPr="00430964" w:rsidRDefault="006A4981">
      <w:pPr>
        <w:pBdr>
          <w:top w:val="nil"/>
          <w:left w:val="nil"/>
          <w:bottom w:val="nil"/>
          <w:right w:val="nil"/>
          <w:between w:val="nil"/>
        </w:pBdr>
        <w:spacing w:line="291" w:lineRule="auto"/>
        <w:ind w:left="900" w:right="892"/>
        <w:rPr>
          <w:color w:val="000000"/>
          <w:sz w:val="24"/>
          <w:szCs w:val="24"/>
        </w:rPr>
        <w:sectPr w:rsidR="00A271CD" w:rsidRPr="00430964">
          <w:pgSz w:w="11910" w:h="16840"/>
          <w:pgMar w:top="1920" w:right="850" w:bottom="2100" w:left="1700" w:header="0" w:footer="1907" w:gutter="0"/>
          <w:cols w:space="720"/>
        </w:sectPr>
      </w:pPr>
      <w:r>
        <w:rPr>
          <w:rFonts w:eastAsia="Calibri"/>
          <w:color w:val="000000"/>
          <w:sz w:val="24"/>
          <w:szCs w:val="24"/>
        </w:rPr>
        <w:t>(millions of wallets) may still demand distributed computing or</w:t>
      </w:r>
      <w:r w:rsidR="00430964">
        <w:rPr>
          <w:rFonts w:hint="eastAsia"/>
          <w:color w:val="000000"/>
          <w:sz w:val="24"/>
          <w:szCs w:val="24"/>
        </w:rPr>
        <w:t xml:space="preserve"> </w:t>
      </w:r>
      <w:r>
        <w:rPr>
          <w:rFonts w:eastAsia="Calibri"/>
          <w:color w:val="000000"/>
          <w:sz w:val="24"/>
          <w:szCs w:val="24"/>
        </w:rPr>
        <w:t>approximation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44FB7016" w:rsidR="00A271CD" w:rsidRPr="00430964" w:rsidRDefault="00430964">
      <w:pPr>
        <w:spacing w:before="542"/>
        <w:ind w:left="85"/>
        <w:rPr>
          <w:b/>
          <w:bCs/>
          <w:sz w:val="49"/>
          <w:szCs w:val="49"/>
        </w:rPr>
      </w:pPr>
      <w:bookmarkStart w:id="84" w:name="uqhhroc5ij8t" w:colFirst="0" w:colLast="0"/>
      <w:bookmarkEnd w:id="84"/>
      <w:r w:rsidRPr="00430964">
        <w:rPr>
          <w:b/>
          <w:bCs/>
          <w:color w:val="000000"/>
          <w:sz w:val="49"/>
          <w:szCs w:val="4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43ED77AA" w:rsidR="00CE4ED5" w:rsidRDefault="00CE4ED5">
      <w:pPr>
        <w:pStyle w:val="2"/>
        <w:numPr>
          <w:ilvl w:val="0"/>
          <w:numId w:val="18"/>
        </w:numPr>
        <w:tabs>
          <w:tab w:val="left" w:pos="383"/>
        </w:tabs>
        <w:spacing w:before="262"/>
        <w:ind w:left="383" w:hanging="298"/>
        <w:rPr>
          <w:b w:val="0"/>
          <w:bCs w:val="0"/>
          <w:color w:val="000000"/>
        </w:rPr>
      </w:pPr>
      <w:r>
        <w:rPr>
          <w:b w:val="0"/>
          <w:bCs w:val="0"/>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w:t>
      </w:r>
      <w:r>
        <w:rPr>
          <w:b w:val="0"/>
          <w:bCs w:val="0"/>
          <w:color w:val="000000"/>
        </w:rPr>
        <w:t>UNISA's research ethics principles</w:t>
      </w:r>
      <w:r>
        <w:rPr>
          <w:b w:val="0"/>
          <w:bCs w:val="0"/>
          <w:color w:val="000000"/>
        </w:rPr>
        <w:t xml:space="preserve"> on privacy, confidentiality, responsible data management, and prior ethics </w:t>
      </w:r>
      <w:r w:rsidR="00430964">
        <w:rPr>
          <w:b w:val="0"/>
          <w:bCs w:val="0"/>
          <w:color w:val="000000"/>
        </w:rPr>
        <w:t>reviews</w:t>
      </w:r>
      <w:r>
        <w:rPr>
          <w:b w:val="0"/>
          <w:bCs w:val="0"/>
          <w:color w:val="000000"/>
        </w:rPr>
        <w:t xml:space="preserve"> where required.</w:t>
      </w:r>
    </w:p>
    <w:p w14:paraId="118C6319" w14:textId="77777777" w:rsidR="00B574BB" w:rsidRDefault="00000000">
      <w:pPr>
        <w:spacing w:before="120" w:line="276" w:lineRule="auto"/>
        <w:jc w:val="both"/>
      </w:pPr>
      <w:commentRangeStart w:id="9"/>
      <w:r>
        <w:t>Ethics clearance process: before starting the empirical data collection and analysis phase, the researcher will submit the proposal, data-management plan, and public-data justification to the relevant UNISA School ethics process. If the study is classified as exempt or low risk because it uses public pseudonymous blockchain data and no human-participant intervention, the exemption or clearance confirmation will be retained as part of the research record. No attempt will be made to deanonymize wallet owners, combine wallet addresses with off-chain personal data, or publish address-level findings in a way that could reasonably identify individuals.</w:t>
      </w:r>
      <w:commentRangeEnd w:id="9"/>
      <w:r>
        <w:rPr>
          <w:rStyle w:val="CommentReference"/>
        </w:rPr>
        <w:commentReference w:id="9"/>
      </w:r>
    </w:p>
    <w:p w14:paraId="7DB9C0C1" w14:textId="77777777" w:rsidR="00CE4ED5" w:rsidRDefault="00CE4ED5">
      <w:pPr>
        <w:numPr>
          <w:ilvl w:val="1"/>
          <w:numId w:val="18"/>
        </w:numPr>
        <w:pBdr>
          <w:top w:val="nil"/>
          <w:left w:val="nil"/>
          <w:bottom w:val="nil"/>
          <w:right w:val="nil"/>
          <w:between w:val="nil"/>
        </w:pBdr>
        <w:tabs>
          <w:tab w:val="left" w:pos="898"/>
          <w:tab w:val="left" w:pos="900"/>
        </w:tabs>
        <w:spacing w:before="264" w:line="291" w:lineRule="auto"/>
        <w:ind w:right="851"/>
        <w:rPr>
          <w:rFonts w:eastAsia="Calibri"/>
          <w:b/>
          <w:bCs/>
          <w:sz w:val="24"/>
          <w:szCs w:val="24"/>
        </w:rPr>
      </w:pPr>
      <w:r>
        <w:rPr>
          <w:rFonts w:eastAsia="Calibri"/>
          <w:b/>
          <w:bCs/>
          <w:sz w:val="24"/>
          <w:szCs w:val="24"/>
        </w:rPr>
        <w:t>Privacy and Anonymity</w:t>
      </w:r>
    </w:p>
    <w:p w14:paraId="4CE58152" w14:textId="248D6E58"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65255312"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xml:space="preserve">: We will not broadcast transactions or otherwise </w:t>
      </w:r>
      <w:r>
        <w:rPr>
          <w:rFonts w:eastAsia="Calibri"/>
          <w:color w:val="000000"/>
          <w:sz w:val="24"/>
          <w:szCs w:val="24"/>
        </w:rPr>
        <w:lastRenderedPageBreak/>
        <w:t>interact with smart contracts in ways that could disrupt network operations 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AbitoRank and AWP for un- intended biases—e.g., systematically undervaluing new entrants or low- volume participants—and discuss these limitations in our analysis.</w:t>
      </w:r>
    </w:p>
    <w:p w14:paraId="3B4E0C55" w14:textId="27CD377E"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27E5CC2F"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vulnerabilities in smart contracts (e.g., unexpected approval patterns that could be exploited), we will confidentially notify the responsible</w:t>
      </w:r>
      <w:r w:rsidR="00430964">
        <w:rPr>
          <w:rFonts w:hint="eastAsia"/>
          <w:color w:val="000000"/>
          <w:sz w:val="24"/>
          <w:szCs w:val="24"/>
        </w:rPr>
        <w:t xml:space="preserve"> </w:t>
      </w:r>
      <w:r>
        <w:rPr>
          <w:rFonts w:eastAsia="Calibri"/>
          <w:color w:val="000000"/>
          <w:sz w:val="24"/>
          <w:szCs w:val="24"/>
        </w:rPr>
        <w:t>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6E0FB31"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xml:space="preserve">: Although AbitoRank may inform risk assessment, we will explicitly disclaim that it is not financial </w:t>
      </w:r>
      <w:r w:rsidR="00430964">
        <w:rPr>
          <w:rFonts w:eastAsia="Calibri"/>
          <w:color w:val="000000"/>
          <w:sz w:val="24"/>
          <w:szCs w:val="24"/>
        </w:rPr>
        <w:t>advice and</w:t>
      </w:r>
      <w:r>
        <w:rPr>
          <w:rFonts w:eastAsia="Calibri"/>
          <w:color w:val="000000"/>
          <w:sz w:val="24"/>
          <w:szCs w:val="24"/>
        </w:rPr>
        <w:t xml:space="preserve">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87" w:name="k8dms91qc4y1" w:colFirst="0" w:colLast="0"/>
      <w:bookmarkEnd w:id="87"/>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51C27F23" w14:textId="77777777" w:rsidR="00B574BB" w:rsidRDefault="00000000">
      <w:pPr>
        <w:spacing w:before="120" w:line="276" w:lineRule="auto"/>
        <w:jc w:val="both"/>
      </w:pPr>
      <w:commentRangeStart w:id="10"/>
      <w:r>
        <w:t>At doctoral level, the intended original contribution is the formulation and empirical validation of allowance-based wallet reputation as a distinct class of on-chain trust signal. The study is positioned to contribute new knowledge by showing whether explicit authorization relationships can produce a reputation metric that is theoretically interpretable, predictive of financial risk, and computationally more scalable than transaction-history-based PageRank baselines.</w:t>
      </w:r>
      <w:commentRangeEnd w:id="10"/>
      <w:r>
        <w:rPr>
          <w:rStyle w:val="CommentReference"/>
        </w:rPr>
        <w:commentReference w:id="10"/>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AbitoRank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6CD52C13"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elaborate time-decay functions, AbitoRank leverages the override semantics of ERC-20 allowances to dispense with time-based weighting, offering a cleaner, more principled framework for modeling enduring trust relationships.</w:t>
      </w:r>
    </w:p>
    <w:p w14:paraId="1A2816F8" w14:textId="756B4161" w:rsidR="00A271CD" w:rsidRDefault="006A4981">
      <w:pPr>
        <w:pStyle w:val="2"/>
        <w:numPr>
          <w:ilvl w:val="0"/>
          <w:numId w:val="17"/>
        </w:numPr>
        <w:tabs>
          <w:tab w:val="left" w:pos="383"/>
        </w:tabs>
        <w:spacing w:before="205"/>
        <w:ind w:left="383" w:hanging="298"/>
      </w:pPr>
      <w:r>
        <w:t xml:space="preserve">Methodological </w:t>
      </w:r>
      <w:r w:rsidR="00430964">
        <w:t>Contribution</w:t>
      </w:r>
    </w:p>
    <w:p w14:paraId="2B123FAB" w14:textId="0366B52A" w:rsidR="00A271CD" w:rsidRPr="00430964" w:rsidRDefault="006A4981" w:rsidP="00430964">
      <w:pPr>
        <w:numPr>
          <w:ilvl w:val="1"/>
          <w:numId w:val="17"/>
        </w:numPr>
        <w:pBdr>
          <w:top w:val="nil"/>
          <w:left w:val="nil"/>
          <w:bottom w:val="nil"/>
          <w:right w:val="nil"/>
          <w:between w:val="nil"/>
        </w:pBdr>
        <w:tabs>
          <w:tab w:val="left" w:pos="898"/>
          <w:tab w:val="left" w:pos="900"/>
        </w:tabs>
        <w:spacing w:before="264" w:line="291" w:lineRule="auto"/>
        <w:ind w:right="934"/>
        <w:jc w:val="both"/>
        <w:rPr>
          <w:color w:val="000000"/>
          <w:sz w:val="24"/>
          <w:szCs w:val="24"/>
        </w:rPr>
      </w:pPr>
      <w:r w:rsidRPr="00430964">
        <w:rPr>
          <w:rFonts w:eastAsia="Calibri"/>
          <w:b/>
          <w:bCs/>
          <w:color w:val="000000"/>
          <w:sz w:val="24"/>
          <w:szCs w:val="24"/>
        </w:rPr>
        <w:t>Efficient Computation</w:t>
      </w:r>
      <w:r w:rsidRPr="00430964">
        <w:rPr>
          <w:rFonts w:eastAsia="Calibri"/>
          <w:color w:val="000000"/>
          <w:sz w:val="24"/>
          <w:szCs w:val="24"/>
        </w:rPr>
        <w:t>: AbitoRank demonstrates that a sparser approval graph can yield reputation scores with comparable or superior predictive power to transfer-based PageRank, while reducing computation time, memory usage, and convergence iterations.  This efficienc</w:t>
      </w:r>
      <w:r w:rsidR="00430964">
        <w:rPr>
          <w:rFonts w:hint="eastAsia"/>
          <w:color w:val="000000"/>
          <w:sz w:val="24"/>
          <w:szCs w:val="24"/>
        </w:rPr>
        <w:t xml:space="preserve">y </w:t>
      </w:r>
      <w:r w:rsidRPr="00430964">
        <w:rPr>
          <w:rFonts w:eastAsia="Calibri"/>
          <w:color w:val="000000"/>
          <w:sz w:val="24"/>
          <w:szCs w:val="24"/>
        </w:rPr>
        <w:t>gain makes large-scale, near-real-time reputation scoring more feasible for resource-</w:t>
      </w:r>
      <w:r w:rsidRPr="00430964">
        <w:rPr>
          <w:rFonts w:eastAsia="Calibri"/>
          <w:color w:val="000000"/>
          <w:sz w:val="24"/>
          <w:szCs w:val="24"/>
        </w:rPr>
        <w:lastRenderedPageBreak/>
        <w:t>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AbitoRank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45AADC1"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AbitoRank can help lenders reduce collateral requirements for trustworthy users, paving the way for under-collateralized and more inclusive lending products. This has the potential to unlock significant liquidity in DeFi and broaden access to financial services.</w:t>
      </w:r>
    </w:p>
    <w:p w14:paraId="3EE0BBDA" w14:textId="742A0968"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sidR="00430964">
        <w:rPr>
          <w:rFonts w:eastAsia="Calibri"/>
          <w:color w:val="000000"/>
          <w:sz w:val="24"/>
          <w:szCs w:val="24"/>
        </w:rPr>
        <w:t>: The</w:t>
      </w:r>
      <w:r>
        <w:rPr>
          <w:rFonts w:eastAsia="Calibri"/>
          <w:color w:val="000000"/>
          <w:sz w:val="24"/>
          <w:szCs w:val="24"/>
        </w:rPr>
        <w:t xml:space="preserve"> lightweight nature of AbitoRank makes it a strong candidate for integration into on-chain or off-chain risk oracles, governance dashboards, and compliance tools, providing actionable intelligence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AbitoRank approach generalizes to any ERC-20–compatible network or custom token standard, making it relevant for emerging L2 solutions and alternative smart-contract platforms.</w:t>
      </w:r>
    </w:p>
    <w:p w14:paraId="4F2A2685" w14:textId="236D9481"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authorization networks, this work encourages further exploration of other on-chain signals—such as governance votes, staking approvals, and cross- chain bridges—and their integration into composite reputation and identity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88" w:name="ckhs5wg3oxgf" w:colFirst="0" w:colLast="0"/>
      <w:bookmarkStart w:id="89" w:name="_21vul5jr55yh" w:colFirst="0" w:colLast="0"/>
      <w:bookmarkEnd w:id="88"/>
      <w:bookmarkEnd w:id="89"/>
      <w:r>
        <w:rPr>
          <w:b/>
          <w:bCs/>
          <w:sz w:val="49"/>
          <w:szCs w:val="49"/>
        </w:rPr>
        <w:t>Schedule</w:t>
      </w:r>
    </w:p>
    <w:p w14:paraId="56115C18" w14:textId="35093F56" w:rsidR="00A271CD" w:rsidRDefault="006A4981">
      <w:pPr>
        <w:pBdr>
          <w:top w:val="nil"/>
          <w:left w:val="nil"/>
          <w:bottom w:val="nil"/>
          <w:right w:val="nil"/>
          <w:between w:val="nil"/>
        </w:pBdr>
        <w:spacing w:before="249" w:line="291" w:lineRule="auto"/>
        <w:ind w:left="85" w:right="939"/>
        <w:rPr>
          <w:color w:val="000000"/>
          <w:sz w:val="24"/>
          <w:szCs w:val="24"/>
        </w:rPr>
      </w:pPr>
      <w:r>
        <w:t>The following 20-month schedule assumes that the research proposal will be approved by 31 May 2026. The revised timeline therefore begins with post-approval research activities in June 2026 and includes thesis-writing milestones as well as the preparation and submission of journal articles based on the research results.</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5B06DA97" w:rsidR="00A271CD" w:rsidRDefault="006A4981" w:rsidP="00D9046A">
      <w:pPr>
        <w:spacing w:before="1" w:line="300" w:lineRule="auto"/>
        <w:ind w:leftChars="600" w:left="1320" w:rightChars="733" w:right="1613"/>
        <w:jc w:val="center"/>
      </w:pPr>
      <w:r>
        <w:t xml:space="preserve">Table 2: </w:t>
      </w:r>
      <w:r>
        <w:rPr>
          <w:color w:val="000000"/>
          <w:shd w:val="clear" w:color="auto" w:fill="FEEC99"/>
        </w:rPr>
        <w:t>Research Project Schedule</w:t>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a6"/>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4331"/>
        <w:gridCol w:w="2967"/>
      </w:tblGrid>
      <w:tr w:rsidR="00A271CD" w14:paraId="1A7473E7" w14:textId="77777777" w:rsidTr="005A6612">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Period</w:t>
            </w:r>
          </w:p>
        </w:tc>
        <w:tc>
          <w:tcPr>
            <w:tcW w:w="4331"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Activities</w:t>
            </w:r>
          </w:p>
        </w:tc>
        <w:tc>
          <w:tcPr>
            <w:tcW w:w="2967"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Deliverables</w:t>
            </w:r>
          </w:p>
        </w:tc>
      </w:tr>
      <w:tr w:rsidR="00AD703D" w14:paraId="76D5AF3D" w14:textId="77777777" w:rsidTr="005A6612">
        <w:tc>
          <w:tcPr>
            <w:tcW w:w="1948" w:type="dxa"/>
          </w:tcPr>
          <w:p w14:paraId="271C552D" w14:textId="77777777" w:rsidR="00AD703D" w:rsidRDefault="00000000">
            <w:r>
              <w:rPr>
                <w:sz w:val="20"/>
              </w:rPr>
              <w:t>By 31 May 2026</w:t>
            </w:r>
          </w:p>
        </w:tc>
        <w:tc>
          <w:tcPr>
            <w:tcW w:w="4331" w:type="dxa"/>
          </w:tcPr>
          <w:p w14:paraId="25F8804D" w14:textId="77777777" w:rsidR="005A6612" w:rsidRPr="005A6612" w:rsidRDefault="00000000" w:rsidP="005A6612">
            <w:pPr>
              <w:pStyle w:val="af1"/>
              <w:numPr>
                <w:ilvl w:val="0"/>
                <w:numId w:val="45"/>
              </w:numPr>
              <w:ind w:leftChars="0"/>
            </w:pPr>
            <w:r w:rsidRPr="005A6612">
              <w:rPr>
                <w:sz w:val="20"/>
              </w:rPr>
              <w:t>Complete final proposal revisions</w:t>
            </w:r>
          </w:p>
          <w:p w14:paraId="04FC6BB4" w14:textId="26019687" w:rsidR="00AD703D" w:rsidRDefault="00000000" w:rsidP="005A6612">
            <w:pPr>
              <w:pStyle w:val="af1"/>
              <w:numPr>
                <w:ilvl w:val="0"/>
                <w:numId w:val="45"/>
              </w:numPr>
              <w:ind w:leftChars="0"/>
            </w:pPr>
            <w:r w:rsidRPr="005A6612">
              <w:rPr>
                <w:sz w:val="20"/>
              </w:rPr>
              <w:t>Obtain supervisor and departmental approval of the proposal</w:t>
            </w:r>
            <w:r w:rsidRPr="005A6612">
              <w:rPr>
                <w:sz w:val="20"/>
              </w:rPr>
              <w:br/>
              <w:t>Confirm the approved research scope and timeline</w:t>
            </w:r>
          </w:p>
        </w:tc>
        <w:tc>
          <w:tcPr>
            <w:tcW w:w="2967" w:type="dxa"/>
          </w:tcPr>
          <w:p w14:paraId="62BC8F63" w14:textId="77777777" w:rsidR="00AD703D" w:rsidRDefault="00000000">
            <w:r>
              <w:rPr>
                <w:sz w:val="20"/>
              </w:rPr>
              <w:t>Approved research proposal</w:t>
            </w:r>
            <w:r>
              <w:rPr>
                <w:sz w:val="20"/>
              </w:rPr>
              <w:br/>
              <w:t>Confirmed post-approval work plan</w:t>
            </w:r>
          </w:p>
        </w:tc>
      </w:tr>
      <w:tr w:rsidR="00AD703D" w14:paraId="764DA200" w14:textId="77777777" w:rsidTr="005A6612">
        <w:tc>
          <w:tcPr>
            <w:tcW w:w="1948" w:type="dxa"/>
          </w:tcPr>
          <w:p w14:paraId="7EB0B509" w14:textId="77777777" w:rsidR="00AD703D" w:rsidRDefault="00000000">
            <w:r>
              <w:rPr>
                <w:sz w:val="20"/>
              </w:rPr>
              <w:t>June 2026</w:t>
            </w:r>
          </w:p>
        </w:tc>
        <w:tc>
          <w:tcPr>
            <w:tcW w:w="4331" w:type="dxa"/>
          </w:tcPr>
          <w:p w14:paraId="6343FDB6" w14:textId="77777777" w:rsidR="005A6612" w:rsidRPr="005A6612" w:rsidRDefault="00000000" w:rsidP="005A6612">
            <w:pPr>
              <w:pStyle w:val="af1"/>
              <w:numPr>
                <w:ilvl w:val="0"/>
                <w:numId w:val="45"/>
              </w:numPr>
              <w:ind w:leftChars="0"/>
            </w:pPr>
            <w:r w:rsidRPr="005A6612">
              <w:rPr>
                <w:sz w:val="20"/>
              </w:rPr>
              <w:t>Prepare the post-approval research protocol</w:t>
            </w:r>
          </w:p>
          <w:p w14:paraId="1AF681D7" w14:textId="77777777" w:rsidR="005A6612" w:rsidRPr="005A6612" w:rsidRDefault="00000000" w:rsidP="005A6612">
            <w:pPr>
              <w:pStyle w:val="af1"/>
              <w:numPr>
                <w:ilvl w:val="0"/>
                <w:numId w:val="45"/>
              </w:numPr>
              <w:ind w:leftChars="0"/>
            </w:pPr>
            <w:r w:rsidRPr="005A6612">
              <w:rPr>
                <w:sz w:val="20"/>
              </w:rPr>
              <w:t>Finalize data-management and ethics-alignment procedures</w:t>
            </w:r>
          </w:p>
          <w:p w14:paraId="5C1E2077" w14:textId="54389D47" w:rsidR="00AD703D" w:rsidRDefault="00000000" w:rsidP="005A6612">
            <w:pPr>
              <w:pStyle w:val="af1"/>
              <w:numPr>
                <w:ilvl w:val="0"/>
                <w:numId w:val="45"/>
              </w:numPr>
              <w:ind w:leftChars="0"/>
            </w:pPr>
            <w:r w:rsidRPr="005A6612">
              <w:rPr>
                <w:sz w:val="20"/>
              </w:rPr>
              <w:t>Set up the development and analysis environment</w:t>
            </w:r>
          </w:p>
        </w:tc>
        <w:tc>
          <w:tcPr>
            <w:tcW w:w="2967" w:type="dxa"/>
          </w:tcPr>
          <w:p w14:paraId="0AD05B5C" w14:textId="77777777" w:rsidR="00AD703D" w:rsidRDefault="00000000">
            <w:r>
              <w:rPr>
                <w:sz w:val="20"/>
              </w:rPr>
              <w:t>Approved research protocol</w:t>
            </w:r>
            <w:r>
              <w:rPr>
                <w:sz w:val="20"/>
              </w:rPr>
              <w:br/>
              <w:t>Data-management checklist</w:t>
            </w:r>
            <w:r>
              <w:rPr>
                <w:sz w:val="20"/>
              </w:rPr>
              <w:br/>
              <w:t>Configured research environment</w:t>
            </w:r>
          </w:p>
        </w:tc>
      </w:tr>
      <w:tr w:rsidR="00AD703D" w14:paraId="7A4BA736" w14:textId="77777777" w:rsidTr="005A6612">
        <w:tc>
          <w:tcPr>
            <w:tcW w:w="1948" w:type="dxa"/>
          </w:tcPr>
          <w:p w14:paraId="1B4CC214" w14:textId="77777777" w:rsidR="00AD703D" w:rsidRDefault="00000000">
            <w:r>
              <w:rPr>
                <w:sz w:val="20"/>
              </w:rPr>
              <w:t>July-August 2026</w:t>
            </w:r>
          </w:p>
        </w:tc>
        <w:tc>
          <w:tcPr>
            <w:tcW w:w="4331" w:type="dxa"/>
          </w:tcPr>
          <w:p w14:paraId="53D6EBF7" w14:textId="77777777" w:rsidR="005A6612" w:rsidRPr="005A6612" w:rsidRDefault="00000000" w:rsidP="005A6612">
            <w:pPr>
              <w:pStyle w:val="af1"/>
              <w:numPr>
                <w:ilvl w:val="0"/>
                <w:numId w:val="45"/>
              </w:numPr>
              <w:ind w:leftChars="0"/>
            </w:pPr>
            <w:r w:rsidRPr="005A6612">
              <w:rPr>
                <w:sz w:val="20"/>
              </w:rPr>
              <w:t>Develop and test the data-acquisition pipeline</w:t>
            </w:r>
          </w:p>
          <w:p w14:paraId="6ABE3847" w14:textId="18CB8C6D" w:rsidR="00AD703D" w:rsidRDefault="00000000" w:rsidP="005A6612">
            <w:pPr>
              <w:pStyle w:val="af1"/>
              <w:numPr>
                <w:ilvl w:val="0"/>
                <w:numId w:val="45"/>
              </w:numPr>
              <w:ind w:leftChars="0"/>
            </w:pPr>
            <w:r w:rsidRPr="005A6612">
              <w:rPr>
                <w:sz w:val="20"/>
              </w:rPr>
              <w:t>Extract ERC-20 Approve/Permit and Transfer events</w:t>
            </w:r>
            <w:r w:rsidRPr="005A6612">
              <w:rPr>
                <w:sz w:val="20"/>
              </w:rPr>
              <w:br/>
              <w:t>Identify and label Aave liquidation transactions</w:t>
            </w:r>
          </w:p>
        </w:tc>
        <w:tc>
          <w:tcPr>
            <w:tcW w:w="2967" w:type="dxa"/>
          </w:tcPr>
          <w:p w14:paraId="1E81F2C8" w14:textId="77777777" w:rsidR="00AD703D" w:rsidRDefault="00000000">
            <w:r>
              <w:rPr>
                <w:sz w:val="20"/>
              </w:rPr>
              <w:t>ETL scripts</w:t>
            </w:r>
            <w:r>
              <w:rPr>
                <w:sz w:val="20"/>
              </w:rPr>
              <w:br/>
              <w:t>Raw event datasets</w:t>
            </w:r>
            <w:r>
              <w:rPr>
                <w:sz w:val="20"/>
              </w:rPr>
              <w:br/>
              <w:t>Liquidation labels file</w:t>
            </w:r>
          </w:p>
        </w:tc>
      </w:tr>
      <w:tr w:rsidR="00AD703D" w14:paraId="2A7E325F" w14:textId="77777777" w:rsidTr="005A6612">
        <w:tc>
          <w:tcPr>
            <w:tcW w:w="1948" w:type="dxa"/>
          </w:tcPr>
          <w:p w14:paraId="435ACA8A" w14:textId="77777777" w:rsidR="00AD703D" w:rsidRDefault="00000000">
            <w:r>
              <w:rPr>
                <w:sz w:val="20"/>
              </w:rPr>
              <w:t>September-October 2026</w:t>
            </w:r>
          </w:p>
        </w:tc>
        <w:tc>
          <w:tcPr>
            <w:tcW w:w="4331" w:type="dxa"/>
          </w:tcPr>
          <w:p w14:paraId="0D18D6CB" w14:textId="77777777" w:rsidR="00AD703D" w:rsidRDefault="00000000">
            <w:r>
              <w:rPr>
                <w:sz w:val="20"/>
              </w:rPr>
              <w:t>Clean and validate the extracted datasets</w:t>
            </w:r>
            <w:r>
              <w:rPr>
                <w:sz w:val="20"/>
              </w:rPr>
              <w:br/>
              <w:t>Construct wallet-transaction graphs</w:t>
            </w:r>
            <w:r>
              <w:rPr>
                <w:sz w:val="20"/>
              </w:rPr>
              <w:br/>
              <w:t>Engineer allowance, transfer, and liquidation-related features</w:t>
            </w:r>
          </w:p>
        </w:tc>
        <w:tc>
          <w:tcPr>
            <w:tcW w:w="2967" w:type="dxa"/>
          </w:tcPr>
          <w:p w14:paraId="0CF4E83D" w14:textId="77777777" w:rsidR="00AD703D" w:rsidRDefault="00000000">
            <w:r>
              <w:rPr>
                <w:sz w:val="20"/>
              </w:rPr>
              <w:t>Validated analysis dataset</w:t>
            </w:r>
            <w:r>
              <w:rPr>
                <w:sz w:val="20"/>
              </w:rPr>
              <w:br/>
              <w:t>Wallet graph datasets</w:t>
            </w:r>
            <w:r>
              <w:rPr>
                <w:sz w:val="20"/>
              </w:rPr>
              <w:br/>
              <w:t>Feature dictionary</w:t>
            </w:r>
          </w:p>
        </w:tc>
      </w:tr>
      <w:tr w:rsidR="00AD703D" w14:paraId="16F90A06" w14:textId="77777777" w:rsidTr="005A6612">
        <w:tc>
          <w:tcPr>
            <w:tcW w:w="1948" w:type="dxa"/>
          </w:tcPr>
          <w:p w14:paraId="465F218E" w14:textId="77777777" w:rsidR="00AD703D" w:rsidRDefault="00000000">
            <w:r>
              <w:rPr>
                <w:sz w:val="20"/>
              </w:rPr>
              <w:t>November-December 2026</w:t>
            </w:r>
          </w:p>
        </w:tc>
        <w:tc>
          <w:tcPr>
            <w:tcW w:w="4331" w:type="dxa"/>
          </w:tcPr>
          <w:p w14:paraId="4A972385" w14:textId="77777777" w:rsidR="00AD703D" w:rsidRDefault="00000000">
            <w:r>
              <w:rPr>
                <w:sz w:val="20"/>
              </w:rPr>
              <w:t>Implement the AbitoRank reputation-scoring model</w:t>
            </w:r>
            <w:r>
              <w:rPr>
                <w:sz w:val="20"/>
              </w:rPr>
              <w:br/>
              <w:t>Implement AWP and PageRank baselines</w:t>
            </w:r>
            <w:r>
              <w:rPr>
                <w:sz w:val="20"/>
              </w:rPr>
              <w:br/>
              <w:t>Run initial parameter-sensitivity checks</w:t>
            </w:r>
          </w:p>
        </w:tc>
        <w:tc>
          <w:tcPr>
            <w:tcW w:w="2967" w:type="dxa"/>
          </w:tcPr>
          <w:p w14:paraId="233A847A" w14:textId="77777777" w:rsidR="00AD703D" w:rsidRDefault="00000000">
            <w:r>
              <w:rPr>
                <w:sz w:val="20"/>
              </w:rPr>
              <w:t>Model implementation</w:t>
            </w:r>
            <w:r>
              <w:rPr>
                <w:sz w:val="20"/>
              </w:rPr>
              <w:br/>
              <w:t>Baseline implementation</w:t>
            </w:r>
            <w:r>
              <w:rPr>
                <w:sz w:val="20"/>
              </w:rPr>
              <w:br/>
              <w:t>Preliminary scoring outputs</w:t>
            </w:r>
          </w:p>
        </w:tc>
      </w:tr>
      <w:tr w:rsidR="00AD703D" w14:paraId="19747B44" w14:textId="77777777" w:rsidTr="005A6612">
        <w:tc>
          <w:tcPr>
            <w:tcW w:w="1948" w:type="dxa"/>
          </w:tcPr>
          <w:p w14:paraId="6B024984" w14:textId="77777777" w:rsidR="00AD703D" w:rsidRDefault="00000000">
            <w:r>
              <w:rPr>
                <w:sz w:val="20"/>
              </w:rPr>
              <w:t>January-February 2027</w:t>
            </w:r>
          </w:p>
        </w:tc>
        <w:tc>
          <w:tcPr>
            <w:tcW w:w="4331" w:type="dxa"/>
          </w:tcPr>
          <w:p w14:paraId="51CB35C7" w14:textId="77777777" w:rsidR="00AD703D" w:rsidRDefault="00000000">
            <w:r>
              <w:rPr>
                <w:sz w:val="20"/>
              </w:rPr>
              <w:t>Evaluate rank correlation and predictive validity</w:t>
            </w:r>
            <w:r>
              <w:rPr>
                <w:sz w:val="20"/>
              </w:rPr>
              <w:br/>
              <w:t xml:space="preserve">Run logistic regression and random forest </w:t>
            </w:r>
            <w:r>
              <w:rPr>
                <w:sz w:val="20"/>
              </w:rPr>
              <w:lastRenderedPageBreak/>
              <w:t>experiments</w:t>
            </w:r>
            <w:r>
              <w:rPr>
                <w:sz w:val="20"/>
              </w:rPr>
              <w:br/>
              <w:t>Assess computational efficiency and robustness</w:t>
            </w:r>
          </w:p>
        </w:tc>
        <w:tc>
          <w:tcPr>
            <w:tcW w:w="2967" w:type="dxa"/>
          </w:tcPr>
          <w:p w14:paraId="7BDAF1A0" w14:textId="77777777" w:rsidR="00AD703D" w:rsidRDefault="00000000">
            <w:r>
              <w:rPr>
                <w:sz w:val="20"/>
              </w:rPr>
              <w:lastRenderedPageBreak/>
              <w:t>Evaluation results</w:t>
            </w:r>
            <w:r>
              <w:rPr>
                <w:sz w:val="20"/>
              </w:rPr>
              <w:br/>
              <w:t>Risk-prediction results</w:t>
            </w:r>
            <w:r>
              <w:rPr>
                <w:sz w:val="20"/>
              </w:rPr>
              <w:br/>
            </w:r>
            <w:r>
              <w:rPr>
                <w:sz w:val="20"/>
              </w:rPr>
              <w:lastRenderedPageBreak/>
              <w:t>Robustness and efficiency analysis</w:t>
            </w:r>
          </w:p>
        </w:tc>
      </w:tr>
      <w:tr w:rsidR="00AD703D" w14:paraId="1ADAC447" w14:textId="77777777" w:rsidTr="005A6612">
        <w:tc>
          <w:tcPr>
            <w:tcW w:w="1948" w:type="dxa"/>
          </w:tcPr>
          <w:p w14:paraId="24A9A829" w14:textId="77777777" w:rsidR="00AD703D" w:rsidRDefault="00000000">
            <w:r>
              <w:rPr>
                <w:sz w:val="20"/>
              </w:rPr>
              <w:lastRenderedPageBreak/>
              <w:t>March 2027</w:t>
            </w:r>
          </w:p>
        </w:tc>
        <w:tc>
          <w:tcPr>
            <w:tcW w:w="4331" w:type="dxa"/>
          </w:tcPr>
          <w:p w14:paraId="1BA4F92D" w14:textId="77777777" w:rsidR="00AD703D" w:rsidRDefault="00000000">
            <w:r>
              <w:rPr>
                <w:sz w:val="20"/>
              </w:rPr>
              <w:t>Interpret empirical results</w:t>
            </w:r>
            <w:r>
              <w:rPr>
                <w:sz w:val="20"/>
              </w:rPr>
              <w:br/>
              <w:t>Prepare figures, tables, and chapter-level findings</w:t>
            </w:r>
            <w:r>
              <w:rPr>
                <w:sz w:val="20"/>
              </w:rPr>
              <w:br/>
              <w:t>Discuss results against the research objectives</w:t>
            </w:r>
          </w:p>
        </w:tc>
        <w:tc>
          <w:tcPr>
            <w:tcW w:w="2967" w:type="dxa"/>
          </w:tcPr>
          <w:p w14:paraId="22F7E361" w14:textId="77777777" w:rsidR="00AD703D" w:rsidRDefault="00000000">
            <w:r>
              <w:rPr>
                <w:sz w:val="20"/>
              </w:rPr>
              <w:t>Results chapter materials</w:t>
            </w:r>
            <w:r>
              <w:rPr>
                <w:sz w:val="20"/>
              </w:rPr>
              <w:br/>
              <w:t>Updated analysis tables and figures</w:t>
            </w:r>
          </w:p>
        </w:tc>
      </w:tr>
      <w:tr w:rsidR="00AD703D" w14:paraId="3E6994A6" w14:textId="77777777" w:rsidTr="005A6612">
        <w:tc>
          <w:tcPr>
            <w:tcW w:w="1948" w:type="dxa"/>
          </w:tcPr>
          <w:p w14:paraId="55A88892" w14:textId="77777777" w:rsidR="00AD703D" w:rsidRDefault="00000000">
            <w:r>
              <w:rPr>
                <w:sz w:val="20"/>
              </w:rPr>
              <w:t>April 2027</w:t>
            </w:r>
          </w:p>
        </w:tc>
        <w:tc>
          <w:tcPr>
            <w:tcW w:w="4331" w:type="dxa"/>
          </w:tcPr>
          <w:p w14:paraId="3D8C2C65" w14:textId="77777777" w:rsidR="00AD703D" w:rsidRDefault="00000000">
            <w:r>
              <w:rPr>
                <w:sz w:val="20"/>
              </w:rPr>
              <w:t>Draft the first journal article from the model and evaluation results</w:t>
            </w:r>
            <w:r>
              <w:rPr>
                <w:sz w:val="20"/>
              </w:rPr>
              <w:br/>
              <w:t>Align the article with an accredited journal scope</w:t>
            </w:r>
            <w:r>
              <w:rPr>
                <w:sz w:val="20"/>
              </w:rPr>
              <w:br/>
              <w:t>Circulate the draft for supervisor feedback</w:t>
            </w:r>
          </w:p>
        </w:tc>
        <w:tc>
          <w:tcPr>
            <w:tcW w:w="2967" w:type="dxa"/>
          </w:tcPr>
          <w:p w14:paraId="458FF2FC" w14:textId="77777777" w:rsidR="00AD703D" w:rsidRDefault="00000000">
            <w:r>
              <w:rPr>
                <w:sz w:val="20"/>
              </w:rPr>
              <w:t>First journal article draft</w:t>
            </w:r>
            <w:r>
              <w:rPr>
                <w:sz w:val="20"/>
              </w:rPr>
              <w:br/>
              <w:t>Target journal shortlist</w:t>
            </w:r>
            <w:r>
              <w:rPr>
                <w:sz w:val="20"/>
              </w:rPr>
              <w:br/>
              <w:t>Supervisor feedback record</w:t>
            </w:r>
          </w:p>
        </w:tc>
      </w:tr>
      <w:tr w:rsidR="00AD703D" w14:paraId="050F53A8" w14:textId="77777777" w:rsidTr="005A6612">
        <w:tc>
          <w:tcPr>
            <w:tcW w:w="1948" w:type="dxa"/>
          </w:tcPr>
          <w:p w14:paraId="73787BBE" w14:textId="77777777" w:rsidR="00AD703D" w:rsidRDefault="00000000">
            <w:r>
              <w:rPr>
                <w:sz w:val="20"/>
              </w:rPr>
              <w:t>May 2027</w:t>
            </w:r>
          </w:p>
        </w:tc>
        <w:tc>
          <w:tcPr>
            <w:tcW w:w="4331" w:type="dxa"/>
          </w:tcPr>
          <w:p w14:paraId="70302740" w14:textId="77777777" w:rsidR="00AD703D" w:rsidRDefault="00000000">
            <w:r>
              <w:rPr>
                <w:sz w:val="20"/>
              </w:rPr>
              <w:t>Revise and submit the first journal article to an accredited journal</w:t>
            </w:r>
            <w:r>
              <w:rPr>
                <w:sz w:val="20"/>
              </w:rPr>
              <w:br/>
              <w:t>Incorporate article findings into the thesis draft</w:t>
            </w:r>
          </w:p>
        </w:tc>
        <w:tc>
          <w:tcPr>
            <w:tcW w:w="2967" w:type="dxa"/>
          </w:tcPr>
          <w:p w14:paraId="025EAC94" w14:textId="77777777" w:rsidR="00AD703D" w:rsidRDefault="00000000">
            <w:r>
              <w:rPr>
                <w:sz w:val="20"/>
              </w:rPr>
              <w:t>Submitted first journal article</w:t>
            </w:r>
            <w:r>
              <w:rPr>
                <w:sz w:val="20"/>
              </w:rPr>
              <w:br/>
              <w:t>Updated thesis results chapter</w:t>
            </w:r>
          </w:p>
        </w:tc>
      </w:tr>
      <w:tr w:rsidR="00AD703D" w14:paraId="675ECC54" w14:textId="77777777" w:rsidTr="005A6612">
        <w:tc>
          <w:tcPr>
            <w:tcW w:w="1948" w:type="dxa"/>
          </w:tcPr>
          <w:p w14:paraId="3808F5C1" w14:textId="77777777" w:rsidR="00AD703D" w:rsidRDefault="00000000">
            <w:r>
              <w:rPr>
                <w:sz w:val="20"/>
              </w:rPr>
              <w:t>June-July 2027</w:t>
            </w:r>
          </w:p>
        </w:tc>
        <w:tc>
          <w:tcPr>
            <w:tcW w:w="4331" w:type="dxa"/>
          </w:tcPr>
          <w:p w14:paraId="4AC8AD8B" w14:textId="77777777" w:rsidR="00AD703D" w:rsidRDefault="00000000">
            <w:r>
              <w:rPr>
                <w:sz w:val="20"/>
              </w:rPr>
              <w:t>Draft and revise the introduction, literature review, and methodology chapters</w:t>
            </w:r>
            <w:r>
              <w:rPr>
                <w:sz w:val="20"/>
              </w:rPr>
              <w:br/>
              <w:t>Integrate supervisor comments across completed chapters</w:t>
            </w:r>
            <w:r>
              <w:rPr>
                <w:sz w:val="20"/>
              </w:rPr>
              <w:br/>
              <w:t>Check consistency between objectives, methods, and results</w:t>
            </w:r>
          </w:p>
        </w:tc>
        <w:tc>
          <w:tcPr>
            <w:tcW w:w="2967" w:type="dxa"/>
          </w:tcPr>
          <w:p w14:paraId="0FB68025" w14:textId="77777777" w:rsidR="00AD703D" w:rsidRDefault="00000000">
            <w:r>
              <w:rPr>
                <w:sz w:val="20"/>
              </w:rPr>
              <w:t>Revised thesis chapters</w:t>
            </w:r>
            <w:r>
              <w:rPr>
                <w:sz w:val="20"/>
              </w:rPr>
              <w:br/>
              <w:t>Integrated supervisor feedback</w:t>
            </w:r>
          </w:p>
        </w:tc>
      </w:tr>
      <w:tr w:rsidR="00AD703D" w14:paraId="20D5509B" w14:textId="77777777" w:rsidTr="005A6612">
        <w:tc>
          <w:tcPr>
            <w:tcW w:w="1948" w:type="dxa"/>
          </w:tcPr>
          <w:p w14:paraId="3AD197E5" w14:textId="77777777" w:rsidR="00AD703D" w:rsidRDefault="00000000">
            <w:r>
              <w:rPr>
                <w:sz w:val="20"/>
              </w:rPr>
              <w:t>August 2027</w:t>
            </w:r>
          </w:p>
        </w:tc>
        <w:tc>
          <w:tcPr>
            <w:tcW w:w="4331" w:type="dxa"/>
          </w:tcPr>
          <w:p w14:paraId="15BCFCD1" w14:textId="77777777" w:rsidR="00AD703D" w:rsidRDefault="00000000">
            <w:r>
              <w:rPr>
                <w:sz w:val="20"/>
              </w:rPr>
              <w:t>Draft the second publication from the DeFi reputation and risk-scoring findings</w:t>
            </w:r>
            <w:r>
              <w:rPr>
                <w:sz w:val="20"/>
              </w:rPr>
              <w:br/>
              <w:t>Position the contribution against related work</w:t>
            </w:r>
            <w:r>
              <w:rPr>
                <w:sz w:val="20"/>
              </w:rPr>
              <w:br/>
              <w:t>Prepare publication tables and supporting evidence</w:t>
            </w:r>
          </w:p>
        </w:tc>
        <w:tc>
          <w:tcPr>
            <w:tcW w:w="2967" w:type="dxa"/>
          </w:tcPr>
          <w:p w14:paraId="0E3BA27D" w14:textId="77777777" w:rsidR="00AD703D" w:rsidRDefault="00000000">
            <w:r>
              <w:rPr>
                <w:sz w:val="20"/>
              </w:rPr>
              <w:t>Second publication draft</w:t>
            </w:r>
            <w:r>
              <w:rPr>
                <w:sz w:val="20"/>
              </w:rPr>
              <w:br/>
              <w:t>Publication-ready tables and evidence</w:t>
            </w:r>
          </w:p>
        </w:tc>
      </w:tr>
      <w:tr w:rsidR="00AD703D" w14:paraId="3F5ECC07" w14:textId="77777777" w:rsidTr="005A6612">
        <w:tc>
          <w:tcPr>
            <w:tcW w:w="1948" w:type="dxa"/>
          </w:tcPr>
          <w:p w14:paraId="328210D1" w14:textId="77777777" w:rsidR="00AD703D" w:rsidRDefault="00000000">
            <w:r>
              <w:rPr>
                <w:sz w:val="20"/>
              </w:rPr>
              <w:t>September 2027</w:t>
            </w:r>
          </w:p>
        </w:tc>
        <w:tc>
          <w:tcPr>
            <w:tcW w:w="4331" w:type="dxa"/>
          </w:tcPr>
          <w:p w14:paraId="42CBF8D8" w14:textId="77777777" w:rsidR="00AD703D" w:rsidRDefault="00000000">
            <w:r>
              <w:rPr>
                <w:sz w:val="20"/>
              </w:rPr>
              <w:t>Revise and submit the second article to an accredited journal</w:t>
            </w:r>
            <w:r>
              <w:rPr>
                <w:sz w:val="20"/>
              </w:rPr>
              <w:br/>
              <w:t>Update the thesis discussion with publication feedback where applicable</w:t>
            </w:r>
          </w:p>
        </w:tc>
        <w:tc>
          <w:tcPr>
            <w:tcW w:w="2967" w:type="dxa"/>
          </w:tcPr>
          <w:p w14:paraId="261644EC" w14:textId="77777777" w:rsidR="00AD703D" w:rsidRDefault="00000000">
            <w:r>
              <w:rPr>
                <w:sz w:val="20"/>
              </w:rPr>
              <w:t>Submitted second journal article</w:t>
            </w:r>
            <w:r>
              <w:rPr>
                <w:sz w:val="20"/>
              </w:rPr>
              <w:br/>
              <w:t>Updated discussion chapter</w:t>
            </w:r>
          </w:p>
        </w:tc>
      </w:tr>
      <w:tr w:rsidR="00AD703D" w14:paraId="2AF89870" w14:textId="77777777" w:rsidTr="005A6612">
        <w:tc>
          <w:tcPr>
            <w:tcW w:w="1948" w:type="dxa"/>
          </w:tcPr>
          <w:p w14:paraId="32C60E86" w14:textId="77777777" w:rsidR="00AD703D" w:rsidRDefault="00000000">
            <w:r>
              <w:rPr>
                <w:sz w:val="20"/>
              </w:rPr>
              <w:t>October 2027</w:t>
            </w:r>
          </w:p>
        </w:tc>
        <w:tc>
          <w:tcPr>
            <w:tcW w:w="4331" w:type="dxa"/>
          </w:tcPr>
          <w:p w14:paraId="7327E652" w14:textId="77777777" w:rsidR="00AD703D" w:rsidRDefault="00000000">
            <w:r>
              <w:rPr>
                <w:sz w:val="20"/>
              </w:rPr>
              <w:t>Complete the full thesis draft</w:t>
            </w:r>
            <w:r>
              <w:rPr>
                <w:sz w:val="20"/>
              </w:rPr>
              <w:br/>
              <w:t>Finalize conclusions, limitations, and future-work sections</w:t>
            </w:r>
            <w:r>
              <w:rPr>
                <w:sz w:val="20"/>
              </w:rPr>
              <w:br/>
              <w:t>Conduct internal consistency and reference checks</w:t>
            </w:r>
          </w:p>
        </w:tc>
        <w:tc>
          <w:tcPr>
            <w:tcW w:w="2967" w:type="dxa"/>
          </w:tcPr>
          <w:p w14:paraId="5CBBC81B" w14:textId="77777777" w:rsidR="00AD703D" w:rsidRDefault="00000000">
            <w:r>
              <w:rPr>
                <w:sz w:val="20"/>
              </w:rPr>
              <w:t>Complete thesis draft</w:t>
            </w:r>
            <w:r>
              <w:rPr>
                <w:sz w:val="20"/>
              </w:rPr>
              <w:br/>
              <w:t>Checked references and cross-references</w:t>
            </w:r>
          </w:p>
        </w:tc>
      </w:tr>
      <w:tr w:rsidR="00AD703D" w14:paraId="0876E25C" w14:textId="77777777" w:rsidTr="005A6612">
        <w:tc>
          <w:tcPr>
            <w:tcW w:w="1948" w:type="dxa"/>
          </w:tcPr>
          <w:p w14:paraId="1DFCD85B" w14:textId="77777777" w:rsidR="00AD703D" w:rsidRDefault="00000000">
            <w:r>
              <w:rPr>
                <w:sz w:val="20"/>
              </w:rPr>
              <w:t>November-December 2027</w:t>
            </w:r>
          </w:p>
        </w:tc>
        <w:tc>
          <w:tcPr>
            <w:tcW w:w="4331" w:type="dxa"/>
          </w:tcPr>
          <w:p w14:paraId="0804E278" w14:textId="77777777" w:rsidR="00AD703D" w:rsidRDefault="00000000">
            <w:r>
              <w:rPr>
                <w:sz w:val="20"/>
              </w:rPr>
              <w:t>Revise the full thesis based on supervisor feedback</w:t>
            </w:r>
            <w:r>
              <w:rPr>
                <w:sz w:val="20"/>
              </w:rPr>
              <w:br/>
              <w:t>Edit formatting, language, tables, and figures</w:t>
            </w:r>
            <w:r>
              <w:rPr>
                <w:sz w:val="20"/>
              </w:rPr>
              <w:br/>
              <w:t>Prepare submission documentation</w:t>
            </w:r>
          </w:p>
        </w:tc>
        <w:tc>
          <w:tcPr>
            <w:tcW w:w="2967" w:type="dxa"/>
          </w:tcPr>
          <w:p w14:paraId="3E70CD0B" w14:textId="77777777" w:rsidR="00AD703D" w:rsidRDefault="00000000">
            <w:r>
              <w:rPr>
                <w:sz w:val="20"/>
              </w:rPr>
              <w:t>Final revised thesis</w:t>
            </w:r>
            <w:r>
              <w:rPr>
                <w:sz w:val="20"/>
              </w:rPr>
              <w:br/>
              <w:t>Submission-ready document</w:t>
            </w:r>
            <w:r>
              <w:rPr>
                <w:sz w:val="20"/>
              </w:rPr>
              <w:br/>
              <w:t>Completed administrative documents</w:t>
            </w:r>
          </w:p>
        </w:tc>
      </w:tr>
      <w:tr w:rsidR="00AD703D" w14:paraId="38D72CB6" w14:textId="77777777" w:rsidTr="005A6612">
        <w:tc>
          <w:tcPr>
            <w:tcW w:w="1948" w:type="dxa"/>
          </w:tcPr>
          <w:p w14:paraId="53D6A236" w14:textId="77777777" w:rsidR="00AD703D" w:rsidRDefault="00000000">
            <w:r>
              <w:rPr>
                <w:sz w:val="20"/>
              </w:rPr>
              <w:t>January 2028</w:t>
            </w:r>
          </w:p>
        </w:tc>
        <w:tc>
          <w:tcPr>
            <w:tcW w:w="4331" w:type="dxa"/>
          </w:tcPr>
          <w:p w14:paraId="6C19D3B2" w14:textId="77777777" w:rsidR="00AD703D" w:rsidRDefault="00000000">
            <w:r>
              <w:rPr>
                <w:sz w:val="20"/>
              </w:rPr>
              <w:t>Obtain final supervisor sign-off</w:t>
            </w:r>
            <w:r>
              <w:rPr>
                <w:sz w:val="20"/>
              </w:rPr>
              <w:br/>
              <w:t>Submit the thesis for examination</w:t>
            </w:r>
            <w:r>
              <w:rPr>
                <w:sz w:val="20"/>
              </w:rPr>
              <w:br/>
              <w:t>Track journal-review outcomes and respond to editorial queries if required</w:t>
            </w:r>
          </w:p>
        </w:tc>
        <w:tc>
          <w:tcPr>
            <w:tcW w:w="2967" w:type="dxa"/>
          </w:tcPr>
          <w:p w14:paraId="35DB4AF3" w14:textId="77777777" w:rsidR="00AD703D" w:rsidRDefault="00000000">
            <w:r>
              <w:rPr>
                <w:sz w:val="20"/>
              </w:rPr>
              <w:t>Submitted thesis</w:t>
            </w:r>
            <w:r>
              <w:rPr>
                <w:sz w:val="20"/>
              </w:rPr>
              <w:br/>
              <w:t>Supervisor sign-off</w:t>
            </w:r>
            <w:r>
              <w:rPr>
                <w:sz w:val="20"/>
              </w:rPr>
              <w:br/>
              <w:t>Journal response plan</w:t>
            </w:r>
          </w:p>
        </w:tc>
      </w:tr>
    </w:tbl>
    <w:p w14:paraId="4CB020FD" w14:textId="4D476FA0" w:rsidR="00A271CD" w:rsidRDefault="00A271CD">
      <w:pPr>
        <w:pBdr>
          <w:top w:val="nil"/>
          <w:left w:val="nil"/>
          <w:bottom w:val="nil"/>
          <w:right w:val="nil"/>
          <w:between w:val="nil"/>
        </w:pBdr>
        <w:rPr>
          <w:color w:val="000000"/>
        </w:rPr>
      </w:pPr>
    </w:p>
    <w:p w14:paraId="39569B4E" w14:textId="77777777" w:rsidR="00A00C1C" w:rsidRDefault="00A00C1C">
      <w:pPr>
        <w:pBdr>
          <w:top w:val="nil"/>
          <w:left w:val="nil"/>
          <w:bottom w:val="nil"/>
          <w:right w:val="nil"/>
          <w:between w:val="nil"/>
        </w:pBdr>
        <w:rPr>
          <w:color w:val="000000"/>
        </w:rPr>
      </w:pPr>
    </w:p>
    <w:p w14:paraId="1B6C7E5F" w14:textId="77777777" w:rsidR="00794849" w:rsidRDefault="00794849">
      <w:pPr>
        <w:pBdr>
          <w:top w:val="nil"/>
          <w:left w:val="nil"/>
          <w:bottom w:val="nil"/>
          <w:right w:val="nil"/>
          <w:between w:val="nil"/>
        </w:pBdr>
        <w:rPr>
          <w:color w:val="000000"/>
        </w:rPr>
      </w:pPr>
    </w:p>
    <w:p w14:paraId="3AE763E5" w14:textId="77777777" w:rsidR="00A00C1C" w:rsidRDefault="00A00C1C">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3C283DCA" w14:textId="77777777" w:rsidR="00B574BB" w:rsidRDefault="00000000">
      <w:pPr>
        <w:pStyle w:val="1"/>
      </w:pPr>
      <w:commentRangeStart w:id="11"/>
      <w:r>
        <w:t>Dissertation/Thesis Outline</w:t>
      </w:r>
      <w:commentRangeEnd w:id="11"/>
      <w:r>
        <w:rPr>
          <w:rStyle w:val="CommentReference"/>
        </w:rPr>
        <w:commentReference w:id="11"/>
      </w:r>
    </w:p>
    <w:p w14:paraId="6ED74FB6" w14:textId="77777777" w:rsidR="00B574BB" w:rsidRDefault="00000000">
      <w:pPr>
        <w:spacing w:before="120" w:line="276" w:lineRule="auto"/>
        <w:jc w:val="both"/>
      </w:pPr>
      <w:r>
        <w:lastRenderedPageBreak/>
        <w:t>Chapter 1: Introduction and research problem. This chapter will refine the proposal into the thesis introduction by presenting the DeFi lending context, the on-chain wallet reputation problem, the research questions, objectives, scope, significance, and limitations.</w:t>
      </w:r>
    </w:p>
    <w:p w14:paraId="5519F772" w14:textId="77777777" w:rsidR="00B574BB" w:rsidRDefault="00000000">
      <w:pPr>
        <w:spacing w:before="120" w:line="276" w:lineRule="auto"/>
        <w:jc w:val="both"/>
      </w:pPr>
      <w:r>
        <w:t>Chapter 2: Literature review and theoretical framework. This chapter will expand the proposal literature review into a comprehensive analysis of graph-based reputation scoring, DeFi credit-risk prediction, ERC-20 allowance semantics, PageRank variants, and the theoretical foundations for reputation structure, predictive validity, and computational efficiency.</w:t>
      </w:r>
    </w:p>
    <w:p w14:paraId="6036B3D8" w14:textId="77777777" w:rsidR="00B574BB" w:rsidRDefault="00000000">
      <w:pPr>
        <w:spacing w:before="120" w:line="276" w:lineRule="auto"/>
        <w:jc w:val="both"/>
      </w:pPr>
      <w:r>
        <w:t>Chapter 3: Research methodology. This chapter will specify the philosophical position, research design, data sources, sampling logic, feature engineering, graph-construction procedures, baseline reproduction, statistical tests, robustness checks, ethics clearance, and reproducibility controls.</w:t>
      </w:r>
    </w:p>
    <w:p w14:paraId="2D9E40BC" w14:textId="77777777" w:rsidR="00B574BB" w:rsidRDefault="00000000">
      <w:pPr>
        <w:spacing w:before="120" w:line="276" w:lineRule="auto"/>
        <w:jc w:val="both"/>
      </w:pPr>
      <w:r>
        <w:t>Chapter 4: Implementation and empirical results. This chapter will report the data pipeline, AbitoRank implementation, baseline implementations, dataset characteristics, graph statistics, predictive-model results, rank-divergence findings, and computational benchmark outcomes.</w:t>
      </w:r>
    </w:p>
    <w:p w14:paraId="2B2628EA" w14:textId="77777777" w:rsidR="00B574BB" w:rsidRDefault="00000000">
      <w:pPr>
        <w:spacing w:before="120" w:line="276" w:lineRule="auto"/>
        <w:jc w:val="both"/>
      </w:pPr>
      <w:r>
        <w:t>Chapter 5: Discussion. This chapter will interpret the findings against each research question and objective, explain the theoretical and practical implications for DeFi risk assessment, evaluate threats to validity, and discuss how the results support or limit the claimed contribution.</w:t>
      </w:r>
    </w:p>
    <w:p w14:paraId="71FC70D2" w14:textId="77777777" w:rsidR="00B574BB" w:rsidRDefault="00000000">
      <w:pPr>
        <w:spacing w:before="120" w:line="276" w:lineRule="auto"/>
        <w:jc w:val="both"/>
      </w:pPr>
      <w:r>
        <w:t>Chapter 6: Conclusion and future work. This chapter will synthesize the study, state the original contribution to knowledge, revisit the research questions, summarize limitations, and propose future work on cross-protocol validation, adversarial manipulation, and broader on-chain trust signals.</w:t>
      </w:r>
    </w:p>
    <w:p w14:paraId="24D426BD" w14:textId="77777777" w:rsidR="00A271CD" w:rsidRPr="00A00C1C" w:rsidRDefault="006A4981">
      <w:pPr>
        <w:spacing w:line="458" w:lineRule="auto"/>
        <w:ind w:left="85" w:right="4704"/>
        <w:rPr>
          <w:b/>
          <w:bCs/>
          <w:sz w:val="49"/>
          <w:szCs w:val="49"/>
        </w:rPr>
      </w:pPr>
      <w:bookmarkStart w:id="92" w:name="128886w1h0ks" w:colFirst="0" w:colLast="0"/>
      <w:bookmarkStart w:id="93" w:name="_bdktksm8ib1l" w:colFirst="0" w:colLast="0"/>
      <w:bookmarkEnd w:id="92"/>
      <w:bookmarkEnd w:id="93"/>
      <w:commentRangeStart w:id="12"/>
      <w:r>
        <w:rPr>
          <w:b/>
          <w:bCs/>
        </w:rPr>
        <w:t>References</w:t>
      </w:r>
      <w:commentRangeEnd w:id="12"/>
      <w:r>
        <w:rPr>
          <w:rStyle w:val="CommentReference"/>
        </w:rPr>
        <w:commentReference w:id="12"/>
      </w:r>
    </w:p>
    <w:p w14:paraId="7C8123FE" w14:textId="77777777" w:rsidR="00B574BB" w:rsidRDefault="00000000">
      <w:pPr>
        <w:spacing w:before="120" w:line="276" w:lineRule="auto"/>
        <w:jc w:val="both"/>
      </w:pPr>
      <w:r>
        <w:t>3Jane Protocol. (n.d.). Jane Score documentation.</w:t>
      </w:r>
    </w:p>
    <w:p w14:paraId="014EC349" w14:textId="77777777" w:rsidR="00B574BB" w:rsidRDefault="00000000">
      <w:pPr>
        <w:spacing w:before="120" w:line="276" w:lineRule="auto"/>
        <w:jc w:val="both"/>
      </w:pPr>
      <w:r>
        <w:t>Blockchain Bureau. (n.d.). Providence score documentation.</w:t>
      </w:r>
    </w:p>
    <w:p w14:paraId="45A66C4F" w14:textId="77777777" w:rsidR="00B574BB" w:rsidRDefault="00000000">
      <w:pPr>
        <w:spacing w:before="120" w:line="276" w:lineRule="auto"/>
        <w:jc w:val="both"/>
      </w:pPr>
      <w:r>
        <w:t>Cred Protocol. (n.d.). Cred Score documentation.</w:t>
      </w:r>
    </w:p>
    <w:p w14:paraId="1C95F3A9" w14:textId="77777777" w:rsidR="00B574BB" w:rsidRDefault="00000000">
      <w:pPr>
        <w:spacing w:before="120" w:line="276" w:lineRule="auto"/>
        <w:jc w:val="both"/>
      </w:pPr>
      <w:r>
        <w:t>Do, H. D., et al. (2023). PageRank and HodgeRank on Ethereum transactions: A measure for social credit. International Journal of Software Innovation, 11(1).</w:t>
      </w:r>
    </w:p>
    <w:p w14:paraId="3FB15AFC" w14:textId="77777777" w:rsidR="00B574BB" w:rsidRDefault="00000000">
      <w:pPr>
        <w:spacing w:before="120" w:line="276" w:lineRule="auto"/>
        <w:jc w:val="both"/>
      </w:pPr>
      <w:r>
        <w:t>Ethereum Improvement Proposals. (2015). ERC-20 token standard (EIP-20). https://eips.ethereum.org/EIPS/eip-20</w:t>
      </w:r>
    </w:p>
    <w:p w14:paraId="11FC3F0E" w14:textId="77777777" w:rsidR="00B574BB" w:rsidRDefault="00000000">
      <w:pPr>
        <w:spacing w:before="120" w:line="276" w:lineRule="auto"/>
        <w:jc w:val="both"/>
      </w:pPr>
      <w:r>
        <w:t>Ethereum Improvement Proposals. (2020). ERC-20 permit extension (EIP-2612). https://eips.ethereum.org/EIPS/eip-2612</w:t>
      </w:r>
    </w:p>
    <w:p w14:paraId="150BB6D5" w14:textId="77777777" w:rsidR="00B574BB" w:rsidRDefault="00000000">
      <w:pPr>
        <w:spacing w:before="120" w:line="276" w:lineRule="auto"/>
        <w:jc w:val="both"/>
      </w:pPr>
      <w:r>
        <w:t>Ghosh, R., et al. (2024). On-chain credit risk score in decentralized finance. arXiv. https://arxiv.org/abs/2412.00710</w:t>
      </w:r>
    </w:p>
    <w:p w14:paraId="7D71CC70" w14:textId="77777777" w:rsidR="00B574BB" w:rsidRDefault="00000000">
      <w:pPr>
        <w:spacing w:before="120" w:line="276" w:lineRule="auto"/>
        <w:jc w:val="both"/>
      </w:pPr>
      <w:r>
        <w:t>Hassija, V., et al. (2020). Secure lending: Blockchain and prospect theory-based decentralized credit scoring model. IEEE Transactions on Network Science and Engineering, 7(4).</w:t>
      </w:r>
    </w:p>
    <w:p w14:paraId="11BCD455" w14:textId="77777777" w:rsidR="00B574BB" w:rsidRDefault="00000000">
      <w:pPr>
        <w:spacing w:before="120" w:line="276" w:lineRule="auto"/>
        <w:jc w:val="both"/>
      </w:pPr>
      <w:r>
        <w:t>Imig, S. (2023). Trustworthiness and PageRank on the Ethereum blockchain. SSRN.</w:t>
      </w:r>
    </w:p>
    <w:p w14:paraId="142A8D3C" w14:textId="77777777" w:rsidR="00B574BB" w:rsidRDefault="00000000">
      <w:pPr>
        <w:spacing w:before="120" w:line="276" w:lineRule="auto"/>
        <w:jc w:val="both"/>
      </w:pPr>
      <w:r>
        <w:t xml:space="preserve">Jain, D., et al. (2019). Bit-Score: A blockchain-based distributed network for secure credit scoring. In </w:t>
      </w:r>
      <w:r>
        <w:lastRenderedPageBreak/>
        <w:t>Proceedings of ICCCA.</w:t>
      </w:r>
    </w:p>
    <w:p w14:paraId="3F78EDCB" w14:textId="77777777" w:rsidR="00B574BB" w:rsidRDefault="00000000">
      <w:pPr>
        <w:spacing w:before="120" w:line="276" w:lineRule="auto"/>
        <w:jc w:val="both"/>
      </w:pPr>
      <w:r>
        <w:t>Page, L., Brin, S., Motwani, R., &amp; Winograd, T. (1998). The PageRank citation ranking: Bringing order to the web. Stanford Digital Library Technologies Project.</w:t>
      </w:r>
    </w:p>
    <w:p w14:paraId="1D476B07" w14:textId="77777777" w:rsidR="00B574BB" w:rsidRDefault="00000000">
      <w:pPr>
        <w:spacing w:before="120" w:line="276" w:lineRule="auto"/>
        <w:jc w:val="both"/>
      </w:pPr>
      <w:r>
        <w:t>Wolf, W., et al. (2022). Scoring Aave accounts for creditworthiness. arXiv. https://arxiv.org/abs/2207.07008</w:t>
      </w:r>
    </w:p>
    <w:p w14:paraId="57E19CB2" w14:textId="77777777" w:rsidR="00B574BB" w:rsidRDefault="00000000">
      <w:pPr>
        <w:spacing w:before="120" w:line="276" w:lineRule="auto"/>
        <w:jc w:val="both"/>
      </w:pPr>
      <w:r>
        <w:t>Yang, F., et al. (2024). RiskProp: Account risk rating on Ethereum via de-anonymous score and network propagation. IEEE Transactions on Dependable and Secure Computing.</w:t>
      </w:r>
    </w:p>
    <w:p w14:paraId="27DEC1F0" w14:textId="77777777" w:rsidR="00A271CD" w:rsidRDefault="006A4981">
      <w:pPr>
        <w:spacing w:line="458" w:lineRule="auto"/>
        <w:ind w:left="85" w:right="4704"/>
        <w:rPr>
          <w:b/>
          <w:bCs/>
          <w:sz w:val="49"/>
          <w:szCs w:val="49"/>
        </w:rPr>
      </w:pPr>
      <w:bookmarkStart w:id="94" w:name="xt1nul60gvtd" w:colFirst="0" w:colLast="0"/>
      <w:bookmarkStart w:id="95" w:name="_782blh2d41sb" w:colFirst="0" w:colLast="0"/>
      <w:bookmarkEnd w:id="94"/>
      <w:bookmarkEnd w:id="95"/>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http://schemas.openxmlformats.org/wordprocessingml/2006/main">
  <w:comment w:id="0" w:author="Cursor" w:initials="AI" w:date="2026-06-04T10:46:54+00:00">
    <w:p>
      <w:pPr>
        <w:pStyle w:val="CommentText"/>
      </w:pPr>
      <w:r>
        <w:rPr>
          <w:rStyle w:val="CommentReference"/>
        </w:rPr>
        <w:annotationRef/>
      </w:r>
      <w:r>
        <w:rPr>
          <w:rStyle w:val="CommentText"/>
        </w:rPr>
        <w:t>오탈자를 수정했습니다: 학위명은 DOCTOR OF PHILOSOPHY가 맞습니다.</w:t>
      </w:r>
    </w:p>
  </w:comment>
  <w:comment w:id="1" w:author="Cursor" w:initials="AI" w:date="2026-06-04T10:46:54+00:00">
    <w:p>
      <w:pPr>
        <w:pStyle w:val="CommentText"/>
      </w:pPr>
      <w:r>
        <w:rPr>
          <w:rStyle w:val="CommentReference"/>
        </w:rPr>
        <w:annotationRef/>
      </w:r>
      <w:r>
        <w:rPr>
          <w:rStyle w:val="CommentText"/>
        </w:rPr>
        <w:t>가이드라인의 SPICE 요구사항을 충족하도록 연구 질문의 Setting, Perspective, Intervention, Comparison, Evaluation을 명시했습니다.</w:t>
      </w:r>
    </w:p>
  </w:comment>
  <w:comment w:id="2" w:author="Cursor" w:initials="AI" w:date="2026-06-04T10:46:54+00:00">
    <w:p>
      <w:pPr>
        <w:pStyle w:val="CommentText"/>
      </w:pPr>
      <w:r>
        <w:rPr>
          <w:rStyle w:val="CommentReference"/>
        </w:rPr>
        <w:annotationRef/>
      </w:r>
      <w:r>
        <w:rPr>
          <w:rStyle w:val="CommentText"/>
        </w:rPr>
        <w:t>목표가 SMART 기준에 맞는지 심사자가 바로 확인할 수 있도록 구체성, 측정 가능성, 실행 가능성, 현실성, 시간성을 연결했습니다.</w:t>
      </w:r>
    </w:p>
  </w:comment>
  <w:comment w:id="3" w:author="Cursor" w:initials="AI" w:date="2026-06-04T10:46:54+00:00">
    <w:p>
      <w:pPr>
        <w:pStyle w:val="CommentText"/>
      </w:pPr>
      <w:r>
        <w:rPr>
          <w:rStyle w:val="CommentReference"/>
        </w:rPr>
        <w:annotationRef/>
      </w:r>
      <w:r>
        <w:rPr>
          <w:rStyle w:val="CommentText"/>
        </w:rPr>
        <w:t>EIP-2612 permit은 별도 표준 이벤트가 아니라 최종적으로 Approval 이벤트를 발생시키는 흐름일 수 있으므로, 데이터 추출 표현을 더 정확하게 조정했습니다.</w:t>
      </w:r>
    </w:p>
  </w:comment>
  <w:comment w:id="4" w:author="Cursor" w:initials="AI" w:date="2026-06-04T10:46:54+00:00">
    <w:p>
      <w:pPr>
        <w:pStyle w:val="CommentText"/>
      </w:pPr>
      <w:r>
        <w:rPr>
          <w:rStyle w:val="CommentReference"/>
        </w:rPr>
        <w:annotationRef/>
      </w:r>
      <w:r>
        <w:rPr>
          <w:rStyle w:val="CommentText"/>
        </w:rPr>
        <w:t>default label을 Aave V3 liquidation으로 운용하되, feature window 이후의 outcome으로 분리해 look-ahead bias를 줄이도록 보강했습니다.</w:t>
      </w:r>
    </w:p>
  </w:comment>
  <w:comment w:id="5" w:author="Cursor" w:initials="AI" w:date="2026-06-04T10:46:54+00:00">
    <w:p>
      <w:pPr>
        <w:pStyle w:val="CommentText"/>
      </w:pPr>
      <w:r>
        <w:rPr>
          <w:rStyle w:val="CommentReference"/>
        </w:rPr>
        <w:annotationRef/>
      </w:r>
      <w:r>
        <w:rPr>
          <w:rStyle w:val="CommentText"/>
        </w:rPr>
        <w:t>표본 기준과 benchmark sample의 재현 가능성을 명시했습니다. 50k/100k/200k 비교도 scalability robustness check와 연결됩니다.</w:t>
      </w:r>
    </w:p>
  </w:comment>
  <w:comment w:id="6" w:author="Cursor" w:initials="AI" w:date="2026-06-04T10:46:54+00:00">
    <w:p>
      <w:pPr>
        <w:pStyle w:val="CommentText"/>
      </w:pPr>
      <w:r>
        <w:rPr>
          <w:rStyle w:val="CommentReference"/>
        </w:rPr>
        <w:annotationRef/>
      </w:r>
      <w:r>
        <w:rPr>
          <w:rStyle w:val="CommentText"/>
        </w:rPr>
        <w:t>토큰 decimals와 경제적 스케일 차이가 allowance weight를 왜곡할 수 있어 normalization 및 sensitivity check 계획을 추가했습니다.</w:t>
      </w:r>
    </w:p>
  </w:comment>
  <w:comment w:id="7" w:author="Cursor" w:initials="AI" w:date="2026-06-04T10:46:54+00:00">
    <w:p>
      <w:pPr>
        <w:pStyle w:val="CommentText"/>
      </w:pPr>
      <w:r>
        <w:rPr>
          <w:rStyle w:val="CommentReference"/>
        </w:rPr>
        <w:annotationRef/>
      </w:r>
      <w:r>
        <w:rPr>
          <w:rStyle w:val="CommentText"/>
        </w:rPr>
        <w:t>삽입 이미지 수식을 확인한 뒤, 전이확률 정규화식의 의미를 텍스트로도 설명해 가독성과 접근성을 높였습니다.</w:t>
      </w:r>
    </w:p>
  </w:comment>
  <w:comment w:id="8" w:author="Cursor" w:initials="AI" w:date="2026-06-04T10:46:54+00:00">
    <w:p>
      <w:pPr>
        <w:pStyle w:val="CommentText"/>
      </w:pPr>
      <w:r>
        <w:rPr>
          <w:rStyle w:val="CommentReference"/>
        </w:rPr>
        <w:annotationRef/>
      </w:r>
      <w:r>
        <w:rPr>
          <w:rStyle w:val="CommentText"/>
        </w:rPr>
        <w:t>예측 성능 평가가 미래 정보를 사용하지 않도록 temporal validation과 outcome window 분리를 추가했습니다.</w:t>
      </w:r>
    </w:p>
  </w:comment>
  <w:comment w:id="9" w:author="Cursor" w:initials="AI" w:date="2026-06-04T10:46:54+00:00">
    <w:p>
      <w:pPr>
        <w:pStyle w:val="CommentText"/>
      </w:pPr>
      <w:r>
        <w:rPr>
          <w:rStyle w:val="CommentReference"/>
        </w:rPr>
        <w:annotationRef/>
      </w:r>
      <w:r>
        <w:rPr>
          <w:rStyle w:val="CommentText"/>
        </w:rPr>
        <w:t>가이드라인에서 요구한 기관/대학 윤리 승인 절차를 구체화했습니다. 공개 블록체인 데이터라도 UNISA ethics clearance 또는 exemption 확인이 필요합니다.</w:t>
      </w:r>
    </w:p>
  </w:comment>
  <w:comment w:id="10" w:author="Cursor" w:initials="AI" w:date="2026-06-04T10:46:54+00:00">
    <w:p>
      <w:pPr>
        <w:pStyle w:val="CommentText"/>
      </w:pPr>
      <w:r>
        <w:rPr>
          <w:rStyle w:val="CommentReference"/>
        </w:rPr>
        <w:annotationRef/>
      </w:r>
      <w:r>
        <w:rPr>
          <w:rStyle w:val="CommentText"/>
        </w:rPr>
        <w:t>PhD proposal 평가기준에 맞춰 독창적 학술 기여를 명시적으로 표현했습니다.</w:t>
      </w:r>
    </w:p>
  </w:comment>
  <w:comment w:id="11" w:author="Cursor" w:initials="AI" w:date="2026-06-04T10:46:54+00:00">
    <w:p>
      <w:pPr>
        <w:pStyle w:val="CommentText"/>
      </w:pPr>
      <w:r>
        <w:rPr>
          <w:rStyle w:val="CommentReference"/>
        </w:rPr>
        <w:annotationRef/>
      </w:r>
      <w:r>
        <w:rPr>
          <w:rStyle w:val="CommentText"/>
        </w:rPr>
        <w:t>가이드라인이 요구하는 dissertation/thesis blueprint를 추가했습니다. 이어지는 Chapter 1-6 개요가 최종 논문 구조를 설명합니다.</w:t>
      </w:r>
    </w:p>
  </w:comment>
  <w:comment w:id="12" w:author="Cursor" w:initials="AI" w:date="2026-06-04T10:46:54+00:00">
    <w:p>
      <w:pPr>
        <w:pStyle w:val="CommentText"/>
      </w:pPr>
      <w:r>
        <w:rPr>
          <w:rStyle w:val="CommentReference"/>
        </w:rPr>
        <w:annotationRef/>
      </w:r>
      <w:r>
        <w:rPr>
          <w:rStyle w:val="CommentText"/>
        </w:rPr>
        <w:t>참고문헌 섹션을 APA식 References로 통합하고 숫자식 인용 표기를 제거했습니다. 제출 전 세부 APA 7판 형식은 한 번 더 수동 점검하는 것이 좋습니다.</w:t>
      </w:r>
    </w:p>
  </w:comment>
  <w:comment w:id="13" w:author="Cursor" w:initials="AI" w:date="2026-06-04T10:46:54+00:00">
    <w:p>
      <w:pPr>
        <w:pStyle w:val="CommentText"/>
      </w:pPr>
      <w:r>
        <w:rPr>
          <w:rStyle w:val="CommentReference"/>
        </w:rPr>
        <w:annotationRef/>
      </w:r>
      <w:r>
        <w:rPr>
          <w:rStyle w:val="CommentText"/>
        </w:rPr>
        <w:t>목차의 오래된 Literature Review/Scholarly References 항목을 새 구조에 맞게 Dissertation/Thesis Outline 및 References로 정리했습니다. Word에서 목차 업데이트를 실행하면 페이지 번호가 다시 계산됩니다.</w:t>
      </w:r>
    </w:p>
  </w:comment>
</w:comments>
</file>

<file path=word/commentsExtended.xml><?xml version="1.0" encoding="utf-8"?>
<w15:commentsEx xmlns:w15="http://schemas.microsoft.com/office/word/2012/wordml"/>
</file>

<file path=word/commentsExtensible.xml><?xml version="1.0" encoding="utf-8"?>
<w16cex:commentsExtensible xmlns:w16cex="http://schemas.microsoft.com/office/word/2018/wordml/cex"/>
</file>

<file path=word/commentsIds.xml><?xml version="1.0" encoding="utf-8"?>
<w16cid:commentsIds xmlns:w16cid="http://schemas.microsoft.com/office/word/2016/wordml/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D50BA" w14:textId="77777777" w:rsidR="00764CDA" w:rsidRDefault="00764CDA">
      <w:r>
        <w:separator/>
      </w:r>
    </w:p>
  </w:endnote>
  <w:endnote w:type="continuationSeparator" w:id="0">
    <w:p w14:paraId="09DF2F54" w14:textId="77777777" w:rsidR="00764CDA" w:rsidRDefault="00764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C65F639-D9AF-4DC8-B5AF-41E9D371C8D7}"/>
    <w:embedBold r:id="rId2" w:fontKey="{46BEEA98-35B7-460C-B2DB-DD47E6577E19}"/>
    <w:embedItalic r:id="rId3" w:fontKey="{71EA1938-402E-4ABF-82B5-0348EA5D9998}"/>
    <w:embedBoldItalic r:id="rId4" w:fontKey="{228F5FB3-958B-4D25-83C7-B2D6C649112C}"/>
  </w:font>
  <w:font w:name="Cambria">
    <w:panose1 w:val="02040503050406030204"/>
    <w:charset w:val="00"/>
    <w:family w:val="roman"/>
    <w:pitch w:val="variable"/>
    <w:sig w:usb0="E00006FF" w:usb1="420024FF" w:usb2="02000000" w:usb3="00000000" w:csb0="0000019F" w:csb1="00000000"/>
    <w:embedRegular r:id="rId5" w:fontKey="{6C5D56DF-6A36-42F1-B75A-9408B984D89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6FD1D3B2-2AFB-4DE7-B50A-447C1FCEBA02}"/>
  </w:font>
  <w:font w:name="Lucida Sans">
    <w:panose1 w:val="020B0602030504020204"/>
    <w:charset w:val="00"/>
    <w:family w:val="swiss"/>
    <w:pitch w:val="variable"/>
    <w:sig w:usb0="00000003" w:usb1="00000000" w:usb2="00000000" w:usb3="00000000" w:csb0="00000001" w:csb1="00000000"/>
    <w:embedRegular r:id="rId7" w:fontKey="{FED28C4C-8CFA-44BA-A02A-E2A4679D9F31}"/>
  </w:font>
  <w:font w:name="SimSun-ExtB">
    <w:panose1 w:val="02010609060101010101"/>
    <w:charset w:val="86"/>
    <w:family w:val="modern"/>
    <w:pitch w:val="fixed"/>
    <w:sig w:usb0="00000003" w:usb1="0A0E0000" w:usb2="00000010" w:usb3="00000000" w:csb0="00040001" w:csb1="00000000"/>
    <w:embedRegular r:id="rId8" w:subsetted="1" w:fontKey="{22EEE719-9531-4CBC-AFD7-2CA32C82746F}"/>
  </w:font>
  <w:font w:name="Roboto">
    <w:charset w:val="00"/>
    <w:family w:val="auto"/>
    <w:pitch w:val="variable"/>
    <w:sig w:usb0="E0000AFF" w:usb1="5000217F" w:usb2="00000021" w:usb3="00000000" w:csb0="0000019F" w:csb1="00000000"/>
    <w:embedBoldItalic r:id="rId9" w:fontKey="{68671C6D-0567-4457-BAF7-E1D9A34C60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55"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56"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DF9F6" w14:textId="77777777" w:rsidR="00764CDA" w:rsidRDefault="00764CDA">
      <w:r>
        <w:separator/>
      </w:r>
    </w:p>
  </w:footnote>
  <w:footnote w:type="continuationSeparator" w:id="0">
    <w:p w14:paraId="61FC1C18" w14:textId="77777777" w:rsidR="00764CDA" w:rsidRDefault="00764C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A73606"/>
    <w:multiLevelType w:val="hybridMultilevel"/>
    <w:tmpl w:val="C6ECFAAE"/>
    <w:lvl w:ilvl="0" w:tplc="E348D8AC">
      <w:numFmt w:val="bullet"/>
      <w:lvlText w:val="-"/>
      <w:lvlJc w:val="left"/>
      <w:pPr>
        <w:ind w:left="800" w:hanging="360"/>
      </w:pPr>
      <w:rPr>
        <w:rFonts w:ascii="Calibri" w:eastAsiaTheme="minorEastAsia" w:hAnsi="Calibri" w:cs="Calibri" w:hint="default"/>
        <w:sz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8"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9"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0"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2"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3"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4"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5"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6"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7"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8"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19"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0"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1"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2"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4"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5"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6"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7"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8"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9"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0"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1"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2"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3"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4"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5"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6"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7"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8"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9"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0"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1"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2"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3"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2"/>
  </w:num>
  <w:num w:numId="2" w16cid:durableId="2034529912">
    <w:abstractNumId w:val="21"/>
  </w:num>
  <w:num w:numId="3" w16cid:durableId="842865704">
    <w:abstractNumId w:val="9"/>
  </w:num>
  <w:num w:numId="4" w16cid:durableId="1788112400">
    <w:abstractNumId w:val="40"/>
  </w:num>
  <w:num w:numId="5" w16cid:durableId="1245609707">
    <w:abstractNumId w:val="22"/>
  </w:num>
  <w:num w:numId="6" w16cid:durableId="599412909">
    <w:abstractNumId w:val="10"/>
  </w:num>
  <w:num w:numId="7" w16cid:durableId="1192107546">
    <w:abstractNumId w:val="28"/>
  </w:num>
  <w:num w:numId="8" w16cid:durableId="664363077">
    <w:abstractNumId w:val="23"/>
  </w:num>
  <w:num w:numId="9" w16cid:durableId="2049984939">
    <w:abstractNumId w:val="19"/>
  </w:num>
  <w:num w:numId="10" w16cid:durableId="809052620">
    <w:abstractNumId w:val="37"/>
  </w:num>
  <w:num w:numId="11" w16cid:durableId="1607687669">
    <w:abstractNumId w:val="2"/>
  </w:num>
  <w:num w:numId="12" w16cid:durableId="1683240558">
    <w:abstractNumId w:val="6"/>
  </w:num>
  <w:num w:numId="13" w16cid:durableId="1732268948">
    <w:abstractNumId w:val="25"/>
  </w:num>
  <w:num w:numId="14" w16cid:durableId="561256997">
    <w:abstractNumId w:val="13"/>
  </w:num>
  <w:num w:numId="15" w16cid:durableId="1109591764">
    <w:abstractNumId w:val="34"/>
  </w:num>
  <w:num w:numId="16" w16cid:durableId="1029791669">
    <w:abstractNumId w:val="0"/>
  </w:num>
  <w:num w:numId="17" w16cid:durableId="1989480551">
    <w:abstractNumId w:val="8"/>
  </w:num>
  <w:num w:numId="18" w16cid:durableId="265504578">
    <w:abstractNumId w:val="35"/>
  </w:num>
  <w:num w:numId="19" w16cid:durableId="293874030">
    <w:abstractNumId w:val="29"/>
  </w:num>
  <w:num w:numId="20" w16cid:durableId="1492527258">
    <w:abstractNumId w:val="24"/>
  </w:num>
  <w:num w:numId="21" w16cid:durableId="70125727">
    <w:abstractNumId w:val="26"/>
  </w:num>
  <w:num w:numId="22" w16cid:durableId="818616783">
    <w:abstractNumId w:val="16"/>
  </w:num>
  <w:num w:numId="23" w16cid:durableId="1556432927">
    <w:abstractNumId w:val="31"/>
  </w:num>
  <w:num w:numId="24" w16cid:durableId="1008870561">
    <w:abstractNumId w:val="1"/>
  </w:num>
  <w:num w:numId="25" w16cid:durableId="503783121">
    <w:abstractNumId w:val="30"/>
  </w:num>
  <w:num w:numId="26" w16cid:durableId="1557471479">
    <w:abstractNumId w:val="14"/>
  </w:num>
  <w:num w:numId="27" w16cid:durableId="352806372">
    <w:abstractNumId w:val="3"/>
  </w:num>
  <w:num w:numId="28" w16cid:durableId="517620652">
    <w:abstractNumId w:val="33"/>
  </w:num>
  <w:num w:numId="29" w16cid:durableId="504324604">
    <w:abstractNumId w:val="36"/>
  </w:num>
  <w:num w:numId="30" w16cid:durableId="2094692569">
    <w:abstractNumId w:val="20"/>
  </w:num>
  <w:num w:numId="31" w16cid:durableId="1509756413">
    <w:abstractNumId w:val="12"/>
  </w:num>
  <w:num w:numId="32" w16cid:durableId="943659314">
    <w:abstractNumId w:val="18"/>
  </w:num>
  <w:num w:numId="33" w16cid:durableId="16855335">
    <w:abstractNumId w:val="15"/>
  </w:num>
  <w:num w:numId="34" w16cid:durableId="1159883443">
    <w:abstractNumId w:val="7"/>
  </w:num>
  <w:num w:numId="35" w16cid:durableId="446968020">
    <w:abstractNumId w:val="39"/>
  </w:num>
  <w:num w:numId="36" w16cid:durableId="2108651610">
    <w:abstractNumId w:val="32"/>
  </w:num>
  <w:num w:numId="37" w16cid:durableId="528377940">
    <w:abstractNumId w:val="27"/>
  </w:num>
  <w:num w:numId="38" w16cid:durableId="571237718">
    <w:abstractNumId w:val="11"/>
  </w:num>
  <w:num w:numId="39" w16cid:durableId="405802155">
    <w:abstractNumId w:val="44"/>
  </w:num>
  <w:num w:numId="40" w16cid:durableId="1280917786">
    <w:abstractNumId w:val="5"/>
  </w:num>
  <w:num w:numId="41" w16cid:durableId="1325891150">
    <w:abstractNumId w:val="41"/>
  </w:num>
  <w:num w:numId="42" w16cid:durableId="1039166851">
    <w:abstractNumId w:val="17"/>
  </w:num>
  <w:num w:numId="43" w16cid:durableId="113521810">
    <w:abstractNumId w:val="43"/>
  </w:num>
  <w:num w:numId="44" w16cid:durableId="910385678">
    <w:abstractNumId w:val="38"/>
  </w:num>
  <w:num w:numId="45" w16cid:durableId="66081179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권 태홍">
    <w15:presenceInfo w15:providerId="AD" w15:userId="S::thkwon@enu-tech.co.kr::8e5996e7-e359-4aec-8ef1-4c6bca266f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104E4"/>
    <w:rsid w:val="00035897"/>
    <w:rsid w:val="00092A58"/>
    <w:rsid w:val="000B78E5"/>
    <w:rsid w:val="000F0382"/>
    <w:rsid w:val="0012727E"/>
    <w:rsid w:val="00134A6C"/>
    <w:rsid w:val="00182BA1"/>
    <w:rsid w:val="001D72CA"/>
    <w:rsid w:val="00260C71"/>
    <w:rsid w:val="002F3C02"/>
    <w:rsid w:val="00306F1D"/>
    <w:rsid w:val="003226F8"/>
    <w:rsid w:val="00324BCE"/>
    <w:rsid w:val="003B08DA"/>
    <w:rsid w:val="003B651F"/>
    <w:rsid w:val="003D38CE"/>
    <w:rsid w:val="0041720D"/>
    <w:rsid w:val="00430964"/>
    <w:rsid w:val="00446C98"/>
    <w:rsid w:val="00454B94"/>
    <w:rsid w:val="00465161"/>
    <w:rsid w:val="004C2D23"/>
    <w:rsid w:val="0053249F"/>
    <w:rsid w:val="0053318A"/>
    <w:rsid w:val="00574FA5"/>
    <w:rsid w:val="005A6612"/>
    <w:rsid w:val="005B753C"/>
    <w:rsid w:val="005E0498"/>
    <w:rsid w:val="005E348B"/>
    <w:rsid w:val="00645B42"/>
    <w:rsid w:val="006525B9"/>
    <w:rsid w:val="006A4981"/>
    <w:rsid w:val="00700E53"/>
    <w:rsid w:val="00701E87"/>
    <w:rsid w:val="007170EE"/>
    <w:rsid w:val="00764CDA"/>
    <w:rsid w:val="00794849"/>
    <w:rsid w:val="00827058"/>
    <w:rsid w:val="00844388"/>
    <w:rsid w:val="008B218B"/>
    <w:rsid w:val="008C0179"/>
    <w:rsid w:val="008D5743"/>
    <w:rsid w:val="008E4A0A"/>
    <w:rsid w:val="00923980"/>
    <w:rsid w:val="00926C43"/>
    <w:rsid w:val="009C3A52"/>
    <w:rsid w:val="00A00C1C"/>
    <w:rsid w:val="00A271CD"/>
    <w:rsid w:val="00A31711"/>
    <w:rsid w:val="00A52392"/>
    <w:rsid w:val="00A810C9"/>
    <w:rsid w:val="00AB0C37"/>
    <w:rsid w:val="00AD703D"/>
    <w:rsid w:val="00B574BB"/>
    <w:rsid w:val="00BC62E6"/>
    <w:rsid w:val="00BD541D"/>
    <w:rsid w:val="00C06AA0"/>
    <w:rsid w:val="00C11D23"/>
    <w:rsid w:val="00C44053"/>
    <w:rsid w:val="00C57227"/>
    <w:rsid w:val="00C74C8E"/>
    <w:rsid w:val="00CE4ED5"/>
    <w:rsid w:val="00D71FCC"/>
    <w:rsid w:val="00D82973"/>
    <w:rsid w:val="00D9046A"/>
    <w:rsid w:val="00DE6EB4"/>
    <w:rsid w:val="00DF1D73"/>
    <w:rsid w:val="00E179E8"/>
    <w:rsid w:val="00E24A6E"/>
    <w:rsid w:val="00E66970"/>
    <w:rsid w:val="00E70718"/>
    <w:rsid w:val="00E867C5"/>
    <w:rsid w:val="00EA3420"/>
    <w:rsid w:val="00F630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aa">
    <w:name w:val="annotation text"/>
    <w:basedOn w:val="a"/>
    <w:link w:val="Char"/>
    <w:uiPriority w:val="99"/>
    <w:unhideWhenUsed/>
  </w:style>
  <w:style w:type="character" w:customStyle="1" w:styleId="Char">
    <w:name w:val="메모 텍스트 Char"/>
    <w:basedOn w:val="a0"/>
    <w:link w:val="aa"/>
    <w:uiPriority w:val="99"/>
  </w:style>
  <w:style w:type="character" w:styleId="ab">
    <w:name w:val="annotation reference"/>
    <w:basedOn w:val="a0"/>
    <w:uiPriority w:val="99"/>
    <w:semiHidden/>
    <w:unhideWhenUsed/>
    <w:rPr>
      <w:sz w:val="18"/>
      <w:szCs w:val="18"/>
    </w:rPr>
  </w:style>
  <w:style w:type="paragraph" w:styleId="ac">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c"/>
    <w:uiPriority w:val="99"/>
    <w:rsid w:val="00C57227"/>
  </w:style>
  <w:style w:type="paragraph" w:styleId="ad">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d"/>
    <w:uiPriority w:val="99"/>
    <w:rsid w:val="00C57227"/>
  </w:style>
  <w:style w:type="paragraph" w:styleId="ae">
    <w:name w:val="annotation subject"/>
    <w:basedOn w:val="aa"/>
    <w:next w:val="aa"/>
    <w:link w:val="Char2"/>
    <w:uiPriority w:val="99"/>
    <w:semiHidden/>
    <w:unhideWhenUsed/>
    <w:rsid w:val="00C57227"/>
    <w:rPr>
      <w:b/>
      <w:bCs/>
    </w:rPr>
  </w:style>
  <w:style w:type="character" w:customStyle="1" w:styleId="Char2">
    <w:name w:val="메모 주제 Char"/>
    <w:basedOn w:val="Char"/>
    <w:link w:val="ae"/>
    <w:uiPriority w:val="99"/>
    <w:semiHidden/>
    <w:rsid w:val="00C57227"/>
    <w:rPr>
      <w:b/>
      <w:bCs/>
    </w:rPr>
  </w:style>
  <w:style w:type="character" w:styleId="af">
    <w:name w:val="Hyperlink"/>
    <w:basedOn w:val="a0"/>
    <w:uiPriority w:val="99"/>
    <w:unhideWhenUsed/>
    <w:rsid w:val="00AB0C37"/>
    <w:rPr>
      <w:color w:val="0000FF" w:themeColor="hyperlink"/>
      <w:u w:val="single"/>
    </w:rPr>
  </w:style>
  <w:style w:type="character" w:styleId="af0">
    <w:name w:val="Unresolved Mention"/>
    <w:basedOn w:val="a0"/>
    <w:uiPriority w:val="99"/>
    <w:semiHidden/>
    <w:unhideWhenUsed/>
    <w:rsid w:val="00AB0C37"/>
    <w:rPr>
      <w:color w:val="605E5C"/>
      <w:shd w:val="clear" w:color="auto" w:fill="E1DFDD"/>
    </w:rPr>
  </w:style>
  <w:style w:type="paragraph" w:styleId="af1">
    <w:name w:val="List Paragraph"/>
    <w:basedOn w:val="a"/>
    <w:uiPriority w:val="34"/>
    <w:qFormat/>
    <w:rsid w:val="00C74C8E"/>
    <w:pPr>
      <w:ind w:leftChars="400" w:left="800"/>
    </w:pPr>
  </w:style>
  <w:style w:type="paragraph" w:styleId="af2">
    <w:name w:val="caption"/>
    <w:basedOn w:val="a"/>
    <w:next w:val="a"/>
    <w:uiPriority w:val="35"/>
    <w:unhideWhenUsed/>
    <w:qFormat/>
    <w:rsid w:val="00A317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3974</TotalTime>
  <Pages>1</Pages>
  <Words>8639</Words>
  <Characters>55207</Characters>
  <Application>Microsoft Office Word</Application>
  <DocSecurity>0</DocSecurity>
  <Lines>1226</Lines>
  <Paragraphs>472</Paragraphs>
  <ScaleCrop>false</ScaleCrop>
  <Company/>
  <LinksUpToDate>false</LinksUpToDate>
  <CharactersWithSpaces>63374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권 태홍</cp:lastModifiedBy>
  <cp:revision>28</cp:revision>
  <dcterms:created xsi:type="dcterms:W3CDTF">2026-04-16T13:34:00Z</dcterms:created>
  <dcterms:modified xsi:type="dcterms:W3CDTF">2026-06-04T10:44:00Z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