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EndorseRank,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EndorseRank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EndorseRank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EndorseRank’s predictive accuracy concerning on-chain financial risk (e.g., defaults on Aave) compared to established transaction-based methods, </w:t>
      </w:r>
      <w:r>
        <w:rPr>
          <w:rFonts w:eastAsia="Calibri"/>
          <w:color w:val="000000"/>
          <w:sz w:val="24"/>
          <w:szCs w:val="24"/>
        </w:rPr>
        <w:lastRenderedPageBreak/>
        <w:t>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0728F080"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EndorseRank seeks to provide a computation- ally efficient, semantically clear, and accurate reputation scoring mechanism suitable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50F1460F"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w:t>
      </w:r>
      <w:r w:rsidR="00AA5A39">
        <w:rPr>
          <w:rFonts w:hint="eastAsia"/>
          <w:b/>
          <w:bCs/>
          <w:color w:val="000000"/>
          <w:sz w:val="24"/>
          <w:szCs w:val="24"/>
        </w:rPr>
        <w:t>1</w:t>
      </w:r>
    </w:p>
    <w:p w14:paraId="56D79D9E" w14:textId="14E3D198" w:rsidR="00AB0C37" w:rsidRPr="00AA5A39" w:rsidRDefault="00AB0C37" w:rsidP="00AA5A39">
      <w:pPr>
        <w:numPr>
          <w:ilvl w:val="0"/>
          <w:numId w:val="44"/>
        </w:numPr>
        <w:pBdr>
          <w:top w:val="nil"/>
          <w:left w:val="nil"/>
          <w:bottom w:val="nil"/>
          <w:right w:val="nil"/>
          <w:between w:val="nil"/>
        </w:pBdr>
        <w:tabs>
          <w:tab w:val="left" w:pos="435"/>
          <w:tab w:val="right" w:pos="8419"/>
        </w:tabs>
        <w:spacing w:before="600"/>
        <w:ind w:hanging="351"/>
      </w:pPr>
      <w:commentRangeStart w:id="0"/>
      <w:r w:rsidRPr="00AA5A39">
        <w:rPr>
          <w:rFonts w:eastAsia="Calibri"/>
          <w:b/>
          <w:bCs/>
          <w:color w:val="00008A"/>
          <w:sz w:val="24"/>
          <w:szCs w:val="24"/>
        </w:rPr>
        <w:t>Dissertation/Thesis Outline</w:t>
      </w:r>
      <w:commentRangeEnd w:id="0"/>
      <w:r w:rsidR="00391B6D">
        <w:rPr>
          <w:rStyle w:val="a6"/>
          <w:rFonts w:ascii="Times New Roman" w:eastAsia="Times New Roman" w:hAnsi="Times New Roman" w:cs="Times New Roman"/>
          <w:color w:val="00008A"/>
          <w:sz w:val="24"/>
          <w:szCs w:val="24"/>
        </w:rPr>
        <w:commentReference w:id="0"/>
      </w:r>
      <w:r w:rsidR="00AA5A39">
        <w:rPr>
          <w:rFonts w:ascii="Times New Roman" w:eastAsia="Times New Roman" w:hAnsi="Times New Roman" w:cs="Times New Roman"/>
          <w:color w:val="00008A"/>
          <w:sz w:val="24"/>
          <w:szCs w:val="24"/>
        </w:rPr>
        <w:tab/>
      </w:r>
      <w:r w:rsidR="00AA5A39">
        <w:rPr>
          <w:rFonts w:eastAsia="Calibri"/>
          <w:b/>
          <w:bCs/>
          <w:color w:val="000000"/>
          <w:sz w:val="24"/>
          <w:szCs w:val="24"/>
        </w:rPr>
        <w:t>3</w:t>
      </w:r>
      <w:r w:rsidR="00AA5A39">
        <w:rPr>
          <w:rFonts w:hint="eastAsia"/>
          <w:b/>
          <w:bCs/>
          <w:color w:val="000000"/>
          <w:sz w:val="24"/>
          <w:szCs w:val="24"/>
        </w:rPr>
        <w:t>6</w:t>
      </w:r>
    </w:p>
    <w:p w14:paraId="3E983323" w14:textId="6F4937C2" w:rsidR="00AA5A39" w:rsidRDefault="00AA5A39" w:rsidP="00AA5A39">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hint="eastAsia"/>
            <w:color w:val="00008A"/>
            <w:sz w:val="24"/>
            <w:szCs w:val="24"/>
          </w:rPr>
          <w:t>References</w:t>
        </w:r>
      </w:hyperlink>
      <w:r>
        <w:rPr>
          <w:rFonts w:ascii="Times New Roman" w:eastAsia="Times New Roman" w:hAnsi="Times New Roman" w:cs="Times New Roman"/>
          <w:color w:val="00008A"/>
          <w:sz w:val="24"/>
          <w:szCs w:val="24"/>
        </w:rPr>
        <w:tab/>
      </w:r>
      <w:r>
        <w:rPr>
          <w:rFonts w:hint="eastAsia"/>
          <w:color w:val="000000"/>
          <w:sz w:val="24"/>
          <w:szCs w:val="24"/>
        </w:rPr>
        <w:t>37</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1" w:name="gj4k9mjfpi2z" w:colFirst="0" w:colLast="0"/>
      <w:bookmarkStart w:id="2" w:name="_hlfabiwwndsb" w:colFirst="0" w:colLast="0"/>
      <w:bookmarkEnd w:id="1"/>
      <w:bookmarkEnd w:id="2"/>
      <w:r>
        <w:rPr>
          <w:b/>
          <w:bCs/>
          <w:sz w:val="49"/>
          <w:szCs w:val="49"/>
        </w:rPr>
        <w:lastRenderedPageBreak/>
        <w:t>Introduction and background</w:t>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 (e.g.,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economic magnitude and temporal relevance, it does not directly model explicit spending authorization as a trust signal.</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46D3505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w:t>
      </w:r>
      <w:r w:rsidR="00A50FA0">
        <w:rPr>
          <w:sz w:val="24"/>
          <w:szCs w:val="24"/>
        </w:rPr>
        <w:t>approval-based</w:t>
      </w:r>
      <w:r>
        <w:rPr>
          <w:sz w:val="24"/>
          <w:szCs w:val="24"/>
        </w:rPr>
        <w:t xml:space="preserve"> relationships, no existing study has systematically leveraged ERC-20 allowances as primary edge weights for PageRank. This methodological gap motivates EndorseRank, our proposed on-chain reputation algorithm that </w:t>
      </w:r>
      <w:r w:rsidR="00A50FA0">
        <w:rPr>
          <w:sz w:val="24"/>
          <w:szCs w:val="24"/>
        </w:rPr>
        <w:t>applies to</w:t>
      </w:r>
      <w:r>
        <w:rPr>
          <w:sz w:val="24"/>
          <w:szCs w:val="24"/>
        </w:rPr>
        <w:t xml:space="preserve"> a standard Weighted PageRank to </w:t>
      </w:r>
      <w:r>
        <w:rPr>
          <w:i/>
          <w:iCs/>
          <w:sz w:val="24"/>
          <w:szCs w:val="24"/>
        </w:rPr>
        <w:t>G</w:t>
      </w:r>
      <w:r>
        <w:rPr>
          <w:i/>
          <w:iCs/>
          <w:sz w:val="24"/>
          <w:szCs w:val="24"/>
          <w:vertAlign w:val="subscript"/>
        </w:rPr>
        <w:t>approve</w:t>
      </w:r>
      <w:r>
        <w:rPr>
          <w:sz w:val="24"/>
          <w:szCs w:val="24"/>
        </w:rPr>
        <w:t>. We hypothesize that EndorseRank will achieve comparable or superior predictive power for financial risk (e.g., default events) while significantly reducing data-processing complexity compared to transaction- value– and time-decay–based methods. To ensure a clear alignment between this motivation and what the study will deliver, the proposal specifies objective-linked expected results:</w:t>
      </w:r>
    </w:p>
    <w:p w14:paraId="0515AF48" w14:textId="1249216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 reproducible pipeline and latest-allowance endorsement </w:t>
      </w:r>
      <w:r w:rsidR="00A50FA0">
        <w:rPr>
          <w:sz w:val="24"/>
          <w:szCs w:val="24"/>
        </w:rPr>
        <w:t>graph derived</w:t>
      </w:r>
      <w:r>
        <w:rPr>
          <w:sz w:val="24"/>
          <w:szCs w:val="24"/>
        </w:rPr>
        <w:t xml:space="preserve"> from ERC-20 approve/permit states;</w:t>
      </w:r>
    </w:p>
    <w:p w14:paraId="2BF2065E" w14:textId="2177AEC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An optimized, scalable Weighted PageRank implementation (EndorseRank) operating on this </w:t>
      </w:r>
      <w:r w:rsidR="00A50FA0">
        <w:rPr>
          <w:sz w:val="24"/>
          <w:szCs w:val="24"/>
        </w:rPr>
        <w:t>sparse, trust</w:t>
      </w:r>
      <w:r>
        <w:rPr>
          <w:sz w:val="24"/>
          <w:szCs w:val="24"/>
        </w:rPr>
        <w: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1"/>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EndorseRank matches or improves risk-prediction performance relative to transaction-based baselines while reducing computational overhead.</w:t>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3" w:name="45gx6lhyoey9" w:colFirst="0" w:colLast="0"/>
      <w:bookmarkStart w:id="4" w:name="_r4votdpqwib2" w:colFirst="0" w:colLast="0"/>
      <w:bookmarkEnd w:id="3"/>
      <w:bookmarkEnd w:id="4"/>
      <w:r>
        <w:rPr>
          <w:b/>
          <w:bCs/>
          <w:sz w:val="49"/>
          <w:szCs w:val="49"/>
        </w:rPr>
        <w:t>Research Problem</w:t>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37A6F3B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w:t>
      </w:r>
      <w:r w:rsidR="00A50FA0">
        <w:rPr>
          <w:sz w:val="24"/>
          <w:szCs w:val="24"/>
        </w:rPr>
        <w:t>approval</w:t>
      </w:r>
      <w:r>
        <w:rPr>
          <w:sz w:val="24"/>
          <w:szCs w:val="24"/>
        </w:rPr>
        <w:t xml:space="preser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r>
        <w:rPr>
          <w:sz w:val="24"/>
          <w:szCs w:val="24"/>
        </w:rPr>
        <w:t>To address this issue, we will design, implement, and evaluate the EndorseRank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EndorseRank correlates with observable credit risk outcomes such as default or liquidation events in lending protocols (e.g., Aave) (Wolf et al., 2022).</w:t>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5" w:name="3z1zu3nyapyn" w:colFirst="0" w:colLast="0"/>
      <w:bookmarkStart w:id="6" w:name="_rhsa6kdwzark" w:colFirst="0" w:colLast="0"/>
      <w:bookmarkEnd w:id="5"/>
      <w:bookmarkEnd w:id="6"/>
      <w:r>
        <w:rPr>
          <w:color w:val="000000"/>
        </w:rPr>
        <w:t>Research Questions</w:t>
      </w:r>
    </w:p>
    <w:p w14:paraId="1415CED8" w14:textId="77777777" w:rsidR="00EE0D4B" w:rsidRPr="00EE0D4B" w:rsidRDefault="00EE0D4B" w:rsidP="00EE0D4B"/>
    <w:p w14:paraId="30E3B15D" w14:textId="1110B128" w:rsidR="00EE0D4B" w:rsidRDefault="00000000" w:rsidP="00A555F8">
      <w:pPr>
        <w:pBdr>
          <w:top w:val="nil"/>
          <w:left w:val="nil"/>
          <w:bottom w:val="nil"/>
          <w:right w:val="nil"/>
          <w:between w:val="nil"/>
        </w:pBdr>
        <w:spacing w:line="291" w:lineRule="auto"/>
        <w:ind w:left="85" w:right="932"/>
        <w:jc w:val="both"/>
        <w:rPr>
          <w:sz w:val="24"/>
          <w:szCs w:val="24"/>
        </w:rPr>
      </w:pPr>
      <w:r w:rsidRPr="00EE0D4B">
        <w:rPr>
          <w:sz w:val="24"/>
          <w:szCs w:val="24"/>
        </w:rPr>
        <w:t>In the setting of Ethereum-based DeFi lending, from the perspective of DeFi protocols, risk analysts, wallet users, and researchers who need explainable wallet-level risk indicators, can EndorseRank—a Weighted PageRank metric built from ERC-20 approval/permit-derived allowance relationships—match or outperform Adaptive Weighted PageRank and transfer-based PageRank baselines, as measured by rank divergence, default/liquidation prediction performance, runtime, memory use, and convergence stability?</w:t>
      </w:r>
    </w:p>
    <w:p w14:paraId="7EAA05CB" w14:textId="77777777" w:rsidR="00A555F8" w:rsidRPr="00A555F8" w:rsidRDefault="00A555F8" w:rsidP="00A555F8">
      <w:pPr>
        <w:pBdr>
          <w:top w:val="nil"/>
          <w:left w:val="nil"/>
          <w:bottom w:val="nil"/>
          <w:right w:val="nil"/>
          <w:between w:val="nil"/>
        </w:pBdr>
        <w:spacing w:line="291" w:lineRule="auto"/>
        <w:ind w:left="85" w:right="932"/>
        <w:jc w:val="both"/>
        <w:rPr>
          <w:sz w:val="24"/>
          <w:szCs w:val="24"/>
        </w:rPr>
      </w:pPr>
    </w:p>
    <w:p w14:paraId="3E5AA5FD" w14:textId="77777777" w:rsidR="00C91F24" w:rsidRPr="00EE0D4B" w:rsidRDefault="00000000" w:rsidP="00EE0D4B">
      <w:pPr>
        <w:pStyle w:val="ad"/>
        <w:keepNext/>
        <w:jc w:val="center"/>
        <w:rPr>
          <w:sz w:val="22"/>
          <w:szCs w:val="22"/>
        </w:rPr>
      </w:pPr>
      <w:r w:rsidRPr="00EE0D4B">
        <w:rPr>
          <w:sz w:val="22"/>
          <w:szCs w:val="22"/>
        </w:rPr>
        <w:t>Table 1: SPICE framework for the main research question</w:t>
      </w:r>
    </w:p>
    <w:tbl>
      <w:tblPr>
        <w:tblStyle w:val="50"/>
        <w:tblW w:w="86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7088"/>
      </w:tblGrid>
      <w:tr w:rsidR="00C91F24" w14:paraId="699AD962" w14:textId="77777777" w:rsidTr="00EE0D4B">
        <w:trPr>
          <w:jc w:val="center"/>
        </w:trPr>
        <w:tc>
          <w:tcPr>
            <w:tcW w:w="1601" w:type="dxa"/>
          </w:tcPr>
          <w:p w14:paraId="369EAF6E" w14:textId="77777777" w:rsidR="00C91F24" w:rsidRDefault="00000000" w:rsidP="00EE0D4B">
            <w:pPr>
              <w:spacing w:line="276" w:lineRule="auto"/>
              <w:jc w:val="center"/>
            </w:pPr>
            <w:r>
              <w:rPr>
                <w:b/>
                <w:bCs/>
              </w:rPr>
              <w:t>SPICE Element</w:t>
            </w:r>
          </w:p>
        </w:tc>
        <w:tc>
          <w:tcPr>
            <w:tcW w:w="7088" w:type="dxa"/>
          </w:tcPr>
          <w:p w14:paraId="00BCE49C" w14:textId="77777777" w:rsidR="00C91F24" w:rsidRDefault="00000000" w:rsidP="00EE0D4B">
            <w:pPr>
              <w:spacing w:line="276" w:lineRule="auto"/>
              <w:jc w:val="center"/>
            </w:pPr>
            <w:r>
              <w:t>Description</w:t>
            </w:r>
          </w:p>
        </w:tc>
      </w:tr>
      <w:tr w:rsidR="00C91F24" w14:paraId="02E188B1" w14:textId="77777777" w:rsidTr="00EE0D4B">
        <w:trPr>
          <w:jc w:val="center"/>
        </w:trPr>
        <w:tc>
          <w:tcPr>
            <w:tcW w:w="1601" w:type="dxa"/>
          </w:tcPr>
          <w:p w14:paraId="749284F4" w14:textId="77777777" w:rsidR="00C91F24" w:rsidRDefault="00000000">
            <w:pPr>
              <w:spacing w:line="276" w:lineRule="auto"/>
            </w:pPr>
            <w:r>
              <w:rPr>
                <w:b/>
                <w:bCs/>
              </w:rPr>
              <w:t>Setting</w:t>
            </w:r>
          </w:p>
        </w:tc>
        <w:tc>
          <w:tcPr>
            <w:tcW w:w="7088" w:type="dxa"/>
          </w:tcPr>
          <w:p w14:paraId="34036FB7" w14:textId="77777777" w:rsidR="00C91F24" w:rsidRDefault="00000000">
            <w:pPr>
              <w:spacing w:line="276" w:lineRule="auto"/>
            </w:pPr>
            <w:r>
              <w:t>Ethereum-based DeFi lending and on-chain wallet reputation scoring</w:t>
            </w:r>
          </w:p>
        </w:tc>
      </w:tr>
      <w:tr w:rsidR="00C91F24" w14:paraId="7EC5D430" w14:textId="77777777" w:rsidTr="00EE0D4B">
        <w:trPr>
          <w:jc w:val="center"/>
        </w:trPr>
        <w:tc>
          <w:tcPr>
            <w:tcW w:w="1601" w:type="dxa"/>
          </w:tcPr>
          <w:p w14:paraId="21458D2C" w14:textId="77777777" w:rsidR="00C91F24" w:rsidRDefault="00000000">
            <w:pPr>
              <w:spacing w:line="276" w:lineRule="auto"/>
            </w:pPr>
            <w:r>
              <w:rPr>
                <w:b/>
                <w:bCs/>
              </w:rPr>
              <w:t>Perspective</w:t>
            </w:r>
          </w:p>
        </w:tc>
        <w:tc>
          <w:tcPr>
            <w:tcW w:w="7088" w:type="dxa"/>
          </w:tcPr>
          <w:p w14:paraId="0445A489" w14:textId="77777777" w:rsidR="00C91F24" w:rsidRDefault="00000000">
            <w:pPr>
              <w:spacing w:line="276" w:lineRule="auto"/>
            </w:pPr>
            <w:r>
              <w:t>DeFi protocols, risk analysts, wallet users, and researchers who need explainable wallet-level risk indicators</w:t>
            </w:r>
          </w:p>
        </w:tc>
      </w:tr>
      <w:tr w:rsidR="00C91F24" w14:paraId="788D2D36" w14:textId="77777777" w:rsidTr="00EE0D4B">
        <w:trPr>
          <w:jc w:val="center"/>
        </w:trPr>
        <w:tc>
          <w:tcPr>
            <w:tcW w:w="1601" w:type="dxa"/>
          </w:tcPr>
          <w:p w14:paraId="066A2D07" w14:textId="77777777" w:rsidR="00C91F24" w:rsidRDefault="00000000">
            <w:pPr>
              <w:spacing w:line="276" w:lineRule="auto"/>
            </w:pPr>
            <w:r>
              <w:rPr>
                <w:b/>
                <w:bCs/>
              </w:rPr>
              <w:t>Intervention</w:t>
            </w:r>
          </w:p>
        </w:tc>
        <w:tc>
          <w:tcPr>
            <w:tcW w:w="7088" w:type="dxa"/>
          </w:tcPr>
          <w:p w14:paraId="324E1520" w14:textId="77777777" w:rsidR="00C91F24" w:rsidRDefault="00000000">
            <w:pPr>
              <w:spacing w:line="276" w:lineRule="auto"/>
            </w:pPr>
            <w:r>
              <w:t>EndorseRank, a Weighted PageRank metric built from ERC-20 approval/permit-derived allowance relationships</w:t>
            </w:r>
          </w:p>
        </w:tc>
      </w:tr>
      <w:tr w:rsidR="00C91F24" w14:paraId="609EDF76" w14:textId="77777777" w:rsidTr="00EE0D4B">
        <w:trPr>
          <w:jc w:val="center"/>
        </w:trPr>
        <w:tc>
          <w:tcPr>
            <w:tcW w:w="1601" w:type="dxa"/>
          </w:tcPr>
          <w:p w14:paraId="5B0C607C" w14:textId="77777777" w:rsidR="00C91F24" w:rsidRDefault="00000000">
            <w:pPr>
              <w:spacing w:line="276" w:lineRule="auto"/>
            </w:pPr>
            <w:r>
              <w:rPr>
                <w:b/>
                <w:bCs/>
              </w:rPr>
              <w:t>Comparison</w:t>
            </w:r>
          </w:p>
        </w:tc>
        <w:tc>
          <w:tcPr>
            <w:tcW w:w="7088" w:type="dxa"/>
          </w:tcPr>
          <w:p w14:paraId="04DE563C" w14:textId="77777777" w:rsidR="00C91F24" w:rsidRDefault="00000000">
            <w:pPr>
              <w:spacing w:line="276" w:lineRule="auto"/>
            </w:pPr>
            <w:r>
              <w:t>Adaptive Weighted PageRank and transfer-based PageRank models that rely on historical transaction flows</w:t>
            </w:r>
          </w:p>
        </w:tc>
      </w:tr>
      <w:tr w:rsidR="00C91F24" w14:paraId="2B027D2F" w14:textId="77777777" w:rsidTr="00EE0D4B">
        <w:trPr>
          <w:jc w:val="center"/>
        </w:trPr>
        <w:tc>
          <w:tcPr>
            <w:tcW w:w="1601" w:type="dxa"/>
          </w:tcPr>
          <w:p w14:paraId="49EF9D64" w14:textId="77777777" w:rsidR="00C91F24" w:rsidRDefault="00000000">
            <w:pPr>
              <w:spacing w:line="276" w:lineRule="auto"/>
            </w:pPr>
            <w:r>
              <w:rPr>
                <w:b/>
                <w:bCs/>
              </w:rPr>
              <w:t>Evaluation</w:t>
            </w:r>
          </w:p>
        </w:tc>
        <w:tc>
          <w:tcPr>
            <w:tcW w:w="7088" w:type="dxa"/>
          </w:tcPr>
          <w:p w14:paraId="0875D1E9" w14:textId="77777777" w:rsidR="00C91F24" w:rsidRDefault="00000000">
            <w:pPr>
              <w:spacing w:line="276" w:lineRule="auto"/>
            </w:pPr>
            <w:r>
              <w:t>Rank divergence, default/liquidation prediction performance, runtime, memory use, and convergence stability</w:t>
            </w:r>
          </w:p>
        </w:tc>
      </w:tr>
    </w:tbl>
    <w:p w14:paraId="6B64F906" w14:textId="58227671"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EndorseRank’s ranking output differ from AWP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EndorseRank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lastRenderedPageBreak/>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EndorseRank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t>RQ3.2: How does EndorseRank’s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EndorseRank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7" w:name="nfnhqstubsa8" w:colFirst="0" w:colLast="0"/>
      <w:bookmarkStart w:id="8" w:name="_6igkw6wuglcw" w:colFirst="0" w:colLast="0"/>
      <w:bookmarkEnd w:id="7"/>
      <w:bookmarkEnd w:id="8"/>
      <w:r>
        <w:t>Objectives</w:t>
      </w:r>
    </w:p>
    <w:p w14:paraId="3EDC4672" w14:textId="7107ED2B"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EndorseRank algorithm that leverages ERC-20 approve/permit allowances as edge weights with- out any time decay factors—</w:t>
      </w:r>
      <w:r w:rsidR="00A555F8">
        <w:rPr>
          <w:rFonts w:eastAsia="Calibri"/>
          <w:color w:val="000000"/>
          <w:sz w:val="24"/>
          <w:szCs w:val="24"/>
        </w:rPr>
        <w:t>to</w:t>
      </w:r>
      <w:r>
        <w:rPr>
          <w:rFonts w:eastAsia="Calibri"/>
          <w:color w:val="000000"/>
          <w:sz w:val="24"/>
          <w:szCs w:val="24"/>
        </w:rPr>
        <w:t xml:space="preserve"> produce a computationally efficient and trust- reflective on-chain reputation score. Specifically, we aim to:</w:t>
      </w:r>
    </w:p>
    <w:p w14:paraId="7040F29E" w14:textId="77777777" w:rsidR="00B574BB" w:rsidRDefault="00000000">
      <w:pPr>
        <w:pStyle w:val="2"/>
      </w:pPr>
      <w:commentRangeStart w:id="9"/>
      <w:r>
        <w:t>SMART Alignment</w:t>
      </w:r>
      <w:commentRangeEnd w:id="9"/>
      <w:r>
        <w:rPr>
          <w:rStyle w:val="a6"/>
          <w:sz w:val="24"/>
          <w:szCs w:val="24"/>
        </w:rPr>
        <w:commentReference w:id="9"/>
      </w:r>
    </w:p>
    <w:p w14:paraId="06A88AB8" w14:textId="77777777" w:rsidR="00B574BB" w:rsidRDefault="00000000">
      <w:pPr>
        <w:spacing w:before="120" w:line="276" w:lineRule="auto"/>
        <w:jc w:val="both"/>
      </w:pPr>
      <w:r>
        <w:t>The objectives are specific because each one targets a concrete research output: data pipeline, graph construction, algorithm implementation, baseline reproduction, predictive evaluation, and scalability benchmarking. They are measurable through rank-correlation statistics, AUC, precision, recall, F1-score, calibration, runtime, memory, and convergence tolerance. They are attainable and realistic because they use public blockchain logs, Aave V3 liquidation events, reproducible Python-based tooling, and fixed computational resources. They are time-bound through the post-approval schedule, which allocates data extraction, implementation, evaluation, writing, and publication milestones between June 2026 and January 2028.</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w:t>
      </w:r>
      <w:r>
        <w:rPr>
          <w:rFonts w:eastAsia="Calibri"/>
          <w:color w:val="000000"/>
          <w:sz w:val="24"/>
          <w:szCs w:val="24"/>
        </w:rPr>
        <w:lastRenderedPageBreak/>
        <w:t xml:space="preserve">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allowance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t>EndorseRank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000000"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m:oMathPara>
        <m:oMathParaPr>
          <m:jc m:val="center"/>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u→v</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u→v</m:t>
                  </m:r>
                </m:sub>
              </m:sSub>
            </m:num>
            <m:den>
              <m:nary>
                <m:naryPr>
                  <m:chr m:val="∑"/>
                  <m:limLoc m:val="undOvr"/>
                  <m:supHide m:val="1"/>
                  <m:ctrlPr>
                    <w:rPr>
                      <w:rFonts w:ascii="Cambria Math" w:hAnsi="Cambria Math"/>
                    </w:rPr>
                  </m:ctrlPr>
                </m:naryPr>
                <m:sub>
                  <m:r>
                    <m:rPr>
                      <m:sty m:val="p"/>
                    </m:rPr>
                    <w:rPr>
                      <w:rFonts w:ascii="Cambria Math" w:hAnsi="Cambria Math"/>
                    </w:rPr>
                    <m:t>x∈</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r>
                    <m:rPr>
                      <m:sty m:val="p"/>
                    </m:rPr>
                    <w:rPr>
                      <w:rFonts w:ascii="Cambria Math" w:hAnsi="Cambria Math"/>
                    </w:rPr>
                    <m:t>(u)</m:t>
                  </m:r>
                </m:sub>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u→x</m:t>
                      </m:r>
                    </m:sub>
                  </m:sSub>
                </m:e>
              </m:nary>
            </m:den>
          </m:f>
        </m:oMath>
      </m:oMathPara>
    </w:p>
    <w:p w14:paraId="10D708A0" w14:textId="4059F7A4" w:rsidR="00B574BB" w:rsidRPr="00EC5C73" w:rsidRDefault="006A4981" w:rsidP="00EC5C73">
      <w:pPr>
        <w:pBdr>
          <w:top w:val="nil"/>
          <w:left w:val="nil"/>
          <w:bottom w:val="nil"/>
          <w:right w:val="nil"/>
          <w:between w:val="nil"/>
        </w:pBdr>
        <w:tabs>
          <w:tab w:val="left" w:pos="2020"/>
          <w:tab w:val="left" w:pos="2022"/>
        </w:tabs>
        <w:spacing w:before="116" w:line="291" w:lineRule="auto"/>
        <w:ind w:left="2022" w:right="934"/>
        <w:jc w:val="both"/>
        <w:rPr>
          <w:rFonts w:eastAsia="Calibri"/>
          <w:color w:val="000000"/>
          <w:sz w:val="24"/>
          <w:szCs w:val="24"/>
        </w:rPr>
      </w:pPr>
      <w:r>
        <w:rPr>
          <w:rFonts w:eastAsia="Calibri"/>
          <w:color w:val="000000"/>
          <w:sz w:val="24"/>
          <w:szCs w:val="24"/>
        </w:rPr>
        <w:t>where N</w:t>
      </w:r>
      <w:r w:rsidRPr="00EC5C73">
        <w:rPr>
          <w:rFonts w:eastAsia="Calibri"/>
          <w:color w:val="000000"/>
          <w:sz w:val="24"/>
          <w:szCs w:val="24"/>
          <w:vertAlign w:val="superscript"/>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391B6D">
        <w:rPr>
          <w:rFonts w:eastAsia="Calibri"/>
          <w:color w:val="000000"/>
          <w:sz w:val="24"/>
          <w:szCs w:val="24"/>
          <w:vertAlign w:val="superscript"/>
        </w:rPr>
        <w:t>+</w:t>
      </w:r>
      <w:r>
        <w:rPr>
          <w:rFonts w:eastAsia="Calibri"/>
          <w:color w:val="000000"/>
          <w:sz w:val="24"/>
          <w:szCs w:val="24"/>
        </w:rPr>
        <w:t>(u), and</w:t>
      </w:r>
      <w:r w:rsidRPr="004C2D23">
        <w:rPr>
          <w:rFonts w:eastAsia="Calibri"/>
          <w:color w:val="000000"/>
          <w:sz w:val="24"/>
          <w:szCs w:val="24"/>
        </w:rPr>
        <w:t xml:space="preserve"> </w:t>
      </w:r>
      <w:r w:rsidR="000B78E5" w:rsidRPr="00391B6D">
        <w:rPr>
          <w:rFonts w:hint="eastAsia"/>
          <w:color w:val="000000"/>
          <w:sz w:val="24"/>
          <w:szCs w:val="24"/>
        </w:rPr>
        <w:t>W</w:t>
      </w:r>
      <w:r w:rsidRPr="00391B6D">
        <w:rPr>
          <w:rFonts w:eastAsia="Calibri"/>
          <w:color w:val="000000"/>
          <w:sz w:val="24"/>
          <w:szCs w:val="24"/>
          <w:vertAlign w:val="subscript"/>
        </w:rPr>
        <w:t>u→v</w:t>
      </w:r>
      <w:r w:rsidRPr="000B78E5">
        <w:rPr>
          <w:rFonts w:eastAsia="Calibri"/>
          <w:i/>
          <w:iCs/>
          <w:color w:val="000000"/>
          <w:sz w:val="24"/>
          <w:szCs w:val="24"/>
          <w:vertAlign w:val="subscript"/>
        </w:rPr>
        <w:t xml:space="preserve"> </w:t>
      </w:r>
      <w:r>
        <w:rPr>
          <w:rFonts w:eastAsia="Calibri"/>
          <w:color w:val="000000"/>
          <w:sz w:val="24"/>
          <w:szCs w:val="24"/>
        </w:rPr>
        <w:t>is the latest allowance amount from wallet u to wallet v.</w:t>
      </w:r>
      <w:r w:rsidR="00EC5C73">
        <w:rPr>
          <w:rFonts w:hint="eastAsia"/>
          <w:color w:val="000000"/>
          <w:sz w:val="24"/>
          <w:szCs w:val="24"/>
        </w:rPr>
        <w:t xml:space="preserve"> </w:t>
      </w:r>
      <w:commentRangeStart w:id="10"/>
      <w:r>
        <w:t xml:space="preserve">The equation above specifies the transition probability used by EndorseRank: </w:t>
      </w:r>
      <w:r w:rsidR="0003481E">
        <w:rPr>
          <w:rFonts w:hint="eastAsia"/>
        </w:rPr>
        <w:t>P</w:t>
      </w:r>
      <w:r w:rsidR="0003481E" w:rsidRPr="00391B6D">
        <w:rPr>
          <w:rFonts w:eastAsia="Calibri"/>
          <w:color w:val="000000"/>
          <w:sz w:val="24"/>
          <w:szCs w:val="24"/>
          <w:vertAlign w:val="subscript"/>
        </w:rPr>
        <w:t>u→v</w:t>
      </w:r>
      <w:r>
        <w:t xml:space="preserve"> equals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divided by the sum of all outgoing allowance amounts from wallet u, where each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denotes the latest allowance amount on edge u→v. Thus, each wallet distributes its PageRank mass only across currently active approval relationships, proportionally to normalized allowance strength.</w:t>
      </w:r>
      <w:commentRangeEnd w:id="10"/>
      <w:r w:rsidRPr="00EC5C73">
        <w:rPr>
          <w:rStyle w:val="a6"/>
          <w:rFonts w:eastAsia="Calibri"/>
          <w:color w:val="000000"/>
          <w:sz w:val="24"/>
          <w:szCs w:val="24"/>
        </w:rPr>
        <w:commentReference w:id="10"/>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lastRenderedPageBreak/>
        <w:t xml:space="preserve">O2.2: </w:t>
      </w:r>
      <w:r>
        <w:rPr>
          <w:rFonts w:eastAsia="Calibri"/>
          <w:color w:val="000000"/>
          <w:sz w:val="24"/>
          <w:szCs w:val="24"/>
        </w:rPr>
        <w:t>Optimize the EndorseRank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EndorseRank,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Pr="00AA5A39" w:rsidRDefault="00CE4ED5" w:rsidP="00C74C8E">
      <w:pPr>
        <w:pStyle w:val="2"/>
        <w:numPr>
          <w:ilvl w:val="0"/>
          <w:numId w:val="31"/>
        </w:numPr>
        <w:tabs>
          <w:tab w:val="left" w:pos="670"/>
        </w:tabs>
        <w:spacing w:before="204"/>
        <w:ind w:left="670" w:hanging="298"/>
        <w:rPr>
          <w:b w:val="0"/>
          <w:bCs w:val="0"/>
          <w:color w:val="000000"/>
        </w:rPr>
      </w:pPr>
      <w:r w:rsidRPr="00AA5A39">
        <w:rPr>
          <w:color w:val="000000"/>
        </w:rPr>
        <w:t>Performance Evaluation</w:t>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r w:rsidRPr="00E66970">
        <w:rPr>
          <w:rFonts w:eastAsia="Calibri"/>
          <w:color w:val="000000"/>
          <w:sz w:val="24"/>
          <w:szCs w:val="24"/>
        </w:rPr>
        <w:t>Spearman's rho and Kendall's tau between EndorseRank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EndorseRank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2C470B15"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 xml:space="preserve">Using each ranking score as a predictive feature, train simple classifiers </w:t>
      </w:r>
      <w:r>
        <w:rPr>
          <w:rFonts w:eastAsia="Calibri"/>
          <w:color w:val="000000"/>
          <w:sz w:val="24"/>
          <w:szCs w:val="24"/>
        </w:rPr>
        <w:lastRenderedPageBreak/>
        <w:t>(</w:t>
      </w:r>
      <w:r w:rsidR="000B78E5">
        <w:rPr>
          <w:rFonts w:hint="eastAsia"/>
          <w:color w:val="000000"/>
          <w:sz w:val="24"/>
          <w:szCs w:val="24"/>
        </w:rPr>
        <w:t xml:space="preserve">e.g., </w:t>
      </w:r>
      <w:r>
        <w:rPr>
          <w:rFonts w:eastAsia="Calibri"/>
          <w:color w:val="000000"/>
          <w:sz w:val="24"/>
          <w:szCs w:val="24"/>
        </w:rPr>
        <w:t>logistic regression and random forest)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EndorseRank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EndorseRank,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EndorseRank’s use of only the latest approval amounts results in a sparser graph and lower memory footprint than transaction- based graphs.</w:t>
      </w:r>
    </w:p>
    <w:p w14:paraId="3183AC07" w14:textId="631BDD8E" w:rsidR="000B78E5" w:rsidRPr="000B78E5" w:rsidRDefault="006A4981" w:rsidP="000B78E5">
      <w:pPr>
        <w:numPr>
          <w:ilvl w:val="1"/>
          <w:numId w:val="31"/>
        </w:numPr>
        <w:pBdr>
          <w:top w:val="nil"/>
          <w:left w:val="nil"/>
          <w:bottom w:val="nil"/>
          <w:right w:val="nil"/>
          <w:between w:val="nil"/>
        </w:pBdr>
        <w:tabs>
          <w:tab w:val="left" w:pos="1184"/>
          <w:tab w:val="left" w:pos="1186"/>
        </w:tabs>
        <w:spacing w:before="12" w:line="278" w:lineRule="auto"/>
        <w:ind w:right="932"/>
        <w:jc w:val="both"/>
        <w:rPr>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EndorseRank remains numerically stable despite potentially large allowance values.</w:t>
      </w:r>
    </w:p>
    <w:p w14:paraId="12EC9709" w14:textId="351D7F46" w:rsidR="00A271CD" w:rsidRPr="000B78E5" w:rsidRDefault="00CE4ED5" w:rsidP="000B78E5">
      <w:pPr>
        <w:pBdr>
          <w:top w:val="nil"/>
          <w:left w:val="nil"/>
          <w:bottom w:val="nil"/>
          <w:right w:val="nil"/>
          <w:between w:val="nil"/>
        </w:pBdr>
        <w:spacing w:before="275" w:line="291" w:lineRule="auto"/>
        <w:ind w:left="85" w:right="506"/>
        <w:rPr>
          <w:color w:val="000000" w:themeColor="text1"/>
          <w:sz w:val="24"/>
          <w:szCs w:val="24"/>
        </w:rPr>
      </w:pPr>
      <w:r w:rsidRPr="000B78E5">
        <w:rPr>
          <w:color w:val="000000" w:themeColor="text1"/>
          <w:sz w:val="24"/>
          <w:szCs w:val="24"/>
        </w:rPr>
        <w:t>By accomplishing these objectives, we will demonstrate how a latest-allowance-weighted approach to PageRank can yield a scalable, trust-aligned reputation-scoring model, EndorseRank,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11" w:name="_jatp35e1gk66" w:colFirst="0" w:colLast="0"/>
      <w:bookmarkEnd w:id="11"/>
      <w:r w:rsidRPr="008C0179">
        <w:rPr>
          <w:color w:val="000000" w:themeColor="text1"/>
        </w:rPr>
        <w:t>Expected Results</w:t>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 xml:space="preserve">These expected results map directly onto Objectives O1-O5 and mirror the three themes introduced in the background: endorsement-based trust structure, default-risk </w:t>
      </w:r>
      <w:r w:rsidRPr="008C0179">
        <w:rPr>
          <w:color w:val="000000" w:themeColor="text1"/>
        </w:rPr>
        <w:lastRenderedPageBreak/>
        <w:t>prediction, and computational efficiency relative to transfer-based baselines.</w:t>
      </w:r>
    </w:p>
    <w:p w14:paraId="4E86E148" w14:textId="1665379B"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defined time window.</w:t>
      </w:r>
    </w:p>
    <w:p w14:paraId="0E97987A" w14:textId="4B6E331B"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EndorseRank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EndorseRank.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0B78E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labeled dataset of default/liquidation outcomes (e.g., Aave V3) and comparative evaluation results showing whether EndorseRank yields comparable or superior predictive performance relative to AWP and transfer-based PageRank (AUC, precision, recall, F1, and calibration where applicable).</w:t>
      </w:r>
    </w:p>
    <w:p w14:paraId="4E7D6A66" w14:textId="06D2B7ED"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Runtime and memory profiling results for (data extraction + graph </w:t>
      </w:r>
      <w:r w:rsidRPr="008C0179">
        <w:rPr>
          <w:color w:val="000000" w:themeColor="text1"/>
          <w:sz w:val="24"/>
          <w:szCs w:val="24"/>
        </w:rPr>
        <w:lastRenderedPageBreak/>
        <w:t>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12" w:name="wm8uvozi6slm" w:colFirst="0" w:colLast="0"/>
      <w:bookmarkStart w:id="13" w:name="_m3bwyc7myc6f" w:colFirst="0" w:colLast="0"/>
      <w:bookmarkEnd w:id="12"/>
      <w:bookmarkEnd w:id="13"/>
      <w:r w:rsidRPr="00AA5A39">
        <w:rPr>
          <w:b/>
          <w:bCs/>
          <w:color w:val="000000"/>
          <w:sz w:val="49"/>
          <w:szCs w:val="49"/>
          <w:shd w:val="clear" w:color="auto" w:fill="FEEC99"/>
        </w:rPr>
        <w:t>Literature Review</w:t>
      </w:r>
    </w:p>
    <w:p w14:paraId="7CE422A1" w14:textId="77777777" w:rsidR="00A271CD" w:rsidRDefault="006A4981">
      <w:pPr>
        <w:pStyle w:val="1"/>
        <w:numPr>
          <w:ilvl w:val="1"/>
          <w:numId w:val="29"/>
        </w:numPr>
        <w:tabs>
          <w:tab w:val="left" w:pos="968"/>
        </w:tabs>
        <w:spacing w:before="339"/>
      </w:pPr>
      <w:bookmarkStart w:id="14" w:name="s0irps3zh9jo" w:colFirst="0" w:colLast="0"/>
      <w:bookmarkStart w:id="15" w:name="_26mq67nvzc58" w:colFirst="0" w:colLast="0"/>
      <w:bookmarkEnd w:id="14"/>
      <w:bookmarkEnd w:id="15"/>
      <w:r>
        <w:t>Graph-Based On-</w:t>
      </w:r>
      <w:r w:rsidRPr="00AA5A39">
        <w:t>Chain Reputation Scoring</w:t>
      </w:r>
    </w:p>
    <w:p w14:paraId="5711682F" w14:textId="0F1DA8AD"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w:t>
      </w:r>
      <w:r>
        <w:rPr>
          <w:rFonts w:eastAsia="Calibri"/>
          <w:color w:val="000000"/>
          <w:sz w:val="24"/>
          <w:szCs w:val="24"/>
        </w:rPr>
        <w:lastRenderedPageBreak/>
        <w:t>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ind w:left="85" w:right="930"/>
        <w:jc w:val="both"/>
        <w:rPr>
          <w:rFonts w:eastAsia="Calibri"/>
          <w:color w:val="000000"/>
          <w:sz w:val="24"/>
          <w:szCs w:val="24"/>
        </w:rPr>
      </w:pPr>
      <w:r>
        <w:rPr>
          <w:rFonts w:eastAsia="Calibri"/>
          <w:color w:val="000000"/>
          <w:sz w:val="24"/>
          <w:szCs w:val="24"/>
        </w:rPr>
        <w:t>One limitation of a vanilla PageRank, i.e., the unmodified PageRank formulation applied to a transaction graph without explicit risk propagation or domain-specific adjustments, is that it may not distinguish malicious but active actors from genuinely reputable ones. Imig (2023)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RiskProp, a network-propagation-based risk scoring model for Ethereum accounts (Yang et al., 2024).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ind w:left="85" w:right="930"/>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ind w:left="85" w:right="930"/>
        <w:jc w:val="both"/>
        <w:rPr>
          <w:color w:val="000000"/>
          <w:sz w:val="24"/>
          <w:szCs w:val="24"/>
        </w:rPr>
      </w:pPr>
      <w:r>
        <w:t>It is worth noting that graph-based reputation systems often consider temporal dynamics. Real-world creditworthiness changes over time, so some models incorporate time-decay factors to diminish the influence of stale interactions. A dynamic reputation model might weight recent transactions 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numPr>
          <w:ilvl w:val="1"/>
          <w:numId w:val="29"/>
        </w:numPr>
        <w:tabs>
          <w:tab w:val="left" w:pos="968"/>
        </w:tabs>
        <w:spacing w:before="339"/>
      </w:pPr>
      <w:bookmarkStart w:id="16" w:name="ad7j3ok9jmnj" w:colFirst="0" w:colLast="0"/>
      <w:bookmarkStart w:id="17" w:name="_qm65s21jph5d" w:colFirst="0" w:colLast="0"/>
      <w:bookmarkEnd w:id="16"/>
      <w:bookmarkEnd w:id="17"/>
      <w:r>
        <w:lastRenderedPageBreak/>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ind w:left="85" w:right="931"/>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for example, proposed a credit scoring system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Other machine-learning approaches similarly treat on-chain </w:t>
      </w:r>
      <w:r w:rsidR="00134A6C" w:rsidRPr="00134A6C">
        <w:rPr>
          <w:color w:val="000000"/>
          <w:sz w:val="24"/>
          <w:szCs w:val="24"/>
        </w:rPr>
        <w:t>transactions</w:t>
      </w:r>
      <w:r w:rsidRPr="00134A6C">
        <w:rPr>
          <w:color w:val="000000"/>
          <w:sz w:val="24"/>
          <w:szCs w:val="24"/>
        </w:rPr>
        <w:t xml:space="preserve"> and account data as inputs to predictive models for creditworthiness. Hassija et al. (2020)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numPr>
          <w:ilvl w:val="1"/>
          <w:numId w:val="29"/>
        </w:numPr>
        <w:tabs>
          <w:tab w:val="left" w:pos="968"/>
        </w:tabs>
        <w:spacing w:line="314" w:lineRule="auto"/>
        <w:ind w:right="933"/>
      </w:pPr>
      <w:bookmarkStart w:id="18" w:name="oneg7x1wrt2t" w:colFirst="0" w:colLast="0"/>
      <w:bookmarkStart w:id="19" w:name="_3rlxygnxmj4d" w:colFirst="0" w:colLast="0"/>
      <w:bookmarkEnd w:id="18"/>
      <w:bookmarkEnd w:id="19"/>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Outside the academic literature, the demand for on-chain credit scoring has led to several industry-driven solutions. While not peer-reviewed, these initiatives illustrate real-world interest in the problem and help motivate the EndorseRank research. Cred Protocol is a prominent example: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3Jane Protocol documentation,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Another noteworthy industry example is 3Jane's Jane Score,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w:t>
      </w:r>
      <w:r w:rsidRPr="00134A6C">
        <w:rPr>
          <w:color w:val="000000"/>
          <w:sz w:val="24"/>
          <w:szCs w:val="24"/>
        </w:rPr>
        <w:lastRenderedPageBreak/>
        <w:t>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CredScore and JaneScore also highlight current gaps that the EndorseRank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EndorseRank addresses this research gap by integrating ERC-20 approve/permit edges as firs</w:t>
      </w:r>
      <w:r w:rsidR="00C74C8E">
        <w:rPr>
          <w:rFonts w:hint="eastAsia"/>
          <w:color w:val="000000"/>
          <w:sz w:val="24"/>
          <w:szCs w:val="24"/>
        </w:rPr>
        <w:t>t-c</w:t>
      </w:r>
      <w:r>
        <w:rPr>
          <w:rFonts w:eastAsia="Calibri"/>
          <w:color w:val="000000"/>
          <w:sz w:val="24"/>
          <w:szCs w:val="24"/>
        </w:rPr>
        <w:t>lass links in the reputation graph, treating them as directed weighted edges that can augment a wallet’s influence and risk profile in the PageRank computation. In EndorseRank’s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EndorseRank is distinctive in its handling of temporal effects. Whereas many reputation systems apply time-based decay to down-weight old interactions, EndorseRank proposes to forgo time decay for approval/permit edges. The rationale is that an approval remains in force until revoked; a permission granted a year ago is equally pertinent today if the allowance is still active. By giving persistent weight to long-lived trust links, EndorseRank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w:t>
      </w:r>
      <w:r>
        <w:rPr>
          <w:rFonts w:eastAsia="Calibri"/>
          <w:color w:val="000000"/>
          <w:sz w:val="24"/>
          <w:szCs w:val="24"/>
        </w:rPr>
        <w:lastRenderedPageBreak/>
        <w:t>decay approach is novel, as most prior works have either not included such edges at all or have not considered the temporal aspect of trust explicitly. By integrating ERC-20 approval networks with PageRank and maintaining their influence over time, EndorseRank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can be both explainable and predictive. EndorseRank aims to bridge this gap. It builds on the insight that network structure matters – who trusts whom (via both transfers and approvals) – and that this structure can be quantified through a PageRank-style algorithm. By doing so without arbitrarily discarding older trust links, EndorseRank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4F395DB9" w14:textId="53E94367" w:rsidR="00A271CD" w:rsidRDefault="006A4981">
      <w:pPr>
        <w:ind w:left="85"/>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This study is grounded in hyperlink-citation theory, predictive validity, and computational complexity theory to compare EndorseRank against Adaptive Weighted PageRank (AWP) across three core constructs: Reputation Structure, Risk Predictive Validity, and Computational Efficiency. Each construct links directly to the parameter definitions introduced earlier in the research objectives and expected-results framework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numPr>
          <w:ilvl w:val="1"/>
          <w:numId w:val="27"/>
        </w:numPr>
        <w:pBdr>
          <w:top w:val="nil"/>
          <w:left w:val="nil"/>
          <w:bottom w:val="nil"/>
          <w:right w:val="nil"/>
          <w:between w:val="nil"/>
        </w:pBdr>
        <w:tabs>
          <w:tab w:val="left" w:pos="968"/>
        </w:tabs>
        <w:rPr>
          <w:color w:val="000000"/>
          <w:sz w:val="20"/>
          <w:szCs w:val="20"/>
        </w:rPr>
      </w:pPr>
      <w:bookmarkStart w:id="20" w:name="345otpgqepgv" w:colFirst="0" w:colLast="0"/>
      <w:bookmarkStart w:id="21" w:name="_kehbej2xmhzy" w:colFirst="0" w:colLast="0"/>
      <w:bookmarkEnd w:id="20"/>
      <w:bookmarkEnd w:id="21"/>
      <w:r>
        <w:lastRenderedPageBreak/>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d"/>
        <w:keepNext/>
        <w:jc w:val="center"/>
        <w:rPr>
          <w:sz w:val="22"/>
          <w:szCs w:val="22"/>
        </w:rPr>
      </w:pPr>
      <w:r>
        <w:t>Table 2: Evaluation Constructs and Associated Variables</w:t>
      </w:r>
    </w:p>
    <w:tbl>
      <w:tblPr>
        <w:tblStyle w:val="5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EndorseRank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EndorseRank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EndorseRank’s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EndorseRank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5DD5F226" w14:textId="77777777" w:rsidR="00A31711" w:rsidRPr="00A31711" w:rsidRDefault="00A31711" w:rsidP="00A31711">
      <w:pPr>
        <w:pStyle w:val="1"/>
        <w:tabs>
          <w:tab w:val="left" w:pos="968"/>
        </w:tabs>
        <w:spacing w:before="250"/>
        <w:ind w:firstLine="0"/>
      </w:pPr>
      <w:bookmarkStart w:id="22" w:name="lu00p8817zch" w:colFirst="0" w:colLast="0"/>
      <w:bookmarkStart w:id="23" w:name="_5z6it39nq9xn" w:colFirst="0" w:colLast="0"/>
      <w:bookmarkEnd w:id="22"/>
      <w:bookmarkEnd w:id="23"/>
    </w:p>
    <w:p w14:paraId="6F07284E" w14:textId="592DF8E0" w:rsidR="00A271CD" w:rsidRPr="00A52392" w:rsidRDefault="003226F8" w:rsidP="00A52392">
      <w:pPr>
        <w:pStyle w:val="1"/>
        <w:numPr>
          <w:ilvl w:val="1"/>
          <w:numId w:val="27"/>
        </w:numPr>
        <w:pBdr>
          <w:top w:val="nil"/>
          <w:left w:val="nil"/>
          <w:bottom w:val="nil"/>
          <w:right w:val="nil"/>
          <w:between w:val="nil"/>
        </w:pBdr>
        <w:tabs>
          <w:tab w:val="left" w:pos="968"/>
        </w:tabs>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000000" w:rsidP="00A52392">
      <w:pPr>
        <w:keepNext/>
        <w:pBdr>
          <w:top w:val="nil"/>
          <w:left w:val="nil"/>
          <w:bottom w:val="nil"/>
          <w:right w:val="nil"/>
          <w:between w:val="nil"/>
        </w:pBdr>
        <w:ind w:left="85"/>
        <w:rPr>
          <w:color w:val="000000"/>
          <w:sz w:val="24"/>
          <w:szCs w:val="24"/>
        </w:rPr>
      </w:pPr>
      <w:r>
        <w:rPr>
          <w:noProof/>
          <w:color w:val="000000"/>
          <w:sz w:val="20"/>
          <w:szCs w:val="20"/>
        </w:rPr>
      </w:r>
      <w:r>
        <w:rPr>
          <w:noProof/>
          <w:color w:val="000000"/>
          <w:sz w:val="20"/>
          <w:szCs w:val="20"/>
        </w:rPr>
        <w:pict w14:anchorId="08155618">
          <v:group id="그룹 2" o:spid="_x0000_s2050" style="width:429.15pt;height:130.5pt;mso-position-horizontal-relative:char;mso-position-vertical-relative:line" coordorigin="26186,29490" coordsize="54545,16615">
            <v:group id="그룹 2132482422" o:spid="_x0000_s2051"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207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2077" style="position:absolute;left:25;top:6195;width:54451;height:2521;visibility:visible;mso-wrap-style:square;v-text-anchor:middle" coordsize="5445125,2520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adj="0,,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joinstyle="round"/>
                <v:formulas/>
                <v:path arrowok="t" o:extrusionok="f" o:connecttype="segments"/>
              </v:shape>
              <v:shape id="자유형: 도형 1759407821" o:spid="_x0000_s2076"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2075"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2074"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207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2072"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2071"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2070"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2069"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206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2067"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2066"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2065"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2064"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206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2062"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2061"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2060"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2059"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205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2057"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2056"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2055"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2054"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EndorseRank vs. AWP</w:t>
                      </w:r>
                    </w:p>
                  </w:txbxContent>
                </v:textbox>
              </v:rect>
              <v:rect id="직사각형 1787117521" o:spid="_x0000_s2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2052"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wrap type="none"/>
            <w10:anchorlock/>
          </v:group>
        </w:pict>
      </w:r>
      <w:r w:rsidR="00A52392">
        <w:br/>
      </w:r>
      <w:r w:rsidR="00A52392">
        <w:br/>
      </w:r>
    </w:p>
    <w:p w14:paraId="69C77ECE" w14:textId="0BD4DF5B" w:rsidR="00A271CD" w:rsidRPr="00A52392" w:rsidRDefault="00A52392" w:rsidP="00A52392">
      <w:pPr>
        <w:keepNext/>
        <w:pBdr>
          <w:top w:val="nil"/>
          <w:left w:val="nil"/>
          <w:bottom w:val="nil"/>
          <w:right w:val="nil"/>
          <w:between w:val="nil"/>
        </w:pBdr>
        <w:ind w:left="85"/>
        <w:jc w:val="center"/>
        <w:rPr>
          <w:color w:val="000000"/>
          <w:sz w:val="24"/>
          <w:szCs w:val="24"/>
        </w:rPr>
      </w:pPr>
      <w:r>
        <w:t>Figure 1: EndorseRank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EndorseRank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lastRenderedPageBreak/>
        <w:t xml:space="preserve">H2 (Predictive Validity): </w:t>
      </w:r>
      <w:r>
        <w:rPr>
          <w:rFonts w:eastAsia="Calibri"/>
          <w:color w:val="000000"/>
          <w:sz w:val="24"/>
          <w:szCs w:val="24"/>
        </w:rPr>
        <w:t>EndorseRank’s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EndorseRank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24" w:name="8ixln57cjwp6" w:colFirst="0" w:colLast="0"/>
      <w:bookmarkStart w:id="25" w:name="_hc7h8xmdrzoi" w:colFirst="0" w:colLast="0"/>
      <w:bookmarkEnd w:id="24"/>
      <w:bookmarkEnd w:id="25"/>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EndorseRank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26" w:name="ai42761w0xkw" w:colFirst="0" w:colLast="0"/>
      <w:bookmarkStart w:id="27" w:name="_7d4ezdfb8ls" w:colFirst="0" w:colLast="0"/>
      <w:bookmarkEnd w:id="26"/>
      <w:bookmarkEnd w:id="27"/>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EndorseRank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482F7934"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EndorseRank’s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28" w:name="9lkfrik6bv4d" w:colFirst="0" w:colLast="0"/>
      <w:bookmarkEnd w:id="28"/>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EndorseRank,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29" w:name="xjtjcn5ltn8s" w:colFirst="0" w:colLast="0"/>
      <w:bookmarkStart w:id="30" w:name="_qi4t651rs7ik" w:colFirst="0" w:colLast="0"/>
      <w:bookmarkEnd w:id="29"/>
      <w:bookmarkEnd w:id="30"/>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rsidP="00E11FD9">
      <w:pPr>
        <w:pStyle w:val="2"/>
        <w:numPr>
          <w:ilvl w:val="0"/>
          <w:numId w:val="21"/>
        </w:numPr>
        <w:tabs>
          <w:tab w:val="left" w:pos="383"/>
        </w:tabs>
        <w:spacing w:before="276"/>
        <w:ind w:left="383" w:hanging="298"/>
        <w:jc w:val="both"/>
      </w:pPr>
      <w:r>
        <w:t>Dataset Overview and Characteristics</w:t>
      </w:r>
    </w:p>
    <w:p w14:paraId="29EE45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pPr>
      <w:r>
        <w:rPr>
          <w:b/>
          <w:bCs/>
          <w:sz w:val="24"/>
          <w:szCs w:val="24"/>
        </w:rPr>
        <w:t xml:space="preserve"> Dataset Overview</w:t>
      </w:r>
    </w:p>
    <w:p w14:paraId="34F86772"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Core unit of analysis</w:t>
      </w:r>
    </w:p>
    <w:p w14:paraId="388A580C"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Wallet addresses and directed relationships between wallets (owner → spender), later represented as a sparse graph.</w:t>
      </w:r>
    </w:p>
    <w:p w14:paraId="2E609A27"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Primary signals</w:t>
      </w:r>
    </w:p>
    <w:p w14:paraId="4B06A32F"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Sparsity and heavy tails</w:t>
      </w:r>
    </w:p>
    <w:p w14:paraId="4F983FA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Temporal structure</w:t>
      </w:r>
    </w:p>
    <w:p w14:paraId="7513C14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Events form a time series; we operationalize EndorseRank on a fixed observation window and construct “latest state” edge weights by retaining the most recent relevant allowance information per relationship.</w:t>
      </w:r>
    </w:p>
    <w:p w14:paraId="11EA62E3"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Data quality consideration</w:t>
      </w:r>
      <w:r>
        <w:t>s</w:t>
      </w:r>
    </w:p>
    <w:p w14:paraId="67E06AD1"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rsidP="00E11FD9">
      <w:pPr>
        <w:pStyle w:val="2"/>
        <w:numPr>
          <w:ilvl w:val="0"/>
          <w:numId w:val="21"/>
        </w:numPr>
        <w:tabs>
          <w:tab w:val="left" w:pos="383"/>
        </w:tabs>
        <w:spacing w:before="276"/>
        <w:jc w:val="both"/>
      </w:pPr>
      <w:bookmarkStart w:id="31" w:name="_lys20rawrd3r" w:colFirst="0" w:colLast="0"/>
      <w:bookmarkEnd w:id="31"/>
      <w:r>
        <w:t>Data Collection &amp; Preprocessing</w:t>
      </w:r>
    </w:p>
    <w:p w14:paraId="5C9423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rPr>
          <w:color w:val="000000"/>
        </w:rPr>
      </w:pPr>
      <w:r>
        <w:rPr>
          <w:rFonts w:eastAsia="Calibri"/>
          <w:b/>
          <w:bCs/>
          <w:color w:val="000000"/>
          <w:sz w:val="24"/>
          <w:szCs w:val="24"/>
        </w:rPr>
        <w:t>Blockchain Data Source</w:t>
      </w:r>
    </w:p>
    <w:p w14:paraId="3A2E20A0" w14:textId="3C898A59"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2"/>
        <w:jc w:val="both"/>
        <w:rPr>
          <w:color w:val="000000"/>
        </w:rPr>
      </w:pPr>
      <w:r>
        <w:rPr>
          <w:rFonts w:eastAsia="Calibri"/>
          <w:color w:val="000000"/>
          <w:sz w:val="24"/>
          <w:szCs w:val="24"/>
        </w:rPr>
        <w:t xml:space="preserve">Ethereum </w:t>
      </w:r>
      <w:r w:rsidR="007110CE">
        <w:rPr>
          <w:rFonts w:hint="eastAsia"/>
          <w:color w:val="000000"/>
          <w:sz w:val="24"/>
          <w:szCs w:val="24"/>
        </w:rPr>
        <w:t>m</w:t>
      </w:r>
      <w:r>
        <w:rPr>
          <w:rFonts w:eastAsia="Calibri"/>
          <w:color w:val="000000"/>
          <w:sz w:val="24"/>
          <w:szCs w:val="24"/>
        </w:rPr>
        <w:t>ainnet (January 1, 2025 – June 30, 2025) via Google BigQuery or an archive node.</w:t>
      </w:r>
    </w:p>
    <w:p w14:paraId="16A679F6" w14:textId="77777777" w:rsidR="00A271CD" w:rsidRDefault="006A4981" w:rsidP="00E11FD9">
      <w:pPr>
        <w:pStyle w:val="2"/>
        <w:numPr>
          <w:ilvl w:val="1"/>
          <w:numId w:val="21"/>
        </w:numPr>
        <w:tabs>
          <w:tab w:val="left" w:pos="898"/>
        </w:tabs>
        <w:spacing w:before="102"/>
        <w:ind w:left="898" w:hanging="232"/>
        <w:jc w:val="both"/>
      </w:pPr>
      <w:r>
        <w:t>Event Extraction</w:t>
      </w:r>
    </w:p>
    <w:p w14:paraId="0BA1920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2"/>
      <w:r>
        <w:t>Approval/permit-derived authorizations: all ERC-20 Approval(owner, spender, value) events, including approvals generated through permit-compatible flows where the token emits the standard Approval event; where permit-specific traces are available, they will be used only to validate the authorization source.</w:t>
      </w:r>
      <w:commentRangeEnd w:id="32"/>
      <w:r>
        <w:rPr>
          <w:rStyle w:val="a6"/>
          <w:color w:val="000000"/>
          <w:sz w:val="22"/>
          <w:szCs w:val="22"/>
        </w:rPr>
        <w:commentReference w:id="32"/>
      </w:r>
    </w:p>
    <w:p w14:paraId="027487A6" w14:textId="77777777" w:rsidR="00A271CD" w:rsidRDefault="006A4981" w:rsidP="00E11FD9">
      <w:pPr>
        <w:pStyle w:val="2"/>
        <w:numPr>
          <w:ilvl w:val="1"/>
          <w:numId w:val="21"/>
        </w:numPr>
        <w:tabs>
          <w:tab w:val="left" w:pos="898"/>
        </w:tabs>
        <w:spacing w:before="165"/>
        <w:ind w:left="898" w:hanging="232"/>
        <w:jc w:val="both"/>
      </w:pPr>
      <w:r>
        <w:t>Default Labels</w:t>
      </w:r>
    </w:p>
    <w:p w14:paraId="4B84A9D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3"/>
      <w:r>
        <w:t>Aave V3 liquidation events will be used as the observable on-chain proxy for default. A wallet will be labelled as defaulted only when the liquidation outcome occurs after the feature-observation window, so that EndorseRank and baseline scores are computed before the outcome they are used to predict.</w:t>
      </w:r>
      <w:commentRangeEnd w:id="33"/>
      <w:r>
        <w:rPr>
          <w:rStyle w:val="a6"/>
          <w:color w:val="000000"/>
          <w:sz w:val="22"/>
          <w:szCs w:val="22"/>
        </w:rPr>
        <w:commentReference w:id="33"/>
      </w:r>
    </w:p>
    <w:p w14:paraId="3B759D31" w14:textId="77777777" w:rsidR="00A271CD" w:rsidRDefault="006A4981" w:rsidP="00E11FD9">
      <w:pPr>
        <w:pStyle w:val="2"/>
        <w:numPr>
          <w:ilvl w:val="1"/>
          <w:numId w:val="21"/>
        </w:numPr>
        <w:tabs>
          <w:tab w:val="left" w:pos="898"/>
        </w:tabs>
        <w:spacing w:before="166"/>
        <w:ind w:left="898" w:hanging="232"/>
        <w:jc w:val="both"/>
      </w:pPr>
      <w:r>
        <w:t>Sampling</w:t>
      </w:r>
    </w:p>
    <w:p w14:paraId="2A1C2EBA" w14:textId="77777777"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4"/>
        <w:jc w:val="both"/>
        <w:rPr>
          <w:color w:val="000000"/>
        </w:rPr>
      </w:pPr>
      <w:commentRangeStart w:id="34"/>
      <w:r>
        <w:t>Sampling: the predictive analysis will use the full set of Aave V3-active wallets that appear in the observation window and have sufficient event history for feature construction. Computational benchmarks will use a reproducible random sample of 100,000 wallets with a fixed seed, and robustness checks will compare 50,000- and 200,000-wallet samples to test scalability sensitivity.</w:t>
      </w:r>
      <w:commentRangeEnd w:id="34"/>
      <w:r>
        <w:rPr>
          <w:rStyle w:val="a6"/>
          <w:color w:val="000000"/>
          <w:sz w:val="22"/>
          <w:szCs w:val="22"/>
        </w:rPr>
        <w:commentReference w:id="34"/>
      </w:r>
    </w:p>
    <w:p w14:paraId="16396BD1" w14:textId="77777777" w:rsidR="00A271CD" w:rsidRDefault="006A4981" w:rsidP="00E11FD9">
      <w:pPr>
        <w:pStyle w:val="2"/>
        <w:numPr>
          <w:ilvl w:val="0"/>
          <w:numId w:val="21"/>
        </w:numPr>
        <w:tabs>
          <w:tab w:val="left" w:pos="383"/>
        </w:tabs>
        <w:spacing w:before="201"/>
        <w:ind w:left="383" w:hanging="298"/>
        <w:jc w:val="both"/>
      </w:pPr>
      <w:r>
        <w:t>Graph Construction &amp; Algorithm Implementation</w:t>
      </w:r>
    </w:p>
    <w:p w14:paraId="33E9E706" w14:textId="77777777" w:rsidR="00A271CD" w:rsidRDefault="00A271CD" w:rsidP="00E11FD9">
      <w:pPr>
        <w:tabs>
          <w:tab w:val="left" w:pos="383"/>
        </w:tabs>
        <w:jc w:val="both"/>
      </w:pPr>
    </w:p>
    <w:p w14:paraId="2F50B091" w14:textId="77777777" w:rsidR="00A271CD" w:rsidRDefault="00A271CD" w:rsidP="00E11FD9">
      <w:pPr>
        <w:tabs>
          <w:tab w:val="left" w:pos="383"/>
        </w:tabs>
        <w:jc w:val="both"/>
        <w:sectPr w:rsidR="00A271CD">
          <w:pgSz w:w="11910" w:h="16840"/>
          <w:pgMar w:top="1920" w:right="850" w:bottom="2100" w:left="1700" w:header="0" w:footer="1907" w:gutter="0"/>
          <w:cols w:space="720"/>
        </w:sectPr>
      </w:pPr>
    </w:p>
    <w:p w14:paraId="459266EB" w14:textId="2DBA25C3" w:rsidR="00A271CD" w:rsidRDefault="00A271CD" w:rsidP="00E11FD9">
      <w:pPr>
        <w:pBdr>
          <w:top w:val="nil"/>
          <w:left w:val="nil"/>
          <w:bottom w:val="nil"/>
          <w:right w:val="nil"/>
          <w:between w:val="nil"/>
        </w:pBdr>
        <w:jc w:val="both"/>
        <w:rPr>
          <w:b/>
          <w:bCs/>
          <w:color w:val="000000"/>
          <w:sz w:val="24"/>
          <w:szCs w:val="24"/>
        </w:rPr>
      </w:pPr>
    </w:p>
    <w:p w14:paraId="1C8320B6" w14:textId="77777777" w:rsidR="00A271CD" w:rsidRDefault="00A271CD" w:rsidP="00E11FD9">
      <w:pPr>
        <w:pBdr>
          <w:top w:val="nil"/>
          <w:left w:val="nil"/>
          <w:bottom w:val="nil"/>
          <w:right w:val="nil"/>
          <w:between w:val="nil"/>
        </w:pBdr>
        <w:spacing w:before="12"/>
        <w:jc w:val="both"/>
        <w:rPr>
          <w:b/>
          <w:bCs/>
          <w:color w:val="000000"/>
          <w:sz w:val="24"/>
          <w:szCs w:val="24"/>
        </w:rPr>
      </w:pPr>
    </w:p>
    <w:p w14:paraId="6D8AA9B3" w14:textId="77777777" w:rsidR="00A271CD" w:rsidRDefault="006A4981" w:rsidP="00E11FD9">
      <w:pPr>
        <w:numPr>
          <w:ilvl w:val="1"/>
          <w:numId w:val="21"/>
        </w:numPr>
        <w:pBdr>
          <w:top w:val="nil"/>
          <w:left w:val="nil"/>
          <w:bottom w:val="nil"/>
          <w:right w:val="nil"/>
          <w:between w:val="nil"/>
        </w:pBdr>
        <w:tabs>
          <w:tab w:val="left" w:pos="898"/>
        </w:tabs>
        <w:ind w:left="898" w:hanging="232"/>
        <w:jc w:val="both"/>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rsidP="00E11FD9">
      <w:pPr>
        <w:numPr>
          <w:ilvl w:val="2"/>
          <w:numId w:val="21"/>
        </w:numPr>
        <w:pBdr>
          <w:top w:val="nil"/>
          <w:left w:val="nil"/>
          <w:bottom w:val="nil"/>
          <w:right w:val="nil"/>
          <w:between w:val="nil"/>
        </w:pBdr>
        <w:tabs>
          <w:tab w:val="left" w:pos="1336"/>
        </w:tabs>
        <w:spacing w:before="54"/>
        <w:ind w:left="1336" w:hanging="250"/>
        <w:jc w:val="both"/>
        <w:rPr>
          <w:color w:val="000000"/>
        </w:rPr>
      </w:pPr>
      <w:commentRangeStart w:id="35"/>
      <w:r>
        <w:t>Edges: directed owner-to-spender relationships weighted by the latest nonzero allowance from u to v. Because ERC-20 tokens differ in decimals and economic scale, weights will first be token-decimal adjusted; sensitivity checks will compare raw allowance weights, log-transformed weights, and value-normalized weights where reliable price data are available.</w:t>
      </w:r>
      <w:commentRangeEnd w:id="35"/>
      <w:r>
        <w:rPr>
          <w:rStyle w:val="a6"/>
          <w:color w:val="000000"/>
          <w:sz w:val="22"/>
          <w:szCs w:val="22"/>
        </w:rPr>
        <w:commentReference w:id="35"/>
      </w:r>
    </w:p>
    <w:p w14:paraId="10A605E4" w14:textId="77777777" w:rsidR="00A271CD" w:rsidRDefault="006A4981" w:rsidP="00E11FD9">
      <w:pPr>
        <w:numPr>
          <w:ilvl w:val="1"/>
          <w:numId w:val="21"/>
        </w:numPr>
        <w:pBdr>
          <w:top w:val="nil"/>
          <w:left w:val="nil"/>
          <w:bottom w:val="nil"/>
          <w:right w:val="nil"/>
          <w:between w:val="nil"/>
        </w:pBdr>
        <w:tabs>
          <w:tab w:val="left" w:pos="898"/>
        </w:tabs>
        <w:spacing w:before="148"/>
        <w:ind w:left="898" w:hanging="232"/>
        <w:jc w:val="both"/>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rsidP="00E11FD9">
      <w:pPr>
        <w:numPr>
          <w:ilvl w:val="2"/>
          <w:numId w:val="21"/>
        </w:numPr>
        <w:pBdr>
          <w:top w:val="nil"/>
          <w:left w:val="nil"/>
          <w:bottom w:val="nil"/>
          <w:right w:val="nil"/>
          <w:between w:val="nil"/>
        </w:pBdr>
        <w:tabs>
          <w:tab w:val="left" w:pos="1336"/>
        </w:tabs>
        <w:spacing w:before="95"/>
        <w:ind w:left="1336" w:hanging="250"/>
        <w:jc w:val="both"/>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rsidP="00E11FD9">
      <w:pPr>
        <w:pStyle w:val="2"/>
        <w:numPr>
          <w:ilvl w:val="1"/>
          <w:numId w:val="21"/>
        </w:numPr>
        <w:tabs>
          <w:tab w:val="left" w:pos="898"/>
        </w:tabs>
        <w:spacing w:before="145"/>
        <w:ind w:left="898" w:hanging="232"/>
        <w:jc w:val="both"/>
      </w:pPr>
      <w:r>
        <w:t>Algorithms</w:t>
      </w:r>
    </w:p>
    <w:p w14:paraId="4F03182A" w14:textId="38233B82" w:rsidR="00CE4ED5" w:rsidRDefault="00CE4ED5" w:rsidP="00E11FD9">
      <w:pPr>
        <w:pBdr>
          <w:top w:val="nil"/>
          <w:left w:val="nil"/>
          <w:bottom w:val="nil"/>
          <w:right w:val="nil"/>
          <w:between w:val="nil"/>
        </w:pBdr>
        <w:spacing w:before="6"/>
        <w:jc w:val="both"/>
        <w:rPr>
          <w:rFonts w:eastAsia="Calibri"/>
          <w:b/>
          <w:bCs/>
          <w:color w:val="000000"/>
          <w:sz w:val="24"/>
          <w:szCs w:val="24"/>
        </w:rPr>
      </w:pPr>
      <w:r>
        <w:rPr>
          <w:rFonts w:eastAsia="Calibri"/>
          <w:b/>
          <w:bCs/>
          <w:color w:val="000000"/>
          <w:sz w:val="24"/>
          <w:szCs w:val="24"/>
        </w:rPr>
        <w:t xml:space="preserve">EndorseRank: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with damping factor d = 0.85. This value is retained because 0.85 is the standard PageRank setting, provides a stable balance between diffusion and teleportation, and enables direct comparison with prior graph-ranking studies.</w:t>
      </w:r>
    </w:p>
    <w:p w14:paraId="4B259E9D" w14:textId="4965C36E" w:rsidR="00A271CD" w:rsidRDefault="00A271CD" w:rsidP="00E11FD9">
      <w:pPr>
        <w:pBdr>
          <w:top w:val="nil"/>
          <w:left w:val="nil"/>
          <w:bottom w:val="nil"/>
          <w:right w:val="nil"/>
          <w:between w:val="nil"/>
        </w:pBdr>
        <w:spacing w:before="6"/>
        <w:jc w:val="both"/>
        <w:rPr>
          <w:color w:val="000000"/>
          <w:sz w:val="7"/>
          <w:szCs w:val="7"/>
        </w:rPr>
      </w:pPr>
    </w:p>
    <w:p w14:paraId="7D42BB2F" w14:textId="77777777" w:rsidR="00A271CD" w:rsidRDefault="006A4981" w:rsidP="00E11FD9">
      <w:pPr>
        <w:numPr>
          <w:ilvl w:val="2"/>
          <w:numId w:val="21"/>
        </w:numPr>
        <w:pBdr>
          <w:top w:val="nil"/>
          <w:left w:val="nil"/>
          <w:bottom w:val="nil"/>
          <w:right w:val="nil"/>
          <w:between w:val="nil"/>
        </w:pBdr>
        <w:tabs>
          <w:tab w:val="left" w:pos="1336"/>
        </w:tabs>
        <w:spacing w:before="70"/>
        <w:ind w:left="1336" w:hanging="250"/>
        <w:jc w:val="both"/>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rsidP="00E11FD9">
      <w:pPr>
        <w:pBdr>
          <w:top w:val="nil"/>
          <w:left w:val="nil"/>
          <w:bottom w:val="nil"/>
          <w:right w:val="nil"/>
          <w:between w:val="nil"/>
        </w:pBdr>
        <w:spacing w:before="65"/>
        <w:ind w:left="1337"/>
        <w:jc w:val="both"/>
        <w:rPr>
          <w:color w:val="000000"/>
          <w:sz w:val="24"/>
          <w:szCs w:val="24"/>
        </w:rPr>
      </w:pPr>
      <w:r>
        <w:rPr>
          <w:rFonts w:eastAsia="Calibri"/>
          <w:color w:val="000000"/>
          <w:sz w:val="24"/>
          <w:szCs w:val="24"/>
        </w:rPr>
        <w:t>incorporating time and value decay per Do et al. (2023).</w:t>
      </w:r>
    </w:p>
    <w:p w14:paraId="0A4D8BF5" w14:textId="77777777" w:rsidR="00A271CD" w:rsidRDefault="006A4981" w:rsidP="00E11FD9">
      <w:pPr>
        <w:pStyle w:val="2"/>
        <w:numPr>
          <w:ilvl w:val="1"/>
          <w:numId w:val="21"/>
        </w:numPr>
        <w:tabs>
          <w:tab w:val="left" w:pos="898"/>
        </w:tabs>
        <w:spacing w:before="148"/>
        <w:ind w:left="898" w:hanging="232"/>
        <w:jc w:val="both"/>
      </w:pPr>
      <w:r>
        <w:t>Tools &amp; Environment</w:t>
      </w:r>
    </w:p>
    <w:p w14:paraId="5BFEFE15" w14:textId="77777777" w:rsidR="00A271CD" w:rsidRDefault="006A4981" w:rsidP="00E11FD9">
      <w:pPr>
        <w:numPr>
          <w:ilvl w:val="2"/>
          <w:numId w:val="21"/>
        </w:numPr>
        <w:pBdr>
          <w:top w:val="nil"/>
          <w:left w:val="nil"/>
          <w:bottom w:val="nil"/>
          <w:right w:val="nil"/>
          <w:between w:val="nil"/>
        </w:pBdr>
        <w:tabs>
          <w:tab w:val="left" w:pos="1335"/>
          <w:tab w:val="left" w:pos="1337"/>
        </w:tabs>
        <w:spacing w:before="148" w:line="291" w:lineRule="auto"/>
        <w:ind w:right="933"/>
        <w:jc w:val="both"/>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rsidP="00E11FD9">
      <w:pPr>
        <w:pStyle w:val="2"/>
        <w:numPr>
          <w:ilvl w:val="0"/>
          <w:numId w:val="21"/>
        </w:numPr>
        <w:tabs>
          <w:tab w:val="left" w:pos="383"/>
        </w:tabs>
        <w:spacing w:before="176"/>
        <w:ind w:left="383" w:hanging="298"/>
        <w:jc w:val="both"/>
      </w:pPr>
      <w:r>
        <w:t>Performance Evaluation Procedures</w:t>
      </w:r>
    </w:p>
    <w:p w14:paraId="52C26D61" w14:textId="77777777" w:rsidR="00A271CD" w:rsidRDefault="006A4981" w:rsidP="00E11FD9">
      <w:pPr>
        <w:numPr>
          <w:ilvl w:val="1"/>
          <w:numId w:val="21"/>
        </w:numPr>
        <w:pBdr>
          <w:top w:val="nil"/>
          <w:left w:val="nil"/>
          <w:bottom w:val="nil"/>
          <w:right w:val="nil"/>
          <w:between w:val="nil"/>
        </w:pBdr>
        <w:tabs>
          <w:tab w:val="left" w:pos="898"/>
        </w:tabs>
        <w:spacing w:before="247"/>
        <w:ind w:left="898" w:hanging="232"/>
        <w:jc w:val="both"/>
        <w:rPr>
          <w:color w:val="000000"/>
        </w:rPr>
      </w:pPr>
      <w:r>
        <w:rPr>
          <w:rFonts w:eastAsia="Calibri"/>
          <w:color w:val="000000"/>
          <w:sz w:val="24"/>
          <w:szCs w:val="24"/>
        </w:rPr>
        <w:t>Predictive Performance</w:t>
      </w:r>
    </w:p>
    <w:p w14:paraId="07EB0AC4" w14:textId="77777777" w:rsidR="00A271CD" w:rsidRDefault="006A4981" w:rsidP="00E11FD9">
      <w:pPr>
        <w:numPr>
          <w:ilvl w:val="2"/>
          <w:numId w:val="21"/>
        </w:numPr>
        <w:pBdr>
          <w:top w:val="nil"/>
          <w:left w:val="nil"/>
          <w:bottom w:val="nil"/>
          <w:right w:val="nil"/>
          <w:between w:val="nil"/>
        </w:pBdr>
        <w:tabs>
          <w:tab w:val="left" w:pos="1336"/>
        </w:tabs>
        <w:spacing w:before="148"/>
        <w:ind w:left="1336" w:hanging="250"/>
        <w:jc w:val="both"/>
        <w:rPr>
          <w:color w:val="000000"/>
        </w:rPr>
      </w:pPr>
      <w:r>
        <w:rPr>
          <w:rFonts w:eastAsia="Calibri"/>
          <w:color w:val="000000"/>
          <w:sz w:val="24"/>
          <w:szCs w:val="24"/>
        </w:rPr>
        <w:t>Features: EndorseRank and AWP scores.</w:t>
      </w:r>
    </w:p>
    <w:p w14:paraId="5F08C397"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color w:val="000000"/>
          <w:sz w:val="24"/>
          <w:szCs w:val="24"/>
        </w:rPr>
        <w:t>Labels: Binary default status.</w:t>
      </w:r>
    </w:p>
    <w:p w14:paraId="055D9A97" w14:textId="77777777" w:rsidR="00CE4ED5" w:rsidRDefault="00CE4ED5"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r>
        <w:rPr>
          <w:rFonts w:eastAsia="Calibri"/>
          <w:color w:val="000000"/>
          <w:sz w:val="24"/>
          <w:szCs w:val="24"/>
        </w:rPr>
        <w:t>Models: Logistic regression and random forest. Logistic regression is used as an interpretable linear baseline, while random forest captures nonlinear interactions and offers a stronger benchmark for mixed on-chain feature patterns.</w:t>
      </w:r>
    </w:p>
    <w:p w14:paraId="4D9D2FBC" w14:textId="44C2EF28" w:rsidR="00A271CD" w:rsidRDefault="006A4981" w:rsidP="00E11FD9">
      <w:pPr>
        <w:numPr>
          <w:ilvl w:val="2"/>
          <w:numId w:val="21"/>
        </w:numPr>
        <w:pBdr>
          <w:top w:val="nil"/>
          <w:left w:val="nil"/>
          <w:bottom w:val="nil"/>
          <w:right w:val="nil"/>
          <w:between w:val="nil"/>
        </w:pBdr>
        <w:tabs>
          <w:tab w:val="left" w:pos="1336"/>
        </w:tabs>
        <w:spacing w:before="106"/>
        <w:ind w:left="1336" w:hanging="250"/>
        <w:jc w:val="both"/>
        <w:rPr>
          <w:color w:val="000000"/>
        </w:rPr>
      </w:pPr>
      <w:r>
        <w:rPr>
          <w:rFonts w:eastAsia="Calibri"/>
          <w:color w:val="000000"/>
          <w:sz w:val="24"/>
          <w:szCs w:val="24"/>
        </w:rPr>
        <w:t>Metrics: AUC, Precision@k, Recall, F1-score.</w:t>
      </w:r>
    </w:p>
    <w:p w14:paraId="301DF66F" w14:textId="77777777" w:rsidR="00E11FD9" w:rsidRPr="00E11FD9" w:rsidRDefault="00CE4ED5" w:rsidP="00E11FD9">
      <w:pPr>
        <w:numPr>
          <w:ilvl w:val="1"/>
          <w:numId w:val="21"/>
        </w:numPr>
        <w:pBdr>
          <w:top w:val="nil"/>
          <w:left w:val="nil"/>
          <w:bottom w:val="nil"/>
          <w:right w:val="nil"/>
          <w:between w:val="nil"/>
        </w:pBdr>
        <w:tabs>
          <w:tab w:val="left" w:pos="898"/>
        </w:tabs>
        <w:spacing w:before="145"/>
        <w:ind w:left="898" w:hanging="232"/>
        <w:jc w:val="both"/>
        <w:rPr>
          <w:rFonts w:eastAsia="Calibri"/>
          <w:color w:val="000000"/>
          <w:sz w:val="24"/>
          <w:szCs w:val="24"/>
        </w:rPr>
      </w:pPr>
      <w:r>
        <w:rPr>
          <w:rFonts w:eastAsia="Calibri"/>
          <w:color w:val="000000"/>
          <w:sz w:val="24"/>
          <w:szCs w:val="24"/>
        </w:rPr>
        <w:t>Validation: 5-fold cross-validation, reporting mean +/- SD. Five folds provide a practical bias-variance trade-off while keeping repeated model fitting manageable for multiple baselines, robustness checks, and hardware-limited experiments.</w:t>
      </w:r>
    </w:p>
    <w:p w14:paraId="7E7FBEFA" w14:textId="3338A179" w:rsidR="00B574BB" w:rsidRPr="00E11FD9" w:rsidRDefault="00000000"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commentRangeStart w:id="36"/>
      <w:r w:rsidRPr="00E11FD9">
        <w:rPr>
          <w:rFonts w:eastAsia="Calibri"/>
          <w:color w:val="000000"/>
          <w:sz w:val="24"/>
          <w:szCs w:val="24"/>
        </w:rPr>
        <w:t>Temporal</w:t>
      </w:r>
      <w:r>
        <w:t xml:space="preserve"> validation will be used alongside cross-validation to prevent look-ahead bias: graph features and reputation scores will be computed from events before the prediction cut-off, while liquidation/default labels will be drawn from a subsequent outcome window. This separation ensures that the model is evaluated on forward-looking predictive performance rather than on information that would not have been available at scoring </w:t>
      </w:r>
      <w:r>
        <w:lastRenderedPageBreak/>
        <w:t>time.</w:t>
      </w:r>
      <w:commentRangeEnd w:id="36"/>
      <w:r w:rsidRPr="00E11FD9">
        <w:rPr>
          <w:rStyle w:val="a6"/>
          <w:rFonts w:eastAsia="Calibri"/>
          <w:color w:val="000000"/>
          <w:sz w:val="24"/>
          <w:szCs w:val="24"/>
        </w:rPr>
        <w:commentReference w:id="36"/>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EndorseRank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37" w:name="45rnrcbg0xji" w:colFirst="0" w:colLast="0"/>
      <w:bookmarkStart w:id="38" w:name="_a7l5q7j67hzk" w:colFirst="0" w:colLast="0"/>
      <w:bookmarkEnd w:id="37"/>
      <w:bookmarkEnd w:id="38"/>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EndorseRank’s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39" w:name="jkv0mfuoi5pt" w:colFirst="0" w:colLast="0"/>
      <w:bookmarkStart w:id="40" w:name="_guzs0k6m505l" w:colFirst="0" w:colLast="0"/>
      <w:bookmarkEnd w:id="39"/>
      <w:bookmarkEnd w:id="40"/>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EndorseRank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Event Completeness: We rely on public event logs (Approve, Permit, Transfer) from Ethereum archives or BigQuery. Some missing or misindexed events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EndorseRank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EndorseRank’s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EndorseRank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EndorseRank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41" w:name="uqhhroc5ij8t" w:colFirst="0" w:colLast="0"/>
      <w:bookmarkEnd w:id="41"/>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spacing w:before="120" w:line="276" w:lineRule="auto"/>
        <w:jc w:val="both"/>
        <w:rPr>
          <w:color w:val="000000"/>
        </w:rPr>
      </w:pPr>
      <w:r>
        <w:rPr>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UNISA's research ethics principles on privacy, confidentiality, responsible data management, and prior ethics </w:t>
      </w:r>
      <w:r w:rsidR="00430964">
        <w:rPr>
          <w:color w:val="000000"/>
        </w:rPr>
        <w:t>reviews</w:t>
      </w:r>
      <w:r>
        <w:rPr>
          <w:color w:val="000000"/>
        </w:rPr>
        <w:t xml:space="preserve"> where required.</w:t>
      </w:r>
    </w:p>
    <w:p w14:paraId="118C6319" w14:textId="77777777" w:rsidR="00B574BB" w:rsidRDefault="00000000">
      <w:pPr>
        <w:spacing w:before="120" w:line="276" w:lineRule="auto"/>
        <w:jc w:val="both"/>
      </w:pPr>
      <w:commentRangeStart w:id="42"/>
      <w:r>
        <w:t>Ethics clearance process: before starting the empirical data collection and analysis phase, the researcher will submit the proposal, data-management plan, and public-data justification to the relevant UNISA School ethics process. If the study is classified as exempt or low risk because it uses public pseudonymous blockchain data and no human-participant intervention, the exemption or clearance confirmation will be retained as part of the research record. No attempt will be made to deanonymize wallet owners, combine wallet addresses with off-chain personal data, or publish address-level findings in a way that could reasonably identify individuals.</w:t>
      </w:r>
      <w:commentRangeEnd w:id="42"/>
      <w:r>
        <w:rPr>
          <w:rStyle w:val="a6"/>
          <w:sz w:val="22"/>
          <w:szCs w:val="22"/>
        </w:rPr>
        <w:commentReference w:id="42"/>
      </w:r>
    </w:p>
    <w:p w14:paraId="7DB9C0C1" w14:textId="77777777" w:rsidR="00CE4ED5" w:rsidRDefault="00CE4ED5">
      <w:pPr>
        <w:pStyle w:val="2"/>
        <w:numPr>
          <w:ilvl w:val="0"/>
          <w:numId w:val="18"/>
        </w:numPr>
        <w:tabs>
          <w:tab w:val="left" w:pos="383"/>
        </w:tabs>
        <w:ind w:left="383" w:hanging="298"/>
      </w:pPr>
      <w: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xml:space="preserve">: We will not broadcast transactions or otherwise interact with smart contracts in ways that could disrupt network operations </w:t>
      </w:r>
      <w:r>
        <w:rPr>
          <w:rFonts w:eastAsia="Calibri"/>
          <w:color w:val="000000"/>
          <w:sz w:val="24"/>
          <w:szCs w:val="24"/>
        </w:rPr>
        <w:lastRenderedPageBreak/>
        <w:t>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EndorseRank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EndorseRank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43" w:name="k8dms91qc4y1" w:colFirst="0" w:colLast="0"/>
      <w:bookmarkEnd w:id="43"/>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51C27F23" w14:textId="77777777" w:rsidR="00B574BB" w:rsidRDefault="00000000">
      <w:pPr>
        <w:spacing w:before="120" w:line="276" w:lineRule="auto"/>
        <w:jc w:val="both"/>
      </w:pPr>
      <w:commentRangeStart w:id="44"/>
      <w:r>
        <w:t>At doctoral level, the intended original contribution is the formulation and empirical validation of allowance-based wallet reputation as a distinct class of on-chain trust signal. The study is positioned to contribute new knowledge by showing whether explicit authorization relationships can produce a reputation metric that is theoretically interpretable, predictive of financial risk, and computationally more scalable than transaction-history-based PageRank baselines.</w:t>
      </w:r>
      <w:commentRangeEnd w:id="44"/>
      <w:r>
        <w:rPr>
          <w:rStyle w:val="a6"/>
          <w:sz w:val="22"/>
          <w:szCs w:val="22"/>
        </w:rPr>
        <w:commentReference w:id="44"/>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EndorseRank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EndorseRank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EndorseRank demonstrates that a sparser approval graph can yield reputation scores with comparable or superior predictive power to transfer-based PageRank, while reducing computation time, 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w:t>
      </w:r>
      <w:r w:rsidRPr="00430964">
        <w:rPr>
          <w:rFonts w:eastAsia="Calibri"/>
          <w:color w:val="000000"/>
          <w:sz w:val="24"/>
          <w:szCs w:val="24"/>
        </w:rPr>
        <w:lastRenderedPageBreak/>
        <w:t>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EndorseRank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EndorseRank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EndorseRank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EndorseRank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45" w:name="ckhs5wg3oxgf" w:colFirst="0" w:colLast="0"/>
      <w:bookmarkStart w:id="46" w:name="_21vul5jr55yh" w:colFirst="0" w:colLast="0"/>
      <w:bookmarkEnd w:id="45"/>
      <w:bookmarkEnd w:id="46"/>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t>The following 20-month schedule assumes that the research proposal will be approved by 31 May 2026. The revised timeline therefore begins with post-approval research activities in June 2026 and includes thesis-writing milestones as well as the preparation and submission of journal articles based on the research results.</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Table 3: Research Project Schedule</w:t>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4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4331"/>
        <w:gridCol w:w="2967"/>
      </w:tblGrid>
      <w:tr w:rsidR="00A271CD" w14:paraId="1A7473E7" w14:textId="77777777" w:rsidTr="005A6612">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Period</w:t>
            </w:r>
          </w:p>
        </w:tc>
        <w:tc>
          <w:tcPr>
            <w:tcW w:w="4331"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Activities</w:t>
            </w:r>
          </w:p>
        </w:tc>
        <w:tc>
          <w:tcPr>
            <w:tcW w:w="2967"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Deliverables</w:t>
            </w:r>
          </w:p>
        </w:tc>
      </w:tr>
      <w:tr w:rsidR="00AD703D" w14:paraId="76D5AF3D" w14:textId="77777777" w:rsidTr="005A6612">
        <w:tc>
          <w:tcPr>
            <w:tcW w:w="1948" w:type="dxa"/>
          </w:tcPr>
          <w:p w14:paraId="271C552D" w14:textId="77777777" w:rsidR="00AD703D" w:rsidRDefault="00000000">
            <w:r>
              <w:rPr>
                <w:sz w:val="20"/>
              </w:rPr>
              <w:t>By 31 May 2026</w:t>
            </w:r>
          </w:p>
        </w:tc>
        <w:tc>
          <w:tcPr>
            <w:tcW w:w="4331" w:type="dxa"/>
          </w:tcPr>
          <w:p w14:paraId="25F8804D" w14:textId="77777777" w:rsidR="005A6612" w:rsidRPr="005A6612" w:rsidRDefault="00000000" w:rsidP="005A6612">
            <w:pPr>
              <w:pStyle w:val="ac"/>
              <w:numPr>
                <w:ilvl w:val="0"/>
                <w:numId w:val="45"/>
              </w:numPr>
              <w:ind w:leftChars="0"/>
            </w:pPr>
            <w:r w:rsidRPr="005A6612">
              <w:rPr>
                <w:sz w:val="20"/>
              </w:rPr>
              <w:t>Complete final proposal revisions</w:t>
            </w:r>
          </w:p>
          <w:p w14:paraId="04FC6BB4" w14:textId="26019687" w:rsidR="00AD703D" w:rsidRDefault="00000000" w:rsidP="005A6612">
            <w:pPr>
              <w:pStyle w:val="ac"/>
              <w:numPr>
                <w:ilvl w:val="0"/>
                <w:numId w:val="45"/>
              </w:numPr>
              <w:ind w:leftChars="0"/>
            </w:pPr>
            <w:r w:rsidRPr="005A6612">
              <w:rPr>
                <w:sz w:val="20"/>
              </w:rPr>
              <w:t>Obtain supervisor and departmental approval of the proposal</w:t>
            </w:r>
            <w:r w:rsidRPr="005A6612">
              <w:rPr>
                <w:sz w:val="20"/>
              </w:rPr>
              <w:br/>
              <w:t>Confirm the approved research scope and timeline</w:t>
            </w:r>
          </w:p>
        </w:tc>
        <w:tc>
          <w:tcPr>
            <w:tcW w:w="2967" w:type="dxa"/>
          </w:tcPr>
          <w:p w14:paraId="62BC8F63" w14:textId="77777777" w:rsidR="00AD703D" w:rsidRDefault="00000000">
            <w:r>
              <w:rPr>
                <w:sz w:val="20"/>
              </w:rPr>
              <w:t>Approved research proposal</w:t>
            </w:r>
            <w:r>
              <w:rPr>
                <w:sz w:val="20"/>
              </w:rPr>
              <w:br/>
              <w:t>Confirmed post-approval work plan</w:t>
            </w:r>
          </w:p>
        </w:tc>
      </w:tr>
      <w:tr w:rsidR="00AD703D" w14:paraId="764DA200" w14:textId="77777777" w:rsidTr="005A6612">
        <w:tc>
          <w:tcPr>
            <w:tcW w:w="1948" w:type="dxa"/>
          </w:tcPr>
          <w:p w14:paraId="7EB0B509" w14:textId="77777777" w:rsidR="00AD703D" w:rsidRDefault="00000000">
            <w:r>
              <w:rPr>
                <w:sz w:val="20"/>
              </w:rPr>
              <w:t>June 2026</w:t>
            </w:r>
          </w:p>
        </w:tc>
        <w:tc>
          <w:tcPr>
            <w:tcW w:w="4331" w:type="dxa"/>
          </w:tcPr>
          <w:p w14:paraId="6343FDB6" w14:textId="77777777" w:rsidR="005A6612" w:rsidRPr="005A6612" w:rsidRDefault="00000000" w:rsidP="005A6612">
            <w:pPr>
              <w:pStyle w:val="ac"/>
              <w:numPr>
                <w:ilvl w:val="0"/>
                <w:numId w:val="45"/>
              </w:numPr>
              <w:ind w:leftChars="0"/>
            </w:pPr>
            <w:r w:rsidRPr="005A6612">
              <w:rPr>
                <w:sz w:val="20"/>
              </w:rPr>
              <w:t>Prepare the post-approval research protocol</w:t>
            </w:r>
          </w:p>
          <w:p w14:paraId="1AF681D7" w14:textId="77777777" w:rsidR="005A6612" w:rsidRPr="005A6612" w:rsidRDefault="00000000" w:rsidP="005A6612">
            <w:pPr>
              <w:pStyle w:val="ac"/>
              <w:numPr>
                <w:ilvl w:val="0"/>
                <w:numId w:val="45"/>
              </w:numPr>
              <w:ind w:leftChars="0"/>
            </w:pPr>
            <w:r w:rsidRPr="005A6612">
              <w:rPr>
                <w:sz w:val="20"/>
              </w:rPr>
              <w:t>Finalize data-management and ethics-alignment procedures</w:t>
            </w:r>
          </w:p>
          <w:p w14:paraId="5C1E2077" w14:textId="54389D47" w:rsidR="00AD703D" w:rsidRDefault="00000000" w:rsidP="005A6612">
            <w:pPr>
              <w:pStyle w:val="ac"/>
              <w:numPr>
                <w:ilvl w:val="0"/>
                <w:numId w:val="45"/>
              </w:numPr>
              <w:ind w:leftChars="0"/>
            </w:pPr>
            <w:r w:rsidRPr="005A6612">
              <w:rPr>
                <w:sz w:val="20"/>
              </w:rPr>
              <w:t>Set up the development and analysis environment</w:t>
            </w:r>
          </w:p>
        </w:tc>
        <w:tc>
          <w:tcPr>
            <w:tcW w:w="2967" w:type="dxa"/>
          </w:tcPr>
          <w:p w14:paraId="0AD05B5C" w14:textId="77777777" w:rsidR="00AD703D" w:rsidRDefault="00000000">
            <w:r>
              <w:rPr>
                <w:sz w:val="20"/>
              </w:rPr>
              <w:t>Approved research protocol</w:t>
            </w:r>
            <w:r>
              <w:rPr>
                <w:sz w:val="20"/>
              </w:rPr>
              <w:br/>
              <w:t>Data-management checklist</w:t>
            </w:r>
            <w:r>
              <w:rPr>
                <w:sz w:val="20"/>
              </w:rPr>
              <w:br/>
              <w:t>Configured research environment</w:t>
            </w:r>
          </w:p>
        </w:tc>
      </w:tr>
      <w:tr w:rsidR="00AD703D" w14:paraId="7A4BA736" w14:textId="77777777" w:rsidTr="005A6612">
        <w:tc>
          <w:tcPr>
            <w:tcW w:w="1948" w:type="dxa"/>
          </w:tcPr>
          <w:p w14:paraId="1B4CC214" w14:textId="77777777" w:rsidR="00AD703D" w:rsidRDefault="00000000">
            <w:r>
              <w:rPr>
                <w:sz w:val="20"/>
              </w:rPr>
              <w:t>July-August 2026</w:t>
            </w:r>
          </w:p>
        </w:tc>
        <w:tc>
          <w:tcPr>
            <w:tcW w:w="4331" w:type="dxa"/>
          </w:tcPr>
          <w:p w14:paraId="53D6EBF7" w14:textId="77777777" w:rsidR="005A6612" w:rsidRPr="005A6612" w:rsidRDefault="00000000" w:rsidP="005A6612">
            <w:pPr>
              <w:pStyle w:val="ac"/>
              <w:numPr>
                <w:ilvl w:val="0"/>
                <w:numId w:val="45"/>
              </w:numPr>
              <w:ind w:leftChars="0"/>
            </w:pPr>
            <w:r w:rsidRPr="005A6612">
              <w:rPr>
                <w:sz w:val="20"/>
              </w:rPr>
              <w:t>Develop and test the data-acquisition pipeline</w:t>
            </w:r>
          </w:p>
          <w:p w14:paraId="6ABE3847" w14:textId="18CB8C6D" w:rsidR="00AD703D" w:rsidRDefault="00000000" w:rsidP="005A6612">
            <w:pPr>
              <w:pStyle w:val="ac"/>
              <w:numPr>
                <w:ilvl w:val="0"/>
                <w:numId w:val="45"/>
              </w:numPr>
              <w:ind w:leftChars="0"/>
            </w:pPr>
            <w:r w:rsidRPr="005A6612">
              <w:rPr>
                <w:sz w:val="20"/>
              </w:rPr>
              <w:t>Extract ERC-20 Approve/Permit and Transfer events</w:t>
            </w:r>
            <w:r w:rsidRPr="005A6612">
              <w:rPr>
                <w:sz w:val="20"/>
              </w:rPr>
              <w:br/>
              <w:t>Identify and label Aave liquidation transactions</w:t>
            </w:r>
          </w:p>
        </w:tc>
        <w:tc>
          <w:tcPr>
            <w:tcW w:w="2967" w:type="dxa"/>
          </w:tcPr>
          <w:p w14:paraId="1E81F2C8" w14:textId="77777777" w:rsidR="00AD703D" w:rsidRDefault="00000000">
            <w:r>
              <w:rPr>
                <w:sz w:val="20"/>
              </w:rPr>
              <w:t>ETL scripts</w:t>
            </w:r>
            <w:r>
              <w:rPr>
                <w:sz w:val="20"/>
              </w:rPr>
              <w:br/>
              <w:t>Raw event datasets</w:t>
            </w:r>
            <w:r>
              <w:rPr>
                <w:sz w:val="20"/>
              </w:rPr>
              <w:br/>
              <w:t>Liquidation labels file</w:t>
            </w:r>
          </w:p>
        </w:tc>
      </w:tr>
      <w:tr w:rsidR="00AD703D" w14:paraId="2A7E325F" w14:textId="77777777" w:rsidTr="005A6612">
        <w:tc>
          <w:tcPr>
            <w:tcW w:w="1948" w:type="dxa"/>
          </w:tcPr>
          <w:p w14:paraId="435ACA8A" w14:textId="77777777" w:rsidR="00AD703D" w:rsidRDefault="00000000">
            <w:r>
              <w:rPr>
                <w:sz w:val="20"/>
              </w:rPr>
              <w:t>September-October 2026</w:t>
            </w:r>
          </w:p>
        </w:tc>
        <w:tc>
          <w:tcPr>
            <w:tcW w:w="4331" w:type="dxa"/>
          </w:tcPr>
          <w:p w14:paraId="0D18D6CB" w14:textId="77777777" w:rsidR="00AD703D" w:rsidRDefault="00000000">
            <w:r>
              <w:rPr>
                <w:sz w:val="20"/>
              </w:rPr>
              <w:t>Clean and validate the extracted datasets</w:t>
            </w:r>
            <w:r>
              <w:rPr>
                <w:sz w:val="20"/>
              </w:rPr>
              <w:br/>
              <w:t>Construct wallet-transaction graphs</w:t>
            </w:r>
            <w:r>
              <w:rPr>
                <w:sz w:val="20"/>
              </w:rPr>
              <w:br/>
              <w:t>Engineer allowance, transfer, and liquidation-related features</w:t>
            </w:r>
          </w:p>
        </w:tc>
        <w:tc>
          <w:tcPr>
            <w:tcW w:w="2967" w:type="dxa"/>
          </w:tcPr>
          <w:p w14:paraId="0CF4E83D" w14:textId="77777777" w:rsidR="00AD703D" w:rsidRDefault="00000000">
            <w:r>
              <w:rPr>
                <w:sz w:val="20"/>
              </w:rPr>
              <w:t>Validated analysis dataset</w:t>
            </w:r>
            <w:r>
              <w:rPr>
                <w:sz w:val="20"/>
              </w:rPr>
              <w:br/>
              <w:t>Wallet graph datasets</w:t>
            </w:r>
            <w:r>
              <w:rPr>
                <w:sz w:val="20"/>
              </w:rPr>
              <w:br/>
              <w:t>Feature dictionary</w:t>
            </w:r>
          </w:p>
        </w:tc>
      </w:tr>
      <w:tr w:rsidR="00AD703D" w14:paraId="16F90A06" w14:textId="77777777" w:rsidTr="005A6612">
        <w:tc>
          <w:tcPr>
            <w:tcW w:w="1948" w:type="dxa"/>
          </w:tcPr>
          <w:p w14:paraId="465F218E" w14:textId="77777777" w:rsidR="00AD703D" w:rsidRDefault="00000000">
            <w:r>
              <w:rPr>
                <w:sz w:val="20"/>
              </w:rPr>
              <w:t>November-December 2026</w:t>
            </w:r>
          </w:p>
        </w:tc>
        <w:tc>
          <w:tcPr>
            <w:tcW w:w="4331" w:type="dxa"/>
          </w:tcPr>
          <w:p w14:paraId="4A972385" w14:textId="77777777" w:rsidR="00AD703D" w:rsidRDefault="00000000">
            <w:r>
              <w:rPr>
                <w:sz w:val="20"/>
              </w:rPr>
              <w:t>Implement the EndorseRank reputation-scoring model</w:t>
            </w:r>
            <w:r>
              <w:rPr>
                <w:sz w:val="20"/>
              </w:rPr>
              <w:br/>
              <w:t>Implement AWP and PageRank baselines</w:t>
            </w:r>
            <w:r>
              <w:rPr>
                <w:sz w:val="20"/>
              </w:rPr>
              <w:br/>
              <w:t>Run initial parameter-sensitivity checks</w:t>
            </w:r>
          </w:p>
        </w:tc>
        <w:tc>
          <w:tcPr>
            <w:tcW w:w="2967" w:type="dxa"/>
          </w:tcPr>
          <w:p w14:paraId="233A847A" w14:textId="77777777" w:rsidR="00AD703D" w:rsidRDefault="00000000">
            <w:r>
              <w:rPr>
                <w:sz w:val="20"/>
              </w:rPr>
              <w:t>Model implementation</w:t>
            </w:r>
            <w:r>
              <w:rPr>
                <w:sz w:val="20"/>
              </w:rPr>
              <w:br/>
              <w:t>Baseline implementation</w:t>
            </w:r>
            <w:r>
              <w:rPr>
                <w:sz w:val="20"/>
              </w:rPr>
              <w:br/>
              <w:t>Preliminary scoring outputs</w:t>
            </w:r>
          </w:p>
        </w:tc>
      </w:tr>
      <w:tr w:rsidR="00AD703D" w14:paraId="19747B44" w14:textId="77777777" w:rsidTr="005A6612">
        <w:tc>
          <w:tcPr>
            <w:tcW w:w="1948" w:type="dxa"/>
          </w:tcPr>
          <w:p w14:paraId="6B024984" w14:textId="77777777" w:rsidR="00AD703D" w:rsidRDefault="00000000">
            <w:r>
              <w:rPr>
                <w:sz w:val="20"/>
              </w:rPr>
              <w:t>January-February 2027</w:t>
            </w:r>
          </w:p>
        </w:tc>
        <w:tc>
          <w:tcPr>
            <w:tcW w:w="4331" w:type="dxa"/>
          </w:tcPr>
          <w:p w14:paraId="51CB35C7" w14:textId="77777777" w:rsidR="00AD703D" w:rsidRDefault="00000000">
            <w:r>
              <w:rPr>
                <w:sz w:val="20"/>
              </w:rPr>
              <w:t>Evaluate rank correlation and predictive validity</w:t>
            </w:r>
            <w:r>
              <w:rPr>
                <w:sz w:val="20"/>
              </w:rPr>
              <w:br/>
            </w:r>
            <w:r>
              <w:rPr>
                <w:sz w:val="20"/>
              </w:rPr>
              <w:lastRenderedPageBreak/>
              <w:t>Run logistic regression and random forest experiments</w:t>
            </w:r>
            <w:r>
              <w:rPr>
                <w:sz w:val="20"/>
              </w:rPr>
              <w:br/>
              <w:t>Assess computational efficiency and robustness</w:t>
            </w:r>
          </w:p>
        </w:tc>
        <w:tc>
          <w:tcPr>
            <w:tcW w:w="2967" w:type="dxa"/>
          </w:tcPr>
          <w:p w14:paraId="7BDAF1A0" w14:textId="77777777" w:rsidR="00AD703D" w:rsidRDefault="00000000">
            <w:r>
              <w:rPr>
                <w:sz w:val="20"/>
              </w:rPr>
              <w:lastRenderedPageBreak/>
              <w:t>Evaluation results</w:t>
            </w:r>
            <w:r>
              <w:rPr>
                <w:sz w:val="20"/>
              </w:rPr>
              <w:br/>
            </w:r>
            <w:r>
              <w:rPr>
                <w:sz w:val="20"/>
              </w:rPr>
              <w:lastRenderedPageBreak/>
              <w:t>Risk-prediction results</w:t>
            </w:r>
            <w:r>
              <w:rPr>
                <w:sz w:val="20"/>
              </w:rPr>
              <w:br/>
              <w:t>Robustness and efficiency analysis</w:t>
            </w:r>
          </w:p>
        </w:tc>
      </w:tr>
      <w:tr w:rsidR="00AD703D" w14:paraId="1ADAC447" w14:textId="77777777" w:rsidTr="005A6612">
        <w:tc>
          <w:tcPr>
            <w:tcW w:w="1948" w:type="dxa"/>
          </w:tcPr>
          <w:p w14:paraId="24A9A829" w14:textId="77777777" w:rsidR="00AD703D" w:rsidRDefault="00000000">
            <w:r>
              <w:rPr>
                <w:sz w:val="20"/>
              </w:rPr>
              <w:lastRenderedPageBreak/>
              <w:t>March 2027</w:t>
            </w:r>
          </w:p>
        </w:tc>
        <w:tc>
          <w:tcPr>
            <w:tcW w:w="4331" w:type="dxa"/>
          </w:tcPr>
          <w:p w14:paraId="1BA4F92D" w14:textId="77777777" w:rsidR="00AD703D" w:rsidRDefault="00000000">
            <w:r>
              <w:rPr>
                <w:sz w:val="20"/>
              </w:rPr>
              <w:t>Interpret empirical results</w:t>
            </w:r>
            <w:r>
              <w:rPr>
                <w:sz w:val="20"/>
              </w:rPr>
              <w:br/>
              <w:t>Prepare figures, tables, and chapter-level findings</w:t>
            </w:r>
            <w:r>
              <w:rPr>
                <w:sz w:val="20"/>
              </w:rPr>
              <w:br/>
              <w:t>Discuss results against the research objectives</w:t>
            </w:r>
          </w:p>
        </w:tc>
        <w:tc>
          <w:tcPr>
            <w:tcW w:w="2967" w:type="dxa"/>
          </w:tcPr>
          <w:p w14:paraId="22F7E361" w14:textId="77777777" w:rsidR="00AD703D" w:rsidRDefault="00000000">
            <w:r>
              <w:rPr>
                <w:sz w:val="20"/>
              </w:rPr>
              <w:t>Results chapter materials</w:t>
            </w:r>
            <w:r>
              <w:rPr>
                <w:sz w:val="20"/>
              </w:rPr>
              <w:br/>
              <w:t>Updated analysis tables and figures</w:t>
            </w:r>
          </w:p>
        </w:tc>
      </w:tr>
      <w:tr w:rsidR="00AD703D" w14:paraId="3E6994A6" w14:textId="77777777" w:rsidTr="005A6612">
        <w:tc>
          <w:tcPr>
            <w:tcW w:w="1948" w:type="dxa"/>
          </w:tcPr>
          <w:p w14:paraId="55A88892" w14:textId="77777777" w:rsidR="00AD703D" w:rsidRDefault="00000000">
            <w:r>
              <w:rPr>
                <w:sz w:val="20"/>
              </w:rPr>
              <w:t>April 2027</w:t>
            </w:r>
          </w:p>
        </w:tc>
        <w:tc>
          <w:tcPr>
            <w:tcW w:w="4331" w:type="dxa"/>
          </w:tcPr>
          <w:p w14:paraId="3D8C2C65" w14:textId="77777777" w:rsidR="00AD703D" w:rsidRDefault="00000000">
            <w:r>
              <w:rPr>
                <w:sz w:val="20"/>
              </w:rPr>
              <w:t>Draft the first journal article from the model and evaluation results</w:t>
            </w:r>
            <w:r>
              <w:rPr>
                <w:sz w:val="20"/>
              </w:rPr>
              <w:br/>
              <w:t>Align the article with an accredited journal scope</w:t>
            </w:r>
            <w:r>
              <w:rPr>
                <w:sz w:val="20"/>
              </w:rPr>
              <w:br/>
              <w:t>Circulate the draft for supervisor feedback</w:t>
            </w:r>
          </w:p>
        </w:tc>
        <w:tc>
          <w:tcPr>
            <w:tcW w:w="2967" w:type="dxa"/>
          </w:tcPr>
          <w:p w14:paraId="458FF2FC" w14:textId="77777777" w:rsidR="00AD703D" w:rsidRDefault="00000000">
            <w:r>
              <w:rPr>
                <w:sz w:val="20"/>
              </w:rPr>
              <w:t>First journal article draft</w:t>
            </w:r>
            <w:r>
              <w:rPr>
                <w:sz w:val="20"/>
              </w:rPr>
              <w:br/>
              <w:t>Target journal shortlist</w:t>
            </w:r>
            <w:r>
              <w:rPr>
                <w:sz w:val="20"/>
              </w:rPr>
              <w:br/>
              <w:t>Supervisor feedback record</w:t>
            </w:r>
          </w:p>
        </w:tc>
      </w:tr>
      <w:tr w:rsidR="00AD703D" w14:paraId="050F53A8" w14:textId="77777777" w:rsidTr="005A6612">
        <w:tc>
          <w:tcPr>
            <w:tcW w:w="1948" w:type="dxa"/>
          </w:tcPr>
          <w:p w14:paraId="73787BBE" w14:textId="77777777" w:rsidR="00AD703D" w:rsidRDefault="00000000">
            <w:r>
              <w:rPr>
                <w:sz w:val="20"/>
              </w:rPr>
              <w:t>May 2027</w:t>
            </w:r>
          </w:p>
        </w:tc>
        <w:tc>
          <w:tcPr>
            <w:tcW w:w="4331" w:type="dxa"/>
          </w:tcPr>
          <w:p w14:paraId="70302740" w14:textId="77777777" w:rsidR="00AD703D" w:rsidRDefault="00000000">
            <w:r>
              <w:rPr>
                <w:sz w:val="20"/>
              </w:rPr>
              <w:t>Revise and submit the first journal article to an accredited journal</w:t>
            </w:r>
            <w:r>
              <w:rPr>
                <w:sz w:val="20"/>
              </w:rPr>
              <w:br/>
              <w:t>Incorporate article findings into the thesis draft</w:t>
            </w:r>
          </w:p>
        </w:tc>
        <w:tc>
          <w:tcPr>
            <w:tcW w:w="2967" w:type="dxa"/>
          </w:tcPr>
          <w:p w14:paraId="025EAC94" w14:textId="77777777" w:rsidR="00AD703D" w:rsidRDefault="00000000">
            <w:r>
              <w:rPr>
                <w:sz w:val="20"/>
              </w:rPr>
              <w:t>Submitted first journal article</w:t>
            </w:r>
            <w:r>
              <w:rPr>
                <w:sz w:val="20"/>
              </w:rPr>
              <w:br/>
              <w:t>Updated thesis results chapter</w:t>
            </w:r>
          </w:p>
        </w:tc>
      </w:tr>
      <w:tr w:rsidR="00AD703D" w14:paraId="675ECC54" w14:textId="77777777" w:rsidTr="005A6612">
        <w:tc>
          <w:tcPr>
            <w:tcW w:w="1948" w:type="dxa"/>
          </w:tcPr>
          <w:p w14:paraId="3808F5C1" w14:textId="77777777" w:rsidR="00AD703D" w:rsidRDefault="00000000">
            <w:r>
              <w:rPr>
                <w:sz w:val="20"/>
              </w:rPr>
              <w:t>June-July 2027</w:t>
            </w:r>
          </w:p>
        </w:tc>
        <w:tc>
          <w:tcPr>
            <w:tcW w:w="4331" w:type="dxa"/>
          </w:tcPr>
          <w:p w14:paraId="4AC8AD8B" w14:textId="77777777" w:rsidR="00AD703D" w:rsidRDefault="00000000">
            <w:r>
              <w:rPr>
                <w:sz w:val="20"/>
              </w:rPr>
              <w:t>Draft and revise the introduction, literature review, and methodology chapters</w:t>
            </w:r>
            <w:r>
              <w:rPr>
                <w:sz w:val="20"/>
              </w:rPr>
              <w:br/>
              <w:t>Integrate supervisor comments across completed chapters</w:t>
            </w:r>
            <w:r>
              <w:rPr>
                <w:sz w:val="20"/>
              </w:rPr>
              <w:br/>
              <w:t>Check consistency between objectives, methods, and results</w:t>
            </w:r>
          </w:p>
        </w:tc>
        <w:tc>
          <w:tcPr>
            <w:tcW w:w="2967" w:type="dxa"/>
          </w:tcPr>
          <w:p w14:paraId="0FB68025" w14:textId="77777777" w:rsidR="00AD703D" w:rsidRDefault="00000000">
            <w:r>
              <w:rPr>
                <w:sz w:val="20"/>
              </w:rPr>
              <w:t>Revised thesis chapters</w:t>
            </w:r>
            <w:r>
              <w:rPr>
                <w:sz w:val="20"/>
              </w:rPr>
              <w:br/>
              <w:t>Integrated supervisor feedback</w:t>
            </w:r>
          </w:p>
        </w:tc>
      </w:tr>
      <w:tr w:rsidR="00AD703D" w14:paraId="20D5509B" w14:textId="77777777" w:rsidTr="005A6612">
        <w:tc>
          <w:tcPr>
            <w:tcW w:w="1948" w:type="dxa"/>
          </w:tcPr>
          <w:p w14:paraId="3AD197E5" w14:textId="77777777" w:rsidR="00AD703D" w:rsidRDefault="00000000">
            <w:r>
              <w:rPr>
                <w:sz w:val="20"/>
              </w:rPr>
              <w:t>August 2027</w:t>
            </w:r>
          </w:p>
        </w:tc>
        <w:tc>
          <w:tcPr>
            <w:tcW w:w="4331" w:type="dxa"/>
          </w:tcPr>
          <w:p w14:paraId="15BCFCD1" w14:textId="77777777" w:rsidR="00AD703D" w:rsidRDefault="00000000">
            <w:r>
              <w:rPr>
                <w:sz w:val="20"/>
              </w:rPr>
              <w:t>Draft the second publication from the DeFi reputation and risk-scoring findings</w:t>
            </w:r>
            <w:r>
              <w:rPr>
                <w:sz w:val="20"/>
              </w:rPr>
              <w:br/>
              <w:t>Position the contribution against related work</w:t>
            </w:r>
            <w:r>
              <w:rPr>
                <w:sz w:val="20"/>
              </w:rPr>
              <w:br/>
              <w:t>Prepare publication tables and supporting evidence</w:t>
            </w:r>
          </w:p>
        </w:tc>
        <w:tc>
          <w:tcPr>
            <w:tcW w:w="2967" w:type="dxa"/>
          </w:tcPr>
          <w:p w14:paraId="0E3BA27D" w14:textId="77777777" w:rsidR="00AD703D" w:rsidRDefault="00000000">
            <w:r>
              <w:rPr>
                <w:sz w:val="20"/>
              </w:rPr>
              <w:t>Second publication draft</w:t>
            </w:r>
            <w:r>
              <w:rPr>
                <w:sz w:val="20"/>
              </w:rPr>
              <w:br/>
              <w:t>Publication-ready tables and evidence</w:t>
            </w:r>
          </w:p>
        </w:tc>
      </w:tr>
      <w:tr w:rsidR="00AD703D" w14:paraId="3F5ECC07" w14:textId="77777777" w:rsidTr="005A6612">
        <w:tc>
          <w:tcPr>
            <w:tcW w:w="1948" w:type="dxa"/>
          </w:tcPr>
          <w:p w14:paraId="328210D1" w14:textId="77777777" w:rsidR="00AD703D" w:rsidRDefault="00000000">
            <w:r>
              <w:rPr>
                <w:sz w:val="20"/>
              </w:rPr>
              <w:t>September 2027</w:t>
            </w:r>
          </w:p>
        </w:tc>
        <w:tc>
          <w:tcPr>
            <w:tcW w:w="4331" w:type="dxa"/>
          </w:tcPr>
          <w:p w14:paraId="42CBF8D8" w14:textId="77777777" w:rsidR="00AD703D" w:rsidRDefault="00000000">
            <w:r>
              <w:rPr>
                <w:sz w:val="20"/>
              </w:rPr>
              <w:t>Revise and submit the second article to an accredited journal</w:t>
            </w:r>
            <w:r>
              <w:rPr>
                <w:sz w:val="20"/>
              </w:rPr>
              <w:br/>
              <w:t>Update the thesis discussion with publication feedback where applicable</w:t>
            </w:r>
          </w:p>
        </w:tc>
        <w:tc>
          <w:tcPr>
            <w:tcW w:w="2967" w:type="dxa"/>
          </w:tcPr>
          <w:p w14:paraId="261644EC" w14:textId="77777777" w:rsidR="00AD703D" w:rsidRDefault="00000000">
            <w:r>
              <w:rPr>
                <w:sz w:val="20"/>
              </w:rPr>
              <w:t>Submitted second journal article</w:t>
            </w:r>
            <w:r>
              <w:rPr>
                <w:sz w:val="20"/>
              </w:rPr>
              <w:br/>
              <w:t>Updated discussion chapter</w:t>
            </w:r>
          </w:p>
        </w:tc>
      </w:tr>
      <w:tr w:rsidR="00AD703D" w14:paraId="2AF89870" w14:textId="77777777" w:rsidTr="005A6612">
        <w:tc>
          <w:tcPr>
            <w:tcW w:w="1948" w:type="dxa"/>
          </w:tcPr>
          <w:p w14:paraId="32C60E86" w14:textId="77777777" w:rsidR="00AD703D" w:rsidRDefault="00000000">
            <w:r>
              <w:rPr>
                <w:sz w:val="20"/>
              </w:rPr>
              <w:t>October 2027</w:t>
            </w:r>
          </w:p>
        </w:tc>
        <w:tc>
          <w:tcPr>
            <w:tcW w:w="4331" w:type="dxa"/>
          </w:tcPr>
          <w:p w14:paraId="7327E652" w14:textId="77777777" w:rsidR="00AD703D" w:rsidRDefault="00000000">
            <w:r>
              <w:rPr>
                <w:sz w:val="20"/>
              </w:rPr>
              <w:t>Complete the full thesis draft</w:t>
            </w:r>
            <w:r>
              <w:rPr>
                <w:sz w:val="20"/>
              </w:rPr>
              <w:br/>
              <w:t>Finalize conclusions, limitations, and future-work sections</w:t>
            </w:r>
            <w:r>
              <w:rPr>
                <w:sz w:val="20"/>
              </w:rPr>
              <w:br/>
              <w:t>Conduct internal consistency and reference checks</w:t>
            </w:r>
          </w:p>
        </w:tc>
        <w:tc>
          <w:tcPr>
            <w:tcW w:w="2967" w:type="dxa"/>
          </w:tcPr>
          <w:p w14:paraId="5CBBC81B" w14:textId="77777777" w:rsidR="00AD703D" w:rsidRDefault="00000000">
            <w:r>
              <w:rPr>
                <w:sz w:val="20"/>
              </w:rPr>
              <w:t>Complete thesis draft</w:t>
            </w:r>
            <w:r>
              <w:rPr>
                <w:sz w:val="20"/>
              </w:rPr>
              <w:br/>
              <w:t>Checked references and cross-references</w:t>
            </w:r>
          </w:p>
        </w:tc>
      </w:tr>
      <w:tr w:rsidR="00AD703D" w14:paraId="0876E25C" w14:textId="77777777" w:rsidTr="005A6612">
        <w:tc>
          <w:tcPr>
            <w:tcW w:w="1948" w:type="dxa"/>
          </w:tcPr>
          <w:p w14:paraId="1DFCD85B" w14:textId="77777777" w:rsidR="00AD703D" w:rsidRDefault="00000000">
            <w:r>
              <w:rPr>
                <w:sz w:val="20"/>
              </w:rPr>
              <w:t>November-December 2027</w:t>
            </w:r>
          </w:p>
        </w:tc>
        <w:tc>
          <w:tcPr>
            <w:tcW w:w="4331" w:type="dxa"/>
          </w:tcPr>
          <w:p w14:paraId="0804E278" w14:textId="77777777" w:rsidR="00AD703D" w:rsidRDefault="00000000">
            <w:r>
              <w:rPr>
                <w:sz w:val="20"/>
              </w:rPr>
              <w:t>Revise the full thesis based on supervisor feedback</w:t>
            </w:r>
            <w:r>
              <w:rPr>
                <w:sz w:val="20"/>
              </w:rPr>
              <w:br/>
              <w:t>Edit formatting, language, tables, and figures</w:t>
            </w:r>
            <w:r>
              <w:rPr>
                <w:sz w:val="20"/>
              </w:rPr>
              <w:br/>
              <w:t>Prepare submission documentation</w:t>
            </w:r>
          </w:p>
        </w:tc>
        <w:tc>
          <w:tcPr>
            <w:tcW w:w="2967" w:type="dxa"/>
          </w:tcPr>
          <w:p w14:paraId="3E70CD0B" w14:textId="77777777" w:rsidR="00AD703D" w:rsidRDefault="00000000">
            <w:r>
              <w:rPr>
                <w:sz w:val="20"/>
              </w:rPr>
              <w:t>Final revised thesis</w:t>
            </w:r>
            <w:r>
              <w:rPr>
                <w:sz w:val="20"/>
              </w:rPr>
              <w:br/>
              <w:t>Submission-ready document</w:t>
            </w:r>
            <w:r>
              <w:rPr>
                <w:sz w:val="20"/>
              </w:rPr>
              <w:br/>
              <w:t>Completed administrative documents</w:t>
            </w:r>
          </w:p>
        </w:tc>
      </w:tr>
      <w:tr w:rsidR="00AD703D" w14:paraId="38D72CB6" w14:textId="77777777" w:rsidTr="005A6612">
        <w:tc>
          <w:tcPr>
            <w:tcW w:w="1948" w:type="dxa"/>
          </w:tcPr>
          <w:p w14:paraId="53D6A236" w14:textId="77777777" w:rsidR="00AD703D" w:rsidRDefault="00000000">
            <w:r>
              <w:rPr>
                <w:sz w:val="20"/>
              </w:rPr>
              <w:t>January 2028</w:t>
            </w:r>
          </w:p>
        </w:tc>
        <w:tc>
          <w:tcPr>
            <w:tcW w:w="4331" w:type="dxa"/>
          </w:tcPr>
          <w:p w14:paraId="6C19D3B2" w14:textId="77777777" w:rsidR="00AD703D" w:rsidRDefault="00000000">
            <w:r>
              <w:rPr>
                <w:sz w:val="20"/>
              </w:rPr>
              <w:t>Obtain final supervisor sign-off</w:t>
            </w:r>
            <w:r>
              <w:rPr>
                <w:sz w:val="20"/>
              </w:rPr>
              <w:br/>
              <w:t>Submit the thesis for examination</w:t>
            </w:r>
            <w:r>
              <w:rPr>
                <w:sz w:val="20"/>
              </w:rPr>
              <w:br/>
              <w:t>Track journal-review outcomes and respond to editorial queries if required</w:t>
            </w:r>
          </w:p>
        </w:tc>
        <w:tc>
          <w:tcPr>
            <w:tcW w:w="2967" w:type="dxa"/>
          </w:tcPr>
          <w:p w14:paraId="35DB4AF3" w14:textId="77777777" w:rsidR="00AD703D" w:rsidRDefault="00000000">
            <w:r>
              <w:rPr>
                <w:sz w:val="20"/>
              </w:rPr>
              <w:t>Submitted thesis</w:t>
            </w:r>
            <w:r>
              <w:rPr>
                <w:sz w:val="20"/>
              </w:rPr>
              <w:br/>
              <w:t>Supervisor sign-off</w:t>
            </w:r>
            <w:r>
              <w:rPr>
                <w:sz w:val="20"/>
              </w:rPr>
              <w:br/>
              <w:t>Journal response plan</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17511065" w14:textId="77777777" w:rsidR="00ED70FE" w:rsidRDefault="00ED70FE">
      <w:pPr>
        <w:pBdr>
          <w:top w:val="nil"/>
          <w:left w:val="nil"/>
          <w:bottom w:val="nil"/>
          <w:right w:val="nil"/>
          <w:between w:val="nil"/>
        </w:pBdr>
        <w:rPr>
          <w:color w:val="000000"/>
        </w:rPr>
      </w:pPr>
    </w:p>
    <w:p w14:paraId="31AB0BC8" w14:textId="77777777" w:rsidR="00ED70FE" w:rsidRDefault="00ED70FE">
      <w:pPr>
        <w:pBdr>
          <w:top w:val="nil"/>
          <w:left w:val="nil"/>
          <w:bottom w:val="nil"/>
          <w:right w:val="nil"/>
          <w:between w:val="nil"/>
        </w:pBdr>
        <w:rPr>
          <w:color w:val="000000"/>
        </w:rPr>
      </w:pPr>
    </w:p>
    <w:p w14:paraId="4E4C4D81" w14:textId="77777777" w:rsidR="00ED70FE" w:rsidRDefault="00ED70FE">
      <w:pPr>
        <w:pBdr>
          <w:top w:val="nil"/>
          <w:left w:val="nil"/>
          <w:bottom w:val="nil"/>
          <w:right w:val="nil"/>
          <w:between w:val="nil"/>
        </w:pBdr>
        <w:rPr>
          <w:color w:val="000000"/>
        </w:rPr>
      </w:pPr>
    </w:p>
    <w:p w14:paraId="00638F76" w14:textId="77777777" w:rsidR="00ED70FE" w:rsidRDefault="00ED70FE">
      <w:pPr>
        <w:pBdr>
          <w:top w:val="nil"/>
          <w:left w:val="nil"/>
          <w:bottom w:val="nil"/>
          <w:right w:val="nil"/>
          <w:between w:val="nil"/>
        </w:pBdr>
        <w:rPr>
          <w:color w:val="000000"/>
        </w:rPr>
      </w:pPr>
    </w:p>
    <w:p w14:paraId="784E188D" w14:textId="77777777" w:rsidR="00ED70FE" w:rsidRDefault="00ED70FE">
      <w:pPr>
        <w:pBdr>
          <w:top w:val="nil"/>
          <w:left w:val="nil"/>
          <w:bottom w:val="nil"/>
          <w:right w:val="nil"/>
          <w:between w:val="nil"/>
        </w:pBdr>
        <w:rPr>
          <w:color w:val="000000"/>
        </w:rPr>
      </w:pPr>
    </w:p>
    <w:p w14:paraId="0C5A735D" w14:textId="77777777" w:rsidR="00ED70FE" w:rsidRDefault="00ED70FE">
      <w:pPr>
        <w:pBdr>
          <w:top w:val="nil"/>
          <w:left w:val="nil"/>
          <w:bottom w:val="nil"/>
          <w:right w:val="nil"/>
          <w:between w:val="nil"/>
        </w:pBdr>
        <w:rPr>
          <w:color w:val="000000"/>
        </w:rPr>
      </w:pPr>
    </w:p>
    <w:p w14:paraId="3173A066" w14:textId="77777777" w:rsidR="00ED70FE" w:rsidRDefault="00ED70FE">
      <w:pPr>
        <w:pBdr>
          <w:top w:val="nil"/>
          <w:left w:val="nil"/>
          <w:bottom w:val="nil"/>
          <w:right w:val="nil"/>
          <w:between w:val="nil"/>
        </w:pBdr>
        <w:rPr>
          <w:color w:val="000000"/>
        </w:rPr>
      </w:pPr>
    </w:p>
    <w:p w14:paraId="2ED86558" w14:textId="77777777" w:rsidR="00ED70FE" w:rsidRDefault="00ED70FE">
      <w:pPr>
        <w:pBdr>
          <w:top w:val="nil"/>
          <w:left w:val="nil"/>
          <w:bottom w:val="nil"/>
          <w:right w:val="nil"/>
          <w:between w:val="nil"/>
        </w:pBdr>
        <w:rPr>
          <w:color w:val="000000"/>
        </w:rPr>
      </w:pPr>
    </w:p>
    <w:p w14:paraId="1B6C7E5F" w14:textId="77777777" w:rsidR="00794849" w:rsidRDefault="00794849">
      <w:pPr>
        <w:pBdr>
          <w:top w:val="nil"/>
          <w:left w:val="nil"/>
          <w:bottom w:val="nil"/>
          <w:right w:val="nil"/>
          <w:between w:val="nil"/>
        </w:pBdr>
        <w:rPr>
          <w:color w:val="000000"/>
        </w:rPr>
      </w:pPr>
    </w:p>
    <w:p w14:paraId="3AE763E5" w14:textId="77777777" w:rsidR="00A00C1C" w:rsidRDefault="00A00C1C">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3C283DCA" w14:textId="77777777" w:rsidR="00B574BB" w:rsidRPr="008F384B" w:rsidRDefault="00000000" w:rsidP="008F384B">
      <w:pPr>
        <w:spacing w:before="542"/>
        <w:ind w:left="85"/>
        <w:rPr>
          <w:b/>
          <w:bCs/>
          <w:sz w:val="49"/>
          <w:szCs w:val="49"/>
        </w:rPr>
      </w:pPr>
      <w:commentRangeStart w:id="47"/>
      <w:r w:rsidRPr="008F384B">
        <w:rPr>
          <w:b/>
          <w:bCs/>
          <w:sz w:val="49"/>
          <w:szCs w:val="49"/>
        </w:rPr>
        <w:t>Dissertation/Thesis Outline</w:t>
      </w:r>
      <w:commentRangeEnd w:id="47"/>
      <w:r w:rsidR="008F384B" w:rsidRPr="008F384B">
        <w:rPr>
          <w:rStyle w:val="a6"/>
          <w:b/>
          <w:bCs/>
          <w:sz w:val="49"/>
          <w:szCs w:val="49"/>
        </w:rPr>
        <w:commentReference w:id="47"/>
      </w:r>
    </w:p>
    <w:p w14:paraId="6ED74FB6" w14:textId="77777777" w:rsidR="00B574BB" w:rsidRDefault="00000000">
      <w:pPr>
        <w:spacing w:before="120" w:line="276" w:lineRule="auto"/>
        <w:jc w:val="both"/>
      </w:pPr>
      <w:r>
        <w:t>Chapter 1: Introduction and research problem. This chapter will refine the proposal into the thesis introduction by presenting the DeFi lending context, the on-chain wallet reputation problem, the research questions, objectives, scope, significance, and limitations.</w:t>
      </w:r>
    </w:p>
    <w:p w14:paraId="5519F772" w14:textId="77777777" w:rsidR="00B574BB" w:rsidRDefault="00000000">
      <w:pPr>
        <w:spacing w:before="120" w:line="276" w:lineRule="auto"/>
        <w:jc w:val="both"/>
      </w:pPr>
      <w:r>
        <w:t>Chapter 2: Literature review and theoretical framework. This chapter will expand the proposal literature review into a comprehensive analysis of graph-based reputation scoring, DeFi credit-risk prediction, ERC-20 allowance semantics, PageRank variants, and the theoretical foundations for reputation structure, predictive validity, and computational efficiency.</w:t>
      </w:r>
    </w:p>
    <w:p w14:paraId="6036B3D8" w14:textId="77777777" w:rsidR="00B574BB" w:rsidRDefault="00000000">
      <w:pPr>
        <w:spacing w:before="120" w:line="276" w:lineRule="auto"/>
        <w:jc w:val="both"/>
      </w:pPr>
      <w:r>
        <w:t>Chapter 3: Research methodology. This chapter will specify the philosophical position, research design, data sources, sampling logic, feature engineering, graph-construction procedures, baseline reproduction, statistical tests, robustness checks, ethics clearance, and reproducibility controls.</w:t>
      </w:r>
    </w:p>
    <w:p w14:paraId="2D9E40BC" w14:textId="77777777" w:rsidR="00B574BB" w:rsidRDefault="00000000">
      <w:pPr>
        <w:spacing w:before="120" w:line="276" w:lineRule="auto"/>
        <w:jc w:val="both"/>
      </w:pPr>
      <w:r>
        <w:t>Chapter 4: Implementation and empirical results. This chapter will report the data pipeline, EndorseRank implementation, baseline implementations, dataset characteristics, graph statistics, predictive-model results, rank-divergence findings, and computational benchmark outcomes.</w:t>
      </w:r>
    </w:p>
    <w:p w14:paraId="2B2628EA" w14:textId="77777777" w:rsidR="00B574BB" w:rsidRDefault="00000000">
      <w:pPr>
        <w:spacing w:before="120" w:line="276" w:lineRule="auto"/>
        <w:jc w:val="both"/>
      </w:pPr>
      <w:r>
        <w:t>Chapter 5: Discussion. This chapter will interpret the findings against each research question and objective, explain the theoretical and practical implications for DeFi risk assessment, evaluate threats to validity, and discuss how the results support or limit the claimed contribution.</w:t>
      </w:r>
    </w:p>
    <w:p w14:paraId="71FC70D2" w14:textId="77777777" w:rsidR="00B574BB" w:rsidRDefault="00000000">
      <w:pPr>
        <w:spacing w:before="120" w:line="276" w:lineRule="auto"/>
        <w:jc w:val="both"/>
      </w:pPr>
      <w:r>
        <w:t>Chapter 6: Conclusion and future work. This chapter will synthesize the study, state the original contribution to knowledge, revisit the research questions, summarize limitations, and propose future work on cross-protocol validation, adversarial manipulation, and broader on-chain trust signals.</w:t>
      </w:r>
    </w:p>
    <w:p w14:paraId="10886DF2" w14:textId="77777777" w:rsidR="007C1C3F" w:rsidRDefault="007C1C3F">
      <w:pPr>
        <w:spacing w:before="120" w:line="276" w:lineRule="auto"/>
        <w:jc w:val="both"/>
      </w:pPr>
    </w:p>
    <w:p w14:paraId="24D426BD" w14:textId="77777777" w:rsidR="00A271CD" w:rsidRPr="007C1C3F" w:rsidRDefault="006A4981" w:rsidP="007C1C3F">
      <w:pPr>
        <w:pStyle w:val="1"/>
        <w:numPr>
          <w:ilvl w:val="1"/>
          <w:numId w:val="32"/>
        </w:numPr>
        <w:tabs>
          <w:tab w:val="left" w:pos="968"/>
        </w:tabs>
        <w:spacing w:before="1"/>
        <w:rPr>
          <w:color w:val="000000"/>
        </w:rPr>
      </w:pPr>
      <w:bookmarkStart w:id="48" w:name="128886w1h0ks" w:colFirst="0" w:colLast="0"/>
      <w:bookmarkStart w:id="49" w:name="_bdktksm8ib1l" w:colFirst="0" w:colLast="0"/>
      <w:bookmarkEnd w:id="48"/>
      <w:bookmarkEnd w:id="49"/>
      <w:commentRangeStart w:id="50"/>
      <w:r w:rsidRPr="007C1C3F">
        <w:rPr>
          <w:color w:val="000000"/>
        </w:rPr>
        <w:t>References</w:t>
      </w:r>
      <w:commentRangeEnd w:id="50"/>
      <w:r w:rsidR="007C1C3F" w:rsidRPr="007C1C3F">
        <w:rPr>
          <w:rStyle w:val="a6"/>
          <w:color w:val="000000"/>
          <w:sz w:val="34"/>
          <w:szCs w:val="34"/>
        </w:rPr>
        <w:commentReference w:id="50"/>
      </w:r>
    </w:p>
    <w:p w14:paraId="7C8123FE" w14:textId="77777777" w:rsidR="00B574BB" w:rsidRDefault="00000000">
      <w:pPr>
        <w:spacing w:before="120" w:line="276" w:lineRule="auto"/>
        <w:jc w:val="both"/>
      </w:pPr>
      <w:r>
        <w:t>3Jane Protocol. (n.d.). Jane Score documentation.</w:t>
      </w:r>
    </w:p>
    <w:p w14:paraId="014EC349" w14:textId="77777777" w:rsidR="00B574BB" w:rsidRDefault="00000000">
      <w:pPr>
        <w:spacing w:before="120" w:line="276" w:lineRule="auto"/>
        <w:jc w:val="both"/>
      </w:pPr>
      <w:r>
        <w:t>Blockchain Bureau. (n.d.). Providence score documentation.</w:t>
      </w:r>
    </w:p>
    <w:p w14:paraId="45A66C4F" w14:textId="77777777" w:rsidR="00B574BB" w:rsidRDefault="00000000">
      <w:pPr>
        <w:spacing w:before="120" w:line="276" w:lineRule="auto"/>
        <w:jc w:val="both"/>
      </w:pPr>
      <w:r>
        <w:t>Cred Protocol. (n.d.). Cred Score documentation.</w:t>
      </w:r>
    </w:p>
    <w:p w14:paraId="1C95F3A9" w14:textId="77777777" w:rsidR="00B574BB" w:rsidRDefault="00000000">
      <w:pPr>
        <w:spacing w:before="120" w:line="276" w:lineRule="auto"/>
        <w:jc w:val="both"/>
      </w:pPr>
      <w:r>
        <w:t>Do, H. D., et al. (2023). PageRank and HodgeRank on Ethereum transactions: A measure for social credit. International Journal of Software Innovation, 11(1).</w:t>
      </w:r>
    </w:p>
    <w:p w14:paraId="3FB15AFC" w14:textId="77777777" w:rsidR="00B574BB" w:rsidRDefault="00000000">
      <w:pPr>
        <w:spacing w:before="120" w:line="276" w:lineRule="auto"/>
        <w:jc w:val="both"/>
      </w:pPr>
      <w:r>
        <w:lastRenderedPageBreak/>
        <w:t>Ethereum Improvement Proposals. (2015). ERC-20 token standard (EIP-20). https://eips.ethereum.org/EIPS/eip-20</w:t>
      </w:r>
    </w:p>
    <w:p w14:paraId="11FC3F0E" w14:textId="77777777" w:rsidR="00B574BB" w:rsidRDefault="00000000">
      <w:pPr>
        <w:spacing w:before="120" w:line="276" w:lineRule="auto"/>
        <w:jc w:val="both"/>
      </w:pPr>
      <w:r>
        <w:t>Ethereum Improvement Proposals. (2020). ERC-20 permit extension (EIP-2612). https://eips.ethereum.org/EIPS/eip-2612</w:t>
      </w:r>
    </w:p>
    <w:p w14:paraId="150BB6D5" w14:textId="77777777" w:rsidR="00B574BB" w:rsidRDefault="00000000">
      <w:pPr>
        <w:spacing w:before="120" w:line="276" w:lineRule="auto"/>
        <w:jc w:val="both"/>
      </w:pPr>
      <w:r>
        <w:t>Ghosh, R., et al. (2024). On-chain credit risk score in decentralized finance. arXiv. https://arxiv.org/abs/2412.00710</w:t>
      </w:r>
    </w:p>
    <w:p w14:paraId="7D71CC70" w14:textId="77777777" w:rsidR="00B574BB" w:rsidRDefault="00000000">
      <w:pPr>
        <w:spacing w:before="120" w:line="276" w:lineRule="auto"/>
        <w:jc w:val="both"/>
      </w:pPr>
      <w:r>
        <w:t>Hassija, V., et al. (2020). Secure lending: Blockchain and prospect theory-based decentralized credit scoring model. IEEE Transactions on Network Science and Engineering, 7(4).</w:t>
      </w:r>
    </w:p>
    <w:p w14:paraId="11BCD455" w14:textId="77777777" w:rsidR="00B574BB" w:rsidRDefault="00000000">
      <w:pPr>
        <w:spacing w:before="120" w:line="276" w:lineRule="auto"/>
        <w:jc w:val="both"/>
      </w:pPr>
      <w:r>
        <w:t>Imig, S. (2023). Trustworthiness and PageRank on the Ethereum blockchain. SSRN.</w:t>
      </w:r>
    </w:p>
    <w:p w14:paraId="142A8D3C" w14:textId="77777777" w:rsidR="00B574BB" w:rsidRDefault="00000000">
      <w:pPr>
        <w:spacing w:before="120" w:line="276" w:lineRule="auto"/>
        <w:jc w:val="both"/>
      </w:pPr>
      <w:r>
        <w:t>Jain, D., et al. (2019). Bit-Score: A blockchain-based distributed network for secure credit scoring. In Proceedings of ICCCA.</w:t>
      </w:r>
    </w:p>
    <w:p w14:paraId="3F78EDCB" w14:textId="77777777" w:rsidR="00B574BB" w:rsidRDefault="00000000">
      <w:pPr>
        <w:spacing w:before="120" w:line="276" w:lineRule="auto"/>
        <w:jc w:val="both"/>
      </w:pPr>
      <w:r>
        <w:t>Page, L., Brin, S., Motwani, R., &amp; Winograd, T. (1998). The PageRank citation ranking: Bringing order to the web. Stanford Digital Library Technologies Project.</w:t>
      </w:r>
    </w:p>
    <w:p w14:paraId="1D476B07" w14:textId="77777777" w:rsidR="00B574BB" w:rsidRDefault="00000000">
      <w:pPr>
        <w:spacing w:before="120" w:line="276" w:lineRule="auto"/>
        <w:jc w:val="both"/>
      </w:pPr>
      <w:r>
        <w:t>Wolf, W., et al. (2022). Scoring Aave accounts for creditworthiness. arXiv. https://arxiv.org/abs/2207.07008</w:t>
      </w:r>
    </w:p>
    <w:p w14:paraId="57E19CB2" w14:textId="77777777" w:rsidR="00B574BB" w:rsidRDefault="00000000">
      <w:pPr>
        <w:spacing w:before="120" w:line="276" w:lineRule="auto"/>
        <w:jc w:val="both"/>
      </w:pPr>
      <w:r>
        <w:t>Yang, F., et al. (2024). RiskProp: Account risk rating on Ethereum via de-anonymous score and network propagation. IEEE Transactions on Dependable and Secure Computing.</w:t>
      </w:r>
    </w:p>
    <w:p w14:paraId="32743CCB" w14:textId="77777777" w:rsidR="008F384B" w:rsidRDefault="008F384B">
      <w:pPr>
        <w:spacing w:line="458" w:lineRule="auto"/>
        <w:ind w:left="85" w:right="4704"/>
        <w:rPr>
          <w:b/>
          <w:bCs/>
          <w:sz w:val="49"/>
          <w:szCs w:val="49"/>
        </w:rPr>
      </w:pPr>
      <w:bookmarkStart w:id="51" w:name="xt1nul60gvtd" w:colFirst="0" w:colLast="0"/>
      <w:bookmarkStart w:id="52" w:name="_782blh2d41sb" w:colFirst="0" w:colLast="0"/>
      <w:bookmarkEnd w:id="51"/>
      <w:bookmarkEnd w:id="52"/>
    </w:p>
    <w:p w14:paraId="14867D40" w14:textId="77777777" w:rsidR="008F384B" w:rsidRDefault="008F384B">
      <w:pPr>
        <w:spacing w:line="458" w:lineRule="auto"/>
        <w:ind w:left="85" w:right="4704"/>
        <w:rPr>
          <w:b/>
          <w:bCs/>
          <w:sz w:val="49"/>
          <w:szCs w:val="49"/>
        </w:rPr>
      </w:pPr>
    </w:p>
    <w:p w14:paraId="6BE25AF5" w14:textId="77777777" w:rsidR="008F384B" w:rsidRDefault="008F384B">
      <w:pPr>
        <w:spacing w:line="458" w:lineRule="auto"/>
        <w:ind w:left="85" w:right="4704"/>
        <w:rPr>
          <w:b/>
          <w:bCs/>
          <w:sz w:val="49"/>
          <w:szCs w:val="49"/>
        </w:rPr>
      </w:pPr>
    </w:p>
    <w:p w14:paraId="502079F9" w14:textId="77777777" w:rsidR="008F384B" w:rsidRDefault="008F384B">
      <w:pPr>
        <w:spacing w:line="458" w:lineRule="auto"/>
        <w:ind w:left="85" w:right="4704"/>
        <w:rPr>
          <w:b/>
          <w:bCs/>
          <w:sz w:val="49"/>
          <w:szCs w:val="49"/>
        </w:rPr>
      </w:pPr>
    </w:p>
    <w:p w14:paraId="1B9A732B" w14:textId="77777777" w:rsidR="008F384B" w:rsidRDefault="008F384B">
      <w:pPr>
        <w:spacing w:line="458" w:lineRule="auto"/>
        <w:ind w:left="85" w:right="4704"/>
        <w:rPr>
          <w:b/>
          <w:bCs/>
          <w:sz w:val="49"/>
          <w:szCs w:val="49"/>
        </w:rPr>
      </w:pPr>
    </w:p>
    <w:p w14:paraId="49972247" w14:textId="77777777" w:rsidR="008F384B" w:rsidRDefault="008F384B">
      <w:pPr>
        <w:spacing w:line="458" w:lineRule="auto"/>
        <w:ind w:left="85" w:right="4704"/>
        <w:rPr>
          <w:b/>
          <w:bCs/>
          <w:sz w:val="49"/>
          <w:szCs w:val="49"/>
        </w:rPr>
      </w:pPr>
    </w:p>
    <w:p w14:paraId="2AA5C084" w14:textId="77777777" w:rsidR="008F384B" w:rsidRDefault="008F384B">
      <w:pPr>
        <w:spacing w:line="458" w:lineRule="auto"/>
        <w:ind w:left="85" w:right="4704"/>
        <w:rPr>
          <w:b/>
          <w:bCs/>
          <w:sz w:val="49"/>
          <w:szCs w:val="49"/>
        </w:rPr>
      </w:pPr>
    </w:p>
    <w:p w14:paraId="27DEC1F0" w14:textId="460AE2A5" w:rsidR="00A271CD" w:rsidRDefault="006A4981">
      <w:pPr>
        <w:spacing w:line="458" w:lineRule="auto"/>
        <w:ind w:left="85" w:right="4704"/>
        <w:rPr>
          <w:b/>
          <w:bCs/>
          <w:sz w:val="49"/>
          <w:szCs w:val="49"/>
        </w:rPr>
      </w:pPr>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ehong Kwon" w:date="2026-06-04T10:46:00Z" w:initials="TK">
    <w:p w14:paraId="2553D8A3" w14:textId="77777777" w:rsidR="00A555F8" w:rsidRDefault="00000000" w:rsidP="00A555F8">
      <w:pPr>
        <w:pStyle w:val="a5"/>
      </w:pPr>
      <w:r>
        <w:annotationRef/>
      </w:r>
      <w:r w:rsidR="00A555F8">
        <w:rPr>
          <w:rFonts w:hint="eastAsia"/>
        </w:rPr>
        <w:t>참고문헌</w:t>
      </w:r>
      <w:r w:rsidR="00A555F8">
        <w:rPr>
          <w:rFonts w:hint="eastAsia"/>
        </w:rPr>
        <w:t>/</w:t>
      </w:r>
      <w:r w:rsidR="00A555F8">
        <w:rPr>
          <w:rFonts w:hint="eastAsia"/>
        </w:rPr>
        <w:t>부록</w:t>
      </w:r>
      <w:r w:rsidR="00A555F8">
        <w:rPr>
          <w:rFonts w:hint="eastAsia"/>
        </w:rPr>
        <w:t xml:space="preserve"> </w:t>
      </w:r>
      <w:r w:rsidR="00A555F8">
        <w:rPr>
          <w:rFonts w:hint="eastAsia"/>
        </w:rPr>
        <w:t>성격의</w:t>
      </w:r>
      <w:r w:rsidR="00A555F8">
        <w:rPr>
          <w:rFonts w:hint="eastAsia"/>
        </w:rPr>
        <w:t xml:space="preserve"> </w:t>
      </w:r>
      <w:r w:rsidR="00A555F8">
        <w:rPr>
          <w:rFonts w:hint="eastAsia"/>
        </w:rPr>
        <w:t>내용이</w:t>
      </w:r>
      <w:r w:rsidR="00A555F8">
        <w:rPr>
          <w:rFonts w:hint="eastAsia"/>
        </w:rPr>
        <w:t xml:space="preserve"> </w:t>
      </w:r>
      <w:r w:rsidR="00A555F8">
        <w:rPr>
          <w:rFonts w:hint="eastAsia"/>
        </w:rPr>
        <w:t>들어</w:t>
      </w:r>
      <w:r w:rsidR="00A555F8">
        <w:rPr>
          <w:rFonts w:hint="eastAsia"/>
        </w:rPr>
        <w:t xml:space="preserve"> </w:t>
      </w:r>
      <w:r w:rsidR="00A555F8">
        <w:rPr>
          <w:rFonts w:hint="eastAsia"/>
        </w:rPr>
        <w:t>있었기에</w:t>
      </w:r>
      <w:r w:rsidR="00A555F8">
        <w:rPr>
          <w:rFonts w:hint="eastAsia"/>
        </w:rPr>
        <w:t xml:space="preserve"> </w:t>
      </w:r>
      <w:r w:rsidR="00A555F8">
        <w:rPr>
          <w:lang w:val="en-US"/>
        </w:rPr>
        <w:t>Literature Review</w:t>
      </w:r>
      <w:r w:rsidR="00A555F8">
        <w:rPr>
          <w:rFonts w:hint="eastAsia"/>
        </w:rPr>
        <w:t>를</w:t>
      </w:r>
      <w:r w:rsidR="00A555F8">
        <w:rPr>
          <w:rFonts w:hint="eastAsia"/>
        </w:rPr>
        <w:t xml:space="preserve"> Dissertation/Thesis Outline </w:t>
      </w:r>
      <w:r w:rsidR="00A555F8">
        <w:rPr>
          <w:rFonts w:hint="eastAsia"/>
        </w:rPr>
        <w:t>및</w:t>
      </w:r>
      <w:r w:rsidR="00A555F8">
        <w:rPr>
          <w:rFonts w:hint="eastAsia"/>
        </w:rPr>
        <w:t xml:space="preserve"> References</w:t>
      </w:r>
      <w:r w:rsidR="00A555F8">
        <w:rPr>
          <w:rFonts w:hint="eastAsia"/>
        </w:rPr>
        <w:t>로</w:t>
      </w:r>
      <w:r w:rsidR="00A555F8">
        <w:rPr>
          <w:rFonts w:hint="eastAsia"/>
        </w:rPr>
        <w:t xml:space="preserve"> </w:t>
      </w:r>
      <w:r w:rsidR="00A555F8">
        <w:rPr>
          <w:rFonts w:hint="eastAsia"/>
        </w:rPr>
        <w:t>변경했습니다</w:t>
      </w:r>
      <w:r w:rsidR="00A555F8">
        <w:rPr>
          <w:rFonts w:hint="eastAsia"/>
        </w:rPr>
        <w:t>.</w:t>
      </w:r>
    </w:p>
  </w:comment>
  <w:comment w:id="9" w:author="Taehong Kwon" w:date="2026-06-04T10:46:00Z" w:initials="TK">
    <w:p w14:paraId="14164899" w14:textId="3D7FD1F6" w:rsidR="004002E6" w:rsidRDefault="00000000">
      <w:r>
        <w:annotationRef/>
      </w:r>
      <w:r>
        <w:t>목표가</w:t>
      </w:r>
      <w:r>
        <w:t xml:space="preserve"> SMART </w:t>
      </w:r>
      <w:r>
        <w:t>기준에</w:t>
      </w:r>
      <w:r>
        <w:t xml:space="preserve"> </w:t>
      </w:r>
      <w:r>
        <w:t>맞는지</w:t>
      </w:r>
      <w:r>
        <w:t xml:space="preserve"> </w:t>
      </w:r>
      <w:r>
        <w:t>심사자가</w:t>
      </w:r>
      <w:r>
        <w:t xml:space="preserve"> </w:t>
      </w:r>
      <w:r>
        <w:t>바로</w:t>
      </w:r>
      <w:r>
        <w:t xml:space="preserve"> </w:t>
      </w:r>
      <w:r>
        <w:t>확인할</w:t>
      </w:r>
      <w:r>
        <w:t xml:space="preserve"> </w:t>
      </w:r>
      <w:r>
        <w:t>수</w:t>
      </w:r>
      <w:r>
        <w:t xml:space="preserve"> </w:t>
      </w:r>
      <w:r>
        <w:t>있도록</w:t>
      </w:r>
      <w:r>
        <w:t xml:space="preserve"> </w:t>
      </w:r>
      <w:r>
        <w:t>구체성</w:t>
      </w:r>
      <w:r>
        <w:t xml:space="preserve">, </w:t>
      </w:r>
      <w:r>
        <w:t>측정</w:t>
      </w:r>
      <w:r>
        <w:t xml:space="preserve"> </w:t>
      </w:r>
      <w:r>
        <w:t>가능성</w:t>
      </w:r>
      <w:r>
        <w:t xml:space="preserve">, </w:t>
      </w:r>
      <w:r>
        <w:t>실행</w:t>
      </w:r>
      <w:r>
        <w:t xml:space="preserve"> </w:t>
      </w:r>
      <w:r>
        <w:t>가능성</w:t>
      </w:r>
      <w:r>
        <w:t xml:space="preserve">, </w:t>
      </w:r>
      <w:r>
        <w:t>현실성</w:t>
      </w:r>
      <w:r>
        <w:t xml:space="preserve">, </w:t>
      </w:r>
      <w:r>
        <w:t>시간성을</w:t>
      </w:r>
      <w:r>
        <w:t xml:space="preserve"> </w:t>
      </w:r>
      <w:r>
        <w:t>연결했습니다</w:t>
      </w:r>
      <w:r>
        <w:t>.</w:t>
      </w:r>
    </w:p>
  </w:comment>
  <w:comment w:id="10" w:author="Taehong Kwon" w:date="2026-06-04T10:46:00Z" w:initials="TK">
    <w:p w14:paraId="10F8751E" w14:textId="77777777" w:rsidR="004002E6" w:rsidRDefault="00000000">
      <w:r>
        <w:annotationRef/>
      </w:r>
      <w:r>
        <w:t>삽입</w:t>
      </w:r>
      <w:r>
        <w:t xml:space="preserve"> </w:t>
      </w:r>
      <w:r>
        <w:t>이미지</w:t>
      </w:r>
      <w:r>
        <w:t xml:space="preserve"> </w:t>
      </w:r>
      <w:r>
        <w:t>수식을</w:t>
      </w:r>
      <w:r>
        <w:t xml:space="preserve"> </w:t>
      </w:r>
      <w:r>
        <w:t>확인한</w:t>
      </w:r>
      <w:r>
        <w:t xml:space="preserve"> </w:t>
      </w:r>
      <w:r>
        <w:t>뒤</w:t>
      </w:r>
      <w:r>
        <w:t xml:space="preserve">, </w:t>
      </w:r>
      <w:r>
        <w:t>전이확률</w:t>
      </w:r>
      <w:r>
        <w:t xml:space="preserve"> </w:t>
      </w:r>
      <w:r>
        <w:t>정규화식의</w:t>
      </w:r>
      <w:r>
        <w:t xml:space="preserve"> </w:t>
      </w:r>
      <w:r>
        <w:t>의미를</w:t>
      </w:r>
      <w:r>
        <w:t xml:space="preserve"> </w:t>
      </w:r>
      <w:r>
        <w:t>텍스트로도</w:t>
      </w:r>
      <w:r>
        <w:t xml:space="preserve"> </w:t>
      </w:r>
      <w:r>
        <w:t>설명해</w:t>
      </w:r>
      <w:r>
        <w:t xml:space="preserve"> </w:t>
      </w:r>
      <w:r>
        <w:t>가독성과</w:t>
      </w:r>
      <w:r>
        <w:t xml:space="preserve"> </w:t>
      </w:r>
      <w:r>
        <w:t>접근성을</w:t>
      </w:r>
      <w:r>
        <w:t xml:space="preserve"> </w:t>
      </w:r>
      <w:r>
        <w:t>높였습니다</w:t>
      </w:r>
      <w:r>
        <w:t>.</w:t>
      </w:r>
    </w:p>
  </w:comment>
  <w:comment w:id="32" w:author="Taehong Kwon" w:date="2026-06-04T10:46:00Z" w:initials="TK">
    <w:p w14:paraId="35EBCBE8" w14:textId="77777777" w:rsidR="00E11FD9" w:rsidRDefault="00000000" w:rsidP="00E11FD9">
      <w:pPr>
        <w:pStyle w:val="a5"/>
      </w:pPr>
      <w:r>
        <w:annotationRef/>
      </w:r>
      <w:r w:rsidR="00E11FD9">
        <w:rPr>
          <w:rFonts w:hint="eastAsia"/>
          <w:lang w:val="en-US"/>
        </w:rPr>
        <w:t>EIP-2612 permit</w:t>
      </w:r>
      <w:r w:rsidR="00E11FD9">
        <w:rPr>
          <w:rFonts w:hint="eastAsia"/>
          <w:lang w:val="en-US"/>
        </w:rPr>
        <w:t>은</w:t>
      </w:r>
      <w:r w:rsidR="00E11FD9">
        <w:rPr>
          <w:rFonts w:hint="eastAsia"/>
          <w:lang w:val="en-US"/>
        </w:rPr>
        <w:t xml:space="preserve"> </w:t>
      </w:r>
      <w:r w:rsidR="00E11FD9">
        <w:rPr>
          <w:rFonts w:hint="eastAsia"/>
          <w:lang w:val="en-US"/>
        </w:rPr>
        <w:t>별도</w:t>
      </w:r>
      <w:r w:rsidR="00E11FD9">
        <w:rPr>
          <w:rFonts w:hint="eastAsia"/>
          <w:lang w:val="en-US"/>
        </w:rPr>
        <w:t xml:space="preserve"> </w:t>
      </w:r>
      <w:r w:rsidR="00E11FD9">
        <w:rPr>
          <w:rFonts w:hint="eastAsia"/>
          <w:lang w:val="en-US"/>
        </w:rPr>
        <w:t>표준</w:t>
      </w:r>
      <w:r w:rsidR="00E11FD9">
        <w:rPr>
          <w:rFonts w:hint="eastAsia"/>
          <w:lang w:val="en-US"/>
        </w:rPr>
        <w:t xml:space="preserve"> </w:t>
      </w:r>
      <w:r w:rsidR="00E11FD9">
        <w:rPr>
          <w:rFonts w:hint="eastAsia"/>
          <w:lang w:val="en-US"/>
        </w:rPr>
        <w:t>이벤트가</w:t>
      </w:r>
      <w:r w:rsidR="00E11FD9">
        <w:rPr>
          <w:rFonts w:hint="eastAsia"/>
          <w:lang w:val="en-US"/>
        </w:rPr>
        <w:t xml:space="preserve"> </w:t>
      </w:r>
      <w:r w:rsidR="00E11FD9">
        <w:rPr>
          <w:rFonts w:hint="eastAsia"/>
          <w:lang w:val="en-US"/>
        </w:rPr>
        <w:t>아니라</w:t>
      </w:r>
      <w:r w:rsidR="00E11FD9">
        <w:rPr>
          <w:rFonts w:hint="eastAsia"/>
          <w:lang w:val="en-US"/>
        </w:rPr>
        <w:t xml:space="preserve"> </w:t>
      </w:r>
      <w:r w:rsidR="00E11FD9">
        <w:rPr>
          <w:rFonts w:hint="eastAsia"/>
          <w:lang w:val="en-US"/>
        </w:rPr>
        <w:t>최종적으로</w:t>
      </w:r>
      <w:r w:rsidR="00E11FD9">
        <w:rPr>
          <w:rFonts w:hint="eastAsia"/>
          <w:lang w:val="en-US"/>
        </w:rPr>
        <w:t xml:space="preserve"> Approval </w:t>
      </w:r>
      <w:r w:rsidR="00E11FD9">
        <w:rPr>
          <w:rFonts w:hint="eastAsia"/>
          <w:lang w:val="en-US"/>
        </w:rPr>
        <w:t>이벤트를</w:t>
      </w:r>
      <w:r w:rsidR="00E11FD9">
        <w:rPr>
          <w:rFonts w:hint="eastAsia"/>
          <w:lang w:val="en-US"/>
        </w:rPr>
        <w:t xml:space="preserve"> </w:t>
      </w:r>
      <w:r w:rsidR="00E11FD9">
        <w:rPr>
          <w:rFonts w:hint="eastAsia"/>
          <w:lang w:val="en-US"/>
        </w:rPr>
        <w:t>발생시키는</w:t>
      </w:r>
      <w:r w:rsidR="00E11FD9">
        <w:rPr>
          <w:rFonts w:hint="eastAsia"/>
          <w:lang w:val="en-US"/>
        </w:rPr>
        <w:t xml:space="preserve"> </w:t>
      </w:r>
      <w:r w:rsidR="00E11FD9">
        <w:rPr>
          <w:rFonts w:hint="eastAsia"/>
          <w:lang w:val="en-US"/>
        </w:rPr>
        <w:t>흐름일</w:t>
      </w:r>
      <w:r w:rsidR="00E11FD9">
        <w:rPr>
          <w:rFonts w:hint="eastAsia"/>
          <w:lang w:val="en-US"/>
        </w:rPr>
        <w:t xml:space="preserve"> </w:t>
      </w:r>
      <w:r w:rsidR="00E11FD9">
        <w:rPr>
          <w:rFonts w:hint="eastAsia"/>
          <w:lang w:val="en-US"/>
        </w:rPr>
        <w:t>수</w:t>
      </w:r>
      <w:r w:rsidR="00E11FD9">
        <w:rPr>
          <w:rFonts w:hint="eastAsia"/>
          <w:lang w:val="en-US"/>
        </w:rPr>
        <w:t xml:space="preserve"> </w:t>
      </w:r>
      <w:r w:rsidR="00E11FD9">
        <w:rPr>
          <w:rFonts w:hint="eastAsia"/>
          <w:lang w:val="en-US"/>
        </w:rPr>
        <w:t>있으므로</w:t>
      </w:r>
      <w:r w:rsidR="00E11FD9">
        <w:rPr>
          <w:rFonts w:hint="eastAsia"/>
          <w:lang w:val="en-US"/>
        </w:rPr>
        <w:t xml:space="preserve">, </w:t>
      </w:r>
      <w:r w:rsidR="00E11FD9">
        <w:rPr>
          <w:rFonts w:hint="eastAsia"/>
          <w:lang w:val="en-US"/>
        </w:rPr>
        <w:t>데이터</w:t>
      </w:r>
      <w:r w:rsidR="00E11FD9">
        <w:rPr>
          <w:rFonts w:hint="eastAsia"/>
          <w:lang w:val="en-US"/>
        </w:rPr>
        <w:t xml:space="preserve"> </w:t>
      </w:r>
      <w:r w:rsidR="00E11FD9">
        <w:rPr>
          <w:rFonts w:hint="eastAsia"/>
          <w:lang w:val="en-US"/>
        </w:rPr>
        <w:t>추출</w:t>
      </w:r>
      <w:r w:rsidR="00E11FD9">
        <w:rPr>
          <w:rFonts w:hint="eastAsia"/>
          <w:lang w:val="en-US"/>
        </w:rPr>
        <w:t xml:space="preserve"> </w:t>
      </w:r>
      <w:r w:rsidR="00E11FD9">
        <w:rPr>
          <w:rFonts w:hint="eastAsia"/>
          <w:lang w:val="en-US"/>
        </w:rPr>
        <w:t>표현을</w:t>
      </w:r>
      <w:r w:rsidR="00E11FD9">
        <w:rPr>
          <w:rFonts w:hint="eastAsia"/>
          <w:lang w:val="en-US"/>
        </w:rPr>
        <w:t xml:space="preserve"> </w:t>
      </w:r>
      <w:r w:rsidR="00E11FD9">
        <w:rPr>
          <w:rFonts w:hint="eastAsia"/>
          <w:lang w:val="en-US"/>
        </w:rPr>
        <w:t>더</w:t>
      </w:r>
      <w:r w:rsidR="00E11FD9">
        <w:rPr>
          <w:rFonts w:hint="eastAsia"/>
          <w:lang w:val="en-US"/>
        </w:rPr>
        <w:t xml:space="preserve"> </w:t>
      </w:r>
      <w:r w:rsidR="00E11FD9">
        <w:rPr>
          <w:rFonts w:hint="eastAsia"/>
          <w:lang w:val="en-US"/>
        </w:rPr>
        <w:t>정확하게</w:t>
      </w:r>
      <w:r w:rsidR="00E11FD9">
        <w:rPr>
          <w:rFonts w:hint="eastAsia"/>
          <w:lang w:val="en-US"/>
        </w:rPr>
        <w:t xml:space="preserve"> </w:t>
      </w:r>
      <w:r w:rsidR="00E11FD9">
        <w:rPr>
          <w:rFonts w:hint="eastAsia"/>
          <w:lang w:val="en-US"/>
        </w:rPr>
        <w:t>조정했습니다</w:t>
      </w:r>
      <w:r w:rsidR="00E11FD9">
        <w:rPr>
          <w:rFonts w:hint="eastAsia"/>
          <w:lang w:val="en-US"/>
        </w:rPr>
        <w:t>.</w:t>
      </w:r>
    </w:p>
  </w:comment>
  <w:comment w:id="33" w:author="Taehong Kwon" w:date="2026-06-04T10:46:00Z" w:initials="TK">
    <w:p w14:paraId="31FA5135" w14:textId="77777777" w:rsidR="007110CE" w:rsidRDefault="00000000" w:rsidP="007110CE">
      <w:pPr>
        <w:pStyle w:val="a5"/>
      </w:pPr>
      <w:r>
        <w:annotationRef/>
      </w:r>
      <w:r w:rsidR="007110CE">
        <w:rPr>
          <w:rFonts w:hint="eastAsia"/>
          <w:lang w:val="en-US"/>
        </w:rPr>
        <w:t>default label</w:t>
      </w:r>
      <w:r w:rsidR="007110CE">
        <w:rPr>
          <w:rFonts w:hint="eastAsia"/>
          <w:lang w:val="en-US"/>
        </w:rPr>
        <w:t>을</w:t>
      </w:r>
      <w:r w:rsidR="007110CE">
        <w:rPr>
          <w:rFonts w:hint="eastAsia"/>
          <w:lang w:val="en-US"/>
        </w:rPr>
        <w:t xml:space="preserve"> Aave V3 liquidation</w:t>
      </w:r>
      <w:r w:rsidR="007110CE">
        <w:rPr>
          <w:rFonts w:hint="eastAsia"/>
          <w:lang w:val="en-US"/>
        </w:rPr>
        <w:t>으로</w:t>
      </w:r>
      <w:r w:rsidR="007110CE">
        <w:rPr>
          <w:rFonts w:hint="eastAsia"/>
          <w:lang w:val="en-US"/>
        </w:rPr>
        <w:t xml:space="preserve"> </w:t>
      </w:r>
      <w:r w:rsidR="007110CE">
        <w:rPr>
          <w:rFonts w:hint="eastAsia"/>
          <w:lang w:val="en-US"/>
        </w:rPr>
        <w:t>운용하되</w:t>
      </w:r>
      <w:r w:rsidR="007110CE">
        <w:rPr>
          <w:rFonts w:hint="eastAsia"/>
          <w:lang w:val="en-US"/>
        </w:rPr>
        <w:t xml:space="preserve">, feature window </w:t>
      </w:r>
      <w:r w:rsidR="007110CE">
        <w:rPr>
          <w:rFonts w:hint="eastAsia"/>
          <w:lang w:val="en-US"/>
        </w:rPr>
        <w:t>이후의</w:t>
      </w:r>
      <w:r w:rsidR="007110CE">
        <w:rPr>
          <w:rFonts w:hint="eastAsia"/>
          <w:lang w:val="en-US"/>
        </w:rPr>
        <w:t xml:space="preserve"> outcome</w:t>
      </w:r>
      <w:r w:rsidR="007110CE">
        <w:rPr>
          <w:rFonts w:hint="eastAsia"/>
          <w:lang w:val="en-US"/>
        </w:rPr>
        <w:t>으로</w:t>
      </w:r>
      <w:r w:rsidR="007110CE">
        <w:rPr>
          <w:rFonts w:hint="eastAsia"/>
          <w:lang w:val="en-US"/>
        </w:rPr>
        <w:t xml:space="preserve"> </w:t>
      </w:r>
      <w:r w:rsidR="007110CE">
        <w:rPr>
          <w:rFonts w:hint="eastAsia"/>
          <w:lang w:val="en-US"/>
        </w:rPr>
        <w:t>분리해</w:t>
      </w:r>
      <w:r w:rsidR="007110CE">
        <w:rPr>
          <w:rFonts w:hint="eastAsia"/>
          <w:lang w:val="en-US"/>
        </w:rPr>
        <w:t xml:space="preserve"> look-ahead bias</w:t>
      </w:r>
      <w:r w:rsidR="007110CE">
        <w:rPr>
          <w:rFonts w:hint="eastAsia"/>
          <w:lang w:val="en-US"/>
        </w:rPr>
        <w:t>를</w:t>
      </w:r>
      <w:r w:rsidR="007110CE">
        <w:rPr>
          <w:rFonts w:hint="eastAsia"/>
          <w:lang w:val="en-US"/>
        </w:rPr>
        <w:t xml:space="preserve"> </w:t>
      </w:r>
      <w:r w:rsidR="007110CE">
        <w:rPr>
          <w:rFonts w:hint="eastAsia"/>
          <w:lang w:val="en-US"/>
        </w:rPr>
        <w:t>줄이도록</w:t>
      </w:r>
      <w:r w:rsidR="007110CE">
        <w:rPr>
          <w:rFonts w:hint="eastAsia"/>
          <w:lang w:val="en-US"/>
        </w:rPr>
        <w:t xml:space="preserve"> </w:t>
      </w:r>
      <w:r w:rsidR="007110CE">
        <w:rPr>
          <w:rFonts w:hint="eastAsia"/>
          <w:lang w:val="en-US"/>
        </w:rPr>
        <w:t>보강했습니다</w:t>
      </w:r>
      <w:r w:rsidR="007110CE">
        <w:rPr>
          <w:rFonts w:hint="eastAsia"/>
          <w:lang w:val="en-US"/>
        </w:rPr>
        <w:t>.</w:t>
      </w:r>
    </w:p>
  </w:comment>
  <w:comment w:id="34" w:author="Taehong Kwon" w:date="2026-06-04T10:46:00Z" w:initials="TK">
    <w:p w14:paraId="6B0A347E" w14:textId="3E59DC6B" w:rsidR="004002E6" w:rsidRDefault="00000000">
      <w:r>
        <w:annotationRef/>
      </w:r>
      <w:r>
        <w:t>표본</w:t>
      </w:r>
      <w:r>
        <w:t xml:space="preserve"> </w:t>
      </w:r>
      <w:r>
        <w:t>기준과</w:t>
      </w:r>
      <w:r>
        <w:t xml:space="preserve"> benchmark sample</w:t>
      </w:r>
      <w:r>
        <w:t>의</w:t>
      </w:r>
      <w:r>
        <w:t xml:space="preserve"> </w:t>
      </w:r>
      <w:r>
        <w:t>재현</w:t>
      </w:r>
      <w:r>
        <w:t xml:space="preserve"> </w:t>
      </w:r>
      <w:r>
        <w:t>가능성을</w:t>
      </w:r>
      <w:r>
        <w:t xml:space="preserve"> </w:t>
      </w:r>
      <w:r>
        <w:t>명시했습니다</w:t>
      </w:r>
      <w:r>
        <w:t xml:space="preserve">. 50k/100k/200k </w:t>
      </w:r>
      <w:r>
        <w:t>비교도</w:t>
      </w:r>
      <w:r>
        <w:t xml:space="preserve"> scalability robustness check</w:t>
      </w:r>
      <w:r>
        <w:t>와</w:t>
      </w:r>
      <w:r>
        <w:t xml:space="preserve"> </w:t>
      </w:r>
      <w:r>
        <w:t>연결됩니다</w:t>
      </w:r>
      <w:r>
        <w:t>.</w:t>
      </w:r>
    </w:p>
  </w:comment>
  <w:comment w:id="35" w:author="Taehong Kwon" w:date="2026-06-04T10:46:00Z" w:initials="TK">
    <w:p w14:paraId="018CC89A" w14:textId="77777777" w:rsidR="004002E6" w:rsidRDefault="00000000">
      <w:r>
        <w:annotationRef/>
      </w:r>
      <w:r>
        <w:t>토큰</w:t>
      </w:r>
      <w:r>
        <w:t xml:space="preserve"> decimals</w:t>
      </w:r>
      <w:r>
        <w:t>와</w:t>
      </w:r>
      <w:r>
        <w:t xml:space="preserve"> </w:t>
      </w:r>
      <w:r>
        <w:t>경제적</w:t>
      </w:r>
      <w:r>
        <w:t xml:space="preserve"> </w:t>
      </w:r>
      <w:r>
        <w:t>스케일</w:t>
      </w:r>
      <w:r>
        <w:t xml:space="preserve"> </w:t>
      </w:r>
      <w:r>
        <w:t>차이가</w:t>
      </w:r>
      <w:r>
        <w:t xml:space="preserve"> allowance weight</w:t>
      </w:r>
      <w:r>
        <w:t>를</w:t>
      </w:r>
      <w:r>
        <w:t xml:space="preserve"> </w:t>
      </w:r>
      <w:r>
        <w:t>왜곡할</w:t>
      </w:r>
      <w:r>
        <w:t xml:space="preserve"> </w:t>
      </w:r>
      <w:r>
        <w:t>수</w:t>
      </w:r>
      <w:r>
        <w:t xml:space="preserve"> </w:t>
      </w:r>
      <w:r>
        <w:t>있어</w:t>
      </w:r>
      <w:r>
        <w:t xml:space="preserve"> normalization </w:t>
      </w:r>
      <w:r>
        <w:t>및</w:t>
      </w:r>
      <w:r>
        <w:t xml:space="preserve"> sensitivity check </w:t>
      </w:r>
      <w:r>
        <w:t>계획을</w:t>
      </w:r>
      <w:r>
        <w:t xml:space="preserve"> </w:t>
      </w:r>
      <w:r>
        <w:t>추가했습니다</w:t>
      </w:r>
      <w:r>
        <w:t>.</w:t>
      </w:r>
    </w:p>
  </w:comment>
  <w:comment w:id="36" w:author="Taehong Kwon" w:date="2026-06-04T10:46:00Z" w:initials="TK">
    <w:p w14:paraId="26B1CA15" w14:textId="77777777" w:rsidR="004002E6" w:rsidRDefault="00000000">
      <w:r>
        <w:annotationRef/>
      </w:r>
      <w:r>
        <w:t>예측</w:t>
      </w:r>
      <w:r>
        <w:t xml:space="preserve"> </w:t>
      </w:r>
      <w:r>
        <w:t>성능</w:t>
      </w:r>
      <w:r>
        <w:t xml:space="preserve"> </w:t>
      </w:r>
      <w:r>
        <w:t>평가가</w:t>
      </w:r>
      <w:r>
        <w:t xml:space="preserve"> </w:t>
      </w:r>
      <w:r>
        <w:t>미래</w:t>
      </w:r>
      <w:r>
        <w:t xml:space="preserve"> </w:t>
      </w:r>
      <w:r>
        <w:t>정보를</w:t>
      </w:r>
      <w:r>
        <w:t xml:space="preserve"> </w:t>
      </w:r>
      <w:r>
        <w:t>사용하지</w:t>
      </w:r>
      <w:r>
        <w:t xml:space="preserve"> </w:t>
      </w:r>
      <w:r>
        <w:t>않도록</w:t>
      </w:r>
      <w:r>
        <w:t xml:space="preserve"> temporal validation</w:t>
      </w:r>
      <w:r>
        <w:t>과</w:t>
      </w:r>
      <w:r>
        <w:t xml:space="preserve"> outcome window </w:t>
      </w:r>
      <w:r>
        <w:t>분리를</w:t>
      </w:r>
      <w:r>
        <w:t xml:space="preserve"> </w:t>
      </w:r>
      <w:r>
        <w:t>추가했습니다</w:t>
      </w:r>
      <w:r>
        <w:t>.</w:t>
      </w:r>
    </w:p>
  </w:comment>
  <w:comment w:id="42" w:author="Taehong Kwon" w:date="2026-06-04T10:46:00Z" w:initials="TK">
    <w:p w14:paraId="0DA23FDE" w14:textId="77777777" w:rsidR="004002E6" w:rsidRDefault="00000000">
      <w:r>
        <w:annotationRef/>
      </w:r>
      <w:r>
        <w:t>가이드라인에서</w:t>
      </w:r>
      <w:r>
        <w:t xml:space="preserve"> </w:t>
      </w:r>
      <w:r>
        <w:t>요구한</w:t>
      </w:r>
      <w:r>
        <w:t xml:space="preserve"> </w:t>
      </w:r>
      <w:r>
        <w:t>기관</w:t>
      </w:r>
      <w:r>
        <w:t>/</w:t>
      </w:r>
      <w:r>
        <w:t>대학</w:t>
      </w:r>
      <w:r>
        <w:t xml:space="preserve"> </w:t>
      </w:r>
      <w:r>
        <w:t>윤리</w:t>
      </w:r>
      <w:r>
        <w:t xml:space="preserve"> </w:t>
      </w:r>
      <w:r>
        <w:t>승인</w:t>
      </w:r>
      <w:r>
        <w:t xml:space="preserve"> </w:t>
      </w:r>
      <w:r>
        <w:t>절차를</w:t>
      </w:r>
      <w:r>
        <w:t xml:space="preserve"> </w:t>
      </w:r>
      <w:r>
        <w:t>구체화했습니다</w:t>
      </w:r>
      <w:r>
        <w:t xml:space="preserve">. </w:t>
      </w:r>
      <w:r>
        <w:t>공개</w:t>
      </w:r>
      <w:r>
        <w:t xml:space="preserve"> </w:t>
      </w:r>
      <w:r>
        <w:t>블록체인</w:t>
      </w:r>
      <w:r>
        <w:t xml:space="preserve"> </w:t>
      </w:r>
      <w:r>
        <w:t>데이터라도</w:t>
      </w:r>
      <w:r>
        <w:t xml:space="preserve"> UNISA ethics clearance </w:t>
      </w:r>
      <w:r>
        <w:t>또는</w:t>
      </w:r>
      <w:r>
        <w:t xml:space="preserve"> exemption </w:t>
      </w:r>
      <w:r>
        <w:t>확인이</w:t>
      </w:r>
      <w:r>
        <w:t xml:space="preserve"> </w:t>
      </w:r>
      <w:r>
        <w:t>필요합니다</w:t>
      </w:r>
      <w:r>
        <w:t>.</w:t>
      </w:r>
    </w:p>
  </w:comment>
  <w:comment w:id="44" w:author="Taehong Kwon" w:date="2026-06-04T10:46:00Z" w:initials="TK">
    <w:p w14:paraId="2478D445" w14:textId="77777777" w:rsidR="004002E6" w:rsidRDefault="00000000">
      <w:r>
        <w:annotationRef/>
      </w:r>
      <w:r>
        <w:t xml:space="preserve">PhD proposal </w:t>
      </w:r>
      <w:r>
        <w:t>평가기준에</w:t>
      </w:r>
      <w:r>
        <w:t xml:space="preserve"> </w:t>
      </w:r>
      <w:r>
        <w:t>맞춰</w:t>
      </w:r>
      <w:r>
        <w:t xml:space="preserve"> </w:t>
      </w:r>
      <w:r>
        <w:t>독창적</w:t>
      </w:r>
      <w:r>
        <w:t xml:space="preserve"> </w:t>
      </w:r>
      <w:r>
        <w:t>학술</w:t>
      </w:r>
      <w:r>
        <w:t xml:space="preserve"> </w:t>
      </w:r>
      <w:r>
        <w:t>기여를</w:t>
      </w:r>
      <w:r>
        <w:t xml:space="preserve"> </w:t>
      </w:r>
      <w:r>
        <w:t>명시적으로</w:t>
      </w:r>
      <w:r>
        <w:t xml:space="preserve"> </w:t>
      </w:r>
      <w:r>
        <w:t>표현했습니다</w:t>
      </w:r>
      <w:r>
        <w:t>.</w:t>
      </w:r>
    </w:p>
  </w:comment>
  <w:comment w:id="47" w:author="Taehong Kwon" w:date="2026-06-04T10:46:00Z" w:initials="TK">
    <w:p w14:paraId="4A742821" w14:textId="77777777" w:rsidR="004002E6" w:rsidRDefault="00000000">
      <w:r>
        <w:annotationRef/>
      </w:r>
      <w:r>
        <w:t>가이드라인이</w:t>
      </w:r>
      <w:r>
        <w:t xml:space="preserve"> </w:t>
      </w:r>
      <w:r>
        <w:t>요구하는</w:t>
      </w:r>
      <w:r>
        <w:t xml:space="preserve"> dissertation/thesis blueprint</w:t>
      </w:r>
      <w:r>
        <w:t>를</w:t>
      </w:r>
      <w:r>
        <w:t xml:space="preserve"> </w:t>
      </w:r>
      <w:r>
        <w:t>추가했습니다</w:t>
      </w:r>
      <w:r>
        <w:t xml:space="preserve">. </w:t>
      </w:r>
      <w:r>
        <w:t>이어지는</w:t>
      </w:r>
      <w:r>
        <w:t xml:space="preserve"> Chapter 1-6 </w:t>
      </w:r>
      <w:r>
        <w:t>개요가</w:t>
      </w:r>
      <w:r>
        <w:t xml:space="preserve"> </w:t>
      </w:r>
      <w:r>
        <w:t>최종</w:t>
      </w:r>
      <w:r>
        <w:t xml:space="preserve"> </w:t>
      </w:r>
      <w:r>
        <w:t>논문</w:t>
      </w:r>
      <w:r>
        <w:t xml:space="preserve"> </w:t>
      </w:r>
      <w:r>
        <w:t>구조를</w:t>
      </w:r>
      <w:r>
        <w:t xml:space="preserve"> </w:t>
      </w:r>
      <w:r>
        <w:t>설명합니다</w:t>
      </w:r>
      <w:r>
        <w:t>.</w:t>
      </w:r>
    </w:p>
  </w:comment>
  <w:comment w:id="50" w:author="Taehong Kwon" w:date="2026-06-04T10:46:00Z" w:initials="TK">
    <w:p w14:paraId="65346000" w14:textId="77777777" w:rsidR="004002E6" w:rsidRDefault="00000000">
      <w:r>
        <w:annotationRef/>
      </w:r>
      <w:r>
        <w:t>참고문헌</w:t>
      </w:r>
      <w:r>
        <w:t xml:space="preserve"> </w:t>
      </w:r>
      <w:r>
        <w:t>섹션을</w:t>
      </w:r>
      <w:r>
        <w:t xml:space="preserve"> APA</w:t>
      </w:r>
      <w:r>
        <w:t>식</w:t>
      </w:r>
      <w:r>
        <w:t xml:space="preserve"> References</w:t>
      </w:r>
      <w:r>
        <w:t>로</w:t>
      </w:r>
      <w:r>
        <w:t xml:space="preserve"> </w:t>
      </w:r>
      <w:r>
        <w:t>통합하고</w:t>
      </w:r>
      <w:r>
        <w:t xml:space="preserve"> </w:t>
      </w:r>
      <w:r>
        <w:t>숫자식</w:t>
      </w:r>
      <w:r>
        <w:t xml:space="preserve"> </w:t>
      </w:r>
      <w:r>
        <w:t>인용</w:t>
      </w:r>
      <w:r>
        <w:t xml:space="preserve"> </w:t>
      </w:r>
      <w:r>
        <w:t>표기를</w:t>
      </w:r>
      <w:r>
        <w:t xml:space="preserve"> </w:t>
      </w:r>
      <w:r>
        <w:t>제거했습니다</w:t>
      </w:r>
      <w:r>
        <w:t xml:space="preserve">. </w:t>
      </w:r>
      <w:r>
        <w:t>제출</w:t>
      </w:r>
      <w:r>
        <w:t xml:space="preserve"> </w:t>
      </w:r>
      <w:r>
        <w:t>전</w:t>
      </w:r>
      <w:r>
        <w:t xml:space="preserve"> </w:t>
      </w:r>
      <w:r>
        <w:t>세부</w:t>
      </w:r>
      <w:r>
        <w:t xml:space="preserve"> APA 7</w:t>
      </w:r>
      <w:r>
        <w:t>판</w:t>
      </w:r>
      <w:r>
        <w:t xml:space="preserve"> </w:t>
      </w:r>
      <w:r>
        <w:t>형식은</w:t>
      </w:r>
      <w:r>
        <w:t xml:space="preserve"> </w:t>
      </w:r>
      <w:r>
        <w:t>한</w:t>
      </w:r>
      <w:r>
        <w:t xml:space="preserve"> </w:t>
      </w:r>
      <w:r>
        <w:t>번</w:t>
      </w:r>
      <w:r>
        <w:t xml:space="preserve"> </w:t>
      </w:r>
      <w:r>
        <w:t>더</w:t>
      </w:r>
      <w:r>
        <w:t xml:space="preserve"> </w:t>
      </w:r>
      <w:r>
        <w:t>수동</w:t>
      </w:r>
      <w:r>
        <w:t xml:space="preserve"> </w:t>
      </w:r>
      <w:r>
        <w:t>점검하는</w:t>
      </w:r>
      <w:r>
        <w:t xml:space="preserve"> </w:t>
      </w:r>
      <w:r>
        <w:t>것이</w:t>
      </w:r>
      <w:r>
        <w:t xml:space="preserve"> </w:t>
      </w:r>
      <w:r>
        <w:t>좋습니다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53D8A3" w15:done="0"/>
  <w15:commentEx w15:paraId="14164899" w15:done="0"/>
  <w15:commentEx w15:paraId="10F8751E" w15:done="0"/>
  <w15:commentEx w15:paraId="35EBCBE8" w15:done="0"/>
  <w15:commentEx w15:paraId="31FA5135" w15:done="0"/>
  <w15:commentEx w15:paraId="6B0A347E" w15:done="0"/>
  <w15:commentEx w15:paraId="018CC89A" w15:done="0"/>
  <w15:commentEx w15:paraId="26B1CA15" w15:done="0"/>
  <w15:commentEx w15:paraId="0DA23FDE" w15:done="0"/>
  <w15:commentEx w15:paraId="2478D445" w15:done="0"/>
  <w15:commentEx w15:paraId="4A742821" w15:done="0"/>
  <w15:commentEx w15:paraId="65346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53D8A3" w16cid:durableId="2553D8A3"/>
  <w16cid:commentId w16cid:paraId="14164899" w16cid:durableId="14164899"/>
  <w16cid:commentId w16cid:paraId="10F8751E" w16cid:durableId="10F8751E"/>
  <w16cid:commentId w16cid:paraId="35EBCBE8" w16cid:durableId="35EBCBE8"/>
  <w16cid:commentId w16cid:paraId="31FA5135" w16cid:durableId="31FA5135"/>
  <w16cid:commentId w16cid:paraId="6B0A347E" w16cid:durableId="6B0A347E"/>
  <w16cid:commentId w16cid:paraId="018CC89A" w16cid:durableId="018CC89A"/>
  <w16cid:commentId w16cid:paraId="26B1CA15" w16cid:durableId="26B1CA15"/>
  <w16cid:commentId w16cid:paraId="0DA23FDE" w16cid:durableId="0DA23FDE"/>
  <w16cid:commentId w16cid:paraId="2478D445" w16cid:durableId="2478D445"/>
  <w16cid:commentId w16cid:paraId="4A742821" w16cid:durableId="4A742821"/>
  <w16cid:commentId w16cid:paraId="65346000" w16cid:durableId="65346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1231" w14:textId="77777777" w:rsidR="00E71DB9" w:rsidRDefault="00E71DB9">
      <w:r>
        <w:separator/>
      </w:r>
    </w:p>
  </w:endnote>
  <w:endnote w:type="continuationSeparator" w:id="0">
    <w:p w14:paraId="71BF4D38" w14:textId="77777777" w:rsidR="00E71DB9" w:rsidRDefault="00E71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B40E1BB-F360-46EE-B5D2-B5A67B1333B9}"/>
    <w:embedBold r:id="rId2" w:fontKey="{D30D135E-2EFE-41BD-B904-58577294D131}"/>
    <w:embedItalic r:id="rId3" w:fontKey="{CACC8E29-C0B5-4221-83AB-E21B67E12CB4}"/>
    <w:embedBoldItalic r:id="rId4" w:fontKey="{4516D953-AB22-4189-8B77-DE0EFD3E8D43}"/>
  </w:font>
  <w:font w:name="Cambria">
    <w:panose1 w:val="02040503050406030204"/>
    <w:charset w:val="00"/>
    <w:family w:val="roman"/>
    <w:pitch w:val="variable"/>
    <w:sig w:usb0="E00006FF" w:usb1="420024FF" w:usb2="02000000" w:usb3="00000000" w:csb0="0000019F" w:csb1="00000000"/>
    <w:embedRegular r:id="rId5" w:fontKey="{166938D5-9C48-4753-BD4A-84D7BB2B4244}"/>
  </w:font>
  <w:font w:name="맑은 고딕">
    <w:panose1 w:val="020B0503020000020004"/>
    <w:charset w:val="81"/>
    <w:family w:val="modern"/>
    <w:pitch w:val="variable"/>
    <w:sig w:usb0="9000002F" w:usb1="29D77CFB" w:usb2="00000012" w:usb3="00000000" w:csb0="00080001" w:csb1="00000000"/>
    <w:embedRegular r:id="rId6" w:subsetted="1" w:fontKey="{C8E670FE-6615-4E1A-A1B5-87E3626A9D99}"/>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B3E571A2-CF2A-4905-8D52-4C9A088BA25C}"/>
  </w:font>
  <w:font w:name="Lucida Sans">
    <w:panose1 w:val="020B0602030504020204"/>
    <w:charset w:val="00"/>
    <w:family w:val="swiss"/>
    <w:pitch w:val="variable"/>
    <w:sig w:usb0="00000003" w:usb1="00000000" w:usb2="00000000" w:usb3="00000000" w:csb0="00000001" w:csb1="00000000"/>
    <w:embedRegular r:id="rId8" w:fontKey="{CD3AA260-F052-44DA-BA9E-6A9B02EBB14E}"/>
  </w:font>
  <w:font w:name="Cambria Math">
    <w:panose1 w:val="02040503050406030204"/>
    <w:charset w:val="00"/>
    <w:family w:val="roman"/>
    <w:pitch w:val="variable"/>
    <w:sig w:usb0="E00006FF" w:usb1="420024FF" w:usb2="02000000" w:usb3="00000000" w:csb0="0000019F" w:csb1="00000000"/>
    <w:embedRegular r:id="rId9" w:fontKey="{EE01E04B-862F-45A4-B429-132B3F1EE744}"/>
  </w:font>
  <w:font w:name="SimSun-ExtB">
    <w:panose1 w:val="02010609060101010101"/>
    <w:charset w:val="86"/>
    <w:family w:val="modern"/>
    <w:pitch w:val="fixed"/>
    <w:sig w:usb0="00000003" w:usb1="0A0E0000" w:usb2="00000010" w:usb3="00000000" w:csb0="00040001" w:csb1="00000000"/>
    <w:embedRegular r:id="rId10" w:subsetted="1" w:fontKey="{D1E079DB-68C8-4954-9A78-78974F3FBAAE}"/>
  </w:font>
  <w:font w:name="Roboto">
    <w:charset w:val="00"/>
    <w:family w:val="auto"/>
    <w:pitch w:val="variable"/>
    <w:sig w:usb0="E0000AFF" w:usb1="5000217F" w:usb2="00000021" w:usb3="00000000" w:csb0="0000019F" w:csb1="00000000"/>
    <w:embedBoldItalic r:id="rId11" w:fontKey="{1206D03E-FCAC-42BB-9AD3-CCB87EF685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26"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27"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80BD" w14:textId="77777777" w:rsidR="00E71DB9" w:rsidRDefault="00E71DB9">
      <w:r>
        <w:separator/>
      </w:r>
    </w:p>
  </w:footnote>
  <w:footnote w:type="continuationSeparator" w:id="0">
    <w:p w14:paraId="7DE97C0E" w14:textId="77777777" w:rsidR="00E71DB9" w:rsidRDefault="00E71D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A73606"/>
    <w:multiLevelType w:val="hybridMultilevel"/>
    <w:tmpl w:val="C6ECFAAE"/>
    <w:lvl w:ilvl="0" w:tplc="E348D8AC">
      <w:numFmt w:val="bullet"/>
      <w:lvlText w:val="-"/>
      <w:lvlJc w:val="left"/>
      <w:pPr>
        <w:ind w:left="800" w:hanging="360"/>
      </w:pPr>
      <w:rPr>
        <w:rFonts w:ascii="Calibri" w:eastAsiaTheme="minorEastAsia" w:hAnsi="Calibri" w:cs="Calibri"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A514903"/>
    <w:multiLevelType w:val="hybridMultilevel"/>
    <w:tmpl w:val="B0761970"/>
    <w:lvl w:ilvl="0" w:tplc="249E4AD8">
      <w:numFmt w:val="bullet"/>
      <w:lvlText w:val="-"/>
      <w:lvlJc w:val="left"/>
      <w:pPr>
        <w:ind w:left="800" w:hanging="360"/>
      </w:pPr>
      <w:rPr>
        <w:rFonts w:ascii="Calibri" w:eastAsiaTheme="minorEastAsia" w:hAnsi="Calibri" w:cs="Calibr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0"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2"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4"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5"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6"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7"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8"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9"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20"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2"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4"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8"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9"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0"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1"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2"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3"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4"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5"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6"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7"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8"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9"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0"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1"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2"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3"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4"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3"/>
  </w:num>
  <w:num w:numId="2" w16cid:durableId="2034529912">
    <w:abstractNumId w:val="22"/>
  </w:num>
  <w:num w:numId="3" w16cid:durableId="842865704">
    <w:abstractNumId w:val="10"/>
  </w:num>
  <w:num w:numId="4" w16cid:durableId="1788112400">
    <w:abstractNumId w:val="41"/>
  </w:num>
  <w:num w:numId="5" w16cid:durableId="1245609707">
    <w:abstractNumId w:val="23"/>
  </w:num>
  <w:num w:numId="6" w16cid:durableId="599412909">
    <w:abstractNumId w:val="11"/>
  </w:num>
  <w:num w:numId="7" w16cid:durableId="1192107546">
    <w:abstractNumId w:val="29"/>
  </w:num>
  <w:num w:numId="8" w16cid:durableId="664363077">
    <w:abstractNumId w:val="24"/>
  </w:num>
  <w:num w:numId="9" w16cid:durableId="2049984939">
    <w:abstractNumId w:val="20"/>
  </w:num>
  <w:num w:numId="10" w16cid:durableId="809052620">
    <w:abstractNumId w:val="38"/>
  </w:num>
  <w:num w:numId="11" w16cid:durableId="1607687669">
    <w:abstractNumId w:val="2"/>
  </w:num>
  <w:num w:numId="12" w16cid:durableId="1683240558">
    <w:abstractNumId w:val="6"/>
  </w:num>
  <w:num w:numId="13" w16cid:durableId="1732268948">
    <w:abstractNumId w:val="26"/>
  </w:num>
  <w:num w:numId="14" w16cid:durableId="561256997">
    <w:abstractNumId w:val="14"/>
  </w:num>
  <w:num w:numId="15" w16cid:durableId="1109591764">
    <w:abstractNumId w:val="35"/>
  </w:num>
  <w:num w:numId="16" w16cid:durableId="1029791669">
    <w:abstractNumId w:val="0"/>
  </w:num>
  <w:num w:numId="17" w16cid:durableId="1989480551">
    <w:abstractNumId w:val="9"/>
  </w:num>
  <w:num w:numId="18" w16cid:durableId="265504578">
    <w:abstractNumId w:val="36"/>
  </w:num>
  <w:num w:numId="19" w16cid:durableId="293874030">
    <w:abstractNumId w:val="30"/>
  </w:num>
  <w:num w:numId="20" w16cid:durableId="1492527258">
    <w:abstractNumId w:val="25"/>
  </w:num>
  <w:num w:numId="21" w16cid:durableId="70125727">
    <w:abstractNumId w:val="27"/>
  </w:num>
  <w:num w:numId="22" w16cid:durableId="818616783">
    <w:abstractNumId w:val="17"/>
  </w:num>
  <w:num w:numId="23" w16cid:durableId="1556432927">
    <w:abstractNumId w:val="32"/>
  </w:num>
  <w:num w:numId="24" w16cid:durableId="1008870561">
    <w:abstractNumId w:val="1"/>
  </w:num>
  <w:num w:numId="25" w16cid:durableId="503783121">
    <w:abstractNumId w:val="31"/>
  </w:num>
  <w:num w:numId="26" w16cid:durableId="1557471479">
    <w:abstractNumId w:val="15"/>
  </w:num>
  <w:num w:numId="27" w16cid:durableId="352806372">
    <w:abstractNumId w:val="3"/>
  </w:num>
  <w:num w:numId="28" w16cid:durableId="517620652">
    <w:abstractNumId w:val="34"/>
  </w:num>
  <w:num w:numId="29" w16cid:durableId="504324604">
    <w:abstractNumId w:val="37"/>
  </w:num>
  <w:num w:numId="30" w16cid:durableId="2094692569">
    <w:abstractNumId w:val="21"/>
  </w:num>
  <w:num w:numId="31" w16cid:durableId="1509756413">
    <w:abstractNumId w:val="13"/>
  </w:num>
  <w:num w:numId="32" w16cid:durableId="943659314">
    <w:abstractNumId w:val="19"/>
  </w:num>
  <w:num w:numId="33" w16cid:durableId="16855335">
    <w:abstractNumId w:val="16"/>
  </w:num>
  <w:num w:numId="34" w16cid:durableId="1159883443">
    <w:abstractNumId w:val="8"/>
  </w:num>
  <w:num w:numId="35" w16cid:durableId="446968020">
    <w:abstractNumId w:val="40"/>
  </w:num>
  <w:num w:numId="36" w16cid:durableId="2108651610">
    <w:abstractNumId w:val="33"/>
  </w:num>
  <w:num w:numId="37" w16cid:durableId="528377940">
    <w:abstractNumId w:val="28"/>
  </w:num>
  <w:num w:numId="38" w16cid:durableId="571237718">
    <w:abstractNumId w:val="12"/>
  </w:num>
  <w:num w:numId="39" w16cid:durableId="405802155">
    <w:abstractNumId w:val="45"/>
  </w:num>
  <w:num w:numId="40" w16cid:durableId="1280917786">
    <w:abstractNumId w:val="5"/>
  </w:num>
  <w:num w:numId="41" w16cid:durableId="1325891150">
    <w:abstractNumId w:val="42"/>
  </w:num>
  <w:num w:numId="42" w16cid:durableId="1039166851">
    <w:abstractNumId w:val="18"/>
  </w:num>
  <w:num w:numId="43" w16cid:durableId="113521810">
    <w:abstractNumId w:val="44"/>
  </w:num>
  <w:num w:numId="44" w16cid:durableId="910385678">
    <w:abstractNumId w:val="39"/>
  </w:num>
  <w:num w:numId="45" w16cid:durableId="660811791">
    <w:abstractNumId w:val="4"/>
  </w:num>
  <w:num w:numId="46" w16cid:durableId="9274971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7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481E"/>
    <w:rsid w:val="00035897"/>
    <w:rsid w:val="00092A58"/>
    <w:rsid w:val="000B78E5"/>
    <w:rsid w:val="000F0382"/>
    <w:rsid w:val="0012727E"/>
    <w:rsid w:val="00134A6C"/>
    <w:rsid w:val="00182528"/>
    <w:rsid w:val="00182BA1"/>
    <w:rsid w:val="001D72CA"/>
    <w:rsid w:val="001F2D72"/>
    <w:rsid w:val="00260C71"/>
    <w:rsid w:val="00277321"/>
    <w:rsid w:val="002F3C02"/>
    <w:rsid w:val="00306F1D"/>
    <w:rsid w:val="003226F8"/>
    <w:rsid w:val="00324BCE"/>
    <w:rsid w:val="00391B6D"/>
    <w:rsid w:val="003B08DA"/>
    <w:rsid w:val="003B651F"/>
    <w:rsid w:val="003D38CE"/>
    <w:rsid w:val="004002E6"/>
    <w:rsid w:val="0041720D"/>
    <w:rsid w:val="00430964"/>
    <w:rsid w:val="00446C98"/>
    <w:rsid w:val="00454B94"/>
    <w:rsid w:val="00465161"/>
    <w:rsid w:val="004C2D23"/>
    <w:rsid w:val="0053249F"/>
    <w:rsid w:val="0053318A"/>
    <w:rsid w:val="00574FA5"/>
    <w:rsid w:val="005A6612"/>
    <w:rsid w:val="005B753C"/>
    <w:rsid w:val="005C014D"/>
    <w:rsid w:val="005D6A45"/>
    <w:rsid w:val="005E0498"/>
    <w:rsid w:val="005E348B"/>
    <w:rsid w:val="0063390E"/>
    <w:rsid w:val="00633AA8"/>
    <w:rsid w:val="00645B42"/>
    <w:rsid w:val="006525B9"/>
    <w:rsid w:val="006A4981"/>
    <w:rsid w:val="00700E53"/>
    <w:rsid w:val="00701E87"/>
    <w:rsid w:val="007110CE"/>
    <w:rsid w:val="007170EE"/>
    <w:rsid w:val="00742FEC"/>
    <w:rsid w:val="00764CDA"/>
    <w:rsid w:val="00794849"/>
    <w:rsid w:val="007A2AB3"/>
    <w:rsid w:val="007C1C3F"/>
    <w:rsid w:val="00827058"/>
    <w:rsid w:val="00844388"/>
    <w:rsid w:val="008A6774"/>
    <w:rsid w:val="008B218B"/>
    <w:rsid w:val="008C0179"/>
    <w:rsid w:val="008D5743"/>
    <w:rsid w:val="008E4A0A"/>
    <w:rsid w:val="008F3757"/>
    <w:rsid w:val="008F384B"/>
    <w:rsid w:val="00923980"/>
    <w:rsid w:val="00926C43"/>
    <w:rsid w:val="009C3A52"/>
    <w:rsid w:val="009E1A85"/>
    <w:rsid w:val="009F5347"/>
    <w:rsid w:val="00A00C1C"/>
    <w:rsid w:val="00A271CD"/>
    <w:rsid w:val="00A31711"/>
    <w:rsid w:val="00A50FA0"/>
    <w:rsid w:val="00A52392"/>
    <w:rsid w:val="00A555F8"/>
    <w:rsid w:val="00A810C9"/>
    <w:rsid w:val="00AA5A39"/>
    <w:rsid w:val="00AB0C37"/>
    <w:rsid w:val="00AD703D"/>
    <w:rsid w:val="00B45BEA"/>
    <w:rsid w:val="00B574BB"/>
    <w:rsid w:val="00BC62E6"/>
    <w:rsid w:val="00BD541D"/>
    <w:rsid w:val="00C06AA0"/>
    <w:rsid w:val="00C11D23"/>
    <w:rsid w:val="00C44053"/>
    <w:rsid w:val="00C57227"/>
    <w:rsid w:val="00C66B1D"/>
    <w:rsid w:val="00C74C8E"/>
    <w:rsid w:val="00C91F24"/>
    <w:rsid w:val="00CE2DA1"/>
    <w:rsid w:val="00CE4ED5"/>
    <w:rsid w:val="00CF6FD2"/>
    <w:rsid w:val="00D62B29"/>
    <w:rsid w:val="00D71FCC"/>
    <w:rsid w:val="00D82973"/>
    <w:rsid w:val="00D9046A"/>
    <w:rsid w:val="00DE38FB"/>
    <w:rsid w:val="00DE6EB4"/>
    <w:rsid w:val="00DF1D73"/>
    <w:rsid w:val="00E11FD9"/>
    <w:rsid w:val="00E179E8"/>
    <w:rsid w:val="00E24A6E"/>
    <w:rsid w:val="00E66970"/>
    <w:rsid w:val="00E70718"/>
    <w:rsid w:val="00E71DB9"/>
    <w:rsid w:val="00E851C2"/>
    <w:rsid w:val="00E867C5"/>
    <w:rsid w:val="00EA3420"/>
    <w:rsid w:val="00EC5C73"/>
    <w:rsid w:val="00ED70FE"/>
    <w:rsid w:val="00EE0D4B"/>
    <w:rsid w:val="00F261EB"/>
    <w:rsid w:val="00F31BE5"/>
    <w:rsid w:val="00F630D7"/>
    <w:rsid w:val="00F770D8"/>
    <w:rsid w:val="00FF65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50">
    <w:name w:val="5"/>
    <w:basedOn w:val="TableNormal"/>
    <w:tblPr>
      <w:tblStyleRowBandSize w:val="1"/>
      <w:tblStyleColBandSize w:val="1"/>
      <w:tblCellMar>
        <w:top w:w="0" w:type="dxa"/>
        <w:left w:w="0" w:type="dxa"/>
        <w:bottom w:w="0" w:type="dxa"/>
        <w:right w:w="0" w:type="dxa"/>
      </w:tblCellMar>
    </w:tblPr>
  </w:style>
  <w:style w:type="table" w:customStyle="1" w:styleId="40">
    <w:name w:val="4"/>
    <w:basedOn w:val="TableNormal"/>
    <w:tblPr>
      <w:tblStyleRowBandSize w:val="1"/>
      <w:tblStyleColBandSize w:val="1"/>
      <w:tblCellMar>
        <w:top w:w="0" w:type="dxa"/>
        <w:left w:w="0" w:type="dxa"/>
        <w:bottom w:w="0" w:type="dxa"/>
        <w:right w:w="0" w:type="dxa"/>
      </w:tblCellMar>
    </w:tblPr>
  </w:style>
  <w:style w:type="table" w:customStyle="1" w:styleId="30">
    <w:name w:val="3"/>
    <w:basedOn w:val="TableNormal"/>
    <w:tblPr>
      <w:tblStyleRowBandSize w:val="1"/>
      <w:tblStyleColBandSize w:val="1"/>
      <w:tblCellMar>
        <w:top w:w="0" w:type="dxa"/>
        <w:left w:w="0" w:type="dxa"/>
        <w:bottom w:w="0" w:type="dxa"/>
        <w:right w:w="0" w:type="dxa"/>
      </w:tblCellMar>
    </w:tblPr>
  </w:style>
  <w:style w:type="table" w:customStyle="1" w:styleId="20">
    <w:name w:val="2"/>
    <w:basedOn w:val="TableNormal"/>
    <w:tblPr>
      <w:tblStyleRowBandSize w:val="1"/>
      <w:tblStyleColBandSize w:val="1"/>
      <w:tblCellMar>
        <w:top w:w="0" w:type="dxa"/>
        <w:left w:w="0" w:type="dxa"/>
        <w:bottom w:w="0" w:type="dxa"/>
        <w:right w:w="0" w:type="dxa"/>
      </w:tblCellMar>
    </w:tblPr>
  </w:style>
  <w:style w:type="table" w:customStyle="1" w:styleId="10">
    <w:name w:val="1"/>
    <w:basedOn w:val="TableNormal"/>
    <w:tblPr>
      <w:tblStyleRowBandSize w:val="1"/>
      <w:tblStyleColBandSize w:val="1"/>
      <w:tblCellMar>
        <w:top w:w="0" w:type="dxa"/>
        <w:left w:w="0" w:type="dxa"/>
        <w:bottom w:w="0" w:type="dxa"/>
        <w:right w:w="0" w:type="dxa"/>
      </w:tblCellMar>
    </w:tblPr>
  </w:style>
  <w:style w:type="paragraph" w:styleId="a5">
    <w:name w:val="annotation text"/>
    <w:basedOn w:val="a"/>
    <w:link w:val="Char"/>
    <w:uiPriority w:val="99"/>
    <w:unhideWhenUsed/>
  </w:style>
  <w:style w:type="character" w:customStyle="1" w:styleId="Char">
    <w:name w:val="메모 텍스트 Char"/>
    <w:basedOn w:val="a0"/>
    <w:link w:val="a5"/>
    <w:uiPriority w:val="99"/>
  </w:style>
  <w:style w:type="character" w:styleId="a6">
    <w:name w:val="annotation reference"/>
    <w:basedOn w:val="a0"/>
    <w:uiPriority w:val="99"/>
    <w:semiHidden/>
    <w:unhideWhenUsed/>
    <w:rPr>
      <w:sz w:val="18"/>
      <w:szCs w:val="18"/>
    </w:rPr>
  </w:style>
  <w:style w:type="paragraph" w:styleId="a7">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7"/>
    <w:uiPriority w:val="99"/>
    <w:rsid w:val="00C57227"/>
  </w:style>
  <w:style w:type="paragraph" w:styleId="a8">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8"/>
    <w:uiPriority w:val="99"/>
    <w:rsid w:val="00C57227"/>
  </w:style>
  <w:style w:type="paragraph" w:styleId="a9">
    <w:name w:val="annotation subject"/>
    <w:basedOn w:val="a5"/>
    <w:next w:val="a5"/>
    <w:link w:val="Char2"/>
    <w:uiPriority w:val="99"/>
    <w:semiHidden/>
    <w:unhideWhenUsed/>
    <w:rsid w:val="00C57227"/>
    <w:rPr>
      <w:b/>
      <w:bCs/>
    </w:rPr>
  </w:style>
  <w:style w:type="character" w:customStyle="1" w:styleId="Char2">
    <w:name w:val="메모 주제 Char"/>
    <w:basedOn w:val="Char"/>
    <w:link w:val="a9"/>
    <w:uiPriority w:val="99"/>
    <w:semiHidden/>
    <w:rsid w:val="00C57227"/>
    <w:rPr>
      <w:b/>
      <w:bCs/>
    </w:rPr>
  </w:style>
  <w:style w:type="character" w:styleId="aa">
    <w:name w:val="Hyperlink"/>
    <w:basedOn w:val="a0"/>
    <w:uiPriority w:val="99"/>
    <w:unhideWhenUsed/>
    <w:rsid w:val="00AB0C37"/>
    <w:rPr>
      <w:color w:val="0000FF" w:themeColor="hyperlink"/>
      <w:u w:val="single"/>
    </w:rPr>
  </w:style>
  <w:style w:type="character" w:styleId="ab">
    <w:name w:val="Unresolved Mention"/>
    <w:basedOn w:val="a0"/>
    <w:uiPriority w:val="99"/>
    <w:semiHidden/>
    <w:unhideWhenUsed/>
    <w:rsid w:val="00AB0C37"/>
    <w:rPr>
      <w:color w:val="605E5C"/>
      <w:shd w:val="clear" w:color="auto" w:fill="E1DFDD"/>
    </w:rPr>
  </w:style>
  <w:style w:type="paragraph" w:styleId="ac">
    <w:name w:val="List Paragraph"/>
    <w:basedOn w:val="a"/>
    <w:uiPriority w:val="34"/>
    <w:qFormat/>
    <w:rsid w:val="00C74C8E"/>
    <w:pPr>
      <w:ind w:leftChars="400" w:left="800"/>
    </w:pPr>
  </w:style>
  <w:style w:type="paragraph" w:styleId="ad">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4044</TotalTime>
  <Pages>43</Pages>
  <Words>8700</Words>
  <Characters>55860</Characters>
  <Application>Microsoft Office Word</Application>
  <DocSecurity>0</DocSecurity>
  <Lines>1269</Lines>
  <Paragraphs>489</Paragraphs>
  <ScaleCrop>false</ScaleCrop>
  <Company/>
  <LinksUpToDate>false</LinksUpToDate>
  <CharactersWithSpaces>64071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Taehong Kwon</dc:creator>
  <cp:lastModifiedBy>권 태홍</cp:lastModifiedBy>
  <cp:revision>5</cp:revision>
  <dcterms:created xsi:type="dcterms:W3CDTF">2026-04-16T13:34:00Z</dcterms:created>
  <dcterms:modified xsi:type="dcterms:W3CDTF">2026-06-04T13:21:00Z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