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AbitoRank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AbitoRank’s predictive accuracy concerning on-chain financial risk (e.g., defaults on Aave) compared to established transaction-based methods, using </w:t>
      </w:r>
      <w:r>
        <w:rPr>
          <w:rFonts w:eastAsia="Calibri"/>
          <w:color w:val="000000"/>
          <w:sz w:val="24"/>
          <w:szCs w:val="24"/>
        </w:rPr>
        <w:lastRenderedPageBreak/>
        <w:t>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0728F080"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50F1460F"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w:t>
      </w:r>
      <w:r w:rsidR="00AA5A39">
        <w:rPr>
          <w:rFonts w:hint="eastAsia"/>
          <w:b/>
          <w:bCs/>
          <w:color w:val="000000"/>
          <w:sz w:val="24"/>
          <w:szCs w:val="24"/>
        </w:rPr>
        <w:t>1</w:t>
      </w:r>
    </w:p>
    <w:p w14:paraId="56D79D9E" w14:textId="14E3D198" w:rsidR="00AB0C37" w:rsidRPr="00AA5A39" w:rsidRDefault="00AB0C37" w:rsidP="00AA5A39">
      <w:pPr>
        <w:numPr>
          <w:ilvl w:val="0"/>
          <w:numId w:val="44"/>
        </w:numPr>
        <w:pBdr>
          <w:top w:val="nil"/>
          <w:left w:val="nil"/>
          <w:bottom w:val="nil"/>
          <w:right w:val="nil"/>
          <w:between w:val="nil"/>
        </w:pBdr>
        <w:tabs>
          <w:tab w:val="left" w:pos="435"/>
          <w:tab w:val="right" w:pos="8419"/>
        </w:tabs>
        <w:spacing w:before="600"/>
        <w:ind w:hanging="351"/>
        <w:rPr>
          <w:rFonts w:hint="eastAsia"/>
        </w:rPr>
      </w:pPr>
      <w:commentRangeStart w:id="0"/>
      <w:r w:rsidRPr="00AA5A39">
        <w:rPr>
          <w:rFonts w:eastAsia="Calibri"/>
          <w:b/>
          <w:bCs/>
          <w:color w:val="00008A"/>
          <w:sz w:val="24"/>
          <w:szCs w:val="24"/>
        </w:rPr>
        <w:t>Dissertation/Thesis Outline</w:t>
      </w:r>
      <w:commentRangeEnd w:id="0"/>
      <w:r>
        <w:rPr>
          <w:rStyle w:val="ab"/>
          <w:rFonts w:ascii="Times New Roman" w:eastAsia="Times New Roman" w:hAnsi="Times New Roman" w:cs="Times New Roman"/>
          <w:color w:val="00008A"/>
          <w:sz w:val="24"/>
          <w:szCs w:val="24"/>
        </w:rPr>
        <w:commentReference w:id="0"/>
      </w:r>
      <w:r w:rsidR="00AA5A39">
        <w:rPr>
          <w:rFonts w:ascii="Times New Roman" w:eastAsia="Times New Roman" w:hAnsi="Times New Roman" w:cs="Times New Roman"/>
          <w:color w:val="00008A"/>
          <w:sz w:val="24"/>
          <w:szCs w:val="24"/>
        </w:rPr>
        <w:tab/>
      </w:r>
      <w:r w:rsidR="00AA5A39">
        <w:rPr>
          <w:rFonts w:eastAsia="Calibri"/>
          <w:b/>
          <w:bCs/>
          <w:color w:val="000000"/>
          <w:sz w:val="24"/>
          <w:szCs w:val="24"/>
        </w:rPr>
        <w:t>3</w:t>
      </w:r>
      <w:r w:rsidR="00AA5A39">
        <w:rPr>
          <w:rFonts w:hint="eastAsia"/>
          <w:b/>
          <w:bCs/>
          <w:color w:val="000000"/>
          <w:sz w:val="24"/>
          <w:szCs w:val="24"/>
        </w:rPr>
        <w:t>6</w:t>
      </w:r>
    </w:p>
    <w:p w14:paraId="3E983323" w14:textId="6F4937C2" w:rsidR="00AA5A39" w:rsidRDefault="00AA5A39" w:rsidP="00AA5A39">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hint="eastAsia"/>
            <w:color w:val="00008A"/>
            <w:sz w:val="24"/>
            <w:szCs w:val="24"/>
          </w:rPr>
          <w:t>References</w:t>
        </w:r>
      </w:hyperlink>
      <w:r>
        <w:rPr>
          <w:rFonts w:ascii="Times New Roman" w:eastAsia="Times New Roman" w:hAnsi="Times New Roman" w:cs="Times New Roman"/>
          <w:color w:val="00008A"/>
          <w:sz w:val="24"/>
          <w:szCs w:val="24"/>
        </w:rPr>
        <w:tab/>
      </w:r>
      <w:r>
        <w:rPr>
          <w:rFonts w:hint="eastAsia"/>
          <w:color w:val="000000"/>
          <w:sz w:val="24"/>
          <w:szCs w:val="24"/>
        </w:rPr>
        <w:t>37</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1" w:name="gj4k9mjfpi2z" w:colFirst="0" w:colLast="0"/>
      <w:bookmarkStart w:id="2" w:name="_hlfabiwwndsb" w:colFirst="0" w:colLast="0"/>
      <w:bookmarkEnd w:id="1"/>
      <w:bookmarkEnd w:id="2"/>
      <w:r>
        <w:rPr>
          <w:b/>
          <w:bCs/>
          <w:sz w:val="49"/>
          <w:szCs w:val="49"/>
        </w:rPr>
        <w:lastRenderedPageBreak/>
        <w:t>Introduction and background</w:t>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 (e.g.,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economic magnitude and temporal relevance, it does not directly model explicit spending authorization as a trust signal.</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46D3505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w:t>
      </w:r>
      <w:r w:rsidR="00A50FA0">
        <w:rPr>
          <w:sz w:val="24"/>
          <w:szCs w:val="24"/>
        </w:rPr>
        <w:t>approval-based</w:t>
      </w:r>
      <w:r>
        <w:rPr>
          <w:sz w:val="24"/>
          <w:szCs w:val="24"/>
        </w:rPr>
        <w:t xml:space="preserve"> relationships, no existing study has systematically leveraged ERC-20 allowances as primary edge weights for PageRank. This methodological gap motivates AbitoRank, our proposed on-chain reputation algorithm that </w:t>
      </w:r>
      <w:r w:rsidR="00A50FA0">
        <w:rPr>
          <w:sz w:val="24"/>
          <w:szCs w:val="24"/>
        </w:rPr>
        <w:t>applies to</w:t>
      </w:r>
      <w:r>
        <w:rPr>
          <w:sz w:val="24"/>
          <w:szCs w:val="24"/>
        </w:rPr>
        <w:t xml:space="preserve"> a standard Weighted PageRank to </w:t>
      </w:r>
      <w:r>
        <w:rPr>
          <w:i/>
          <w:iCs/>
          <w:sz w:val="24"/>
          <w:szCs w:val="24"/>
        </w:rPr>
        <w:t>G</w:t>
      </w:r>
      <w:r>
        <w:rPr>
          <w:i/>
          <w:iCs/>
          <w:sz w:val="24"/>
          <w:szCs w:val="24"/>
          <w:vertAlign w:val="subscript"/>
        </w:rPr>
        <w:t>approve</w:t>
      </w:r>
      <w:r>
        <w:rPr>
          <w:sz w:val="24"/>
          <w:szCs w:val="24"/>
        </w:rPr>
        <w:t>. We hypothesize that AbitoRank will achieve comparable or superior predictive power for financial risk (e.g., default events) while significantly reducing data-processing complexity compared to transaction- value– and time-decay–based methods. To ensure a clear alignment between this motivation and what the study will deliver, the proposal specifies objective-linked expected results:</w:t>
      </w:r>
    </w:p>
    <w:p w14:paraId="0515AF48" w14:textId="1249216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 reproducible pipeline and latest-allowance endorsement </w:t>
      </w:r>
      <w:r w:rsidR="00A50FA0">
        <w:rPr>
          <w:sz w:val="24"/>
          <w:szCs w:val="24"/>
        </w:rPr>
        <w:t>graph derived</w:t>
      </w:r>
      <w:r>
        <w:rPr>
          <w:sz w:val="24"/>
          <w:szCs w:val="24"/>
        </w:rPr>
        <w:t xml:space="preserve"> from ERC-20 approve/permit states;</w:t>
      </w:r>
    </w:p>
    <w:p w14:paraId="2BF2065E" w14:textId="2177AEC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An optimized, scalable Weighted PageRank implementation (AbitoRank) operating on this </w:t>
      </w:r>
      <w:r w:rsidR="00A50FA0">
        <w:rPr>
          <w:sz w:val="24"/>
          <w:szCs w:val="24"/>
        </w:rPr>
        <w:t>sparse, trust</w:t>
      </w:r>
      <w:r>
        <w:rPr>
          <w:sz w:val="24"/>
          <w:szCs w:val="24"/>
        </w:rPr>
        <w: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1"/>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AbitoRank matches or improves risk-prediction performance relative to transaction-based baselines while reducing computational overhead.</w:t>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3" w:name="45gx6lhyoey9" w:colFirst="0" w:colLast="0"/>
      <w:bookmarkStart w:id="4" w:name="_r4votdpqwib2" w:colFirst="0" w:colLast="0"/>
      <w:bookmarkEnd w:id="3"/>
      <w:bookmarkEnd w:id="4"/>
      <w:r>
        <w:rPr>
          <w:b/>
          <w:bCs/>
          <w:sz w:val="49"/>
          <w:szCs w:val="49"/>
        </w:rPr>
        <w:t>Research Problem</w:t>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37A6F3B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w:t>
      </w:r>
      <w:r w:rsidR="00A50FA0">
        <w:rPr>
          <w:sz w:val="24"/>
          <w:szCs w:val="24"/>
        </w:rPr>
        <w:t>approval</w:t>
      </w:r>
      <w:r>
        <w:rPr>
          <w:sz w:val="24"/>
          <w:szCs w:val="24"/>
        </w:rPr>
        <w:t xml:space="preser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5" w:name="3z1zu3nyapyn" w:colFirst="0" w:colLast="0"/>
      <w:bookmarkStart w:id="6" w:name="_rhsa6kdwzark" w:colFirst="0" w:colLast="0"/>
      <w:bookmarkEnd w:id="5"/>
      <w:bookmarkEnd w:id="6"/>
      <w:r>
        <w:rPr>
          <w:color w:val="000000"/>
        </w:rPr>
        <w:t>Research Questions</w:t>
      </w:r>
    </w:p>
    <w:p w14:paraId="0673A1BD" w14:textId="77777777" w:rsidR="00B574BB" w:rsidRDefault="00000000" w:rsidP="00A50FA0">
      <w:pPr>
        <w:pStyle w:val="2"/>
        <w:numPr>
          <w:ilvl w:val="2"/>
          <w:numId w:val="32"/>
        </w:numPr>
        <w:tabs>
          <w:tab w:val="left" w:pos="670"/>
        </w:tabs>
        <w:spacing w:before="275"/>
        <w:ind w:left="670" w:hanging="232"/>
      </w:pPr>
      <w:commentRangeStart w:id="7"/>
      <w:r>
        <w:t>SPICE Alignment</w:t>
      </w:r>
      <w:commentRangeEnd w:id="7"/>
      <w:r>
        <w:rPr>
          <w:rStyle w:val="ab"/>
          <w:sz w:val="24"/>
          <w:szCs w:val="24"/>
        </w:rPr>
        <w:commentReference w:id="7"/>
      </w:r>
    </w:p>
    <w:p w14:paraId="6271C70E" w14:textId="77777777" w:rsidR="00A50FA0" w:rsidRDefault="00000000" w:rsidP="00A50FA0">
      <w:pPr>
        <w:spacing w:before="120" w:line="276" w:lineRule="auto"/>
        <w:ind w:firstLine="670"/>
        <w:jc w:val="both"/>
      </w:pPr>
      <w:r>
        <w:t>The main research question is aligned with the SPICE model as follows:</w:t>
      </w:r>
    </w:p>
    <w:p w14:paraId="7389EB28" w14:textId="77777777" w:rsidR="00A50FA0" w:rsidRDefault="00000000" w:rsidP="00A50FA0">
      <w:pPr>
        <w:numPr>
          <w:ilvl w:val="3"/>
          <w:numId w:val="32"/>
        </w:numPr>
        <w:pBdr>
          <w:top w:val="nil"/>
          <w:left w:val="nil"/>
          <w:bottom w:val="nil"/>
          <w:right w:val="nil"/>
          <w:between w:val="nil"/>
        </w:pBdr>
        <w:tabs>
          <w:tab w:val="left" w:pos="1184"/>
          <w:tab w:val="left" w:pos="1186"/>
        </w:tabs>
        <w:spacing w:before="255" w:line="291" w:lineRule="auto"/>
        <w:ind w:right="932"/>
        <w:jc w:val="both"/>
      </w:pPr>
      <w:r w:rsidRPr="00A50FA0">
        <w:rPr>
          <w:rFonts w:eastAsia="Calibri"/>
          <w:color w:val="000000"/>
          <w:sz w:val="24"/>
          <w:szCs w:val="24"/>
        </w:rPr>
        <w:t>Setting</w:t>
      </w:r>
      <w:r>
        <w:t>: Ethereum-based DeFi lending and on-chain wallet reputation scoring;</w:t>
      </w:r>
    </w:p>
    <w:p w14:paraId="1052B7C3" w14:textId="77777777" w:rsidR="00A50FA0" w:rsidRDefault="00000000" w:rsidP="00A50FA0">
      <w:pPr>
        <w:numPr>
          <w:ilvl w:val="3"/>
          <w:numId w:val="32"/>
        </w:numPr>
        <w:pBdr>
          <w:top w:val="nil"/>
          <w:left w:val="nil"/>
          <w:bottom w:val="nil"/>
          <w:right w:val="nil"/>
          <w:between w:val="nil"/>
        </w:pBdr>
        <w:tabs>
          <w:tab w:val="left" w:pos="1184"/>
          <w:tab w:val="left" w:pos="1186"/>
        </w:tabs>
        <w:spacing w:before="255" w:line="291" w:lineRule="auto"/>
        <w:ind w:right="932"/>
        <w:jc w:val="both"/>
      </w:pPr>
      <w:r>
        <w:t>Perspective: DeFi protocols, risk analysts, wallet users, and researchers who need explainable wallet-level risk indicators;</w:t>
      </w:r>
    </w:p>
    <w:p w14:paraId="7D0AE37A" w14:textId="77777777" w:rsidR="00A50FA0" w:rsidRDefault="00000000" w:rsidP="00A50FA0">
      <w:pPr>
        <w:numPr>
          <w:ilvl w:val="3"/>
          <w:numId w:val="32"/>
        </w:numPr>
        <w:pBdr>
          <w:top w:val="nil"/>
          <w:left w:val="nil"/>
          <w:bottom w:val="nil"/>
          <w:right w:val="nil"/>
          <w:between w:val="nil"/>
        </w:pBdr>
        <w:tabs>
          <w:tab w:val="left" w:pos="1184"/>
          <w:tab w:val="left" w:pos="1186"/>
        </w:tabs>
        <w:spacing w:before="255" w:line="291" w:lineRule="auto"/>
        <w:ind w:right="932"/>
        <w:jc w:val="both"/>
      </w:pPr>
      <w:r>
        <w:t>Intervention: AbitoRank, a Weighted PageRank metric built from ERC-20 approval/permit-derived allowance relationships;</w:t>
      </w:r>
    </w:p>
    <w:p w14:paraId="293B4508" w14:textId="77777777" w:rsidR="00A50FA0" w:rsidRDefault="00000000" w:rsidP="00A50FA0">
      <w:pPr>
        <w:numPr>
          <w:ilvl w:val="3"/>
          <w:numId w:val="32"/>
        </w:numPr>
        <w:pBdr>
          <w:top w:val="nil"/>
          <w:left w:val="nil"/>
          <w:bottom w:val="nil"/>
          <w:right w:val="nil"/>
          <w:between w:val="nil"/>
        </w:pBdr>
        <w:tabs>
          <w:tab w:val="left" w:pos="1184"/>
          <w:tab w:val="left" w:pos="1186"/>
        </w:tabs>
        <w:spacing w:before="255" w:line="291" w:lineRule="auto"/>
        <w:ind w:right="932"/>
        <w:jc w:val="both"/>
      </w:pPr>
      <w:r>
        <w:t>Comparison: Adaptive Weighted PageRank and transfer-based PageRank models that rely on historical transaction flows;</w:t>
      </w:r>
    </w:p>
    <w:p w14:paraId="1D107128" w14:textId="2BDBC5AD" w:rsidR="00B574BB" w:rsidRDefault="00000000" w:rsidP="00A50FA0">
      <w:pPr>
        <w:numPr>
          <w:ilvl w:val="3"/>
          <w:numId w:val="32"/>
        </w:numPr>
        <w:pBdr>
          <w:top w:val="nil"/>
          <w:left w:val="nil"/>
          <w:bottom w:val="nil"/>
          <w:right w:val="nil"/>
          <w:between w:val="nil"/>
        </w:pBdr>
        <w:tabs>
          <w:tab w:val="left" w:pos="1184"/>
          <w:tab w:val="left" w:pos="1186"/>
        </w:tabs>
        <w:spacing w:before="255" w:line="291" w:lineRule="auto"/>
        <w:ind w:right="932"/>
        <w:jc w:val="both"/>
      </w:pPr>
      <w:r>
        <w:t>Evaluation: rank divergence, default/liquidation prediction performance, runtime, memory use, and convergence stability.</w:t>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AWP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lastRenderedPageBreak/>
        <w:t>RQ3.2: How does AbitoRank’s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8" w:name="nfnhqstubsa8" w:colFirst="0" w:colLast="0"/>
      <w:bookmarkStart w:id="9" w:name="_6igkw6wuglcw" w:colFirst="0" w:colLast="0"/>
      <w:bookmarkEnd w:id="8"/>
      <w:bookmarkEnd w:id="9"/>
      <w:r>
        <w:t>Objectives</w:t>
      </w:r>
    </w:p>
    <w:p w14:paraId="3EDC4672" w14:textId="334CEA5F"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AbitoRank algorithm that leverages ERC-20 approve/permit allowances as edge weights with- out any time decay factors—so as to produce a computationally efficient and trust- reflective on-chain reputation score. Specifically, we aim to:</w:t>
      </w:r>
    </w:p>
    <w:p w14:paraId="7040F29E" w14:textId="77777777" w:rsidR="00B574BB" w:rsidRDefault="00000000">
      <w:pPr>
        <w:pStyle w:val="2"/>
      </w:pPr>
      <w:commentRangeStart w:id="10"/>
      <w:r>
        <w:t>SMART Alignment</w:t>
      </w:r>
      <w:commentRangeEnd w:id="10"/>
      <w:r>
        <w:rPr>
          <w:rStyle w:val="ab"/>
          <w:sz w:val="24"/>
          <w:szCs w:val="24"/>
        </w:rPr>
        <w:commentReference w:id="10"/>
      </w:r>
    </w:p>
    <w:p w14:paraId="06A88AB8" w14:textId="77777777" w:rsidR="00B574BB" w:rsidRDefault="00000000">
      <w:pPr>
        <w:spacing w:before="120" w:line="276" w:lineRule="auto"/>
        <w:jc w:val="both"/>
      </w:pPr>
      <w:r>
        <w:t>The objectives are specific because each one targets a concrete research output: data pipeline, graph construction, algorithm implementation, baseline reproduction, predictive evaluation, and scalability benchmarking. They are measurable through rank-correlation statistics, AUC, precision, recall, F1-score, calibration, runtime, memory, and convergence tolerance. They are attainable and realistic because they use public blockchain logs, Aave V3 liquidation events, reproducible Python-based tooling, and fixed computational resources. They are time-bound through the post-approval schedule, which allocates data extraction, implementation, evaluation, writing, and publication milestones between June 2026 and January 2028.</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w:t>
      </w:r>
      <w:r>
        <w:rPr>
          <w:rFonts w:eastAsia="Calibri"/>
          <w:color w:val="000000"/>
          <w:sz w:val="24"/>
          <w:szCs w:val="24"/>
        </w:rPr>
        <w:lastRenderedPageBreak/>
        <w:t xml:space="preserve">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AbitoRank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6A4981"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71800" cy="847725"/>
                    </a:xfrm>
                    <a:prstGeom prst="rect">
                      <a:avLst/>
                    </a:prstGeom>
                    <a:ln/>
                  </pic:spPr>
                </pic:pic>
              </a:graphicData>
            </a:graphic>
          </wp:inline>
        </w:drawing>
      </w:r>
    </w:p>
    <w:p w14:paraId="46A3ECED" w14:textId="3838C228" w:rsidR="00A271CD" w:rsidRPr="004C2D23" w:rsidRDefault="006A4981" w:rsidP="004C2D2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4C2D23">
        <w:rPr>
          <w:rFonts w:eastAsia="Calibri"/>
          <w:color w:val="000000"/>
          <w:sz w:val="24"/>
          <w:szCs w:val="24"/>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4C2D23">
        <w:rPr>
          <w:rFonts w:eastAsia="Calibri"/>
          <w:color w:val="000000"/>
          <w:sz w:val="24"/>
          <w:szCs w:val="24"/>
        </w:rPr>
        <w:t>+</w:t>
      </w:r>
      <w:r>
        <w:rPr>
          <w:rFonts w:eastAsia="Calibri"/>
          <w:color w:val="000000"/>
          <w:sz w:val="24"/>
          <w:szCs w:val="24"/>
        </w:rPr>
        <w:t>(u), and</w:t>
      </w:r>
      <w:r w:rsidRPr="004C2D23">
        <w:rPr>
          <w:rFonts w:eastAsia="Calibri"/>
          <w:color w:val="000000"/>
          <w:sz w:val="24"/>
          <w:szCs w:val="24"/>
        </w:rPr>
        <w:t xml:space="preserve"> </w:t>
      </w:r>
      <w:r w:rsidR="000B78E5">
        <w:rPr>
          <w:rFonts w:hint="eastAsia"/>
          <w:color w:val="000000"/>
          <w:sz w:val="24"/>
          <w:szCs w:val="24"/>
        </w:rPr>
        <w:t>W</w:t>
      </w:r>
      <w:r w:rsidRPr="000B78E5">
        <w:rPr>
          <w:rFonts w:eastAsia="Calibri"/>
          <w:i/>
          <w:iCs/>
          <w:color w:val="000000"/>
          <w:sz w:val="24"/>
          <w:szCs w:val="24"/>
          <w:vertAlign w:val="subscript"/>
        </w:rPr>
        <w:t xml:space="preserve">u→v </w:t>
      </w:r>
      <w:r>
        <w:rPr>
          <w:rFonts w:eastAsia="Calibri"/>
          <w:color w:val="000000"/>
          <w:sz w:val="24"/>
          <w:szCs w:val="24"/>
        </w:rPr>
        <w:t>is the latest approved amount.</w:t>
      </w:r>
    </w:p>
    <w:p w14:paraId="10D708A0" w14:textId="77777777" w:rsidR="00B574BB" w:rsidRDefault="00000000">
      <w:pPr>
        <w:spacing w:before="120" w:line="276" w:lineRule="auto"/>
        <w:jc w:val="both"/>
      </w:pPr>
      <w:commentRangeStart w:id="11"/>
      <w:r>
        <w:t>The embedded formula above specifies the transition probability used by AbitoRank: P(u to v) equals the latest allowance weight w(u,v) divided by the sum of all outgoing allowance weights from wallet u. Thus, each wallet distributes its PageRank mass only across currently active approval relationships, proportionally to normalized allowance strength.</w:t>
      </w:r>
      <w:commentRangeEnd w:id="11"/>
      <w:r>
        <w:rPr>
          <w:rStyle w:val="ab"/>
          <w:sz w:val="22"/>
          <w:szCs w:val="22"/>
        </w:rPr>
        <w:commentReference w:id="11"/>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lastRenderedPageBreak/>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Pr="00AA5A39" w:rsidRDefault="00CE4ED5" w:rsidP="00C74C8E">
      <w:pPr>
        <w:pStyle w:val="2"/>
        <w:numPr>
          <w:ilvl w:val="0"/>
          <w:numId w:val="31"/>
        </w:numPr>
        <w:tabs>
          <w:tab w:val="left" w:pos="670"/>
        </w:tabs>
        <w:spacing w:before="204"/>
        <w:ind w:left="670" w:hanging="298"/>
        <w:rPr>
          <w:b w:val="0"/>
          <w:bCs w:val="0"/>
          <w:color w:val="000000"/>
        </w:rPr>
      </w:pPr>
      <w:r w:rsidRPr="00AA5A39">
        <w:rPr>
          <w:color w:val="000000"/>
        </w:rPr>
        <w:t>Performance Evaluation</w:t>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r w:rsidRPr="00E66970">
        <w:rPr>
          <w:rFonts w:eastAsia="Calibri"/>
          <w:color w:val="000000"/>
          <w:sz w:val="24"/>
          <w:szCs w:val="24"/>
        </w:rPr>
        <w:t>Spearman's rho and Kendall's tau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AbitoRank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2C470B15"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 score as a predictive feature, train simple classifiers (</w:t>
      </w:r>
      <w:r w:rsidR="000B78E5">
        <w:rPr>
          <w:rFonts w:hint="eastAsia"/>
          <w:color w:val="000000"/>
          <w:sz w:val="24"/>
          <w:szCs w:val="24"/>
        </w:rPr>
        <w:t xml:space="preserve">e.g., </w:t>
      </w:r>
      <w:r>
        <w:rPr>
          <w:rFonts w:eastAsia="Calibri"/>
          <w:color w:val="000000"/>
          <w:sz w:val="24"/>
          <w:szCs w:val="24"/>
        </w:rPr>
        <w:t>logistic regression and random forest)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lastRenderedPageBreak/>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AbitoRank’s use of only the latest approval amounts results in a sparser graph and lower memory footprint than transaction- based graphs.</w:t>
      </w:r>
    </w:p>
    <w:p w14:paraId="3183AC07" w14:textId="631BDD8E" w:rsidR="000B78E5" w:rsidRPr="000B78E5" w:rsidRDefault="006A4981" w:rsidP="000B78E5">
      <w:pPr>
        <w:numPr>
          <w:ilvl w:val="1"/>
          <w:numId w:val="31"/>
        </w:numPr>
        <w:pBdr>
          <w:top w:val="nil"/>
          <w:left w:val="nil"/>
          <w:bottom w:val="nil"/>
          <w:right w:val="nil"/>
          <w:between w:val="nil"/>
        </w:pBdr>
        <w:tabs>
          <w:tab w:val="left" w:pos="1184"/>
          <w:tab w:val="left" w:pos="1186"/>
        </w:tabs>
        <w:spacing w:before="12" w:line="278" w:lineRule="auto"/>
        <w:ind w:right="932"/>
        <w:jc w:val="both"/>
        <w:rPr>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AbitoRank remains numerically stable despite potentially large allowance values.</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By accomplishing these objectives, we will demonstrate how a latest-allowance-weighted approach to PageRank can yield a scalable, trust-aligned reputation-scoring model, AbitoRank,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12" w:name="_jatp35e1gk66" w:colFirst="0" w:colLast="0"/>
      <w:bookmarkEnd w:id="12"/>
      <w:r w:rsidRPr="008C0179">
        <w:rPr>
          <w:color w:val="000000" w:themeColor="text1"/>
        </w:rPr>
        <w:t>Expected Results</w:t>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w:t>
      </w:r>
      <w:r w:rsidRPr="008C0179">
        <w:rPr>
          <w:color w:val="000000" w:themeColor="text1"/>
          <w:sz w:val="24"/>
          <w:szCs w:val="24"/>
        </w:rPr>
        <w:lastRenderedPageBreak/>
        <w:t>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AbitoRank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AbitoRank.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labeled dataset of default/liquidation outcomes (e.g., Aave V3) and comparative evaluation results showing whether AbitoRank yields 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 xml:space="preserve">A scalability analysis that reports how graph sparsity affects convergence </w:t>
      </w:r>
      <w:r w:rsidRPr="008C0179">
        <w:rPr>
          <w:color w:val="000000" w:themeColor="text1"/>
          <w:sz w:val="24"/>
          <w:szCs w:val="24"/>
        </w:rPr>
        <w:lastRenderedPageBreak/>
        <w:t>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13" w:name="wm8uvozi6slm" w:colFirst="0" w:colLast="0"/>
      <w:bookmarkStart w:id="14" w:name="_m3bwyc7myc6f" w:colFirst="0" w:colLast="0"/>
      <w:bookmarkEnd w:id="13"/>
      <w:bookmarkEnd w:id="14"/>
      <w:r w:rsidRPr="00AA5A39">
        <w:rPr>
          <w:b/>
          <w:bCs/>
          <w:color w:val="000000"/>
          <w:sz w:val="49"/>
          <w:szCs w:val="49"/>
          <w:shd w:val="clear" w:color="auto" w:fill="FEEC99"/>
        </w:rPr>
        <w:t>Literature Review</w:t>
      </w:r>
    </w:p>
    <w:p w14:paraId="7CE422A1" w14:textId="77777777" w:rsidR="00A271CD" w:rsidRDefault="006A4981">
      <w:pPr>
        <w:pStyle w:val="1"/>
        <w:numPr>
          <w:ilvl w:val="1"/>
          <w:numId w:val="29"/>
        </w:numPr>
        <w:tabs>
          <w:tab w:val="left" w:pos="968"/>
        </w:tabs>
        <w:spacing w:before="339"/>
      </w:pPr>
      <w:bookmarkStart w:id="15" w:name="s0irps3zh9jo" w:colFirst="0" w:colLast="0"/>
      <w:bookmarkStart w:id="16" w:name="_26mq67nvzc58" w:colFirst="0" w:colLast="0"/>
      <w:bookmarkEnd w:id="15"/>
      <w:bookmarkEnd w:id="16"/>
      <w:r>
        <w:t>Graph-Based On-</w:t>
      </w:r>
      <w:r w:rsidRPr="00AA5A39">
        <w:t>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One limitation of a vanilla PageRank, i.e., the unmodified PageRank formulation applied to a transaction graph without explicit risk propagation or domain-specific adjustments, is that it may not distinguish malicious but active actors from genuinely reputable ones. Imig (2023)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RiskProp, a network-propagation-based risk scoring model for Ethereum accounts (Yang et al., 2024).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t>It is worth noting that graph-based reputation systems often consider temporal dynamics. Real-world creditworthiness changes over time, so some models incorporate time-decay factors to diminish the influence of stale interactions. A dynamic reputation model might weight recent transactions 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17" w:name="ad7j3ok9jmnj" w:colFirst="0" w:colLast="0"/>
      <w:bookmarkStart w:id="18" w:name="_qm65s21jph5d" w:colFirst="0" w:colLast="0"/>
      <w:bookmarkEnd w:id="17"/>
      <w:bookmarkEnd w:id="18"/>
      <w:r>
        <w:lastRenderedPageBreak/>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for example, proposed a credit scoring system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Other machine-learning approaches similarly treat on-chain </w:t>
      </w:r>
      <w:r w:rsidR="00134A6C" w:rsidRPr="00134A6C">
        <w:rPr>
          <w:color w:val="000000"/>
          <w:sz w:val="24"/>
          <w:szCs w:val="24"/>
        </w:rPr>
        <w:t>transactions</w:t>
      </w:r>
      <w:r w:rsidRPr="00134A6C">
        <w:rPr>
          <w:color w:val="000000"/>
          <w:sz w:val="24"/>
          <w:szCs w:val="24"/>
        </w:rPr>
        <w:t xml:space="preserve"> and account data as inputs to predictive models for creditworthiness. Hassija et al. (2020)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19" w:name="oneg7x1wrt2t" w:colFirst="0" w:colLast="0"/>
      <w:bookmarkStart w:id="20" w:name="_3rlxygnxmj4d" w:colFirst="0" w:colLast="0"/>
      <w:bookmarkEnd w:id="19"/>
      <w:bookmarkEnd w:id="20"/>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Outside the academic literature, the demand for on-chain credit scoring has led to several industry-driven solutions. While not peer-reviewed, these initiatives illustrate real-world interest in the problem and help motivate the AbitoRank research. Cred Protocol is a prominent example: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3Jane Protocol documentation,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3Jane's Jane Score,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w:t>
      </w:r>
      <w:r w:rsidRPr="00134A6C">
        <w:rPr>
          <w:color w:val="000000"/>
          <w:sz w:val="24"/>
          <w:szCs w:val="24"/>
        </w:rPr>
        <w:lastRenderedPageBreak/>
        <w:t>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AbitoRank addresses this research gap by integrating ERC-20 approve/permit edges as firs</w:t>
      </w:r>
      <w:r w:rsidR="00C74C8E">
        <w:rPr>
          <w:rFonts w:hint="eastAsia"/>
          <w:color w:val="000000"/>
          <w:sz w:val="24"/>
          <w:szCs w:val="24"/>
        </w:rPr>
        <w:t>t-c</w:t>
      </w:r>
      <w:r>
        <w:rPr>
          <w:rFonts w:eastAsia="Calibri"/>
          <w:color w:val="000000"/>
          <w:sz w:val="24"/>
          <w:szCs w:val="24"/>
        </w:rPr>
        <w:t>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 xml:space="preserve">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w:t>
      </w:r>
      <w:r>
        <w:rPr>
          <w:rFonts w:eastAsia="Calibri"/>
          <w:color w:val="000000"/>
          <w:sz w:val="24"/>
          <w:szCs w:val="24"/>
        </w:rPr>
        <w:lastRenderedPageBreak/>
        <w:t>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the parameter definitions introduced earlier in the research objectives and expected-results framework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21" w:name="345otpgqepgv" w:colFirst="0" w:colLast="0"/>
      <w:bookmarkStart w:id="22" w:name="_kehbej2xmhzy" w:colFirst="0" w:colLast="0"/>
      <w:bookmarkEnd w:id="21"/>
      <w:bookmarkEnd w:id="22"/>
      <w:r>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f2"/>
        <w:keepNext/>
        <w:jc w:val="center"/>
        <w:rPr>
          <w:sz w:val="22"/>
          <w:szCs w:val="22"/>
        </w:rPr>
      </w:pPr>
      <w:r w:rsidRPr="00A52392">
        <w:rPr>
          <w:sz w:val="22"/>
          <w:szCs w:val="22"/>
        </w:rPr>
        <w:t xml:space="preserve">Table </w:t>
      </w:r>
      <w:r w:rsidRPr="00A52392">
        <w:rPr>
          <w:sz w:val="22"/>
          <w:szCs w:val="22"/>
        </w:rPr>
        <w:fldChar w:fldCharType="begin"/>
      </w:r>
      <w:r w:rsidRPr="00A52392">
        <w:rPr>
          <w:sz w:val="22"/>
          <w:szCs w:val="22"/>
        </w:rPr>
        <w:instrText xml:space="preserve"> STYLEREF 1 \s </w:instrText>
      </w:r>
      <w:r w:rsidRPr="00A52392">
        <w:rPr>
          <w:sz w:val="22"/>
          <w:szCs w:val="22"/>
        </w:rPr>
        <w:fldChar w:fldCharType="separate"/>
      </w:r>
      <w:r w:rsidRPr="00A52392">
        <w:rPr>
          <w:noProof/>
          <w:sz w:val="22"/>
          <w:szCs w:val="22"/>
        </w:rPr>
        <w:t>4.1</w:t>
      </w:r>
      <w:r w:rsidRPr="00A52392">
        <w:rPr>
          <w:sz w:val="22"/>
          <w:szCs w:val="22"/>
        </w:rPr>
        <w:fldChar w:fldCharType="end"/>
      </w:r>
      <w:r w:rsidRPr="00A52392">
        <w:rPr>
          <w:rFonts w:hint="eastAsia"/>
          <w:sz w:val="22"/>
          <w:szCs w:val="22"/>
        </w:rPr>
        <w:t>: Evaluation Constructs and Associated Variables</w:t>
      </w: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AbitoRank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23" w:name="lu00p8817zch" w:colFirst="0" w:colLast="0"/>
      <w:bookmarkStart w:id="24" w:name="_5z6it39nq9xn" w:colFirst="0" w:colLast="0"/>
      <w:bookmarkEnd w:id="23"/>
      <w:bookmarkEnd w:id="24"/>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6A4981" w:rsidP="00A52392">
      <w:pPr>
        <w:keepNext/>
        <w:pBdr>
          <w:top w:val="nil"/>
          <w:left w:val="nil"/>
          <w:bottom w:val="nil"/>
          <w:right w:val="nil"/>
          <w:between w:val="nil"/>
        </w:pBdr>
        <w:ind w:left="85"/>
        <w:rPr>
          <w:color w:val="000000"/>
          <w:sz w:val="24"/>
          <w:szCs w:val="24"/>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rsidRPr="00A52392">
        <w:rPr>
          <w:rFonts w:eastAsia="Calibri"/>
          <w:color w:val="000000"/>
          <w:sz w:val="24"/>
          <w:szCs w:val="24"/>
        </w:rPr>
        <w:t xml:space="preserve">Figure </w:t>
      </w:r>
      <w:r w:rsidRPr="00A52392">
        <w:rPr>
          <w:rFonts w:eastAsia="Calibri" w:hint="eastAsia"/>
          <w:color w:val="000000"/>
          <w:sz w:val="24"/>
          <w:szCs w:val="24"/>
        </w:rPr>
        <w:t>4.</w:t>
      </w:r>
      <w:r w:rsidRPr="00A52392">
        <w:rPr>
          <w:rFonts w:eastAsia="Calibri"/>
          <w:color w:val="000000"/>
          <w:sz w:val="24"/>
          <w:szCs w:val="24"/>
        </w:rPr>
        <w:fldChar w:fldCharType="begin"/>
      </w:r>
      <w:r w:rsidRPr="00A52392">
        <w:rPr>
          <w:rFonts w:eastAsia="Calibri"/>
          <w:color w:val="000000"/>
          <w:sz w:val="24"/>
          <w:szCs w:val="24"/>
        </w:rPr>
        <w:instrText xml:space="preserve"> SEQ Figure \* ARABIC \s 1 </w:instrText>
      </w:r>
      <w:r w:rsidRPr="00A52392">
        <w:rPr>
          <w:rFonts w:eastAsia="Calibri"/>
          <w:color w:val="000000"/>
          <w:sz w:val="24"/>
          <w:szCs w:val="24"/>
        </w:rPr>
        <w:fldChar w:fldCharType="separate"/>
      </w:r>
      <w:r w:rsidRPr="00A52392">
        <w:rPr>
          <w:rFonts w:eastAsia="Calibri"/>
          <w:color w:val="000000"/>
          <w:sz w:val="24"/>
          <w:szCs w:val="24"/>
        </w:rPr>
        <w:t>1</w:t>
      </w:r>
      <w:r w:rsidRPr="00A52392">
        <w:rPr>
          <w:rFonts w:eastAsia="Calibri"/>
          <w:color w:val="000000"/>
          <w:sz w:val="24"/>
          <w:szCs w:val="24"/>
        </w:rPr>
        <w:fldChar w:fldCharType="end"/>
      </w:r>
      <w:r w:rsidRPr="00A52392">
        <w:rPr>
          <w:rFonts w:eastAsia="Calibri" w:hint="eastAsia"/>
          <w:color w:val="000000"/>
          <w:sz w:val="24"/>
          <w:szCs w:val="24"/>
        </w:rPr>
        <w:t>: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 xml:space="preserve">AbitoRank’s scores will correlate more strongly with </w:t>
      </w:r>
      <w:r>
        <w:rPr>
          <w:rFonts w:eastAsia="Calibri"/>
          <w:color w:val="000000"/>
          <w:sz w:val="24"/>
          <w:szCs w:val="24"/>
        </w:rPr>
        <w:lastRenderedPageBreak/>
        <w:t>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25" w:name="8ixln57cjwp6" w:colFirst="0" w:colLast="0"/>
      <w:bookmarkStart w:id="26" w:name="_hc7h8xmdrzoi" w:colFirst="0" w:colLast="0"/>
      <w:bookmarkEnd w:id="25"/>
      <w:bookmarkEnd w:id="26"/>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27" w:name="ai42761w0xkw" w:colFirst="0" w:colLast="0"/>
      <w:bookmarkStart w:id="28" w:name="_7d4ezdfb8ls" w:colFirst="0" w:colLast="0"/>
      <w:bookmarkEnd w:id="27"/>
      <w:bookmarkEnd w:id="28"/>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29" w:name="9lkfrik6bv4d" w:colFirst="0" w:colLast="0"/>
      <w:bookmarkEnd w:id="29"/>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30" w:name="xjtjcn5ltn8s" w:colFirst="0" w:colLast="0"/>
      <w:bookmarkStart w:id="31" w:name="_qi4t651rs7ik" w:colFirst="0" w:colLast="0"/>
      <w:bookmarkEnd w:id="30"/>
      <w:bookmarkEnd w:id="31"/>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32" w:name="_lys20rawrd3r" w:colFirst="0" w:colLast="0"/>
      <w:bookmarkEnd w:id="32"/>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commentRangeStart w:id="33"/>
      <w:r>
        <w:t>Approval/permit-derived authorizations: all ERC-20 Approval(owner, spender, value) events, including approvals generated through permit-compatible flows where the token emits the standard Approval event; where permit-specific traces are available, they will be used only to validate the authorization source.</w:t>
      </w:r>
      <w:commentRangeEnd w:id="33"/>
      <w:r>
        <w:rPr>
          <w:rStyle w:val="ab"/>
          <w:color w:val="000000"/>
          <w:sz w:val="22"/>
          <w:szCs w:val="22"/>
        </w:rPr>
        <w:commentReference w:id="33"/>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commentRangeStart w:id="34"/>
      <w:r>
        <w:t>Aave V3 liquidation events will be used as the observable on-chain proxy for default. A wallet will be labelled as defaulted only when the liquidation outcome occurs after the feature-observation window, so that AbitoRank and baseline scores are computed before the outcome they are used to predict.</w:t>
      </w:r>
      <w:commentRangeEnd w:id="34"/>
      <w:r>
        <w:rPr>
          <w:rStyle w:val="ab"/>
          <w:color w:val="000000"/>
          <w:sz w:val="22"/>
          <w:szCs w:val="22"/>
        </w:rPr>
        <w:commentReference w:id="34"/>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commentRangeStart w:id="35"/>
      <w:r>
        <w:t>Sampling: the predictive analysis will use the full set of Aave V3-active wallets that appear in the observation window and have sufficient event history for feature construction. Computational benchmarks will use a reproducible random sample of 100,000 wallets with a fixed seed, and robustness checks will compare 50,000- and 200,000-wallet samples to test scalability sensitivity.</w:t>
      </w:r>
      <w:commentRangeEnd w:id="35"/>
      <w:r>
        <w:rPr>
          <w:rStyle w:val="ab"/>
          <w:color w:val="000000"/>
          <w:sz w:val="22"/>
          <w:szCs w:val="22"/>
        </w:rPr>
        <w:commentReference w:id="35"/>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commentRangeStart w:id="36"/>
      <w:r>
        <w:t>Edges: directed owner-to-spender relationships weighted by the latest nonzero allowance from u to v. Because ERC-20 tokens differ in decimals and economic scale, weights will first be token-decimal adjusted; sensitivity checks will compare raw allowance weights, log-transformed weights, and value-normalized weights where reliable price data are available.</w:t>
      </w:r>
      <w:commentRangeEnd w:id="36"/>
      <w:r>
        <w:rPr>
          <w:rStyle w:val="ab"/>
          <w:color w:val="000000"/>
          <w:sz w:val="22"/>
          <w:szCs w:val="22"/>
        </w:rPr>
        <w:commentReference w:id="36"/>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4F03182A" w14:textId="38233B82" w:rsidR="00CE4ED5" w:rsidRDefault="00CE4ED5">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with damping factor d = 0.85. This value is retained because 0.85 is the standard PageRank setting, provides a stable balance between diffusion and teleportation, and enables direct comparison with prior graph-ranking studies.</w:t>
      </w:r>
    </w:p>
    <w:p w14:paraId="4B259E9D" w14:textId="4965C36E" w:rsidR="00A271CD" w:rsidRDefault="00A271CD">
      <w:pPr>
        <w:pBdr>
          <w:top w:val="nil"/>
          <w:left w:val="nil"/>
          <w:bottom w:val="nil"/>
          <w:right w:val="nil"/>
          <w:between w:val="nil"/>
        </w:pBdr>
        <w:spacing w:before="6"/>
        <w:rPr>
          <w:color w:val="000000"/>
          <w:sz w:val="7"/>
          <w:szCs w:val="7"/>
        </w:rPr>
      </w:pP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055D9A97" w14:textId="77777777" w:rsidR="00CE4ED5" w:rsidRDefault="00CE4ED5">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r>
        <w:rPr>
          <w:rFonts w:eastAsia="Calibri"/>
          <w:color w:val="000000"/>
          <w:sz w:val="24"/>
          <w:szCs w:val="24"/>
        </w:rPr>
        <w:t>Models: Logistic regression and random forest. Logistic regression is used as an interpretable linear baseline, while random forest captures nonlinear interactions and offers a stronger benchmark for mixed on-chain feature patterns.</w:t>
      </w:r>
    </w:p>
    <w:p w14:paraId="4D9D2FBC" w14:textId="44C2EF28"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6D2995F4" w14:textId="77777777" w:rsidR="00CE4ED5" w:rsidRDefault="00CE4ED5">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Validation: 5-fold cross-validation, reporting mean +/- SD. Five folds provide a practical bias-variance trade-off while keeping repeated model fitting manageable for multiple baselines, robustness checks, and hardware-limited experiments.</w:t>
      </w:r>
    </w:p>
    <w:p w14:paraId="7E7FBEFA" w14:textId="77777777" w:rsidR="00B574BB" w:rsidRDefault="00000000">
      <w:pPr>
        <w:spacing w:before="120" w:line="276" w:lineRule="auto"/>
        <w:jc w:val="both"/>
      </w:pPr>
      <w:commentRangeStart w:id="37"/>
      <w:r>
        <w:t xml:space="preserve">Temporal validation will be used alongside cross-validation to prevent look-ahead bias: graph features and reputation scores will be computed from events before the prediction cut-off, while liquidation/default labels will be drawn from a subsequent outcome window. This separation ensures that the model is evaluated on forward-looking predictive performance rather than on information that would </w:t>
      </w:r>
      <w:r>
        <w:lastRenderedPageBreak/>
        <w:t>not have been available at scoring time.</w:t>
      </w:r>
      <w:commentRangeEnd w:id="37"/>
      <w:r>
        <w:rPr>
          <w:rStyle w:val="ab"/>
          <w:sz w:val="22"/>
          <w:szCs w:val="22"/>
        </w:rPr>
        <w:commentReference w:id="37"/>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38" w:name="45rnrcbg0xji" w:colFirst="0" w:colLast="0"/>
      <w:bookmarkStart w:id="39" w:name="_a7l5q7j67hzk" w:colFirst="0" w:colLast="0"/>
      <w:bookmarkEnd w:id="38"/>
      <w:bookmarkEnd w:id="39"/>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40" w:name="jkv0mfuoi5pt" w:colFirst="0" w:colLast="0"/>
      <w:bookmarkStart w:id="41" w:name="_guzs0k6m505l" w:colFirst="0" w:colLast="0"/>
      <w:bookmarkEnd w:id="40"/>
      <w:bookmarkEnd w:id="41"/>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Event Completeness: We rely on public event logs (Approve, Permit, Transfer) from Ethereum archives or BigQuery. Some missing or misindexed events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42" w:name="uqhhroc5ij8t" w:colFirst="0" w:colLast="0"/>
      <w:bookmarkEnd w:id="42"/>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UNISA's research ethics principles on privacy, confidentiality, responsible data management, and prior ethics </w:t>
      </w:r>
      <w:r w:rsidR="00430964">
        <w:rPr>
          <w:b w:val="0"/>
          <w:bCs w:val="0"/>
          <w:color w:val="000000"/>
        </w:rPr>
        <w:t>reviews</w:t>
      </w:r>
      <w:r>
        <w:rPr>
          <w:b w:val="0"/>
          <w:bCs w:val="0"/>
          <w:color w:val="000000"/>
        </w:rPr>
        <w:t xml:space="preserve"> where required.</w:t>
      </w:r>
    </w:p>
    <w:p w14:paraId="118C6319" w14:textId="77777777" w:rsidR="00B574BB" w:rsidRDefault="00000000">
      <w:pPr>
        <w:spacing w:before="120" w:line="276" w:lineRule="auto"/>
        <w:jc w:val="both"/>
      </w:pPr>
      <w:commentRangeStart w:id="43"/>
      <w:r>
        <w:t>Ethics clearance process: before starting the empirical data collection and analysis phase, the researcher will submit the proposal, data-management plan, and public-data justification to the relevant UNISA School ethics process. If the study is classified as exempt or low risk because it uses public pseudonymous blockchain data and no human-participant intervention, the exemption or clearance confirmation will be retained as part of the research record. No attempt will be made to deanonymize wallet owners, combine wallet addresses with off-chain personal data, or publish address-level findings in a way that could reasonably identify individuals.</w:t>
      </w:r>
      <w:commentRangeEnd w:id="43"/>
      <w:r>
        <w:rPr>
          <w:rStyle w:val="ab"/>
          <w:sz w:val="22"/>
          <w:szCs w:val="22"/>
        </w:rPr>
        <w:commentReference w:id="43"/>
      </w:r>
    </w:p>
    <w:p w14:paraId="7DB9C0C1" w14:textId="77777777" w:rsidR="00CE4E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xml:space="preserve">: We will not broadcast transactions or otherwise </w:t>
      </w:r>
      <w:r>
        <w:rPr>
          <w:rFonts w:eastAsia="Calibri"/>
          <w:color w:val="000000"/>
          <w:sz w:val="24"/>
          <w:szCs w:val="24"/>
        </w:rPr>
        <w:lastRenderedPageBreak/>
        <w:t>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AbitoRank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44" w:name="k8dms91qc4y1" w:colFirst="0" w:colLast="0"/>
      <w:bookmarkEnd w:id="44"/>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51C27F23" w14:textId="77777777" w:rsidR="00B574BB" w:rsidRDefault="00000000">
      <w:pPr>
        <w:spacing w:before="120" w:line="276" w:lineRule="auto"/>
        <w:jc w:val="both"/>
      </w:pPr>
      <w:commentRangeStart w:id="45"/>
      <w:r>
        <w:t>At doctoral level, the intended original contribution is the formulation and empirical validation of allowance-based wallet reputation as a distinct class of on-chain trust signal. The study is positioned to contribute new knowledge by showing whether explicit authorization relationships can produce a reputation metric that is theoretically interpretable, predictive of financial risk, and computationally more scalable than transaction-history-based PageRank baselines.</w:t>
      </w:r>
      <w:commentRangeEnd w:id="45"/>
      <w:r>
        <w:rPr>
          <w:rStyle w:val="ab"/>
          <w:sz w:val="22"/>
          <w:szCs w:val="22"/>
        </w:rPr>
        <w:commentReference w:id="45"/>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AbitoRank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AbitoRank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w:t>
      </w:r>
      <w:r w:rsidRPr="00430964">
        <w:rPr>
          <w:rFonts w:eastAsia="Calibri"/>
          <w:color w:val="000000"/>
          <w:sz w:val="24"/>
          <w:szCs w:val="24"/>
        </w:rPr>
        <w:lastRenderedPageBreak/>
        <w:t>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AbitoRank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46" w:name="ckhs5wg3oxgf" w:colFirst="0" w:colLast="0"/>
      <w:bookmarkStart w:id="47" w:name="_21vul5jr55yh" w:colFirst="0" w:colLast="0"/>
      <w:bookmarkEnd w:id="46"/>
      <w:bookmarkEnd w:id="47"/>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 xml:space="preserve">Table 2: </w:t>
      </w:r>
      <w:r>
        <w:rPr>
          <w:color w:val="000000"/>
          <w:shd w:val="clear" w:color="auto" w:fill="FEEC99"/>
        </w:rPr>
        <w:t>Research Project Schedule</w:t>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4331"/>
        <w:gridCol w:w="2967"/>
      </w:tblGrid>
      <w:tr w:rsidR="00A271CD" w14:paraId="1A7473E7" w14:textId="77777777" w:rsidTr="005A6612">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Period</w:t>
            </w:r>
          </w:p>
        </w:tc>
        <w:tc>
          <w:tcPr>
            <w:tcW w:w="4331"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Activities</w:t>
            </w:r>
          </w:p>
        </w:tc>
        <w:tc>
          <w:tcPr>
            <w:tcW w:w="2967"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Deliverables</w:t>
            </w:r>
          </w:p>
        </w:tc>
      </w:tr>
      <w:tr w:rsidR="00AD703D" w14:paraId="76D5AF3D" w14:textId="77777777" w:rsidTr="005A6612">
        <w:tc>
          <w:tcPr>
            <w:tcW w:w="1948" w:type="dxa"/>
          </w:tcPr>
          <w:p w14:paraId="271C552D" w14:textId="77777777" w:rsidR="00AD703D" w:rsidRDefault="00000000">
            <w:r>
              <w:rPr>
                <w:sz w:val="20"/>
              </w:rPr>
              <w:t>By 31 May 2026</w:t>
            </w:r>
          </w:p>
        </w:tc>
        <w:tc>
          <w:tcPr>
            <w:tcW w:w="4331" w:type="dxa"/>
          </w:tcPr>
          <w:p w14:paraId="25F8804D" w14:textId="77777777" w:rsidR="005A6612" w:rsidRPr="005A6612" w:rsidRDefault="00000000" w:rsidP="005A6612">
            <w:pPr>
              <w:pStyle w:val="af1"/>
              <w:numPr>
                <w:ilvl w:val="0"/>
                <w:numId w:val="45"/>
              </w:numPr>
              <w:ind w:leftChars="0"/>
            </w:pPr>
            <w:r w:rsidRPr="005A6612">
              <w:rPr>
                <w:sz w:val="20"/>
              </w:rPr>
              <w:t>Complete final proposal revisions</w:t>
            </w:r>
          </w:p>
          <w:p w14:paraId="04FC6BB4" w14:textId="26019687" w:rsidR="00AD703D" w:rsidRDefault="00000000" w:rsidP="005A6612">
            <w:pPr>
              <w:pStyle w:val="af1"/>
              <w:numPr>
                <w:ilvl w:val="0"/>
                <w:numId w:val="45"/>
              </w:numPr>
              <w:ind w:leftChars="0"/>
            </w:pPr>
            <w:r w:rsidRPr="005A6612">
              <w:rPr>
                <w:sz w:val="20"/>
              </w:rPr>
              <w:t>Obtain supervisor and departmental approval of the proposal</w:t>
            </w:r>
            <w:r w:rsidRPr="005A6612">
              <w:rPr>
                <w:sz w:val="20"/>
              </w:rPr>
              <w:br/>
              <w:t>Confirm the approved research scope and timeline</w:t>
            </w:r>
          </w:p>
        </w:tc>
        <w:tc>
          <w:tcPr>
            <w:tcW w:w="2967" w:type="dxa"/>
          </w:tcPr>
          <w:p w14:paraId="62BC8F63" w14:textId="77777777" w:rsidR="00AD703D" w:rsidRDefault="00000000">
            <w:r>
              <w:rPr>
                <w:sz w:val="20"/>
              </w:rPr>
              <w:t>Approved research proposal</w:t>
            </w:r>
            <w:r>
              <w:rPr>
                <w:sz w:val="20"/>
              </w:rPr>
              <w:br/>
              <w:t>Confirmed post-approval work plan</w:t>
            </w:r>
          </w:p>
        </w:tc>
      </w:tr>
      <w:tr w:rsidR="00AD703D" w14:paraId="764DA200" w14:textId="77777777" w:rsidTr="005A6612">
        <w:tc>
          <w:tcPr>
            <w:tcW w:w="1948" w:type="dxa"/>
          </w:tcPr>
          <w:p w14:paraId="7EB0B509" w14:textId="77777777" w:rsidR="00AD703D" w:rsidRDefault="00000000">
            <w:r>
              <w:rPr>
                <w:sz w:val="20"/>
              </w:rPr>
              <w:t>June 2026</w:t>
            </w:r>
          </w:p>
        </w:tc>
        <w:tc>
          <w:tcPr>
            <w:tcW w:w="4331" w:type="dxa"/>
          </w:tcPr>
          <w:p w14:paraId="6343FDB6" w14:textId="77777777" w:rsidR="005A6612" w:rsidRPr="005A6612" w:rsidRDefault="00000000" w:rsidP="005A6612">
            <w:pPr>
              <w:pStyle w:val="af1"/>
              <w:numPr>
                <w:ilvl w:val="0"/>
                <w:numId w:val="45"/>
              </w:numPr>
              <w:ind w:leftChars="0"/>
            </w:pPr>
            <w:r w:rsidRPr="005A6612">
              <w:rPr>
                <w:sz w:val="20"/>
              </w:rPr>
              <w:t>Prepare the post-approval research protocol</w:t>
            </w:r>
          </w:p>
          <w:p w14:paraId="1AF681D7" w14:textId="77777777" w:rsidR="005A6612" w:rsidRPr="005A6612" w:rsidRDefault="00000000" w:rsidP="005A6612">
            <w:pPr>
              <w:pStyle w:val="af1"/>
              <w:numPr>
                <w:ilvl w:val="0"/>
                <w:numId w:val="45"/>
              </w:numPr>
              <w:ind w:leftChars="0"/>
            </w:pPr>
            <w:r w:rsidRPr="005A6612">
              <w:rPr>
                <w:sz w:val="20"/>
              </w:rPr>
              <w:t>Finalize data-management and ethics-alignment procedures</w:t>
            </w:r>
          </w:p>
          <w:p w14:paraId="5C1E2077" w14:textId="54389D47" w:rsidR="00AD703D" w:rsidRDefault="00000000" w:rsidP="005A6612">
            <w:pPr>
              <w:pStyle w:val="af1"/>
              <w:numPr>
                <w:ilvl w:val="0"/>
                <w:numId w:val="45"/>
              </w:numPr>
              <w:ind w:leftChars="0"/>
            </w:pPr>
            <w:r w:rsidRPr="005A6612">
              <w:rPr>
                <w:sz w:val="20"/>
              </w:rPr>
              <w:t>Set up the development and analysis environment</w:t>
            </w:r>
          </w:p>
        </w:tc>
        <w:tc>
          <w:tcPr>
            <w:tcW w:w="2967" w:type="dxa"/>
          </w:tcPr>
          <w:p w14:paraId="0AD05B5C" w14:textId="77777777" w:rsidR="00AD703D" w:rsidRDefault="00000000">
            <w:r>
              <w:rPr>
                <w:sz w:val="20"/>
              </w:rPr>
              <w:t>Approved research protocol</w:t>
            </w:r>
            <w:r>
              <w:rPr>
                <w:sz w:val="20"/>
              </w:rPr>
              <w:br/>
              <w:t>Data-management checklist</w:t>
            </w:r>
            <w:r>
              <w:rPr>
                <w:sz w:val="20"/>
              </w:rPr>
              <w:br/>
              <w:t>Configured research environment</w:t>
            </w:r>
          </w:p>
        </w:tc>
      </w:tr>
      <w:tr w:rsidR="00AD703D" w14:paraId="7A4BA736" w14:textId="77777777" w:rsidTr="005A6612">
        <w:tc>
          <w:tcPr>
            <w:tcW w:w="1948" w:type="dxa"/>
          </w:tcPr>
          <w:p w14:paraId="1B4CC214" w14:textId="77777777" w:rsidR="00AD703D" w:rsidRDefault="00000000">
            <w:r>
              <w:rPr>
                <w:sz w:val="20"/>
              </w:rPr>
              <w:t>July-August 2026</w:t>
            </w:r>
          </w:p>
        </w:tc>
        <w:tc>
          <w:tcPr>
            <w:tcW w:w="4331" w:type="dxa"/>
          </w:tcPr>
          <w:p w14:paraId="53D6EBF7" w14:textId="77777777" w:rsidR="005A6612" w:rsidRPr="005A6612" w:rsidRDefault="00000000" w:rsidP="005A6612">
            <w:pPr>
              <w:pStyle w:val="af1"/>
              <w:numPr>
                <w:ilvl w:val="0"/>
                <w:numId w:val="45"/>
              </w:numPr>
              <w:ind w:leftChars="0"/>
            </w:pPr>
            <w:r w:rsidRPr="005A6612">
              <w:rPr>
                <w:sz w:val="20"/>
              </w:rPr>
              <w:t>Develop and test the data-acquisition pipeline</w:t>
            </w:r>
          </w:p>
          <w:p w14:paraId="6ABE3847" w14:textId="18CB8C6D" w:rsidR="00AD703D" w:rsidRDefault="00000000" w:rsidP="005A6612">
            <w:pPr>
              <w:pStyle w:val="af1"/>
              <w:numPr>
                <w:ilvl w:val="0"/>
                <w:numId w:val="45"/>
              </w:numPr>
              <w:ind w:leftChars="0"/>
            </w:pPr>
            <w:r w:rsidRPr="005A6612">
              <w:rPr>
                <w:sz w:val="20"/>
              </w:rPr>
              <w:t>Extract ERC-20 Approve/Permit and Transfer events</w:t>
            </w:r>
            <w:r w:rsidRPr="005A6612">
              <w:rPr>
                <w:sz w:val="20"/>
              </w:rPr>
              <w:br/>
              <w:t>Identify and label Aave liquidation transactions</w:t>
            </w:r>
          </w:p>
        </w:tc>
        <w:tc>
          <w:tcPr>
            <w:tcW w:w="2967" w:type="dxa"/>
          </w:tcPr>
          <w:p w14:paraId="1E81F2C8" w14:textId="77777777" w:rsidR="00AD703D" w:rsidRDefault="00000000">
            <w:r>
              <w:rPr>
                <w:sz w:val="20"/>
              </w:rPr>
              <w:t>ETL scripts</w:t>
            </w:r>
            <w:r>
              <w:rPr>
                <w:sz w:val="20"/>
              </w:rPr>
              <w:br/>
              <w:t>Raw event datasets</w:t>
            </w:r>
            <w:r>
              <w:rPr>
                <w:sz w:val="20"/>
              </w:rPr>
              <w:br/>
              <w:t>Liquidation labels file</w:t>
            </w:r>
          </w:p>
        </w:tc>
      </w:tr>
      <w:tr w:rsidR="00AD703D" w14:paraId="2A7E325F" w14:textId="77777777" w:rsidTr="005A6612">
        <w:tc>
          <w:tcPr>
            <w:tcW w:w="1948" w:type="dxa"/>
          </w:tcPr>
          <w:p w14:paraId="435ACA8A" w14:textId="77777777" w:rsidR="00AD703D" w:rsidRDefault="00000000">
            <w:r>
              <w:rPr>
                <w:sz w:val="20"/>
              </w:rPr>
              <w:t>September-October 2026</w:t>
            </w:r>
          </w:p>
        </w:tc>
        <w:tc>
          <w:tcPr>
            <w:tcW w:w="4331" w:type="dxa"/>
          </w:tcPr>
          <w:p w14:paraId="0D18D6CB" w14:textId="77777777" w:rsidR="00AD703D" w:rsidRDefault="00000000">
            <w:r>
              <w:rPr>
                <w:sz w:val="20"/>
              </w:rPr>
              <w:t>Clean and validate the extracted datasets</w:t>
            </w:r>
            <w:r>
              <w:rPr>
                <w:sz w:val="20"/>
              </w:rPr>
              <w:br/>
              <w:t>Construct wallet-transaction graphs</w:t>
            </w:r>
            <w:r>
              <w:rPr>
                <w:sz w:val="20"/>
              </w:rPr>
              <w:br/>
              <w:t>Engineer allowance, transfer, and liquidation-related features</w:t>
            </w:r>
          </w:p>
        </w:tc>
        <w:tc>
          <w:tcPr>
            <w:tcW w:w="2967" w:type="dxa"/>
          </w:tcPr>
          <w:p w14:paraId="0CF4E83D" w14:textId="77777777" w:rsidR="00AD703D" w:rsidRDefault="00000000">
            <w:r>
              <w:rPr>
                <w:sz w:val="20"/>
              </w:rPr>
              <w:t>Validated analysis dataset</w:t>
            </w:r>
            <w:r>
              <w:rPr>
                <w:sz w:val="20"/>
              </w:rPr>
              <w:br/>
              <w:t>Wallet graph datasets</w:t>
            </w:r>
            <w:r>
              <w:rPr>
                <w:sz w:val="20"/>
              </w:rPr>
              <w:br/>
              <w:t>Feature dictionary</w:t>
            </w:r>
          </w:p>
        </w:tc>
      </w:tr>
      <w:tr w:rsidR="00AD703D" w14:paraId="16F90A06" w14:textId="77777777" w:rsidTr="005A6612">
        <w:tc>
          <w:tcPr>
            <w:tcW w:w="1948" w:type="dxa"/>
          </w:tcPr>
          <w:p w14:paraId="465F218E" w14:textId="77777777" w:rsidR="00AD703D" w:rsidRDefault="00000000">
            <w:r>
              <w:rPr>
                <w:sz w:val="20"/>
              </w:rPr>
              <w:t>November-December 2026</w:t>
            </w:r>
          </w:p>
        </w:tc>
        <w:tc>
          <w:tcPr>
            <w:tcW w:w="4331" w:type="dxa"/>
          </w:tcPr>
          <w:p w14:paraId="4A972385" w14:textId="77777777" w:rsidR="00AD703D" w:rsidRDefault="00000000">
            <w:r>
              <w:rPr>
                <w:sz w:val="20"/>
              </w:rPr>
              <w:t>Implement the AbitoRank reputation-scoring model</w:t>
            </w:r>
            <w:r>
              <w:rPr>
                <w:sz w:val="20"/>
              </w:rPr>
              <w:br/>
              <w:t>Implement AWP and PageRank baselines</w:t>
            </w:r>
            <w:r>
              <w:rPr>
                <w:sz w:val="20"/>
              </w:rPr>
              <w:br/>
              <w:t>Run initial parameter-sensitivity checks</w:t>
            </w:r>
          </w:p>
        </w:tc>
        <w:tc>
          <w:tcPr>
            <w:tcW w:w="2967" w:type="dxa"/>
          </w:tcPr>
          <w:p w14:paraId="233A847A" w14:textId="77777777" w:rsidR="00AD703D" w:rsidRDefault="00000000">
            <w:r>
              <w:rPr>
                <w:sz w:val="20"/>
              </w:rPr>
              <w:t>Model implementation</w:t>
            </w:r>
            <w:r>
              <w:rPr>
                <w:sz w:val="20"/>
              </w:rPr>
              <w:br/>
              <w:t>Baseline implementation</w:t>
            </w:r>
            <w:r>
              <w:rPr>
                <w:sz w:val="20"/>
              </w:rPr>
              <w:br/>
              <w:t>Preliminary scoring outputs</w:t>
            </w:r>
          </w:p>
        </w:tc>
      </w:tr>
      <w:tr w:rsidR="00AD703D" w14:paraId="19747B44" w14:textId="77777777" w:rsidTr="005A6612">
        <w:tc>
          <w:tcPr>
            <w:tcW w:w="1948" w:type="dxa"/>
          </w:tcPr>
          <w:p w14:paraId="6B024984" w14:textId="77777777" w:rsidR="00AD703D" w:rsidRDefault="00000000">
            <w:r>
              <w:rPr>
                <w:sz w:val="20"/>
              </w:rPr>
              <w:t>January-February 2027</w:t>
            </w:r>
          </w:p>
        </w:tc>
        <w:tc>
          <w:tcPr>
            <w:tcW w:w="4331" w:type="dxa"/>
          </w:tcPr>
          <w:p w14:paraId="51CB35C7" w14:textId="77777777" w:rsidR="00AD703D" w:rsidRDefault="00000000">
            <w:r>
              <w:rPr>
                <w:sz w:val="20"/>
              </w:rPr>
              <w:t>Evaluate rank correlation and predictive validity</w:t>
            </w:r>
            <w:r>
              <w:rPr>
                <w:sz w:val="20"/>
              </w:rPr>
              <w:br/>
              <w:t xml:space="preserve">Run logistic regression and random forest </w:t>
            </w:r>
            <w:r>
              <w:rPr>
                <w:sz w:val="20"/>
              </w:rPr>
              <w:lastRenderedPageBreak/>
              <w:t>experiments</w:t>
            </w:r>
            <w:r>
              <w:rPr>
                <w:sz w:val="20"/>
              </w:rPr>
              <w:br/>
              <w:t>Assess computational efficiency and robustness</w:t>
            </w:r>
          </w:p>
        </w:tc>
        <w:tc>
          <w:tcPr>
            <w:tcW w:w="2967" w:type="dxa"/>
          </w:tcPr>
          <w:p w14:paraId="7BDAF1A0" w14:textId="77777777" w:rsidR="00AD703D" w:rsidRDefault="00000000">
            <w:r>
              <w:rPr>
                <w:sz w:val="20"/>
              </w:rPr>
              <w:lastRenderedPageBreak/>
              <w:t>Evaluation results</w:t>
            </w:r>
            <w:r>
              <w:rPr>
                <w:sz w:val="20"/>
              </w:rPr>
              <w:br/>
              <w:t>Risk-prediction results</w:t>
            </w:r>
            <w:r>
              <w:rPr>
                <w:sz w:val="20"/>
              </w:rPr>
              <w:br/>
            </w:r>
            <w:r>
              <w:rPr>
                <w:sz w:val="20"/>
              </w:rPr>
              <w:lastRenderedPageBreak/>
              <w:t>Robustness and efficiency analysis</w:t>
            </w:r>
          </w:p>
        </w:tc>
      </w:tr>
      <w:tr w:rsidR="00AD703D" w14:paraId="1ADAC447" w14:textId="77777777" w:rsidTr="005A6612">
        <w:tc>
          <w:tcPr>
            <w:tcW w:w="1948" w:type="dxa"/>
          </w:tcPr>
          <w:p w14:paraId="24A9A829" w14:textId="77777777" w:rsidR="00AD703D" w:rsidRDefault="00000000">
            <w:r>
              <w:rPr>
                <w:sz w:val="20"/>
              </w:rPr>
              <w:lastRenderedPageBreak/>
              <w:t>March 2027</w:t>
            </w:r>
          </w:p>
        </w:tc>
        <w:tc>
          <w:tcPr>
            <w:tcW w:w="4331" w:type="dxa"/>
          </w:tcPr>
          <w:p w14:paraId="1BA4F92D" w14:textId="77777777" w:rsidR="00AD703D" w:rsidRDefault="00000000">
            <w:r>
              <w:rPr>
                <w:sz w:val="20"/>
              </w:rPr>
              <w:t>Interpret empirical results</w:t>
            </w:r>
            <w:r>
              <w:rPr>
                <w:sz w:val="20"/>
              </w:rPr>
              <w:br/>
              <w:t>Prepare figures, tables, and chapter-level findings</w:t>
            </w:r>
            <w:r>
              <w:rPr>
                <w:sz w:val="20"/>
              </w:rPr>
              <w:br/>
              <w:t>Discuss results against the research objectives</w:t>
            </w:r>
          </w:p>
        </w:tc>
        <w:tc>
          <w:tcPr>
            <w:tcW w:w="2967" w:type="dxa"/>
          </w:tcPr>
          <w:p w14:paraId="22F7E361" w14:textId="77777777" w:rsidR="00AD703D" w:rsidRDefault="00000000">
            <w:r>
              <w:rPr>
                <w:sz w:val="20"/>
              </w:rPr>
              <w:t>Results chapter materials</w:t>
            </w:r>
            <w:r>
              <w:rPr>
                <w:sz w:val="20"/>
              </w:rPr>
              <w:br/>
              <w:t>Updated analysis tables and figures</w:t>
            </w:r>
          </w:p>
        </w:tc>
      </w:tr>
      <w:tr w:rsidR="00AD703D" w14:paraId="3E6994A6" w14:textId="77777777" w:rsidTr="005A6612">
        <w:tc>
          <w:tcPr>
            <w:tcW w:w="1948" w:type="dxa"/>
          </w:tcPr>
          <w:p w14:paraId="55A88892" w14:textId="77777777" w:rsidR="00AD703D" w:rsidRDefault="00000000">
            <w:r>
              <w:rPr>
                <w:sz w:val="20"/>
              </w:rPr>
              <w:t>April 2027</w:t>
            </w:r>
          </w:p>
        </w:tc>
        <w:tc>
          <w:tcPr>
            <w:tcW w:w="4331" w:type="dxa"/>
          </w:tcPr>
          <w:p w14:paraId="3D8C2C65" w14:textId="77777777" w:rsidR="00AD703D" w:rsidRDefault="00000000">
            <w:r>
              <w:rPr>
                <w:sz w:val="20"/>
              </w:rPr>
              <w:t>Draft the first journal article from the model and evaluation results</w:t>
            </w:r>
            <w:r>
              <w:rPr>
                <w:sz w:val="20"/>
              </w:rPr>
              <w:br/>
              <w:t>Align the article with an accredited journal scope</w:t>
            </w:r>
            <w:r>
              <w:rPr>
                <w:sz w:val="20"/>
              </w:rPr>
              <w:br/>
              <w:t>Circulate the draft for supervisor feedback</w:t>
            </w:r>
          </w:p>
        </w:tc>
        <w:tc>
          <w:tcPr>
            <w:tcW w:w="2967" w:type="dxa"/>
          </w:tcPr>
          <w:p w14:paraId="458FF2FC" w14:textId="77777777" w:rsidR="00AD703D" w:rsidRDefault="00000000">
            <w:r>
              <w:rPr>
                <w:sz w:val="20"/>
              </w:rPr>
              <w:t>First journal article draft</w:t>
            </w:r>
            <w:r>
              <w:rPr>
                <w:sz w:val="20"/>
              </w:rPr>
              <w:br/>
              <w:t>Target journal shortlist</w:t>
            </w:r>
            <w:r>
              <w:rPr>
                <w:sz w:val="20"/>
              </w:rPr>
              <w:br/>
              <w:t>Supervisor feedback record</w:t>
            </w:r>
          </w:p>
        </w:tc>
      </w:tr>
      <w:tr w:rsidR="00AD703D" w14:paraId="050F53A8" w14:textId="77777777" w:rsidTr="005A6612">
        <w:tc>
          <w:tcPr>
            <w:tcW w:w="1948" w:type="dxa"/>
          </w:tcPr>
          <w:p w14:paraId="73787BBE" w14:textId="77777777" w:rsidR="00AD703D" w:rsidRDefault="00000000">
            <w:r>
              <w:rPr>
                <w:sz w:val="20"/>
              </w:rPr>
              <w:t>May 2027</w:t>
            </w:r>
          </w:p>
        </w:tc>
        <w:tc>
          <w:tcPr>
            <w:tcW w:w="4331" w:type="dxa"/>
          </w:tcPr>
          <w:p w14:paraId="70302740" w14:textId="77777777" w:rsidR="00AD703D" w:rsidRDefault="00000000">
            <w:r>
              <w:rPr>
                <w:sz w:val="20"/>
              </w:rPr>
              <w:t>Revise and submit the first journal article to an accredited journal</w:t>
            </w:r>
            <w:r>
              <w:rPr>
                <w:sz w:val="20"/>
              </w:rPr>
              <w:br/>
              <w:t>Incorporate article findings into the thesis draft</w:t>
            </w:r>
          </w:p>
        </w:tc>
        <w:tc>
          <w:tcPr>
            <w:tcW w:w="2967" w:type="dxa"/>
          </w:tcPr>
          <w:p w14:paraId="025EAC94" w14:textId="77777777" w:rsidR="00AD703D" w:rsidRDefault="00000000">
            <w:r>
              <w:rPr>
                <w:sz w:val="20"/>
              </w:rPr>
              <w:t>Submitted first journal article</w:t>
            </w:r>
            <w:r>
              <w:rPr>
                <w:sz w:val="20"/>
              </w:rPr>
              <w:br/>
              <w:t>Updated thesis results chapter</w:t>
            </w:r>
          </w:p>
        </w:tc>
      </w:tr>
      <w:tr w:rsidR="00AD703D" w14:paraId="675ECC54" w14:textId="77777777" w:rsidTr="005A6612">
        <w:tc>
          <w:tcPr>
            <w:tcW w:w="1948" w:type="dxa"/>
          </w:tcPr>
          <w:p w14:paraId="3808F5C1" w14:textId="77777777" w:rsidR="00AD703D" w:rsidRDefault="00000000">
            <w:r>
              <w:rPr>
                <w:sz w:val="20"/>
              </w:rPr>
              <w:t>June-July 2027</w:t>
            </w:r>
          </w:p>
        </w:tc>
        <w:tc>
          <w:tcPr>
            <w:tcW w:w="4331" w:type="dxa"/>
          </w:tcPr>
          <w:p w14:paraId="4AC8AD8B" w14:textId="77777777" w:rsidR="00AD703D" w:rsidRDefault="00000000">
            <w:r>
              <w:rPr>
                <w:sz w:val="20"/>
              </w:rPr>
              <w:t>Draft and revise the introduction, literature review, and methodology chapters</w:t>
            </w:r>
            <w:r>
              <w:rPr>
                <w:sz w:val="20"/>
              </w:rPr>
              <w:br/>
              <w:t>Integrate supervisor comments across completed chapters</w:t>
            </w:r>
            <w:r>
              <w:rPr>
                <w:sz w:val="20"/>
              </w:rPr>
              <w:br/>
              <w:t>Check consistency between objectives, methods, and results</w:t>
            </w:r>
          </w:p>
        </w:tc>
        <w:tc>
          <w:tcPr>
            <w:tcW w:w="2967" w:type="dxa"/>
          </w:tcPr>
          <w:p w14:paraId="0FB68025" w14:textId="77777777" w:rsidR="00AD703D" w:rsidRDefault="00000000">
            <w:r>
              <w:rPr>
                <w:sz w:val="20"/>
              </w:rPr>
              <w:t>Revised thesis chapters</w:t>
            </w:r>
            <w:r>
              <w:rPr>
                <w:sz w:val="20"/>
              </w:rPr>
              <w:br/>
              <w:t>Integrated supervisor feedback</w:t>
            </w:r>
          </w:p>
        </w:tc>
      </w:tr>
      <w:tr w:rsidR="00AD703D" w14:paraId="20D5509B" w14:textId="77777777" w:rsidTr="005A6612">
        <w:tc>
          <w:tcPr>
            <w:tcW w:w="1948" w:type="dxa"/>
          </w:tcPr>
          <w:p w14:paraId="3AD197E5" w14:textId="77777777" w:rsidR="00AD703D" w:rsidRDefault="00000000">
            <w:r>
              <w:rPr>
                <w:sz w:val="20"/>
              </w:rPr>
              <w:t>August 2027</w:t>
            </w:r>
          </w:p>
        </w:tc>
        <w:tc>
          <w:tcPr>
            <w:tcW w:w="4331" w:type="dxa"/>
          </w:tcPr>
          <w:p w14:paraId="15BCFCD1" w14:textId="77777777" w:rsidR="00AD703D" w:rsidRDefault="00000000">
            <w:r>
              <w:rPr>
                <w:sz w:val="20"/>
              </w:rPr>
              <w:t>Draft the second publication from the DeFi reputation and risk-scoring findings</w:t>
            </w:r>
            <w:r>
              <w:rPr>
                <w:sz w:val="20"/>
              </w:rPr>
              <w:br/>
              <w:t>Position the contribution against related work</w:t>
            </w:r>
            <w:r>
              <w:rPr>
                <w:sz w:val="20"/>
              </w:rPr>
              <w:br/>
              <w:t>Prepare publication tables and supporting evidence</w:t>
            </w:r>
          </w:p>
        </w:tc>
        <w:tc>
          <w:tcPr>
            <w:tcW w:w="2967" w:type="dxa"/>
          </w:tcPr>
          <w:p w14:paraId="0E3BA27D" w14:textId="77777777" w:rsidR="00AD703D" w:rsidRDefault="00000000">
            <w:r>
              <w:rPr>
                <w:sz w:val="20"/>
              </w:rPr>
              <w:t>Second publication draft</w:t>
            </w:r>
            <w:r>
              <w:rPr>
                <w:sz w:val="20"/>
              </w:rPr>
              <w:br/>
              <w:t>Publication-ready tables and evidence</w:t>
            </w:r>
          </w:p>
        </w:tc>
      </w:tr>
      <w:tr w:rsidR="00AD703D" w14:paraId="3F5ECC07" w14:textId="77777777" w:rsidTr="005A6612">
        <w:tc>
          <w:tcPr>
            <w:tcW w:w="1948" w:type="dxa"/>
          </w:tcPr>
          <w:p w14:paraId="328210D1" w14:textId="77777777" w:rsidR="00AD703D" w:rsidRDefault="00000000">
            <w:r>
              <w:rPr>
                <w:sz w:val="20"/>
              </w:rPr>
              <w:t>September 2027</w:t>
            </w:r>
          </w:p>
        </w:tc>
        <w:tc>
          <w:tcPr>
            <w:tcW w:w="4331" w:type="dxa"/>
          </w:tcPr>
          <w:p w14:paraId="42CBF8D8" w14:textId="77777777" w:rsidR="00AD703D" w:rsidRDefault="00000000">
            <w:r>
              <w:rPr>
                <w:sz w:val="20"/>
              </w:rPr>
              <w:t>Revise and submit the second article to an accredited journal</w:t>
            </w:r>
            <w:r>
              <w:rPr>
                <w:sz w:val="20"/>
              </w:rPr>
              <w:br/>
              <w:t>Update the thesis discussion with publication feedback where applicable</w:t>
            </w:r>
          </w:p>
        </w:tc>
        <w:tc>
          <w:tcPr>
            <w:tcW w:w="2967" w:type="dxa"/>
          </w:tcPr>
          <w:p w14:paraId="261644EC" w14:textId="77777777" w:rsidR="00AD703D" w:rsidRDefault="00000000">
            <w:r>
              <w:rPr>
                <w:sz w:val="20"/>
              </w:rPr>
              <w:t>Submitted second journal article</w:t>
            </w:r>
            <w:r>
              <w:rPr>
                <w:sz w:val="20"/>
              </w:rPr>
              <w:br/>
              <w:t>Updated discussion chapter</w:t>
            </w:r>
          </w:p>
        </w:tc>
      </w:tr>
      <w:tr w:rsidR="00AD703D" w14:paraId="2AF89870" w14:textId="77777777" w:rsidTr="005A6612">
        <w:tc>
          <w:tcPr>
            <w:tcW w:w="1948" w:type="dxa"/>
          </w:tcPr>
          <w:p w14:paraId="32C60E86" w14:textId="77777777" w:rsidR="00AD703D" w:rsidRDefault="00000000">
            <w:r>
              <w:rPr>
                <w:sz w:val="20"/>
              </w:rPr>
              <w:t>October 2027</w:t>
            </w:r>
          </w:p>
        </w:tc>
        <w:tc>
          <w:tcPr>
            <w:tcW w:w="4331" w:type="dxa"/>
          </w:tcPr>
          <w:p w14:paraId="7327E652" w14:textId="77777777" w:rsidR="00AD703D" w:rsidRDefault="00000000">
            <w:r>
              <w:rPr>
                <w:sz w:val="20"/>
              </w:rPr>
              <w:t>Complete the full thesis draft</w:t>
            </w:r>
            <w:r>
              <w:rPr>
                <w:sz w:val="20"/>
              </w:rPr>
              <w:br/>
              <w:t>Finalize conclusions, limitations, and future-work sections</w:t>
            </w:r>
            <w:r>
              <w:rPr>
                <w:sz w:val="20"/>
              </w:rPr>
              <w:br/>
              <w:t>Conduct internal consistency and reference checks</w:t>
            </w:r>
          </w:p>
        </w:tc>
        <w:tc>
          <w:tcPr>
            <w:tcW w:w="2967" w:type="dxa"/>
          </w:tcPr>
          <w:p w14:paraId="5CBBC81B" w14:textId="77777777" w:rsidR="00AD703D" w:rsidRDefault="00000000">
            <w:r>
              <w:rPr>
                <w:sz w:val="20"/>
              </w:rPr>
              <w:t>Complete thesis draft</w:t>
            </w:r>
            <w:r>
              <w:rPr>
                <w:sz w:val="20"/>
              </w:rPr>
              <w:br/>
              <w:t>Checked references and cross-references</w:t>
            </w:r>
          </w:p>
        </w:tc>
      </w:tr>
      <w:tr w:rsidR="00AD703D" w14:paraId="0876E25C" w14:textId="77777777" w:rsidTr="005A6612">
        <w:tc>
          <w:tcPr>
            <w:tcW w:w="1948" w:type="dxa"/>
          </w:tcPr>
          <w:p w14:paraId="1DFCD85B" w14:textId="77777777" w:rsidR="00AD703D" w:rsidRDefault="00000000">
            <w:r>
              <w:rPr>
                <w:sz w:val="20"/>
              </w:rPr>
              <w:t>November-December 2027</w:t>
            </w:r>
          </w:p>
        </w:tc>
        <w:tc>
          <w:tcPr>
            <w:tcW w:w="4331" w:type="dxa"/>
          </w:tcPr>
          <w:p w14:paraId="0804E278" w14:textId="77777777" w:rsidR="00AD703D" w:rsidRDefault="00000000">
            <w:r>
              <w:rPr>
                <w:sz w:val="20"/>
              </w:rPr>
              <w:t>Revise the full thesis based on supervisor feedback</w:t>
            </w:r>
            <w:r>
              <w:rPr>
                <w:sz w:val="20"/>
              </w:rPr>
              <w:br/>
              <w:t>Edit formatting, language, tables, and figures</w:t>
            </w:r>
            <w:r>
              <w:rPr>
                <w:sz w:val="20"/>
              </w:rPr>
              <w:br/>
              <w:t>Prepare submission documentation</w:t>
            </w:r>
          </w:p>
        </w:tc>
        <w:tc>
          <w:tcPr>
            <w:tcW w:w="2967" w:type="dxa"/>
          </w:tcPr>
          <w:p w14:paraId="3E70CD0B" w14:textId="77777777" w:rsidR="00AD703D" w:rsidRDefault="00000000">
            <w:r>
              <w:rPr>
                <w:sz w:val="20"/>
              </w:rPr>
              <w:t>Final revised thesis</w:t>
            </w:r>
            <w:r>
              <w:rPr>
                <w:sz w:val="20"/>
              </w:rPr>
              <w:br/>
              <w:t>Submission-ready document</w:t>
            </w:r>
            <w:r>
              <w:rPr>
                <w:sz w:val="20"/>
              </w:rPr>
              <w:br/>
              <w:t>Completed administrative documents</w:t>
            </w:r>
          </w:p>
        </w:tc>
      </w:tr>
      <w:tr w:rsidR="00AD703D" w14:paraId="38D72CB6" w14:textId="77777777" w:rsidTr="005A6612">
        <w:tc>
          <w:tcPr>
            <w:tcW w:w="1948" w:type="dxa"/>
          </w:tcPr>
          <w:p w14:paraId="53D6A236" w14:textId="77777777" w:rsidR="00AD703D" w:rsidRDefault="00000000">
            <w:r>
              <w:rPr>
                <w:sz w:val="20"/>
              </w:rPr>
              <w:t>January 2028</w:t>
            </w:r>
          </w:p>
        </w:tc>
        <w:tc>
          <w:tcPr>
            <w:tcW w:w="4331" w:type="dxa"/>
          </w:tcPr>
          <w:p w14:paraId="6C19D3B2" w14:textId="77777777" w:rsidR="00AD703D" w:rsidRDefault="00000000">
            <w:r>
              <w:rPr>
                <w:sz w:val="20"/>
              </w:rPr>
              <w:t>Obtain final supervisor sign-off</w:t>
            </w:r>
            <w:r>
              <w:rPr>
                <w:sz w:val="20"/>
              </w:rPr>
              <w:br/>
              <w:t>Submit the thesis for examination</w:t>
            </w:r>
            <w:r>
              <w:rPr>
                <w:sz w:val="20"/>
              </w:rPr>
              <w:br/>
              <w:t>Track journal-review outcomes and respond to editorial queries if required</w:t>
            </w:r>
          </w:p>
        </w:tc>
        <w:tc>
          <w:tcPr>
            <w:tcW w:w="2967" w:type="dxa"/>
          </w:tcPr>
          <w:p w14:paraId="35DB4AF3" w14:textId="77777777" w:rsidR="00AD703D" w:rsidRDefault="00000000">
            <w:r>
              <w:rPr>
                <w:sz w:val="20"/>
              </w:rPr>
              <w:t>Submitted thesis</w:t>
            </w:r>
            <w:r>
              <w:rPr>
                <w:sz w:val="20"/>
              </w:rPr>
              <w:br/>
              <w:t>Supervisor sign-off</w:t>
            </w:r>
            <w:r>
              <w:rPr>
                <w:sz w:val="20"/>
              </w:rPr>
              <w:br/>
              <w:t>Journal response plan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17511065" w14:textId="77777777" w:rsidR="00ED70FE" w:rsidRDefault="00ED70FE">
      <w:pPr>
        <w:pBdr>
          <w:top w:val="nil"/>
          <w:left w:val="nil"/>
          <w:bottom w:val="nil"/>
          <w:right w:val="nil"/>
          <w:between w:val="nil"/>
        </w:pBdr>
        <w:rPr>
          <w:color w:val="000000"/>
        </w:rPr>
      </w:pPr>
    </w:p>
    <w:p w14:paraId="31AB0BC8" w14:textId="77777777" w:rsidR="00ED70FE" w:rsidRDefault="00ED70FE">
      <w:pPr>
        <w:pBdr>
          <w:top w:val="nil"/>
          <w:left w:val="nil"/>
          <w:bottom w:val="nil"/>
          <w:right w:val="nil"/>
          <w:between w:val="nil"/>
        </w:pBdr>
        <w:rPr>
          <w:color w:val="000000"/>
        </w:rPr>
      </w:pPr>
    </w:p>
    <w:p w14:paraId="4E4C4D81" w14:textId="77777777" w:rsidR="00ED70FE" w:rsidRDefault="00ED70FE">
      <w:pPr>
        <w:pBdr>
          <w:top w:val="nil"/>
          <w:left w:val="nil"/>
          <w:bottom w:val="nil"/>
          <w:right w:val="nil"/>
          <w:between w:val="nil"/>
        </w:pBdr>
        <w:rPr>
          <w:color w:val="000000"/>
        </w:rPr>
      </w:pPr>
    </w:p>
    <w:p w14:paraId="00638F76" w14:textId="77777777" w:rsidR="00ED70FE" w:rsidRDefault="00ED70FE">
      <w:pPr>
        <w:pBdr>
          <w:top w:val="nil"/>
          <w:left w:val="nil"/>
          <w:bottom w:val="nil"/>
          <w:right w:val="nil"/>
          <w:between w:val="nil"/>
        </w:pBdr>
        <w:rPr>
          <w:color w:val="000000"/>
        </w:rPr>
      </w:pPr>
    </w:p>
    <w:p w14:paraId="784E188D" w14:textId="77777777" w:rsidR="00ED70FE" w:rsidRDefault="00ED70FE">
      <w:pPr>
        <w:pBdr>
          <w:top w:val="nil"/>
          <w:left w:val="nil"/>
          <w:bottom w:val="nil"/>
          <w:right w:val="nil"/>
          <w:between w:val="nil"/>
        </w:pBdr>
        <w:rPr>
          <w:color w:val="000000"/>
        </w:rPr>
      </w:pPr>
    </w:p>
    <w:p w14:paraId="0C5A735D" w14:textId="77777777" w:rsidR="00ED70FE" w:rsidRDefault="00ED70FE">
      <w:pPr>
        <w:pBdr>
          <w:top w:val="nil"/>
          <w:left w:val="nil"/>
          <w:bottom w:val="nil"/>
          <w:right w:val="nil"/>
          <w:between w:val="nil"/>
        </w:pBdr>
        <w:rPr>
          <w:color w:val="000000"/>
        </w:rPr>
      </w:pPr>
    </w:p>
    <w:p w14:paraId="3173A066" w14:textId="77777777" w:rsidR="00ED70FE" w:rsidRDefault="00ED70FE">
      <w:pPr>
        <w:pBdr>
          <w:top w:val="nil"/>
          <w:left w:val="nil"/>
          <w:bottom w:val="nil"/>
          <w:right w:val="nil"/>
          <w:between w:val="nil"/>
        </w:pBdr>
        <w:rPr>
          <w:color w:val="000000"/>
        </w:rPr>
      </w:pPr>
    </w:p>
    <w:p w14:paraId="2ED86558" w14:textId="77777777" w:rsidR="00ED70FE" w:rsidRDefault="00ED70FE">
      <w:pPr>
        <w:pBdr>
          <w:top w:val="nil"/>
          <w:left w:val="nil"/>
          <w:bottom w:val="nil"/>
          <w:right w:val="nil"/>
          <w:between w:val="nil"/>
        </w:pBdr>
        <w:rPr>
          <w:rFonts w:hint="eastAsia"/>
          <w:color w:val="000000"/>
        </w:rPr>
      </w:pPr>
    </w:p>
    <w:p w14:paraId="1B6C7E5F" w14:textId="77777777" w:rsidR="00794849" w:rsidRDefault="00794849">
      <w:pPr>
        <w:pBdr>
          <w:top w:val="nil"/>
          <w:left w:val="nil"/>
          <w:bottom w:val="nil"/>
          <w:right w:val="nil"/>
          <w:between w:val="nil"/>
        </w:pBdr>
        <w:rPr>
          <w:color w:val="000000"/>
        </w:rPr>
      </w:pPr>
    </w:p>
    <w:p w14:paraId="3AE763E5" w14:textId="77777777" w:rsidR="00A00C1C" w:rsidRDefault="00A00C1C">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3C283DCA" w14:textId="77777777" w:rsidR="00B574BB" w:rsidRPr="008F384B" w:rsidRDefault="00000000" w:rsidP="008F384B">
      <w:pPr>
        <w:spacing w:before="542"/>
        <w:ind w:left="85"/>
        <w:rPr>
          <w:b/>
          <w:bCs/>
          <w:sz w:val="49"/>
          <w:szCs w:val="49"/>
        </w:rPr>
      </w:pPr>
      <w:commentRangeStart w:id="48"/>
      <w:r w:rsidRPr="008F384B">
        <w:rPr>
          <w:b/>
          <w:bCs/>
          <w:sz w:val="49"/>
          <w:szCs w:val="49"/>
        </w:rPr>
        <w:t>Dissertation/Thesis Outline</w:t>
      </w:r>
      <w:commentRangeEnd w:id="48"/>
      <w:r w:rsidR="008F384B" w:rsidRPr="008F384B">
        <w:rPr>
          <w:rStyle w:val="ab"/>
          <w:b/>
          <w:bCs/>
          <w:sz w:val="49"/>
          <w:szCs w:val="49"/>
        </w:rPr>
        <w:commentReference w:id="48"/>
      </w:r>
    </w:p>
    <w:p w14:paraId="6ED74FB6" w14:textId="77777777" w:rsidR="00B574BB" w:rsidRDefault="00000000">
      <w:pPr>
        <w:spacing w:before="120" w:line="276" w:lineRule="auto"/>
        <w:jc w:val="both"/>
      </w:pPr>
      <w:r>
        <w:t>Chapter 1: Introduction and research problem. This chapter will refine the proposal into the thesis introduction by presenting the DeFi lending context, the on-chain wallet reputation problem, the research questions, objectives, scope, significance, and limitations.</w:t>
      </w:r>
    </w:p>
    <w:p w14:paraId="5519F772" w14:textId="77777777" w:rsidR="00B574BB" w:rsidRDefault="00000000">
      <w:pPr>
        <w:spacing w:before="120" w:line="276" w:lineRule="auto"/>
        <w:jc w:val="both"/>
      </w:pPr>
      <w:r>
        <w:t>Chapter 2: Literature review and theoretical framework. This chapter will expand the proposal literature review into a comprehensive analysis of graph-based reputation scoring, DeFi credit-risk prediction, ERC-20 allowance semantics, PageRank variants, and the theoretical foundations for reputation structure, predictive validity, and computational efficiency.</w:t>
      </w:r>
    </w:p>
    <w:p w14:paraId="6036B3D8" w14:textId="77777777" w:rsidR="00B574BB" w:rsidRDefault="00000000">
      <w:pPr>
        <w:spacing w:before="120" w:line="276" w:lineRule="auto"/>
        <w:jc w:val="both"/>
      </w:pPr>
      <w:r>
        <w:t>Chapter 3: Research methodology. This chapter will specify the philosophical position, research design, data sources, sampling logic, feature engineering, graph-construction procedures, baseline reproduction, statistical tests, robustness checks, ethics clearance, and reproducibility controls.</w:t>
      </w:r>
    </w:p>
    <w:p w14:paraId="2D9E40BC" w14:textId="77777777" w:rsidR="00B574BB" w:rsidRDefault="00000000">
      <w:pPr>
        <w:spacing w:before="120" w:line="276" w:lineRule="auto"/>
        <w:jc w:val="both"/>
      </w:pPr>
      <w:r>
        <w:t>Chapter 4: Implementation and empirical results. This chapter will report the data pipeline, AbitoRank implementation, baseline implementations, dataset characteristics, graph statistics, predictive-model results, rank-divergence findings, and computational benchmark outcomes.</w:t>
      </w:r>
    </w:p>
    <w:p w14:paraId="2B2628EA" w14:textId="77777777" w:rsidR="00B574BB" w:rsidRDefault="00000000">
      <w:pPr>
        <w:spacing w:before="120" w:line="276" w:lineRule="auto"/>
        <w:jc w:val="both"/>
      </w:pPr>
      <w:r>
        <w:t>Chapter 5: Discussion. This chapter will interpret the findings against each research question and objective, explain the theoretical and practical implications for DeFi risk assessment, evaluate threats to validity, and discuss how the results support or limit the claimed contribution.</w:t>
      </w:r>
    </w:p>
    <w:p w14:paraId="71FC70D2" w14:textId="77777777" w:rsidR="00B574BB" w:rsidRDefault="00000000">
      <w:pPr>
        <w:spacing w:before="120" w:line="276" w:lineRule="auto"/>
        <w:jc w:val="both"/>
      </w:pPr>
      <w:r>
        <w:t>Chapter 6: Conclusion and future work. This chapter will synthesize the study, state the original contribution to knowledge, revisit the research questions, summarize limitations, and propose future work on cross-protocol validation, adversarial manipulation, and broader on-chain trust signals.</w:t>
      </w:r>
    </w:p>
    <w:p w14:paraId="24D426BD" w14:textId="77777777" w:rsidR="00A271CD" w:rsidRPr="00A00C1C" w:rsidRDefault="006A4981">
      <w:pPr>
        <w:spacing w:line="458" w:lineRule="auto"/>
        <w:ind w:left="85" w:right="4704"/>
        <w:rPr>
          <w:b/>
          <w:bCs/>
          <w:sz w:val="49"/>
          <w:szCs w:val="49"/>
        </w:rPr>
      </w:pPr>
      <w:bookmarkStart w:id="49" w:name="128886w1h0ks" w:colFirst="0" w:colLast="0"/>
      <w:bookmarkStart w:id="50" w:name="_bdktksm8ib1l" w:colFirst="0" w:colLast="0"/>
      <w:bookmarkEnd w:id="49"/>
      <w:bookmarkEnd w:id="50"/>
      <w:commentRangeStart w:id="51"/>
      <w:r>
        <w:rPr>
          <w:b/>
          <w:bCs/>
        </w:rPr>
        <w:t>References</w:t>
      </w:r>
      <w:commentRangeEnd w:id="51"/>
      <w:r w:rsidRPr="00A00C1C">
        <w:rPr>
          <w:rStyle w:val="ab"/>
          <w:b/>
          <w:bCs/>
          <w:sz w:val="49"/>
          <w:szCs w:val="49"/>
        </w:rPr>
        <w:commentReference w:id="51"/>
      </w:r>
    </w:p>
    <w:p w14:paraId="7C8123FE" w14:textId="77777777" w:rsidR="00B574BB" w:rsidRDefault="00000000">
      <w:pPr>
        <w:spacing w:before="120" w:line="276" w:lineRule="auto"/>
        <w:jc w:val="both"/>
      </w:pPr>
      <w:r>
        <w:t>3Jane Protocol. (n.d.). Jane Score documentation.</w:t>
      </w:r>
    </w:p>
    <w:p w14:paraId="014EC349" w14:textId="77777777" w:rsidR="00B574BB" w:rsidRDefault="00000000">
      <w:pPr>
        <w:spacing w:before="120" w:line="276" w:lineRule="auto"/>
        <w:jc w:val="both"/>
      </w:pPr>
      <w:r>
        <w:t>Blockchain Bureau. (n.d.). Providence score documentation.</w:t>
      </w:r>
    </w:p>
    <w:p w14:paraId="45A66C4F" w14:textId="77777777" w:rsidR="00B574BB" w:rsidRDefault="00000000">
      <w:pPr>
        <w:spacing w:before="120" w:line="276" w:lineRule="auto"/>
        <w:jc w:val="both"/>
      </w:pPr>
      <w:r>
        <w:t>Cred Protocol. (n.d.). Cred Score documentation.</w:t>
      </w:r>
    </w:p>
    <w:p w14:paraId="1C95F3A9" w14:textId="77777777" w:rsidR="00B574BB" w:rsidRDefault="00000000">
      <w:pPr>
        <w:spacing w:before="120" w:line="276" w:lineRule="auto"/>
        <w:jc w:val="both"/>
      </w:pPr>
      <w:r>
        <w:t>Do, H. D., et al. (2023). PageRank and HodgeRank on Ethereum transactions: A measure for social credit. International Journal of Software Innovation, 11(1).</w:t>
      </w:r>
    </w:p>
    <w:p w14:paraId="3FB15AFC" w14:textId="77777777" w:rsidR="00B574BB" w:rsidRDefault="00000000">
      <w:pPr>
        <w:spacing w:before="120" w:line="276" w:lineRule="auto"/>
        <w:jc w:val="both"/>
      </w:pPr>
      <w:r>
        <w:t xml:space="preserve">Ethereum Improvement Proposals. (2015). ERC-20 token standard (EIP-20). </w:t>
      </w:r>
      <w:r>
        <w:lastRenderedPageBreak/>
        <w:t>https://eips.ethereum.org/EIPS/eip-20</w:t>
      </w:r>
    </w:p>
    <w:p w14:paraId="11FC3F0E" w14:textId="77777777" w:rsidR="00B574BB" w:rsidRDefault="00000000">
      <w:pPr>
        <w:spacing w:before="120" w:line="276" w:lineRule="auto"/>
        <w:jc w:val="both"/>
      </w:pPr>
      <w:r>
        <w:t>Ethereum Improvement Proposals. (2020). ERC-20 permit extension (EIP-2612). https://eips.ethereum.org/EIPS/eip-2612</w:t>
      </w:r>
    </w:p>
    <w:p w14:paraId="150BB6D5" w14:textId="77777777" w:rsidR="00B574BB" w:rsidRDefault="00000000">
      <w:pPr>
        <w:spacing w:before="120" w:line="276" w:lineRule="auto"/>
        <w:jc w:val="both"/>
      </w:pPr>
      <w:r>
        <w:t>Ghosh, R., et al. (2024). On-chain credit risk score in decentralized finance. arXiv. https://arxiv.org/abs/2412.00710</w:t>
      </w:r>
    </w:p>
    <w:p w14:paraId="7D71CC70" w14:textId="77777777" w:rsidR="00B574BB" w:rsidRDefault="00000000">
      <w:pPr>
        <w:spacing w:before="120" w:line="276" w:lineRule="auto"/>
        <w:jc w:val="both"/>
      </w:pPr>
      <w:r>
        <w:t>Hassija, V., et al. (2020). Secure lending: Blockchain and prospect theory-based decentralized credit scoring model. IEEE Transactions on Network Science and Engineering, 7(4).</w:t>
      </w:r>
    </w:p>
    <w:p w14:paraId="11BCD455" w14:textId="77777777" w:rsidR="00B574BB" w:rsidRDefault="00000000">
      <w:pPr>
        <w:spacing w:before="120" w:line="276" w:lineRule="auto"/>
        <w:jc w:val="both"/>
      </w:pPr>
      <w:r>
        <w:t>Imig, S. (2023). Trustworthiness and PageRank on the Ethereum blockchain. SSRN.</w:t>
      </w:r>
    </w:p>
    <w:p w14:paraId="142A8D3C" w14:textId="77777777" w:rsidR="00B574BB" w:rsidRDefault="00000000">
      <w:pPr>
        <w:spacing w:before="120" w:line="276" w:lineRule="auto"/>
        <w:jc w:val="both"/>
      </w:pPr>
      <w:r>
        <w:t>Jain, D., et al. (2019). Bit-Score: A blockchain-based distributed network for secure credit scoring. In Proceedings of ICCCA.</w:t>
      </w:r>
    </w:p>
    <w:p w14:paraId="3F78EDCB" w14:textId="77777777" w:rsidR="00B574BB" w:rsidRDefault="00000000">
      <w:pPr>
        <w:spacing w:before="120" w:line="276" w:lineRule="auto"/>
        <w:jc w:val="both"/>
      </w:pPr>
      <w:r>
        <w:t>Page, L., Brin, S., Motwani, R., &amp; Winograd, T. (1998). The PageRank citation ranking: Bringing order to the web. Stanford Digital Library Technologies Project.</w:t>
      </w:r>
    </w:p>
    <w:p w14:paraId="1D476B07" w14:textId="77777777" w:rsidR="00B574BB" w:rsidRDefault="00000000">
      <w:pPr>
        <w:spacing w:before="120" w:line="276" w:lineRule="auto"/>
        <w:jc w:val="both"/>
      </w:pPr>
      <w:r>
        <w:t>Wolf, W., et al. (2022). Scoring Aave accounts for creditworthiness. arXiv. https://arxiv.org/abs/2207.07008</w:t>
      </w:r>
    </w:p>
    <w:p w14:paraId="57E19CB2" w14:textId="77777777" w:rsidR="00B574BB" w:rsidRDefault="00000000">
      <w:pPr>
        <w:spacing w:before="120" w:line="276" w:lineRule="auto"/>
        <w:jc w:val="both"/>
      </w:pPr>
      <w:r>
        <w:t>Yang, F., et al. (2024). RiskProp: Account risk rating on Ethereum via de-anonymous score and network propagation. IEEE Transactions on Dependable and Secure Computing.</w:t>
      </w:r>
    </w:p>
    <w:p w14:paraId="32743CCB" w14:textId="77777777" w:rsidR="008F384B" w:rsidRDefault="008F384B">
      <w:pPr>
        <w:spacing w:line="458" w:lineRule="auto"/>
        <w:ind w:left="85" w:right="4704"/>
        <w:rPr>
          <w:b/>
          <w:bCs/>
          <w:sz w:val="49"/>
          <w:szCs w:val="49"/>
        </w:rPr>
      </w:pPr>
      <w:bookmarkStart w:id="52" w:name="xt1nul60gvtd" w:colFirst="0" w:colLast="0"/>
      <w:bookmarkStart w:id="53" w:name="_782blh2d41sb" w:colFirst="0" w:colLast="0"/>
      <w:bookmarkEnd w:id="52"/>
      <w:bookmarkEnd w:id="53"/>
    </w:p>
    <w:p w14:paraId="14867D40" w14:textId="77777777" w:rsidR="008F384B" w:rsidRDefault="008F384B">
      <w:pPr>
        <w:spacing w:line="458" w:lineRule="auto"/>
        <w:ind w:left="85" w:right="4704"/>
        <w:rPr>
          <w:b/>
          <w:bCs/>
          <w:sz w:val="49"/>
          <w:szCs w:val="49"/>
        </w:rPr>
      </w:pPr>
    </w:p>
    <w:p w14:paraId="6BE25AF5" w14:textId="77777777" w:rsidR="008F384B" w:rsidRDefault="008F384B">
      <w:pPr>
        <w:spacing w:line="458" w:lineRule="auto"/>
        <w:ind w:left="85" w:right="4704"/>
        <w:rPr>
          <w:b/>
          <w:bCs/>
          <w:sz w:val="49"/>
          <w:szCs w:val="49"/>
        </w:rPr>
      </w:pPr>
    </w:p>
    <w:p w14:paraId="502079F9" w14:textId="77777777" w:rsidR="008F384B" w:rsidRDefault="008F384B">
      <w:pPr>
        <w:spacing w:line="458" w:lineRule="auto"/>
        <w:ind w:left="85" w:right="4704"/>
        <w:rPr>
          <w:b/>
          <w:bCs/>
          <w:sz w:val="49"/>
          <w:szCs w:val="49"/>
        </w:rPr>
      </w:pPr>
    </w:p>
    <w:p w14:paraId="1B9A732B" w14:textId="77777777" w:rsidR="008F384B" w:rsidRDefault="008F384B">
      <w:pPr>
        <w:spacing w:line="458" w:lineRule="auto"/>
        <w:ind w:left="85" w:right="4704"/>
        <w:rPr>
          <w:b/>
          <w:bCs/>
          <w:sz w:val="49"/>
          <w:szCs w:val="49"/>
        </w:rPr>
      </w:pPr>
    </w:p>
    <w:p w14:paraId="49972247" w14:textId="77777777" w:rsidR="008F384B" w:rsidRDefault="008F384B">
      <w:pPr>
        <w:spacing w:line="458" w:lineRule="auto"/>
        <w:ind w:left="85" w:right="4704"/>
        <w:rPr>
          <w:b/>
          <w:bCs/>
          <w:sz w:val="49"/>
          <w:szCs w:val="49"/>
        </w:rPr>
      </w:pPr>
    </w:p>
    <w:p w14:paraId="2AA5C084" w14:textId="77777777" w:rsidR="008F384B" w:rsidRDefault="008F384B">
      <w:pPr>
        <w:spacing w:line="458" w:lineRule="auto"/>
        <w:ind w:left="85" w:right="4704"/>
        <w:rPr>
          <w:b/>
          <w:bCs/>
          <w:sz w:val="49"/>
          <w:szCs w:val="49"/>
        </w:rPr>
      </w:pPr>
    </w:p>
    <w:p w14:paraId="27DEC1F0" w14:textId="460AE2A5" w:rsidR="00A271CD" w:rsidRDefault="006A4981">
      <w:pPr>
        <w:spacing w:line="458" w:lineRule="auto"/>
        <w:ind w:left="85" w:right="4704"/>
        <w:rPr>
          <w:b/>
          <w:bCs/>
          <w:sz w:val="49"/>
          <w:szCs w:val="49"/>
        </w:rPr>
      </w:pPr>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6-04T10:46:00Z" w:initials="TK">
    <w:p w14:paraId="2553D8A3" w14:textId="77777777" w:rsidR="00633AA8" w:rsidRDefault="00000000" w:rsidP="00633AA8">
      <w:pPr>
        <w:pStyle w:val="aa"/>
      </w:pPr>
      <w:r>
        <w:annotationRef/>
      </w:r>
      <w:r w:rsidR="00633AA8">
        <w:rPr>
          <w:rFonts w:hint="eastAsia"/>
        </w:rPr>
        <w:t>목차의</w:t>
      </w:r>
      <w:r w:rsidR="00633AA8">
        <w:rPr>
          <w:rFonts w:hint="eastAsia"/>
        </w:rPr>
        <w:t xml:space="preserve"> </w:t>
      </w:r>
      <w:r w:rsidR="00633AA8">
        <w:rPr>
          <w:rFonts w:hint="eastAsia"/>
        </w:rPr>
        <w:t>오래된</w:t>
      </w:r>
      <w:r w:rsidR="00633AA8">
        <w:rPr>
          <w:rFonts w:hint="eastAsia"/>
        </w:rPr>
        <w:t xml:space="preserve"> Literature Review/Scholarly References </w:t>
      </w:r>
      <w:r w:rsidR="00633AA8">
        <w:rPr>
          <w:rFonts w:hint="eastAsia"/>
        </w:rPr>
        <w:t>항목을</w:t>
      </w:r>
      <w:r w:rsidR="00633AA8">
        <w:rPr>
          <w:rFonts w:hint="eastAsia"/>
        </w:rPr>
        <w:t xml:space="preserve"> </w:t>
      </w:r>
      <w:r w:rsidR="00633AA8">
        <w:rPr>
          <w:rFonts w:hint="eastAsia"/>
        </w:rPr>
        <w:t>새</w:t>
      </w:r>
      <w:r w:rsidR="00633AA8">
        <w:rPr>
          <w:rFonts w:hint="eastAsia"/>
        </w:rPr>
        <w:t xml:space="preserve"> </w:t>
      </w:r>
      <w:r w:rsidR="00633AA8">
        <w:rPr>
          <w:rFonts w:hint="eastAsia"/>
        </w:rPr>
        <w:t>구조에</w:t>
      </w:r>
      <w:r w:rsidR="00633AA8">
        <w:rPr>
          <w:rFonts w:hint="eastAsia"/>
        </w:rPr>
        <w:t xml:space="preserve"> </w:t>
      </w:r>
      <w:r w:rsidR="00633AA8">
        <w:rPr>
          <w:rFonts w:hint="eastAsia"/>
        </w:rPr>
        <w:t>맞게</w:t>
      </w:r>
      <w:r w:rsidR="00633AA8">
        <w:rPr>
          <w:rFonts w:hint="eastAsia"/>
        </w:rPr>
        <w:t xml:space="preserve"> Dissertation/Thesis Outline </w:t>
      </w:r>
      <w:r w:rsidR="00633AA8">
        <w:rPr>
          <w:rFonts w:hint="eastAsia"/>
        </w:rPr>
        <w:t>및</w:t>
      </w:r>
      <w:r w:rsidR="00633AA8">
        <w:rPr>
          <w:rFonts w:hint="eastAsia"/>
        </w:rPr>
        <w:t xml:space="preserve"> References</w:t>
      </w:r>
      <w:r w:rsidR="00633AA8">
        <w:rPr>
          <w:rFonts w:hint="eastAsia"/>
        </w:rPr>
        <w:t>로</w:t>
      </w:r>
      <w:r w:rsidR="00633AA8">
        <w:rPr>
          <w:rFonts w:hint="eastAsia"/>
        </w:rPr>
        <w:t xml:space="preserve"> </w:t>
      </w:r>
      <w:r w:rsidR="00633AA8">
        <w:rPr>
          <w:rFonts w:hint="eastAsia"/>
        </w:rPr>
        <w:t>정리했습니다</w:t>
      </w:r>
      <w:r w:rsidR="00633AA8">
        <w:rPr>
          <w:rFonts w:hint="eastAsia"/>
        </w:rPr>
        <w:t>.</w:t>
      </w:r>
    </w:p>
  </w:comment>
  <w:comment w:id="7" w:author="Taehong Kwon" w:date="2026-06-04T10:46:00Z" w:initials="TK">
    <w:p w14:paraId="1659F4F0" w14:textId="004C6FCD" w:rsidR="004002E6" w:rsidRDefault="00000000">
      <w:r>
        <w:annotationRef/>
      </w:r>
      <w:r>
        <w:t>가이드라인의</w:t>
      </w:r>
      <w:r>
        <w:t xml:space="preserve"> SPICE </w:t>
      </w:r>
      <w:r>
        <w:t>요구사항을</w:t>
      </w:r>
      <w:r>
        <w:t xml:space="preserve"> </w:t>
      </w:r>
      <w:r>
        <w:t>충족하도록</w:t>
      </w:r>
      <w:r>
        <w:t xml:space="preserve"> </w:t>
      </w:r>
      <w:r>
        <w:t>연구</w:t>
      </w:r>
      <w:r>
        <w:t xml:space="preserve"> </w:t>
      </w:r>
      <w:r>
        <w:t>질문의</w:t>
      </w:r>
      <w:r>
        <w:t xml:space="preserve"> Setting, Perspective, Intervention, Comparison, Evaluation</w:t>
      </w:r>
      <w:r>
        <w:t>을</w:t>
      </w:r>
      <w:r>
        <w:t xml:space="preserve"> </w:t>
      </w:r>
      <w:r>
        <w:t>명시했습니다</w:t>
      </w:r>
      <w:r>
        <w:t>.</w:t>
      </w:r>
    </w:p>
  </w:comment>
  <w:comment w:id="10" w:author="Taehong Kwon" w:date="2026-06-04T10:46:00Z" w:initials="TK">
    <w:p w14:paraId="14164899" w14:textId="77777777" w:rsidR="004002E6" w:rsidRDefault="00000000">
      <w:r>
        <w:annotationRef/>
      </w:r>
      <w:r>
        <w:t>목표가</w:t>
      </w:r>
      <w:r>
        <w:t xml:space="preserve"> SMART </w:t>
      </w:r>
      <w:r>
        <w:t>기준에</w:t>
      </w:r>
      <w:r>
        <w:t xml:space="preserve"> </w:t>
      </w:r>
      <w:r>
        <w:t>맞는지</w:t>
      </w:r>
      <w:r>
        <w:t xml:space="preserve"> </w:t>
      </w:r>
      <w:r>
        <w:t>심사자가</w:t>
      </w:r>
      <w:r>
        <w:t xml:space="preserve"> </w:t>
      </w:r>
      <w:r>
        <w:t>바로</w:t>
      </w:r>
      <w:r>
        <w:t xml:space="preserve"> </w:t>
      </w:r>
      <w:r>
        <w:t>확인할</w:t>
      </w:r>
      <w:r>
        <w:t xml:space="preserve"> </w:t>
      </w:r>
      <w:r>
        <w:t>수</w:t>
      </w:r>
      <w:r>
        <w:t xml:space="preserve"> </w:t>
      </w:r>
      <w:r>
        <w:t>있도록</w:t>
      </w:r>
      <w:r>
        <w:t xml:space="preserve"> </w:t>
      </w:r>
      <w:r>
        <w:t>구체성</w:t>
      </w:r>
      <w:r>
        <w:t xml:space="preserve">, </w:t>
      </w:r>
      <w:r>
        <w:t>측정</w:t>
      </w:r>
      <w:r>
        <w:t xml:space="preserve"> </w:t>
      </w:r>
      <w:r>
        <w:t>가능성</w:t>
      </w:r>
      <w:r>
        <w:t xml:space="preserve">, </w:t>
      </w:r>
      <w:r>
        <w:t>실행</w:t>
      </w:r>
      <w:r>
        <w:t xml:space="preserve"> </w:t>
      </w:r>
      <w:r>
        <w:t>가능성</w:t>
      </w:r>
      <w:r>
        <w:t xml:space="preserve">, </w:t>
      </w:r>
      <w:r>
        <w:t>현실성</w:t>
      </w:r>
      <w:r>
        <w:t xml:space="preserve">, </w:t>
      </w:r>
      <w:r>
        <w:t>시간성을</w:t>
      </w:r>
      <w:r>
        <w:t xml:space="preserve"> </w:t>
      </w:r>
      <w:r>
        <w:t>연결했습니다</w:t>
      </w:r>
      <w:r>
        <w:t>.</w:t>
      </w:r>
    </w:p>
  </w:comment>
  <w:comment w:id="11" w:author="Taehong Kwon" w:date="2026-06-04T10:46:00Z" w:initials="TK">
    <w:p w14:paraId="10F8751E" w14:textId="77777777" w:rsidR="004002E6" w:rsidRDefault="00000000">
      <w:r>
        <w:annotationRef/>
      </w:r>
      <w:r>
        <w:t>삽입</w:t>
      </w:r>
      <w:r>
        <w:t xml:space="preserve"> </w:t>
      </w:r>
      <w:r>
        <w:t>이미지</w:t>
      </w:r>
      <w:r>
        <w:t xml:space="preserve"> </w:t>
      </w:r>
      <w:r>
        <w:t>수식을</w:t>
      </w:r>
      <w:r>
        <w:t xml:space="preserve"> </w:t>
      </w:r>
      <w:r>
        <w:t>확인한</w:t>
      </w:r>
      <w:r>
        <w:t xml:space="preserve"> </w:t>
      </w:r>
      <w:r>
        <w:t>뒤</w:t>
      </w:r>
      <w:r>
        <w:t xml:space="preserve">, </w:t>
      </w:r>
      <w:r>
        <w:t>전이확률</w:t>
      </w:r>
      <w:r>
        <w:t xml:space="preserve"> </w:t>
      </w:r>
      <w:r>
        <w:t>정규화식의</w:t>
      </w:r>
      <w:r>
        <w:t xml:space="preserve"> </w:t>
      </w:r>
      <w:r>
        <w:t>의미를</w:t>
      </w:r>
      <w:r>
        <w:t xml:space="preserve"> </w:t>
      </w:r>
      <w:r>
        <w:t>텍스트로도</w:t>
      </w:r>
      <w:r>
        <w:t xml:space="preserve"> </w:t>
      </w:r>
      <w:r>
        <w:t>설명해</w:t>
      </w:r>
      <w:r>
        <w:t xml:space="preserve"> </w:t>
      </w:r>
      <w:r>
        <w:t>가독성과</w:t>
      </w:r>
      <w:r>
        <w:t xml:space="preserve"> </w:t>
      </w:r>
      <w:r>
        <w:t>접근성을</w:t>
      </w:r>
      <w:r>
        <w:t xml:space="preserve"> </w:t>
      </w:r>
      <w:r>
        <w:t>높였습니다</w:t>
      </w:r>
      <w:r>
        <w:t>.</w:t>
      </w:r>
    </w:p>
  </w:comment>
  <w:comment w:id="33" w:author="Taehong Kwon" w:date="2026-06-04T10:46:00Z" w:initials="TK">
    <w:p w14:paraId="35EBCBE8" w14:textId="77777777" w:rsidR="004002E6" w:rsidRDefault="00000000">
      <w:r>
        <w:annotationRef/>
      </w:r>
      <w:r>
        <w:t>EIP-2612 permit</w:t>
      </w:r>
      <w:r>
        <w:t>은</w:t>
      </w:r>
      <w:r>
        <w:t xml:space="preserve"> </w:t>
      </w:r>
      <w:r>
        <w:t>별도</w:t>
      </w:r>
      <w:r>
        <w:t xml:space="preserve"> </w:t>
      </w:r>
      <w:r>
        <w:t>표준</w:t>
      </w:r>
      <w:r>
        <w:t xml:space="preserve"> </w:t>
      </w:r>
      <w:r>
        <w:t>이벤트가</w:t>
      </w:r>
      <w:r>
        <w:t xml:space="preserve"> </w:t>
      </w:r>
      <w:r>
        <w:t>아니라</w:t>
      </w:r>
      <w:r>
        <w:t xml:space="preserve"> </w:t>
      </w:r>
      <w:r>
        <w:t>최종적으로</w:t>
      </w:r>
      <w:r>
        <w:t xml:space="preserve"> Approval </w:t>
      </w:r>
      <w:r>
        <w:t>이벤트를</w:t>
      </w:r>
      <w:r>
        <w:t xml:space="preserve"> </w:t>
      </w:r>
      <w:r>
        <w:t>발생시키는</w:t>
      </w:r>
      <w:r>
        <w:t xml:space="preserve"> </w:t>
      </w:r>
      <w:r>
        <w:t>흐름일</w:t>
      </w:r>
      <w:r>
        <w:t xml:space="preserve"> </w:t>
      </w:r>
      <w:r>
        <w:t>수</w:t>
      </w:r>
      <w:r>
        <w:t xml:space="preserve"> </w:t>
      </w:r>
      <w:r>
        <w:t>있으므로</w:t>
      </w:r>
      <w:r>
        <w:t xml:space="preserve">, </w:t>
      </w:r>
      <w:r>
        <w:t>데이터</w:t>
      </w:r>
      <w:r>
        <w:t xml:space="preserve"> </w:t>
      </w:r>
      <w:r>
        <w:t>추출</w:t>
      </w:r>
      <w:r>
        <w:t xml:space="preserve"> </w:t>
      </w:r>
      <w:r>
        <w:t>표현을</w:t>
      </w:r>
      <w:r>
        <w:t xml:space="preserve"> </w:t>
      </w:r>
      <w:r>
        <w:t>더</w:t>
      </w:r>
      <w:r>
        <w:t xml:space="preserve"> </w:t>
      </w:r>
      <w:r>
        <w:t>정확하게</w:t>
      </w:r>
      <w:r>
        <w:t xml:space="preserve"> </w:t>
      </w:r>
      <w:r>
        <w:t>조정했습니다</w:t>
      </w:r>
      <w:r>
        <w:t>.</w:t>
      </w:r>
    </w:p>
  </w:comment>
  <w:comment w:id="34" w:author="Taehong Kwon" w:date="2026-06-04T10:46:00Z" w:initials="TK">
    <w:p w14:paraId="31FA5135" w14:textId="77777777" w:rsidR="004002E6" w:rsidRDefault="00000000">
      <w:r>
        <w:annotationRef/>
      </w:r>
      <w:r>
        <w:t>default label</w:t>
      </w:r>
      <w:r>
        <w:t>을</w:t>
      </w:r>
      <w:r>
        <w:t xml:space="preserve"> Aave V3 liquidation</w:t>
      </w:r>
      <w:r>
        <w:t>으로</w:t>
      </w:r>
      <w:r>
        <w:t xml:space="preserve"> </w:t>
      </w:r>
      <w:r>
        <w:t>운용하되</w:t>
      </w:r>
      <w:r>
        <w:t xml:space="preserve">, feature window </w:t>
      </w:r>
      <w:r>
        <w:t>이후의</w:t>
      </w:r>
      <w:r>
        <w:t xml:space="preserve"> outcome</w:t>
      </w:r>
      <w:r>
        <w:t>으로</w:t>
      </w:r>
      <w:r>
        <w:t xml:space="preserve"> </w:t>
      </w:r>
      <w:r>
        <w:t>분리해</w:t>
      </w:r>
      <w:r>
        <w:t xml:space="preserve"> look-ahead bias</w:t>
      </w:r>
      <w:r>
        <w:t>를</w:t>
      </w:r>
      <w:r>
        <w:t xml:space="preserve"> </w:t>
      </w:r>
      <w:r>
        <w:t>줄이도록</w:t>
      </w:r>
      <w:r>
        <w:t xml:space="preserve"> </w:t>
      </w:r>
      <w:r>
        <w:t>보강했습니다</w:t>
      </w:r>
      <w:r>
        <w:t>.</w:t>
      </w:r>
    </w:p>
  </w:comment>
  <w:comment w:id="35" w:author="Taehong Kwon" w:date="2026-06-04T10:46:00Z" w:initials="TK">
    <w:p w14:paraId="6B0A347E" w14:textId="77777777" w:rsidR="004002E6" w:rsidRDefault="00000000">
      <w:r>
        <w:annotationRef/>
      </w:r>
      <w:r>
        <w:t>표본</w:t>
      </w:r>
      <w:r>
        <w:t xml:space="preserve"> </w:t>
      </w:r>
      <w:r>
        <w:t>기준과</w:t>
      </w:r>
      <w:r>
        <w:t xml:space="preserve"> benchmark sample</w:t>
      </w:r>
      <w:r>
        <w:t>의</w:t>
      </w:r>
      <w:r>
        <w:t xml:space="preserve"> </w:t>
      </w:r>
      <w:r>
        <w:t>재현</w:t>
      </w:r>
      <w:r>
        <w:t xml:space="preserve"> </w:t>
      </w:r>
      <w:r>
        <w:t>가능성을</w:t>
      </w:r>
      <w:r>
        <w:t xml:space="preserve"> </w:t>
      </w:r>
      <w:r>
        <w:t>명시했습니다</w:t>
      </w:r>
      <w:r>
        <w:t xml:space="preserve">. 50k/100k/200k </w:t>
      </w:r>
      <w:r>
        <w:t>비교도</w:t>
      </w:r>
      <w:r>
        <w:t xml:space="preserve"> scalability robustness check</w:t>
      </w:r>
      <w:r>
        <w:t>와</w:t>
      </w:r>
      <w:r>
        <w:t xml:space="preserve"> </w:t>
      </w:r>
      <w:r>
        <w:t>연결됩니다</w:t>
      </w:r>
      <w:r>
        <w:t>.</w:t>
      </w:r>
    </w:p>
  </w:comment>
  <w:comment w:id="36" w:author="Taehong Kwon" w:date="2026-06-04T10:46:00Z" w:initials="TK">
    <w:p w14:paraId="018CC89A" w14:textId="77777777" w:rsidR="004002E6" w:rsidRDefault="00000000">
      <w:r>
        <w:annotationRef/>
      </w:r>
      <w:r>
        <w:t>토큰</w:t>
      </w:r>
      <w:r>
        <w:t xml:space="preserve"> decimals</w:t>
      </w:r>
      <w:r>
        <w:t>와</w:t>
      </w:r>
      <w:r>
        <w:t xml:space="preserve"> </w:t>
      </w:r>
      <w:r>
        <w:t>경제적</w:t>
      </w:r>
      <w:r>
        <w:t xml:space="preserve"> </w:t>
      </w:r>
      <w:r>
        <w:t>스케일</w:t>
      </w:r>
      <w:r>
        <w:t xml:space="preserve"> </w:t>
      </w:r>
      <w:r>
        <w:t>차이가</w:t>
      </w:r>
      <w:r>
        <w:t xml:space="preserve"> allowance weight</w:t>
      </w:r>
      <w:r>
        <w:t>를</w:t>
      </w:r>
      <w:r>
        <w:t xml:space="preserve"> </w:t>
      </w:r>
      <w:r>
        <w:t>왜곡할</w:t>
      </w:r>
      <w:r>
        <w:t xml:space="preserve"> </w:t>
      </w:r>
      <w:r>
        <w:t>수</w:t>
      </w:r>
      <w:r>
        <w:t xml:space="preserve"> </w:t>
      </w:r>
      <w:r>
        <w:t>있어</w:t>
      </w:r>
      <w:r>
        <w:t xml:space="preserve"> normalization </w:t>
      </w:r>
      <w:r>
        <w:t>및</w:t>
      </w:r>
      <w:r>
        <w:t xml:space="preserve"> sensitivity check </w:t>
      </w:r>
      <w:r>
        <w:t>계획을</w:t>
      </w:r>
      <w:r>
        <w:t xml:space="preserve"> </w:t>
      </w:r>
      <w:r>
        <w:t>추가했습니다</w:t>
      </w:r>
      <w:r>
        <w:t>.</w:t>
      </w:r>
    </w:p>
  </w:comment>
  <w:comment w:id="37" w:author="Taehong Kwon" w:date="2026-06-04T10:46:00Z" w:initials="TK">
    <w:p w14:paraId="26B1CA15" w14:textId="77777777" w:rsidR="004002E6" w:rsidRDefault="00000000">
      <w:r>
        <w:annotationRef/>
      </w:r>
      <w:r>
        <w:t>예측</w:t>
      </w:r>
      <w:r>
        <w:t xml:space="preserve"> </w:t>
      </w:r>
      <w:r>
        <w:t>성능</w:t>
      </w:r>
      <w:r>
        <w:t xml:space="preserve"> </w:t>
      </w:r>
      <w:r>
        <w:t>평가가</w:t>
      </w:r>
      <w:r>
        <w:t xml:space="preserve"> </w:t>
      </w:r>
      <w:r>
        <w:t>미래</w:t>
      </w:r>
      <w:r>
        <w:t xml:space="preserve"> </w:t>
      </w:r>
      <w:r>
        <w:t>정보를</w:t>
      </w:r>
      <w:r>
        <w:t xml:space="preserve"> </w:t>
      </w:r>
      <w:r>
        <w:t>사용하지</w:t>
      </w:r>
      <w:r>
        <w:t xml:space="preserve"> </w:t>
      </w:r>
      <w:r>
        <w:t>않도록</w:t>
      </w:r>
      <w:r>
        <w:t xml:space="preserve"> temporal validation</w:t>
      </w:r>
      <w:r>
        <w:t>과</w:t>
      </w:r>
      <w:r>
        <w:t xml:space="preserve"> outcome window </w:t>
      </w:r>
      <w:r>
        <w:t>분리를</w:t>
      </w:r>
      <w:r>
        <w:t xml:space="preserve"> </w:t>
      </w:r>
      <w:r>
        <w:t>추가했습니다</w:t>
      </w:r>
      <w:r>
        <w:t>.</w:t>
      </w:r>
    </w:p>
  </w:comment>
  <w:comment w:id="43" w:author="Taehong Kwon" w:date="2026-06-04T10:46:00Z" w:initials="TK">
    <w:p w14:paraId="0DA23FDE" w14:textId="77777777" w:rsidR="004002E6" w:rsidRDefault="00000000">
      <w:r>
        <w:annotationRef/>
      </w:r>
      <w:r>
        <w:t>가이드라인에서</w:t>
      </w:r>
      <w:r>
        <w:t xml:space="preserve"> </w:t>
      </w:r>
      <w:r>
        <w:t>요구한</w:t>
      </w:r>
      <w:r>
        <w:t xml:space="preserve"> </w:t>
      </w:r>
      <w:r>
        <w:t>기관</w:t>
      </w:r>
      <w:r>
        <w:t>/</w:t>
      </w:r>
      <w:r>
        <w:t>대학</w:t>
      </w:r>
      <w:r>
        <w:t xml:space="preserve"> </w:t>
      </w:r>
      <w:r>
        <w:t>윤리</w:t>
      </w:r>
      <w:r>
        <w:t xml:space="preserve"> </w:t>
      </w:r>
      <w:r>
        <w:t>승인</w:t>
      </w:r>
      <w:r>
        <w:t xml:space="preserve"> </w:t>
      </w:r>
      <w:r>
        <w:t>절차를</w:t>
      </w:r>
      <w:r>
        <w:t xml:space="preserve"> </w:t>
      </w:r>
      <w:r>
        <w:t>구체화했습니다</w:t>
      </w:r>
      <w:r>
        <w:t xml:space="preserve">. </w:t>
      </w:r>
      <w:r>
        <w:t>공개</w:t>
      </w:r>
      <w:r>
        <w:t xml:space="preserve"> </w:t>
      </w:r>
      <w:r>
        <w:t>블록체인</w:t>
      </w:r>
      <w:r>
        <w:t xml:space="preserve"> </w:t>
      </w:r>
      <w:r>
        <w:t>데이터라도</w:t>
      </w:r>
      <w:r>
        <w:t xml:space="preserve"> UNISA ethics clearance </w:t>
      </w:r>
      <w:r>
        <w:t>또는</w:t>
      </w:r>
      <w:r>
        <w:t xml:space="preserve"> exemption </w:t>
      </w:r>
      <w:r>
        <w:t>확인이</w:t>
      </w:r>
      <w:r>
        <w:t xml:space="preserve"> </w:t>
      </w:r>
      <w:r>
        <w:t>필요합니다</w:t>
      </w:r>
      <w:r>
        <w:t>.</w:t>
      </w:r>
    </w:p>
  </w:comment>
  <w:comment w:id="45" w:author="Taehong Kwon" w:date="2026-06-04T10:46:00Z" w:initials="TK">
    <w:p w14:paraId="2478D445" w14:textId="77777777" w:rsidR="004002E6" w:rsidRDefault="00000000">
      <w:r>
        <w:annotationRef/>
      </w:r>
      <w:r>
        <w:t xml:space="preserve">PhD proposal </w:t>
      </w:r>
      <w:r>
        <w:t>평가기준에</w:t>
      </w:r>
      <w:r>
        <w:t xml:space="preserve"> </w:t>
      </w:r>
      <w:r>
        <w:t>맞춰</w:t>
      </w:r>
      <w:r>
        <w:t xml:space="preserve"> </w:t>
      </w:r>
      <w:r>
        <w:t>독창적</w:t>
      </w:r>
      <w:r>
        <w:t xml:space="preserve"> </w:t>
      </w:r>
      <w:r>
        <w:t>학술</w:t>
      </w:r>
      <w:r>
        <w:t xml:space="preserve"> </w:t>
      </w:r>
      <w:r>
        <w:t>기여를</w:t>
      </w:r>
      <w:r>
        <w:t xml:space="preserve"> </w:t>
      </w:r>
      <w:r>
        <w:t>명시적으로</w:t>
      </w:r>
      <w:r>
        <w:t xml:space="preserve"> </w:t>
      </w:r>
      <w:r>
        <w:t>표현했습니다</w:t>
      </w:r>
      <w:r>
        <w:t>.</w:t>
      </w:r>
    </w:p>
  </w:comment>
  <w:comment w:id="48" w:author="Taehong Kwon" w:date="2026-06-04T10:46:00Z" w:initials="TK">
    <w:p w14:paraId="4A742821" w14:textId="77777777" w:rsidR="004002E6" w:rsidRDefault="00000000">
      <w:r>
        <w:annotationRef/>
      </w:r>
      <w:r>
        <w:t>가이드라인이</w:t>
      </w:r>
      <w:r>
        <w:t xml:space="preserve"> </w:t>
      </w:r>
      <w:r>
        <w:t>요구하는</w:t>
      </w:r>
      <w:r>
        <w:t xml:space="preserve"> dissertation/thesis blueprint</w:t>
      </w:r>
      <w:r>
        <w:t>를</w:t>
      </w:r>
      <w:r>
        <w:t xml:space="preserve"> </w:t>
      </w:r>
      <w:r>
        <w:t>추가했습니다</w:t>
      </w:r>
      <w:r>
        <w:t xml:space="preserve">. </w:t>
      </w:r>
      <w:r>
        <w:t>이어지는</w:t>
      </w:r>
      <w:r>
        <w:t xml:space="preserve"> Chapter 1-6 </w:t>
      </w:r>
      <w:r>
        <w:t>개요가</w:t>
      </w:r>
      <w:r>
        <w:t xml:space="preserve"> </w:t>
      </w:r>
      <w:r>
        <w:t>최종</w:t>
      </w:r>
      <w:r>
        <w:t xml:space="preserve"> </w:t>
      </w:r>
      <w:r>
        <w:t>논문</w:t>
      </w:r>
      <w:r>
        <w:t xml:space="preserve"> </w:t>
      </w:r>
      <w:r>
        <w:t>구조를</w:t>
      </w:r>
      <w:r>
        <w:t xml:space="preserve"> </w:t>
      </w:r>
      <w:r>
        <w:t>설명합니다</w:t>
      </w:r>
      <w:r>
        <w:t>.</w:t>
      </w:r>
    </w:p>
  </w:comment>
  <w:comment w:id="51" w:author="Taehong Kwon" w:date="2026-06-04T10:46:00Z" w:initials="TK">
    <w:p w14:paraId="65346000" w14:textId="77777777" w:rsidR="004002E6" w:rsidRDefault="00000000">
      <w:r>
        <w:annotationRef/>
      </w:r>
      <w:r>
        <w:t>참고문헌</w:t>
      </w:r>
      <w:r>
        <w:t xml:space="preserve"> </w:t>
      </w:r>
      <w:r>
        <w:t>섹션을</w:t>
      </w:r>
      <w:r>
        <w:t xml:space="preserve"> APA</w:t>
      </w:r>
      <w:r>
        <w:t>식</w:t>
      </w:r>
      <w:r>
        <w:t xml:space="preserve"> References</w:t>
      </w:r>
      <w:r>
        <w:t>로</w:t>
      </w:r>
      <w:r>
        <w:t xml:space="preserve"> </w:t>
      </w:r>
      <w:r>
        <w:t>통합하고</w:t>
      </w:r>
      <w:r>
        <w:t xml:space="preserve"> </w:t>
      </w:r>
      <w:r>
        <w:t>숫자식</w:t>
      </w:r>
      <w:r>
        <w:t xml:space="preserve"> </w:t>
      </w:r>
      <w:r>
        <w:t>인용</w:t>
      </w:r>
      <w:r>
        <w:t xml:space="preserve"> </w:t>
      </w:r>
      <w:r>
        <w:t>표기를</w:t>
      </w:r>
      <w:r>
        <w:t xml:space="preserve"> </w:t>
      </w:r>
      <w:r>
        <w:t>제거했습니다</w:t>
      </w:r>
      <w:r>
        <w:t xml:space="preserve">. </w:t>
      </w:r>
      <w:r>
        <w:t>제출</w:t>
      </w:r>
      <w:r>
        <w:t xml:space="preserve"> </w:t>
      </w:r>
      <w:r>
        <w:t>전</w:t>
      </w:r>
      <w:r>
        <w:t xml:space="preserve"> </w:t>
      </w:r>
      <w:r>
        <w:t>세부</w:t>
      </w:r>
      <w:r>
        <w:t xml:space="preserve"> APA 7</w:t>
      </w:r>
      <w:r>
        <w:t>판</w:t>
      </w:r>
      <w:r>
        <w:t xml:space="preserve"> </w:t>
      </w:r>
      <w:r>
        <w:t>형식은</w:t>
      </w:r>
      <w:r>
        <w:t xml:space="preserve"> </w:t>
      </w:r>
      <w:r>
        <w:t>한</w:t>
      </w:r>
      <w:r>
        <w:t xml:space="preserve"> </w:t>
      </w:r>
      <w:r>
        <w:t>번</w:t>
      </w:r>
      <w:r>
        <w:t xml:space="preserve"> </w:t>
      </w:r>
      <w:r>
        <w:t>더</w:t>
      </w:r>
      <w:r>
        <w:t xml:space="preserve"> </w:t>
      </w:r>
      <w:r>
        <w:t>수동</w:t>
      </w:r>
      <w:r>
        <w:t xml:space="preserve"> </w:t>
      </w:r>
      <w:r>
        <w:t>점검하는</w:t>
      </w:r>
      <w:r>
        <w:t xml:space="preserve"> </w:t>
      </w:r>
      <w:r>
        <w:t>것이</w:t>
      </w:r>
      <w:r>
        <w:t xml:space="preserve"> </w:t>
      </w:r>
      <w:r>
        <w:t>좋습니다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3D8A3" w15:done="0"/>
  <w15:commentEx w15:paraId="1659F4F0" w15:done="0"/>
  <w15:commentEx w15:paraId="14164899" w15:done="0"/>
  <w15:commentEx w15:paraId="10F8751E" w15:done="0"/>
  <w15:commentEx w15:paraId="35EBCBE8" w15:done="0"/>
  <w15:commentEx w15:paraId="31FA5135" w15:done="0"/>
  <w15:commentEx w15:paraId="6B0A347E" w15:done="0"/>
  <w15:commentEx w15:paraId="018CC89A" w15:done="0"/>
  <w15:commentEx w15:paraId="26B1CA15" w15:done="0"/>
  <w15:commentEx w15:paraId="0DA23FDE" w15:done="0"/>
  <w15:commentEx w15:paraId="2478D445" w15:done="0"/>
  <w15:commentEx w15:paraId="4A742821" w15:done="0"/>
  <w15:commentEx w15:paraId="65346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3D8A3" w16cid:durableId="2553D8A3"/>
  <w16cid:commentId w16cid:paraId="1659F4F0" w16cid:durableId="1659F4F0"/>
  <w16cid:commentId w16cid:paraId="14164899" w16cid:durableId="14164899"/>
  <w16cid:commentId w16cid:paraId="10F8751E" w16cid:durableId="10F8751E"/>
  <w16cid:commentId w16cid:paraId="35EBCBE8" w16cid:durableId="35EBCBE8"/>
  <w16cid:commentId w16cid:paraId="31FA5135" w16cid:durableId="31FA5135"/>
  <w16cid:commentId w16cid:paraId="6B0A347E" w16cid:durableId="6B0A347E"/>
  <w16cid:commentId w16cid:paraId="018CC89A" w16cid:durableId="018CC89A"/>
  <w16cid:commentId w16cid:paraId="26B1CA15" w16cid:durableId="26B1CA15"/>
  <w16cid:commentId w16cid:paraId="0DA23FDE" w16cid:durableId="0DA23FDE"/>
  <w16cid:commentId w16cid:paraId="2478D445" w16cid:durableId="2478D445"/>
  <w16cid:commentId w16cid:paraId="4A742821" w16cid:durableId="4A742821"/>
  <w16cid:commentId w16cid:paraId="65346000" w16cid:durableId="65346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7BCE" w14:textId="77777777" w:rsidR="00742FEC" w:rsidRDefault="00742FEC">
      <w:r>
        <w:separator/>
      </w:r>
    </w:p>
  </w:endnote>
  <w:endnote w:type="continuationSeparator" w:id="0">
    <w:p w14:paraId="0EC3A5E7" w14:textId="77777777" w:rsidR="00742FEC" w:rsidRDefault="00742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58DE21-CBD6-428D-902C-9FD90ECFD9A2}"/>
    <w:embedBold r:id="rId2" w:fontKey="{BFF00142-0E6B-4D67-B836-7E86736B7CFA}"/>
    <w:embedItalic r:id="rId3" w:fontKey="{05D03D3E-B7B1-4479-92C3-01F7227D1736}"/>
    <w:embedBoldItalic r:id="rId4" w:fontKey="{88CF7689-4901-4503-A455-EF112DE8AD76}"/>
  </w:font>
  <w:font w:name="Cambria">
    <w:panose1 w:val="02040503050406030204"/>
    <w:charset w:val="00"/>
    <w:family w:val="roman"/>
    <w:pitch w:val="variable"/>
    <w:sig w:usb0="E00006FF" w:usb1="420024FF" w:usb2="02000000" w:usb3="00000000" w:csb0="0000019F" w:csb1="00000000"/>
    <w:embedRegular r:id="rId5" w:fontKey="{977258F8-4DC0-4E4C-952F-ADBE9A76E122}"/>
  </w:font>
  <w:font w:name="맑은 고딕">
    <w:panose1 w:val="020B0503020000020004"/>
    <w:charset w:val="81"/>
    <w:family w:val="modern"/>
    <w:pitch w:val="variable"/>
    <w:sig w:usb0="9000002F" w:usb1="29D77CFB" w:usb2="00000012" w:usb3="00000000" w:csb0="00080001" w:csb1="00000000"/>
    <w:embedRegular r:id="rId6" w:subsetted="1" w:fontKey="{44133D40-6F41-483C-A5D5-18BD6C342CA1}"/>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2BD66BD6-546A-4119-93CF-1DC24F0B79B4}"/>
  </w:font>
  <w:font w:name="Lucida Sans">
    <w:panose1 w:val="020B0602030504020204"/>
    <w:charset w:val="00"/>
    <w:family w:val="swiss"/>
    <w:pitch w:val="variable"/>
    <w:sig w:usb0="00000003" w:usb1="00000000" w:usb2="00000000" w:usb3="00000000" w:csb0="00000001" w:csb1="00000000"/>
    <w:embedRegular r:id="rId8" w:fontKey="{1B9ED5CB-7D35-4457-93E0-D6751DCA9456}"/>
  </w:font>
  <w:font w:name="SimSun-ExtB">
    <w:panose1 w:val="02010609060101010101"/>
    <w:charset w:val="86"/>
    <w:family w:val="modern"/>
    <w:pitch w:val="fixed"/>
    <w:sig w:usb0="00000003" w:usb1="0A0E0000" w:usb2="00000010" w:usb3="00000000" w:csb0="00040001" w:csb1="00000000"/>
    <w:embedRegular r:id="rId9" w:subsetted="1" w:fontKey="{EE78EB3D-3952-42CC-9A2D-A53DCC5D5845}"/>
  </w:font>
  <w:font w:name="Roboto">
    <w:charset w:val="00"/>
    <w:family w:val="auto"/>
    <w:pitch w:val="variable"/>
    <w:sig w:usb0="E0000AFF" w:usb1="5000217F" w:usb2="00000021" w:usb3="00000000" w:csb0="0000019F" w:csb1="00000000"/>
    <w:embedBoldItalic r:id="rId10" w:fontKey="{B6D9A455-6D7A-41BD-B74F-6118BD62E4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5"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6"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E9143" w14:textId="77777777" w:rsidR="00742FEC" w:rsidRDefault="00742FEC">
      <w:r>
        <w:separator/>
      </w:r>
    </w:p>
  </w:footnote>
  <w:footnote w:type="continuationSeparator" w:id="0">
    <w:p w14:paraId="02F5D13A" w14:textId="77777777" w:rsidR="00742FEC" w:rsidRDefault="00742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C6ECFAAE"/>
    <w:lvl w:ilvl="0" w:tplc="E348D8AC">
      <w:numFmt w:val="bullet"/>
      <w:lvlText w:val="-"/>
      <w:lvlJc w:val="left"/>
      <w:pPr>
        <w:ind w:left="800" w:hanging="360"/>
      </w:pPr>
      <w:rPr>
        <w:rFonts w:ascii="Calibri" w:eastAsiaTheme="minorEastAsia" w:hAnsi="Calibri" w:cs="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8"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9"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3"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4"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5"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6"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7"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8"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9"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0"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1"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4"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5"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6"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7"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9"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0"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1"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2"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3"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4"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5"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6"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7"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8"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9"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0"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1"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3"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2"/>
  </w:num>
  <w:num w:numId="2" w16cid:durableId="2034529912">
    <w:abstractNumId w:val="21"/>
  </w:num>
  <w:num w:numId="3" w16cid:durableId="842865704">
    <w:abstractNumId w:val="9"/>
  </w:num>
  <w:num w:numId="4" w16cid:durableId="1788112400">
    <w:abstractNumId w:val="40"/>
  </w:num>
  <w:num w:numId="5" w16cid:durableId="1245609707">
    <w:abstractNumId w:val="22"/>
  </w:num>
  <w:num w:numId="6" w16cid:durableId="599412909">
    <w:abstractNumId w:val="10"/>
  </w:num>
  <w:num w:numId="7" w16cid:durableId="1192107546">
    <w:abstractNumId w:val="28"/>
  </w:num>
  <w:num w:numId="8" w16cid:durableId="664363077">
    <w:abstractNumId w:val="23"/>
  </w:num>
  <w:num w:numId="9" w16cid:durableId="2049984939">
    <w:abstractNumId w:val="19"/>
  </w:num>
  <w:num w:numId="10" w16cid:durableId="809052620">
    <w:abstractNumId w:val="37"/>
  </w:num>
  <w:num w:numId="11" w16cid:durableId="1607687669">
    <w:abstractNumId w:val="2"/>
  </w:num>
  <w:num w:numId="12" w16cid:durableId="1683240558">
    <w:abstractNumId w:val="6"/>
  </w:num>
  <w:num w:numId="13" w16cid:durableId="1732268948">
    <w:abstractNumId w:val="25"/>
  </w:num>
  <w:num w:numId="14" w16cid:durableId="561256997">
    <w:abstractNumId w:val="13"/>
  </w:num>
  <w:num w:numId="15" w16cid:durableId="1109591764">
    <w:abstractNumId w:val="34"/>
  </w:num>
  <w:num w:numId="16" w16cid:durableId="1029791669">
    <w:abstractNumId w:val="0"/>
  </w:num>
  <w:num w:numId="17" w16cid:durableId="1989480551">
    <w:abstractNumId w:val="8"/>
  </w:num>
  <w:num w:numId="18" w16cid:durableId="265504578">
    <w:abstractNumId w:val="35"/>
  </w:num>
  <w:num w:numId="19" w16cid:durableId="293874030">
    <w:abstractNumId w:val="29"/>
  </w:num>
  <w:num w:numId="20" w16cid:durableId="1492527258">
    <w:abstractNumId w:val="24"/>
  </w:num>
  <w:num w:numId="21" w16cid:durableId="70125727">
    <w:abstractNumId w:val="26"/>
  </w:num>
  <w:num w:numId="22" w16cid:durableId="818616783">
    <w:abstractNumId w:val="16"/>
  </w:num>
  <w:num w:numId="23" w16cid:durableId="1556432927">
    <w:abstractNumId w:val="31"/>
  </w:num>
  <w:num w:numId="24" w16cid:durableId="1008870561">
    <w:abstractNumId w:val="1"/>
  </w:num>
  <w:num w:numId="25" w16cid:durableId="503783121">
    <w:abstractNumId w:val="30"/>
  </w:num>
  <w:num w:numId="26" w16cid:durableId="1557471479">
    <w:abstractNumId w:val="14"/>
  </w:num>
  <w:num w:numId="27" w16cid:durableId="352806372">
    <w:abstractNumId w:val="3"/>
  </w:num>
  <w:num w:numId="28" w16cid:durableId="517620652">
    <w:abstractNumId w:val="33"/>
  </w:num>
  <w:num w:numId="29" w16cid:durableId="504324604">
    <w:abstractNumId w:val="36"/>
  </w:num>
  <w:num w:numId="30" w16cid:durableId="2094692569">
    <w:abstractNumId w:val="20"/>
  </w:num>
  <w:num w:numId="31" w16cid:durableId="1509756413">
    <w:abstractNumId w:val="12"/>
  </w:num>
  <w:num w:numId="32" w16cid:durableId="943659314">
    <w:abstractNumId w:val="18"/>
  </w:num>
  <w:num w:numId="33" w16cid:durableId="16855335">
    <w:abstractNumId w:val="15"/>
  </w:num>
  <w:num w:numId="34" w16cid:durableId="1159883443">
    <w:abstractNumId w:val="7"/>
  </w:num>
  <w:num w:numId="35" w16cid:durableId="446968020">
    <w:abstractNumId w:val="39"/>
  </w:num>
  <w:num w:numId="36" w16cid:durableId="2108651610">
    <w:abstractNumId w:val="32"/>
  </w:num>
  <w:num w:numId="37" w16cid:durableId="528377940">
    <w:abstractNumId w:val="27"/>
  </w:num>
  <w:num w:numId="38" w16cid:durableId="571237718">
    <w:abstractNumId w:val="11"/>
  </w:num>
  <w:num w:numId="39" w16cid:durableId="405802155">
    <w:abstractNumId w:val="44"/>
  </w:num>
  <w:num w:numId="40" w16cid:durableId="1280917786">
    <w:abstractNumId w:val="5"/>
  </w:num>
  <w:num w:numId="41" w16cid:durableId="1325891150">
    <w:abstractNumId w:val="41"/>
  </w:num>
  <w:num w:numId="42" w16cid:durableId="1039166851">
    <w:abstractNumId w:val="17"/>
  </w:num>
  <w:num w:numId="43" w16cid:durableId="113521810">
    <w:abstractNumId w:val="43"/>
  </w:num>
  <w:num w:numId="44" w16cid:durableId="910385678">
    <w:abstractNumId w:val="38"/>
  </w:num>
  <w:num w:numId="45" w16cid:durableId="660811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5897"/>
    <w:rsid w:val="00092A58"/>
    <w:rsid w:val="000B78E5"/>
    <w:rsid w:val="000F0382"/>
    <w:rsid w:val="0012727E"/>
    <w:rsid w:val="00134A6C"/>
    <w:rsid w:val="00182528"/>
    <w:rsid w:val="00182BA1"/>
    <w:rsid w:val="001D72CA"/>
    <w:rsid w:val="00260C71"/>
    <w:rsid w:val="002F3C02"/>
    <w:rsid w:val="00306F1D"/>
    <w:rsid w:val="003226F8"/>
    <w:rsid w:val="00324BCE"/>
    <w:rsid w:val="003B08DA"/>
    <w:rsid w:val="003B651F"/>
    <w:rsid w:val="003D38CE"/>
    <w:rsid w:val="004002E6"/>
    <w:rsid w:val="0041720D"/>
    <w:rsid w:val="00430964"/>
    <w:rsid w:val="00446C98"/>
    <w:rsid w:val="00454B94"/>
    <w:rsid w:val="00465161"/>
    <w:rsid w:val="004C2D23"/>
    <w:rsid w:val="0053249F"/>
    <w:rsid w:val="0053318A"/>
    <w:rsid w:val="00574FA5"/>
    <w:rsid w:val="005A6612"/>
    <w:rsid w:val="005B753C"/>
    <w:rsid w:val="005E0498"/>
    <w:rsid w:val="005E348B"/>
    <w:rsid w:val="00633AA8"/>
    <w:rsid w:val="00645B42"/>
    <w:rsid w:val="006525B9"/>
    <w:rsid w:val="006A4981"/>
    <w:rsid w:val="00700E53"/>
    <w:rsid w:val="00701E87"/>
    <w:rsid w:val="007170EE"/>
    <w:rsid w:val="00742FEC"/>
    <w:rsid w:val="00764CDA"/>
    <w:rsid w:val="00794849"/>
    <w:rsid w:val="00827058"/>
    <w:rsid w:val="00844388"/>
    <w:rsid w:val="008B218B"/>
    <w:rsid w:val="008C0179"/>
    <w:rsid w:val="008D5743"/>
    <w:rsid w:val="008E4A0A"/>
    <w:rsid w:val="008F384B"/>
    <w:rsid w:val="00923980"/>
    <w:rsid w:val="00926C43"/>
    <w:rsid w:val="009C3A52"/>
    <w:rsid w:val="00A00C1C"/>
    <w:rsid w:val="00A271CD"/>
    <w:rsid w:val="00A31711"/>
    <w:rsid w:val="00A50FA0"/>
    <w:rsid w:val="00A52392"/>
    <w:rsid w:val="00A810C9"/>
    <w:rsid w:val="00AA5A39"/>
    <w:rsid w:val="00AB0C37"/>
    <w:rsid w:val="00AD703D"/>
    <w:rsid w:val="00B574BB"/>
    <w:rsid w:val="00BC62E6"/>
    <w:rsid w:val="00BD541D"/>
    <w:rsid w:val="00C06AA0"/>
    <w:rsid w:val="00C11D23"/>
    <w:rsid w:val="00C44053"/>
    <w:rsid w:val="00C57227"/>
    <w:rsid w:val="00C74C8E"/>
    <w:rsid w:val="00CE4ED5"/>
    <w:rsid w:val="00D71FCC"/>
    <w:rsid w:val="00D82973"/>
    <w:rsid w:val="00D9046A"/>
    <w:rsid w:val="00DE6EB4"/>
    <w:rsid w:val="00DF1D73"/>
    <w:rsid w:val="00E179E8"/>
    <w:rsid w:val="00E24A6E"/>
    <w:rsid w:val="00E66970"/>
    <w:rsid w:val="00E70718"/>
    <w:rsid w:val="00E867C5"/>
    <w:rsid w:val="00EA3420"/>
    <w:rsid w:val="00ED70FE"/>
    <w:rsid w:val="00F630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unhideWhenUsed/>
  </w:style>
  <w:style w:type="character" w:customStyle="1" w:styleId="Char">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 w:type="character" w:styleId="af">
    <w:name w:val="Hyperlink"/>
    <w:basedOn w:val="a0"/>
    <w:uiPriority w:val="99"/>
    <w:unhideWhenUsed/>
    <w:rsid w:val="00AB0C37"/>
    <w:rPr>
      <w:color w:val="0000FF" w:themeColor="hyperlink"/>
      <w:u w:val="single"/>
    </w:rPr>
  </w:style>
  <w:style w:type="character" w:styleId="af0">
    <w:name w:val="Unresolved Mention"/>
    <w:basedOn w:val="a0"/>
    <w:uiPriority w:val="99"/>
    <w:semiHidden/>
    <w:unhideWhenUsed/>
    <w:rsid w:val="00AB0C37"/>
    <w:rPr>
      <w:color w:val="605E5C"/>
      <w:shd w:val="clear" w:color="auto" w:fill="E1DFDD"/>
    </w:rPr>
  </w:style>
  <w:style w:type="paragraph" w:styleId="af1">
    <w:name w:val="List Paragraph"/>
    <w:basedOn w:val="a"/>
    <w:uiPriority w:val="34"/>
    <w:qFormat/>
    <w:rsid w:val="00C74C8E"/>
    <w:pPr>
      <w:ind w:leftChars="400" w:left="800"/>
    </w:pPr>
  </w:style>
  <w:style w:type="paragraph" w:styleId="af2">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3994</TotalTime>
  <Pages>43</Pages>
  <Words>8711</Words>
  <Characters>55141</Characters>
  <Application>Microsoft Office Word</Application>
  <DocSecurity>0</DocSecurity>
  <Lines>1312</Lines>
  <Paragraphs>498</Paragraphs>
  <ScaleCrop>false</ScaleCrop>
  <Company/>
  <LinksUpToDate>false</LinksUpToDate>
  <CharactersWithSpaces>63354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32</cp:revision>
  <dcterms:created xsi:type="dcterms:W3CDTF">2026-04-16T13:34:00Z</dcterms:created>
  <dcterms:modified xsi:type="dcterms:W3CDTF">2026-06-04T11:10:00Z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