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Dominancia de EsSalud: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hashtag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#EsSalud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el más usado,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55 menciones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lo que sugiere una estrategia más activa o eficiente de posicionamiento institucional en TikTok por parte de EsSalud.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cambio, el hashtag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#Minsa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aparece solo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veces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evidenciando una menor presencia en comparación.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Temáticas centrales: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hashtags con mayor frecuencia están ligados directamente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temas de salud y vacunación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#COVID19 (30 menciones)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#VacunaVacunas (19 menciones)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#vacunarseEsSalud (17 menciones)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#Pfizer (15 menciones)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#PlazaNorte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#VacunatonVacunaton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también con 15 menciones, probablemente hacen alusión a campañas específicas o centros de vacunación.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Campañas con identidad emocional o festiva: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Hashtags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#VacunamosConAmor (13 menciones)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#VacunaFest (6 menciones)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reflejan esfuerzos comunicacionales para conectar con la audiencia a través de emociones o formatos juveniles y atractivos.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Tendencias de comunicación: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uso de hashtags institucionales y de campañas revela una orientación hacia una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comunicación proactiva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especialmente por parte de EsSalud.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uso decreciente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ciertos hashtags sugiere que hay iniciativas o mensajes que no lograron posicionarse con la misma fuerza, o que pertenecen a campañas más puntuales y menos replicadas.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