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b w:val="1"/>
          <w:bCs w:val="1"/>
          <w:i w:val="1"/>
          <w:iCs w:val="1"/>
        </w:rPr>
      </w:pPr>
      <w:bookmarkStart w:colFirst="0" w:colLast="0" w:name="_p4m98fvxxfjh" w:id="0"/>
      <w:bookmarkEnd w:id="0"/>
      <w:r w:rsidDel="00000000" w:rsidR="00000000" w:rsidRPr="00000000">
        <w:rPr>
          <w:b w:val="1"/>
          <w:bCs w:val="1"/>
          <w:i w:val="1"/>
          <w:iCs w:val="1"/>
          <w:rtl w:val="0"/>
        </w:rPr>
        <w:t xml:space="preserve">AI SUMMATIVE PROJECT:</w:t>
      </w:r>
    </w:p>
    <w:p w:rsidR="00000000" w:rsidDel="00000000" w:rsidP="00000000" w:rsidRDefault="00000000" w:rsidRPr="00000000" w14:paraId="00000002">
      <w:pPr>
        <w:rPr/>
      </w:pPr>
      <w:r w:rsidDel="00000000" w:rsidR="00000000" w:rsidRPr="00000000">
        <w:rPr>
          <w:rtl w:val="0"/>
        </w:rPr>
        <w:t xml:space="preserve">Color Code:</w:t>
      </w:r>
    </w:p>
    <w:p w:rsidR="00000000" w:rsidDel="00000000" w:rsidP="00000000" w:rsidRDefault="00000000" w:rsidRPr="00000000" w14:paraId="00000003">
      <w:pPr>
        <w:rPr>
          <w:b w:val="1"/>
          <w:bCs w:val="1"/>
          <w:shd w:fill="9fc5e8" w:val="clear"/>
        </w:rPr>
      </w:pPr>
      <w:r w:rsidDel="00000000" w:rsidR="00000000" w:rsidRPr="00000000">
        <w:rPr>
          <w:shd w:fill="9fc5e8" w:val="clear"/>
          <w:rtl w:val="0"/>
        </w:rPr>
        <w:t xml:space="preserve">-Blue for </w:t>
      </w:r>
      <w:r w:rsidDel="00000000" w:rsidR="00000000" w:rsidRPr="00000000">
        <w:rPr>
          <w:b w:val="1"/>
          <w:bCs w:val="1"/>
          <w:shd w:fill="9fc5e8" w:val="clear"/>
          <w:rtl w:val="0"/>
        </w:rPr>
        <w:t xml:space="preserve">Julex</w:t>
      </w:r>
    </w:p>
    <w:p w:rsidR="00000000" w:rsidDel="00000000" w:rsidP="00000000" w:rsidRDefault="00000000" w:rsidRPr="00000000" w14:paraId="00000004">
      <w:pPr>
        <w:rPr>
          <w:b w:val="1"/>
          <w:bCs w:val="1"/>
          <w:shd w:fill="ea9999" w:val="clear"/>
        </w:rPr>
      </w:pPr>
      <w:r w:rsidDel="00000000" w:rsidR="00000000" w:rsidRPr="00000000">
        <w:rPr>
          <w:shd w:fill="ea9999" w:val="clear"/>
          <w:rtl w:val="0"/>
        </w:rPr>
        <w:t xml:space="preserve">-Red for </w:t>
      </w:r>
      <w:r w:rsidDel="00000000" w:rsidR="00000000" w:rsidRPr="00000000">
        <w:rPr>
          <w:b w:val="1"/>
          <w:bCs w:val="1"/>
          <w:shd w:fill="ea9999" w:val="clear"/>
          <w:rtl w:val="0"/>
        </w:rPr>
        <w:t xml:space="preserve">Reily</w:t>
      </w:r>
    </w:p>
    <w:p w:rsidR="00000000" w:rsidDel="00000000" w:rsidP="00000000" w:rsidRDefault="00000000" w:rsidRPr="00000000" w14:paraId="00000005">
      <w:pPr>
        <w:rPr>
          <w:b w:val="1"/>
          <w:bCs w:val="1"/>
          <w:shd w:fill="f78324" w:val="clear"/>
        </w:rPr>
      </w:pPr>
      <w:r w:rsidDel="00000000" w:rsidR="00000000" w:rsidRPr="00000000">
        <w:rPr>
          <w:shd w:fill="f78324" w:val="clear"/>
          <w:rtl w:val="0"/>
        </w:rPr>
        <w:t xml:space="preserve">-Orange for </w:t>
      </w:r>
      <w:r w:rsidDel="00000000" w:rsidR="00000000" w:rsidRPr="00000000">
        <w:rPr>
          <w:b w:val="1"/>
          <w:bCs w:val="1"/>
          <w:shd w:fill="f78324" w:val="clear"/>
          <w:rtl w:val="0"/>
        </w:rPr>
        <w:t xml:space="preserve">Abiyaz</w:t>
      </w:r>
    </w:p>
    <w:p w:rsidR="00000000" w:rsidDel="00000000" w:rsidP="00000000" w:rsidRDefault="00000000" w:rsidRPr="00000000" w14:paraId="00000006">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PHASE 1</w:t>
      </w:r>
    </w:p>
    <w:p w:rsidR="00000000" w:rsidDel="00000000" w:rsidP="00000000" w:rsidRDefault="00000000" w:rsidRPr="00000000" w14:paraId="00000008">
      <w:pPr>
        <w:rPr>
          <w:b w:val="1"/>
          <w:bCs w:val="1"/>
          <w:sz w:val="8"/>
          <w:szCs w:val="8"/>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u w:val="single"/>
          <w:rtl w:val="0"/>
        </w:rPr>
        <w:t xml:space="preserve">Our </w:t>
      </w:r>
      <w:r w:rsidDel="00000000" w:rsidR="00000000" w:rsidRPr="00000000">
        <w:rPr>
          <w:b w:val="1"/>
          <w:bCs w:val="1"/>
          <w:u w:val="single"/>
          <w:shd w:fill="ea9999" w:val="clear"/>
          <w:rtl w:val="0"/>
        </w:rPr>
        <w:t xml:space="preserve">chosen</w:t>
      </w:r>
      <w:r w:rsidDel="00000000" w:rsidR="00000000" w:rsidRPr="00000000">
        <w:rPr>
          <w:b w:val="1"/>
          <w:bCs w:val="1"/>
          <w:u w:val="single"/>
          <w:rtl w:val="0"/>
        </w:rPr>
        <w:t xml:space="preserve"> question</w:t>
      </w:r>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00A">
      <w:pPr>
        <w:rPr>
          <w:b w:val="1"/>
          <w:bCs w:val="1"/>
          <w:i w:val="1"/>
          <w:iCs w:val="1"/>
        </w:rPr>
      </w:pPr>
      <w:r w:rsidDel="00000000" w:rsidR="00000000" w:rsidRPr="00000000">
        <w:rPr>
          <w:i w:val="1"/>
          <w:iCs w:val="1"/>
          <w:rtl w:val="0"/>
        </w:rPr>
        <w:t xml:space="preserve">How does AI function in </w:t>
      </w:r>
      <w:r w:rsidDel="00000000" w:rsidR="00000000" w:rsidRPr="00000000">
        <w:rPr>
          <w:b w:val="1"/>
          <w:bCs w:val="1"/>
          <w:i w:val="1"/>
          <w:iCs w:val="1"/>
          <w:shd w:fill="ea9999" w:val="clear"/>
          <w:rtl w:val="0"/>
        </w:rPr>
        <w:t xml:space="preserve">Financial Institutions</w:t>
      </w:r>
      <w:r w:rsidDel="00000000" w:rsidR="00000000" w:rsidRPr="00000000">
        <w:rPr>
          <w:b w:val="1"/>
          <w:bCs w:val="1"/>
          <w:i w:val="1"/>
          <w:iCs w:val="1"/>
          <w:rtl w:val="0"/>
        </w:rPr>
        <w:t xml:space="preserve">?</w:t>
      </w:r>
    </w:p>
    <w:p w:rsidR="00000000" w:rsidDel="00000000" w:rsidP="00000000" w:rsidRDefault="00000000" w:rsidRPr="00000000" w14:paraId="0000000B">
      <w:pPr>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PHASE 2</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hd w:fill="9fc5e8" w:val="clear"/>
          <w:rtl w:val="0"/>
        </w:rPr>
        <w:t xml:space="preserve">Problem Expansion and Definition:</w:t>
      </w: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Financial structures are complex especially when it comes to financial issues like taxes and paying bills. This is because the rapid technological switch and strict regulatory policies of the government lead to confusion amongst consumers.</w:t>
      </w:r>
      <w:r w:rsidDel="00000000" w:rsidR="00000000" w:rsidRPr="00000000">
        <w:drawing>
          <wp:anchor allowOverlap="1" behindDoc="0" distB="114300" distT="114300" distL="114300" distR="114300" hidden="0" layoutInCell="1" locked="0" relativeHeight="0" simplePos="0">
            <wp:simplePos x="0" y="0"/>
            <wp:positionH relativeFrom="column">
              <wp:posOffset>4914900</wp:posOffset>
            </wp:positionH>
            <wp:positionV relativeFrom="paragraph">
              <wp:posOffset>142875</wp:posOffset>
            </wp:positionV>
            <wp:extent cx="1029680" cy="102968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29680" cy="1029680"/>
                    </a:xfrm>
                    <a:prstGeom prst="rect"/>
                    <a:ln/>
                  </pic:spPr>
                </pic:pic>
              </a:graphicData>
            </a:graphic>
          </wp:anchor>
        </w:drawing>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The problem: </w:t>
      </w:r>
      <w:r w:rsidDel="00000000" w:rsidR="00000000" w:rsidRPr="00000000">
        <w:rPr>
          <w:b w:val="1"/>
          <w:bCs w:val="1"/>
          <w:i w:val="1"/>
          <w:iCs w:val="1"/>
          <w:rtl w:val="0"/>
        </w:rPr>
        <w:t xml:space="preserve">Consumers struggle with managing finances and resolving issues in financial institutions because they have complex structures. </w:t>
      </w:r>
      <w:r w:rsidDel="00000000" w:rsidR="00000000" w:rsidRPr="00000000">
        <w:rPr>
          <w:sz w:val="16"/>
          <w:szCs w:val="16"/>
          <w:rtl w:val="0"/>
        </w:rPr>
        <w:t xml:space="preserve">(EXAMPLE: STRICT REGULATORY MANDATES FOR CBUAE)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hd w:fill="f78324" w:val="clear"/>
        </w:rPr>
      </w:pPr>
      <w:r w:rsidDel="00000000" w:rsidR="00000000" w:rsidRPr="00000000">
        <w:rPr>
          <w:shd w:fill="f78324" w:val="clear"/>
          <w:rtl w:val="0"/>
        </w:rPr>
        <w:t xml:space="preserve">Problem Research:</w:t>
      </w:r>
      <w:r w:rsidDel="00000000" w:rsidR="00000000" w:rsidRPr="00000000">
        <w:rPr>
          <w:rtl w:val="0"/>
        </w:rPr>
      </w:r>
    </w:p>
    <w:p w:rsidR="00000000" w:rsidDel="00000000" w:rsidP="00000000" w:rsidRDefault="00000000" w:rsidRPr="00000000" w14:paraId="00000014">
      <w:pPr>
        <w:numPr>
          <w:ilvl w:val="0"/>
          <w:numId w:val="7"/>
        </w:numPr>
        <w:ind w:left="720" w:hanging="360"/>
        <w:rPr/>
      </w:pPr>
      <w:r w:rsidDel="00000000" w:rsidR="00000000" w:rsidRPr="00000000">
        <w:rPr>
          <w:rtl w:val="0"/>
        </w:rPr>
        <w:t xml:space="preserve">Financial products are usually complex for ordinary users. An academic article by Annamaria Lusardi and Olivia Mitchell argues that financial literacy is a type of human capital. This is because people need knowledge to make good financial decisions, but most people do not have enough knowledge about finances to fully understand credit, inflation, interest, risk, long term planning, etc. </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Reporting complaints and disputes are mostly very tedious and difficult to navigate. A study done by </w:t>
      </w:r>
      <w:r w:rsidDel="00000000" w:rsidR="00000000" w:rsidRPr="00000000">
        <w:rPr>
          <w:b w:val="1"/>
          <w:bCs w:val="1"/>
          <w:rtl w:val="0"/>
        </w:rPr>
        <w:t xml:space="preserve">Financial Ombudsman Service </w:t>
      </w:r>
      <w:r w:rsidDel="00000000" w:rsidR="00000000" w:rsidRPr="00000000">
        <w:rPr>
          <w:rtl w:val="0"/>
        </w:rPr>
        <w:t xml:space="preserve">discovered 305,726 new complaints from 2024-2025, the highest levels seen in 6 years and a 54% increase from the previous year. Complaints varied from motor finance, fraud and scams, and credit cards issues.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shd w:fill="ea9999" w:val="clear"/>
          <w:rtl w:val="0"/>
        </w:rPr>
        <w:t xml:space="preserve">Problem Research:</w:t>
      </w:r>
      <w:r w:rsidDel="00000000" w:rsidR="00000000" w:rsidRPr="00000000">
        <w:rPr>
          <w:rtl w:val="0"/>
        </w:rPr>
      </w:r>
    </w:p>
    <w:p w:rsidR="00000000" w:rsidDel="00000000" w:rsidP="00000000" w:rsidRDefault="00000000" w:rsidRPr="00000000" w14:paraId="00000019">
      <w:pPr>
        <w:numPr>
          <w:ilvl w:val="0"/>
          <w:numId w:val="7"/>
        </w:numPr>
        <w:ind w:left="720" w:hanging="360"/>
        <w:rPr/>
      </w:pPr>
      <w:r w:rsidDel="00000000" w:rsidR="00000000" w:rsidRPr="00000000">
        <w:rPr>
          <w:rtl w:val="0"/>
        </w:rPr>
        <w:t xml:space="preserve">The Programme for International Student Assessment (PISA) is a survey of 15-year olds which measures their essential life skills. This includes financial literacy, an integral component of daily life. In 2022, the PISA was conducted in the UAE, measuring financial literacy.</w:t>
      </w:r>
    </w:p>
    <w:p w:rsidR="00000000" w:rsidDel="00000000" w:rsidP="00000000" w:rsidRDefault="00000000" w:rsidRPr="00000000" w14:paraId="0000001A">
      <w:pPr>
        <w:numPr>
          <w:ilvl w:val="0"/>
          <w:numId w:val="7"/>
        </w:numPr>
        <w:ind w:left="720" w:hanging="360"/>
        <w:rPr/>
      </w:pPr>
      <w:r w:rsidDel="00000000" w:rsidR="00000000" w:rsidRPr="00000000">
        <w:rPr>
          <w:rtl w:val="0"/>
        </w:rPr>
        <w:t xml:space="preserve">Students in the United Arab Emirates scored on average 441 points which is below the average in financial literacy — 498 points. </w:t>
      </w:r>
    </w:p>
    <w:p w:rsidR="00000000" w:rsidDel="00000000" w:rsidP="00000000" w:rsidRDefault="00000000" w:rsidRPr="00000000" w14:paraId="0000001B">
      <w:pPr>
        <w:numPr>
          <w:ilvl w:val="0"/>
          <w:numId w:val="7"/>
        </w:numPr>
        <w:ind w:left="720" w:hanging="360"/>
        <w:rPr/>
      </w:pPr>
      <w:r w:rsidDel="00000000" w:rsidR="00000000" w:rsidRPr="00000000">
        <w:rPr>
          <w:rtl w:val="0"/>
        </w:rPr>
        <w:t xml:space="preserve">An average of 38% of students are under the baseline of financial literacy, compared to 18% across the globe.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shd w:fill="c9daf8" w:val="clear"/>
          <w:rtl w:val="0"/>
        </w:rPr>
        <w:t xml:space="preserve">Problem Research:</w:t>
      </w:r>
      <w:r w:rsidDel="00000000" w:rsidR="00000000" w:rsidRPr="00000000">
        <w:rPr>
          <w:rtl w:val="0"/>
        </w:rPr>
      </w:r>
    </w:p>
    <w:p w:rsidR="00000000" w:rsidDel="00000000" w:rsidP="00000000" w:rsidRDefault="00000000" w:rsidRPr="00000000" w14:paraId="0000001E">
      <w:pPr>
        <w:numPr>
          <w:ilvl w:val="0"/>
          <w:numId w:val="3"/>
        </w:numPr>
        <w:ind w:left="720" w:hanging="360"/>
        <w:rPr/>
      </w:pPr>
      <w:r w:rsidDel="00000000" w:rsidR="00000000" w:rsidRPr="00000000">
        <w:rPr>
          <w:rFonts w:ascii="Arial Unicode MS" w:cs="Arial Unicode MS" w:eastAsia="Arial Unicode MS" w:hAnsi="Arial Unicode MS"/>
          <w:rtl w:val="0"/>
        </w:rPr>
        <w:t xml:space="preserve">In the UAE, the total macro financial literacy rate ranges from 30.8% → 38%, a rate which fluctuates amongst the vast mix of expats and nationals. As a result, there is a 70% rate of residents who reside in the country without the ability to properly manage monetary assets. The following effects sprout from this very issue: </w:t>
      </w:r>
    </w:p>
    <w:p w:rsidR="00000000" w:rsidDel="00000000" w:rsidP="00000000" w:rsidRDefault="00000000" w:rsidRPr="00000000" w14:paraId="0000001F">
      <w:pPr>
        <w:numPr>
          <w:ilvl w:val="0"/>
          <w:numId w:val="5"/>
        </w:numPr>
        <w:ind w:left="1440" w:hanging="360"/>
        <w:rPr/>
      </w:pPr>
      <w:r w:rsidDel="00000000" w:rsidR="00000000" w:rsidRPr="00000000">
        <w:rPr>
          <w:rtl w:val="0"/>
        </w:rPr>
        <w:t xml:space="preserve">Gen-Z: 43% feel unconfident with their ability to manage money and with the current fragile economy, many exit out of school withholding themselves from important decisions that may affect their future.</w:t>
      </w:r>
    </w:p>
    <w:p w:rsidR="00000000" w:rsidDel="00000000" w:rsidP="00000000" w:rsidRDefault="00000000" w:rsidRPr="00000000" w14:paraId="00000020">
      <w:pPr>
        <w:numPr>
          <w:ilvl w:val="0"/>
          <w:numId w:val="5"/>
        </w:numPr>
        <w:ind w:left="1440" w:hanging="360"/>
        <w:rPr>
          <w:u w:val="none"/>
        </w:rPr>
      </w:pPr>
      <w:r w:rsidDel="00000000" w:rsidR="00000000" w:rsidRPr="00000000">
        <w:rPr>
          <w:rtl w:val="0"/>
        </w:rPr>
        <w:t xml:space="preserve">General Low-to-Middle Class: All find fund fees frustrating, administrative charges and fine print on many financial decisions difficult to interpret</w:t>
      </w:r>
    </w:p>
    <w:p w:rsidR="00000000" w:rsidDel="00000000" w:rsidP="00000000" w:rsidRDefault="00000000" w:rsidRPr="00000000" w14:paraId="00000021">
      <w:pPr>
        <w:numPr>
          <w:ilvl w:val="0"/>
          <w:numId w:val="5"/>
        </w:numPr>
        <w:ind w:left="1440" w:hanging="360"/>
        <w:rPr>
          <w:u w:val="none"/>
        </w:rPr>
      </w:pPr>
      <w:r w:rsidDel="00000000" w:rsidR="00000000" w:rsidRPr="00000000">
        <w:rPr>
          <w:rtl w:val="0"/>
        </w:rPr>
        <w:t xml:space="preserve">High-Net-Worth: Upper class people often need specialists in the financial market to assist them in retaining the safety of wealth. Around 62% still find it necessary for accountants to assist them in managing their money.</w:t>
      </w:r>
    </w:p>
    <w:p w:rsidR="00000000" w:rsidDel="00000000" w:rsidP="00000000" w:rsidRDefault="00000000" w:rsidRPr="00000000" w14:paraId="00000022">
      <w:pPr>
        <w:numPr>
          <w:ilvl w:val="0"/>
          <w:numId w:val="5"/>
        </w:numPr>
        <w:ind w:left="1440" w:hanging="360"/>
        <w:rPr>
          <w:u w:val="none"/>
        </w:rPr>
      </w:pPr>
      <w:r w:rsidDel="00000000" w:rsidR="00000000" w:rsidRPr="00000000">
        <w:rPr>
          <w:rtl w:val="0"/>
        </w:rPr>
        <w:t xml:space="preserve">Retirement Decay: 45% of UAE residents have not started to save for retirement even though 60% of the UAE is very willing to retire.</w:t>
        <w:tab/>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28"/>
          <w:szCs w:val="28"/>
          <w:rtl w:val="0"/>
        </w:rPr>
        <w:t xml:space="preserve">PHASE 3</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hd w:fill="ea9999" w:val="clear"/>
        </w:rPr>
      </w:pPr>
      <w:r w:rsidDel="00000000" w:rsidR="00000000" w:rsidRPr="00000000">
        <w:rPr>
          <w:shd w:fill="ea9999" w:val="clear"/>
          <w:rtl w:val="0"/>
        </w:rPr>
        <w:t xml:space="preserve">Exploring AI concepts:</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There are a surplus of AI chatbot types we can create:</w:t>
      </w:r>
    </w:p>
    <w:p w:rsidR="00000000" w:rsidDel="00000000" w:rsidP="00000000" w:rsidRDefault="00000000" w:rsidRPr="00000000" w14:paraId="00000029">
      <w:pPr>
        <w:numPr>
          <w:ilvl w:val="1"/>
          <w:numId w:val="6"/>
        </w:numPr>
        <w:ind w:left="1440" w:hanging="360"/>
        <w:rPr>
          <w:u w:val="none"/>
        </w:rPr>
      </w:pPr>
      <w:r w:rsidDel="00000000" w:rsidR="00000000" w:rsidRPr="00000000">
        <w:rPr>
          <w:rtl w:val="0"/>
        </w:rPr>
        <w:t xml:space="preserve">Types of AI usage:</w:t>
      </w:r>
    </w:p>
    <w:p w:rsidR="00000000" w:rsidDel="00000000" w:rsidP="00000000" w:rsidRDefault="00000000" w:rsidRPr="00000000" w14:paraId="0000002A">
      <w:pPr>
        <w:numPr>
          <w:ilvl w:val="2"/>
          <w:numId w:val="6"/>
        </w:numPr>
        <w:ind w:left="2160" w:hanging="360"/>
        <w:rPr>
          <w:u w:val="none"/>
        </w:rPr>
      </w:pPr>
      <w:r w:rsidDel="00000000" w:rsidR="00000000" w:rsidRPr="00000000">
        <w:rPr>
          <w:rtl w:val="0"/>
        </w:rPr>
        <w:t xml:space="preserve">FAQ bot</w:t>
      </w:r>
    </w:p>
    <w:p w:rsidR="00000000" w:rsidDel="00000000" w:rsidP="00000000" w:rsidRDefault="00000000" w:rsidRPr="00000000" w14:paraId="0000002B">
      <w:pPr>
        <w:numPr>
          <w:ilvl w:val="2"/>
          <w:numId w:val="6"/>
        </w:numPr>
        <w:ind w:left="2160" w:hanging="360"/>
        <w:rPr>
          <w:u w:val="none"/>
        </w:rPr>
      </w:pPr>
      <w:r w:rsidDel="00000000" w:rsidR="00000000" w:rsidRPr="00000000">
        <w:rPr>
          <w:rtl w:val="0"/>
        </w:rPr>
        <w:t xml:space="preserve">Assistant</w:t>
      </w:r>
    </w:p>
    <w:p w:rsidR="00000000" w:rsidDel="00000000" w:rsidP="00000000" w:rsidRDefault="00000000" w:rsidRPr="00000000" w14:paraId="0000002C">
      <w:pPr>
        <w:numPr>
          <w:ilvl w:val="2"/>
          <w:numId w:val="6"/>
        </w:numPr>
        <w:ind w:left="2160" w:hanging="360"/>
        <w:rPr>
          <w:u w:val="none"/>
        </w:rPr>
      </w:pPr>
      <w:r w:rsidDel="00000000" w:rsidR="00000000" w:rsidRPr="00000000">
        <w:rPr>
          <w:rtl w:val="0"/>
        </w:rPr>
        <w:t xml:space="preserve">GUI integration</w:t>
      </w:r>
    </w:p>
    <w:p w:rsidR="00000000" w:rsidDel="00000000" w:rsidP="00000000" w:rsidRDefault="00000000" w:rsidRPr="00000000" w14:paraId="0000002D">
      <w:pPr>
        <w:numPr>
          <w:ilvl w:val="2"/>
          <w:numId w:val="6"/>
        </w:numPr>
        <w:ind w:left="2160" w:hanging="360"/>
        <w:rPr>
          <w:u w:val="none"/>
        </w:rPr>
      </w:pPr>
      <w:r w:rsidDel="00000000" w:rsidR="00000000" w:rsidRPr="00000000">
        <w:rPr>
          <w:rtl w:val="0"/>
        </w:rPr>
        <w:t xml:space="preserve">AI step-by-step guide</w:t>
      </w:r>
    </w:p>
    <w:p w:rsidR="00000000" w:rsidDel="00000000" w:rsidP="00000000" w:rsidRDefault="00000000" w:rsidRPr="00000000" w14:paraId="0000002E">
      <w:pPr>
        <w:numPr>
          <w:ilvl w:val="2"/>
          <w:numId w:val="6"/>
        </w:numPr>
        <w:ind w:left="2160" w:hanging="360"/>
        <w:rPr/>
      </w:pPr>
      <w:r w:rsidDel="00000000" w:rsidR="00000000" w:rsidRPr="00000000">
        <w:rPr>
          <w:rtl w:val="0"/>
        </w:rPr>
        <w:t xml:space="preserve">Tooltips of button functionality</w:t>
      </w:r>
    </w:p>
    <w:p w:rsidR="00000000" w:rsidDel="00000000" w:rsidP="00000000" w:rsidRDefault="00000000" w:rsidRPr="00000000" w14:paraId="0000002F">
      <w:pPr>
        <w:rPr>
          <w:shd w:fill="f78324" w:val="clear"/>
        </w:rPr>
      </w:pPr>
      <w:r w:rsidDel="00000000" w:rsidR="00000000" w:rsidRPr="00000000">
        <w:rPr>
          <w:shd w:fill="f78324" w:val="clear"/>
          <w:rtl w:val="0"/>
        </w:rPr>
        <w:t xml:space="preserve">Relevant tools identified:</w:t>
      </w:r>
    </w:p>
    <w:p w:rsidR="00000000" w:rsidDel="00000000" w:rsidP="00000000" w:rsidRDefault="00000000" w:rsidRPr="00000000" w14:paraId="00000030">
      <w:pPr>
        <w:rPr/>
      </w:pPr>
      <w:r w:rsidDel="00000000" w:rsidR="00000000" w:rsidRPr="00000000">
        <w:rPr>
          <w:rtl w:val="0"/>
        </w:rPr>
        <w:t xml:space="preserve">Here are examples of relevant tools we can use to create our product:</w:t>
      </w:r>
    </w:p>
    <w:p w:rsidR="00000000" w:rsidDel="00000000" w:rsidP="00000000" w:rsidRDefault="00000000" w:rsidRPr="00000000" w14:paraId="00000031">
      <w:pPr>
        <w:rPr/>
      </w:pPr>
      <w:r w:rsidDel="00000000" w:rsidR="00000000" w:rsidRPr="00000000">
        <w:rPr>
          <w:rtl w:val="0"/>
        </w:rPr>
        <w:tab/>
        <w:t xml:space="preserve">- Google AI Studio, used to generate our product.</w:t>
      </w:r>
    </w:p>
    <w:p w:rsidR="00000000" w:rsidDel="00000000" w:rsidP="00000000" w:rsidRDefault="00000000" w:rsidRPr="00000000" w14:paraId="00000032">
      <w:pPr>
        <w:rPr/>
      </w:pPr>
      <w:r w:rsidDel="00000000" w:rsidR="00000000" w:rsidRPr="00000000">
        <w:rPr>
          <w:rtl w:val="0"/>
        </w:rPr>
        <w:tab/>
        <w:t xml:space="preserve">- Replit, another option to generate our product</w:t>
      </w:r>
    </w:p>
    <w:p w:rsidR="00000000" w:rsidDel="00000000" w:rsidP="00000000" w:rsidRDefault="00000000" w:rsidRPr="00000000" w14:paraId="00000033">
      <w:pPr>
        <w:rPr/>
      </w:pPr>
      <w:r w:rsidDel="00000000" w:rsidR="00000000" w:rsidRPr="00000000">
        <w:rPr>
          <w:rtl w:val="0"/>
        </w:rPr>
        <w:tab/>
        <w:t xml:space="preserve">- Google Gemini, used to create a prompt that we will use on Replit or Google AI Studio. </w:t>
      </w:r>
    </w:p>
    <w:p w:rsidR="00000000" w:rsidDel="00000000" w:rsidP="00000000" w:rsidRDefault="00000000" w:rsidRPr="00000000" w14:paraId="00000034">
      <w:pPr>
        <w:rPr/>
      </w:pPr>
      <w:r w:rsidDel="00000000" w:rsidR="00000000" w:rsidRPr="00000000">
        <w:rPr>
          <w:rtl w:val="0"/>
        </w:rPr>
        <w:tab/>
        <w:t xml:space="preserve">- API keys, so we can integrate our product into financial institutions.</w:t>
      </w:r>
    </w:p>
    <w:p w:rsidR="00000000" w:rsidDel="00000000" w:rsidP="00000000" w:rsidRDefault="00000000" w:rsidRPr="00000000" w14:paraId="00000035">
      <w:pPr>
        <w:rPr/>
      </w:pPr>
      <w:r w:rsidDel="00000000" w:rsidR="00000000" w:rsidRPr="00000000">
        <w:rPr>
          <w:rtl w:val="0"/>
        </w:rPr>
        <w:tab/>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hd w:fill="c9daf8" w:val="clear"/>
        </w:rPr>
      </w:pPr>
      <w:r w:rsidDel="00000000" w:rsidR="00000000" w:rsidRPr="00000000">
        <w:rPr>
          <w:shd w:fill="c9daf8" w:val="clear"/>
          <w:rtl w:val="0"/>
        </w:rPr>
        <w:t xml:space="preserve">Case studies reviewed:</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There are a few reputable AI tools that assist in financial literacy:</w:t>
      </w:r>
    </w:p>
    <w:p w:rsidR="00000000" w:rsidDel="00000000" w:rsidP="00000000" w:rsidRDefault="00000000" w:rsidRPr="00000000" w14:paraId="0000003A">
      <w:pPr>
        <w:numPr>
          <w:ilvl w:val="0"/>
          <w:numId w:val="1"/>
        </w:numPr>
        <w:ind w:left="1440" w:hanging="360"/>
        <w:rPr>
          <w:u w:val="none"/>
        </w:rPr>
      </w:pPr>
      <w:r w:rsidDel="00000000" w:rsidR="00000000" w:rsidRPr="00000000">
        <w:rPr>
          <w:rtl w:val="0"/>
        </w:rPr>
        <w:t xml:space="preserve">General LLMs: assists by accessing websites for data related to the financial question and can help demystify complex ideas/terms into more conversational definitions. Can run errors with hallucinations, not solely focused on financial ability so monetary advice can be weak, data pulled from untrustworthy sources can create bad and outdated advice. Too much hassle to verify information, and adjust prompts.</w:t>
      </w:r>
    </w:p>
    <w:p w:rsidR="00000000" w:rsidDel="00000000" w:rsidP="00000000" w:rsidRDefault="00000000" w:rsidRPr="00000000" w14:paraId="0000003B">
      <w:pPr>
        <w:numPr>
          <w:ilvl w:val="0"/>
          <w:numId w:val="1"/>
        </w:numPr>
        <w:ind w:left="1440" w:hanging="360"/>
        <w:rPr>
          <w:u w:val="none"/>
        </w:rPr>
      </w:pPr>
      <w:r w:rsidDel="00000000" w:rsidR="00000000" w:rsidRPr="00000000">
        <w:rPr>
          <w:rtl w:val="0"/>
        </w:rPr>
        <w:t xml:space="preserve">Cleo AI: A financial based AI that connects to bank accounts and helps manage personal finances, and uses this data to create personalized advice that can actually help according to the specific contexts. Additional strict parameters ensure a low rate of hallucinations and falsified information, these parameters make inquiries on AI easier to follow with less explicit need for multi-shot prompting. Other tonal improvements make managing and understanding finance easier to interpret, and automatic settings set to make good habits.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Phase 4</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shd w:fill="ea9999" w:val="clear"/>
        </w:rPr>
      </w:pPr>
      <w:r w:rsidDel="00000000" w:rsidR="00000000" w:rsidRPr="00000000">
        <w:rPr>
          <w:rtl w:val="0"/>
        </w:rPr>
        <w:t xml:space="preserve">Citations:</w:t>
        <w:br w:type="textWrapping"/>
      </w:r>
      <w:r w:rsidDel="00000000" w:rsidR="00000000" w:rsidRPr="00000000">
        <w:rPr>
          <w:rFonts w:ascii="Times New Roman" w:cs="Times New Roman" w:eastAsia="Times New Roman" w:hAnsi="Times New Roman"/>
          <w:sz w:val="24"/>
          <w:szCs w:val="24"/>
          <w:shd w:fill="ea9999" w:val="clear"/>
          <w:rtl w:val="0"/>
        </w:rPr>
        <w:t xml:space="preserve">[1]</w:t>
      </w:r>
    </w:p>
    <w:p w:rsidR="00000000" w:rsidDel="00000000" w:rsidP="00000000" w:rsidRDefault="00000000" w:rsidRPr="00000000" w14:paraId="00000043">
      <w:pPr>
        <w:spacing w:line="360" w:lineRule="auto"/>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sz w:val="24"/>
          <w:szCs w:val="24"/>
          <w:shd w:fill="ea9999" w:val="clear"/>
          <w:rtl w:val="0"/>
        </w:rPr>
        <w:t xml:space="preserve">OECD, “United Arab Emirates,” </w:t>
      </w:r>
      <w:r w:rsidDel="00000000" w:rsidR="00000000" w:rsidRPr="00000000">
        <w:rPr>
          <w:rFonts w:ascii="Times New Roman" w:cs="Times New Roman" w:eastAsia="Times New Roman" w:hAnsi="Times New Roman"/>
          <w:i w:val="1"/>
          <w:iCs w:val="1"/>
          <w:sz w:val="24"/>
          <w:szCs w:val="24"/>
          <w:shd w:fill="ea9999" w:val="clear"/>
          <w:rtl w:val="0"/>
        </w:rPr>
        <w:t xml:space="preserve">OECD</w:t>
      </w:r>
      <w:r w:rsidDel="00000000" w:rsidR="00000000" w:rsidRPr="00000000">
        <w:rPr>
          <w:rFonts w:ascii="Times New Roman" w:cs="Times New Roman" w:eastAsia="Times New Roman" w:hAnsi="Times New Roman"/>
          <w:sz w:val="24"/>
          <w:szCs w:val="24"/>
          <w:shd w:fill="ea9999" w:val="clear"/>
          <w:rtl w:val="0"/>
        </w:rPr>
        <w:t xml:space="preserve">, June 2024, doi: </w:t>
      </w:r>
      <w:hyperlink r:id="rId7">
        <w:r w:rsidDel="00000000" w:rsidR="00000000" w:rsidRPr="00000000">
          <w:rPr>
            <w:rFonts w:ascii="Times New Roman" w:cs="Times New Roman" w:eastAsia="Times New Roman" w:hAnsi="Times New Roman"/>
            <w:color w:val="1155cc"/>
            <w:sz w:val="24"/>
            <w:szCs w:val="24"/>
            <w:u w:val="single"/>
            <w:shd w:fill="ea9999" w:val="clear"/>
            <w:rtl w:val="0"/>
          </w:rPr>
          <w:t xml:space="preserve">https://www.oecd.org/en/publications/pisa-2022-results-volume-iv-factsheets_34d60137-en/united-arab-emirates_224364c6-en.html</w:t>
        </w:r>
      </w:hyperlink>
      <w:r w:rsidDel="00000000" w:rsidR="00000000" w:rsidRPr="00000000">
        <w:rPr>
          <w:rFonts w:ascii="Times New Roman" w:cs="Times New Roman" w:eastAsia="Times New Roman" w:hAnsi="Times New Roman"/>
          <w:sz w:val="24"/>
          <w:szCs w:val="24"/>
          <w:shd w:fill="ea9999" w:val="clear"/>
          <w:rtl w:val="0"/>
        </w:rPr>
        <w:t xml:space="preserve">.</w:t>
      </w:r>
    </w:p>
    <w:p w:rsidR="00000000" w:rsidDel="00000000" w:rsidP="00000000" w:rsidRDefault="00000000" w:rsidRPr="00000000" w14:paraId="00000044">
      <w:pPr>
        <w:spacing w:line="360" w:lineRule="auto"/>
        <w:rPr>
          <w:rFonts w:ascii="Times New Roman" w:cs="Times New Roman" w:eastAsia="Times New Roman" w:hAnsi="Times New Roman"/>
          <w:sz w:val="24"/>
          <w:szCs w:val="24"/>
          <w:shd w:fill="f78324" w:val="clear"/>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color w:val="747f8b"/>
          <w:sz w:val="21"/>
          <w:szCs w:val="21"/>
          <w:shd w:fill="f78324" w:val="clear"/>
        </w:rPr>
      </w:pPr>
      <w:r w:rsidDel="00000000" w:rsidR="00000000" w:rsidRPr="00000000">
        <w:rPr>
          <w:rFonts w:ascii="Times New Roman" w:cs="Times New Roman" w:eastAsia="Times New Roman" w:hAnsi="Times New Roman"/>
          <w:sz w:val="21"/>
          <w:szCs w:val="21"/>
          <w:shd w:fill="f78324" w:val="clear"/>
          <w:rtl w:val="0"/>
        </w:rPr>
        <w:t xml:space="preserve">“Annual complaints data and insight 2024/25,” </w:t>
      </w:r>
      <w:r w:rsidDel="00000000" w:rsidR="00000000" w:rsidRPr="00000000">
        <w:rPr>
          <w:rFonts w:ascii="Times New Roman" w:cs="Times New Roman" w:eastAsia="Times New Roman" w:hAnsi="Times New Roman"/>
          <w:i w:val="1"/>
          <w:iCs w:val="1"/>
          <w:sz w:val="21"/>
          <w:szCs w:val="21"/>
          <w:shd w:fill="f78324" w:val="clear"/>
          <w:rtl w:val="0"/>
        </w:rPr>
        <w:t xml:space="preserve">Financial Ombudsman</w:t>
      </w:r>
      <w:r w:rsidDel="00000000" w:rsidR="00000000" w:rsidRPr="00000000">
        <w:rPr>
          <w:rFonts w:ascii="Times New Roman" w:cs="Times New Roman" w:eastAsia="Times New Roman" w:hAnsi="Times New Roman"/>
          <w:sz w:val="21"/>
          <w:szCs w:val="21"/>
          <w:shd w:fill="f78324" w:val="clear"/>
          <w:rtl w:val="0"/>
        </w:rPr>
        <w:t xml:space="preserve">, 2024. </w:t>
      </w:r>
      <w:hyperlink r:id="rId8">
        <w:r w:rsidDel="00000000" w:rsidR="00000000" w:rsidRPr="00000000">
          <w:rPr>
            <w:rFonts w:ascii="Times New Roman" w:cs="Times New Roman" w:eastAsia="Times New Roman" w:hAnsi="Times New Roman"/>
            <w:color w:val="1155cc"/>
            <w:sz w:val="21"/>
            <w:szCs w:val="21"/>
            <w:u w:val="single"/>
            <w:shd w:fill="f78324" w:val="clear"/>
            <w:rtl w:val="0"/>
          </w:rPr>
          <w:t xml:space="preserve">https://www.financial-ombudsman.org.uk/data-insight/our-insight/annual-complaints-data-insight-2024-25</w:t>
        </w:r>
      </w:hyperlink>
      <w:r w:rsidDel="00000000" w:rsidR="00000000" w:rsidRPr="00000000">
        <w:rPr>
          <w:rFonts w:ascii="Times New Roman" w:cs="Times New Roman" w:eastAsia="Times New Roman" w:hAnsi="Times New Roman"/>
          <w:color w:val="747f8b"/>
          <w:sz w:val="21"/>
          <w:szCs w:val="21"/>
          <w:shd w:fill="f78324" w:val="clear"/>
          <w:rtl w:val="0"/>
        </w:rPr>
        <w:t xml:space="preserve">? </w:t>
      </w:r>
    </w:p>
    <w:p w:rsidR="00000000" w:rsidDel="00000000" w:rsidP="00000000" w:rsidRDefault="00000000" w:rsidRPr="00000000" w14:paraId="00000046">
      <w:pPr>
        <w:spacing w:line="360" w:lineRule="auto"/>
        <w:rPr>
          <w:rFonts w:ascii="Times New Roman" w:cs="Times New Roman" w:eastAsia="Times New Roman" w:hAnsi="Times New Roman"/>
          <w:color w:val="747f8b"/>
          <w:sz w:val="21"/>
          <w:szCs w:val="21"/>
          <w:shd w:fill="f78324" w:val="clear"/>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1"/>
          <w:szCs w:val="21"/>
          <w:shd w:fill="f78324" w:val="clear"/>
        </w:rPr>
      </w:pPr>
      <w:r w:rsidDel="00000000" w:rsidR="00000000" w:rsidRPr="00000000">
        <w:rPr>
          <w:rFonts w:ascii="Times New Roman" w:cs="Times New Roman" w:eastAsia="Times New Roman" w:hAnsi="Times New Roman"/>
          <w:sz w:val="21"/>
          <w:szCs w:val="21"/>
          <w:shd w:fill="f78324" w:val="clear"/>
          <w:rtl w:val="0"/>
        </w:rPr>
        <w:t xml:space="preserve">A. Lusardi and O. S. Mitchell, “The Economic Importance of Financial Literacy: Theory and Evidence,” </w:t>
      </w:r>
      <w:r w:rsidDel="00000000" w:rsidR="00000000" w:rsidRPr="00000000">
        <w:rPr>
          <w:rFonts w:ascii="Times New Roman" w:cs="Times New Roman" w:eastAsia="Times New Roman" w:hAnsi="Times New Roman"/>
          <w:i w:val="1"/>
          <w:iCs w:val="1"/>
          <w:sz w:val="21"/>
          <w:szCs w:val="21"/>
          <w:shd w:fill="f78324" w:val="clear"/>
          <w:rtl w:val="0"/>
        </w:rPr>
        <w:t xml:space="preserve">Journal of Economic Literature</w:t>
      </w:r>
      <w:r w:rsidDel="00000000" w:rsidR="00000000" w:rsidRPr="00000000">
        <w:rPr>
          <w:rFonts w:ascii="Times New Roman" w:cs="Times New Roman" w:eastAsia="Times New Roman" w:hAnsi="Times New Roman"/>
          <w:sz w:val="21"/>
          <w:szCs w:val="21"/>
          <w:shd w:fill="f78324" w:val="clear"/>
          <w:rtl w:val="0"/>
        </w:rPr>
        <w:t xml:space="preserve">, vol. 52, no. 1, pp. 5–44, Mar. 2014, doi: https://doi.org/10.1257/jel.52.1.5.</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c9daf8" w:val="clear"/>
          <w:rtl w:val="0"/>
        </w:rPr>
        <w:t xml:space="preserve">‌[1]</w:t>
      </w:r>
    </w:p>
    <w:p w:rsidR="00000000" w:rsidDel="00000000" w:rsidP="00000000" w:rsidRDefault="00000000" w:rsidRPr="00000000" w14:paraId="00000049">
      <w:pPr>
        <w:spacing w:line="360" w:lineRule="auto"/>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i w:val="1"/>
          <w:iCs w:val="1"/>
          <w:sz w:val="24"/>
          <w:szCs w:val="24"/>
          <w:shd w:fill="c9daf8" w:val="clear"/>
          <w:rtl w:val="0"/>
        </w:rPr>
        <w:t xml:space="preserve">Dhf-capital.com</w:t>
      </w:r>
      <w:r w:rsidDel="00000000" w:rsidR="00000000" w:rsidRPr="00000000">
        <w:rPr>
          <w:rFonts w:ascii="Times New Roman" w:cs="Times New Roman" w:eastAsia="Times New Roman" w:hAnsi="Times New Roman"/>
          <w:sz w:val="24"/>
          <w:szCs w:val="24"/>
          <w:shd w:fill="c9daf8" w:val="clear"/>
          <w:rtl w:val="0"/>
        </w:rPr>
        <w:t xml:space="preserve">, 2025. </w:t>
      </w:r>
      <w:hyperlink r:id="rId9">
        <w:r w:rsidDel="00000000" w:rsidR="00000000" w:rsidRPr="00000000">
          <w:rPr>
            <w:rFonts w:ascii="Times New Roman" w:cs="Times New Roman" w:eastAsia="Times New Roman" w:hAnsi="Times New Roman"/>
            <w:color w:val="1155cc"/>
            <w:sz w:val="24"/>
            <w:szCs w:val="24"/>
            <w:u w:val="single"/>
            <w:shd w:fill="c9daf8" w:val="clear"/>
            <w:rtl w:val="0"/>
          </w:rPr>
          <w:t xml:space="preserve">https://dhf-capital.com/press-releases/33-of-the-world-is-financially-literate-the-UAE-scores-30-7 </w:t>
        </w:r>
      </w:hyperlink>
      <w:r w:rsidDel="00000000" w:rsidR="00000000" w:rsidRPr="00000000">
        <w:rPr>
          <w:rFonts w:ascii="Times New Roman" w:cs="Times New Roman" w:eastAsia="Times New Roman" w:hAnsi="Times New Roman"/>
          <w:sz w:val="24"/>
          <w:szCs w:val="24"/>
          <w:shd w:fill="c9daf8" w:val="clear"/>
          <w:rtl w:val="0"/>
        </w:rPr>
        <w:t xml:space="preserve">(accessed June 02, 2026).</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c9daf8" w:val="clear"/>
          <w:rtl w:val="0"/>
        </w:rPr>
        <w:t xml:space="preserve">‌[2]</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sz w:val="24"/>
          <w:szCs w:val="24"/>
          <w:shd w:fill="c9daf8" w:val="clear"/>
          <w:rtl w:val="0"/>
        </w:rPr>
        <w:t xml:space="preserve">H. A. Hassan Al‐Tamimi and A. Anood Bin Kalli, “Financial literacy and investment decisions of UAE investors,” </w:t>
      </w:r>
      <w:r w:rsidDel="00000000" w:rsidR="00000000" w:rsidRPr="00000000">
        <w:rPr>
          <w:rFonts w:ascii="Times New Roman" w:cs="Times New Roman" w:eastAsia="Times New Roman" w:hAnsi="Times New Roman"/>
          <w:i w:val="1"/>
          <w:iCs w:val="1"/>
          <w:sz w:val="24"/>
          <w:szCs w:val="24"/>
          <w:shd w:fill="c9daf8" w:val="clear"/>
          <w:rtl w:val="0"/>
        </w:rPr>
        <w:t xml:space="preserve">The Journal of Risk Finance</w:t>
      </w:r>
      <w:r w:rsidDel="00000000" w:rsidR="00000000" w:rsidRPr="00000000">
        <w:rPr>
          <w:rFonts w:ascii="Times New Roman" w:cs="Times New Roman" w:eastAsia="Times New Roman" w:hAnsi="Times New Roman"/>
          <w:sz w:val="24"/>
          <w:szCs w:val="24"/>
          <w:shd w:fill="c9daf8" w:val="clear"/>
          <w:rtl w:val="0"/>
        </w:rPr>
        <w:t xml:space="preserve">, vol. 10, no. 5, pp. 500–516, Nov. 2009, doi: 10.1108/15265940911001402.</w:t>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hf-capital.com/press-releases/33-of-the-world-is-financially-literate-the-UAE-scores-30-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oecd.org/en/publications/pisa-2022-results-volume-iv-factsheets_34d60137-en/united-arab-emirates_224364c6-en.html" TargetMode="External"/><Relationship Id="rId8" Type="http://schemas.openxmlformats.org/officeDocument/2006/relationships/hyperlink" Target="https://www.financial-ombudsman.org.uk/data-insight/our-insight/annual-complaints-data-insight-202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