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178B" w14:textId="77777777" w:rsidR="00E4413D" w:rsidRDefault="00000000">
      <w:pPr>
        <w:spacing w:after="40"/>
      </w:pPr>
      <w:r>
        <w:rPr>
          <w:b/>
          <w:bCs/>
          <w:color w:val="E0A500"/>
          <w:sz w:val="18"/>
          <w:szCs w:val="18"/>
        </w:rPr>
        <w:t>DATA ANALYST PORTFOLIO — CASE STUDY</w:t>
      </w:r>
    </w:p>
    <w:p w14:paraId="38392848" w14:textId="77777777" w:rsidR="00E4413D" w:rsidRDefault="00000000">
      <w:pPr>
        <w:spacing w:after="260"/>
      </w:pPr>
      <w:r>
        <w:rPr>
          <w:b/>
          <w:bCs/>
          <w:color w:val="1C1B18"/>
          <w:sz w:val="44"/>
          <w:szCs w:val="44"/>
        </w:rPr>
        <w:t>Fleet Cycle-Time &amp; Production Analysis</w:t>
      </w:r>
    </w:p>
    <w:p w14:paraId="03CB2482" w14:textId="77777777" w:rsidR="00E4413D" w:rsidRDefault="00000000">
      <w:pPr>
        <w:spacing w:after="20"/>
      </w:pPr>
      <w:r>
        <w:rPr>
          <w:color w:val="6B6B6B"/>
          <w:sz w:val="21"/>
          <w:szCs w:val="21"/>
        </w:rPr>
        <w:t>Prepared by: Abiyu Raihan</w:t>
      </w:r>
    </w:p>
    <w:p w14:paraId="2344343E" w14:textId="77777777" w:rsidR="00E4413D" w:rsidRDefault="00000000">
      <w:pPr>
        <w:spacing w:after="300"/>
      </w:pPr>
      <w:r>
        <w:rPr>
          <w:i/>
          <w:iCs/>
          <w:color w:val="6B6B6B"/>
          <w:sz w:val="19"/>
          <w:szCs w:val="19"/>
        </w:rPr>
        <w:t>Dataset: Data Actual Cycle (165 hauling cycles, PC1250 / PC2000 / HD785) &amp; Data Plan — shift window 12:54–16:45, 3 Nov 2023</w:t>
      </w:r>
    </w:p>
    <w:p w14:paraId="0A94FE07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1. Executive Summary</w:t>
      </w:r>
    </w:p>
    <w:p w14:paraId="10E1FB4F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Across the recorded shift window, the fleet completed 165 truck-loading cycles and hauled 12,311 tons of material, using 22 excavators (8× PC1250, 14× PC2000) and 81 haul trucks (HD785) — matching the fleet size stated in the Plan sheet. Average payload per cycle was 74.6 tons against a 95-ton target, but almost all of that shortfall traces to a single issue: 19.4% of cycles (32 of 165) recorded zero tons. Loaded cycles alone actually average 92.6 tons, close to target. Cycle-time components are broadly in line with plan, with two consistent gaps worth acting on: spotting time runs above target for both excavator models, and haul distance (full-travel duration) — not loading speed — is what makes PC2000 cycles run 63% longer than PC1250 cycles.</w:t>
      </w:r>
    </w:p>
    <w:p w14:paraId="4872B1FB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2. Key Metrics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4413D" w14:paraId="44CB853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0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2D16F" w14:textId="77777777" w:rsidR="00E4413D" w:rsidRDefault="00000000">
            <w:r>
              <w:rPr>
                <w:b/>
                <w:bCs/>
                <w:color w:val="6B6B6B"/>
                <w:sz w:val="15"/>
                <w:szCs w:val="15"/>
              </w:rPr>
              <w:t>Total Cycles</w:t>
            </w:r>
          </w:p>
          <w:p w14:paraId="19C974B4" w14:textId="77777777" w:rsidR="00E4413D" w:rsidRDefault="00000000">
            <w:pPr>
              <w:spacing w:before="40"/>
            </w:pPr>
            <w:r>
              <w:rPr>
                <w:b/>
                <w:bCs/>
                <w:color w:val="1C1B18"/>
                <w:sz w:val="30"/>
                <w:szCs w:val="30"/>
              </w:rPr>
              <w:t>165</w:t>
            </w:r>
          </w:p>
        </w:tc>
        <w:tc>
          <w:tcPr>
            <w:tcW w:w="1870" w:type="dxa"/>
            <w:shd w:val="clear" w:color="auto" w:fill="F2F0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EEE16" w14:textId="77777777" w:rsidR="00E4413D" w:rsidRDefault="00000000">
            <w:r>
              <w:rPr>
                <w:b/>
                <w:bCs/>
                <w:color w:val="6B6B6B"/>
                <w:sz w:val="15"/>
                <w:szCs w:val="15"/>
              </w:rPr>
              <w:t>Total Tons Hauled</w:t>
            </w:r>
          </w:p>
          <w:p w14:paraId="6650B3E2" w14:textId="77777777" w:rsidR="00E4413D" w:rsidRDefault="00000000">
            <w:pPr>
              <w:spacing w:before="40"/>
            </w:pPr>
            <w:r>
              <w:rPr>
                <w:b/>
                <w:bCs/>
                <w:color w:val="1C1B18"/>
                <w:sz w:val="30"/>
                <w:szCs w:val="30"/>
              </w:rPr>
              <w:t>12,311 t</w:t>
            </w:r>
          </w:p>
        </w:tc>
        <w:tc>
          <w:tcPr>
            <w:tcW w:w="1870" w:type="dxa"/>
            <w:shd w:val="clear" w:color="auto" w:fill="F2F0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1C28A" w14:textId="77777777" w:rsidR="00E4413D" w:rsidRDefault="00000000">
            <w:r>
              <w:rPr>
                <w:b/>
                <w:bCs/>
                <w:color w:val="6B6B6B"/>
                <w:sz w:val="15"/>
                <w:szCs w:val="15"/>
              </w:rPr>
              <w:t>Avg Payload (all)</w:t>
            </w:r>
          </w:p>
          <w:p w14:paraId="6160EF03" w14:textId="77777777" w:rsidR="00E4413D" w:rsidRDefault="00000000">
            <w:pPr>
              <w:spacing w:before="40"/>
            </w:pPr>
            <w:r>
              <w:rPr>
                <w:b/>
                <w:bCs/>
                <w:color w:val="1C1B18"/>
                <w:sz w:val="30"/>
                <w:szCs w:val="30"/>
              </w:rPr>
              <w:t>74.6 t</w:t>
            </w:r>
          </w:p>
        </w:tc>
        <w:tc>
          <w:tcPr>
            <w:tcW w:w="1870" w:type="dxa"/>
            <w:shd w:val="clear" w:color="auto" w:fill="F2F0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E3FD9" w14:textId="77777777" w:rsidR="00E4413D" w:rsidRDefault="00000000">
            <w:r>
              <w:rPr>
                <w:b/>
                <w:bCs/>
                <w:color w:val="6B6B6B"/>
                <w:sz w:val="15"/>
                <w:szCs w:val="15"/>
              </w:rPr>
              <w:t>Zero-Ton Cycles</w:t>
            </w:r>
          </w:p>
          <w:p w14:paraId="43A4480A" w14:textId="77777777" w:rsidR="00E4413D" w:rsidRDefault="00000000">
            <w:pPr>
              <w:spacing w:before="40"/>
            </w:pPr>
            <w:r>
              <w:rPr>
                <w:b/>
                <w:bCs/>
                <w:color w:val="1C1B18"/>
                <w:sz w:val="30"/>
                <w:szCs w:val="30"/>
              </w:rPr>
              <w:t>19.4%</w:t>
            </w:r>
          </w:p>
        </w:tc>
        <w:tc>
          <w:tcPr>
            <w:tcW w:w="1870" w:type="dxa"/>
            <w:shd w:val="clear" w:color="auto" w:fill="F2F0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6C8A2B" w14:textId="77777777" w:rsidR="00E4413D" w:rsidRDefault="00000000">
            <w:r>
              <w:rPr>
                <w:b/>
                <w:bCs/>
                <w:color w:val="6B6B6B"/>
                <w:sz w:val="15"/>
                <w:szCs w:val="15"/>
              </w:rPr>
              <w:t>Avg Cycle Time</w:t>
            </w:r>
          </w:p>
          <w:p w14:paraId="2EFD41A1" w14:textId="77777777" w:rsidR="00E4413D" w:rsidRDefault="00000000">
            <w:pPr>
              <w:spacing w:before="40"/>
            </w:pPr>
            <w:r>
              <w:rPr>
                <w:b/>
                <w:bCs/>
                <w:color w:val="1C1B18"/>
                <w:sz w:val="30"/>
                <w:szCs w:val="30"/>
              </w:rPr>
              <w:t>27.7 min</w:t>
            </w:r>
          </w:p>
        </w:tc>
      </w:tr>
    </w:tbl>
    <w:p w14:paraId="4EC1A27C" w14:textId="77777777" w:rsidR="00E4413D" w:rsidRDefault="00E4413D">
      <w:pPr>
        <w:spacing w:after="200"/>
      </w:pPr>
    </w:p>
    <w:p w14:paraId="75834849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3. Cycle Time — Actual vs Plan</w:t>
      </w:r>
    </w:p>
    <w:p w14:paraId="4878FF2C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PC1250 cycles average 20.8 minutes total; PC2000 cycles average 33.9 minutes — 63% longer. The gap is driven almost entirely by full-travel duration (16.8 min for PC2000 vs 9.9 min for PC1250), not by loading speed, which differs by only ~2.4 minutes. Spot time overshoots plan for both models: PC1250 runs 1.56 min against a 0.9 min target, and PC2000 runs 2.15 min against the same 0.9 min target.</w:t>
      </w:r>
    </w:p>
    <w:p w14:paraId="64E20F20" w14:textId="77777777" w:rsidR="00E4413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2DC030A" wp14:editId="3FD32CC9">
            <wp:extent cx="6178485" cy="271780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48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E27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lastRenderedPageBreak/>
        <w:t>4. Payload Performance</w:t>
      </w:r>
    </w:p>
    <w:p w14:paraId="603C3DDA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The 95-ton payload target is being met on the cycles that actually load material — loaded-only averages are 87.3 t (PC1250) and 97.3 t (PC2000). The blended averages (70.5 t and 78.3 t) look like an underfilling problem but are actually a frequency problem: roughly 1 in 5 cycles carries no tonnage at all.</w:t>
      </w:r>
    </w:p>
    <w:p w14:paraId="021DAC51" w14:textId="77777777" w:rsidR="00E4413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F37ED62" wp14:editId="2B9FCB93">
            <wp:extent cx="5310908" cy="2336800"/>
            <wp:effectExtent l="0" t="0" r="4445" b="6350"/>
            <wp:docPr id="590361929" name="Picture 59036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77" cy="235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43EA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If the 32 zero-ton cycles had carried the average loaded payload instead, the shift would have hauled approximately 2,960 additional tons — about 24% more than the 12,311 tons actually recorded. This is the single largest recoverable-tonnage opportunity in the dataset, and is worth validating against the source dispatch/FMS log before assuming it reflects real operational idle time.</w:t>
      </w:r>
    </w:p>
    <w:p w14:paraId="06025376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5. Production Trend by Hour</w:t>
      </w:r>
    </w:p>
    <w:p w14:paraId="22488C1E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Production is heavily concentrated late in the shift: the 15:00 hour alone accounts for 82 of 165 cycles (50%) and 6,327 of 12,311 tons (51%). Average queue time also peaks in that hour at 4.1 minutes, versus 0.96 minutes the following hour — indicating that 15:00–16:00 is the operational bottleneck window where additional dispatch coordination would have the most impact.</w:t>
      </w:r>
    </w:p>
    <w:p w14:paraId="543421DB" w14:textId="77777777" w:rsidR="00E4413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066D4F7" wp14:editId="6925231C">
            <wp:extent cx="5772725" cy="2540000"/>
            <wp:effectExtent l="0" t="0" r="0" b="0"/>
            <wp:docPr id="421068733" name="Picture 42106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122" cy="25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A8EB" w14:textId="77777777" w:rsidR="00E4413D" w:rsidRDefault="00000000">
      <w:r>
        <w:br w:type="page"/>
      </w:r>
    </w:p>
    <w:p w14:paraId="7A7441D1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lastRenderedPageBreak/>
        <w:t>6. Material Mix &amp; Haul Routes</w:t>
      </w:r>
    </w:p>
    <w:p w14:paraId="590DF845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OB B, OB E and ROM materials account for the largest tonnage shares. On routes, Load G → Dump G is both the highest-volume route (43 cycles) and one of the shortest (7.35 min average full-travel), while Load E → Dump E and Load F → Dump F combine high cycle counts with the longest full-travel durations (~20 and ~19.6 minutes respectively) — these are the routes where haul-distance, not process time, is the main driver of cycle length.</w:t>
      </w:r>
    </w:p>
    <w:p w14:paraId="07FA46F6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7. Excavator Utilization</w:t>
      </w:r>
    </w:p>
    <w:p w14:paraId="27810151" w14:textId="77777777" w:rsidR="00E4413D" w:rsidRDefault="00000000">
      <w:pPr>
        <w:spacing w:after="140" w:line="300" w:lineRule="auto"/>
      </w:pPr>
      <w:r>
        <w:rPr>
          <w:color w:val="232220"/>
          <w:sz w:val="21"/>
          <w:szCs w:val="21"/>
        </w:rPr>
        <w:t>Utilization across the 22 excavators is uneven: PC012 completed 18 cycles in the window versus 2 for PC028 and PC032 — a 9x spread. Some of this is explained by shorter local routes, but the spread is wide enough to warrant checking whether it reflects deliberate dispatch strategy, unplanned downtime on the low-cycle units, or a genuine assignment imbalance.</w:t>
      </w:r>
    </w:p>
    <w:p w14:paraId="1B1C51E0" w14:textId="77777777" w:rsidR="00E4413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57D4731" wp14:editId="7A88AEDE">
            <wp:extent cx="4241800" cy="1866392"/>
            <wp:effectExtent l="0" t="0" r="6350" b="635"/>
            <wp:docPr id="334799475" name="Picture 334799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23" cy="18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2DC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8. Recommendations</w:t>
      </w:r>
    </w:p>
    <w:p w14:paraId="7BA94C82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Audit the zero-tonnage cycles first. Confirm with the FMS/dispatch team whether these 32 cycles are genuine empty runs or a payload-sensor / data-linking fault — this carries the largest potential tonnage upside in the dataset.</w:t>
      </w:r>
    </w:p>
    <w:p w14:paraId="28E90838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Review spotting procedure at the highest-volume pits (Load F, G, H), since both excavator models run over the spot-time target.</w:t>
      </w:r>
    </w:p>
    <w:p w14:paraId="0EED22E4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Re-balance excavator-to-route assignment: route short hauls (Load G/Dump G, Load A/Dump A) toward under-utilized units, and reserve long PC2000 hauls for units already running efficiently.</w:t>
      </w:r>
    </w:p>
    <w:p w14:paraId="3A603070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Add dispatch capacity ahead of the 15:00 peak, where queue time nearly quadruples versus the following hour.</w:t>
      </w:r>
    </w:p>
    <w:p w14:paraId="172F0797" w14:textId="77777777" w:rsidR="00E4413D" w:rsidRDefault="00000000">
      <w:pPr>
        <w:pStyle w:val="Heading1"/>
        <w:pBdr>
          <w:bottom w:val="single" w:sz="12" w:space="4" w:color="E0A500"/>
        </w:pBdr>
        <w:spacing w:before="300" w:after="160"/>
      </w:pPr>
      <w:r>
        <w:rPr>
          <w:b/>
          <w:bCs/>
          <w:color w:val="1C1B18"/>
          <w:sz w:val="30"/>
          <w:szCs w:val="30"/>
        </w:rPr>
        <w:t>9. Notes &amp; Data Caveats</w:t>
      </w:r>
    </w:p>
    <w:p w14:paraId="0242E99A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Duration fields (Queue, Spot, Loading, Full/Empty Travel, Dumping Time) are taken as provided by the source system, in seconds, converted to minutes for this analysis.</w:t>
      </w:r>
    </w:p>
    <w:p w14:paraId="5C085FD5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The dataset covers a single shift window (12:54–16:45, 3 Nov 2023); conclusions on utilization and bottlenecks should be validated against a longer time horizon before being used for standing operational decisions.</w:t>
      </w:r>
    </w:p>
    <w:p w14:paraId="485152A3" w14:textId="77777777" w:rsidR="00E4413D" w:rsidRDefault="00000000">
      <w:pPr>
        <w:pStyle w:val="ListParagraph"/>
        <w:numPr>
          <w:ilvl w:val="0"/>
          <w:numId w:val="1"/>
        </w:numPr>
        <w:spacing w:after="80" w:line="290" w:lineRule="auto"/>
      </w:pPr>
      <w:r>
        <w:rPr>
          <w:color w:val="232220"/>
          <w:sz w:val="21"/>
          <w:szCs w:val="21"/>
        </w:rPr>
        <w:t>LoadFactorValue was constant (95) across all rows, consistent with the Plan sheet's 95-ton payload target.</w:t>
      </w:r>
    </w:p>
    <w:sectPr w:rsidR="00E4413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1529D"/>
    <w:multiLevelType w:val="hybridMultilevel"/>
    <w:tmpl w:val="26060748"/>
    <w:lvl w:ilvl="0" w:tplc="9BB63C3A">
      <w:start w:val="1"/>
      <w:numFmt w:val="bullet"/>
      <w:lvlText w:val="●"/>
      <w:lvlJc w:val="left"/>
      <w:pPr>
        <w:ind w:left="720" w:hanging="360"/>
      </w:pPr>
    </w:lvl>
    <w:lvl w:ilvl="1" w:tplc="CFE645DE">
      <w:start w:val="1"/>
      <w:numFmt w:val="bullet"/>
      <w:lvlText w:val="○"/>
      <w:lvlJc w:val="left"/>
      <w:pPr>
        <w:ind w:left="1440" w:hanging="360"/>
      </w:pPr>
    </w:lvl>
    <w:lvl w:ilvl="2" w:tplc="CD0CEE7E">
      <w:start w:val="1"/>
      <w:numFmt w:val="bullet"/>
      <w:lvlText w:val="■"/>
      <w:lvlJc w:val="left"/>
      <w:pPr>
        <w:ind w:left="2160" w:hanging="360"/>
      </w:pPr>
    </w:lvl>
    <w:lvl w:ilvl="3" w:tplc="201E5FF8">
      <w:start w:val="1"/>
      <w:numFmt w:val="bullet"/>
      <w:lvlText w:val="●"/>
      <w:lvlJc w:val="left"/>
      <w:pPr>
        <w:ind w:left="2880" w:hanging="360"/>
      </w:pPr>
    </w:lvl>
    <w:lvl w:ilvl="4" w:tplc="2CD8C318">
      <w:start w:val="1"/>
      <w:numFmt w:val="bullet"/>
      <w:lvlText w:val="○"/>
      <w:lvlJc w:val="left"/>
      <w:pPr>
        <w:ind w:left="3600" w:hanging="360"/>
      </w:pPr>
    </w:lvl>
    <w:lvl w:ilvl="5" w:tplc="FD88EA36">
      <w:start w:val="1"/>
      <w:numFmt w:val="bullet"/>
      <w:lvlText w:val="■"/>
      <w:lvlJc w:val="left"/>
      <w:pPr>
        <w:ind w:left="4320" w:hanging="360"/>
      </w:pPr>
    </w:lvl>
    <w:lvl w:ilvl="6" w:tplc="DE724C7C">
      <w:start w:val="1"/>
      <w:numFmt w:val="bullet"/>
      <w:lvlText w:val="●"/>
      <w:lvlJc w:val="left"/>
      <w:pPr>
        <w:ind w:left="5040" w:hanging="360"/>
      </w:pPr>
    </w:lvl>
    <w:lvl w:ilvl="7" w:tplc="82A20414">
      <w:start w:val="1"/>
      <w:numFmt w:val="bullet"/>
      <w:lvlText w:val="●"/>
      <w:lvlJc w:val="left"/>
      <w:pPr>
        <w:ind w:left="5760" w:hanging="360"/>
      </w:pPr>
    </w:lvl>
    <w:lvl w:ilvl="8" w:tplc="E8C0CCE0">
      <w:start w:val="1"/>
      <w:numFmt w:val="bullet"/>
      <w:lvlText w:val="●"/>
      <w:lvlJc w:val="left"/>
      <w:pPr>
        <w:ind w:left="6480" w:hanging="360"/>
      </w:pPr>
    </w:lvl>
  </w:abstractNum>
  <w:num w:numId="1" w16cid:durableId="1552107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3D"/>
    <w:rsid w:val="000856C1"/>
    <w:rsid w:val="00B7741A"/>
    <w:rsid w:val="00E4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C2272"/>
  <w15:docId w15:val="{18B5DA08-C5C9-4562-88A8-335E0C76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Abiyu Raihan</cp:lastModifiedBy>
  <cp:revision>2</cp:revision>
  <dcterms:created xsi:type="dcterms:W3CDTF">2026-07-31T09:32:00Z</dcterms:created>
  <dcterms:modified xsi:type="dcterms:W3CDTF">2026-08-01T04:52:00Z</dcterms:modified>
</cp:coreProperties>
</file>