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proofErr w:type="spellStart"/>
            <w:r w:rsidRPr="00CF5622">
              <w:rPr>
                <w:rFonts w:ascii="Arial" w:eastAsia="Arial" w:hAnsi="Arial"/>
              </w:rPr>
              <w:t>Yth</w:t>
            </w:r>
            <w:proofErr w:type="spellEnd"/>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56F5E1F0" w:rsidR="00876D2A" w:rsidRPr="00CF5622" w:rsidRDefault="008642AE">
            <w:pPr>
              <w:rPr>
                <w:rFonts w:ascii="Arial" w:eastAsia="Arial" w:hAnsi="Arial"/>
              </w:rPr>
            </w:pPr>
            <w:hyperlink r:id="rId9" w:history="1">
              <w:r w:rsidR="00215826">
                <w:rPr>
                  <w:rFonts w:ascii="Arial" w:eastAsia="Arial" w:hAnsi="Arial"/>
                </w:rPr>
                <w:t>Rahasia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672CEB38" w:rsidR="00876D2A" w:rsidRPr="00CF5622" w:rsidRDefault="00876D2A">
            <w:pPr>
              <w:rPr>
                <w:rFonts w:ascii="Arial" w:eastAsia="Arial" w:hAnsi="Arial"/>
              </w:rPr>
            </w:pPr>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74A1A1ED" w:rsidR="00876D2A" w:rsidRPr="00CF5622" w:rsidRDefault="0069615A">
            <w:pPr>
              <w:rPr>
                <w:rFonts w:ascii="Arial" w:eastAsia="Arial" w:hAnsi="Arial"/>
              </w:rPr>
            </w:pPr>
            <w:r>
              <w:rPr>
                <w:rFonts w:ascii="Arial" w:hAnsi="Arial" w:cs="Arial"/>
              </w:rPr>
              <w:t>Penyampaian Laporan Penilaian BMN pada KPKNL Ternate untuk Dikaji Ulang</w:t>
            </w: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8642AE">
            <w:pPr>
              <w:rPr>
                <w:rFonts w:ascii="Arial" w:eastAsia="Arial" w:hAnsi="Arial"/>
              </w:rPr>
            </w:pPr>
            <w:hyperlink r:id="rId10"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36AA715A" w14:textId="18EE0A2F" w:rsidR="0069615A" w:rsidRDefault="0069615A" w:rsidP="0069615A">
      <w:pPr>
        <w:spacing w:line="276" w:lineRule="auto"/>
        <w:ind w:firstLine="720"/>
        <w:jc w:val="both"/>
        <w:rPr>
          <w:rFonts w:ascii="Arial" w:hAnsi="Arial" w:cs="Arial"/>
        </w:rPr>
      </w:pPr>
      <w:r>
        <w:rPr>
          <w:rFonts w:ascii="Arial" w:hAnsi="Arial" w:cs="Arial"/>
        </w:rPr>
        <w:t xml:space="preserve">Sehubungan dengan telah disampaikannya Laporan Penilaian BMN pada satuan kerja </w:t>
      </w:r>
      <w:r>
        <w:rPr>
          <w:rFonts w:ascii="Arial" w:hAnsi="Arial" w:cs="Arial"/>
        </w:rPr>
        <w:t xml:space="preserve">${pemohon} </w:t>
      </w:r>
      <w:r>
        <w:rPr>
          <w:rFonts w:ascii="Arial" w:hAnsi="Arial" w:cs="Arial"/>
        </w:rPr>
        <w:t xml:space="preserve">kepada Seksi Pengelolaan Kekayaan Negara sebagai pemohon, maka sesuai Peraturan Direktur Jenderal Kekayaan Negara Nomor 2/KN/2021 tentang Pedoman Pelaksanaan Penilaian, Kendali Mutu, dan Kaji Ulang atas Laporan Penilaian Oleh Penilai Pemerintah di lingkungan Direktorat Jenderal Kekayaan Negara, </w:t>
      </w:r>
      <w:proofErr w:type="spellStart"/>
      <w:r>
        <w:rPr>
          <w:rFonts w:ascii="Arial" w:hAnsi="Arial" w:cs="Arial"/>
          <w:i/>
          <w:iCs/>
        </w:rPr>
        <w:t>softcopy</w:t>
      </w:r>
      <w:proofErr w:type="spellEnd"/>
      <w:r>
        <w:rPr>
          <w:rFonts w:ascii="Arial" w:hAnsi="Arial" w:cs="Arial"/>
        </w:rPr>
        <w:t xml:space="preserve"> Laporan Penilaian selanjutnya akan dikirim ke Kantor Wilayah Direktorat Jenderal Kekayaan Negara Sulawesi Utara, Tengah, Gorontalo dan Maluku Utara guna dilakukan kaji ulang.</w:t>
      </w:r>
    </w:p>
    <w:p w14:paraId="43CB61E3" w14:textId="77777777" w:rsidR="0069615A" w:rsidRDefault="0069615A" w:rsidP="0069615A">
      <w:pPr>
        <w:spacing w:line="276" w:lineRule="auto"/>
        <w:ind w:firstLine="720"/>
        <w:jc w:val="both"/>
        <w:rPr>
          <w:rFonts w:ascii="Arial" w:hAnsi="Arial" w:cs="Arial"/>
        </w:rPr>
      </w:pPr>
      <w:r>
        <w:rPr>
          <w:rFonts w:ascii="Arial" w:hAnsi="Arial" w:cs="Arial"/>
        </w:rPr>
        <w:t>Selanjutnya, apabila Bapak tidak berpendapat lain, terlampir disampaikan konsep nota dinas Bapak kepada Kepala Kantor Wilayah Direktorat Jenderal Kekayaan Negara Sulawesi Utara, Tengah, Gorontalo dan Maluku Utara guna mengantarkan Laporan Penilaian dimaksud untuk dilakukan kaji ulang, mohon perkenan Bapak untuk dapat menandatanganinya.</w:t>
      </w:r>
    </w:p>
    <w:p w14:paraId="646C33A9" w14:textId="4A3D0E4C" w:rsidR="00CF5622" w:rsidRPr="000D7E93" w:rsidRDefault="0069615A" w:rsidP="0069615A">
      <w:pPr>
        <w:ind w:firstLine="720"/>
        <w:jc w:val="both"/>
        <w:rPr>
          <w:rFonts w:ascii="Arial" w:eastAsia="Arial" w:hAnsi="Arial"/>
        </w:rPr>
      </w:pPr>
      <w:r>
        <w:rPr>
          <w:rFonts w:ascii="Arial" w:hAnsi="Arial" w:cs="Arial"/>
        </w:rPr>
        <w:t>Demikian kami sampaikan, atas perhatian dan arahannya, diucapkan terima kasih</w:t>
      </w:r>
      <w:r>
        <w:rPr>
          <w:rFonts w:ascii="Arial" w:hAnsi="Arial" w:cs="Arial"/>
        </w:rPr>
        <w:t>.</w:t>
      </w:r>
    </w:p>
    <w:p w14:paraId="3B820E35" w14:textId="77777777" w:rsidR="003A41A6" w:rsidRPr="00CF5622" w:rsidRDefault="003A41A6"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1"/>
      <w:footerReference w:type="default" r:id="rId12"/>
      <w:headerReference w:type="first" r:id="rId13"/>
      <w:footerReference w:type="first" r:id="rId14"/>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0392" w14:textId="77777777" w:rsidR="008642AE" w:rsidRDefault="008642AE">
      <w:r>
        <w:separator/>
      </w:r>
    </w:p>
  </w:endnote>
  <w:endnote w:type="continuationSeparator" w:id="0">
    <w:p w14:paraId="225E49B3" w14:textId="77777777" w:rsidR="008642AE" w:rsidRDefault="0086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B465" w14:textId="77777777" w:rsidR="008642AE" w:rsidRDefault="008642AE">
      <w:r>
        <w:separator/>
      </w:r>
    </w:p>
  </w:footnote>
  <w:footnote w:type="continuationSeparator" w:id="0">
    <w:p w14:paraId="5859FB48" w14:textId="77777777" w:rsidR="008642AE" w:rsidRDefault="00864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8642AE">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D7E"/>
    <w:multiLevelType w:val="hybridMultilevel"/>
    <w:tmpl w:val="F6828A6E"/>
    <w:lvl w:ilvl="0" w:tplc="30384FFC">
      <w:start w:val="1"/>
      <w:numFmt w:val="decimal"/>
      <w:lvlText w:val="%1."/>
      <w:lvlJc w:val="left"/>
      <w:pPr>
        <w:ind w:left="720" w:hanging="360"/>
      </w:pPr>
      <w:rPr>
        <w:rFonts w:ascii="Arial" w:eastAsia="Arial" w:hAnsi="Arial"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B348CA"/>
    <w:multiLevelType w:val="hybridMultilevel"/>
    <w:tmpl w:val="E81CFA60"/>
    <w:lvl w:ilvl="0" w:tplc="4EFC82D6">
      <w:start w:val="1"/>
      <w:numFmt w:val="decimal"/>
      <w:lvlText w:val="%1."/>
      <w:lvlJc w:val="left"/>
      <w:pPr>
        <w:ind w:left="469" w:hanging="360"/>
      </w:pPr>
      <w:rPr>
        <w:rFonts w:ascii="Arial" w:eastAsia="Arial" w:hAnsi="Arial" w:cs="Arial" w:hint="default"/>
      </w:rPr>
    </w:lvl>
    <w:lvl w:ilvl="1" w:tplc="38090019">
      <w:start w:val="1"/>
      <w:numFmt w:val="lowerLetter"/>
      <w:lvlText w:val="%2."/>
      <w:lvlJc w:val="left"/>
      <w:pPr>
        <w:ind w:left="1189" w:hanging="360"/>
      </w:pPr>
    </w:lvl>
    <w:lvl w:ilvl="2" w:tplc="3809001B">
      <w:start w:val="1"/>
      <w:numFmt w:val="lowerRoman"/>
      <w:lvlText w:val="%3."/>
      <w:lvlJc w:val="right"/>
      <w:pPr>
        <w:ind w:left="1909" w:hanging="180"/>
      </w:pPr>
    </w:lvl>
    <w:lvl w:ilvl="3" w:tplc="3809000F">
      <w:start w:val="1"/>
      <w:numFmt w:val="decimal"/>
      <w:lvlText w:val="%4."/>
      <w:lvlJc w:val="left"/>
      <w:pPr>
        <w:ind w:left="2629" w:hanging="360"/>
      </w:pPr>
    </w:lvl>
    <w:lvl w:ilvl="4" w:tplc="38090019">
      <w:start w:val="1"/>
      <w:numFmt w:val="lowerLetter"/>
      <w:lvlText w:val="%5."/>
      <w:lvlJc w:val="left"/>
      <w:pPr>
        <w:ind w:left="3349" w:hanging="360"/>
      </w:pPr>
    </w:lvl>
    <w:lvl w:ilvl="5" w:tplc="3809001B">
      <w:start w:val="1"/>
      <w:numFmt w:val="lowerRoman"/>
      <w:lvlText w:val="%6."/>
      <w:lvlJc w:val="right"/>
      <w:pPr>
        <w:ind w:left="4069" w:hanging="180"/>
      </w:pPr>
    </w:lvl>
    <w:lvl w:ilvl="6" w:tplc="3809000F">
      <w:start w:val="1"/>
      <w:numFmt w:val="decimal"/>
      <w:lvlText w:val="%7."/>
      <w:lvlJc w:val="left"/>
      <w:pPr>
        <w:ind w:left="4789" w:hanging="360"/>
      </w:pPr>
    </w:lvl>
    <w:lvl w:ilvl="7" w:tplc="38090019">
      <w:start w:val="1"/>
      <w:numFmt w:val="lowerLetter"/>
      <w:lvlText w:val="%8."/>
      <w:lvlJc w:val="left"/>
      <w:pPr>
        <w:ind w:left="5509" w:hanging="360"/>
      </w:pPr>
    </w:lvl>
    <w:lvl w:ilvl="8" w:tplc="3809001B">
      <w:start w:val="1"/>
      <w:numFmt w:val="lowerRoman"/>
      <w:lvlText w:val="%9."/>
      <w:lvlJc w:val="right"/>
      <w:pPr>
        <w:ind w:left="6229"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091318"/>
    <w:rsid w:val="000D7E93"/>
    <w:rsid w:val="00192400"/>
    <w:rsid w:val="00215826"/>
    <w:rsid w:val="00375EE8"/>
    <w:rsid w:val="00387735"/>
    <w:rsid w:val="003A41A6"/>
    <w:rsid w:val="003C2AE1"/>
    <w:rsid w:val="004B2F5C"/>
    <w:rsid w:val="0056320E"/>
    <w:rsid w:val="00623116"/>
    <w:rsid w:val="0069615A"/>
    <w:rsid w:val="006B3959"/>
    <w:rsid w:val="007A5216"/>
    <w:rsid w:val="00841F06"/>
    <w:rsid w:val="008642AE"/>
    <w:rsid w:val="00876D2A"/>
    <w:rsid w:val="008D3D40"/>
    <w:rsid w:val="009467A2"/>
    <w:rsid w:val="00B01D51"/>
    <w:rsid w:val="00B474EC"/>
    <w:rsid w:val="00C80AA3"/>
    <w:rsid w:val="00CF5622"/>
    <w:rsid w:val="00D17ADC"/>
    <w:rsid w:val="00DA2F57"/>
    <w:rsid w:val="00DB6AB4"/>
    <w:rsid w:val="00E07204"/>
    <w:rsid w:val="00E54150"/>
    <w:rsid w:val="00ED7362"/>
    <w:rsid w:val="00EE3E69"/>
    <w:rsid w:val="00F235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776">
      <w:bodyDiv w:val="1"/>
      <w:marLeft w:val="0"/>
      <w:marRight w:val="0"/>
      <w:marTop w:val="0"/>
      <w:marBottom w:val="0"/>
      <w:divBdr>
        <w:top w:val="none" w:sz="0" w:space="0" w:color="auto"/>
        <w:left w:val="none" w:sz="0" w:space="0" w:color="auto"/>
        <w:bottom w:val="none" w:sz="0" w:space="0" w:color="auto"/>
        <w:right w:val="none" w:sz="0" w:space="0" w:color="auto"/>
      </w:divBdr>
    </w:div>
    <w:div w:id="96147052">
      <w:bodyDiv w:val="1"/>
      <w:marLeft w:val="0"/>
      <w:marRight w:val="0"/>
      <w:marTop w:val="0"/>
      <w:marBottom w:val="0"/>
      <w:divBdr>
        <w:top w:val="none" w:sz="0" w:space="0" w:color="auto"/>
        <w:left w:val="none" w:sz="0" w:space="0" w:color="auto"/>
        <w:bottom w:val="none" w:sz="0" w:space="0" w:color="auto"/>
        <w:right w:val="none" w:sz="0" w:space="0" w:color="auto"/>
      </w:divBdr>
    </w:div>
    <w:div w:id="747459399">
      <w:bodyDiv w:val="1"/>
      <w:marLeft w:val="0"/>
      <w:marRight w:val="0"/>
      <w:marTop w:val="0"/>
      <w:marBottom w:val="0"/>
      <w:divBdr>
        <w:top w:val="none" w:sz="0" w:space="0" w:color="auto"/>
        <w:left w:val="none" w:sz="0" w:space="0" w:color="auto"/>
        <w:bottom w:val="none" w:sz="0" w:space="0" w:color="auto"/>
        <w:right w:val="none" w:sz="0" w:space="0" w:color="auto"/>
      </w:divBdr>
      <w:divsChild>
        <w:div w:id="286662245">
          <w:marLeft w:val="0"/>
          <w:marRight w:val="0"/>
          <w:marTop w:val="0"/>
          <w:marBottom w:val="0"/>
          <w:divBdr>
            <w:top w:val="none" w:sz="0" w:space="0" w:color="auto"/>
            <w:left w:val="none" w:sz="0" w:space="0" w:color="auto"/>
            <w:bottom w:val="none" w:sz="0" w:space="0" w:color="auto"/>
            <w:right w:val="none" w:sz="0" w:space="0" w:color="auto"/>
          </w:divBdr>
          <w:divsChild>
            <w:div w:id="1964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175">
      <w:bodyDiv w:val="1"/>
      <w:marLeft w:val="0"/>
      <w:marRight w:val="0"/>
      <w:marTop w:val="0"/>
      <w:marBottom w:val="0"/>
      <w:divBdr>
        <w:top w:val="none" w:sz="0" w:space="0" w:color="auto"/>
        <w:left w:val="none" w:sz="0" w:space="0" w:color="auto"/>
        <w:bottom w:val="none" w:sz="0" w:space="0" w:color="auto"/>
        <w:right w:val="none" w:sz="0" w:space="0" w:color="auto"/>
      </w:divBdr>
      <w:divsChild>
        <w:div w:id="280768868">
          <w:marLeft w:val="0"/>
          <w:marRight w:val="0"/>
          <w:marTop w:val="0"/>
          <w:marBottom w:val="0"/>
          <w:divBdr>
            <w:top w:val="none" w:sz="0" w:space="0" w:color="auto"/>
            <w:left w:val="none" w:sz="0" w:space="0" w:color="auto"/>
            <w:bottom w:val="none" w:sz="0" w:space="0" w:color="auto"/>
            <w:right w:val="none" w:sz="0" w:space="0" w:color="auto"/>
          </w:divBdr>
          <w:divsChild>
            <w:div w:id="4893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2104">
      <w:bodyDiv w:val="1"/>
      <w:marLeft w:val="0"/>
      <w:marRight w:val="0"/>
      <w:marTop w:val="0"/>
      <w:marBottom w:val="0"/>
      <w:divBdr>
        <w:top w:val="none" w:sz="0" w:space="0" w:color="auto"/>
        <w:left w:val="none" w:sz="0" w:space="0" w:color="auto"/>
        <w:bottom w:val="none" w:sz="0" w:space="0" w:color="auto"/>
        <w:right w:val="none" w:sz="0" w:space="0" w:color="auto"/>
      </w:divBdr>
    </w:div>
    <w:div w:id="194060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5b@TanggalND%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16</cp:revision>
  <dcterms:created xsi:type="dcterms:W3CDTF">2022-02-12T04:59:00Z</dcterms:created>
  <dcterms:modified xsi:type="dcterms:W3CDTF">2022-02-16T04:55:00Z</dcterms:modified>
</cp:coreProperties>
</file>