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A2E36"/>
          <w:sz w:val="50"/>
          <w:szCs w:val="50"/>
        </w:rPr>
        <w:t xml:space="preserve">PathologyLoss Figure Atlas</w:t>
      </w:r>
    </w:p>
    <w:p>
      <w:pPr>
        <w:spacing w:after="300"/>
      </w:pPr>
      <w:r>
        <w:rPr>
          <w:i/>
          <w:iCs/>
          <w:color w:val="556E77"/>
          <w:sz w:val="22"/>
          <w:szCs w:val="22"/>
        </w:rPr>
        <w:t xml:space="preserve">Every figure produced by the 50-epoch publication run on BraTS 2021 — twenty-two plates, in the order the argument needs them, each marked for whether it can go in the paper as it stands.</w:t>
      </w:r>
    </w:p>
    <w:tbl>
      <w:tblPr>
        <w:tblW w:type="dxa" w:w="67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4"/>
        <w:gridCol w:w="2234"/>
        <w:gridCol w:w="2234"/>
      </w:tblGrid>
      <w:tr>
        <w:tc>
          <w:tcPr>
            <w:tcW w:type="dxa" w:w="2234"/>
            <w:shd w:fill="F2F5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6E77"/>
                <w:sz w:val="13"/>
                <w:szCs w:val="13"/>
              </w:rPr>
              <w:t xml:space="preserve">RUN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A2E36"/>
                <w:sz w:val="19"/>
                <w:szCs w:val="19"/>
              </w:rPr>
              <w:t xml:space="preserve">phasefinal_seed1</w:t>
            </w:r>
          </w:p>
        </w:tc>
        <w:tc>
          <w:tcPr>
            <w:tcW w:type="dxa" w:w="2234"/>
            <w:shd w:fill="F2F5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6E77"/>
                <w:sz w:val="13"/>
                <w:szCs w:val="13"/>
              </w:rPr>
              <w:t xml:space="preserve">SUBJECTS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A2E36"/>
                <w:sz w:val="19"/>
                <w:szCs w:val="19"/>
              </w:rPr>
              <w:t xml:space="preserve">100</w:t>
            </w:r>
          </w:p>
        </w:tc>
        <w:tc>
          <w:tcPr>
            <w:tcW w:type="dxa" w:w="2234"/>
            <w:shd w:fill="F2F5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6E77"/>
                <w:sz w:val="13"/>
                <w:szCs w:val="13"/>
              </w:rPr>
              <w:t xml:space="preserve">SPLIT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A2E36"/>
                <w:sz w:val="19"/>
                <w:szCs w:val="19"/>
              </w:rPr>
              <w:t xml:space="preserve">80 / 20 by patient</w:t>
            </w:r>
          </w:p>
        </w:tc>
      </w:tr>
      <w:tr>
        <w:tc>
          <w:tcPr>
            <w:tcW w:type="dxa" w:w="2234"/>
            <w:shd w:fill="F2F5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6E77"/>
                <w:sz w:val="13"/>
                <w:szCs w:val="13"/>
              </w:rPr>
              <w:t xml:space="preserve">EPOCHS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A2E36"/>
                <w:sz w:val="19"/>
                <w:szCs w:val="19"/>
              </w:rPr>
              <w:t xml:space="preserve">50</w:t>
            </w:r>
          </w:p>
        </w:tc>
        <w:tc>
          <w:tcPr>
            <w:tcW w:type="dxa" w:w="2234"/>
            <w:shd w:fill="F2F5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6E77"/>
                <w:sz w:val="13"/>
                <w:szCs w:val="13"/>
              </w:rPr>
              <w:t xml:space="preserve">OBJECTIVES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A2E36"/>
                <w:sz w:val="19"/>
                <w:szCs w:val="19"/>
              </w:rPr>
              <w:t xml:space="preserve">5 + 2 anchors</w:t>
            </w:r>
          </w:p>
        </w:tc>
        <w:tc>
          <w:tcPr>
            <w:tcW w:type="dxa" w:w="2234"/>
            <w:shd w:fill="F2F5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56E77"/>
                <w:sz w:val="13"/>
                <w:szCs w:val="13"/>
              </w:rPr>
              <w:t xml:space="preserve">WALL CLOCK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A2E36"/>
                <w:sz w:val="19"/>
                <w:szCs w:val="19"/>
              </w:rPr>
              <w:t xml:space="preserve">36 h 05 m</w:t>
            </w:r>
          </w:p>
        </w:tc>
      </w:tr>
    </w:tbl>
    <w:p>
      <w:pPr>
        <w:spacing w:after="60" w:before="260"/>
      </w:pPr>
      <w:r>
        <w:rPr>
          <w:b/>
          <w:bCs/>
          <w:color w:val="1A2E36"/>
          <w:sz w:val="21"/>
          <w:szCs w:val="21"/>
        </w:rPr>
        <w:t xml:space="preserve">How to read the status marks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  </w:t>
      </w:r>
      <w:r>
        <w:rPr>
          <w:color w:val="556E77"/>
          <w:sz w:val="19"/>
          <w:szCs w:val="19"/>
        </w:rPr>
        <w:t xml:space="preserve">usable as it stands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96630F"/>
          <w:sz w:val="16"/>
          <w:szCs w:val="16"/>
        </w:rPr>
        <w:t xml:space="preserve">[CARE]  </w:t>
      </w:r>
      <w:r>
        <w:rPr>
          <w:color w:val="556E77"/>
          <w:sz w:val="19"/>
          <w:szCs w:val="19"/>
        </w:rPr>
        <w:t xml:space="preserve">usable with a caveat stated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9C3A2A"/>
          <w:sz w:val="16"/>
          <w:szCs w:val="16"/>
        </w:rPr>
        <w:t xml:space="preserve">[RETIRE]  </w:t>
      </w:r>
      <w:r>
        <w:rPr>
          <w:color w:val="556E77"/>
          <w:sz w:val="19"/>
          <w:szCs w:val="19"/>
        </w:rPr>
        <w:t xml:space="preserve">contradicts the current analysis — do not show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C6B85"/>
          <w:spacing w:val="30"/>
          <w:sz w:val="15"/>
          <w:szCs w:val="15"/>
        </w:rPr>
        <w:t xml:space="preserve">ACT 01</w:t>
      </w:r>
    </w:p>
    <w:p>
      <w:pPr>
        <w:pStyle w:val="Heading1"/>
        <w:spacing w:after="100"/>
      </w:pPr>
      <w:r>
        <w:rPr>
          <w:b/>
          <w:bCs/>
          <w:color w:val="1A2E36"/>
          <w:sz w:val="30"/>
          <w:szCs w:val="30"/>
        </w:rPr>
        <w:t xml:space="preserve">The problem</w:t>
      </w:r>
    </w:p>
    <w:p>
      <w:pPr>
        <w:spacing w:after="240"/>
      </w:pPr>
      <w:r>
        <w:rPr>
          <w:color w:val="556E77"/>
          <w:sz w:val="20"/>
          <w:szCs w:val="20"/>
        </w:rPr>
        <w:t xml:space="preserve">Rician noise at sigma = 0.08, applied in the image domain the way magnitude-reconstructed MRI actually carries it. Segmenting the corrupted input scores 0.3186 Dice on enhancing tumour; segmenting the clean image scores 0.6345. Everything in this study lives in that gap.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7430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fig01  </w:t>
      </w:r>
      <w:r>
        <w:rPr>
          <w:b/>
          <w:bCs/>
          <w:color w:val="1A2E36"/>
          <w:sz w:val="21"/>
          <w:szCs w:val="21"/>
        </w:rPr>
        <w:t xml:space="preserve">The input data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One subject, four co-registered modalities — T1, T1ce, T2, FLAIR — with the expert label map. T1ce is where enhancing tumour shows, which is why every qualitative plate here uses it.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43529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fig02  </w:t>
      </w:r>
      <w:r>
        <w:rPr>
          <w:b/>
          <w:bCs/>
          <w:color w:val="1A2E36"/>
          <w:sz w:val="21"/>
          <w:szCs w:val="21"/>
        </w:rPr>
        <w:t xml:space="preserve">What the corruption does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Clean against corrupted, same windowing. The damage is not uniform in consequence: fine enhancing-tumour margins disappear while bulk white matter survives looking acceptable.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35242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fig10  </w:t>
      </w:r>
      <w:r>
        <w:rPr>
          <w:b/>
          <w:bCs/>
          <w:color w:val="1A2E36"/>
          <w:sz w:val="21"/>
          <w:szCs w:val="21"/>
        </w:rPr>
        <w:t xml:space="preserve">Noise progression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The same slice across increasing sigma, showing where 0.08 sits. Useful for justifying the operating point — though the study only ever trains and tests at 0.08, so generalisation across this axis is untested.</w:t>
      </w:r>
    </w:p>
    <w:p>
      <w:r>
        <w:br w:type="page"/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C6B85"/>
          <w:spacing w:val="30"/>
          <w:sz w:val="15"/>
          <w:szCs w:val="15"/>
        </w:rPr>
        <w:t xml:space="preserve">ACT 02</w:t>
      </w:r>
    </w:p>
    <w:p>
      <w:pPr>
        <w:pStyle w:val="Heading1"/>
        <w:spacing w:after="100"/>
      </w:pPr>
      <w:r>
        <w:rPr>
          <w:b/>
          <w:bCs/>
          <w:color w:val="1A2E36"/>
          <w:sz w:val="30"/>
          <w:szCs w:val="30"/>
        </w:rPr>
        <w:t xml:space="preserve">The method</w:t>
      </w:r>
    </w:p>
    <w:p>
      <w:pPr>
        <w:spacing w:after="240"/>
      </w:pPr>
      <w:r>
        <w:rPr>
          <w:color w:val="556E77"/>
          <w:sz w:val="20"/>
          <w:szCs w:val="20"/>
        </w:rPr>
        <w:t xml:space="preserve">A restoration network trained with an extra term that weights reconstruction error inside the nested BraTS regions — whole tumour contains tumour core contains enhancing tumour — at 1:2:3, each normalised by its own area.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7430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fig09  </w:t>
      </w:r>
      <w:r>
        <w:rPr>
          <w:b/>
          <w:bCs/>
          <w:color w:val="1A2E36"/>
          <w:sz w:val="21"/>
          <w:szCs w:val="21"/>
        </w:rPr>
        <w:t xml:space="preserve">The nested regions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WT, TC and ET on a real slice. The nesting is the structural claim: these are not three separate labels but three shells, so a voxel inside ET is also inside TC and WT and accumulates all three weights.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66687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fig11  </w:t>
      </w:r>
      <w:r>
        <w:rPr>
          <w:b/>
          <w:bCs/>
          <w:color w:val="1A2E36"/>
          <w:sz w:val="21"/>
          <w:szCs w:val="21"/>
        </w:rPr>
        <w:t xml:space="preserve">The weight map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The coefficient each voxel actually receives. Because every region is normalised by its own area, the multiplier is size-dependent rather than a fixed 6x; measured on real data the effective ratio comes out 2.97 : 2.04 : 1.00, so the intended ordering survives.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7240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fig13  </w:t>
      </w:r>
      <w:r>
        <w:rPr>
          <w:b/>
          <w:bCs/>
          <w:color w:val="1A2E36"/>
          <w:sz w:val="21"/>
          <w:szCs w:val="21"/>
        </w:rPr>
        <w:t xml:space="preserve">Evaluation pipeline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Corrupt, restore, then segment with a segmentor trained on clean images and frozen. Every objective is judged by the identical frozen network, so a Dice difference can only come from the restoration.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41910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fig14  </w:t>
      </w:r>
      <w:r>
        <w:rPr>
          <w:b/>
          <w:bCs/>
          <w:color w:val="1A2E36"/>
          <w:sz w:val="21"/>
          <w:szCs w:val="21"/>
        </w:rPr>
        <w:t xml:space="preserve">The cross-modal term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The four modalities are co-registered, so structure should agree across them. This term is in the matched control too — and it turns out to be doing most of the work.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1144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fig12  </w:t>
      </w:r>
      <w:r>
        <w:rPr>
          <w:b/>
          <w:bCs/>
          <w:color w:val="1A2E36"/>
          <w:sz w:val="21"/>
          <w:szCs w:val="21"/>
        </w:rPr>
        <w:t xml:space="preserve">Where each objective looks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Spatial distribution of loss for each objective on one slice. The clearest single picture of what distinguishes the arms before any metric is computed.</w:t>
      </w:r>
    </w:p>
    <w:p>
      <w:r>
        <w:br w:type="page"/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C6B85"/>
          <w:spacing w:val="30"/>
          <w:sz w:val="15"/>
          <w:szCs w:val="15"/>
        </w:rPr>
        <w:t xml:space="preserve">ACT 03</w:t>
      </w:r>
    </w:p>
    <w:p>
      <w:pPr>
        <w:pStyle w:val="Heading1"/>
        <w:spacing w:after="100"/>
      </w:pPr>
      <w:r>
        <w:rPr>
          <w:b/>
          <w:bCs/>
          <w:color w:val="1A2E36"/>
          <w:sz w:val="30"/>
          <w:szCs w:val="30"/>
        </w:rPr>
        <w:t xml:space="preserve">What came out</w:t>
      </w:r>
    </w:p>
    <w:p>
      <w:pPr>
        <w:spacing w:after="240"/>
      </w:pPr>
      <w:r>
        <w:rPr>
          <w:color w:val="556E77"/>
          <w:sz w:val="20"/>
          <w:szCs w:val="20"/>
        </w:rPr>
        <w:t xml:space="preserve">All seven arms on slice 95 of BraTS2021_00014, chosen automatically as the slice on which the arms disagree most — a slice they all handle identically demonstrates nothing.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8382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fig03  </w:t>
      </w:r>
      <w:r>
        <w:rPr>
          <w:b/>
          <w:bCs/>
          <w:color w:val="1A2E36"/>
          <w:sz w:val="21"/>
          <w:szCs w:val="21"/>
        </w:rPr>
        <w:t xml:space="preserve">Restored output, all arms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Identical windowing across arms, so brightness differences are real rather than a display artefact. To the eye these are nearly indistinguishable — the honest starting point for everything that follows.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085850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fig04  </w:t>
      </w:r>
      <w:r>
        <w:rPr>
          <w:b/>
          <w:bCs/>
          <w:color w:val="1A2E36"/>
          <w:sz w:val="21"/>
          <w:szCs w:val="21"/>
        </w:rPr>
        <w:t xml:space="preserve">Reconstruction error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Absolute error on one shared colour scale, so a brighter panel genuinely means worse. The differences the eye could not find in fig03 are visible here, concentrated exactly where each objective was told to care.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97167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fig05  </w:t>
      </w:r>
      <w:r>
        <w:rPr>
          <w:b/>
          <w:bCs/>
          <w:color w:val="1A2E36"/>
          <w:sz w:val="21"/>
          <w:szCs w:val="21"/>
        </w:rPr>
        <w:t xml:space="preserve">Segmentation agreement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Green found real tumour, red missed it, blue invented it. The blue is the column to read: Dice rewards finding tumour and does not symmetrically punish inventing it.</w:t>
      </w:r>
    </w:p>
    <w:p>
      <w:r>
        <w:br w:type="page"/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C6B85"/>
          <w:spacing w:val="30"/>
          <w:sz w:val="15"/>
          <w:szCs w:val="15"/>
        </w:rPr>
        <w:t xml:space="preserve">ACT 04</w:t>
      </w:r>
    </w:p>
    <w:p>
      <w:pPr>
        <w:pStyle w:val="Heading1"/>
        <w:spacing w:after="100"/>
      </w:pPr>
      <w:r>
        <w:rPr>
          <w:b/>
          <w:bCs/>
          <w:color w:val="1A2E36"/>
          <w:sz w:val="30"/>
          <w:szCs w:val="30"/>
        </w:rPr>
        <w:t xml:space="preserve">Results</w:t>
      </w:r>
    </w:p>
    <w:p>
      <w:pPr>
        <w:spacing w:after="240"/>
      </w:pPr>
      <w:r>
        <w:rPr>
          <w:color w:val="556E77"/>
          <w:sz w:val="20"/>
          <w:szCs w:val="20"/>
        </w:rPr>
        <w:t xml:space="preserve">Twenty held-out patients, 1206 slices. Inference is at patient level throughout: 1206 slices from 20 people are not 1206 independent observations, and treating them as such inflates significance roughly tenfold.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511492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paper fig1  </w:t>
      </w:r>
      <w:r>
        <w:rPr>
          <w:b/>
          <w:bCs/>
          <w:color w:val="1A2E36"/>
          <w:sz w:val="21"/>
          <w:szCs w:val="21"/>
        </w:rPr>
        <w:t xml:space="preserve">Accuracy by objective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Dice on enhancing tumour per objective, bootstrap 95% intervals over patients, floor and ceiling marked. The matched control — which contains no pathology term at all — sits highest, essentially at the clean-image ceiling.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4448175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paper fig2  </w:t>
      </w:r>
      <w:r>
        <w:rPr>
          <w:b/>
          <w:bCs/>
          <w:color w:val="1A2E36"/>
          <w:sz w:val="21"/>
          <w:szCs w:val="21"/>
        </w:rPr>
        <w:t xml:space="preserve">Accuracy against global fidelity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The arm with the best picture is not the arm best for the tumour. PathologyLoss has the lowest global PSNR of the five trained arms, by design.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4619625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paper fig3  </w:t>
      </w:r>
      <w:r>
        <w:rPr>
          <w:b/>
          <w:bCs/>
          <w:color w:val="1A2E36"/>
          <w:sz w:val="21"/>
          <w:szCs w:val="21"/>
        </w:rPr>
        <w:t xml:space="preserve">Accuracy against targeted fidelity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The same plot against PSNR measured only inside enhancing tumour — where the claim actually lives. PathologyLoss is furthest right: +0.94 dB over L1 on 19 of 19 patients. This is the run's most robust positive result.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3533775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paper fig6  </w:t>
      </w:r>
      <w:r>
        <w:rPr>
          <w:b/>
          <w:bCs/>
          <w:color w:val="1A2E36"/>
          <w:sz w:val="21"/>
          <w:szCs w:val="21"/>
        </w:rPr>
        <w:t xml:space="preserve">Per-region breakdown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Every arm plotted as its change from the matched control, split by region. Read the sign carefully: the bars run downward, so each arm shown is worse than the control. The gaps are largest on enhancing tumour — the innermost, most heavily weighted shell — and near zero on whole tumour. PathologyLoss sits about 0.04 Dice below the control on ET, which is this plate's version of the central negative result.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2695575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paper fig4  </w:t>
      </w:r>
      <w:r>
        <w:rPr>
          <w:b/>
          <w:bCs/>
          <w:color w:val="1A2E36"/>
          <w:sz w:val="21"/>
          <w:szCs w:val="21"/>
        </w:rPr>
        <w:t xml:space="preserve">Every arm, every metric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The whole result surface at once. The trade-off reads as a diagonal: arms that win on region-restricted fidelity lose on global fidelity, and no arm wins everywhere.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4410075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fig07  </w:t>
      </w:r>
      <w:r>
        <w:rPr>
          <w:b/>
          <w:bCs/>
          <w:color w:val="1A2E36"/>
          <w:sz w:val="21"/>
          <w:szCs w:val="21"/>
        </w:rPr>
        <w:t xml:space="preserve">The fidelity paradox  </w:t>
      </w:r>
      <w:r>
        <w:rPr>
          <w:rFonts w:ascii="Consolas" w:cs="Consolas" w:eastAsia="Consolas" w:hAnsi="Consolas"/>
          <w:b/>
          <w:bCs/>
          <w:color w:val="96630F"/>
          <w:sz w:val="16"/>
          <w:szCs w:val="16"/>
        </w:rPr>
        <w:t xml:space="preserve">[CARE]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The run's own version of paper fig2, regenerated after the crash. The clean-image anchor has infinite PSNR and no position on this axis, so it is noted under the plot rather than drawn. Not submission-ready: the five trained arms land almost on top of one another and their labels overlap illegibly. Use paper fig2 instead.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4010025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fig08  </w:t>
      </w:r>
      <w:r>
        <w:rPr>
          <w:b/>
          <w:bCs/>
          <w:color w:val="1A2E36"/>
          <w:sz w:val="21"/>
          <w:szCs w:val="21"/>
        </w:rPr>
        <w:t xml:space="preserve">Training curves  </w:t>
      </w:r>
      <w:r>
        <w:rPr>
          <w:rFonts w:ascii="Consolas" w:cs="Consolas" w:eastAsia="Consolas" w:hAnsi="Consolas"/>
          <w:b/>
          <w:bCs/>
          <w:color w:val="96630F"/>
          <w:sz w:val="16"/>
          <w:szCs w:val="16"/>
        </w:rPr>
        <w:t xml:space="preserve">[CARE]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All five objectives, log scale. Loss heights are not comparable — each arm minimises a different functional — so read shape only. Two caveats: the per-epoch histories were held in memory and lost when the run crashed, so this is rebuilt from the log at 5-epoch resolution; and all five were still improving slightly at epoch 50.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2000250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fig06  </w:t>
      </w:r>
      <w:r>
        <w:rPr>
          <w:b/>
          <w:bCs/>
          <w:color w:val="1A2E36"/>
          <w:sz w:val="21"/>
          <w:szCs w:val="21"/>
        </w:rPr>
        <w:t xml:space="preserve">Metric bars  </w:t>
      </w:r>
      <w:r>
        <w:rPr>
          <w:rFonts w:ascii="Consolas" w:cs="Consolas" w:eastAsia="Consolas" w:hAnsi="Consolas"/>
          <w:b/>
          <w:bCs/>
          <w:color w:val="96630F"/>
          <w:sz w:val="16"/>
          <w:szCs w:val="16"/>
        </w:rPr>
        <w:t xml:space="preserve">[CARE]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The figure whose crash cost the run its exit code: the clean arm's PSNR is infinite and matplotlib refused the axis. Now drawn from the finite bars with the infinite one marked. Use with care — these are slice-level pooled means, which are descriptive only; paper fig1 is the version with valid intervals.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2790825"/>
            <wp:effectExtent t="0" r="0" b="0" l="0"/>
            <wp:docPr id="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fig15  </w:t>
      </w:r>
      <w:r>
        <w:rPr>
          <w:b/>
          <w:bCs/>
          <w:color w:val="1A2E36"/>
          <w:sz w:val="21"/>
          <w:szCs w:val="21"/>
        </w:rPr>
        <w:t xml:space="preserve">Results table  </w:t>
      </w:r>
      <w:r>
        <w:rPr>
          <w:rFonts w:ascii="Consolas" w:cs="Consolas" w:eastAsia="Consolas" w:hAnsi="Consolas"/>
          <w:b/>
          <w:bCs/>
          <w:color w:val="96630F"/>
          <w:sz w:val="16"/>
          <w:szCs w:val="16"/>
        </w:rPr>
        <w:t xml:space="preserve">[CARE]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Convenient for a slide, but slice-level like fig06. For the manuscript use table1_main_results.tex, which is patient-level and carries confidence intervals.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4333875"/>
            <wp:effectExtent t="0" r="0" b="0" l="0"/>
            <wp:docPr id="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paper fig5  </w:t>
      </w:r>
      <w:r>
        <w:rPr>
          <w:b/>
          <w:bCs/>
          <w:color w:val="1A2E36"/>
          <w:sz w:val="21"/>
          <w:szCs w:val="21"/>
        </w:rPr>
        <w:t xml:space="preserve">Gain decomposition  </w:t>
      </w:r>
      <w:r>
        <w:rPr>
          <w:rFonts w:ascii="Consolas" w:cs="Consolas" w:eastAsia="Consolas" w:hAnsi="Consolas"/>
          <w:b/>
          <w:bCs/>
          <w:color w:val="9C3A2A"/>
          <w:sz w:val="16"/>
          <w:szCs w:val="16"/>
        </w:rPr>
        <w:t xml:space="preserve">[RETIRE]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This plate attributes the improvement 65% to the base terms and 35% to the pathology term. At 50 epochs that split is approximately 100 : 0 — the matched control beats plain L1 by MORE than PathologyLoss does. The figure now contradicts its own source data and should not be shown.</w:t>
      </w:r>
    </w:p>
    <w:p>
      <w:r>
        <w:br w:type="page"/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C6B85"/>
          <w:spacing w:val="30"/>
          <w:sz w:val="15"/>
          <w:szCs w:val="15"/>
        </w:rPr>
        <w:t xml:space="preserve">ACT 05</w:t>
      </w:r>
    </w:p>
    <w:p>
      <w:pPr>
        <w:pStyle w:val="Heading1"/>
        <w:spacing w:after="100"/>
      </w:pPr>
      <w:r>
        <w:rPr>
          <w:b/>
          <w:bCs/>
          <w:color w:val="1A2E36"/>
          <w:sz w:val="30"/>
          <w:szCs w:val="30"/>
        </w:rPr>
        <w:t xml:space="preserve">The decisive plate</w:t>
      </w:r>
    </w:p>
    <w:p>
      <w:pPr>
        <w:spacing w:after="240"/>
      </w:pPr>
      <w:r>
        <w:rPr>
          <w:color w:val="556E77"/>
          <w:sz w:val="20"/>
          <w:szCs w:val="20"/>
        </w:rPr>
        <w:t xml:space="preserve">The figure a reviewer looks at first, and the first one this project could build — earlier runs saved no slice dumps.</w:t>
      </w:r>
    </w:p>
    <w:p>
      <w:pPr>
        <w:spacing w:after="80" w:before="160"/>
        <w:jc w:val="center"/>
      </w:pPr>
      <w:r>
        <w:drawing>
          <wp:inline distT="0" distB="0" distL="0" distR="0">
            <wp:extent cx="3609975" cy="8382000"/>
            <wp:effectExtent t="0" r="0" b="0" l="0"/>
            <wp:docPr id="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C6B85"/>
          <w:sz w:val="18"/>
          <w:szCs w:val="18"/>
        </w:rPr>
        <w:t xml:space="preserve">paper fig7  </w:t>
      </w:r>
      <w:r>
        <w:rPr>
          <w:b/>
          <w:bCs/>
          <w:color w:val="1A2E36"/>
          <w:sz w:val="21"/>
          <w:szCs w:val="21"/>
        </w:rPr>
        <w:t xml:space="preserve">Qualitative comparison, all seven arms  </w:t>
      </w:r>
      <w:r>
        <w:rPr>
          <w:rFonts w:ascii="Consolas" w:cs="Consolas" w:eastAsia="Consolas" w:hAnsi="Consolas"/>
          <w:b/>
          <w:bCs/>
          <w:color w:val="3E7050"/>
          <w:sz w:val="16"/>
          <w:szCs w:val="16"/>
        </w:rPr>
        <w:t xml:space="preserve">[CITE]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BraTS2021_00002, slice 40, T1ce. Three panels per objective: restored, absolute error, and segmentation — green found real enhancing tumour, red missed it, blue invented it.</w:t>
      </w:r>
    </w:p>
    <w:p>
      <w:r>
        <w:br w:type="page"/>
      </w:r>
    </w:p>
    <w:p>
      <w:pPr>
        <w:pBdr>
          <w:bottom w:val="single" w:color="D2DADD" w:sz="6" w:space="6"/>
        </w:pBdr>
        <w:spacing w:after="120"/>
      </w:pPr>
      <w:r>
        <w:rPr>
          <w:b/>
          <w:bCs/>
          <w:color w:val="1A2E36"/>
          <w:sz w:val="24"/>
          <w:szCs w:val="24"/>
        </w:rPr>
        <w:t xml:space="preserve">Provenance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All twenty-two plates come from one run, phasefinal_seed1, on 100 BraTS 2021 subjects split 80/20 by patient with zero overlap. Source data is per_slice_metrics.csv — 8442 rows, 11 metrics x 1206 held-out slices x 7 arms. Nothing here is simulated or carried over from an earlier run.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One seed. A single-seed result is suggestive, not settled, and 20 patients with Dice standard deviations near 0.24 is thinly powered for the small differences at issue.</w:t>
      </w:r>
    </w:p>
    <w:p>
      <w:pPr>
        <w:spacing w:after="260"/>
      </w:pPr>
      <w:r>
        <w:rPr>
          <w:color w:val="556E77"/>
          <w:sz w:val="19"/>
          <w:szCs w:val="19"/>
        </w:rPr>
        <w:t xml:space="preserve">Read the blue in paper fig7. PathologyLoss carries the highest false-positive rate of any trained arm, 13.1% against 8.8% for plain L1, significantly worse than both L1 (p = 0.012) and BraSyn (p = 0.028). It finds more enhancing tumour and it invents more. No table in the paper shows that; that plate does.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6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a56a0040c1c74df4606d3a7ccdd1e1ef329ceae.png"/><Relationship Id="rId8" Type="http://schemas.openxmlformats.org/officeDocument/2006/relationships/image" Target="media/3c01c51fa07176a6f6e5325d66da89738d72b7d4.png"/><Relationship Id="rId9" Type="http://schemas.openxmlformats.org/officeDocument/2006/relationships/image" Target="media/9bf1cf2eca939cb2806c8df35390697b4154eb29.png"/><Relationship Id="rId10" Type="http://schemas.openxmlformats.org/officeDocument/2006/relationships/image" Target="media/44684cec190b975cc1bf0e41a50599a333e9bd80.png"/><Relationship Id="rId11" Type="http://schemas.openxmlformats.org/officeDocument/2006/relationships/image" Target="media/b9d75c001ea647620b49e0c278dda98a07e02e9b.png"/><Relationship Id="rId12" Type="http://schemas.openxmlformats.org/officeDocument/2006/relationships/image" Target="media/7f902613e75a401be238d124cef7cd5edaa74db7.png"/><Relationship Id="rId13" Type="http://schemas.openxmlformats.org/officeDocument/2006/relationships/image" Target="media/bbfd6ea3543e38916cf21fe94d7ea1a2b4b85ebd.png"/><Relationship Id="rId14" Type="http://schemas.openxmlformats.org/officeDocument/2006/relationships/image" Target="media/fdfb85cab7f907af4d84a9c3dcdbe5d43da98971.png"/><Relationship Id="rId15" Type="http://schemas.openxmlformats.org/officeDocument/2006/relationships/image" Target="media/4965789770bf9b317a443f06dbbc2b100053bd2b.png"/><Relationship Id="rId16" Type="http://schemas.openxmlformats.org/officeDocument/2006/relationships/image" Target="media/114234fa195a0e813ca11ffcdcf10919f33c8f5f.png"/><Relationship Id="rId17" Type="http://schemas.openxmlformats.org/officeDocument/2006/relationships/image" Target="media/abb8996e9e8b957d5f63971f654268c429144057.png"/><Relationship Id="rId18" Type="http://schemas.openxmlformats.org/officeDocument/2006/relationships/image" Target="media/40cd8e56c94114a5e7f4ac36e286ff37ee353362.png"/><Relationship Id="rId19" Type="http://schemas.openxmlformats.org/officeDocument/2006/relationships/image" Target="media/0707ef24006157758576bee9a82608a38efbd41b.png"/><Relationship Id="rId20" Type="http://schemas.openxmlformats.org/officeDocument/2006/relationships/image" Target="media/e7125a1814e3a77ebfce4daa6683f3c8cb4035d0.png"/><Relationship Id="rId21" Type="http://schemas.openxmlformats.org/officeDocument/2006/relationships/image" Target="media/245686048be1ba8410acef235a40ecee86fa124e.png"/><Relationship Id="rId22" Type="http://schemas.openxmlformats.org/officeDocument/2006/relationships/image" Target="media/f33d61a61b720fb1da0a14406b1770382528edc1.png"/><Relationship Id="rId23" Type="http://schemas.openxmlformats.org/officeDocument/2006/relationships/image" Target="media/b30a70cd5461b1ab94f3c47abe25d3bf75c111c5.png"/><Relationship Id="rId24" Type="http://schemas.openxmlformats.org/officeDocument/2006/relationships/image" Target="media/226cc477ac4a6044d62ec9f0f08130a560e09986.png"/><Relationship Id="rId25" Type="http://schemas.openxmlformats.org/officeDocument/2006/relationships/image" Target="media/7474c93d4e8c3d9c63f7bd1947fe488b9c9c3227.png"/><Relationship Id="rId26" Type="http://schemas.openxmlformats.org/officeDocument/2006/relationships/image" Target="media/31a89c362a0d09e9a4aba0a4c2968343b6768eee.png"/><Relationship Id="rId27" Type="http://schemas.openxmlformats.org/officeDocument/2006/relationships/image" Target="media/fbea1385c17f7275d5d0f0fdf331f8021100f521.png"/><Relationship Id="rId28" Type="http://schemas.openxmlformats.org/officeDocument/2006/relationships/image" Target="media/2e38ee56f60f823f65ec54839b79cb011427239e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PathologyLoss Figure Atlas</dc:title>
  <dc:creator>Abika Osinachi Bright</dc:creator>
  <dc:description>All 22 figures from the 50-epoch BraTS 2021 publication run.</dc:description>
  <cp:lastModifiedBy>Un-named</cp:lastModifiedBy>
  <cp:revision>1</cp:revision>
  <dcterms:created xsi:type="dcterms:W3CDTF">2026-10-21T17:49:43.750Z</dcterms:created>
  <dcterms:modified xsi:type="dcterms:W3CDTF">2026-10-21T17:49:43.751Z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