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98.png" ContentType="image/png"/>
  <Override PartName="/word/media/rId93.png" ContentType="image/png"/>
  <Override PartName="/word/media/rId66.png" ContentType="image/png"/>
  <Override PartName="/word/media/rId48.png" ContentType="image/png"/>
  <Override PartName="/word/media/rId106.png" ContentType="image/png"/>
  <Override PartName="/word/media/rId110.png" ContentType="image/png"/>
  <Override PartName="/word/media/rId131.png" ContentType="image/png"/>
  <Override PartName="/word/media/rId148.png" ContentType="image/png"/>
  <Override PartName="/word/media/rId114.png" ContentType="image/png"/>
  <Override PartName="/word/media/rId127.png" ContentType="image/png"/>
  <Override PartName="/word/media/rId122.png" ContentType="image/png"/>
  <Override PartName="/word/media/rId139.png" ContentType="image/png"/>
  <Override PartName="/word/media/rId144.png" ContentType="image/png"/>
  <Override PartName="/word/media/rId118.png" ContentType="image/png"/>
  <Override PartName="/word/media/rId135.png" ContentType="image/png"/>
  <Override PartName="/word/media/rId40.png" ContentType="image/png"/>
  <Override PartName="/word/media/rId58.png" ContentType="image/png"/>
  <Override PartName="/word/media/rId28.png" ContentType="image/png"/>
  <Override PartName="/word/media/rId32.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descritiva</w:t>
      </w:r>
    </w:p>
    <w:p>
      <w:pPr>
        <w:pStyle w:val="Author"/>
      </w:pPr>
      <w:r>
        <w:t xml:space="preserve">ABJ</w:t>
      </w:r>
    </w:p>
    <w:p>
      <w:pPr>
        <w:pStyle w:val="Data"/>
      </w:pPr>
      <w:r>
        <w:t xml:space="preserve">2023-05-22</w:t>
      </w:r>
    </w:p>
    <w:bookmarkStart w:id="21" w:name="introdução"/>
    <w:p>
      <w:pPr>
        <w:pStyle w:val="Ttulo1"/>
      </w:pPr>
      <w:r>
        <w:t xml:space="preserve">Introdução</w:t>
      </w:r>
    </w:p>
    <w:p>
      <w:pPr>
        <w:pStyle w:val="FirstParagraph"/>
      </w:pPr>
      <w:r>
        <w:t xml:space="preserve">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pPr>
        <w:pStyle w:val="Corpodetexto"/>
      </w:pPr>
      <w:r>
        <w:t xml:space="preserve">A pesquisa será desenvolvida a partir de 16 perguntas norteadoras, listadas abaixo.</w:t>
      </w:r>
    </w:p>
    <w:p>
      <w:pPr>
        <w:numPr>
          <w:ilvl w:val="0"/>
          <w:numId w:val="1001"/>
        </w:numPr>
        <w:pStyle w:val="Compact"/>
      </w:pPr>
      <w:r>
        <w:t xml:space="preserve">Quais são as atividades que conectam e alimentam a cadeia de fluxos de capitais que promovem o desmatamento?</w:t>
      </w:r>
    </w:p>
    <w:p>
      <w:pPr>
        <w:numPr>
          <w:ilvl w:val="0"/>
          <w:numId w:val="1001"/>
        </w:numPr>
        <w:pStyle w:val="Compact"/>
      </w:pPr>
      <w:r>
        <w:t xml:space="preserve">Quem são os atores envolvidos nos casos de lavagem de dinheiro e corrupção relacionados a crimes ambientais?</w:t>
      </w:r>
    </w:p>
    <w:p>
      <w:pPr>
        <w:numPr>
          <w:ilvl w:val="0"/>
          <w:numId w:val="1001"/>
        </w:numPr>
        <w:pStyle w:val="Compact"/>
      </w:pPr>
      <w:r>
        <w:t xml:space="preserve">Quais são os desafios na diferenciação entre atividades legais e ilegais para fins de identificação de fluxos de lavagem de capitais?</w:t>
      </w:r>
    </w:p>
    <w:p>
      <w:pPr>
        <w:numPr>
          <w:ilvl w:val="0"/>
          <w:numId w:val="1001"/>
        </w:numPr>
        <w:pStyle w:val="Compact"/>
      </w:pPr>
      <w:r>
        <w:t xml:space="preserve">Quais as teses jurídicas de defesa mais utilizadas nas ações envolvendo lavagem de dinheiro, fluxos de capitais para atividades ambientais ilegais e lavagem de dinheiro?</w:t>
      </w:r>
    </w:p>
    <w:p>
      <w:pPr>
        <w:numPr>
          <w:ilvl w:val="0"/>
          <w:numId w:val="1001"/>
        </w:numPr>
        <w:pStyle w:val="Compact"/>
      </w:pPr>
      <w:r>
        <w:t xml:space="preserve">Existem padrões identificáveis nos casos judicializados quanto às circunstâncias, características dos autores, modalidades e tipos de crimes ambientais?</w:t>
      </w:r>
    </w:p>
    <w:p>
      <w:pPr>
        <w:numPr>
          <w:ilvl w:val="0"/>
          <w:numId w:val="1001"/>
        </w:numPr>
        <w:pStyle w:val="Compact"/>
      </w:pPr>
      <w:r>
        <w:t xml:space="preserve">Quais são as decisões tomadas e seus fundamentos jurídicos de fato e a razão de decidir apresentadas nesses casos?</w:t>
      </w:r>
    </w:p>
    <w:p>
      <w:pPr>
        <w:numPr>
          <w:ilvl w:val="0"/>
          <w:numId w:val="1001"/>
        </w:numPr>
        <w:pStyle w:val="Compact"/>
      </w:pPr>
      <w:r>
        <w:t xml:space="preserve">Qual o papel do Poder Judiciário no combate à lavagem de dinheiro e corrupção relacionados a crimes ambientais?</w:t>
      </w:r>
    </w:p>
    <w:p>
      <w:pPr>
        <w:numPr>
          <w:ilvl w:val="0"/>
          <w:numId w:val="1001"/>
        </w:numPr>
        <w:pStyle w:val="Compact"/>
      </w:pPr>
      <w:r>
        <w:t xml:space="preserve">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pPr>
        <w:numPr>
          <w:ilvl w:val="0"/>
          <w:numId w:val="1001"/>
        </w:numPr>
        <w:pStyle w:val="Compact"/>
      </w:pPr>
      <w:r>
        <w:t xml:space="preserve">Como especificar, em caso de crimes ambientais complexos e de grande monta, os mandantes indiretos? Há pessoas jurídicas envolvidas? Há desconsideração de pessoa jurídica nesses casos?</w:t>
      </w:r>
    </w:p>
    <w:p>
      <w:pPr>
        <w:numPr>
          <w:ilvl w:val="0"/>
          <w:numId w:val="1001"/>
        </w:numPr>
        <w:pStyle w:val="Compact"/>
      </w:pPr>
      <w:r>
        <w:t xml:space="preserve">Há normas de ESG (</w:t>
      </w:r>
      <w:r>
        <w:rPr>
          <w:iCs/>
          <w:i/>
        </w:rPr>
        <w:t xml:space="preserve">environmental</w:t>
      </w:r>
      <w:r>
        <w:t xml:space="preserve">,</w:t>
      </w:r>
      <w:r>
        <w:t xml:space="preserve"> </w:t>
      </w:r>
      <w:r>
        <w:rPr>
          <w:iCs/>
          <w:i/>
        </w:rPr>
        <w:t xml:space="preserve">social</w:t>
      </w:r>
      <w:r>
        <w:t xml:space="preserve">,</w:t>
      </w:r>
      <w:r>
        <w:t xml:space="preserve"> </w:t>
      </w:r>
      <w:r>
        <w:rPr>
          <w:iCs/>
          <w:i/>
        </w:rPr>
        <w:t xml:space="preserve">and Governance</w:t>
      </w:r>
      <w:r>
        <w:t xml:space="preserve">) que podem reduzir a lavagem de capitais e o fluxo de capitais para atividades ambientais ilegais?</w:t>
      </w:r>
    </w:p>
    <w:p>
      <w:pPr>
        <w:numPr>
          <w:ilvl w:val="0"/>
          <w:numId w:val="1001"/>
        </w:numPr>
        <w:pStyle w:val="Compact"/>
      </w:pPr>
      <w:r>
        <w:t xml:space="preserve">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pPr>
        <w:numPr>
          <w:ilvl w:val="0"/>
          <w:numId w:val="1001"/>
        </w:numPr>
        <w:pStyle w:val="Compact"/>
      </w:pPr>
      <w:r>
        <w:t xml:space="preserve">Há correlação entre a incidência de crimes contra a vida ou ameaça em regiões de alta ocorrência de desmatamento, ou mineração ilegal ou crimes ambientais em geral?</w:t>
      </w:r>
    </w:p>
    <w:p>
      <w:pPr>
        <w:numPr>
          <w:ilvl w:val="0"/>
          <w:numId w:val="1001"/>
        </w:numPr>
        <w:pStyle w:val="Compact"/>
      </w:pPr>
      <w:r>
        <w:t xml:space="preserve">Há relação entre a ocorrência da alta incidência de demandas judiciais de conflitos fundiários com crimes ambientais ou crimes contra a vida?</w:t>
      </w:r>
    </w:p>
    <w:p>
      <w:pPr>
        <w:numPr>
          <w:ilvl w:val="0"/>
          <w:numId w:val="1001"/>
        </w:numPr>
        <w:pStyle w:val="Compact"/>
      </w:pPr>
      <w:r>
        <w:t xml:space="preserve">Qual o tempo de duração médio das ações criminais que envolvam a temática ambiental?</w:t>
      </w:r>
    </w:p>
    <w:p>
      <w:pPr>
        <w:numPr>
          <w:ilvl w:val="0"/>
          <w:numId w:val="1001"/>
        </w:numPr>
        <w:pStyle w:val="Compact"/>
      </w:pPr>
      <w:r>
        <w:t xml:space="preserve">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pPr>
        <w:numPr>
          <w:ilvl w:val="0"/>
          <w:numId w:val="1001"/>
        </w:numPr>
        <w:pStyle w:val="Compact"/>
      </w:pPr>
      <w:r>
        <w:t xml:space="preserve">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bookmarkStart w:id="20" w:name="objetivo"/>
    <w:p>
      <w:pPr>
        <w:pStyle w:val="Ttulo2"/>
      </w:pPr>
      <w:r>
        <w:t xml:space="preserve">Objetivo</w:t>
      </w:r>
    </w:p>
    <w:p>
      <w:pPr>
        <w:pStyle w:val="FirstParagraph"/>
      </w:pPr>
      <w:r>
        <w:t xml:space="preserve">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pPr>
        <w:pStyle w:val="Corpodetexto"/>
      </w:pPr>
      <w:r>
        <w:t xml:space="preserve">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bookmarkEnd w:id="20"/>
    <w:bookmarkEnd w:id="21"/>
    <w:bookmarkStart w:id="37" w:name="bases-de-dados"/>
    <w:p>
      <w:pPr>
        <w:pStyle w:val="Ttulo1"/>
      </w:pPr>
      <w:r>
        <w:t xml:space="preserve">Bases de dados</w:t>
      </w:r>
    </w:p>
    <w:p>
      <w:pPr>
        <w:pStyle w:val="FirstParagraph"/>
      </w:pPr>
      <w:r>
        <w:t xml:space="preserve">A análise considera três bases de processos, que chamamos de SireneJud, DataJud e TRF1. Descrevemos as bases de dados a seguir.</w:t>
      </w:r>
    </w:p>
    <w:bookmarkStart w:id="23" w:name="sirenejud"/>
    <w:p>
      <w:pPr>
        <w:pStyle w:val="Ttulo2"/>
      </w:pPr>
      <w:r>
        <w:t xml:space="preserve">SireneJud</w:t>
      </w:r>
    </w:p>
    <w:p>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w:t>
      </w:r>
      <w:r>
        <w:t xml:space="preserve"> </w:t>
      </w:r>
      <w:hyperlink r:id="rId22">
        <w:r>
          <w:rPr>
            <w:rStyle w:val="Hyperlink"/>
          </w:rPr>
          <w:t xml:space="preserve">link de dados abertos da ferramenta do SireneJud</w:t>
        </w:r>
      </w:hyperlink>
      <w:r>
        <w:t xml:space="preserve">.</w:t>
      </w:r>
    </w:p>
    <w:p>
      <w:pPr>
        <w:pStyle w:val="Corpodetexto"/>
      </w:pPr>
      <w:r>
        <w:t xml:space="preserve">A base de dados do SireneJud apresenta uma estrutura comum de bases de dados judiciais, contendo três unidades amostrais distintas: processos, partes e movimentações.</w:t>
      </w:r>
    </w:p>
    <w:p>
      <w:pPr>
        <w:pStyle w:val="Corpodetexto"/>
      </w:pPr>
      <w:r>
        <w:t xml:space="preserve">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pPr>
        <w:pStyle w:val="Corpodetexto"/>
      </w:pPr>
      <w:r>
        <w:t xml:space="preserve">Os filtros aplicados no momento são:</w:t>
      </w:r>
    </w:p>
    <w:p>
      <w:pPr>
        <w:numPr>
          <w:ilvl w:val="0"/>
          <w:numId w:val="1002"/>
        </w:numPr>
        <w:pStyle w:val="Compact"/>
      </w:pPr>
      <w:r>
        <w:t xml:space="preserve">Considerar apenas processos originários no primeiro grau.</w:t>
      </w:r>
    </w:p>
    <w:p>
      <w:pPr>
        <w:numPr>
          <w:ilvl w:val="0"/>
          <w:numId w:val="1002"/>
        </w:numPr>
        <w:pStyle w:val="Compact"/>
      </w:pPr>
      <w:r>
        <w:t xml:space="preserve">Remover processos de alta complexidade.</w:t>
      </w:r>
    </w:p>
    <w:p>
      <w:pPr>
        <w:numPr>
          <w:ilvl w:val="0"/>
          <w:numId w:val="1002"/>
        </w:numPr>
        <w:pStyle w:val="Compact"/>
      </w:pPr>
      <w:r>
        <w:t xml:space="preserve">Remover duplicatas de número de processo (ordenamos por grau antes de tirar as duplicatas).</w:t>
      </w:r>
    </w:p>
    <w:p>
      <w:pPr>
        <w:numPr>
          <w:ilvl w:val="0"/>
          <w:numId w:val="1002"/>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p>
    <w:p>
      <w:pPr>
        <w:numPr>
          <w:ilvl w:val="0"/>
          <w:numId w:val="1002"/>
        </w:numPr>
        <w:pStyle w:val="Compact"/>
      </w:pPr>
      <w:r>
        <w:t xml:space="preserve">Considerar apenas processos com origem na Amazônia Legal (AC, AM, RR, AP, PA, MA, TO, RO, MT).</w:t>
      </w:r>
    </w:p>
    <w:p>
      <w:pPr>
        <w:pStyle w:val="FirstParagraph"/>
      </w:pPr>
      <w:r>
        <w:t xml:space="preserve">Como resultado, a base ficou com 48.717 processos. A base foi utilizada na investigação das questões norteadoras 1, 2, 5, 8, 12 e 14.</w:t>
      </w:r>
    </w:p>
    <w:bookmarkEnd w:id="23"/>
    <w:bookmarkStart w:id="24" w:name="datajud"/>
    <w:p>
      <w:pPr>
        <w:pStyle w:val="Ttulo2"/>
      </w:pPr>
      <w:r>
        <w:t xml:space="preserve">DataJud</w:t>
      </w:r>
    </w:p>
    <w:p>
      <w:pPr>
        <w:pStyle w:val="FirstParagraph"/>
      </w:pPr>
      <w:r>
        <w:t xml:space="preserve">A base do DataJud também foi fornecida pelo CNJ, em dezembro de 2022. A base contém informações de processos relacionados à corrupção e lavagem de dinheiro, que podem ou não estarem ligados a crimes ambientais.</w:t>
      </w:r>
    </w:p>
    <w:p>
      <w:pPr>
        <w:pStyle w:val="Corpodetexto"/>
      </w:pPr>
      <w:r>
        <w:t xml:space="preserve">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pPr>
        <w:pStyle w:val="Corpodetexto"/>
      </w:pPr>
      <w:r>
        <w:t xml:space="preserve">A base do DataJud também passou por alguns filtros antes de ser analisada:</w:t>
      </w:r>
    </w:p>
    <w:p>
      <w:pPr>
        <w:numPr>
          <w:ilvl w:val="0"/>
          <w:numId w:val="1003"/>
        </w:numPr>
        <w:pStyle w:val="Compact"/>
      </w:pPr>
      <w:r>
        <w:t xml:space="preserve">Considerar apenas processos originários no primeiro grau.</w:t>
      </w:r>
    </w:p>
    <w:p>
      <w:pPr>
        <w:numPr>
          <w:ilvl w:val="0"/>
          <w:numId w:val="1003"/>
        </w:numPr>
        <w:pStyle w:val="Compact"/>
      </w:pPr>
      <w:r>
        <w:t xml:space="preserve">Remover duplicatas de número de processo.</w:t>
      </w:r>
    </w:p>
    <w:p>
      <w:pPr>
        <w:numPr>
          <w:ilvl w:val="0"/>
          <w:numId w:val="1003"/>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r>
        <w:t xml:space="preserve">.</w:t>
      </w:r>
    </w:p>
    <w:p>
      <w:pPr>
        <w:numPr>
          <w:ilvl w:val="0"/>
          <w:numId w:val="1003"/>
        </w:numPr>
        <w:pStyle w:val="Compact"/>
      </w:pPr>
      <w:r>
        <w:t xml:space="preserve">Remover casos com alguns assuntos relacionados a posse de drogas para uso pessoal, furto e concussão.</w:t>
      </w:r>
    </w:p>
    <w:p>
      <w:pPr>
        <w:numPr>
          <w:ilvl w:val="0"/>
          <w:numId w:val="1003"/>
        </w:numPr>
        <w:pStyle w:val="Compact"/>
      </w:pPr>
      <w:r>
        <w:t xml:space="preserve">Considerar apenas processos com origem nas mesmas unidades jurisdicionais dos processos do SireneJud.</w:t>
      </w:r>
    </w:p>
    <w:p>
      <w:pPr>
        <w:pStyle w:val="FirstParagraph"/>
      </w:pPr>
      <w:r>
        <w:t xml:space="preserve">Como resultado, a base ficou com 184.879 processos. A base foi utilizada na investigação das questões 1, 2, 5 e 12.</w:t>
      </w:r>
    </w:p>
    <w:bookmarkEnd w:id="24"/>
    <w:bookmarkStart w:id="25" w:name="trf1"/>
    <w:p>
      <w:pPr>
        <w:pStyle w:val="Ttulo2"/>
      </w:pPr>
      <w:r>
        <w:t xml:space="preserve">TRF1</w:t>
      </w:r>
    </w:p>
    <w:p>
      <w:pPr>
        <w:pStyle w:val="FirstParagraph"/>
      </w:pPr>
      <w:r>
        <w:t xml:space="preserve">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pPr>
        <w:pStyle w:val="Corpodetexto"/>
      </w:pPr>
      <w:r>
        <w:t xml:space="preserve">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pPr>
        <w:pStyle w:val="Corpodetexto"/>
      </w:pPr>
      <w:r>
        <w:t xml:space="preserve">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pPr>
        <w:pStyle w:val="Corpodetexto"/>
      </w:pPr>
      <w:r>
        <w:t xml:space="preserve">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pPr>
        <w:pStyle w:val="Corpodetexto"/>
      </w:pPr>
      <w:r>
        <w:t xml:space="preserve">Os termos utilizados para captura da primeira lista de processos foram: garimpo, desmatamento, mineração, invasão e grilagem. Os termos foram pesquisados com variações, como existência ou não de acentos e flexões das palavras (por exemplo, garimpo, garimpeiro, etc).</w:t>
      </w:r>
    </w:p>
    <w:p>
      <w:pPr>
        <w:pStyle w:val="Corpodetexto"/>
      </w:pPr>
      <w:r>
        <w:t xml:space="preserve">A primeira base obtida dessa forma tinha 32.046 processos. As informações disponíveis são bastante limitadas: o número do processo, o resumo da decisão e o texto da decisão.</w:t>
      </w:r>
    </w:p>
    <w:p>
      <w:pPr>
        <w:pStyle w:val="Corpodetexto"/>
      </w:pPr>
      <w:r>
        <w:t xml:space="preserve">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pPr>
        <w:pStyle w:val="Corpodetexto"/>
      </w:pPr>
      <w:r>
        <w:t xml:space="preserve">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pPr>
        <w:pStyle w:val="Corpodetexto"/>
      </w:pPr>
      <w:r>
        <w:t xml:space="preserve">A segunda base contém apenas 227 processos. Ao aplicar os filtros sobre lavagem e corrupção (especificamente: organização/associação criminosa, quadrilha, lavagem, corrupção, operação), sobram poucos casos a serem considerados.</w:t>
      </w:r>
    </w:p>
    <w:p>
      <w:pPr>
        <w:pStyle w:val="Corpodetexto"/>
      </w:pPr>
      <w:r>
        <w:t xml:space="preserve">A base grande do TRF1 foi utilizada para responder às questões 2, 5 e 14. Já a base pequena do TRF1 foi utilizada para responder à questão 1.</w:t>
      </w:r>
    </w:p>
    <w:bookmarkEnd w:id="25"/>
    <w:bookmarkStart w:id="26" w:name="limitações"/>
    <w:p>
      <w:pPr>
        <w:pStyle w:val="Ttulo2"/>
      </w:pPr>
      <w:r>
        <w:t xml:space="preserve">Limitações</w:t>
      </w:r>
    </w:p>
    <w:p>
      <w:pPr>
        <w:pStyle w:val="FirstParagraph"/>
      </w:pPr>
      <w:r>
        <w:t xml:space="preserve">Abaixo, explicamos os motivos de algumas questões não serem investigadas, total ou parcialmente, por conta das limitações das bases de dados. Além disso, mencionamos quais seriam os dados necessários para que as perguntas possam ser respondidas integralmente. É importante que muitas dessas informações não existem de forma estruturada no momento, podendo ser interpretadas como sugestões de melhorias dos dados públicos para utilização em estudos futuros.</w:t>
      </w:r>
    </w:p>
    <w:tbl>
      <w:tblPr>
        <w:tblStyle w:val="Table"/>
        <w:tblW w:type="pct" w:w="5000"/>
        <w:tblLook w:firstRow="1" w:lastRow="0" w:firstColumn="0" w:lastColumn="0" w:noHBand="0" w:noVBand="0" w:val="0020"/>
        <w:jc w:val="start"/>
      </w:tblPr>
      <w:tblGrid>
        <w:gridCol w:w="100"/>
        <w:gridCol w:w="162"/>
        <w:gridCol w:w="338"/>
        <w:gridCol w:w="3421"/>
        <w:gridCol w:w="3897"/>
      </w:tblGrid>
      <w:tr>
        <w:trPr>
          <w:tblHeader w:val="true"/>
        </w:trPr>
        <w:tc>
          <w:tcPr/>
          <w:p>
            <w:pPr>
              <w:pStyle w:val="Compact"/>
              <w:jc w:val="right"/>
            </w:pPr>
            <w:r>
              <w:t xml:space="preserve">Questão</w:t>
            </w:r>
          </w:p>
        </w:tc>
        <w:tc>
          <w:tcPr/>
          <w:p>
            <w:pPr>
              <w:pStyle w:val="Compact"/>
              <w:jc w:val="left"/>
            </w:pPr>
            <w:r>
              <w:t xml:space="preserve">Respondida</w:t>
            </w:r>
          </w:p>
        </w:tc>
        <w:tc>
          <w:tcPr/>
          <w:p>
            <w:pPr>
              <w:pStyle w:val="Compact"/>
              <w:jc w:val="left"/>
            </w:pPr>
            <w:r>
              <w:t xml:space="preserve">Bases de dados utilizadas</w:t>
            </w:r>
          </w:p>
        </w:tc>
        <w:tc>
          <w:tcPr/>
          <w:p>
            <w:pPr>
              <w:pStyle w:val="Compact"/>
              <w:jc w:val="left"/>
            </w:pPr>
            <w:r>
              <w:t xml:space="preserve">Limitação</w:t>
            </w:r>
          </w:p>
        </w:tc>
        <w:tc>
          <w:tcPr/>
          <w:p>
            <w:pPr>
              <w:pStyle w:val="Compact"/>
              <w:jc w:val="left"/>
            </w:pPr>
            <w:r>
              <w:t xml:space="preserve">Base de dados necessária</w:t>
            </w:r>
          </w:p>
        </w:tc>
      </w:tr>
      <w:tr>
        <w:tc>
          <w:tcPr/>
          <w:p>
            <w:pPr>
              <w:pStyle w:val="Compact"/>
              <w:jc w:val="right"/>
            </w:pPr>
            <w:r>
              <w:t xml:space="preserve">1</w:t>
            </w:r>
          </w:p>
        </w:tc>
        <w:tc>
          <w:tcPr/>
          <w:p>
            <w:pPr>
              <w:pStyle w:val="Compact"/>
              <w:jc w:val="left"/>
            </w:pPr>
            <w:r>
              <w:t xml:space="preserve">Parcialmente</w:t>
            </w:r>
          </w:p>
        </w:tc>
        <w:tc>
          <w:tcPr/>
          <w:p>
            <w:pPr>
              <w:pStyle w:val="Compact"/>
              <w:jc w:val="left"/>
            </w:pPr>
            <w:r>
              <w:t xml:space="preserve">sirenejud, datajud, TRF1</w:t>
            </w:r>
          </w:p>
        </w:tc>
        <w:tc>
          <w:tcPr/>
          <w:p>
            <w:pPr>
              <w:pStyle w:val="Compact"/>
              <w:jc w:val="left"/>
            </w:pPr>
            <w:r>
              <w:t xml:space="preserve">As atividades só podem ser investigadas através dos assuntos processuais disponíveis.</w:t>
            </w:r>
          </w:p>
        </w:tc>
        <w:tc>
          <w:tcPr/>
          <w:p>
            <w:pPr>
              <w:pStyle w:val="Compact"/>
              <w:jc w:val="left"/>
            </w:pPr>
            <w:r>
              <w:t xml:space="preserve">Amostra (ou a totalidade) de petições iniciais de processos envolvendo lavagem de bens e capitais no recorte regional da pesquisa, verificando quais casos envolvem crimes ambientais ou não. Em seguida, levantar, nos casos identificados, as principais atividades envolvidas.</w:t>
            </w:r>
          </w:p>
        </w:tc>
      </w:tr>
      <w:tr>
        <w:tc>
          <w:tcPr/>
          <w:p>
            <w:pPr>
              <w:pStyle w:val="Compact"/>
              <w:jc w:val="right"/>
            </w:pPr>
            <w:r>
              <w:t xml:space="preserve">2</w:t>
            </w:r>
          </w:p>
        </w:tc>
        <w:tc>
          <w:tcPr/>
          <w:p>
            <w:pPr>
              <w:pStyle w:val="Compact"/>
              <w:jc w:val="left"/>
            </w:pPr>
            <w:r>
              <w:t xml:space="preserve">Parcialmente</w:t>
            </w:r>
          </w:p>
        </w:tc>
        <w:tc>
          <w:tcPr/>
          <w:p>
            <w:pPr>
              <w:pStyle w:val="Compact"/>
              <w:jc w:val="left"/>
            </w:pPr>
            <w:r>
              <w:t xml:space="preserve">sirenejud</w:t>
            </w:r>
          </w:p>
        </w:tc>
        <w:tc>
          <w:tcPr/>
          <w:p>
            <w:pPr>
              <w:pStyle w:val="Compact"/>
              <w:jc w:val="left"/>
            </w:pPr>
            <w:r>
              <w:t xml:space="preserve">Não é possível filtrar os casos envolvendo lavagem de bens e capitais em crimes ambientais na base do Sirenejud. A base do Datajud disponibilizada não contém informação das partes. A base do TRF1 apresenta informações incompletas de partes e poucos casos dentro do escopo.</w:t>
            </w:r>
          </w:p>
        </w:tc>
        <w:tc>
          <w:tcPr/>
          <w:p>
            <w:pPr>
              <w:pStyle w:val="Compact"/>
              <w:jc w:val="left"/>
            </w:pPr>
            <w:r>
              <w:t xml:space="preserve">A partir do filtro realizado para responder à Questão 1, obter as partes relacionadas. Ou seja, ao responder à Questão 1, seria possível responder à Questão 2 somente com os dados do Datajud.</w:t>
            </w:r>
          </w:p>
        </w:tc>
      </w:tr>
      <w:tr>
        <w:tc>
          <w:tcPr/>
          <w:p>
            <w:pPr>
              <w:pStyle w:val="Compact"/>
              <w:jc w:val="right"/>
            </w:pPr>
            <w:r>
              <w:t xml:space="preserve">3</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4</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5</w:t>
            </w:r>
          </w:p>
        </w:tc>
        <w:tc>
          <w:tcPr/>
          <w:p>
            <w:pPr>
              <w:pStyle w:val="Compact"/>
              <w:jc w:val="left"/>
            </w:pPr>
            <w:r>
              <w:t xml:space="preserve">Parcialmente</w:t>
            </w:r>
          </w:p>
        </w:tc>
        <w:tc>
          <w:tcPr/>
          <w:p>
            <w:pPr>
              <w:pStyle w:val="Compact"/>
              <w:jc w:val="left"/>
            </w:pPr>
            <w:r>
              <w:t xml:space="preserve">Igual à questão 1</w:t>
            </w:r>
          </w:p>
        </w:tc>
        <w:tc>
          <w:tcPr/>
          <w:p>
            <w:pPr>
              <w:pStyle w:val="Compact"/>
              <w:jc w:val="left"/>
            </w:pPr>
            <w:r>
              <w:t xml:space="preserve">Igual à Questão 1</w:t>
            </w:r>
          </w:p>
        </w:tc>
        <w:tc>
          <w:tcPr/>
          <w:p>
            <w:pPr>
              <w:pStyle w:val="Compact"/>
              <w:jc w:val="left"/>
            </w:pPr>
            <w:r>
              <w:t xml:space="preserve">Igual à Questão 1</w:t>
            </w:r>
          </w:p>
        </w:tc>
      </w:tr>
      <w:tr>
        <w:tc>
          <w:tcPr/>
          <w:p>
            <w:pPr>
              <w:pStyle w:val="Compact"/>
              <w:jc w:val="right"/>
            </w:pPr>
            <w:r>
              <w:t xml:space="preserve">6</w:t>
            </w:r>
          </w:p>
        </w:tc>
        <w:tc>
          <w:tcPr/>
          <w:p>
            <w:pPr>
              <w:pStyle w:val="Compact"/>
              <w:jc w:val="left"/>
            </w:pPr>
            <w:r>
              <w:t xml:space="preserve">Não</w:t>
            </w:r>
          </w:p>
        </w:tc>
        <w:tc>
          <w:tcPr/>
          <w:p>
            <w:pPr>
              <w:pStyle w:val="Compact"/>
              <w:jc w:val="left"/>
            </w:pPr>
            <w:r>
              <w:t xml:space="preserve">-</w:t>
            </w:r>
          </w:p>
        </w:tc>
        <w:tc>
          <w:tcPr/>
          <w:p>
            <w:pPr>
              <w:pStyle w:val="Compact"/>
              <w:jc w:val="left"/>
            </w:pPr>
            <w:r>
              <w:t xml:space="preserve">As bases do Datajud e do Sirenejud não têm informações das sentenças. Na base do TRF1 as sentenças estão disponíveis, mas era inviável extrair as decisões, fundamentos jurídicos e razão de decidir de forma automática.</w:t>
            </w:r>
          </w:p>
        </w:tc>
        <w:tc>
          <w:tcPr/>
          <w:p>
            <w:pPr>
              <w:pStyle w:val="Compact"/>
              <w:jc w:val="left"/>
            </w:pPr>
            <w:r>
              <w:t xml:space="preserve">Seria necessário realizar um estudo com classificação manual das peças a partir de amostragem, ou então um estudo de classificação utilizando técnicas de mineração de texto ou ferramentas de inteligência artificial, que estavam fora do escopo da pesquisa</w:t>
            </w:r>
          </w:p>
        </w:tc>
      </w:tr>
      <w:tr>
        <w:tc>
          <w:tcPr/>
          <w:p>
            <w:pPr>
              <w:pStyle w:val="Compact"/>
              <w:jc w:val="right"/>
            </w:pPr>
            <w:r>
              <w:t xml:space="preserve">7</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8</w:t>
            </w:r>
          </w:p>
        </w:tc>
        <w:tc>
          <w:tcPr/>
          <w:p>
            <w:pPr>
              <w:pStyle w:val="Compact"/>
              <w:jc w:val="left"/>
            </w:pPr>
            <w:r>
              <w:t xml:space="preserve">Parcialmente</w:t>
            </w:r>
          </w:p>
        </w:tc>
        <w:tc>
          <w:tcPr/>
          <w:p>
            <w:pPr>
              <w:pStyle w:val="Compact"/>
              <w:jc w:val="left"/>
            </w:pPr>
            <w:r>
              <w:t xml:space="preserve">Igual à questão 2</w:t>
            </w:r>
          </w:p>
        </w:tc>
        <w:tc>
          <w:tcPr/>
          <w:p>
            <w:pPr>
              <w:pStyle w:val="Compact"/>
              <w:jc w:val="left"/>
            </w:pPr>
            <w:r>
              <w:t xml:space="preserve">Igual à Questão 2</w:t>
            </w:r>
          </w:p>
        </w:tc>
        <w:tc>
          <w:tcPr/>
          <w:p>
            <w:pPr>
              <w:pStyle w:val="Compact"/>
              <w:jc w:val="left"/>
            </w:pPr>
            <w:r>
              <w:t xml:space="preserve">Igual à Questão 2</w:t>
            </w:r>
          </w:p>
        </w:tc>
      </w:tr>
      <w:tr>
        <w:tc>
          <w:tcPr/>
          <w:p>
            <w:pPr>
              <w:pStyle w:val="Compact"/>
              <w:jc w:val="right"/>
            </w:pPr>
            <w:r>
              <w:t xml:space="preserve">9</w:t>
            </w:r>
          </w:p>
        </w:tc>
        <w:tc>
          <w:tcPr/>
          <w:p>
            <w:pPr>
              <w:pStyle w:val="Compact"/>
              <w:jc w:val="left"/>
            </w:pPr>
            <w:r>
              <w:t xml:space="preserve">Não</w:t>
            </w:r>
          </w:p>
        </w:tc>
        <w:tc>
          <w:tcPr/>
          <w:p>
            <w:pPr>
              <w:pStyle w:val="Compact"/>
              <w:jc w:val="left"/>
            </w:pPr>
            <w:r>
              <w:t xml:space="preserve">NA</w:t>
            </w:r>
          </w:p>
        </w:tc>
        <w:tc>
          <w:tcPr/>
          <w:p>
            <w:pPr>
              <w:pStyle w:val="Compact"/>
              <w:jc w:val="left"/>
            </w:pPr>
            <w:r>
              <w:t xml:space="preserve">Igual à Questão 6</w:t>
            </w:r>
          </w:p>
        </w:tc>
        <w:tc>
          <w:tcPr/>
          <w:p>
            <w:pPr>
              <w:pStyle w:val="Compact"/>
              <w:jc w:val="left"/>
            </w:pPr>
            <w:r>
              <w:t xml:space="preserve">Igual à Questão 6, adicionando-se a dificuldade de informações adicionais como desconsideração da personalidade jurídica não são, necessariamente, mencionadas nas decisões. Seria, portanto, necessário analisar as movimentações processuais e outras peças dos processos para obter todas as informações desejadas.</w:t>
            </w:r>
          </w:p>
        </w:tc>
      </w:tr>
      <w:tr>
        <w:tc>
          <w:tcPr/>
          <w:p>
            <w:pPr>
              <w:pStyle w:val="Compact"/>
              <w:jc w:val="right"/>
            </w:pPr>
            <w:r>
              <w:t xml:space="preserve">10</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11</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12</w:t>
            </w:r>
          </w:p>
        </w:tc>
        <w:tc>
          <w:tcPr/>
          <w:p>
            <w:pPr>
              <w:pStyle w:val="Compact"/>
              <w:jc w:val="left"/>
            </w:pPr>
            <w:r>
              <w:t xml:space="preserve">Parcialmente</w:t>
            </w:r>
          </w:p>
        </w:tc>
        <w:tc>
          <w:tcPr/>
          <w:p>
            <w:pPr>
              <w:pStyle w:val="Compact"/>
              <w:jc w:val="left"/>
            </w:pPr>
            <w:r>
              <w:t xml:space="preserve">sirenejud, datajud, sinesp</w:t>
            </w:r>
          </w:p>
        </w:tc>
        <w:tc>
          <w:tcPr/>
          <w:p>
            <w:pPr>
              <w:pStyle w:val="Compact"/>
              <w:jc w:val="left"/>
            </w:pPr>
            <w:r>
              <w:t xml:space="preserve">A base do SINESP mostra apenas informações sobre crimes contra a vida, não ameaça. Além disso, não é possível filtrar os casos envolvendo lavagen de bens e capitais em crimes ambientais nas bases do Sirenejud e Datajud.</w:t>
            </w:r>
          </w:p>
        </w:tc>
        <w:tc>
          <w:tcPr/>
          <w:p>
            <w:pPr>
              <w:pStyle w:val="Compact"/>
              <w:jc w:val="left"/>
            </w:pPr>
            <w:r>
              <w:t xml:space="preserve">Além do filtro realizado para responder à Questão 1</w:t>
            </w:r>
          </w:p>
        </w:tc>
      </w:tr>
      <w:tr>
        <w:tc>
          <w:tcPr/>
          <w:p>
            <w:pPr>
              <w:pStyle w:val="Compact"/>
              <w:jc w:val="right"/>
            </w:pPr>
            <w:r>
              <w:t xml:space="preserve">13</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conflitos fundiários com crimes ambientais ou crimes contra a vida com os dados disponíveis.</w:t>
            </w:r>
          </w:p>
        </w:tc>
        <w:tc>
          <w:tcPr/>
          <w:p>
            <w:pPr>
              <w:pStyle w:val="Compact"/>
              <w:jc w:val="left"/>
            </w:pPr>
            <w:r>
              <w:t xml:space="preserve">Seria necessário que esse assunto estivesse disponível nas Tabelas Processuais Unificadas (TPU). Além disso, os casos envolvendo crimes fundiários devem ser marcados com os assuntos de crime ambiental ou crime contra a vida, quando este for o caso.</w:t>
            </w:r>
          </w:p>
        </w:tc>
      </w:tr>
      <w:tr>
        <w:tc>
          <w:tcPr/>
          <w:p>
            <w:pPr>
              <w:pStyle w:val="Compact"/>
              <w:jc w:val="right"/>
            </w:pPr>
            <w:r>
              <w:t xml:space="preserve">14</w:t>
            </w:r>
          </w:p>
        </w:tc>
        <w:tc>
          <w:tcPr/>
          <w:p>
            <w:pPr>
              <w:pStyle w:val="Compact"/>
              <w:jc w:val="left"/>
            </w:pPr>
            <w:r>
              <w:t xml:space="preserve">Sim</w:t>
            </w:r>
          </w:p>
        </w:tc>
        <w:tc>
          <w:tcPr/>
          <w:p>
            <w:pPr>
              <w:pStyle w:val="Compact"/>
              <w:jc w:val="left"/>
            </w:pPr>
            <w:r>
              <w:t xml:space="preserve">sirenejud</w:t>
            </w:r>
          </w:p>
        </w:tc>
        <w:tc>
          <w:tcPr/>
          <w:p>
            <w:pPr>
              <w:pStyle w:val="Compact"/>
              <w:jc w:val="left"/>
            </w:pPr>
            <w:r>
              <w:t xml:space="preserve">A Questão 14 envolve apenas a análise do tempo médio de duração de ações criminais que envolvem a temática ambiental, sem o recorte de processos envolvendo lavagem de bens e capitais. Portanto, a análise realizada responde à pergunta de forma integral.</w:t>
            </w:r>
          </w:p>
        </w:tc>
        <w:tc>
          <w:tcPr/>
          <w:p>
            <w:pPr>
              <w:pStyle w:val="Compact"/>
              <w:jc w:val="left"/>
            </w:pPr>
            <w:r>
              <w:t xml:space="preserve">-</w:t>
            </w:r>
          </w:p>
        </w:tc>
      </w:tr>
      <w:tr>
        <w:tc>
          <w:tcPr/>
          <w:p>
            <w:pPr>
              <w:pStyle w:val="Compact"/>
              <w:jc w:val="right"/>
            </w:pPr>
            <w:r>
              <w:t xml:space="preserve">15</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crimes contra a vida ou ameaça contra pessoas ligadas à defesa do meio ambiente ou de movimentos relacionados à proteção de populações indígenas e/ou povos tradicionais com os dados disponíveis.</w:t>
            </w:r>
          </w:p>
        </w:tc>
        <w:tc>
          <w:tcPr/>
          <w:p>
            <w:pPr>
              <w:pStyle w:val="Compact"/>
              <w:jc w:val="left"/>
            </w:pPr>
            <w:r>
              <w:t xml:space="preserve">Seria necessário que esse assunto estivesse disponível nas Tabelas Processuais Unificadas (TPU).</w:t>
            </w:r>
          </w:p>
        </w:tc>
      </w:tr>
      <w:tr>
        <w:tc>
          <w:tcPr/>
          <w:p>
            <w:pPr>
              <w:pStyle w:val="Compact"/>
              <w:jc w:val="right"/>
            </w:pPr>
            <w:r>
              <w:t xml:space="preserve">16</w:t>
            </w:r>
          </w:p>
        </w:tc>
        <w:tc>
          <w:tcPr/>
          <w:p>
            <w:pPr>
              <w:pStyle w:val="Compact"/>
              <w:jc w:val="left"/>
            </w:pPr>
            <w:r>
              <w:t xml:space="preserve">Não</w:t>
            </w:r>
          </w:p>
        </w:tc>
        <w:tc>
          <w:tcPr/>
          <w:p>
            <w:pPr>
              <w:pStyle w:val="Compact"/>
              <w:jc w:val="left"/>
            </w:pPr>
            <w:r>
              <w:t xml:space="preserve">-</w:t>
            </w:r>
          </w:p>
        </w:tc>
        <w:tc>
          <w:tcPr/>
          <w:p>
            <w:pPr>
              <w:pStyle w:val="Compact"/>
              <w:jc w:val="left"/>
            </w:pPr>
            <w:r>
              <w:t xml:space="preserve">Igual à Questão 13</w:t>
            </w:r>
          </w:p>
        </w:tc>
        <w:tc>
          <w:tcPr/>
          <w:p>
            <w:pPr>
              <w:pStyle w:val="Compact"/>
              <w:jc w:val="left"/>
            </w:pPr>
            <w:r>
              <w:t xml:space="preserve">Igual à Questão 13</w:t>
            </w:r>
          </w:p>
        </w:tc>
      </w:tr>
    </w:tbl>
    <w:bookmarkEnd w:id="26"/>
    <w:bookmarkStart w:id="36" w:name="dashboard"/>
    <w:p>
      <w:pPr>
        <w:pStyle w:val="Ttulo2"/>
      </w:pPr>
      <w:r>
        <w:t xml:space="preserve">Dashboard</w:t>
      </w:r>
    </w:p>
    <w:p>
      <w:pPr>
        <w:pStyle w:val="FirstParagraph"/>
      </w:pPr>
      <w:r>
        <w:t xml:space="preserve">Para complementar as análises do presente relatório, um</w:t>
      </w:r>
      <w:r>
        <w:t xml:space="preserve"> </w:t>
      </w:r>
      <w:hyperlink r:id="rId27">
        <w:r>
          <w:rPr>
            <w:rStyle w:val="Hyperlink"/>
          </w:rPr>
          <w:t xml:space="preserve">painel de análises estatísticas foi desenvolvido</w:t>
        </w:r>
      </w:hyperlink>
      <w:r>
        <w:t xml:space="preserve">. O painel apresenta informações que reforçam os achados da análise jurimétrica realizada. Por meio dos gráficos específicos disponibilizados no painel, é possível visualizar os dados relacionados aos processos ambientais aplicando filtros. Por exemplo, filtrando pelo TJAM, é possível obter os resultados da pesquisa (assuntos mais comuns, mapa e tempo dos processos) somente para o TJAM, como indicado na figura abaixo.</w:t>
      </w:r>
    </w:p>
    <w:tbl>
      <w:tblPr>
        <w:tblStyle w:val="Table"/>
        <w:tblW w:type="pct" w:w="5000"/>
        <w:tblLook w:firstRow="0" w:lastRow="0" w:firstColumn="0" w:lastColumn="0" w:noHBand="0" w:noVBand="0" w:val="0000"/>
        <w:jc w:val="start"/>
      </w:tblPr>
      <w:tblGrid>
        <w:gridCol w:w="7920"/>
      </w:tblGrid>
      <w:tr>
        <w:tc>
          <w:tcPr/>
          <w:bookmarkStart w:id="31" w:name="fig-dashboard1"/>
          <w:p>
            <w:pPr>
              <w:jc w:val="center"/>
            </w:pPr>
            <w:r>
              <w:drawing>
                <wp:inline>
                  <wp:extent cx="5969000" cy="3214357"/>
                  <wp:effectExtent b="0" l="0" r="0" t="0"/>
                  <wp:docPr descr="" title="" id="29" name="Picture"/>
                  <a:graphic>
                    <a:graphicData uri="http://schemas.openxmlformats.org/drawingml/2006/picture">
                      <pic:pic>
                        <pic:nvPicPr>
                          <pic:cNvPr descr="assets/img/dashboard1.png" id="30" name="Picture"/>
                          <pic:cNvPicPr>
                            <a:picLocks noChangeArrowheads="1" noChangeAspect="1"/>
                          </pic:cNvPicPr>
                        </pic:nvPicPr>
                        <pic:blipFill>
                          <a:blip r:embed="rId28"/>
                          <a:stretch>
                            <a:fillRect/>
                          </a:stretch>
                        </pic:blipFill>
                        <pic:spPr bwMode="auto">
                          <a:xfrm>
                            <a:off x="0" y="0"/>
                            <a:ext cx="5969000" cy="32143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Filtro no dashboard da base SirejeJud em processos do TJAM.</w:t>
            </w:r>
          </w:p>
          <w:bookmarkEnd w:id="31"/>
        </w:tc>
      </w:tr>
    </w:tbl>
    <w:p>
      <w:pPr>
        <w:pStyle w:val="Corpodetexto"/>
      </w:pPr>
      <w:r>
        <w:t xml:space="preserve">Outro filtro relevante é o de ano do processo, que permite identificar os padrões (tempo, assuntos, distribuição regional) no período selecionado. Essa informação é útil para compreender a distribuição temporal dos processos e pode auxiliar na identificação de períodos mais críticos. Ao relacionar esses dados com as respostas da análise descritiva, é possível fortalecer as conclusões sobre a distribuição dos processos e a atuação do sistema jurídico em diferentes localidades.</w:t>
      </w:r>
    </w:p>
    <w:tbl>
      <w:tblPr>
        <w:tblStyle w:val="Table"/>
        <w:tblW w:type="pct" w:w="5000"/>
        <w:tblLook w:firstRow="0" w:lastRow="0" w:firstColumn="0" w:lastColumn="0" w:noHBand="0" w:noVBand="0" w:val="0000"/>
        <w:jc w:val="start"/>
      </w:tblPr>
      <w:tblGrid>
        <w:gridCol w:w="7920"/>
      </w:tblGrid>
      <w:tr>
        <w:tc>
          <w:tcPr/>
          <w:bookmarkStart w:id="35" w:name="fig-dashboard2"/>
          <w:p>
            <w:pPr>
              <w:jc w:val="center"/>
            </w:pPr>
            <w:r>
              <w:drawing>
                <wp:inline>
                  <wp:extent cx="5969000" cy="3119826"/>
                  <wp:effectExtent b="0" l="0" r="0" t="0"/>
                  <wp:docPr descr="" title="" id="33" name="Picture"/>
                  <a:graphic>
                    <a:graphicData uri="http://schemas.openxmlformats.org/drawingml/2006/picture">
                      <pic:pic>
                        <pic:nvPicPr>
                          <pic:cNvPr descr="assets/img/dashboard2.png" id="34" name="Picture"/>
                          <pic:cNvPicPr>
                            <a:picLocks noChangeArrowheads="1" noChangeAspect="1"/>
                          </pic:cNvPicPr>
                        </pic:nvPicPr>
                        <pic:blipFill>
                          <a:blip r:embed="rId32"/>
                          <a:stretch>
                            <a:fillRect/>
                          </a:stretch>
                        </pic:blipFill>
                        <pic:spPr bwMode="auto">
                          <a:xfrm>
                            <a:off x="0" y="0"/>
                            <a:ext cx="5969000" cy="311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Filtro no dashboard da base SirejeJud em processos entre 2011 e 2015.</w:t>
            </w:r>
          </w:p>
          <w:bookmarkEnd w:id="35"/>
        </w:tc>
      </w:tr>
    </w:tbl>
    <w:bookmarkEnd w:id="36"/>
    <w:bookmarkEnd w:id="37"/>
    <w:bookmarkStart w:id="155" w:name="análises"/>
    <w:p>
      <w:pPr>
        <w:pStyle w:val="Ttulo1"/>
      </w:pPr>
      <w:r>
        <w:t xml:space="preserve">Análises</w:t>
      </w:r>
    </w:p>
    <w:p>
      <w:pPr>
        <w:pStyle w:val="FirstParagraph"/>
      </w:pPr>
      <w:r>
        <w:t xml:space="preserve">A seguir, apresentamos investigações sobre as questões norteadoras. Cada subseção é de uma das questões. As investigações mostram os resultados principais da análise descritiva.</w:t>
      </w:r>
    </w:p>
    <w:bookmarkStart w:id="77" w:name="questão-1"/>
    <w:p>
      <w:pPr>
        <w:pStyle w:val="Ttulo2"/>
      </w:pPr>
      <w:r>
        <w:t xml:space="preserve">Questão 1</w:t>
      </w:r>
    </w:p>
    <w:p>
      <w:pPr>
        <w:pStyle w:val="FirstParagraph"/>
      </w:pPr>
      <w:r>
        <w:rPr>
          <w:bCs/>
          <w:b/>
        </w:rPr>
        <w:t xml:space="preserve">Questão</w:t>
      </w:r>
      <w:r>
        <w:t xml:space="preserve">: Quais são as atividades que conectam e alimentam a cadeia de fluxos de capitais que promovem o desmatamento?</w:t>
      </w:r>
    </w:p>
    <w:bookmarkStart w:id="56" w:name="sirenejud-1"/>
    <w:p>
      <w:pPr>
        <w:pStyle w:val="Ttulo3"/>
      </w:pPr>
      <w:r>
        <w:t xml:space="preserve">SireneJud</w:t>
      </w:r>
    </w:p>
    <w:p>
      <w:pPr>
        <w:pStyle w:val="FirstParagraph"/>
      </w:pPr>
      <w:r>
        <w:t xml:space="preserve">O SireneJud oferece informações limitadas sobre essa questão. As informações disponíveis na base que podem trazer insumos são os assuntos dos processos e a localização dos processos.</w:t>
      </w:r>
    </w:p>
    <w:p>
      <w:pPr>
        <w:pStyle w:val="Corpodetexto"/>
      </w:pPr>
      <w:r>
        <w:t xml:space="preserve">Do total de 48717 processos, 38848 (80%) são estaduais. Dentre os processos estaduais, o tribunal mais comum é o TJMT, com 12665 (32.6%) dos processos estaduais.</w:t>
      </w:r>
    </w:p>
    <w:p>
      <w:pPr>
        <w:pStyle w:val="Corpodetexto"/>
      </w:pPr>
      <w:r>
        <w:t xml:space="preserve">As 10 classes mais comuns dos processos estão na</w:t>
      </w:r>
      <w:r>
        <w:t xml:space="preserve"> </w:t>
      </w:r>
      <w:hyperlink w:anchor="tbl-classe">
        <w:r>
          <w:rPr>
            <w:rStyle w:val="Hyperlink"/>
          </w:rPr>
          <w:t xml:space="preserve">Tabela 1</w:t>
        </w:r>
      </w:hyperlink>
      <w:r>
        <w:t xml:space="preserve">. A classe com maior volume de processos é a ação civil pública. Essa classe geralmente não é a mais frequente em análises de processos, sendo uma característica específica desta base de dados.</w:t>
      </w:r>
    </w:p>
    <w:bookmarkStart w:id="38" w:name="tbl-classe"/>
    <w:p>
      <w:pPr>
        <w:pStyle w:val="TableCaption"/>
      </w:pPr>
      <w:r>
        <w:t xml:space="preserve">Tabela 1: Dez classes mais comuns.</w:t>
      </w:r>
    </w:p>
    <w:tbl>
      <w:tblPr>
        <w:tblStyle w:val="Table"/>
        <w:tblW w:type="auto" w:w="0"/>
        <w:tblLook w:firstRow="1" w:lastRow="0" w:firstColumn="0" w:lastColumn="0" w:noHBand="0" w:noVBand="0" w:val="0020"/>
        <w:jc w:val="start"/>
        <w:tblCaption w:val="Tabela 1: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Ação Civil Pública</w:t>
            </w:r>
          </w:p>
        </w:tc>
        <w:tc>
          <w:tcPr/>
          <w:p>
            <w:pPr>
              <w:pStyle w:val="Compact"/>
              <w:jc w:val="right"/>
            </w:pPr>
            <w:r>
              <w:t xml:space="preserve">11384</w:t>
            </w:r>
          </w:p>
        </w:tc>
        <w:tc>
          <w:tcPr/>
          <w:p>
            <w:pPr>
              <w:pStyle w:val="Compact"/>
              <w:jc w:val="right"/>
            </w:pPr>
            <w:r>
              <w:t xml:space="preserve">23.4%</w:t>
            </w:r>
          </w:p>
        </w:tc>
      </w:tr>
      <w:tr>
        <w:tc>
          <w:tcPr/>
          <w:p>
            <w:pPr>
              <w:pStyle w:val="Compact"/>
              <w:jc w:val="left"/>
            </w:pPr>
            <w:r>
              <w:t xml:space="preserve">Ação Penal - Procedimento Ordinário</w:t>
            </w:r>
          </w:p>
        </w:tc>
        <w:tc>
          <w:tcPr/>
          <w:p>
            <w:pPr>
              <w:pStyle w:val="Compact"/>
              <w:jc w:val="right"/>
            </w:pPr>
            <w:r>
              <w:t xml:space="preserve">9306</w:t>
            </w:r>
          </w:p>
        </w:tc>
        <w:tc>
          <w:tcPr/>
          <w:p>
            <w:pPr>
              <w:pStyle w:val="Compact"/>
              <w:jc w:val="right"/>
            </w:pPr>
            <w:r>
              <w:t xml:space="preserve">19.1%</w:t>
            </w:r>
          </w:p>
        </w:tc>
      </w:tr>
      <w:tr>
        <w:tc>
          <w:tcPr/>
          <w:p>
            <w:pPr>
              <w:pStyle w:val="Compact"/>
              <w:jc w:val="left"/>
            </w:pPr>
            <w:r>
              <w:t xml:space="preserve">Procedimento Comum Cível</w:t>
            </w:r>
          </w:p>
        </w:tc>
        <w:tc>
          <w:tcPr/>
          <w:p>
            <w:pPr>
              <w:pStyle w:val="Compact"/>
              <w:jc w:val="right"/>
            </w:pPr>
            <w:r>
              <w:t xml:space="preserve">8948</w:t>
            </w:r>
          </w:p>
        </w:tc>
        <w:tc>
          <w:tcPr/>
          <w:p>
            <w:pPr>
              <w:pStyle w:val="Compact"/>
              <w:jc w:val="right"/>
            </w:pPr>
            <w:r>
              <w:t xml:space="preserve">18.4%</w:t>
            </w:r>
          </w:p>
        </w:tc>
      </w:tr>
      <w:tr>
        <w:tc>
          <w:tcPr/>
          <w:p>
            <w:pPr>
              <w:pStyle w:val="Compact"/>
              <w:jc w:val="left"/>
            </w:pPr>
            <w:r>
              <w:t xml:space="preserve">Crimes Ambientais</w:t>
            </w:r>
          </w:p>
        </w:tc>
        <w:tc>
          <w:tcPr/>
          <w:p>
            <w:pPr>
              <w:pStyle w:val="Compact"/>
              <w:jc w:val="right"/>
            </w:pPr>
            <w:r>
              <w:t xml:space="preserve">4380</w:t>
            </w:r>
          </w:p>
        </w:tc>
        <w:tc>
          <w:tcPr/>
          <w:p>
            <w:pPr>
              <w:pStyle w:val="Compact"/>
              <w:jc w:val="right"/>
            </w:pPr>
            <w:r>
              <w:t xml:space="preserve">9.0%</w:t>
            </w:r>
          </w:p>
        </w:tc>
      </w:tr>
      <w:tr>
        <w:tc>
          <w:tcPr/>
          <w:p>
            <w:pPr>
              <w:pStyle w:val="Compact"/>
              <w:jc w:val="left"/>
            </w:pPr>
            <w:r>
              <w:t xml:space="preserve">Execução Fiscal</w:t>
            </w:r>
          </w:p>
        </w:tc>
        <w:tc>
          <w:tcPr/>
          <w:p>
            <w:pPr>
              <w:pStyle w:val="Compact"/>
              <w:jc w:val="right"/>
            </w:pPr>
            <w:r>
              <w:t xml:space="preserve">2055</w:t>
            </w:r>
          </w:p>
        </w:tc>
        <w:tc>
          <w:tcPr/>
          <w:p>
            <w:pPr>
              <w:pStyle w:val="Compact"/>
              <w:jc w:val="right"/>
            </w:pPr>
            <w:r>
              <w:t xml:space="preserve">4.2%</w:t>
            </w:r>
          </w:p>
        </w:tc>
      </w:tr>
      <w:tr>
        <w:tc>
          <w:tcPr/>
          <w:p>
            <w:pPr>
              <w:pStyle w:val="Compact"/>
              <w:jc w:val="left"/>
            </w:pPr>
            <w:r>
              <w:t xml:space="preserve">Ação Penal - Procedimento Sumário</w:t>
            </w:r>
          </w:p>
        </w:tc>
        <w:tc>
          <w:tcPr/>
          <w:p>
            <w:pPr>
              <w:pStyle w:val="Compact"/>
              <w:jc w:val="right"/>
            </w:pPr>
            <w:r>
              <w:t xml:space="preserve">1729</w:t>
            </w:r>
          </w:p>
        </w:tc>
        <w:tc>
          <w:tcPr/>
          <w:p>
            <w:pPr>
              <w:pStyle w:val="Compact"/>
              <w:jc w:val="right"/>
            </w:pPr>
            <w:r>
              <w:t xml:space="preserve">3.5%</w:t>
            </w:r>
          </w:p>
        </w:tc>
      </w:tr>
      <w:tr>
        <w:tc>
          <w:tcPr/>
          <w:p>
            <w:pPr>
              <w:pStyle w:val="Compact"/>
              <w:jc w:val="left"/>
            </w:pPr>
            <w:r>
              <w:t xml:space="preserve">Cumprimento de sentença</w:t>
            </w:r>
          </w:p>
        </w:tc>
        <w:tc>
          <w:tcPr/>
          <w:p>
            <w:pPr>
              <w:pStyle w:val="Compact"/>
              <w:jc w:val="right"/>
            </w:pPr>
            <w:r>
              <w:t xml:space="preserve">1295</w:t>
            </w:r>
          </w:p>
        </w:tc>
        <w:tc>
          <w:tcPr/>
          <w:p>
            <w:pPr>
              <w:pStyle w:val="Compact"/>
              <w:jc w:val="right"/>
            </w:pPr>
            <w:r>
              <w:t xml:space="preserve">2.7%</w:t>
            </w:r>
          </w:p>
        </w:tc>
      </w:tr>
      <w:tr>
        <w:tc>
          <w:tcPr/>
          <w:p>
            <w:pPr>
              <w:pStyle w:val="Compact"/>
              <w:jc w:val="left"/>
            </w:pPr>
            <w:r>
              <w:t xml:space="preserve">Execução da Pena</w:t>
            </w:r>
          </w:p>
        </w:tc>
        <w:tc>
          <w:tcPr/>
          <w:p>
            <w:pPr>
              <w:pStyle w:val="Compact"/>
              <w:jc w:val="right"/>
            </w:pPr>
            <w:r>
              <w:t xml:space="preserve">1240</w:t>
            </w:r>
          </w:p>
        </w:tc>
        <w:tc>
          <w:tcPr/>
          <w:p>
            <w:pPr>
              <w:pStyle w:val="Compact"/>
              <w:jc w:val="right"/>
            </w:pPr>
            <w:r>
              <w:t xml:space="preserve">2.5%</w:t>
            </w:r>
          </w:p>
        </w:tc>
      </w:tr>
      <w:tr>
        <w:tc>
          <w:tcPr/>
          <w:p>
            <w:pPr>
              <w:pStyle w:val="Compact"/>
              <w:jc w:val="left"/>
            </w:pPr>
            <w:r>
              <w:t xml:space="preserve">Auto de Prisão em Flagrante</w:t>
            </w:r>
          </w:p>
        </w:tc>
        <w:tc>
          <w:tcPr/>
          <w:p>
            <w:pPr>
              <w:pStyle w:val="Compact"/>
              <w:jc w:val="right"/>
            </w:pPr>
            <w:r>
              <w:t xml:space="preserve">1218</w:t>
            </w:r>
          </w:p>
        </w:tc>
        <w:tc>
          <w:tcPr/>
          <w:p>
            <w:pPr>
              <w:pStyle w:val="Compact"/>
              <w:jc w:val="right"/>
            </w:pPr>
            <w:r>
              <w:t xml:space="preserve">2.5%</w:t>
            </w:r>
          </w:p>
        </w:tc>
      </w:tr>
      <w:tr>
        <w:tc>
          <w:tcPr/>
          <w:p>
            <w:pPr>
              <w:pStyle w:val="Compact"/>
              <w:jc w:val="left"/>
            </w:pPr>
            <w:r>
              <w:t xml:space="preserve">Ação Penal - Procedimento Sumaríssimo</w:t>
            </w:r>
          </w:p>
        </w:tc>
        <w:tc>
          <w:tcPr/>
          <w:p>
            <w:pPr>
              <w:pStyle w:val="Compact"/>
              <w:jc w:val="right"/>
            </w:pPr>
            <w:r>
              <w:t xml:space="preserve">1206</w:t>
            </w:r>
          </w:p>
        </w:tc>
        <w:tc>
          <w:tcPr/>
          <w:p>
            <w:pPr>
              <w:pStyle w:val="Compact"/>
              <w:jc w:val="right"/>
            </w:pPr>
            <w:r>
              <w:t xml:space="preserve">2.5%</w:t>
            </w:r>
          </w:p>
        </w:tc>
      </w:tr>
      <w:tr>
        <w:tc>
          <w:tcPr/>
          <w:p>
            <w:pPr>
              <w:pStyle w:val="Compact"/>
              <w:jc w:val="left"/>
            </w:pPr>
            <w:r>
              <w:t xml:space="preserve">Outros</w:t>
            </w:r>
          </w:p>
        </w:tc>
        <w:tc>
          <w:tcPr/>
          <w:p>
            <w:pPr>
              <w:pStyle w:val="Compact"/>
              <w:jc w:val="right"/>
            </w:pPr>
            <w:r>
              <w:t xml:space="preserve">5956</w:t>
            </w:r>
          </w:p>
        </w:tc>
        <w:tc>
          <w:tcPr/>
          <w:p>
            <w:pPr>
              <w:pStyle w:val="Compact"/>
              <w:jc w:val="right"/>
            </w:pPr>
            <w:r>
              <w:t xml:space="preserve">12.2%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38"/>
    <w:p>
      <w:pPr>
        <w:pStyle w:val="Corpodetexto"/>
      </w:pPr>
      <w:r>
        <w:t xml:space="preserve">Os 10 assuntos mais comuns estão na</w:t>
      </w:r>
      <w:r>
        <w:t xml:space="preserve"> </w:t>
      </w:r>
      <w:hyperlink w:anchor="tbl-assunto">
        <w:r>
          <w:rPr>
            <w:rStyle w:val="Hyperlink"/>
          </w:rPr>
          <w:t xml:space="preserve">Tabela 2</w:t>
        </w:r>
      </w:hyperlink>
      <w:r>
        <w:t xml:space="preserve">. É possível notar que assuntos genéricos como</w:t>
      </w:r>
      <w:r>
        <w:t xml:space="preserve"> </w:t>
      </w:r>
      <w:r>
        <w:t xml:space="preserve">“</w:t>
      </w:r>
      <w:r>
        <w:t xml:space="preserve">Dano Ambiental</w:t>
      </w:r>
      <w:r>
        <w:t xml:space="preserve">”</w:t>
      </w:r>
      <w:r>
        <w:t xml:space="preserve"> </w:t>
      </w:r>
      <w:r>
        <w:t xml:space="preserve">e</w:t>
      </w:r>
      <w:r>
        <w:t xml:space="preserve"> </w:t>
      </w:r>
      <w:r>
        <w:t xml:space="preserve">“</w:t>
      </w:r>
      <w:r>
        <w:t xml:space="preserve">Flora</w:t>
      </w:r>
      <w:r>
        <w:t xml:space="preserve">”</w:t>
      </w:r>
      <w:r>
        <w:t xml:space="preserve"> </w:t>
      </w:r>
      <w:r>
        <w:t xml:space="preserve">estão bastante presentes nos dados. Por isso, é difícil medir quais são as atividades que conectam e alimentam a cadeia de fluxos de capitais que promovem o desmatamento apenas com essa informação.</w:t>
      </w:r>
    </w:p>
    <w:bookmarkStart w:id="39" w:name="tbl-assunto"/>
    <w:p>
      <w:pPr>
        <w:pStyle w:val="TableCaption"/>
      </w:pPr>
      <w:r>
        <w:t xml:space="preserve">Tabela 2: Dez assuntos mais comuns. Um processo pode ter mais de um assunto.</w:t>
      </w:r>
    </w:p>
    <w:tbl>
      <w:tblPr>
        <w:tblStyle w:val="Table"/>
        <w:tblW w:type="auto" w:w="0"/>
        <w:tblLook w:firstRow="1" w:lastRow="0" w:firstColumn="0" w:lastColumn="0" w:noHBand="0" w:noVBand="0" w:val="0020"/>
        <w:jc w:val="start"/>
        <w:tblCaption w:val="Tabela 2: Dez assuntos mais comuns.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14780</w:t>
            </w:r>
          </w:p>
        </w:tc>
        <w:tc>
          <w:tcPr/>
          <w:p>
            <w:pPr>
              <w:pStyle w:val="Compact"/>
              <w:jc w:val="right"/>
            </w:pPr>
            <w:r>
              <w:t xml:space="preserve">28.1%</w:t>
            </w:r>
          </w:p>
        </w:tc>
      </w:tr>
      <w:tr>
        <w:tc>
          <w:tcPr/>
          <w:p>
            <w:pPr>
              <w:pStyle w:val="Compact"/>
              <w:jc w:val="left"/>
            </w:pPr>
            <w:r>
              <w:t xml:space="preserve">Crimes contra a Flora</w:t>
            </w:r>
          </w:p>
        </w:tc>
        <w:tc>
          <w:tcPr/>
          <w:p>
            <w:pPr>
              <w:pStyle w:val="Compact"/>
              <w:jc w:val="right"/>
            </w:pPr>
            <w:r>
              <w:t xml:space="preserve">8803</w:t>
            </w:r>
          </w:p>
        </w:tc>
        <w:tc>
          <w:tcPr/>
          <w:p>
            <w:pPr>
              <w:pStyle w:val="Compact"/>
              <w:jc w:val="right"/>
            </w:pPr>
            <w:r>
              <w:t xml:space="preserve">16.7%</w:t>
            </w:r>
          </w:p>
        </w:tc>
      </w:tr>
      <w:tr>
        <w:tc>
          <w:tcPr/>
          <w:p>
            <w:pPr>
              <w:pStyle w:val="Compact"/>
              <w:jc w:val="left"/>
            </w:pPr>
            <w:r>
              <w:t xml:space="preserve">Crimes contra o Meio Ambiente e o Patrimônio Genético</w:t>
            </w:r>
          </w:p>
        </w:tc>
        <w:tc>
          <w:tcPr/>
          <w:p>
            <w:pPr>
              <w:pStyle w:val="Compact"/>
              <w:jc w:val="right"/>
            </w:pPr>
            <w:r>
              <w:t xml:space="preserve">6268</w:t>
            </w:r>
          </w:p>
        </w:tc>
        <w:tc>
          <w:tcPr/>
          <w:p>
            <w:pPr>
              <w:pStyle w:val="Compact"/>
              <w:jc w:val="right"/>
            </w:pPr>
            <w:r>
              <w:t xml:space="preserve">11.9%</w:t>
            </w:r>
          </w:p>
        </w:tc>
      </w:tr>
      <w:tr>
        <w:tc>
          <w:tcPr/>
          <w:p>
            <w:pPr>
              <w:pStyle w:val="Compact"/>
              <w:jc w:val="left"/>
            </w:pPr>
            <w:r>
              <w:t xml:space="preserve">Revogação/Anulação de multa ambiental</w:t>
            </w:r>
          </w:p>
        </w:tc>
        <w:tc>
          <w:tcPr/>
          <w:p>
            <w:pPr>
              <w:pStyle w:val="Compact"/>
              <w:jc w:val="right"/>
            </w:pPr>
            <w:r>
              <w:t xml:space="preserve">4343</w:t>
            </w:r>
          </w:p>
        </w:tc>
        <w:tc>
          <w:tcPr/>
          <w:p>
            <w:pPr>
              <w:pStyle w:val="Compact"/>
              <w:jc w:val="right"/>
            </w:pPr>
            <w:r>
              <w:t xml:space="preserve">8.3%</w:t>
            </w:r>
          </w:p>
        </w:tc>
      </w:tr>
      <w:tr>
        <w:tc>
          <w:tcPr/>
          <w:p>
            <w:pPr>
              <w:pStyle w:val="Compact"/>
              <w:jc w:val="left"/>
            </w:pPr>
            <w:r>
              <w:t xml:space="preserve">Da Poluição</w:t>
            </w:r>
          </w:p>
        </w:tc>
        <w:tc>
          <w:tcPr/>
          <w:p>
            <w:pPr>
              <w:pStyle w:val="Compact"/>
              <w:jc w:val="right"/>
            </w:pPr>
            <w:r>
              <w:t xml:space="preserve">3202</w:t>
            </w:r>
          </w:p>
        </w:tc>
        <w:tc>
          <w:tcPr/>
          <w:p>
            <w:pPr>
              <w:pStyle w:val="Compact"/>
              <w:jc w:val="right"/>
            </w:pPr>
            <w:r>
              <w:t xml:space="preserve">6.1%</w:t>
            </w:r>
          </w:p>
        </w:tc>
      </w:tr>
      <w:tr>
        <w:tc>
          <w:tcPr/>
          <w:p>
            <w:pPr>
              <w:pStyle w:val="Compact"/>
              <w:jc w:val="left"/>
            </w:pPr>
            <w:r>
              <w:t xml:space="preserve">Flora</w:t>
            </w:r>
          </w:p>
        </w:tc>
        <w:tc>
          <w:tcPr/>
          <w:p>
            <w:pPr>
              <w:pStyle w:val="Compact"/>
              <w:jc w:val="right"/>
            </w:pPr>
            <w:r>
              <w:t xml:space="preserve">2686</w:t>
            </w:r>
          </w:p>
        </w:tc>
        <w:tc>
          <w:tcPr/>
          <w:p>
            <w:pPr>
              <w:pStyle w:val="Compact"/>
              <w:jc w:val="right"/>
            </w:pPr>
            <w:r>
              <w:t xml:space="preserve">5.1%</w:t>
            </w:r>
          </w:p>
        </w:tc>
      </w:tr>
      <w:tr>
        <w:tc>
          <w:tcPr/>
          <w:p>
            <w:pPr>
              <w:pStyle w:val="Compact"/>
              <w:jc w:val="left"/>
            </w:pPr>
            <w:r>
              <w:t xml:space="preserve">Indenização por Dano Ambiental</w:t>
            </w:r>
          </w:p>
        </w:tc>
        <w:tc>
          <w:tcPr/>
          <w:p>
            <w:pPr>
              <w:pStyle w:val="Compact"/>
              <w:jc w:val="right"/>
            </w:pPr>
            <w:r>
              <w:t xml:space="preserve">2628</w:t>
            </w:r>
          </w:p>
        </w:tc>
        <w:tc>
          <w:tcPr/>
          <w:p>
            <w:pPr>
              <w:pStyle w:val="Compact"/>
              <w:jc w:val="right"/>
            </w:pPr>
            <w:r>
              <w:t xml:space="preserve">5.0%</w:t>
            </w:r>
          </w:p>
        </w:tc>
      </w:tr>
      <w:tr>
        <w:tc>
          <w:tcPr/>
          <w:p>
            <w:pPr>
              <w:pStyle w:val="Compact"/>
              <w:jc w:val="left"/>
            </w:pPr>
            <w:r>
              <w:t xml:space="preserve">Crimes contra a Fauna</w:t>
            </w:r>
          </w:p>
        </w:tc>
        <w:tc>
          <w:tcPr/>
          <w:p>
            <w:pPr>
              <w:pStyle w:val="Compact"/>
              <w:jc w:val="right"/>
            </w:pPr>
            <w:r>
              <w:t xml:space="preserve">2108</w:t>
            </w:r>
          </w:p>
        </w:tc>
        <w:tc>
          <w:tcPr/>
          <w:p>
            <w:pPr>
              <w:pStyle w:val="Compact"/>
              <w:jc w:val="right"/>
            </w:pPr>
            <w:r>
              <w:t xml:space="preserve">4.0%</w:t>
            </w:r>
          </w:p>
        </w:tc>
      </w:tr>
      <w:tr>
        <w:tc>
          <w:tcPr/>
          <w:p>
            <w:pPr>
              <w:pStyle w:val="Compact"/>
              <w:jc w:val="left"/>
            </w:pPr>
            <w:r>
              <w:t xml:space="preserve">Revogação/Concessão de Licença Ambiental</w:t>
            </w:r>
          </w:p>
        </w:tc>
        <w:tc>
          <w:tcPr/>
          <w:p>
            <w:pPr>
              <w:pStyle w:val="Compact"/>
              <w:jc w:val="right"/>
            </w:pPr>
            <w:r>
              <w:t xml:space="preserve">1615</w:t>
            </w:r>
          </w:p>
        </w:tc>
        <w:tc>
          <w:tcPr/>
          <w:p>
            <w:pPr>
              <w:pStyle w:val="Compact"/>
              <w:jc w:val="right"/>
            </w:pPr>
            <w:r>
              <w:t xml:space="preserve">3.1%</w:t>
            </w:r>
          </w:p>
        </w:tc>
      </w:tr>
      <w:tr>
        <w:tc>
          <w:tcPr/>
          <w:p>
            <w:pPr>
              <w:pStyle w:val="Compact"/>
              <w:jc w:val="left"/>
            </w:pPr>
            <w:r>
              <w:t xml:space="preserve">Pesca</w:t>
            </w:r>
          </w:p>
        </w:tc>
        <w:tc>
          <w:tcPr/>
          <w:p>
            <w:pPr>
              <w:pStyle w:val="Compact"/>
              <w:jc w:val="right"/>
            </w:pPr>
            <w:r>
              <w:t xml:space="preserve">1429</w:t>
            </w:r>
          </w:p>
        </w:tc>
        <w:tc>
          <w:tcPr/>
          <w:p>
            <w:pPr>
              <w:pStyle w:val="Compact"/>
              <w:jc w:val="right"/>
            </w:pPr>
            <w:r>
              <w:t xml:space="preserve">2.7%</w:t>
            </w:r>
          </w:p>
        </w:tc>
      </w:tr>
      <w:tr>
        <w:tc>
          <w:tcPr/>
          <w:p>
            <w:pPr>
              <w:pStyle w:val="Compact"/>
              <w:jc w:val="left"/>
            </w:pPr>
            <w:r>
              <w:t xml:space="preserve">Outros</w:t>
            </w:r>
          </w:p>
        </w:tc>
        <w:tc>
          <w:tcPr/>
          <w:p>
            <w:pPr>
              <w:pStyle w:val="Compact"/>
              <w:jc w:val="right"/>
            </w:pPr>
            <w:r>
              <w:t xml:space="preserve">4713</w:t>
            </w:r>
          </w:p>
        </w:tc>
        <w:tc>
          <w:tcPr/>
          <w:p>
            <w:pPr>
              <w:pStyle w:val="Compact"/>
              <w:jc w:val="right"/>
            </w:pPr>
            <w:r>
              <w:t xml:space="preserve">9.0%</w:t>
            </w:r>
          </w:p>
        </w:tc>
      </w:tr>
      <w:tr>
        <w:tc>
          <w:tcPr/>
          <w:p>
            <w:pPr>
              <w:pStyle w:val="Compact"/>
              <w:jc w:val="left"/>
            </w:pPr>
            <w:r>
              <w:t xml:space="preserve">Total</w:t>
            </w:r>
          </w:p>
        </w:tc>
        <w:tc>
          <w:tcPr/>
          <w:p>
            <w:pPr>
              <w:pStyle w:val="Compact"/>
              <w:jc w:val="right"/>
            </w:pPr>
            <w:r>
              <w:t xml:space="preserve">52575</w:t>
            </w:r>
          </w:p>
        </w:tc>
        <w:tc>
          <w:tcPr/>
          <w:p>
            <w:pPr>
              <w:pStyle w:val="Compact"/>
              <w:jc w:val="right"/>
            </w:pPr>
            <w:r>
              <w:t xml:space="preserve">100.0%</w:t>
            </w:r>
          </w:p>
        </w:tc>
      </w:tr>
    </w:tbl>
    <w:bookmarkEnd w:id="39"/>
    <w:p>
      <w:pPr>
        <w:pStyle w:val="Corpodetexto"/>
      </w:pPr>
      <w:r>
        <w:t xml:space="preserve">A</w:t>
      </w:r>
      <w:r>
        <w:t xml:space="preserve"> </w:t>
      </w:r>
      <w:hyperlink w:anchor="fig-mapa">
        <w:r>
          <w:rPr>
            <w:rStyle w:val="Hyperlink"/>
          </w:rPr>
          <w:t xml:space="preserve">Figura 3</w:t>
        </w:r>
      </w:hyperlink>
      <w:r>
        <w:t xml:space="preserve"> </w:t>
      </w:r>
      <w:r>
        <w:t xml:space="preserve">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type="pct" w:w="5000"/>
        <w:tblLook w:firstRow="0" w:lastRow="0" w:firstColumn="0" w:lastColumn="0" w:noHBand="0" w:noVBand="0" w:val="0000"/>
        <w:jc w:val="start"/>
      </w:tblPr>
      <w:tblGrid>
        <w:gridCol w:w="7920"/>
      </w:tblGrid>
      <w:tr>
        <w:tc>
          <w:tcPr/>
          <w:bookmarkStart w:id="43" w:name="fig-mapa"/>
          <w:p>
            <w:pPr>
              <w:jc w:val="center"/>
            </w:pPr>
            <w:r>
              <w:drawing>
                <wp:inline>
                  <wp:extent cx="4620126" cy="3696101"/>
                  <wp:effectExtent b="0" l="0" r="0" t="0"/>
                  <wp:docPr descr="" title="" id="41" name="Picture"/>
                  <a:graphic>
                    <a:graphicData uri="http://schemas.openxmlformats.org/drawingml/2006/picture">
                      <pic:pic>
                        <pic:nvPicPr>
                          <pic:cNvPr descr="2-descritiva_files/figure-docx/fig-map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Pontos de distribuição dos processos</w:t>
            </w:r>
          </w:p>
          <w:bookmarkEnd w:id="43"/>
        </w:tc>
      </w:tr>
    </w:tbl>
    <w:p>
      <w:pPr>
        <w:pStyle w:val="Corpodetexto"/>
      </w:pPr>
      <w:r>
        <w:t xml:space="preserve">A</w:t>
      </w:r>
      <w:r>
        <w:t xml:space="preserve"> </w:t>
      </w:r>
      <w:hyperlink w:anchor="tbl-municipios">
        <w:r>
          <w:rPr>
            <w:rStyle w:val="Hyperlink"/>
          </w:rPr>
          <w:t xml:space="preserve">Tabela 3</w:t>
        </w:r>
      </w:hyperlink>
      <w:r>
        <w:t xml:space="preserve"> </w:t>
      </w:r>
      <w:r>
        <w:t xml:space="preserve">mostra os 10 municípios com mais processos. A maioria são capitais, o que é esperado, já que são municípios mais populosos.</w:t>
      </w:r>
    </w:p>
    <w:bookmarkStart w:id="44" w:name="tbl-municipios"/>
    <w:p>
      <w:pPr>
        <w:pStyle w:val="TableCaption"/>
      </w:pPr>
      <w:r>
        <w:t xml:space="preserve">Tabela 3: Municípios com mais processos.</w:t>
      </w:r>
    </w:p>
    <w:tbl>
      <w:tblPr>
        <w:tblStyle w:val="Table"/>
        <w:tblW w:type="auto" w:w="0"/>
        <w:tblLook w:firstRow="1" w:lastRow="0" w:firstColumn="0" w:lastColumn="0" w:noHBand="0" w:noVBand="0" w:val="0020"/>
        <w:jc w:val="start"/>
        <w:tblCaption w:val="Tabela 3: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10.6%</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7.9%</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6.8%</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4.2%</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4.0%</w:t>
            </w:r>
          </w:p>
        </w:tc>
      </w:tr>
      <w:tr>
        <w:tc>
          <w:tcPr/>
          <w:p>
            <w:pPr>
              <w:pStyle w:val="Compact"/>
              <w:jc w:val="left"/>
            </w:pPr>
            <w:r>
              <w:t xml:space="preserve">Belem / PA</w:t>
            </w:r>
          </w:p>
        </w:tc>
        <w:tc>
          <w:tcPr/>
          <w:p>
            <w:pPr>
              <w:pStyle w:val="Compact"/>
              <w:jc w:val="right"/>
            </w:pPr>
            <w:r>
              <w:t xml:space="preserve">1513</w:t>
            </w:r>
          </w:p>
        </w:tc>
        <w:tc>
          <w:tcPr/>
          <w:p>
            <w:pPr>
              <w:pStyle w:val="Compact"/>
              <w:jc w:val="right"/>
            </w:pPr>
            <w:r>
              <w:t xml:space="preserve">3.1%</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2.7%</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2.3%</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2.2%</w:t>
            </w:r>
          </w:p>
        </w:tc>
      </w:tr>
      <w:tr>
        <w:tc>
          <w:tcPr/>
          <w:p>
            <w:pPr>
              <w:pStyle w:val="Compact"/>
              <w:jc w:val="left"/>
            </w:pPr>
            <w:r>
              <w:t xml:space="preserve">Sao Luis / MA</w:t>
            </w:r>
          </w:p>
        </w:tc>
        <w:tc>
          <w:tcPr/>
          <w:p>
            <w:pPr>
              <w:pStyle w:val="Compact"/>
              <w:jc w:val="right"/>
            </w:pPr>
            <w:r>
              <w:t xml:space="preserve">979</w:t>
            </w:r>
          </w:p>
        </w:tc>
        <w:tc>
          <w:tcPr/>
          <w:p>
            <w:pPr>
              <w:pStyle w:val="Compact"/>
              <w:jc w:val="right"/>
            </w:pPr>
            <w:r>
              <w:t xml:space="preserve">2.0%</w:t>
            </w:r>
          </w:p>
        </w:tc>
      </w:tr>
      <w:tr>
        <w:tc>
          <w:tcPr/>
          <w:p>
            <w:pPr>
              <w:pStyle w:val="Compact"/>
              <w:jc w:val="left"/>
            </w:pPr>
            <w:r>
              <w:t xml:space="preserve">Outros</w:t>
            </w:r>
          </w:p>
        </w:tc>
        <w:tc>
          <w:tcPr/>
          <w:p>
            <w:pPr>
              <w:pStyle w:val="Compact"/>
              <w:jc w:val="right"/>
            </w:pPr>
            <w:r>
              <w:t xml:space="preserve">26419</w:t>
            </w:r>
          </w:p>
        </w:tc>
        <w:tc>
          <w:tcPr/>
          <w:p>
            <w:pPr>
              <w:pStyle w:val="Compact"/>
              <w:jc w:val="right"/>
            </w:pPr>
            <w:r>
              <w:t xml:space="preserve">54.2%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44"/>
    <w:p>
      <w:pPr>
        <w:pStyle w:val="Corpodetexto"/>
      </w:pPr>
      <w:r>
        <w:t xml:space="preserve">A</w:t>
      </w:r>
      <w:r>
        <w:t xml:space="preserve"> </w:t>
      </w:r>
      <w:hyperlink w:anchor="tbl-ilg">
        <w:r>
          <w:rPr>
            <w:rStyle w:val="Hyperlink"/>
          </w:rPr>
          <w:t xml:space="preserve">Tabela 4</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45" w:name="tbl-ilg"/>
    <w:p>
      <w:pPr>
        <w:pStyle w:val="TableCaption"/>
      </w:pPr>
      <w:r>
        <w:t xml:space="preserve">Tabela 4: Municípios com mais litigiosidade, considerando população do Censo IBGE de 2010.</w:t>
      </w:r>
    </w:p>
    <w:tbl>
      <w:tblPr>
        <w:tblStyle w:val="Table"/>
        <w:tblW w:type="auto" w:w="0"/>
        <w:tblLook w:firstRow="1" w:lastRow="0" w:firstColumn="0" w:lastColumn="0" w:noHBand="0" w:noVBand="0" w:val="0020"/>
        <w:jc w:val="start"/>
        <w:tblCaption w:val="Tabela 4: Municípios com mais litigiosidade, considerando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Claudia / MT</w:t>
            </w:r>
          </w:p>
        </w:tc>
        <w:tc>
          <w:tcPr/>
          <w:p>
            <w:pPr>
              <w:pStyle w:val="Compact"/>
              <w:jc w:val="right"/>
            </w:pPr>
            <w:r>
              <w:t xml:space="preserve">396</w:t>
            </w:r>
          </w:p>
        </w:tc>
        <w:tc>
          <w:tcPr/>
          <w:p>
            <w:pPr>
              <w:pStyle w:val="Compact"/>
              <w:jc w:val="right"/>
            </w:pPr>
            <w:r>
              <w:t xml:space="preserve">3670.1</w:t>
            </w:r>
          </w:p>
        </w:tc>
      </w:tr>
      <w:tr>
        <w:tc>
          <w:tcPr/>
          <w:p>
            <w:pPr>
              <w:pStyle w:val="Compact"/>
              <w:jc w:val="left"/>
            </w:pPr>
            <w:r>
              <w:t xml:space="preserve">Nova Ubirata / MT</w:t>
            </w:r>
          </w:p>
        </w:tc>
        <w:tc>
          <w:tcPr/>
          <w:p>
            <w:pPr>
              <w:pStyle w:val="Compact"/>
              <w:jc w:val="right"/>
            </w:pPr>
            <w:r>
              <w:t xml:space="preserve">256</w:t>
            </w:r>
          </w:p>
        </w:tc>
        <w:tc>
          <w:tcPr/>
          <w:p>
            <w:pPr>
              <w:pStyle w:val="Compact"/>
              <w:jc w:val="right"/>
            </w:pPr>
            <w:r>
              <w:t xml:space="preserve">3018.9</w:t>
            </w:r>
          </w:p>
        </w:tc>
      </w:tr>
      <w:tr>
        <w:tc>
          <w:tcPr/>
          <w:p>
            <w:pPr>
              <w:pStyle w:val="Compact"/>
              <w:jc w:val="left"/>
            </w:pPr>
            <w:r>
              <w:t xml:space="preserve">Itauba / MT</w:t>
            </w:r>
          </w:p>
        </w:tc>
        <w:tc>
          <w:tcPr/>
          <w:p>
            <w:pPr>
              <w:pStyle w:val="Compact"/>
              <w:jc w:val="right"/>
            </w:pPr>
            <w:r>
              <w:t xml:space="preserve">130</w:t>
            </w:r>
          </w:p>
        </w:tc>
        <w:tc>
          <w:tcPr/>
          <w:p>
            <w:pPr>
              <w:pStyle w:val="Compact"/>
              <w:jc w:val="right"/>
            </w:pPr>
            <w:r>
              <w:t xml:space="preserve">2899.8</w:t>
            </w:r>
          </w:p>
        </w:tc>
      </w:tr>
      <w:tr>
        <w:tc>
          <w:tcPr/>
          <w:p>
            <w:pPr>
              <w:pStyle w:val="Compact"/>
              <w:jc w:val="left"/>
            </w:pPr>
            <w:r>
              <w:t xml:space="preserve">Feliz Natal / MT</w:t>
            </w:r>
          </w:p>
        </w:tc>
        <w:tc>
          <w:tcPr/>
          <w:p>
            <w:pPr>
              <w:pStyle w:val="Compact"/>
              <w:jc w:val="right"/>
            </w:pPr>
            <w:r>
              <w:t xml:space="preserve">298</w:t>
            </w:r>
          </w:p>
        </w:tc>
        <w:tc>
          <w:tcPr/>
          <w:p>
            <w:pPr>
              <w:pStyle w:val="Compact"/>
              <w:jc w:val="right"/>
            </w:pPr>
            <w:r>
              <w:t xml:space="preserve">2762.3</w:t>
            </w:r>
          </w:p>
        </w:tc>
      </w:tr>
      <w:tr>
        <w:tc>
          <w:tcPr/>
          <w:p>
            <w:pPr>
              <w:pStyle w:val="Compact"/>
              <w:jc w:val="left"/>
            </w:pPr>
            <w:r>
              <w:t xml:space="preserve">Cristalandia / TO</w:t>
            </w:r>
          </w:p>
        </w:tc>
        <w:tc>
          <w:tcPr/>
          <w:p>
            <w:pPr>
              <w:pStyle w:val="Compact"/>
              <w:jc w:val="right"/>
            </w:pPr>
            <w:r>
              <w:t xml:space="preserve">151</w:t>
            </w:r>
          </w:p>
        </w:tc>
        <w:tc>
          <w:tcPr/>
          <w:p>
            <w:pPr>
              <w:pStyle w:val="Compact"/>
              <w:jc w:val="right"/>
            </w:pPr>
            <w:r>
              <w:t xml:space="preserve">2174.9</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Marcelandia / MT</w:t>
            </w:r>
          </w:p>
        </w:tc>
        <w:tc>
          <w:tcPr/>
          <w:p>
            <w:pPr>
              <w:pStyle w:val="Compact"/>
              <w:jc w:val="right"/>
            </w:pPr>
            <w:r>
              <w:t xml:space="preserve">194</w:t>
            </w:r>
          </w:p>
        </w:tc>
        <w:tc>
          <w:tcPr/>
          <w:p>
            <w:pPr>
              <w:pStyle w:val="Compact"/>
              <w:jc w:val="right"/>
            </w:pPr>
            <w:r>
              <w:t xml:space="preserve">1663.5</w:t>
            </w:r>
          </w:p>
        </w:tc>
      </w:tr>
      <w:tr>
        <w:tc>
          <w:tcPr/>
          <w:p>
            <w:pPr>
              <w:pStyle w:val="Compact"/>
              <w:jc w:val="left"/>
            </w:pPr>
            <w:r>
              <w:t xml:space="preserve">Colniza / MT</w:t>
            </w:r>
          </w:p>
        </w:tc>
        <w:tc>
          <w:tcPr/>
          <w:p>
            <w:pPr>
              <w:pStyle w:val="Compact"/>
              <w:jc w:val="right"/>
            </w:pPr>
            <w:r>
              <w:t xml:space="preserve">344</w:t>
            </w:r>
          </w:p>
        </w:tc>
        <w:tc>
          <w:tcPr/>
          <w:p>
            <w:pPr>
              <w:pStyle w:val="Compact"/>
              <w:jc w:val="right"/>
            </w:pPr>
            <w:r>
              <w:t xml:space="preserve">1472.9</w:t>
            </w:r>
          </w:p>
        </w:tc>
      </w:tr>
      <w:tr>
        <w:tc>
          <w:tcPr/>
          <w:p>
            <w:pPr>
              <w:pStyle w:val="Compact"/>
              <w:jc w:val="left"/>
            </w:pPr>
            <w:r>
              <w:t xml:space="preserve">Comodoro / MT</w:t>
            </w:r>
          </w:p>
        </w:tc>
        <w:tc>
          <w:tcPr/>
          <w:p>
            <w:pPr>
              <w:pStyle w:val="Compact"/>
              <w:jc w:val="right"/>
            </w:pPr>
            <w:r>
              <w:t xml:space="preserve">236</w:t>
            </w:r>
          </w:p>
        </w:tc>
        <w:tc>
          <w:tcPr/>
          <w:p>
            <w:pPr>
              <w:pStyle w:val="Compact"/>
              <w:jc w:val="right"/>
            </w:pPr>
            <w:r>
              <w:t xml:space="preserve">1337.4</w:t>
            </w:r>
          </w:p>
        </w:tc>
      </w:tr>
    </w:tbl>
    <w:bookmarkEnd w:id="45"/>
    <w:p>
      <w:pPr>
        <w:pStyle w:val="Corpodetexto"/>
      </w:pPr>
      <w:r>
        <w:t xml:space="preserve">A</w:t>
      </w:r>
      <w:r>
        <w:t xml:space="preserve"> </w:t>
      </w:r>
      <w:hyperlink w:anchor="tbl-ilg-50k">
        <w:r>
          <w:rPr>
            <w:rStyle w:val="Hyperlink"/>
          </w:rPr>
          <w:t xml:space="preserve">Tabela 5</w:t>
        </w:r>
      </w:hyperlink>
      <w:r>
        <w:t xml:space="preserve"> </w:t>
      </w:r>
      <w:r>
        <w:t xml:space="preserve">mostra os municípios com maior litigiosidade, considerando somente municípios com mais de 50 mil habitantes. Novamente aparecem algumas capitais e figuram entre os mais litigiosos o município de Altamira, que é o município com maior área no país.</w:t>
      </w:r>
    </w:p>
    <w:bookmarkStart w:id="46" w:name="tbl-ilg-50k"/>
    <w:p>
      <w:pPr>
        <w:pStyle w:val="TableCaption"/>
      </w:pPr>
      <w:r>
        <w:t xml:space="preserve">Tabela 5: Municípios com mais litigiosidade.</w:t>
      </w:r>
    </w:p>
    <w:tbl>
      <w:tblPr>
        <w:tblStyle w:val="Table"/>
        <w:tblW w:type="auto" w:w="0"/>
        <w:tblLook w:firstRow="1" w:lastRow="0" w:firstColumn="0" w:lastColumn="0" w:noHBand="0" w:noVBand="0" w:val="0020"/>
        <w:jc w:val="start"/>
        <w:tblCaption w:val="Tabela 5: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1134.3</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999.7</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943.9</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914.0</w:t>
            </w:r>
          </w:p>
        </w:tc>
      </w:tr>
      <w:tr>
        <w:tc>
          <w:tcPr/>
          <w:p>
            <w:pPr>
              <w:pStyle w:val="Compact"/>
              <w:jc w:val="left"/>
            </w:pPr>
            <w:r>
              <w:t xml:space="preserve">Sao Felix Do Xingu / PA</w:t>
            </w:r>
          </w:p>
        </w:tc>
        <w:tc>
          <w:tcPr/>
          <w:p>
            <w:pPr>
              <w:pStyle w:val="Compact"/>
              <w:jc w:val="right"/>
            </w:pPr>
            <w:r>
              <w:t xml:space="preserve">674</w:t>
            </w:r>
          </w:p>
        </w:tc>
        <w:tc>
          <w:tcPr/>
          <w:p>
            <w:pPr>
              <w:pStyle w:val="Compact"/>
              <w:jc w:val="right"/>
            </w:pPr>
            <w:r>
              <w:t xml:space="preserve">882.7</w:t>
            </w:r>
          </w:p>
        </w:tc>
      </w:tr>
      <w:tr>
        <w:tc>
          <w:tcPr/>
          <w:p>
            <w:pPr>
              <w:pStyle w:val="Compact"/>
              <w:jc w:val="left"/>
            </w:pPr>
            <w:r>
              <w:t xml:space="preserve">Breu Branco / PA</w:t>
            </w:r>
          </w:p>
        </w:tc>
        <w:tc>
          <w:tcPr/>
          <w:p>
            <w:pPr>
              <w:pStyle w:val="Compact"/>
              <w:jc w:val="right"/>
            </w:pPr>
            <w:r>
              <w:t xml:space="preserve">352</w:t>
            </w:r>
          </w:p>
        </w:tc>
        <w:tc>
          <w:tcPr/>
          <w:p>
            <w:pPr>
              <w:pStyle w:val="Compact"/>
              <w:jc w:val="right"/>
            </w:pPr>
            <w:r>
              <w:t xml:space="preserve">693.3</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547.3</w:t>
            </w:r>
          </w:p>
        </w:tc>
      </w:tr>
      <w:tr>
        <w:tc>
          <w:tcPr/>
          <w:p>
            <w:pPr>
              <w:pStyle w:val="Compact"/>
              <w:jc w:val="left"/>
            </w:pPr>
            <w:r>
              <w:t xml:space="preserve">Rondonopolis / MT</w:t>
            </w:r>
          </w:p>
        </w:tc>
        <w:tc>
          <w:tcPr/>
          <w:p>
            <w:pPr>
              <w:pStyle w:val="Compact"/>
              <w:jc w:val="right"/>
            </w:pPr>
            <w:r>
              <w:t xml:space="preserve">954</w:t>
            </w:r>
          </w:p>
        </w:tc>
        <w:tc>
          <w:tcPr/>
          <w:p>
            <w:pPr>
              <w:pStyle w:val="Compact"/>
              <w:jc w:val="right"/>
            </w:pPr>
            <w:r>
              <w:t xml:space="preserve">494.3</w:t>
            </w:r>
          </w:p>
        </w:tc>
      </w:tr>
    </w:tbl>
    <w:bookmarkEnd w:id="46"/>
    <w:p>
      <w:pPr>
        <w:pStyle w:val="Corpodetexto"/>
      </w:pPr>
      <w:r>
        <w:t xml:space="preserve">A análise anterior sugere que seja realizado de quantidade de processos por 1000km² de área do município. A</w:t>
      </w:r>
      <w:r>
        <w:t xml:space="preserve"> </w:t>
      </w:r>
      <w:hyperlink w:anchor="tbl-ila-50k">
        <w:r>
          <w:rPr>
            <w:rStyle w:val="Hyperlink"/>
          </w:rPr>
          <w:t xml:space="preserve">Tabela 6</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47" w:name="tbl-ila-50k"/>
    <w:p>
      <w:pPr>
        <w:pStyle w:val="TableCaption"/>
      </w:pPr>
      <w:r>
        <w:t xml:space="preserve">Tabela 6: Municípios com maiores taxas de processos por mil quilômetros quadrados.</w:t>
      </w:r>
    </w:p>
    <w:tbl>
      <w:tblPr>
        <w:tblStyle w:val="Table"/>
        <w:tblW w:type="auto" w:w="0"/>
        <w:tblLook w:firstRow="1" w:lastRow="0" w:firstColumn="0" w:lastColumn="0" w:noHBand="0" w:noVBand="0" w:val="0020"/>
        <w:jc w:val="start"/>
        <w:tblCaption w:val="Tabela 6: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1016.5</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291.5</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232.5</w:t>
            </w:r>
          </w:p>
        </w:tc>
      </w:tr>
      <w:tr>
        <w:tc>
          <w:tcPr/>
          <w:p>
            <w:pPr>
              <w:pStyle w:val="Compact"/>
              <w:jc w:val="left"/>
            </w:pPr>
            <w:r>
              <w:t xml:space="preserve">Macapa / AP</w:t>
            </w:r>
          </w:p>
        </w:tc>
        <w:tc>
          <w:tcPr/>
          <w:p>
            <w:pPr>
              <w:pStyle w:val="Compact"/>
              <w:jc w:val="right"/>
            </w:pPr>
            <w:r>
              <w:t xml:space="preserve">827</w:t>
            </w:r>
          </w:p>
        </w:tc>
        <w:tc>
          <w:tcPr/>
          <w:p>
            <w:pPr>
              <w:pStyle w:val="Compact"/>
              <w:jc w:val="right"/>
            </w:pPr>
            <w:r>
              <w:t xml:space="preserve">126.0</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112.4</w:t>
            </w:r>
          </w:p>
        </w:tc>
      </w:tr>
      <w:tr>
        <w:tc>
          <w:tcPr/>
          <w:p>
            <w:pPr>
              <w:pStyle w:val="Compact"/>
              <w:jc w:val="left"/>
            </w:pPr>
            <w:r>
              <w:t xml:space="preserve">Maraba / PA</w:t>
            </w:r>
          </w:p>
        </w:tc>
        <w:tc>
          <w:tcPr/>
          <w:p>
            <w:pPr>
              <w:pStyle w:val="Compact"/>
              <w:jc w:val="right"/>
            </w:pPr>
            <w:r>
              <w:t xml:space="preserve">840</w:t>
            </w:r>
          </w:p>
        </w:tc>
        <w:tc>
          <w:tcPr/>
          <w:p>
            <w:pPr>
              <w:pStyle w:val="Compact"/>
              <w:jc w:val="right"/>
            </w:pPr>
            <w:r>
              <w:t xml:space="preserve">55.5</w:t>
            </w:r>
          </w:p>
        </w:tc>
      </w:tr>
      <w:tr>
        <w:tc>
          <w:tcPr/>
          <w:p>
            <w:pPr>
              <w:pStyle w:val="Compact"/>
              <w:jc w:val="left"/>
            </w:pPr>
            <w:r>
              <w:t xml:space="preserve">Rio Branco / AC</w:t>
            </w:r>
          </w:p>
        </w:tc>
        <w:tc>
          <w:tcPr/>
          <w:p>
            <w:pPr>
              <w:pStyle w:val="Compact"/>
              <w:jc w:val="right"/>
            </w:pPr>
            <w:r>
              <w:t xml:space="preserve">409</w:t>
            </w:r>
          </w:p>
        </w:tc>
        <w:tc>
          <w:tcPr/>
          <w:p>
            <w:pPr>
              <w:pStyle w:val="Compact"/>
              <w:jc w:val="right"/>
            </w:pPr>
            <w:r>
              <w:t xml:space="preserve">46.3</w:t>
            </w:r>
          </w:p>
        </w:tc>
      </w:tr>
      <w:tr>
        <w:tc>
          <w:tcPr/>
          <w:p>
            <w:pPr>
              <w:pStyle w:val="Compact"/>
              <w:jc w:val="left"/>
            </w:pPr>
            <w:r>
              <w:t xml:space="preserve">Santarem / PA</w:t>
            </w:r>
          </w:p>
        </w:tc>
        <w:tc>
          <w:tcPr/>
          <w:p>
            <w:pPr>
              <w:pStyle w:val="Compact"/>
              <w:jc w:val="right"/>
            </w:pPr>
            <w:r>
              <w:t xml:space="preserve">710</w:t>
            </w:r>
          </w:p>
        </w:tc>
        <w:tc>
          <w:tcPr/>
          <w:p>
            <w:pPr>
              <w:pStyle w:val="Compact"/>
              <w:jc w:val="right"/>
            </w:pPr>
            <w:r>
              <w:t xml:space="preserve">39.7</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38.7</w:t>
            </w:r>
          </w:p>
        </w:tc>
      </w:tr>
      <w:tr>
        <w:tc>
          <w:tcPr/>
          <w:p>
            <w:pPr>
              <w:pStyle w:val="Compact"/>
              <w:jc w:val="left"/>
            </w:pPr>
            <w:r>
              <w:t xml:space="preserve">Ulianopolis / PA</w:t>
            </w:r>
          </w:p>
        </w:tc>
        <w:tc>
          <w:tcPr/>
          <w:p>
            <w:pPr>
              <w:pStyle w:val="Compact"/>
              <w:jc w:val="right"/>
            </w:pPr>
            <w:r>
              <w:t xml:space="preserve">195</w:t>
            </w:r>
          </w:p>
        </w:tc>
        <w:tc>
          <w:tcPr/>
          <w:p>
            <w:pPr>
              <w:pStyle w:val="Compact"/>
              <w:jc w:val="right"/>
            </w:pPr>
            <w:r>
              <w:t xml:space="preserve">38.3</w:t>
            </w:r>
          </w:p>
        </w:tc>
      </w:tr>
    </w:tbl>
    <w:bookmarkEnd w:id="47"/>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Tais dados foram confrontados com o índice de litigiosidade (casos novos por 100.000 habitantes). O resultado é a</w:t>
      </w:r>
      <w:r>
        <w:t xml:space="preserve"> </w:t>
      </w:r>
      <w:hyperlink w:anchor="fig-ilg-desmatamento-sirenejud">
        <w:r>
          <w:rPr>
            <w:rStyle w:val="Hyperlink"/>
          </w:rPr>
          <w:t xml:space="preserve">Figura 4</w:t>
        </w:r>
      </w:hyperlink>
      <w:r>
        <w:t xml:space="preserve">, mostrando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51" w:name="fig-ilg-desmatamento-sirenejud"/>
          <w:p>
            <w:pPr>
              <w:jc w:val="center"/>
            </w:pPr>
            <w:r>
              <w:drawing>
                <wp:inline>
                  <wp:extent cx="4620126" cy="3696101"/>
                  <wp:effectExtent b="0" l="0" r="0" t="0"/>
                  <wp:docPr descr="" title="" id="49" name="Picture"/>
                  <a:graphic>
                    <a:graphicData uri="http://schemas.openxmlformats.org/drawingml/2006/picture">
                      <pic:pic>
                        <pic:nvPicPr>
                          <pic:cNvPr descr="2-descritiva_files/figure-docx/fig-ilg-desmatamento-sireneju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Gráfico de dispersão mostrando a relação entre a litigiosidade e o percentual de desmatamento do município.</w:t>
            </w:r>
          </w:p>
          <w:bookmarkEnd w:id="51"/>
        </w:tc>
      </w:tr>
    </w:tbl>
    <w:bookmarkStart w:id="55" w:name="segundo-grau"/>
    <w:p>
      <w:pPr>
        <w:pStyle w:val="Ttulo4"/>
      </w:pPr>
      <w:r>
        <w:t xml:space="preserve">Segundo grau</w:t>
      </w:r>
    </w:p>
    <w:p>
      <w:pPr>
        <w:pStyle w:val="FirstParagraph"/>
      </w:pPr>
      <w:r>
        <w:t xml:space="preserve">Abaixo, repetimos algumas análises considerando a base do segundo grau do SireneJud. A base foi construída utilizando os mesmos filtros que a base do primeiro grau, moficiando apenas o filtro da instância.</w:t>
      </w:r>
    </w:p>
    <w:p>
      <w:pPr>
        <w:pStyle w:val="Corpodetexto"/>
      </w:pPr>
      <w:r>
        <w:t xml:space="preserve">Do total de 6434 processos, 6434 (100%) são estaduais. Dentre os processos estaduais, o tribunal mais comum é o TJPA, com 2420 (37.6%) dos processos estaduais.</w:t>
      </w:r>
    </w:p>
    <w:p>
      <w:pPr>
        <w:pStyle w:val="Corpodetexto"/>
      </w:pPr>
      <w:r>
        <w:t xml:space="preserve">As 10 classes mais comuns dos processos estão na</w:t>
      </w:r>
      <w:r>
        <w:t xml:space="preserve"> </w:t>
      </w:r>
      <w:hyperlink w:anchor="tbl-classe-2grau">
        <w:r>
          <w:rPr>
            <w:rStyle w:val="Hyperlink"/>
          </w:rPr>
          <w:t xml:space="preserve">Tabela 7</w:t>
        </w:r>
      </w:hyperlink>
      <w:r>
        <w:t xml:space="preserve">. A classe com maior volume de processos é a apelação cível, seguida por agravos de instrumento. As classes fazem sentido, considerando que o segundo grau costuma ser formado basicamente de apelações e agravos.</w:t>
      </w:r>
    </w:p>
    <w:bookmarkStart w:id="52" w:name="tbl-classe-2grau"/>
    <w:p>
      <w:pPr>
        <w:pStyle w:val="TableCaption"/>
      </w:pPr>
      <w:r>
        <w:t xml:space="preserve">Tabela 7: Dez classes mais comuns no segundo grau.</w:t>
      </w:r>
    </w:p>
    <w:tbl>
      <w:tblPr>
        <w:tblStyle w:val="Table"/>
        <w:tblW w:type="auto" w:w="0"/>
        <w:tblLook w:firstRow="1" w:lastRow="0" w:firstColumn="0" w:lastColumn="0" w:noHBand="0" w:noVBand="0" w:val="0020"/>
        <w:jc w:val="start"/>
        <w:tblCaption w:val="Tabela 7: Dez classes mais comuns no segundo grau."/>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Apelação Cível</w:t>
            </w:r>
          </w:p>
        </w:tc>
        <w:tc>
          <w:tcPr/>
          <w:p>
            <w:pPr>
              <w:pStyle w:val="Compact"/>
              <w:jc w:val="right"/>
            </w:pPr>
            <w:r>
              <w:t xml:space="preserve">3706</w:t>
            </w:r>
          </w:p>
        </w:tc>
        <w:tc>
          <w:tcPr/>
          <w:p>
            <w:pPr>
              <w:pStyle w:val="Compact"/>
              <w:jc w:val="right"/>
            </w:pPr>
            <w:r>
              <w:t xml:space="preserve">57.6%</w:t>
            </w:r>
          </w:p>
        </w:tc>
      </w:tr>
      <w:tr>
        <w:tc>
          <w:tcPr/>
          <w:p>
            <w:pPr>
              <w:pStyle w:val="Compact"/>
              <w:jc w:val="left"/>
            </w:pPr>
            <w:r>
              <w:t xml:space="preserve">Agravo de Instrumento</w:t>
            </w:r>
          </w:p>
        </w:tc>
        <w:tc>
          <w:tcPr/>
          <w:p>
            <w:pPr>
              <w:pStyle w:val="Compact"/>
              <w:jc w:val="right"/>
            </w:pPr>
            <w:r>
              <w:t xml:space="preserve">1399</w:t>
            </w:r>
          </w:p>
        </w:tc>
        <w:tc>
          <w:tcPr/>
          <w:p>
            <w:pPr>
              <w:pStyle w:val="Compact"/>
              <w:jc w:val="right"/>
            </w:pPr>
            <w:r>
              <w:t xml:space="preserve">21.7%</w:t>
            </w:r>
          </w:p>
        </w:tc>
      </w:tr>
      <w:tr>
        <w:tc>
          <w:tcPr/>
          <w:p>
            <w:pPr>
              <w:pStyle w:val="Compact"/>
              <w:jc w:val="left"/>
            </w:pPr>
            <w:r>
              <w:t xml:space="preserve">Apelação Criminal</w:t>
            </w:r>
          </w:p>
        </w:tc>
        <w:tc>
          <w:tcPr/>
          <w:p>
            <w:pPr>
              <w:pStyle w:val="Compact"/>
              <w:jc w:val="right"/>
            </w:pPr>
            <w:r>
              <w:t xml:space="preserve">312</w:t>
            </w:r>
          </w:p>
        </w:tc>
        <w:tc>
          <w:tcPr/>
          <w:p>
            <w:pPr>
              <w:pStyle w:val="Compact"/>
              <w:jc w:val="right"/>
            </w:pPr>
            <w:r>
              <w:t xml:space="preserve">4.8%</w:t>
            </w:r>
          </w:p>
        </w:tc>
      </w:tr>
      <w:tr>
        <w:tc>
          <w:tcPr/>
          <w:p>
            <w:pPr>
              <w:pStyle w:val="Compact"/>
              <w:jc w:val="left"/>
            </w:pPr>
            <w:r>
              <w:t xml:space="preserve">Remessa Necessária Cível</w:t>
            </w:r>
          </w:p>
        </w:tc>
        <w:tc>
          <w:tcPr/>
          <w:p>
            <w:pPr>
              <w:pStyle w:val="Compact"/>
              <w:jc w:val="right"/>
            </w:pPr>
            <w:r>
              <w:t xml:space="preserve">246</w:t>
            </w:r>
          </w:p>
        </w:tc>
        <w:tc>
          <w:tcPr/>
          <w:p>
            <w:pPr>
              <w:pStyle w:val="Compact"/>
              <w:jc w:val="right"/>
            </w:pPr>
            <w:r>
              <w:t xml:space="preserve">3.8%</w:t>
            </w:r>
          </w:p>
        </w:tc>
      </w:tr>
      <w:tr>
        <w:tc>
          <w:tcPr/>
          <w:p>
            <w:pPr>
              <w:pStyle w:val="Compact"/>
              <w:jc w:val="left"/>
            </w:pPr>
            <w:r>
              <w:t xml:space="preserve">Recurso Especial</w:t>
            </w:r>
          </w:p>
        </w:tc>
        <w:tc>
          <w:tcPr/>
          <w:p>
            <w:pPr>
              <w:pStyle w:val="Compact"/>
              <w:jc w:val="right"/>
            </w:pPr>
            <w:r>
              <w:t xml:space="preserve">131</w:t>
            </w:r>
          </w:p>
        </w:tc>
        <w:tc>
          <w:tcPr/>
          <w:p>
            <w:pPr>
              <w:pStyle w:val="Compact"/>
              <w:jc w:val="right"/>
            </w:pPr>
            <w:r>
              <w:t xml:space="preserve">2.0%</w:t>
            </w:r>
          </w:p>
        </w:tc>
      </w:tr>
      <w:tr>
        <w:tc>
          <w:tcPr/>
          <w:p>
            <w:pPr>
              <w:pStyle w:val="Compact"/>
              <w:jc w:val="left"/>
            </w:pPr>
            <w:r>
              <w:t xml:space="preserve">Habeas Corpus Criminal</w:t>
            </w:r>
          </w:p>
        </w:tc>
        <w:tc>
          <w:tcPr/>
          <w:p>
            <w:pPr>
              <w:pStyle w:val="Compact"/>
              <w:jc w:val="right"/>
            </w:pPr>
            <w:r>
              <w:t xml:space="preserve">117</w:t>
            </w:r>
          </w:p>
        </w:tc>
        <w:tc>
          <w:tcPr/>
          <w:p>
            <w:pPr>
              <w:pStyle w:val="Compact"/>
              <w:jc w:val="right"/>
            </w:pPr>
            <w:r>
              <w:t xml:space="preserve">1.8%</w:t>
            </w:r>
          </w:p>
        </w:tc>
      </w:tr>
      <w:tr>
        <w:tc>
          <w:tcPr/>
          <w:p>
            <w:pPr>
              <w:pStyle w:val="Compact"/>
              <w:jc w:val="left"/>
            </w:pPr>
            <w:r>
              <w:t xml:space="preserve">Apelação / Remessa Necessária</w:t>
            </w:r>
          </w:p>
        </w:tc>
        <w:tc>
          <w:tcPr/>
          <w:p>
            <w:pPr>
              <w:pStyle w:val="Compact"/>
              <w:jc w:val="right"/>
            </w:pPr>
            <w:r>
              <w:t xml:space="preserve">104</w:t>
            </w:r>
          </w:p>
        </w:tc>
        <w:tc>
          <w:tcPr/>
          <w:p>
            <w:pPr>
              <w:pStyle w:val="Compact"/>
              <w:jc w:val="right"/>
            </w:pPr>
            <w:r>
              <w:t xml:space="preserve">1.6%</w:t>
            </w:r>
          </w:p>
        </w:tc>
      </w:tr>
      <w:tr>
        <w:tc>
          <w:tcPr/>
          <w:p>
            <w:pPr>
              <w:pStyle w:val="Compact"/>
              <w:jc w:val="left"/>
            </w:pPr>
            <w:r>
              <w:t xml:space="preserve">Mandado de Segurança Cível</w:t>
            </w:r>
          </w:p>
        </w:tc>
        <w:tc>
          <w:tcPr/>
          <w:p>
            <w:pPr>
              <w:pStyle w:val="Compact"/>
              <w:jc w:val="right"/>
            </w:pPr>
            <w:r>
              <w:t xml:space="preserve">83</w:t>
            </w:r>
          </w:p>
        </w:tc>
        <w:tc>
          <w:tcPr/>
          <w:p>
            <w:pPr>
              <w:pStyle w:val="Compact"/>
              <w:jc w:val="right"/>
            </w:pPr>
            <w:r>
              <w:t xml:space="preserve">1.3%</w:t>
            </w:r>
          </w:p>
        </w:tc>
      </w:tr>
      <w:tr>
        <w:tc>
          <w:tcPr/>
          <w:p>
            <w:pPr>
              <w:pStyle w:val="Compact"/>
              <w:jc w:val="left"/>
            </w:pPr>
            <w:r>
              <w:t xml:space="preserve">Recurso em Sentido Estrito</w:t>
            </w:r>
          </w:p>
        </w:tc>
        <w:tc>
          <w:tcPr/>
          <w:p>
            <w:pPr>
              <w:pStyle w:val="Compact"/>
              <w:jc w:val="right"/>
            </w:pPr>
            <w:r>
              <w:t xml:space="preserve">79</w:t>
            </w:r>
          </w:p>
        </w:tc>
        <w:tc>
          <w:tcPr/>
          <w:p>
            <w:pPr>
              <w:pStyle w:val="Compact"/>
              <w:jc w:val="right"/>
            </w:pPr>
            <w:r>
              <w:t xml:space="preserve">1.2%</w:t>
            </w:r>
          </w:p>
        </w:tc>
      </w:tr>
      <w:tr>
        <w:tc>
          <w:tcPr/>
          <w:p>
            <w:pPr>
              <w:pStyle w:val="Compact"/>
              <w:jc w:val="left"/>
            </w:pPr>
            <w:r>
              <w:t xml:space="preserve">Conflito de competência cível</w:t>
            </w:r>
          </w:p>
        </w:tc>
        <w:tc>
          <w:tcPr/>
          <w:p>
            <w:pPr>
              <w:pStyle w:val="Compact"/>
              <w:jc w:val="right"/>
            </w:pPr>
            <w:r>
              <w:t xml:space="preserve">44</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213</w:t>
            </w:r>
          </w:p>
        </w:tc>
        <w:tc>
          <w:tcPr/>
          <w:p>
            <w:pPr>
              <w:pStyle w:val="Compact"/>
              <w:jc w:val="right"/>
            </w:pPr>
            <w:r>
              <w:t xml:space="preserve">3.3%</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2"/>
    <w:p>
      <w:pPr>
        <w:pStyle w:val="Corpodetexto"/>
      </w:pPr>
      <w:r>
        <w:t xml:space="preserve">Os 10 assuntos mais comuns estão na</w:t>
      </w:r>
      <w:r>
        <w:t xml:space="preserve"> </w:t>
      </w:r>
      <w:hyperlink w:anchor="tbl-assunto-2grau">
        <w:r>
          <w:rPr>
            <w:rStyle w:val="Hyperlink"/>
          </w:rPr>
          <w:t xml:space="preserve">Tabela 8</w:t>
        </w:r>
      </w:hyperlink>
      <w:r>
        <w:t xml:space="preserve">. É possível notar que assuntos genéricos como</w:t>
      </w:r>
      <w:r>
        <w:t xml:space="preserve"> </w:t>
      </w:r>
      <w:r>
        <w:t xml:space="preserve">“</w:t>
      </w:r>
      <w:r>
        <w:t xml:space="preserve">Dano Ambiental</w:t>
      </w:r>
      <w:r>
        <w:t xml:space="preserve">”</w:t>
      </w:r>
      <w:r>
        <w:t xml:space="preserve"> </w:t>
      </w:r>
      <w:r>
        <w:t xml:space="preserve">continuam bastante presentes nos dados. Por isso, é difícil medir quais são as atividades que conectam e alimentam a cadeia de fluxos de capitais que promovem o desmatamento apenas com essa informação.</w:t>
      </w:r>
    </w:p>
    <w:bookmarkStart w:id="53" w:name="tbl-assunto-2grau"/>
    <w:p>
      <w:pPr>
        <w:pStyle w:val="TableCaption"/>
      </w:pPr>
      <w:r>
        <w:t xml:space="preserve">Tabela 8: Dez assuntos mais comuns no segundo grau. Um processo pode ter mais de um assunto.</w:t>
      </w:r>
    </w:p>
    <w:tbl>
      <w:tblPr>
        <w:tblStyle w:val="Table"/>
        <w:tblW w:type="auto" w:w="0"/>
        <w:tblLook w:firstRow="1" w:lastRow="0" w:firstColumn="0" w:lastColumn="0" w:noHBand="0" w:noVBand="0" w:val="0020"/>
        <w:jc w:val="start"/>
        <w:tblCaption w:val="Tabela 8: Dez assuntos mais comuns no segundo grau.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3571</w:t>
            </w:r>
          </w:p>
        </w:tc>
        <w:tc>
          <w:tcPr/>
          <w:p>
            <w:pPr>
              <w:pStyle w:val="Compact"/>
              <w:jc w:val="right"/>
            </w:pPr>
            <w:r>
              <w:t xml:space="preserve">47.5%</w:t>
            </w:r>
          </w:p>
        </w:tc>
      </w:tr>
      <w:tr>
        <w:tc>
          <w:tcPr/>
          <w:p>
            <w:pPr>
              <w:pStyle w:val="Compact"/>
              <w:jc w:val="left"/>
            </w:pPr>
            <w:r>
              <w:t xml:space="preserve">Indenização por Dano Ambiental</w:t>
            </w:r>
          </w:p>
        </w:tc>
        <w:tc>
          <w:tcPr/>
          <w:p>
            <w:pPr>
              <w:pStyle w:val="Compact"/>
              <w:jc w:val="right"/>
            </w:pPr>
            <w:r>
              <w:t xml:space="preserve">927</w:t>
            </w:r>
          </w:p>
        </w:tc>
        <w:tc>
          <w:tcPr/>
          <w:p>
            <w:pPr>
              <w:pStyle w:val="Compact"/>
              <w:jc w:val="right"/>
            </w:pPr>
            <w:r>
              <w:t xml:space="preserve">12.3%</w:t>
            </w:r>
          </w:p>
        </w:tc>
      </w:tr>
      <w:tr>
        <w:tc>
          <w:tcPr/>
          <w:p>
            <w:pPr>
              <w:pStyle w:val="Compact"/>
              <w:jc w:val="left"/>
            </w:pPr>
            <w:r>
              <w:t xml:space="preserve">Revogação/Anulação de multa ambiental</w:t>
            </w:r>
          </w:p>
        </w:tc>
        <w:tc>
          <w:tcPr/>
          <w:p>
            <w:pPr>
              <w:pStyle w:val="Compact"/>
              <w:jc w:val="right"/>
            </w:pPr>
            <w:r>
              <w:t xml:space="preserve">572</w:t>
            </w:r>
          </w:p>
        </w:tc>
        <w:tc>
          <w:tcPr/>
          <w:p>
            <w:pPr>
              <w:pStyle w:val="Compact"/>
              <w:jc w:val="right"/>
            </w:pPr>
            <w:r>
              <w:t xml:space="preserve">7.6%</w:t>
            </w:r>
          </w:p>
        </w:tc>
      </w:tr>
      <w:tr>
        <w:tc>
          <w:tcPr/>
          <w:p>
            <w:pPr>
              <w:pStyle w:val="Compact"/>
              <w:jc w:val="left"/>
            </w:pPr>
            <w:r>
              <w:t xml:space="preserve">Revogação/Concessão de Licença Ambiental</w:t>
            </w:r>
          </w:p>
        </w:tc>
        <w:tc>
          <w:tcPr/>
          <w:p>
            <w:pPr>
              <w:pStyle w:val="Compact"/>
              <w:jc w:val="right"/>
            </w:pPr>
            <w:r>
              <w:t xml:space="preserve">468</w:t>
            </w:r>
          </w:p>
        </w:tc>
        <w:tc>
          <w:tcPr/>
          <w:p>
            <w:pPr>
              <w:pStyle w:val="Compact"/>
              <w:jc w:val="right"/>
            </w:pPr>
            <w:r>
              <w:t xml:space="preserve">6.2%</w:t>
            </w:r>
          </w:p>
        </w:tc>
      </w:tr>
      <w:tr>
        <w:tc>
          <w:tcPr/>
          <w:p>
            <w:pPr>
              <w:pStyle w:val="Compact"/>
              <w:jc w:val="left"/>
            </w:pPr>
            <w:r>
              <w:t xml:space="preserve">Flora</w:t>
            </w:r>
          </w:p>
        </w:tc>
        <w:tc>
          <w:tcPr/>
          <w:p>
            <w:pPr>
              <w:pStyle w:val="Compact"/>
              <w:jc w:val="right"/>
            </w:pPr>
            <w:r>
              <w:t xml:space="preserve">459</w:t>
            </w:r>
          </w:p>
        </w:tc>
        <w:tc>
          <w:tcPr/>
          <w:p>
            <w:pPr>
              <w:pStyle w:val="Compact"/>
              <w:jc w:val="right"/>
            </w:pPr>
            <w:r>
              <w:t xml:space="preserve">6.1%</w:t>
            </w:r>
          </w:p>
        </w:tc>
      </w:tr>
      <w:tr>
        <w:tc>
          <w:tcPr/>
          <w:p>
            <w:pPr>
              <w:pStyle w:val="Compact"/>
              <w:jc w:val="left"/>
            </w:pPr>
            <w:r>
              <w:t xml:space="preserve">DIREITO AMBIENTAL</w:t>
            </w:r>
          </w:p>
        </w:tc>
        <w:tc>
          <w:tcPr/>
          <w:p>
            <w:pPr>
              <w:pStyle w:val="Compact"/>
              <w:jc w:val="right"/>
            </w:pPr>
            <w:r>
              <w:t xml:space="preserve">224</w:t>
            </w:r>
          </w:p>
        </w:tc>
        <w:tc>
          <w:tcPr/>
          <w:p>
            <w:pPr>
              <w:pStyle w:val="Compact"/>
              <w:jc w:val="right"/>
            </w:pPr>
            <w:r>
              <w:t xml:space="preserve">3.0%</w:t>
            </w:r>
          </w:p>
        </w:tc>
      </w:tr>
      <w:tr>
        <w:tc>
          <w:tcPr/>
          <w:p>
            <w:pPr>
              <w:pStyle w:val="Compact"/>
              <w:jc w:val="left"/>
            </w:pPr>
            <w:r>
              <w:t xml:space="preserve">Crimes contra a Flora</w:t>
            </w:r>
          </w:p>
        </w:tc>
        <w:tc>
          <w:tcPr/>
          <w:p>
            <w:pPr>
              <w:pStyle w:val="Compact"/>
              <w:jc w:val="right"/>
            </w:pPr>
            <w:r>
              <w:t xml:space="preserve">195</w:t>
            </w:r>
          </w:p>
        </w:tc>
        <w:tc>
          <w:tcPr/>
          <w:p>
            <w:pPr>
              <w:pStyle w:val="Compact"/>
              <w:jc w:val="right"/>
            </w:pPr>
            <w:r>
              <w:t xml:space="preserve">2.6%</w:t>
            </w:r>
          </w:p>
        </w:tc>
      </w:tr>
      <w:tr>
        <w:tc>
          <w:tcPr/>
          <w:p>
            <w:pPr>
              <w:pStyle w:val="Compact"/>
              <w:jc w:val="left"/>
            </w:pPr>
            <w:r>
              <w:t xml:space="preserve">Área de Preservação Permanente</w:t>
            </w:r>
          </w:p>
        </w:tc>
        <w:tc>
          <w:tcPr/>
          <w:p>
            <w:pPr>
              <w:pStyle w:val="Compact"/>
              <w:jc w:val="right"/>
            </w:pPr>
            <w:r>
              <w:t xml:space="preserve">183</w:t>
            </w:r>
          </w:p>
        </w:tc>
        <w:tc>
          <w:tcPr/>
          <w:p>
            <w:pPr>
              <w:pStyle w:val="Compact"/>
              <w:jc w:val="right"/>
            </w:pPr>
            <w:r>
              <w:t xml:space="preserve">2.4%</w:t>
            </w:r>
          </w:p>
        </w:tc>
      </w:tr>
      <w:tr>
        <w:tc>
          <w:tcPr/>
          <w:p>
            <w:pPr>
              <w:pStyle w:val="Compact"/>
              <w:jc w:val="left"/>
            </w:pPr>
            <w:r>
              <w:t xml:space="preserve">Da Poluição</w:t>
            </w:r>
          </w:p>
        </w:tc>
        <w:tc>
          <w:tcPr/>
          <w:p>
            <w:pPr>
              <w:pStyle w:val="Compact"/>
              <w:jc w:val="right"/>
            </w:pPr>
            <w:r>
              <w:t xml:space="preserve">172</w:t>
            </w:r>
          </w:p>
        </w:tc>
        <w:tc>
          <w:tcPr/>
          <w:p>
            <w:pPr>
              <w:pStyle w:val="Compact"/>
              <w:jc w:val="right"/>
            </w:pPr>
            <w:r>
              <w:t xml:space="preserve">2.3%</w:t>
            </w:r>
          </w:p>
        </w:tc>
      </w:tr>
      <w:tr>
        <w:tc>
          <w:tcPr/>
          <w:p>
            <w:pPr>
              <w:pStyle w:val="Compact"/>
              <w:jc w:val="left"/>
            </w:pPr>
            <w:r>
              <w:t xml:space="preserve">Poluição</w:t>
            </w:r>
          </w:p>
        </w:tc>
        <w:tc>
          <w:tcPr/>
          <w:p>
            <w:pPr>
              <w:pStyle w:val="Compact"/>
              <w:jc w:val="right"/>
            </w:pPr>
            <w:r>
              <w:t xml:space="preserve">133</w:t>
            </w:r>
          </w:p>
        </w:tc>
        <w:tc>
          <w:tcPr/>
          <w:p>
            <w:pPr>
              <w:pStyle w:val="Compact"/>
              <w:jc w:val="right"/>
            </w:pPr>
            <w:r>
              <w:t xml:space="preserve">1.8%</w:t>
            </w:r>
          </w:p>
        </w:tc>
      </w:tr>
      <w:tr>
        <w:tc>
          <w:tcPr/>
          <w:p>
            <w:pPr>
              <w:pStyle w:val="Compact"/>
              <w:jc w:val="left"/>
            </w:pPr>
            <w:r>
              <w:t xml:space="preserve">Outros</w:t>
            </w:r>
          </w:p>
        </w:tc>
        <w:tc>
          <w:tcPr/>
          <w:p>
            <w:pPr>
              <w:pStyle w:val="Compact"/>
              <w:jc w:val="right"/>
            </w:pPr>
            <w:r>
              <w:t xml:space="preserve">619</w:t>
            </w:r>
          </w:p>
        </w:tc>
        <w:tc>
          <w:tcPr/>
          <w:p>
            <w:pPr>
              <w:pStyle w:val="Compact"/>
              <w:jc w:val="right"/>
            </w:pPr>
            <w:r>
              <w:t xml:space="preserve">8.2%</w:t>
            </w:r>
          </w:p>
        </w:tc>
      </w:tr>
      <w:tr>
        <w:tc>
          <w:tcPr/>
          <w:p>
            <w:pPr>
              <w:pStyle w:val="Compact"/>
              <w:jc w:val="left"/>
            </w:pPr>
            <w:r>
              <w:t xml:space="preserve">Total</w:t>
            </w:r>
          </w:p>
        </w:tc>
        <w:tc>
          <w:tcPr/>
          <w:p>
            <w:pPr>
              <w:pStyle w:val="Compact"/>
              <w:jc w:val="right"/>
            </w:pPr>
            <w:r>
              <w:t xml:space="preserve">7523</w:t>
            </w:r>
          </w:p>
        </w:tc>
        <w:tc>
          <w:tcPr/>
          <w:p>
            <w:pPr>
              <w:pStyle w:val="Compact"/>
              <w:jc w:val="right"/>
            </w:pPr>
            <w:r>
              <w:t xml:space="preserve">100.0%</w:t>
            </w:r>
          </w:p>
        </w:tc>
      </w:tr>
    </w:tbl>
    <w:bookmarkEnd w:id="53"/>
    <w:p>
      <w:pPr>
        <w:pStyle w:val="Corpodetexto"/>
      </w:pPr>
      <w:r>
        <w:t xml:space="preserve">A</w:t>
      </w:r>
      <w:r>
        <w:t xml:space="preserve"> </w:t>
      </w:r>
      <w:hyperlink w:anchor="tbl-tribunais-2grau">
        <w:r>
          <w:rPr>
            <w:rStyle w:val="Hyperlink"/>
          </w:rPr>
          <w:t xml:space="preserve">Tabela 9</w:t>
        </w:r>
      </w:hyperlink>
      <w:r>
        <w:t xml:space="preserve"> </w:t>
      </w:r>
      <w:r>
        <w:t xml:space="preserve">mostra os tribunais que mais aparecem no segundo grau. Pará e Mato Grosso figuram entre os mais frequentes.</w:t>
      </w:r>
    </w:p>
    <w:bookmarkStart w:id="54" w:name="tbl-tribunais-2grau"/>
    <w:p>
      <w:pPr>
        <w:pStyle w:val="TableCaption"/>
      </w:pPr>
      <w:r>
        <w:t xml:space="preserve">Tabela 9: Tribunais mais comuns nos processos de segundo grau.</w:t>
      </w:r>
    </w:p>
    <w:tbl>
      <w:tblPr>
        <w:tblStyle w:val="Table"/>
        <w:tblW w:type="auto" w:w="0"/>
        <w:tblLook w:firstRow="1" w:lastRow="0" w:firstColumn="0" w:lastColumn="0" w:noHBand="0" w:noVBand="0" w:val="0020"/>
        <w:jc w:val="start"/>
        <w:tblCaption w:val="Tabela 9: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2420</w:t>
            </w:r>
          </w:p>
        </w:tc>
        <w:tc>
          <w:tcPr/>
          <w:p>
            <w:pPr>
              <w:pStyle w:val="Compact"/>
              <w:jc w:val="right"/>
            </w:pPr>
            <w:r>
              <w:t xml:space="preserve">37.6%</w:t>
            </w:r>
          </w:p>
        </w:tc>
      </w:tr>
      <w:tr>
        <w:tc>
          <w:tcPr/>
          <w:p>
            <w:pPr>
              <w:pStyle w:val="Compact"/>
              <w:jc w:val="left"/>
            </w:pPr>
            <w:r>
              <w:t xml:space="preserve">MT</w:t>
            </w:r>
          </w:p>
        </w:tc>
        <w:tc>
          <w:tcPr/>
          <w:p>
            <w:pPr>
              <w:pStyle w:val="Compact"/>
              <w:jc w:val="right"/>
            </w:pPr>
            <w:r>
              <w:t xml:space="preserve">1944</w:t>
            </w:r>
          </w:p>
        </w:tc>
        <w:tc>
          <w:tcPr/>
          <w:p>
            <w:pPr>
              <w:pStyle w:val="Compact"/>
              <w:jc w:val="right"/>
            </w:pPr>
            <w:r>
              <w:t xml:space="preserve">30.2%</w:t>
            </w:r>
          </w:p>
        </w:tc>
      </w:tr>
      <w:tr>
        <w:tc>
          <w:tcPr/>
          <w:p>
            <w:pPr>
              <w:pStyle w:val="Compact"/>
              <w:jc w:val="left"/>
            </w:pPr>
            <w:r>
              <w:t xml:space="preserve">RO</w:t>
            </w:r>
          </w:p>
        </w:tc>
        <w:tc>
          <w:tcPr/>
          <w:p>
            <w:pPr>
              <w:pStyle w:val="Compact"/>
              <w:jc w:val="right"/>
            </w:pPr>
            <w:r>
              <w:t xml:space="preserve">1206</w:t>
            </w:r>
          </w:p>
        </w:tc>
        <w:tc>
          <w:tcPr/>
          <w:p>
            <w:pPr>
              <w:pStyle w:val="Compact"/>
              <w:jc w:val="right"/>
            </w:pPr>
            <w:r>
              <w:t xml:space="preserve">18.7%</w:t>
            </w:r>
          </w:p>
        </w:tc>
      </w:tr>
      <w:tr>
        <w:tc>
          <w:tcPr/>
          <w:p>
            <w:pPr>
              <w:pStyle w:val="Compact"/>
              <w:jc w:val="left"/>
            </w:pPr>
            <w:r>
              <w:t xml:space="preserve">TO</w:t>
            </w:r>
          </w:p>
        </w:tc>
        <w:tc>
          <w:tcPr/>
          <w:p>
            <w:pPr>
              <w:pStyle w:val="Compact"/>
              <w:jc w:val="right"/>
            </w:pPr>
            <w:r>
              <w:t xml:space="preserve">288</w:t>
            </w:r>
          </w:p>
        </w:tc>
        <w:tc>
          <w:tcPr/>
          <w:p>
            <w:pPr>
              <w:pStyle w:val="Compact"/>
              <w:jc w:val="right"/>
            </w:pPr>
            <w:r>
              <w:t xml:space="preserve">4.5%</w:t>
            </w:r>
          </w:p>
        </w:tc>
      </w:tr>
      <w:tr>
        <w:tc>
          <w:tcPr/>
          <w:p>
            <w:pPr>
              <w:pStyle w:val="Compact"/>
              <w:jc w:val="left"/>
            </w:pPr>
            <w:r>
              <w:t xml:space="preserve">AM</w:t>
            </w:r>
          </w:p>
        </w:tc>
        <w:tc>
          <w:tcPr/>
          <w:p>
            <w:pPr>
              <w:pStyle w:val="Compact"/>
              <w:jc w:val="right"/>
            </w:pPr>
            <w:r>
              <w:t xml:space="preserve">212</w:t>
            </w:r>
          </w:p>
        </w:tc>
        <w:tc>
          <w:tcPr/>
          <w:p>
            <w:pPr>
              <w:pStyle w:val="Compact"/>
              <w:jc w:val="right"/>
            </w:pPr>
            <w:r>
              <w:t xml:space="preserve">3.3%</w:t>
            </w:r>
          </w:p>
        </w:tc>
      </w:tr>
      <w:tr>
        <w:tc>
          <w:tcPr/>
          <w:p>
            <w:pPr>
              <w:pStyle w:val="Compact"/>
              <w:jc w:val="left"/>
            </w:pPr>
            <w:r>
              <w:t xml:space="preserve">RR</w:t>
            </w:r>
          </w:p>
        </w:tc>
        <w:tc>
          <w:tcPr/>
          <w:p>
            <w:pPr>
              <w:pStyle w:val="Compact"/>
              <w:jc w:val="right"/>
            </w:pPr>
            <w:r>
              <w:t xml:space="preserve">141</w:t>
            </w:r>
          </w:p>
        </w:tc>
        <w:tc>
          <w:tcPr/>
          <w:p>
            <w:pPr>
              <w:pStyle w:val="Compact"/>
              <w:jc w:val="right"/>
            </w:pPr>
            <w:r>
              <w:t xml:space="preserve">2.2%</w:t>
            </w:r>
          </w:p>
        </w:tc>
      </w:tr>
      <w:tr>
        <w:tc>
          <w:tcPr/>
          <w:p>
            <w:pPr>
              <w:pStyle w:val="Compact"/>
              <w:jc w:val="left"/>
            </w:pPr>
            <w:r>
              <w:t xml:space="preserve">MA</w:t>
            </w:r>
          </w:p>
        </w:tc>
        <w:tc>
          <w:tcPr/>
          <w:p>
            <w:pPr>
              <w:pStyle w:val="Compact"/>
              <w:jc w:val="right"/>
            </w:pPr>
            <w:r>
              <w:t xml:space="preserve">125</w:t>
            </w:r>
          </w:p>
        </w:tc>
        <w:tc>
          <w:tcPr/>
          <w:p>
            <w:pPr>
              <w:pStyle w:val="Compact"/>
              <w:jc w:val="right"/>
            </w:pPr>
            <w:r>
              <w:t xml:space="preserve">1.9%</w:t>
            </w:r>
          </w:p>
        </w:tc>
      </w:tr>
      <w:tr>
        <w:tc>
          <w:tcPr/>
          <w:p>
            <w:pPr>
              <w:pStyle w:val="Compact"/>
              <w:jc w:val="left"/>
            </w:pPr>
            <w:r>
              <w:t xml:space="preserve">AP</w:t>
            </w:r>
          </w:p>
        </w:tc>
        <w:tc>
          <w:tcPr/>
          <w:p>
            <w:pPr>
              <w:pStyle w:val="Compact"/>
              <w:jc w:val="right"/>
            </w:pPr>
            <w:r>
              <w:t xml:space="preserve">69</w:t>
            </w:r>
          </w:p>
        </w:tc>
        <w:tc>
          <w:tcPr/>
          <w:p>
            <w:pPr>
              <w:pStyle w:val="Compact"/>
              <w:jc w:val="right"/>
            </w:pPr>
            <w:r>
              <w:t xml:space="preserve">1.1%</w:t>
            </w:r>
          </w:p>
        </w:tc>
      </w:tr>
      <w:tr>
        <w:tc>
          <w:tcPr/>
          <w:p>
            <w:pPr>
              <w:pStyle w:val="Compact"/>
              <w:jc w:val="left"/>
            </w:pPr>
            <w:r>
              <w:t xml:space="preserve">AC</w:t>
            </w:r>
          </w:p>
        </w:tc>
        <w:tc>
          <w:tcPr/>
          <w:p>
            <w:pPr>
              <w:pStyle w:val="Compact"/>
              <w:jc w:val="right"/>
            </w:pPr>
            <w:r>
              <w:t xml:space="preserve">29</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4"/>
    <w:bookmarkEnd w:id="55"/>
    <w:bookmarkEnd w:id="56"/>
    <w:bookmarkStart w:id="73" w:name="datajud-1"/>
    <w:p>
      <w:pPr>
        <w:pStyle w:val="Ttulo3"/>
      </w:pPr>
      <w:r>
        <w:t xml:space="preserve">DataJud</w:t>
      </w:r>
    </w:p>
    <w:p>
      <w:pPr>
        <w:pStyle w:val="FirstParagraph"/>
      </w:pPr>
      <w:r>
        <w:t xml:space="preserve">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pPr>
        <w:pStyle w:val="Corpodetexto"/>
      </w:pPr>
      <w:r>
        <w:t xml:space="preserve">A</w:t>
      </w:r>
      <w:r>
        <w:t xml:space="preserve"> </w:t>
      </w:r>
      <w:hyperlink w:anchor="tbl-assuntos-datajud">
        <w:r>
          <w:rPr>
            <w:rStyle w:val="Hyperlink"/>
          </w:rPr>
          <w:t xml:space="preserve">Tabela 10</w:t>
        </w:r>
      </w:hyperlink>
      <w:r>
        <w:t xml:space="preserve"> </w:t>
      </w:r>
      <w:r>
        <w:t xml:space="preserve">mostra os assuntos mais comuns dos processos. É possível notar que assuntos relacionados a tráfico de drogas são os mais frequentes, seguidos de peculato e quadrilha/bando.</w:t>
      </w:r>
    </w:p>
    <w:bookmarkStart w:id="57" w:name="tbl-assuntos-datajud"/>
    <w:p>
      <w:pPr>
        <w:pStyle w:val="TableCaption"/>
      </w:pPr>
      <w:r>
        <w:t xml:space="preserve">Tabela 10: Assuntos com mais processos.</w:t>
      </w:r>
    </w:p>
    <w:tbl>
      <w:tblPr>
        <w:tblStyle w:val="Table"/>
        <w:tblW w:type="pct" w:w="5000"/>
        <w:tblLook w:firstRow="1" w:lastRow="0" w:firstColumn="0" w:lastColumn="0" w:noHBand="0" w:noVBand="0" w:val="0020"/>
        <w:jc w:val="start"/>
        <w:tblCaption w:val="Tabela 10: Assuntos com mais processos."/>
      </w:tblPr>
      <w:tblGrid>
        <w:gridCol w:w="6873"/>
        <w:gridCol w:w="523"/>
        <w:gridCol w:w="523"/>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122987</w:t>
            </w:r>
          </w:p>
        </w:tc>
        <w:tc>
          <w:tcPr/>
          <w:p>
            <w:pPr>
              <w:pStyle w:val="Compact"/>
              <w:jc w:val="right"/>
            </w:pPr>
            <w:r>
              <w:t xml:space="preserve">66.9%</w:t>
            </w:r>
          </w:p>
        </w:tc>
      </w:tr>
      <w:tr>
        <w:tc>
          <w:tcPr/>
          <w:p>
            <w:pPr>
              <w:pStyle w:val="Compact"/>
              <w:jc w:val="left"/>
            </w:pPr>
            <w:r>
              <w:t xml:space="preserve">Associação para a Produção e Tráfico e Condutas Afins</w:t>
            </w:r>
          </w:p>
        </w:tc>
        <w:tc>
          <w:tcPr/>
          <w:p>
            <w:pPr>
              <w:pStyle w:val="Compact"/>
              <w:jc w:val="right"/>
            </w:pPr>
            <w:r>
              <w:t xml:space="preserve">15487</w:t>
            </w:r>
          </w:p>
        </w:tc>
        <w:tc>
          <w:tcPr/>
          <w:p>
            <w:pPr>
              <w:pStyle w:val="Compact"/>
              <w:jc w:val="right"/>
            </w:pPr>
            <w:r>
              <w:t xml:space="preserve">8.4%</w:t>
            </w:r>
          </w:p>
        </w:tc>
      </w:tr>
      <w:tr>
        <w:tc>
          <w:tcPr/>
          <w:p>
            <w:pPr>
              <w:pStyle w:val="Compact"/>
              <w:jc w:val="left"/>
            </w:pPr>
            <w:r>
              <w:t xml:space="preserve">Crimes de Tráfico Ilícito e Uso Indevido de Drogas</w:t>
            </w:r>
          </w:p>
        </w:tc>
        <w:tc>
          <w:tcPr/>
          <w:p>
            <w:pPr>
              <w:pStyle w:val="Compact"/>
              <w:jc w:val="right"/>
            </w:pPr>
            <w:r>
              <w:t xml:space="preserve">11223</w:t>
            </w:r>
          </w:p>
        </w:tc>
        <w:tc>
          <w:tcPr/>
          <w:p>
            <w:pPr>
              <w:pStyle w:val="Compact"/>
              <w:jc w:val="right"/>
            </w:pPr>
            <w:r>
              <w:t xml:space="preserve">6.1%</w:t>
            </w:r>
          </w:p>
        </w:tc>
      </w:tr>
      <w:tr>
        <w:tc>
          <w:tcPr/>
          <w:p>
            <w:pPr>
              <w:pStyle w:val="Compact"/>
              <w:jc w:val="left"/>
            </w:pPr>
            <w:r>
              <w:t xml:space="preserve">Peculato</w:t>
            </w:r>
          </w:p>
        </w:tc>
        <w:tc>
          <w:tcPr/>
          <w:p>
            <w:pPr>
              <w:pStyle w:val="Compact"/>
              <w:jc w:val="right"/>
            </w:pPr>
            <w:r>
              <w:t xml:space="preserve">4412</w:t>
            </w:r>
          </w:p>
        </w:tc>
        <w:tc>
          <w:tcPr/>
          <w:p>
            <w:pPr>
              <w:pStyle w:val="Compact"/>
              <w:jc w:val="right"/>
            </w:pPr>
            <w:r>
              <w:t xml:space="preserve">2.4%</w:t>
            </w:r>
          </w:p>
        </w:tc>
      </w:tr>
      <w:tr>
        <w:tc>
          <w:tcPr/>
          <w:p>
            <w:pPr>
              <w:pStyle w:val="Compact"/>
              <w:jc w:val="left"/>
            </w:pPr>
            <w:r>
              <w:t xml:space="preserve">Quadrilha ou Bando</w:t>
            </w:r>
          </w:p>
        </w:tc>
        <w:tc>
          <w:tcPr/>
          <w:p>
            <w:pPr>
              <w:pStyle w:val="Compact"/>
              <w:jc w:val="right"/>
            </w:pPr>
            <w:r>
              <w:t xml:space="preserve">4019</w:t>
            </w:r>
          </w:p>
        </w:tc>
        <w:tc>
          <w:tcPr/>
          <w:p>
            <w:pPr>
              <w:pStyle w:val="Compact"/>
              <w:jc w:val="right"/>
            </w:pPr>
            <w:r>
              <w:t xml:space="preserve">2.2%</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2916</w:t>
            </w:r>
          </w:p>
        </w:tc>
        <w:tc>
          <w:tcPr/>
          <w:p>
            <w:pPr>
              <w:pStyle w:val="Compact"/>
              <w:jc w:val="right"/>
            </w:pPr>
            <w:r>
              <w:t xml:space="preserve">1.6%</w:t>
            </w:r>
          </w:p>
        </w:tc>
      </w:tr>
      <w:tr>
        <w:tc>
          <w:tcPr/>
          <w:p>
            <w:pPr>
              <w:pStyle w:val="Compact"/>
              <w:jc w:val="left"/>
            </w:pPr>
            <w:r>
              <w:t xml:space="preserve">Contrabando ou descaminho</w:t>
            </w:r>
          </w:p>
        </w:tc>
        <w:tc>
          <w:tcPr/>
          <w:p>
            <w:pPr>
              <w:pStyle w:val="Compact"/>
              <w:jc w:val="right"/>
            </w:pPr>
            <w:r>
              <w:t xml:space="preserve">2269</w:t>
            </w:r>
          </w:p>
        </w:tc>
        <w:tc>
          <w:tcPr/>
          <w:p>
            <w:pPr>
              <w:pStyle w:val="Compact"/>
              <w:jc w:val="right"/>
            </w:pPr>
            <w:r>
              <w:t xml:space="preserve">1.2%</w:t>
            </w:r>
          </w:p>
        </w:tc>
      </w:tr>
      <w:tr>
        <w:tc>
          <w:tcPr/>
          <w:p>
            <w:pPr>
              <w:pStyle w:val="Compact"/>
              <w:jc w:val="left"/>
            </w:pPr>
            <w:r>
              <w:t xml:space="preserve">Corrupção ativa</w:t>
            </w:r>
          </w:p>
        </w:tc>
        <w:tc>
          <w:tcPr/>
          <w:p>
            <w:pPr>
              <w:pStyle w:val="Compact"/>
              <w:jc w:val="right"/>
            </w:pPr>
            <w:r>
              <w:t xml:space="preserve">1893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1608</w:t>
            </w:r>
          </w:p>
        </w:tc>
        <w:tc>
          <w:tcPr/>
          <w:p>
            <w:pPr>
              <w:pStyle w:val="Compact"/>
              <w:jc w:val="right"/>
            </w:pPr>
            <w:r>
              <w:t xml:space="preserve">0.9%</w:t>
            </w:r>
          </w:p>
        </w:tc>
      </w:tr>
      <w:tr>
        <w:tc>
          <w:tcPr/>
          <w:p>
            <w:pPr>
              <w:pStyle w:val="Compact"/>
              <w:jc w:val="left"/>
            </w:pPr>
            <w:r>
              <w:t xml:space="preserve">Promoção, constituição, financiamento ou integração de Organização Criminosa</w:t>
            </w:r>
          </w:p>
        </w:tc>
        <w:tc>
          <w:tcPr/>
          <w:p>
            <w:pPr>
              <w:pStyle w:val="Compact"/>
              <w:jc w:val="right"/>
            </w:pPr>
            <w:r>
              <w:t xml:space="preserve">1275</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14483</w:t>
            </w:r>
          </w:p>
        </w:tc>
        <w:tc>
          <w:tcPr/>
          <w:p>
            <w:pPr>
              <w:pStyle w:val="Compact"/>
              <w:jc w:val="right"/>
            </w:pPr>
            <w:r>
              <w:t xml:space="preserve">7.9%</w:t>
            </w:r>
          </w:p>
        </w:tc>
      </w:tr>
      <w:tr>
        <w:tc>
          <w:tcPr/>
          <w:p>
            <w:pPr>
              <w:pStyle w:val="Compact"/>
              <w:jc w:val="left"/>
            </w:pPr>
            <w:r>
              <w:t xml:space="preserve">(vazio)</w:t>
            </w:r>
          </w:p>
        </w:tc>
        <w:tc>
          <w:tcPr/>
          <w:p>
            <w:pPr>
              <w:pStyle w:val="Compact"/>
              <w:jc w:val="right"/>
            </w:pPr>
            <w:r>
              <w:t xml:space="preserve">1192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57"/>
    <w:p>
      <w:pPr>
        <w:pStyle w:val="Corpodetexto"/>
      </w:pPr>
      <w:r>
        <w:t xml:space="preserve">A</w:t>
      </w:r>
      <w:r>
        <w:t xml:space="preserve"> </w:t>
      </w:r>
      <w:hyperlink w:anchor="fig-mapa-datajud">
        <w:r>
          <w:rPr>
            <w:rStyle w:val="Hyperlink"/>
          </w:rPr>
          <w:t xml:space="preserve">Figura 5</w:t>
        </w:r>
      </w:hyperlink>
      <w:r>
        <w:t xml:space="preserve"> </w:t>
      </w:r>
      <w:r>
        <w:t xml:space="preserve">mostra os pontos em que os processos foram distribuídos. Os pontos fora da área demarcada indicam processos do Maranhão que estão fora da Amazônia Legal. Os cinco municípios com mais processos são: Belém, Boa Vista, São Luís, Rio Branco e Manaus.</w:t>
      </w:r>
    </w:p>
    <w:tbl>
      <w:tblPr>
        <w:tblStyle w:val="Table"/>
        <w:tblW w:type="pct" w:w="5000"/>
        <w:tblLook w:firstRow="0" w:lastRow="0" w:firstColumn="0" w:lastColumn="0" w:noHBand="0" w:noVBand="0" w:val="0000"/>
        <w:jc w:val="start"/>
      </w:tblPr>
      <w:tblGrid>
        <w:gridCol w:w="7920"/>
      </w:tblGrid>
      <w:tr>
        <w:tc>
          <w:tcPr/>
          <w:bookmarkStart w:id="61" w:name="fig-mapa-datajud"/>
          <w:p>
            <w:pPr>
              <w:jc w:val="center"/>
            </w:pPr>
            <w:r>
              <w:drawing>
                <wp:inline>
                  <wp:extent cx="4620126" cy="3696101"/>
                  <wp:effectExtent b="0" l="0" r="0" t="0"/>
                  <wp:docPr descr="" title="" id="59" name="Picture"/>
                  <a:graphic>
                    <a:graphicData uri="http://schemas.openxmlformats.org/drawingml/2006/picture">
                      <pic:pic>
                        <pic:nvPicPr>
                          <pic:cNvPr descr="2-descritiva_files/figure-docx/fig-mapa-dataju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Pontos de distribuição dos processos</w:t>
            </w:r>
          </w:p>
          <w:bookmarkEnd w:id="61"/>
        </w:tc>
      </w:tr>
    </w:tbl>
    <w:p>
      <w:pPr>
        <w:pStyle w:val="Corpodetexto"/>
      </w:pPr>
      <w:r>
        <w:t xml:space="preserve">A</w:t>
      </w:r>
      <w:r>
        <w:t xml:space="preserve"> </w:t>
      </w:r>
      <w:hyperlink w:anchor="tbl-municipios-datajud">
        <w:r>
          <w:rPr>
            <w:rStyle w:val="Hyperlink"/>
          </w:rPr>
          <w:t xml:space="preserve">Tabela 11</w:t>
        </w:r>
      </w:hyperlink>
      <w:r>
        <w:t xml:space="preserve"> </w:t>
      </w:r>
      <w:r>
        <w:t xml:space="preserve">mostra os 10 municípios com mais processos. A maioria são capitais, o que é esperado, já que são municípios mais populosos.</w:t>
      </w:r>
    </w:p>
    <w:bookmarkStart w:id="62" w:name="tbl-municipios-datajud"/>
    <w:p>
      <w:pPr>
        <w:pStyle w:val="TableCaption"/>
      </w:pPr>
      <w:r>
        <w:t xml:space="preserve">Tabela 11: Municípios com mais processos.</w:t>
      </w:r>
    </w:p>
    <w:tbl>
      <w:tblPr>
        <w:tblStyle w:val="Table"/>
        <w:tblW w:type="auto" w:w="0"/>
        <w:tblLook w:firstRow="1" w:lastRow="0" w:firstColumn="0" w:lastColumn="0" w:noHBand="0" w:noVBand="0" w:val="0020"/>
        <w:jc w:val="start"/>
        <w:tblCaption w:val="Tabela 11: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Belém / Pará</w:t>
            </w:r>
          </w:p>
        </w:tc>
        <w:tc>
          <w:tcPr/>
          <w:p>
            <w:pPr>
              <w:pStyle w:val="Compact"/>
              <w:jc w:val="right"/>
            </w:pPr>
            <w:r>
              <w:t xml:space="preserve">14435</w:t>
            </w:r>
          </w:p>
        </w:tc>
        <w:tc>
          <w:tcPr/>
          <w:p>
            <w:pPr>
              <w:pStyle w:val="Compact"/>
              <w:jc w:val="right"/>
            </w:pPr>
            <w:r>
              <w:t xml:space="preserve">7.9%</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4.7%</w:t>
            </w:r>
          </w:p>
        </w:tc>
      </w:tr>
      <w:tr>
        <w:tc>
          <w:tcPr/>
          <w:p>
            <w:pPr>
              <w:pStyle w:val="Compact"/>
              <w:jc w:val="left"/>
            </w:pPr>
            <w:r>
              <w:t xml:space="preserve">São Luís / Maranhão</w:t>
            </w:r>
          </w:p>
        </w:tc>
        <w:tc>
          <w:tcPr/>
          <w:p>
            <w:pPr>
              <w:pStyle w:val="Compact"/>
              <w:jc w:val="right"/>
            </w:pPr>
            <w:r>
              <w:t xml:space="preserve">8015</w:t>
            </w:r>
          </w:p>
        </w:tc>
        <w:tc>
          <w:tcPr/>
          <w:p>
            <w:pPr>
              <w:pStyle w:val="Compact"/>
              <w:jc w:val="right"/>
            </w:pPr>
            <w:r>
              <w:t xml:space="preserve">4.4%</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3.6%</w:t>
            </w:r>
          </w:p>
        </w:tc>
      </w:tr>
      <w:tr>
        <w:tc>
          <w:tcPr/>
          <w:p>
            <w:pPr>
              <w:pStyle w:val="Compact"/>
              <w:jc w:val="left"/>
            </w:pPr>
            <w:r>
              <w:t xml:space="preserve">Manaus / Amazônas</w:t>
            </w:r>
          </w:p>
        </w:tc>
        <w:tc>
          <w:tcPr/>
          <w:p>
            <w:pPr>
              <w:pStyle w:val="Compact"/>
              <w:jc w:val="right"/>
            </w:pPr>
            <w:r>
              <w:t xml:space="preserve">5307</w:t>
            </w:r>
          </w:p>
        </w:tc>
        <w:tc>
          <w:tcPr/>
          <w:p>
            <w:pPr>
              <w:pStyle w:val="Compact"/>
              <w:jc w:val="right"/>
            </w:pPr>
            <w:r>
              <w:t xml:space="preserve">2.9%</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2.3%</w:t>
            </w:r>
          </w:p>
        </w:tc>
      </w:tr>
      <w:tr>
        <w:tc>
          <w:tcPr/>
          <w:p>
            <w:pPr>
              <w:pStyle w:val="Compact"/>
              <w:jc w:val="left"/>
            </w:pPr>
            <w:r>
              <w:t xml:space="preserve">Ananindeua / Pará</w:t>
            </w:r>
          </w:p>
        </w:tc>
        <w:tc>
          <w:tcPr/>
          <w:p>
            <w:pPr>
              <w:pStyle w:val="Compact"/>
              <w:jc w:val="right"/>
            </w:pPr>
            <w:r>
              <w:t xml:space="preserve">3714</w:t>
            </w:r>
          </w:p>
        </w:tc>
        <w:tc>
          <w:tcPr/>
          <w:p>
            <w:pPr>
              <w:pStyle w:val="Compact"/>
              <w:jc w:val="right"/>
            </w:pPr>
            <w:r>
              <w:t xml:space="preserve">2.0%</w:t>
            </w:r>
          </w:p>
        </w:tc>
      </w:tr>
      <w:tr>
        <w:tc>
          <w:tcPr/>
          <w:p>
            <w:pPr>
              <w:pStyle w:val="Compact"/>
              <w:jc w:val="left"/>
            </w:pPr>
            <w:r>
              <w:t xml:space="preserve">Cuiabá / Mato Grosso</w:t>
            </w:r>
          </w:p>
        </w:tc>
        <w:tc>
          <w:tcPr/>
          <w:p>
            <w:pPr>
              <w:pStyle w:val="Compact"/>
              <w:jc w:val="right"/>
            </w:pPr>
            <w:r>
              <w:t xml:space="preserve">3282</w:t>
            </w:r>
          </w:p>
        </w:tc>
        <w:tc>
          <w:tcPr/>
          <w:p>
            <w:pPr>
              <w:pStyle w:val="Compact"/>
              <w:jc w:val="right"/>
            </w:pPr>
            <w:r>
              <w:t xml:space="preserve">1.8%</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w:t>
            </w:r>
          </w:p>
        </w:tc>
      </w:tr>
      <w:tr>
        <w:tc>
          <w:tcPr/>
          <w:p>
            <w:pPr>
              <w:pStyle w:val="Compact"/>
              <w:jc w:val="left"/>
            </w:pPr>
            <w:r>
              <w:t xml:space="preserve">Macapá / Amapá</w:t>
            </w:r>
          </w:p>
        </w:tc>
        <w:tc>
          <w:tcPr/>
          <w:p>
            <w:pPr>
              <w:pStyle w:val="Compact"/>
              <w:jc w:val="right"/>
            </w:pPr>
            <w:r>
              <w:t xml:space="preserve">2615</w:t>
            </w:r>
          </w:p>
        </w:tc>
        <w:tc>
          <w:tcPr/>
          <w:p>
            <w:pPr>
              <w:pStyle w:val="Compact"/>
              <w:jc w:val="right"/>
            </w:pPr>
            <w:r>
              <w:t xml:space="preserve">1.4%</w:t>
            </w:r>
          </w:p>
        </w:tc>
      </w:tr>
      <w:tr>
        <w:tc>
          <w:tcPr/>
          <w:p>
            <w:pPr>
              <w:pStyle w:val="Compact"/>
              <w:jc w:val="left"/>
            </w:pPr>
            <w:r>
              <w:t xml:space="preserve">Outros</w:t>
            </w:r>
          </w:p>
        </w:tc>
        <w:tc>
          <w:tcPr/>
          <w:p>
            <w:pPr>
              <w:pStyle w:val="Compact"/>
              <w:jc w:val="right"/>
            </w:pPr>
            <w:r>
              <w:t xml:space="preserve">124383</w:t>
            </w:r>
          </w:p>
        </w:tc>
        <w:tc>
          <w:tcPr/>
          <w:p>
            <w:pPr>
              <w:pStyle w:val="Compact"/>
              <w:jc w:val="right"/>
            </w:pPr>
            <w:r>
              <w:t xml:space="preserve">67.7%</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62"/>
    <w:p>
      <w:pPr>
        <w:pStyle w:val="Corpodetexto"/>
      </w:pPr>
      <w:r>
        <w:t xml:space="preserve">A</w:t>
      </w:r>
      <w:r>
        <w:t xml:space="preserve"> </w:t>
      </w:r>
      <w:hyperlink w:anchor="tbl-ilg-datajud">
        <w:r>
          <w:rPr>
            <w:rStyle w:val="Hyperlink"/>
          </w:rPr>
          <w:t xml:space="preserve">Tabela 12</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63" w:name="tbl-ilg-datajud"/>
    <w:p>
      <w:pPr>
        <w:pStyle w:val="TableCaption"/>
      </w:pPr>
      <w:r>
        <w:t xml:space="preserve">Tabela 12: Municípios com mais litigiosidade. Considerada população do Censo IBGE de 2010.</w:t>
      </w:r>
    </w:p>
    <w:tbl>
      <w:tblPr>
        <w:tblStyle w:val="Table"/>
        <w:tblW w:type="auto" w:w="0"/>
        <w:tblLook w:firstRow="1" w:lastRow="0" w:firstColumn="0" w:lastColumn="0" w:noHBand="0" w:noVBand="0" w:val="0020"/>
        <w:jc w:val="start"/>
        <w:tblCaption w:val="Tabela 12: Municípios com mais litigiosidade. Considerada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Santarém Novo / Pará</w:t>
            </w:r>
          </w:p>
        </w:tc>
        <w:tc>
          <w:tcPr/>
          <w:p>
            <w:pPr>
              <w:pStyle w:val="Compact"/>
              <w:jc w:val="right"/>
            </w:pPr>
            <w:r>
              <w:t xml:space="preserve">437</w:t>
            </w:r>
          </w:p>
        </w:tc>
        <w:tc>
          <w:tcPr/>
          <w:p>
            <w:pPr>
              <w:pStyle w:val="Compact"/>
              <w:jc w:val="right"/>
            </w:pPr>
            <w:r>
              <w:t xml:space="preserve">7684.2</w:t>
            </w:r>
          </w:p>
        </w:tc>
      </w:tr>
      <w:tr>
        <w:tc>
          <w:tcPr/>
          <w:p>
            <w:pPr>
              <w:pStyle w:val="Compact"/>
              <w:jc w:val="left"/>
            </w:pPr>
            <w:r>
              <w:t xml:space="preserve">Cristalândia / Tocantins</w:t>
            </w:r>
          </w:p>
        </w:tc>
        <w:tc>
          <w:tcPr/>
          <w:p>
            <w:pPr>
              <w:pStyle w:val="Compact"/>
              <w:jc w:val="right"/>
            </w:pPr>
            <w:r>
              <w:t xml:space="preserve">477</w:t>
            </w:r>
          </w:p>
        </w:tc>
        <w:tc>
          <w:tcPr/>
          <w:p>
            <w:pPr>
              <w:pStyle w:val="Compact"/>
              <w:jc w:val="right"/>
            </w:pPr>
            <w:r>
              <w:t xml:space="preserve">6870.2</w:t>
            </w:r>
          </w:p>
        </w:tc>
      </w:tr>
      <w:tr>
        <w:tc>
          <w:tcPr/>
          <w:p>
            <w:pPr>
              <w:pStyle w:val="Compact"/>
              <w:jc w:val="left"/>
            </w:pPr>
            <w:r>
              <w:t xml:space="preserve">Filadélfia / Tocantins</w:t>
            </w:r>
          </w:p>
        </w:tc>
        <w:tc>
          <w:tcPr/>
          <w:p>
            <w:pPr>
              <w:pStyle w:val="Compact"/>
              <w:jc w:val="right"/>
            </w:pPr>
            <w:r>
              <w:t xml:space="preserve">477</w:t>
            </w:r>
          </w:p>
        </w:tc>
        <w:tc>
          <w:tcPr/>
          <w:p>
            <w:pPr>
              <w:pStyle w:val="Compact"/>
              <w:jc w:val="right"/>
            </w:pPr>
            <w:r>
              <w:t xml:space="preserve">5924.0</w:t>
            </w:r>
          </w:p>
        </w:tc>
      </w:tr>
      <w:tr>
        <w:tc>
          <w:tcPr/>
          <w:p>
            <w:pPr>
              <w:pStyle w:val="Compact"/>
              <w:jc w:val="left"/>
            </w:pPr>
            <w:r>
              <w:t xml:space="preserve">Pedro Afonso / Tocantins</w:t>
            </w:r>
          </w:p>
        </w:tc>
        <w:tc>
          <w:tcPr/>
          <w:p>
            <w:pPr>
              <w:pStyle w:val="Compact"/>
              <w:jc w:val="right"/>
            </w:pPr>
            <w:r>
              <w:t xml:space="preserve">547</w:t>
            </w:r>
          </w:p>
        </w:tc>
        <w:tc>
          <w:tcPr/>
          <w:p>
            <w:pPr>
              <w:pStyle w:val="Compact"/>
              <w:jc w:val="right"/>
            </w:pPr>
            <w:r>
              <w:t xml:space="preserve">4804.6</w:t>
            </w:r>
          </w:p>
        </w:tc>
      </w:tr>
      <w:tr>
        <w:tc>
          <w:tcPr/>
          <w:p>
            <w:pPr>
              <w:pStyle w:val="Compact"/>
              <w:jc w:val="left"/>
            </w:pPr>
            <w:r>
              <w:t xml:space="preserve">Itaguatins / Tocantins</w:t>
            </w:r>
          </w:p>
        </w:tc>
        <w:tc>
          <w:tcPr/>
          <w:p>
            <w:pPr>
              <w:pStyle w:val="Compact"/>
              <w:jc w:val="right"/>
            </w:pPr>
            <w:r>
              <w:t xml:space="preserve">233</w:t>
            </w:r>
          </w:p>
        </w:tc>
        <w:tc>
          <w:tcPr/>
          <w:p>
            <w:pPr>
              <w:pStyle w:val="Compact"/>
              <w:jc w:val="right"/>
            </w:pPr>
            <w:r>
              <w:t xml:space="preserve">4051.5</w:t>
            </w:r>
          </w:p>
        </w:tc>
      </w:tr>
      <w:tr>
        <w:tc>
          <w:tcPr/>
          <w:p>
            <w:pPr>
              <w:pStyle w:val="Compact"/>
              <w:jc w:val="left"/>
            </w:pPr>
            <w:r>
              <w:t xml:space="preserve">Miracema Do Tocantins / Tocantins</w:t>
            </w:r>
          </w:p>
        </w:tc>
        <w:tc>
          <w:tcPr/>
          <w:p>
            <w:pPr>
              <w:pStyle w:val="Compact"/>
              <w:jc w:val="right"/>
            </w:pPr>
            <w:r>
              <w:t xml:space="preserve">797</w:t>
            </w:r>
          </w:p>
        </w:tc>
        <w:tc>
          <w:tcPr/>
          <w:p>
            <w:pPr>
              <w:pStyle w:val="Compact"/>
              <w:jc w:val="right"/>
            </w:pPr>
            <w:r>
              <w:t xml:space="preserve">3904.2</w:t>
            </w:r>
          </w:p>
        </w:tc>
      </w:tr>
      <w:tr>
        <w:tc>
          <w:tcPr/>
          <w:p>
            <w:pPr>
              <w:pStyle w:val="Compact"/>
              <w:jc w:val="left"/>
            </w:pPr>
            <w:r>
              <w:t xml:space="preserve">Manoel Urbano / Acre</w:t>
            </w:r>
          </w:p>
        </w:tc>
        <w:tc>
          <w:tcPr/>
          <w:p>
            <w:pPr>
              <w:pStyle w:val="Compact"/>
              <w:jc w:val="right"/>
            </w:pPr>
            <w:r>
              <w:t xml:space="preserve">280</w:t>
            </w:r>
          </w:p>
        </w:tc>
        <w:tc>
          <w:tcPr/>
          <w:p>
            <w:pPr>
              <w:pStyle w:val="Compact"/>
              <w:jc w:val="right"/>
            </w:pPr>
            <w:r>
              <w:t xml:space="preserve">3770.0</w:t>
            </w:r>
          </w:p>
        </w:tc>
      </w:tr>
      <w:tr>
        <w:tc>
          <w:tcPr/>
          <w:p>
            <w:pPr>
              <w:pStyle w:val="Compact"/>
              <w:jc w:val="left"/>
            </w:pPr>
            <w:r>
              <w:t xml:space="preserve">Salinópolis / Pará</w:t>
            </w:r>
          </w:p>
        </w:tc>
        <w:tc>
          <w:tcPr/>
          <w:p>
            <w:pPr>
              <w:pStyle w:val="Compact"/>
              <w:jc w:val="right"/>
            </w:pPr>
            <w:r>
              <w:t xml:space="preserve">1268</w:t>
            </w:r>
          </w:p>
        </w:tc>
        <w:tc>
          <w:tcPr/>
          <w:p>
            <w:pPr>
              <w:pStyle w:val="Compact"/>
              <w:jc w:val="right"/>
            </w:pPr>
            <w:r>
              <w:t xml:space="preserve">3456.5</w:t>
            </w:r>
          </w:p>
        </w:tc>
      </w:tr>
      <w:tr>
        <w:tc>
          <w:tcPr/>
          <w:p>
            <w:pPr>
              <w:pStyle w:val="Compact"/>
              <w:jc w:val="left"/>
            </w:pPr>
            <w:r>
              <w:t xml:space="preserve">Augustinópolis / Tocantins</w:t>
            </w:r>
          </w:p>
        </w:tc>
        <w:tc>
          <w:tcPr/>
          <w:p>
            <w:pPr>
              <w:pStyle w:val="Compact"/>
              <w:jc w:val="right"/>
            </w:pPr>
            <w:r>
              <w:t xml:space="preserve">539</w:t>
            </w:r>
          </w:p>
        </w:tc>
        <w:tc>
          <w:tcPr/>
          <w:p>
            <w:pPr>
              <w:pStyle w:val="Compact"/>
              <w:jc w:val="right"/>
            </w:pPr>
            <w:r>
              <w:t xml:space="preserve">3432.2</w:t>
            </w:r>
          </w:p>
        </w:tc>
      </w:tr>
      <w:tr>
        <w:tc>
          <w:tcPr/>
          <w:p>
            <w:pPr>
              <w:pStyle w:val="Compact"/>
              <w:jc w:val="left"/>
            </w:pPr>
            <w:r>
              <w:t xml:space="preserve">São Luiz / Roraima</w:t>
            </w:r>
          </w:p>
        </w:tc>
        <w:tc>
          <w:tcPr/>
          <w:p>
            <w:pPr>
              <w:pStyle w:val="Compact"/>
              <w:jc w:val="right"/>
            </w:pPr>
            <w:r>
              <w:t xml:space="preserve">208</w:t>
            </w:r>
          </w:p>
        </w:tc>
        <w:tc>
          <w:tcPr/>
          <w:p>
            <w:pPr>
              <w:pStyle w:val="Compact"/>
              <w:jc w:val="right"/>
            </w:pPr>
            <w:r>
              <w:t xml:space="preserve">3251.5</w:t>
            </w:r>
          </w:p>
        </w:tc>
      </w:tr>
    </w:tbl>
    <w:bookmarkEnd w:id="63"/>
    <w:p>
      <w:pPr>
        <w:pStyle w:val="Corpodetexto"/>
      </w:pPr>
      <w:r>
        <w:t xml:space="preserve">A</w:t>
      </w:r>
      <w:r>
        <w:t xml:space="preserve"> </w:t>
      </w:r>
      <w:hyperlink w:anchor="tbl-ilg-50k-datajud">
        <w:r>
          <w:rPr>
            <w:rStyle w:val="Hyperlink"/>
          </w:rPr>
          <w:t xml:space="preserve">Tabela 13</w:t>
        </w:r>
      </w:hyperlink>
      <w:r>
        <w:t xml:space="preserve"> </w:t>
      </w:r>
      <w:r>
        <w:t xml:space="preserve">mostra os municípios com maior litigiosidade, considerando somente municípios com mais de 50 mil habitantes. Novamente aparecem algumas capitais e figuram entre os mais litigiosos o município de Cáceres/MT.</w:t>
      </w:r>
    </w:p>
    <w:bookmarkStart w:id="64" w:name="tbl-ilg-50k-datajud"/>
    <w:p>
      <w:pPr>
        <w:pStyle w:val="TableCaption"/>
      </w:pPr>
      <w:r>
        <w:t xml:space="preserve">Tabela 13: Municípios com mais litigiosidade.</w:t>
      </w:r>
    </w:p>
    <w:tbl>
      <w:tblPr>
        <w:tblStyle w:val="Table"/>
        <w:tblW w:type="auto" w:w="0"/>
        <w:tblLook w:firstRow="1" w:lastRow="0" w:firstColumn="0" w:lastColumn="0" w:noHBand="0" w:noVBand="0" w:val="0020"/>
        <w:jc w:val="start"/>
        <w:tblCaption w:val="Tabela 13: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3054.2</w:t>
            </w:r>
          </w:p>
        </w:tc>
      </w:tr>
      <w:tr>
        <w:tc>
          <w:tcPr/>
          <w:p>
            <w:pPr>
              <w:pStyle w:val="Compact"/>
              <w:jc w:val="left"/>
            </w:pPr>
            <w:r>
              <w:t xml:space="preserve">Benevides / Pará</w:t>
            </w:r>
          </w:p>
        </w:tc>
        <w:tc>
          <w:tcPr/>
          <w:p>
            <w:pPr>
              <w:pStyle w:val="Compact"/>
              <w:jc w:val="right"/>
            </w:pPr>
            <w:r>
              <w:t xml:space="preserve">1274</w:t>
            </w:r>
          </w:p>
        </w:tc>
        <w:tc>
          <w:tcPr/>
          <w:p>
            <w:pPr>
              <w:pStyle w:val="Compact"/>
              <w:jc w:val="right"/>
            </w:pPr>
            <w:r>
              <w:t xml:space="preserve">2505.0</w:t>
            </w:r>
          </w:p>
        </w:tc>
      </w:tr>
      <w:tr>
        <w:tc>
          <w:tcPr/>
          <w:p>
            <w:pPr>
              <w:pStyle w:val="Compact"/>
              <w:jc w:val="left"/>
            </w:pPr>
            <w:r>
              <w:t xml:space="preserve">Santa Izabel Do Pará / Pará</w:t>
            </w:r>
          </w:p>
        </w:tc>
        <w:tc>
          <w:tcPr/>
          <w:p>
            <w:pPr>
              <w:pStyle w:val="Compact"/>
              <w:jc w:val="right"/>
            </w:pPr>
            <w:r>
              <w:t xml:space="preserve">1200</w:t>
            </w:r>
          </w:p>
        </w:tc>
        <w:tc>
          <w:tcPr/>
          <w:p>
            <w:pPr>
              <w:pStyle w:val="Compact"/>
              <w:jc w:val="right"/>
            </w:pPr>
            <w:r>
              <w:t xml:space="preserve">2141.3</w:t>
            </w:r>
          </w:p>
        </w:tc>
      </w:tr>
      <w:tr>
        <w:tc>
          <w:tcPr/>
          <w:p>
            <w:pPr>
              <w:pStyle w:val="Compact"/>
              <w:jc w:val="left"/>
            </w:pPr>
            <w:r>
              <w:t xml:space="preserve">Bragança / Pará</w:t>
            </w:r>
          </w:p>
        </w:tc>
        <w:tc>
          <w:tcPr/>
          <w:p>
            <w:pPr>
              <w:pStyle w:val="Compact"/>
              <w:jc w:val="right"/>
            </w:pPr>
            <w:r>
              <w:t xml:space="preserve">2295</w:t>
            </w:r>
          </w:p>
        </w:tc>
        <w:tc>
          <w:tcPr/>
          <w:p>
            <w:pPr>
              <w:pStyle w:val="Compact"/>
              <w:jc w:val="right"/>
            </w:pPr>
            <w:r>
              <w:t xml:space="preserve">2094.8</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2010.6</w:t>
            </w:r>
          </w:p>
        </w:tc>
      </w:tr>
      <w:tr>
        <w:tc>
          <w:tcPr/>
          <w:p>
            <w:pPr>
              <w:pStyle w:val="Compact"/>
              <w:jc w:val="left"/>
            </w:pPr>
            <w:r>
              <w:t xml:space="preserve">Gurupi / Tocantins</w:t>
            </w:r>
          </w:p>
        </w:tc>
        <w:tc>
          <w:tcPr/>
          <w:p>
            <w:pPr>
              <w:pStyle w:val="Compact"/>
              <w:jc w:val="right"/>
            </w:pPr>
            <w:r>
              <w:t xml:space="preserve">1328</w:t>
            </w:r>
          </w:p>
        </w:tc>
        <w:tc>
          <w:tcPr/>
          <w:p>
            <w:pPr>
              <w:pStyle w:val="Compact"/>
              <w:jc w:val="right"/>
            </w:pPr>
            <w:r>
              <w:t xml:space="preserve">1743.9</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1566.1</w:t>
            </w:r>
          </w:p>
        </w:tc>
      </w:tr>
      <w:tr>
        <w:tc>
          <w:tcPr/>
          <w:p>
            <w:pPr>
              <w:pStyle w:val="Compact"/>
              <w:jc w:val="left"/>
            </w:pPr>
            <w:r>
              <w:t xml:space="preserve">Redenção / Pará</w:t>
            </w:r>
          </w:p>
        </w:tc>
        <w:tc>
          <w:tcPr/>
          <w:p>
            <w:pPr>
              <w:pStyle w:val="Compact"/>
              <w:jc w:val="right"/>
            </w:pPr>
            <w:r>
              <w:t xml:space="preserve">1076</w:t>
            </w:r>
          </w:p>
        </w:tc>
        <w:tc>
          <w:tcPr/>
          <w:p>
            <w:pPr>
              <w:pStyle w:val="Compact"/>
              <w:jc w:val="right"/>
            </w:pPr>
            <w:r>
              <w:t xml:space="preserve">1471.3</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1452.0</w:t>
            </w:r>
          </w:p>
        </w:tc>
      </w:tr>
      <w:tr>
        <w:tc>
          <w:tcPr/>
          <w:p>
            <w:pPr>
              <w:pStyle w:val="Compact"/>
              <w:jc w:val="left"/>
            </w:pPr>
            <w:r>
              <w:t xml:space="preserve">Cáceres / Mato Grosso</w:t>
            </w:r>
          </w:p>
        </w:tc>
        <w:tc>
          <w:tcPr/>
          <w:p>
            <w:pPr>
              <w:pStyle w:val="Compact"/>
              <w:jc w:val="right"/>
            </w:pPr>
            <w:r>
              <w:t xml:space="preserve">1230</w:t>
            </w:r>
          </w:p>
        </w:tc>
        <w:tc>
          <w:tcPr/>
          <w:p>
            <w:pPr>
              <w:pStyle w:val="Compact"/>
              <w:jc w:val="right"/>
            </w:pPr>
            <w:r>
              <w:t xml:space="preserve">1430.8</w:t>
            </w:r>
          </w:p>
        </w:tc>
      </w:tr>
    </w:tbl>
    <w:bookmarkEnd w:id="64"/>
    <w:p>
      <w:pPr>
        <w:pStyle w:val="Corpodetexto"/>
      </w:pPr>
      <w:r>
        <w:t xml:space="preserve">A</w:t>
      </w:r>
      <w:r>
        <w:t xml:space="preserve"> </w:t>
      </w:r>
      <w:hyperlink w:anchor="tbl-ila-50k-datajud">
        <w:r>
          <w:rPr>
            <w:rStyle w:val="Hyperlink"/>
          </w:rPr>
          <w:t xml:space="preserve">Tabela 14</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65" w:name="tbl-ila-50k-datajud"/>
    <w:p>
      <w:pPr>
        <w:pStyle w:val="TableCaption"/>
      </w:pPr>
      <w:r>
        <w:t xml:space="preserve">Tabela 14: Municípios com maiores taxas de processos por mil quilômetros quadrados.</w:t>
      </w:r>
    </w:p>
    <w:tbl>
      <w:tblPr>
        <w:tblStyle w:val="Table"/>
        <w:tblW w:type="auto" w:w="0"/>
        <w:tblLook w:firstRow="1" w:lastRow="0" w:firstColumn="0" w:lastColumn="0" w:noHBand="0" w:noVBand="0" w:val="0020"/>
        <w:jc w:val="start"/>
        <w:tblCaption w:val="Tabela 14: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Boa Vista</w:t>
            </w:r>
          </w:p>
        </w:tc>
        <w:tc>
          <w:tcPr/>
          <w:p>
            <w:pPr>
              <w:pStyle w:val="Compact"/>
              <w:jc w:val="right"/>
            </w:pPr>
            <w:r>
              <w:t xml:space="preserve">8573</w:t>
            </w:r>
          </w:p>
        </w:tc>
        <w:tc>
          <w:tcPr/>
          <w:p>
            <w:pPr>
              <w:pStyle w:val="Compact"/>
              <w:jc w:val="right"/>
            </w:pPr>
            <w:r>
              <w:t xml:space="preserve">1507.5</w:t>
            </w:r>
          </w:p>
        </w:tc>
      </w:tr>
      <w:tr>
        <w:tc>
          <w:tcPr/>
          <w:p>
            <w:pPr>
              <w:pStyle w:val="Compact"/>
              <w:jc w:val="left"/>
            </w:pPr>
            <w:r>
              <w:t xml:space="preserve">Rio Branco</w:t>
            </w:r>
          </w:p>
        </w:tc>
        <w:tc>
          <w:tcPr/>
          <w:p>
            <w:pPr>
              <w:pStyle w:val="Compact"/>
              <w:jc w:val="right"/>
            </w:pPr>
            <w:r>
              <w:t xml:space="preserve">6608</w:t>
            </w:r>
          </w:p>
        </w:tc>
        <w:tc>
          <w:tcPr/>
          <w:p>
            <w:pPr>
              <w:pStyle w:val="Compact"/>
              <w:jc w:val="right"/>
            </w:pPr>
            <w:r>
              <w:t xml:space="preserve">747.9</w:t>
            </w:r>
          </w:p>
        </w:tc>
      </w:tr>
      <w:tr>
        <w:tc>
          <w:tcPr/>
          <w:p>
            <w:pPr>
              <w:pStyle w:val="Compact"/>
              <w:jc w:val="left"/>
            </w:pPr>
            <w:r>
              <w:t xml:space="preserve">Cuiabá</w:t>
            </w:r>
          </w:p>
        </w:tc>
        <w:tc>
          <w:tcPr/>
          <w:p>
            <w:pPr>
              <w:pStyle w:val="Compact"/>
              <w:jc w:val="right"/>
            </w:pPr>
            <w:r>
              <w:t xml:space="preserve">3282</w:t>
            </w:r>
          </w:p>
        </w:tc>
        <w:tc>
          <w:tcPr/>
          <w:p>
            <w:pPr>
              <w:pStyle w:val="Compact"/>
              <w:jc w:val="right"/>
            </w:pPr>
            <w:r>
              <w:t xml:space="preserve">646.4</w:t>
            </w:r>
          </w:p>
        </w:tc>
      </w:tr>
      <w:tr>
        <w:tc>
          <w:tcPr/>
          <w:p>
            <w:pPr>
              <w:pStyle w:val="Compact"/>
              <w:jc w:val="left"/>
            </w:pPr>
            <w:r>
              <w:t xml:space="preserve">Manaus</w:t>
            </w:r>
          </w:p>
        </w:tc>
        <w:tc>
          <w:tcPr/>
          <w:p>
            <w:pPr>
              <w:pStyle w:val="Compact"/>
              <w:jc w:val="right"/>
            </w:pPr>
            <w:r>
              <w:t xml:space="preserve">5307</w:t>
            </w:r>
          </w:p>
        </w:tc>
        <w:tc>
          <w:tcPr/>
          <w:p>
            <w:pPr>
              <w:pStyle w:val="Compact"/>
              <w:jc w:val="right"/>
            </w:pPr>
            <w:r>
              <w:t xml:space="preserve">465.5</w:t>
            </w:r>
          </w:p>
        </w:tc>
      </w:tr>
      <w:tr>
        <w:tc>
          <w:tcPr/>
          <w:p>
            <w:pPr>
              <w:pStyle w:val="Compact"/>
              <w:jc w:val="left"/>
            </w:pPr>
            <w:r>
              <w:t xml:space="preserve">Macapá</w:t>
            </w:r>
          </w:p>
        </w:tc>
        <w:tc>
          <w:tcPr/>
          <w:p>
            <w:pPr>
              <w:pStyle w:val="Compact"/>
              <w:jc w:val="right"/>
            </w:pPr>
            <w:r>
              <w:t xml:space="preserve">2615</w:t>
            </w:r>
          </w:p>
        </w:tc>
        <w:tc>
          <w:tcPr/>
          <w:p>
            <w:pPr>
              <w:pStyle w:val="Compact"/>
              <w:jc w:val="right"/>
            </w:pPr>
            <w:r>
              <w:t xml:space="preserve">398.4</w:t>
            </w:r>
          </w:p>
        </w:tc>
      </w:tr>
      <w:tr>
        <w:tc>
          <w:tcPr/>
          <w:p>
            <w:pPr>
              <w:pStyle w:val="Compact"/>
              <w:jc w:val="left"/>
            </w:pPr>
            <w:r>
              <w:t xml:space="preserve">Santarém</w:t>
            </w:r>
          </w:p>
        </w:tc>
        <w:tc>
          <w:tcPr/>
          <w:p>
            <w:pPr>
              <w:pStyle w:val="Compact"/>
              <w:jc w:val="right"/>
            </w:pPr>
            <w:r>
              <w:t xml:space="preserve">4161</w:t>
            </w:r>
          </w:p>
        </w:tc>
        <w:tc>
          <w:tcPr/>
          <w:p>
            <w:pPr>
              <w:pStyle w:val="Compact"/>
              <w:jc w:val="right"/>
            </w:pPr>
            <w:r>
              <w:t xml:space="preserve">232.5</w:t>
            </w:r>
          </w:p>
        </w:tc>
      </w:tr>
      <w:tr>
        <w:tc>
          <w:tcPr/>
          <w:p>
            <w:pPr>
              <w:pStyle w:val="Compact"/>
              <w:jc w:val="left"/>
            </w:pPr>
            <w:r>
              <w:t xml:space="preserve">Parauapebas</w:t>
            </w:r>
          </w:p>
        </w:tc>
        <w:tc>
          <w:tcPr/>
          <w:p>
            <w:pPr>
              <w:pStyle w:val="Compact"/>
              <w:jc w:val="right"/>
            </w:pPr>
            <w:r>
              <w:t xml:space="preserve">1588</w:t>
            </w:r>
          </w:p>
        </w:tc>
        <w:tc>
          <w:tcPr/>
          <w:p>
            <w:pPr>
              <w:pStyle w:val="Compact"/>
              <w:jc w:val="right"/>
            </w:pPr>
            <w:r>
              <w:t xml:space="preserve">230.6</w:t>
            </w:r>
          </w:p>
        </w:tc>
      </w:tr>
      <w:tr>
        <w:tc>
          <w:tcPr/>
          <w:p>
            <w:pPr>
              <w:pStyle w:val="Compact"/>
              <w:jc w:val="left"/>
            </w:pPr>
            <w:r>
              <w:t xml:space="preserve">Açailândia</w:t>
            </w:r>
          </w:p>
        </w:tc>
        <w:tc>
          <w:tcPr/>
          <w:p>
            <w:pPr>
              <w:pStyle w:val="Compact"/>
              <w:jc w:val="right"/>
            </w:pPr>
            <w:r>
              <w:t xml:space="preserve">1035</w:t>
            </w:r>
          </w:p>
        </w:tc>
        <w:tc>
          <w:tcPr/>
          <w:p>
            <w:pPr>
              <w:pStyle w:val="Compact"/>
              <w:jc w:val="right"/>
            </w:pPr>
            <w:r>
              <w:t xml:space="preserve">178.3</w:t>
            </w:r>
          </w:p>
        </w:tc>
      </w:tr>
      <w:tr>
        <w:tc>
          <w:tcPr/>
          <w:p>
            <w:pPr>
              <w:pStyle w:val="Compact"/>
              <w:jc w:val="left"/>
            </w:pPr>
            <w:r>
              <w:t xml:space="preserve">Ji-Paraná</w:t>
            </w:r>
          </w:p>
        </w:tc>
        <w:tc>
          <w:tcPr/>
          <w:p>
            <w:pPr>
              <w:pStyle w:val="Compact"/>
              <w:jc w:val="right"/>
            </w:pPr>
            <w:r>
              <w:t xml:space="preserve">1100</w:t>
            </w:r>
          </w:p>
        </w:tc>
        <w:tc>
          <w:tcPr/>
          <w:p>
            <w:pPr>
              <w:pStyle w:val="Compact"/>
              <w:jc w:val="right"/>
            </w:pPr>
            <w:r>
              <w:t xml:space="preserve">159.5</w:t>
            </w:r>
          </w:p>
        </w:tc>
      </w:tr>
      <w:tr>
        <w:tc>
          <w:tcPr/>
          <w:p>
            <w:pPr>
              <w:pStyle w:val="Compact"/>
              <w:jc w:val="left"/>
            </w:pPr>
            <w:r>
              <w:t xml:space="preserve">Manacapuru</w:t>
            </w:r>
          </w:p>
        </w:tc>
        <w:tc>
          <w:tcPr/>
          <w:p>
            <w:pPr>
              <w:pStyle w:val="Compact"/>
              <w:jc w:val="right"/>
            </w:pPr>
            <w:r>
              <w:t xml:space="preserve">1089</w:t>
            </w:r>
          </w:p>
        </w:tc>
        <w:tc>
          <w:tcPr/>
          <w:p>
            <w:pPr>
              <w:pStyle w:val="Compact"/>
              <w:jc w:val="right"/>
            </w:pPr>
            <w:r>
              <w:t xml:space="preserve">148.4</w:t>
            </w:r>
          </w:p>
        </w:tc>
      </w:tr>
    </w:tbl>
    <w:bookmarkEnd w:id="65"/>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O resultado é a</w:t>
      </w:r>
      <w:r>
        <w:t xml:space="preserve"> </w:t>
      </w:r>
      <w:hyperlink w:anchor="fig-ilg-desmatamento-datajud">
        <w:r>
          <w:rPr>
            <w:rStyle w:val="Hyperlink"/>
          </w:rPr>
          <w:t xml:space="preserve">Figura 6</w:t>
        </w:r>
      </w:hyperlink>
      <w:r>
        <w:t xml:space="preserve">, que mostra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69" w:name="fig-ilg-desmatamento-datajud"/>
          <w:p>
            <w:pPr>
              <w:jc w:val="center"/>
            </w:pPr>
            <w:r>
              <w:drawing>
                <wp:inline>
                  <wp:extent cx="4620126" cy="3696101"/>
                  <wp:effectExtent b="0" l="0" r="0" t="0"/>
                  <wp:docPr descr="" title="" id="67" name="Picture"/>
                  <a:graphic>
                    <a:graphicData uri="http://schemas.openxmlformats.org/drawingml/2006/picture">
                      <pic:pic>
                        <pic:nvPicPr>
                          <pic:cNvPr descr="2-descritiva_files/figure-docx/fig-ilg-desmatamento-datajud-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Gráfico de dispersão mostrando a relação entre a litigiosidade e o percentual de desmatamento do município.</w:t>
            </w:r>
          </w:p>
          <w:bookmarkEnd w:id="69"/>
        </w:tc>
      </w:tr>
    </w:tbl>
    <w:bookmarkStart w:id="72" w:name="segundo-grau-1"/>
    <w:p>
      <w:pPr>
        <w:pStyle w:val="Ttulo4"/>
      </w:pPr>
      <w:r>
        <w:t xml:space="preserve">Segundo grau</w:t>
      </w:r>
    </w:p>
    <w:p>
      <w:pPr>
        <w:pStyle w:val="FirstParagraph"/>
      </w:pPr>
      <w:r>
        <w:t xml:space="preserve">Abaixo, repetimos algumas análises considerando a base do segundo grau do DataJud. A base foi construída utilizando os mesmos filtros que a base do primeiro grau, moficiando apenas o filtro da instância.</w:t>
      </w:r>
    </w:p>
    <w:p>
      <w:pPr>
        <w:pStyle w:val="Corpodetexto"/>
      </w:pPr>
      <w:r>
        <w:t xml:space="preserve">Os 10 assuntos mais comuns estão na</w:t>
      </w:r>
      <w:r>
        <w:t xml:space="preserve"> </w:t>
      </w:r>
      <w:hyperlink w:anchor="tbl-assunto-datajud-2grau">
        <w:r>
          <w:rPr>
            <w:rStyle w:val="Hyperlink"/>
          </w:rPr>
          <w:t xml:space="preserve">Tabela 15</w:t>
        </w:r>
      </w:hyperlink>
      <w:r>
        <w:t xml:space="preserve">. Assuntos relacionados a tráfico de drogas são os mais frequentes, seguidos de quadrilha ou bando, mas com um percentual bem menor.</w:t>
      </w:r>
    </w:p>
    <w:bookmarkStart w:id="70" w:name="tbl-assunto-datajud-2grau"/>
    <w:p>
      <w:pPr>
        <w:pStyle w:val="TableCaption"/>
      </w:pPr>
      <w:r>
        <w:t xml:space="preserve">Tabela 15: Dez assuntos mais comuns no segundo grau. Um processo pode ter mais de um assunto.</w:t>
      </w:r>
    </w:p>
    <w:tbl>
      <w:tblPr>
        <w:tblStyle w:val="Table"/>
        <w:tblW w:type="pct" w:w="5000"/>
        <w:tblLook w:firstRow="1" w:lastRow="0" w:firstColumn="0" w:lastColumn="0" w:noHBand="0" w:noVBand="0" w:val="0020"/>
        <w:jc w:val="start"/>
        <w:tblCaption w:val="Tabela 15: Dez assuntos mais comuns no segundo grau. Um processo pode ter mais de um assunto."/>
      </w:tblPr>
      <w:tblGrid>
        <w:gridCol w:w="6939"/>
        <w:gridCol w:w="452"/>
        <w:gridCol w:w="528"/>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33773</w:t>
            </w:r>
          </w:p>
        </w:tc>
        <w:tc>
          <w:tcPr/>
          <w:p>
            <w:pPr>
              <w:pStyle w:val="Compact"/>
              <w:jc w:val="right"/>
            </w:pPr>
            <w:r>
              <w:t xml:space="preserve">66.0%</w:t>
            </w:r>
          </w:p>
        </w:tc>
      </w:tr>
      <w:tr>
        <w:tc>
          <w:tcPr/>
          <w:p>
            <w:pPr>
              <w:pStyle w:val="Compact"/>
              <w:jc w:val="left"/>
            </w:pPr>
            <w:r>
              <w:t xml:space="preserve">Associação para a Produção e Tráfico e Condutas Afins</w:t>
            </w:r>
          </w:p>
        </w:tc>
        <w:tc>
          <w:tcPr/>
          <w:p>
            <w:pPr>
              <w:pStyle w:val="Compact"/>
              <w:jc w:val="right"/>
            </w:pPr>
            <w:r>
              <w:t xml:space="preserve">6168</w:t>
            </w:r>
          </w:p>
        </w:tc>
        <w:tc>
          <w:tcPr/>
          <w:p>
            <w:pPr>
              <w:pStyle w:val="Compact"/>
              <w:jc w:val="right"/>
            </w:pPr>
            <w:r>
              <w:t xml:space="preserve">12.0%</w:t>
            </w:r>
          </w:p>
        </w:tc>
      </w:tr>
      <w:tr>
        <w:tc>
          <w:tcPr/>
          <w:p>
            <w:pPr>
              <w:pStyle w:val="Compact"/>
              <w:jc w:val="left"/>
            </w:pPr>
            <w:r>
              <w:t xml:space="preserve">Crimes de Tráfico Ilícito e Uso Indevido de Drogas</w:t>
            </w:r>
          </w:p>
        </w:tc>
        <w:tc>
          <w:tcPr/>
          <w:p>
            <w:pPr>
              <w:pStyle w:val="Compact"/>
              <w:jc w:val="right"/>
            </w:pPr>
            <w:r>
              <w:t xml:space="preserve">2335</w:t>
            </w:r>
          </w:p>
        </w:tc>
        <w:tc>
          <w:tcPr/>
          <w:p>
            <w:pPr>
              <w:pStyle w:val="Compact"/>
              <w:jc w:val="right"/>
            </w:pPr>
            <w:r>
              <w:t xml:space="preserve">4.6%</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1075</w:t>
            </w:r>
          </w:p>
        </w:tc>
        <w:tc>
          <w:tcPr/>
          <w:p>
            <w:pPr>
              <w:pStyle w:val="Compact"/>
              <w:jc w:val="right"/>
            </w:pPr>
            <w:r>
              <w:t xml:space="preserve">2.1%</w:t>
            </w:r>
          </w:p>
        </w:tc>
      </w:tr>
      <w:tr>
        <w:tc>
          <w:tcPr/>
          <w:p>
            <w:pPr>
              <w:pStyle w:val="Compact"/>
              <w:jc w:val="left"/>
            </w:pPr>
            <w:r>
              <w:t xml:space="preserve">Quadrilha ou Bando</w:t>
            </w:r>
          </w:p>
        </w:tc>
        <w:tc>
          <w:tcPr/>
          <w:p>
            <w:pPr>
              <w:pStyle w:val="Compact"/>
              <w:jc w:val="right"/>
            </w:pPr>
            <w:r>
              <w:t xml:space="preserve">948</w:t>
            </w:r>
          </w:p>
        </w:tc>
        <w:tc>
          <w:tcPr/>
          <w:p>
            <w:pPr>
              <w:pStyle w:val="Compact"/>
              <w:jc w:val="right"/>
            </w:pPr>
            <w:r>
              <w:t xml:space="preserve">1.9%</w:t>
            </w:r>
          </w:p>
        </w:tc>
      </w:tr>
      <w:tr>
        <w:tc>
          <w:tcPr/>
          <w:p>
            <w:pPr>
              <w:pStyle w:val="Compact"/>
              <w:jc w:val="left"/>
            </w:pPr>
            <w:r>
              <w:t xml:space="preserve">Peculato</w:t>
            </w:r>
          </w:p>
        </w:tc>
        <w:tc>
          <w:tcPr/>
          <w:p>
            <w:pPr>
              <w:pStyle w:val="Compact"/>
              <w:jc w:val="right"/>
            </w:pPr>
            <w:r>
              <w:t xml:space="preserve">781</w:t>
            </w:r>
          </w:p>
        </w:tc>
        <w:tc>
          <w:tcPr/>
          <w:p>
            <w:pPr>
              <w:pStyle w:val="Compact"/>
              <w:jc w:val="right"/>
            </w:pPr>
            <w:r>
              <w:t xml:space="preserve">1.5%</w:t>
            </w:r>
          </w:p>
        </w:tc>
      </w:tr>
      <w:tr>
        <w:tc>
          <w:tcPr/>
          <w:p>
            <w:pPr>
              <w:pStyle w:val="Compact"/>
              <w:jc w:val="left"/>
            </w:pPr>
            <w:r>
              <w:t xml:space="preserve">Habeas Corpus - Cabimento</w:t>
            </w:r>
          </w:p>
        </w:tc>
        <w:tc>
          <w:tcPr/>
          <w:p>
            <w:pPr>
              <w:pStyle w:val="Compact"/>
              <w:jc w:val="right"/>
            </w:pPr>
            <w:r>
              <w:t xml:space="preserve">635</w:t>
            </w:r>
          </w:p>
        </w:tc>
        <w:tc>
          <w:tcPr/>
          <w:p>
            <w:pPr>
              <w:pStyle w:val="Compact"/>
              <w:jc w:val="right"/>
            </w:pPr>
            <w:r>
              <w:t xml:space="preserve">1.2%</w:t>
            </w:r>
          </w:p>
        </w:tc>
      </w:tr>
      <w:tr>
        <w:tc>
          <w:tcPr/>
          <w:p>
            <w:pPr>
              <w:pStyle w:val="Compact"/>
              <w:jc w:val="left"/>
            </w:pPr>
            <w:r>
              <w:t xml:space="preserve">Promoção, constituição, financiamento ou integração de Organização Criminosa</w:t>
            </w:r>
          </w:p>
        </w:tc>
        <w:tc>
          <w:tcPr/>
          <w:p>
            <w:pPr>
              <w:pStyle w:val="Compact"/>
              <w:jc w:val="right"/>
            </w:pPr>
            <w:r>
              <w:t xml:space="preserve">523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411</w:t>
            </w:r>
          </w:p>
        </w:tc>
        <w:tc>
          <w:tcPr/>
          <w:p>
            <w:pPr>
              <w:pStyle w:val="Compact"/>
              <w:jc w:val="right"/>
            </w:pPr>
            <w:r>
              <w:t xml:space="preserve">0.8%</w:t>
            </w:r>
          </w:p>
        </w:tc>
      </w:tr>
      <w:tr>
        <w:tc>
          <w:tcPr/>
          <w:p>
            <w:pPr>
              <w:pStyle w:val="Compact"/>
              <w:jc w:val="left"/>
            </w:pPr>
            <w:r>
              <w:t xml:space="preserve">Prisão Preventiva</w:t>
            </w:r>
          </w:p>
        </w:tc>
        <w:tc>
          <w:tcPr/>
          <w:p>
            <w:pPr>
              <w:pStyle w:val="Compact"/>
              <w:jc w:val="right"/>
            </w:pPr>
            <w:r>
              <w:t xml:space="preserve">405</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4151</w:t>
            </w:r>
          </w:p>
        </w:tc>
        <w:tc>
          <w:tcPr/>
          <w:p>
            <w:pPr>
              <w:pStyle w:val="Compact"/>
              <w:jc w:val="right"/>
            </w:pPr>
            <w:r>
              <w:t xml:space="preserve">8.1%</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0"/>
    <w:p>
      <w:pPr>
        <w:pStyle w:val="Corpodetexto"/>
      </w:pPr>
      <w:r>
        <w:t xml:space="preserve">A</w:t>
      </w:r>
      <w:r>
        <w:t xml:space="preserve"> </w:t>
      </w:r>
      <w:hyperlink w:anchor="tbl-tribunais-datajud-2grau">
        <w:r>
          <w:rPr>
            <w:rStyle w:val="Hyperlink"/>
          </w:rPr>
          <w:t xml:space="preserve">Tabela 16</w:t>
        </w:r>
      </w:hyperlink>
      <w:r>
        <w:t xml:space="preserve"> </w:t>
      </w:r>
      <w:r>
        <w:t xml:space="preserve">mostra os tribunais que mais aparecem no segundo grau. Assim como no SireneJud, Pará e Mato Grosso figuram entre os mais frequentes.</w:t>
      </w:r>
    </w:p>
    <w:bookmarkStart w:id="71" w:name="tbl-tribunais-datajud-2grau"/>
    <w:p>
      <w:pPr>
        <w:pStyle w:val="TableCaption"/>
      </w:pPr>
      <w:r>
        <w:t xml:space="preserve">Tabela 16: Tribunais mais comuns nos processos de segundo grau.</w:t>
      </w:r>
    </w:p>
    <w:tbl>
      <w:tblPr>
        <w:tblStyle w:val="Table"/>
        <w:tblW w:type="auto" w:w="0"/>
        <w:tblLook w:firstRow="1" w:lastRow="0" w:firstColumn="0" w:lastColumn="0" w:noHBand="0" w:noVBand="0" w:val="0020"/>
        <w:jc w:val="start"/>
        <w:tblCaption w:val="Tabela 16: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15924</w:t>
            </w:r>
          </w:p>
        </w:tc>
        <w:tc>
          <w:tcPr/>
          <w:p>
            <w:pPr>
              <w:pStyle w:val="Compact"/>
              <w:jc w:val="right"/>
            </w:pPr>
            <w:r>
              <w:t xml:space="preserve">31.1%</w:t>
            </w:r>
          </w:p>
        </w:tc>
      </w:tr>
      <w:tr>
        <w:tc>
          <w:tcPr/>
          <w:p>
            <w:pPr>
              <w:pStyle w:val="Compact"/>
              <w:jc w:val="left"/>
            </w:pPr>
            <w:r>
              <w:t xml:space="preserve">MT</w:t>
            </w:r>
          </w:p>
        </w:tc>
        <w:tc>
          <w:tcPr/>
          <w:p>
            <w:pPr>
              <w:pStyle w:val="Compact"/>
              <w:jc w:val="right"/>
            </w:pPr>
            <w:r>
              <w:t xml:space="preserve">9632</w:t>
            </w:r>
          </w:p>
        </w:tc>
        <w:tc>
          <w:tcPr/>
          <w:p>
            <w:pPr>
              <w:pStyle w:val="Compact"/>
              <w:jc w:val="right"/>
            </w:pPr>
            <w:r>
              <w:t xml:space="preserve">18.8%</w:t>
            </w:r>
          </w:p>
        </w:tc>
      </w:tr>
      <w:tr>
        <w:tc>
          <w:tcPr/>
          <w:p>
            <w:pPr>
              <w:pStyle w:val="Compact"/>
              <w:jc w:val="left"/>
            </w:pPr>
            <w:r>
              <w:t xml:space="preserve">TO</w:t>
            </w:r>
          </w:p>
        </w:tc>
        <w:tc>
          <w:tcPr/>
          <w:p>
            <w:pPr>
              <w:pStyle w:val="Compact"/>
              <w:jc w:val="right"/>
            </w:pPr>
            <w:r>
              <w:t xml:space="preserve">6164</w:t>
            </w:r>
          </w:p>
        </w:tc>
        <w:tc>
          <w:tcPr/>
          <w:p>
            <w:pPr>
              <w:pStyle w:val="Compact"/>
              <w:jc w:val="right"/>
            </w:pPr>
            <w:r>
              <w:t xml:space="preserve">12.0%</w:t>
            </w:r>
          </w:p>
        </w:tc>
      </w:tr>
      <w:tr>
        <w:tc>
          <w:tcPr/>
          <w:p>
            <w:pPr>
              <w:pStyle w:val="Compact"/>
              <w:jc w:val="left"/>
            </w:pPr>
            <w:r>
              <w:t xml:space="preserve">AC</w:t>
            </w:r>
          </w:p>
        </w:tc>
        <w:tc>
          <w:tcPr/>
          <w:p>
            <w:pPr>
              <w:pStyle w:val="Compact"/>
              <w:jc w:val="right"/>
            </w:pPr>
            <w:r>
              <w:t xml:space="preserve">5254</w:t>
            </w:r>
          </w:p>
        </w:tc>
        <w:tc>
          <w:tcPr/>
          <w:p>
            <w:pPr>
              <w:pStyle w:val="Compact"/>
              <w:jc w:val="right"/>
            </w:pPr>
            <w:r>
              <w:t xml:space="preserve">10.3%</w:t>
            </w:r>
          </w:p>
        </w:tc>
      </w:tr>
      <w:tr>
        <w:tc>
          <w:tcPr/>
          <w:p>
            <w:pPr>
              <w:pStyle w:val="Compact"/>
              <w:jc w:val="left"/>
            </w:pPr>
            <w:r>
              <w:t xml:space="preserve">MA</w:t>
            </w:r>
          </w:p>
        </w:tc>
        <w:tc>
          <w:tcPr/>
          <w:p>
            <w:pPr>
              <w:pStyle w:val="Compact"/>
              <w:jc w:val="right"/>
            </w:pPr>
            <w:r>
              <w:t xml:space="preserve">4791</w:t>
            </w:r>
          </w:p>
        </w:tc>
        <w:tc>
          <w:tcPr/>
          <w:p>
            <w:pPr>
              <w:pStyle w:val="Compact"/>
              <w:jc w:val="right"/>
            </w:pPr>
            <w:r>
              <w:t xml:space="preserve">9.4%</w:t>
            </w:r>
          </w:p>
        </w:tc>
      </w:tr>
      <w:tr>
        <w:tc>
          <w:tcPr/>
          <w:p>
            <w:pPr>
              <w:pStyle w:val="Compact"/>
              <w:jc w:val="left"/>
            </w:pPr>
            <w:r>
              <w:t xml:space="preserve">RO</w:t>
            </w:r>
          </w:p>
        </w:tc>
        <w:tc>
          <w:tcPr/>
          <w:p>
            <w:pPr>
              <w:pStyle w:val="Compact"/>
              <w:jc w:val="right"/>
            </w:pPr>
            <w:r>
              <w:t xml:space="preserve">3894</w:t>
            </w:r>
          </w:p>
        </w:tc>
        <w:tc>
          <w:tcPr/>
          <w:p>
            <w:pPr>
              <w:pStyle w:val="Compact"/>
              <w:jc w:val="right"/>
            </w:pPr>
            <w:r>
              <w:t xml:space="preserve">7.6%</w:t>
            </w:r>
          </w:p>
        </w:tc>
      </w:tr>
      <w:tr>
        <w:tc>
          <w:tcPr/>
          <w:p>
            <w:pPr>
              <w:pStyle w:val="Compact"/>
              <w:jc w:val="left"/>
            </w:pPr>
            <w:r>
              <w:t xml:space="preserve">AM</w:t>
            </w:r>
          </w:p>
        </w:tc>
        <w:tc>
          <w:tcPr/>
          <w:p>
            <w:pPr>
              <w:pStyle w:val="Compact"/>
              <w:jc w:val="right"/>
            </w:pPr>
            <w:r>
              <w:t xml:space="preserve">2858</w:t>
            </w:r>
          </w:p>
        </w:tc>
        <w:tc>
          <w:tcPr/>
          <w:p>
            <w:pPr>
              <w:pStyle w:val="Compact"/>
              <w:jc w:val="right"/>
            </w:pPr>
            <w:r>
              <w:t xml:space="preserve">5.6%</w:t>
            </w:r>
          </w:p>
        </w:tc>
      </w:tr>
      <w:tr>
        <w:tc>
          <w:tcPr/>
          <w:p>
            <w:pPr>
              <w:pStyle w:val="Compact"/>
              <w:jc w:val="left"/>
            </w:pPr>
            <w:r>
              <w:t xml:space="preserve">RR</w:t>
            </w:r>
          </w:p>
        </w:tc>
        <w:tc>
          <w:tcPr/>
          <w:p>
            <w:pPr>
              <w:pStyle w:val="Compact"/>
              <w:jc w:val="right"/>
            </w:pPr>
            <w:r>
              <w:t xml:space="preserve">2387</w:t>
            </w:r>
          </w:p>
        </w:tc>
        <w:tc>
          <w:tcPr/>
          <w:p>
            <w:pPr>
              <w:pStyle w:val="Compact"/>
              <w:jc w:val="right"/>
            </w:pPr>
            <w:r>
              <w:t xml:space="preserve">4.7%</w:t>
            </w:r>
          </w:p>
        </w:tc>
      </w:tr>
      <w:tr>
        <w:tc>
          <w:tcPr/>
          <w:p>
            <w:pPr>
              <w:pStyle w:val="Compact"/>
              <w:jc w:val="left"/>
            </w:pPr>
            <w:r>
              <w:t xml:space="preserve">AP</w:t>
            </w:r>
          </w:p>
        </w:tc>
        <w:tc>
          <w:tcPr/>
          <w:p>
            <w:pPr>
              <w:pStyle w:val="Compact"/>
              <w:jc w:val="right"/>
            </w:pPr>
            <w:r>
              <w:t xml:space="preserve">301</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1"/>
    <w:bookmarkEnd w:id="72"/>
    <w:bookmarkEnd w:id="73"/>
    <w:bookmarkStart w:id="75" w:name="trf1-1"/>
    <w:p>
      <w:pPr>
        <w:pStyle w:val="Ttulo3"/>
      </w:pPr>
      <w:r>
        <w:t xml:space="preserve">TRF1</w:t>
      </w:r>
    </w:p>
    <w:p>
      <w:pPr>
        <w:pStyle w:val="FirstParagraph"/>
      </w:pPr>
      <w:r>
        <w:t xml:space="preserve">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pPr>
        <w:pStyle w:val="Corpodetexto"/>
      </w:pPr>
      <w:r>
        <w:t xml:space="preserve">A</w:t>
      </w:r>
      <w:r>
        <w:t xml:space="preserve"> </w:t>
      </w:r>
      <w:hyperlink w:anchor="tbl-tema-trf1">
        <w:r>
          <w:rPr>
            <w:rStyle w:val="Hyperlink"/>
          </w:rPr>
          <w:t xml:space="preserve">Tabela 17</w:t>
        </w:r>
      </w:hyperlink>
      <w:r>
        <w:t xml:space="preserve"> </w:t>
      </w:r>
      <w:r>
        <w:t xml:space="preserve">mostra as atividades com maior volume processual na base pequena do TRF1. É possível notar que o desmatamento é a atividade que mais aparece na consulta, seguida por garimpo.</w:t>
      </w:r>
    </w:p>
    <w:bookmarkStart w:id="74" w:name="tbl-tema-trf1"/>
    <w:p>
      <w:pPr>
        <w:pStyle w:val="TableCaption"/>
      </w:pPr>
      <w:r>
        <w:t xml:space="preserve">Tabela 17: Atividades com maior volume processual no TRF1.</w:t>
      </w:r>
    </w:p>
    <w:tbl>
      <w:tblPr>
        <w:tblStyle w:val="Table"/>
        <w:tblW w:type="auto" w:w="0"/>
        <w:tblLook w:firstRow="1" w:lastRow="0" w:firstColumn="0" w:lastColumn="0" w:noHBand="0" w:noVBand="0" w:val="0020"/>
        <w:jc w:val="start"/>
        <w:tblCaption w:val="Tabela 17: Atividades com maior volume processual no TRF1."/>
      </w:tblPr>
      <w:tblGrid>
        <w:gridCol w:w="2640"/>
        <w:gridCol w:w="2640"/>
        <w:gridCol w:w="2640"/>
      </w:tblGrid>
      <w:tr>
        <w:trPr>
          <w:tblHeader w:val="true"/>
        </w:trPr>
        <w:tc>
          <w:tcPr/>
          <w:p>
            <w:pPr>
              <w:pStyle w:val="Compact"/>
              <w:jc w:val="left"/>
            </w:pPr>
            <w:r>
              <w:t xml:space="preserve">Tema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Desmatamento</w:t>
            </w:r>
          </w:p>
        </w:tc>
        <w:tc>
          <w:tcPr/>
          <w:p>
            <w:pPr>
              <w:pStyle w:val="Compact"/>
              <w:jc w:val="right"/>
            </w:pPr>
            <w:r>
              <w:t xml:space="preserve">102</w:t>
            </w:r>
          </w:p>
        </w:tc>
        <w:tc>
          <w:tcPr/>
          <w:p>
            <w:pPr>
              <w:pStyle w:val="Compact"/>
              <w:jc w:val="right"/>
            </w:pPr>
            <w:r>
              <w:t xml:space="preserve">44.9%</w:t>
            </w:r>
          </w:p>
        </w:tc>
      </w:tr>
      <w:tr>
        <w:tc>
          <w:tcPr/>
          <w:p>
            <w:pPr>
              <w:pStyle w:val="Compact"/>
              <w:jc w:val="left"/>
            </w:pPr>
            <w:r>
              <w:t xml:space="preserve">Garimpo</w:t>
            </w:r>
          </w:p>
        </w:tc>
        <w:tc>
          <w:tcPr/>
          <w:p>
            <w:pPr>
              <w:pStyle w:val="Compact"/>
              <w:jc w:val="right"/>
            </w:pPr>
            <w:r>
              <w:t xml:space="preserve">90</w:t>
            </w:r>
          </w:p>
        </w:tc>
        <w:tc>
          <w:tcPr/>
          <w:p>
            <w:pPr>
              <w:pStyle w:val="Compact"/>
              <w:jc w:val="right"/>
            </w:pPr>
            <w:r>
              <w:t xml:space="preserve">39.6%</w:t>
            </w:r>
          </w:p>
        </w:tc>
      </w:tr>
      <w:tr>
        <w:tc>
          <w:tcPr/>
          <w:p>
            <w:pPr>
              <w:pStyle w:val="Compact"/>
              <w:jc w:val="left"/>
            </w:pPr>
            <w:r>
              <w:t xml:space="preserve">Invasão</w:t>
            </w:r>
          </w:p>
        </w:tc>
        <w:tc>
          <w:tcPr/>
          <w:p>
            <w:pPr>
              <w:pStyle w:val="Compact"/>
              <w:jc w:val="right"/>
            </w:pPr>
            <w:r>
              <w:t xml:space="preserve">27</w:t>
            </w:r>
          </w:p>
        </w:tc>
        <w:tc>
          <w:tcPr/>
          <w:p>
            <w:pPr>
              <w:pStyle w:val="Compact"/>
              <w:jc w:val="right"/>
            </w:pPr>
            <w:r>
              <w:t xml:space="preserve">11.9%</w:t>
            </w:r>
          </w:p>
        </w:tc>
      </w:tr>
      <w:tr>
        <w:tc>
          <w:tcPr/>
          <w:p>
            <w:pPr>
              <w:pStyle w:val="Compact"/>
              <w:jc w:val="left"/>
            </w:pPr>
            <w:r>
              <w:t xml:space="preserve">Grilagem</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Mineração</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227</w:t>
            </w:r>
          </w:p>
        </w:tc>
        <w:tc>
          <w:tcPr/>
          <w:p>
            <w:pPr>
              <w:pStyle w:val="Compact"/>
              <w:jc w:val="right"/>
            </w:pPr>
            <w:r>
              <w:t xml:space="preserve">100.0%</w:t>
            </w:r>
          </w:p>
        </w:tc>
      </w:tr>
    </w:tbl>
    <w:bookmarkEnd w:id="74"/>
    <w:bookmarkEnd w:id="75"/>
    <w:bookmarkStart w:id="76" w:name="discussão"/>
    <w:p>
      <w:pPr>
        <w:pStyle w:val="Ttulo3"/>
      </w:pPr>
      <w:r>
        <w:t xml:space="preserve">Discussão</w:t>
      </w:r>
    </w:p>
    <w:p>
      <w:pPr>
        <w:pStyle w:val="FirstParagraph"/>
      </w:pPr>
      <w:r>
        <w:t xml:space="preserve">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bookmarkEnd w:id="76"/>
    <w:bookmarkEnd w:id="77"/>
    <w:bookmarkStart w:id="88" w:name="questão-2"/>
    <w:p>
      <w:pPr>
        <w:pStyle w:val="Ttulo2"/>
      </w:pPr>
      <w:r>
        <w:t xml:space="preserve">Questão 2</w:t>
      </w:r>
    </w:p>
    <w:p>
      <w:pPr>
        <w:pStyle w:val="FirstParagraph"/>
      </w:pPr>
      <w:r>
        <w:rPr>
          <w:bCs/>
          <w:b/>
        </w:rPr>
        <w:t xml:space="preserve">Questão</w:t>
      </w:r>
      <w:r>
        <w:t xml:space="preserve">: Quem são os atores envolvidos nos casos de lavagem de dinheiro e corrupção relacionados a crimes ambientais?</w:t>
      </w:r>
    </w:p>
    <w:bookmarkStart w:id="82" w:name="sirenejud-2"/>
    <w:p>
      <w:pPr>
        <w:pStyle w:val="Ttulo3"/>
      </w:pPr>
      <w:r>
        <w:t xml:space="preserve">SireneJud</w:t>
      </w:r>
    </w:p>
    <w:p>
      <w:pPr>
        <w:pStyle w:val="FirstParagraph"/>
      </w:pPr>
      <w:r>
        <w:t xml:space="preserve">A</w:t>
      </w:r>
      <w:r>
        <w:t xml:space="preserve"> </w:t>
      </w:r>
      <w:hyperlink w:anchor="tbl-tipo-pessoa">
        <w:r>
          <w:rPr>
            <w:rStyle w:val="Hyperlink"/>
          </w:rPr>
          <w:t xml:space="preserve">Tabela 18</w:t>
        </w:r>
      </w:hyperlink>
      <w:r>
        <w:t xml:space="preserve"> </w:t>
      </w:r>
      <w:r>
        <w:t xml:space="preserve">mostra os tipos de pessoas que estão no polo passivo. A maior parte é de pessoas físicas, sendo que quase 2% da base possui autoridades, órgão de representação ou valores vazios.</w:t>
      </w:r>
    </w:p>
    <w:bookmarkStart w:id="78" w:name="tbl-tipo-pessoa"/>
    <w:p>
      <w:pPr>
        <w:pStyle w:val="TableCaption"/>
      </w:pPr>
      <w:r>
        <w:t xml:space="preserve">Tabela 18: Tipos de pessoas</w:t>
      </w:r>
    </w:p>
    <w:tbl>
      <w:tblPr>
        <w:tblStyle w:val="Table"/>
        <w:tblW w:type="auto" w:w="0"/>
        <w:tblLook w:firstRow="1" w:lastRow="0" w:firstColumn="0" w:lastColumn="0" w:noHBand="0" w:noVBand="0" w:val="0020"/>
        <w:jc w:val="start"/>
        <w:tblCaption w:val="Tabela 18: Tipos de pessoas"/>
      </w:tblPr>
      <w:tblGrid>
        <w:gridCol w:w="2640"/>
        <w:gridCol w:w="2640"/>
        <w:gridCol w:w="2640"/>
      </w:tblGrid>
      <w:tr>
        <w:trPr>
          <w:tblHeader w:val="true"/>
        </w:trPr>
        <w:tc>
          <w:tcPr/>
          <w:p>
            <w:pPr>
              <w:pStyle w:val="Compact"/>
              <w:jc w:val="left"/>
            </w:pPr>
            <w:r>
              <w:t xml:space="preserve">Tipo de pessoa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FISICA</w:t>
            </w:r>
          </w:p>
        </w:tc>
        <w:tc>
          <w:tcPr/>
          <w:p>
            <w:pPr>
              <w:pStyle w:val="Compact"/>
              <w:jc w:val="right"/>
            </w:pPr>
            <w:r>
              <w:t xml:space="preserve">70550</w:t>
            </w:r>
          </w:p>
        </w:tc>
        <w:tc>
          <w:tcPr/>
          <w:p>
            <w:pPr>
              <w:pStyle w:val="Compact"/>
              <w:jc w:val="right"/>
            </w:pPr>
            <w:r>
              <w:t xml:space="preserve">66.6%</w:t>
            </w:r>
          </w:p>
        </w:tc>
      </w:tr>
      <w:tr>
        <w:tc>
          <w:tcPr/>
          <w:p>
            <w:pPr>
              <w:pStyle w:val="Compact"/>
              <w:jc w:val="left"/>
            </w:pPr>
            <w:r>
              <w:t xml:space="preserve">JURIDICA</w:t>
            </w:r>
          </w:p>
        </w:tc>
        <w:tc>
          <w:tcPr/>
          <w:p>
            <w:pPr>
              <w:pStyle w:val="Compact"/>
              <w:jc w:val="right"/>
            </w:pPr>
            <w:r>
              <w:t xml:space="preserve">33656</w:t>
            </w:r>
          </w:p>
        </w:tc>
        <w:tc>
          <w:tcPr/>
          <w:p>
            <w:pPr>
              <w:pStyle w:val="Compact"/>
              <w:jc w:val="right"/>
            </w:pPr>
            <w:r>
              <w:t xml:space="preserve">31.8%</w:t>
            </w:r>
          </w:p>
        </w:tc>
      </w:tr>
      <w:tr>
        <w:tc>
          <w:tcPr/>
          <w:p>
            <w:pPr>
              <w:pStyle w:val="Compact"/>
              <w:jc w:val="left"/>
            </w:pPr>
            <w:r>
              <w:t xml:space="preserve">AUTORIDADE</w:t>
            </w:r>
          </w:p>
        </w:tc>
        <w:tc>
          <w:tcPr/>
          <w:p>
            <w:pPr>
              <w:pStyle w:val="Compact"/>
              <w:jc w:val="right"/>
            </w:pPr>
            <w:r>
              <w:t xml:space="preserve">1577</w:t>
            </w:r>
          </w:p>
        </w:tc>
        <w:tc>
          <w:tcPr/>
          <w:p>
            <w:pPr>
              <w:pStyle w:val="Compact"/>
              <w:jc w:val="right"/>
            </w:pPr>
            <w:r>
              <w:t xml:space="preserve">1.5%</w:t>
            </w:r>
          </w:p>
        </w:tc>
      </w:tr>
      <w:tr>
        <w:tc>
          <w:tcPr/>
          <w:p>
            <w:pPr>
              <w:pStyle w:val="Compact"/>
              <w:jc w:val="left"/>
            </w:pPr>
            <w:r>
              <w:t xml:space="preserve">ORGAOREPRESENTACAO</w:t>
            </w:r>
          </w:p>
        </w:tc>
        <w:tc>
          <w:tcPr/>
          <w:p>
            <w:pPr>
              <w:pStyle w:val="Compact"/>
              <w:jc w:val="right"/>
            </w:pPr>
            <w:r>
              <w:t xml:space="preserve">146</w:t>
            </w:r>
          </w:p>
        </w:tc>
        <w:tc>
          <w:tcPr/>
          <w:p>
            <w:pPr>
              <w:pStyle w:val="Compact"/>
              <w:jc w:val="right"/>
            </w:pPr>
            <w:r>
              <w:t xml:space="preserve">0.1%</w:t>
            </w:r>
          </w:p>
        </w:tc>
      </w:tr>
      <w:tr>
        <w:tc>
          <w:tcPr/>
          <w:p>
            <w:pPr>
              <w:pStyle w:val="Compact"/>
              <w:jc w:val="left"/>
            </w:pPr>
            <w:r>
              <w:t xml:space="preserve">Total</w:t>
            </w:r>
          </w:p>
        </w:tc>
        <w:tc>
          <w:tcPr/>
          <w:p>
            <w:pPr>
              <w:pStyle w:val="Compact"/>
              <w:jc w:val="right"/>
            </w:pPr>
            <w:r>
              <w:t xml:space="preserve">105929</w:t>
            </w:r>
          </w:p>
        </w:tc>
        <w:tc>
          <w:tcPr/>
          <w:p>
            <w:pPr>
              <w:pStyle w:val="Compact"/>
              <w:jc w:val="right"/>
            </w:pPr>
            <w:r>
              <w:t xml:space="preserve">100.0%</w:t>
            </w:r>
          </w:p>
        </w:tc>
      </w:tr>
    </w:tbl>
    <w:bookmarkEnd w:id="78"/>
    <w:p>
      <w:pPr>
        <w:pStyle w:val="Corpodetexto"/>
      </w:pPr>
      <w:r>
        <w:t xml:space="preserve">Vamos analisar apenas as pessoas jurídicas. Dentre as partes, aproximadamente 4% têm CNPJ vazio e 96% preenchido. No total, são cerca de 8000 CNPJs distintos e com 14 dígitos, que foram pesquisados na base de dados abertos da Receita Federal do Brasil (RFB). Quase a totalidade (99%) foram encontrados. Alguns resultados disso foram colocados a seguir.</w:t>
      </w:r>
    </w:p>
    <w:p>
      <w:pPr>
        <w:pStyle w:val="Corpodetexto"/>
      </w:pPr>
      <w:r>
        <w:t xml:space="preserve">A</w:t>
      </w:r>
      <w:r>
        <w:t xml:space="preserve"> </w:t>
      </w:r>
      <w:hyperlink w:anchor="tbl-litigantes-passivo">
        <w:r>
          <w:rPr>
            <w:rStyle w:val="Hyperlink"/>
          </w:rPr>
          <w:t xml:space="preserve">Tabela 19</w:t>
        </w:r>
      </w:hyperlink>
      <w:r>
        <w:t xml:space="preserve"> </w:t>
      </w:r>
      <w:r>
        <w:t xml:space="preserve">mostra os quinze maiores litigantes no polo passivo. O nome que mais aparece é o vazio, que são casos em que o campo do CNPJ está vazio. Outros nomes da lista não fazem muito sentido estarem no polo passivo. Das empresas privadas, destacam-se as empresas de energia.</w:t>
      </w:r>
    </w:p>
    <w:bookmarkStart w:id="79" w:name="tbl-litigantes-passivo"/>
    <w:p>
      <w:pPr>
        <w:pStyle w:val="TableCaption"/>
      </w:pPr>
      <w:r>
        <w:t xml:space="preserve">Tabela 19: 10 Maiores litigantes nos processos</w:t>
      </w:r>
    </w:p>
    <w:tbl>
      <w:tblPr>
        <w:tblStyle w:val="Table"/>
        <w:tblW w:type="pct" w:w="5000"/>
        <w:tblLook w:firstRow="1" w:lastRow="0" w:firstColumn="0" w:lastColumn="0" w:noHBand="0" w:noVBand="0" w:val="0020"/>
        <w:jc w:val="start"/>
        <w:tblCaption w:val="Tabela 19: 10 Maiores litigantes nos processos"/>
      </w:tblPr>
      <w:tblGrid>
        <w:gridCol w:w="4950"/>
        <w:gridCol w:w="2200"/>
        <w:gridCol w:w="77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(vazio)</w:t>
            </w:r>
          </w:p>
        </w:tc>
        <w:tc>
          <w:tcPr/>
          <w:p>
            <w:pPr>
              <w:pStyle w:val="Compact"/>
              <w:jc w:val="right"/>
            </w:pPr>
            <w:r>
              <w:t xml:space="preserve">5368</w:t>
            </w:r>
          </w:p>
        </w:tc>
        <w:tc>
          <w:tcPr/>
          <w:p>
            <w:pPr>
              <w:pStyle w:val="Compact"/>
              <w:jc w:val="right"/>
            </w:pPr>
            <w:r>
              <w:t xml:space="preserve">11.02%</w:t>
            </w:r>
          </w:p>
        </w:tc>
      </w:tr>
      <w:tr>
        <w:tc>
          <w:tcPr/>
          <w:p>
            <w:pPr>
              <w:pStyle w:val="Compact"/>
              <w:jc w:val="left"/>
            </w:pPr>
            <w:r>
              <w:t xml:space="preserve">CASA CIVIL DO ESTADO DE MATO GROSSO</w:t>
            </w:r>
          </w:p>
        </w:tc>
        <w:tc>
          <w:tcPr/>
          <w:p>
            <w:pPr>
              <w:pStyle w:val="Compact"/>
              <w:jc w:val="right"/>
            </w:pPr>
            <w:r>
              <w:t xml:space="preserve">1694</w:t>
            </w:r>
          </w:p>
        </w:tc>
        <w:tc>
          <w:tcPr/>
          <w:p>
            <w:pPr>
              <w:pStyle w:val="Compact"/>
              <w:jc w:val="right"/>
            </w:pPr>
            <w:r>
              <w:t xml:space="preserve">3.48%</w:t>
            </w:r>
          </w:p>
        </w:tc>
      </w:tr>
      <w:tr>
        <w:tc>
          <w:tcPr/>
          <w:p>
            <w:pPr>
              <w:pStyle w:val="Compact"/>
              <w:jc w:val="left"/>
            </w:pPr>
            <w:r>
              <w:t xml:space="preserve">IBAMA - CPB</w:t>
            </w:r>
          </w:p>
        </w:tc>
        <w:tc>
          <w:tcPr/>
          <w:p>
            <w:pPr>
              <w:pStyle w:val="Compact"/>
              <w:jc w:val="right"/>
            </w:pPr>
            <w:r>
              <w:t xml:space="preserve">1464</w:t>
            </w:r>
          </w:p>
        </w:tc>
        <w:tc>
          <w:tcPr/>
          <w:p>
            <w:pPr>
              <w:pStyle w:val="Compact"/>
              <w:jc w:val="right"/>
            </w:pPr>
            <w:r>
              <w:t xml:space="preserve">3.01%</w:t>
            </w:r>
          </w:p>
        </w:tc>
      </w:tr>
      <w:tr>
        <w:tc>
          <w:tcPr/>
          <w:p>
            <w:pPr>
              <w:pStyle w:val="Compact"/>
              <w:jc w:val="left"/>
            </w:pPr>
            <w:r>
              <w:t xml:space="preserve">NORTE ENERGIA</w:t>
            </w:r>
          </w:p>
        </w:tc>
        <w:tc>
          <w:tcPr/>
          <w:p>
            <w:pPr>
              <w:pStyle w:val="Compact"/>
              <w:jc w:val="right"/>
            </w:pPr>
            <w:r>
              <w:t xml:space="preserve">1203</w:t>
            </w:r>
          </w:p>
        </w:tc>
        <w:tc>
          <w:tcPr/>
          <w:p>
            <w:pPr>
              <w:pStyle w:val="Compact"/>
              <w:jc w:val="right"/>
            </w:pPr>
            <w:r>
              <w:t xml:space="preserve">2.47%</w:t>
            </w:r>
          </w:p>
        </w:tc>
      </w:tr>
      <w:tr>
        <w:tc>
          <w:tcPr/>
          <w:p>
            <w:pPr>
              <w:pStyle w:val="Compact"/>
              <w:jc w:val="left"/>
            </w:pPr>
            <w:r>
              <w:t xml:space="preserve">DEFENSORIA PUBLICA</w:t>
            </w:r>
          </w:p>
        </w:tc>
        <w:tc>
          <w:tcPr/>
          <w:p>
            <w:pPr>
              <w:pStyle w:val="Compact"/>
              <w:jc w:val="right"/>
            </w:pPr>
            <w:r>
              <w:t xml:space="preserve">1014</w:t>
            </w:r>
          </w:p>
        </w:tc>
        <w:tc>
          <w:tcPr/>
          <w:p>
            <w:pPr>
              <w:pStyle w:val="Compact"/>
              <w:jc w:val="right"/>
            </w:pPr>
            <w:r>
              <w:t xml:space="preserve">2.08%</w:t>
            </w:r>
          </w:p>
        </w:tc>
      </w:tr>
      <w:tr>
        <w:tc>
          <w:tcPr/>
          <w:p>
            <w:pPr>
              <w:pStyle w:val="Compact"/>
              <w:jc w:val="left"/>
            </w:pPr>
            <w:r>
              <w:t xml:space="preserve">PROCURADORIA GERAL DO ESTADO</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ELETROBRAS ELETRONORTE</w:t>
            </w:r>
          </w:p>
        </w:tc>
        <w:tc>
          <w:tcPr/>
          <w:p>
            <w:pPr>
              <w:pStyle w:val="Compact"/>
              <w:jc w:val="right"/>
            </w:pPr>
            <w:r>
              <w:t xml:space="preserve">718</w:t>
            </w:r>
          </w:p>
        </w:tc>
        <w:tc>
          <w:tcPr/>
          <w:p>
            <w:pPr>
              <w:pStyle w:val="Compact"/>
              <w:jc w:val="right"/>
            </w:pPr>
            <w:r>
              <w:t xml:space="preserve">1.47%</w:t>
            </w:r>
          </w:p>
        </w:tc>
      </w:tr>
      <w:tr>
        <w:tc>
          <w:tcPr/>
          <w:p>
            <w:pPr>
              <w:pStyle w:val="Compact"/>
              <w:jc w:val="left"/>
            </w:pPr>
            <w:r>
              <w:t xml:space="preserve">SECRETARIA DE ESTADO DE MEIO AMBIENTE - SEMA</w:t>
            </w:r>
          </w:p>
        </w:tc>
        <w:tc>
          <w:tcPr/>
          <w:p>
            <w:pPr>
              <w:pStyle w:val="Compact"/>
              <w:jc w:val="right"/>
            </w:pPr>
            <w:r>
              <w:t xml:space="preserve">441</w:t>
            </w:r>
          </w:p>
        </w:tc>
        <w:tc>
          <w:tcPr/>
          <w:p>
            <w:pPr>
              <w:pStyle w:val="Compact"/>
              <w:jc w:val="right"/>
            </w:pPr>
            <w:r>
              <w:t xml:space="preserve">0.91%</w:t>
            </w:r>
          </w:p>
        </w:tc>
      </w:tr>
      <w:tr>
        <w:tc>
          <w:tcPr/>
          <w:p>
            <w:pPr>
              <w:pStyle w:val="Compact"/>
              <w:jc w:val="left"/>
            </w:pPr>
            <w:r>
              <w:t xml:space="preserve">GABINETE DO PREFEITO</w:t>
            </w:r>
          </w:p>
        </w:tc>
        <w:tc>
          <w:tcPr/>
          <w:p>
            <w:pPr>
              <w:pStyle w:val="Compact"/>
              <w:jc w:val="right"/>
            </w:pPr>
            <w:r>
              <w:t xml:space="preserve">369</w:t>
            </w:r>
          </w:p>
        </w:tc>
        <w:tc>
          <w:tcPr/>
          <w:p>
            <w:pPr>
              <w:pStyle w:val="Compact"/>
              <w:jc w:val="right"/>
            </w:pPr>
            <w:r>
              <w:t xml:space="preserve">0.76%</w:t>
            </w:r>
          </w:p>
        </w:tc>
      </w:tr>
      <w:tr>
        <w:tc>
          <w:tcPr/>
          <w:p>
            <w:pPr>
              <w:pStyle w:val="Compact"/>
              <w:jc w:val="left"/>
            </w:pPr>
            <w:r>
              <w:t xml:space="preserve">SUPERINTENDENCIA DE ADMINISTRACAO DO MF/ RJ</w:t>
            </w:r>
          </w:p>
        </w:tc>
        <w:tc>
          <w:tcPr/>
          <w:p>
            <w:pPr>
              <w:pStyle w:val="Compact"/>
              <w:jc w:val="right"/>
            </w:pPr>
            <w:r>
              <w:t xml:space="preserve">256</w:t>
            </w:r>
          </w:p>
        </w:tc>
        <w:tc>
          <w:tcPr/>
          <w:p>
            <w:pPr>
              <w:pStyle w:val="Compact"/>
              <w:jc w:val="right"/>
            </w:pPr>
            <w:r>
              <w:t xml:space="preserve">0.53%</w:t>
            </w:r>
          </w:p>
        </w:tc>
      </w:tr>
      <w:tr>
        <w:tc>
          <w:tcPr/>
          <w:p>
            <w:pPr>
              <w:pStyle w:val="Compact"/>
              <w:jc w:val="left"/>
            </w:pPr>
            <w:r>
              <w:t xml:space="preserve">JIRAU ENERGIA</w:t>
            </w:r>
          </w:p>
        </w:tc>
        <w:tc>
          <w:tcPr/>
          <w:p>
            <w:pPr>
              <w:pStyle w:val="Compact"/>
              <w:jc w:val="right"/>
            </w:pPr>
            <w:r>
              <w:t xml:space="preserve">247</w:t>
            </w:r>
          </w:p>
        </w:tc>
        <w:tc>
          <w:tcPr/>
          <w:p>
            <w:pPr>
              <w:pStyle w:val="Compact"/>
              <w:jc w:val="right"/>
            </w:pPr>
            <w:r>
              <w:t xml:space="preserve">0.51%</w:t>
            </w:r>
          </w:p>
        </w:tc>
      </w:tr>
      <w:tr>
        <w:tc>
          <w:tcPr/>
          <w:p>
            <w:pPr>
              <w:pStyle w:val="Compact"/>
              <w:jc w:val="left"/>
            </w:pPr>
            <w:r>
              <w:t xml:space="preserve">CCBM</w:t>
            </w:r>
          </w:p>
        </w:tc>
        <w:tc>
          <w:tcPr/>
          <w:p>
            <w:pPr>
              <w:pStyle w:val="Compact"/>
              <w:jc w:val="right"/>
            </w:pPr>
            <w:r>
              <w:t xml:space="preserve">246</w:t>
            </w:r>
          </w:p>
        </w:tc>
        <w:tc>
          <w:tcPr/>
          <w:p>
            <w:pPr>
              <w:pStyle w:val="Compact"/>
              <w:jc w:val="right"/>
            </w:pPr>
            <w:r>
              <w:t xml:space="preserve">0.50%</w:t>
            </w:r>
          </w:p>
        </w:tc>
      </w:tr>
      <w:tr>
        <w:tc>
          <w:tcPr/>
          <w:p>
            <w:pPr>
              <w:pStyle w:val="Compact"/>
              <w:jc w:val="left"/>
            </w:pPr>
            <w:r>
              <w:t xml:space="preserve">SECRETARIA DE ESTADO DE FAZENDA - SEFAZ</w:t>
            </w:r>
          </w:p>
        </w:tc>
        <w:tc>
          <w:tcPr/>
          <w:p>
            <w:pPr>
              <w:pStyle w:val="Compact"/>
              <w:jc w:val="right"/>
            </w:pPr>
            <w:r>
              <w:t xml:space="preserve">219</w:t>
            </w:r>
          </w:p>
        </w:tc>
        <w:tc>
          <w:tcPr/>
          <w:p>
            <w:pPr>
              <w:pStyle w:val="Compact"/>
              <w:jc w:val="right"/>
            </w:pPr>
            <w:r>
              <w:t xml:space="preserve">0.45%</w:t>
            </w:r>
          </w:p>
        </w:tc>
      </w:tr>
      <w:tr>
        <w:tc>
          <w:tcPr/>
          <w:p>
            <w:pPr>
              <w:pStyle w:val="Compact"/>
              <w:jc w:val="left"/>
            </w:pPr>
            <w:r>
              <w:t xml:space="preserve">MINISTERIO PUBLICO DO ESTADO DE MATO GROSSO</w:t>
            </w:r>
          </w:p>
        </w:tc>
        <w:tc>
          <w:tcPr/>
          <w:p>
            <w:pPr>
              <w:pStyle w:val="Compact"/>
              <w:jc w:val="right"/>
            </w:pPr>
            <w:r>
              <w:t xml:space="preserve">203</w:t>
            </w:r>
          </w:p>
        </w:tc>
        <w:tc>
          <w:tcPr/>
          <w:p>
            <w:pPr>
              <w:pStyle w:val="Compact"/>
              <w:jc w:val="right"/>
            </w:pPr>
            <w:r>
              <w:t xml:space="preserve">0.42%</w:t>
            </w:r>
          </w:p>
        </w:tc>
      </w:tr>
      <w:tr>
        <w:tc>
          <w:tcPr/>
          <w:p>
            <w:pPr>
              <w:pStyle w:val="Compact"/>
              <w:jc w:val="left"/>
            </w:pPr>
            <w:r>
              <w:t xml:space="preserve">IBAMA SUPERINT REGIONAL NO GOIAS</w:t>
            </w:r>
          </w:p>
        </w:tc>
        <w:tc>
          <w:tcPr/>
          <w:p>
            <w:pPr>
              <w:pStyle w:val="Compact"/>
              <w:jc w:val="right"/>
            </w:pPr>
            <w:r>
              <w:t xml:space="preserve">195</w:t>
            </w:r>
          </w:p>
        </w:tc>
        <w:tc>
          <w:tcPr/>
          <w:p>
            <w:pPr>
              <w:pStyle w:val="Compact"/>
              <w:jc w:val="right"/>
            </w:pPr>
            <w:r>
              <w:t xml:space="preserve">0.40%</w:t>
            </w:r>
          </w:p>
        </w:tc>
      </w:tr>
    </w:tbl>
    <w:bookmarkEnd w:id="79"/>
    <w:p>
      <w:pPr>
        <w:pStyle w:val="Corpodetexto"/>
      </w:pPr>
      <w:r>
        <w:t xml:space="preserve">A</w:t>
      </w:r>
      <w:r>
        <w:t xml:space="preserve"> </w:t>
      </w:r>
      <w:hyperlink w:anchor="tbl-litigantes-ativo">
        <w:r>
          <w:rPr>
            <w:rStyle w:val="Hyperlink"/>
          </w:rPr>
          <w:t xml:space="preserve">Tabela 20</w:t>
        </w:r>
      </w:hyperlink>
      <w:r>
        <w:t xml:space="preserve"> </w:t>
      </w:r>
      <w:r>
        <w:t xml:space="preserve">mostra os quinze maiores litigantes no polo ativo. Como esperado, figuram entre os maiores litigantes os ministérios públicos e procuradorias.</w:t>
      </w:r>
    </w:p>
    <w:bookmarkStart w:id="80" w:name="tbl-litigantes-ativo"/>
    <w:p>
      <w:pPr>
        <w:pStyle w:val="TableCaption"/>
      </w:pPr>
      <w:r>
        <w:t xml:space="preserve">Tabela 20: 10 Maiores litigantes nos processos</w:t>
      </w:r>
    </w:p>
    <w:tbl>
      <w:tblPr>
        <w:tblStyle w:val="Table"/>
        <w:tblW w:type="pct" w:w="5000"/>
        <w:tblLook w:firstRow="1" w:lastRow="0" w:firstColumn="0" w:lastColumn="0" w:noHBand="0" w:noVBand="0" w:val="0020"/>
        <w:jc w:val="start"/>
        <w:tblCaption w:val="Tabela 20: 10 Maiores litigantes nos processos"/>
      </w:tblPr>
      <w:tblGrid>
        <w:gridCol w:w="5178"/>
        <w:gridCol w:w="2030"/>
        <w:gridCol w:w="71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MINISTERIO PUBLICO DO ESTADO DE MATO GROSSO</w:t>
            </w:r>
          </w:p>
        </w:tc>
        <w:tc>
          <w:tcPr/>
          <w:p>
            <w:pPr>
              <w:pStyle w:val="Compact"/>
              <w:jc w:val="right"/>
            </w:pPr>
            <w:r>
              <w:t xml:space="preserve">8168</w:t>
            </w:r>
          </w:p>
        </w:tc>
        <w:tc>
          <w:tcPr/>
          <w:p>
            <w:pPr>
              <w:pStyle w:val="Compact"/>
              <w:jc w:val="right"/>
            </w:pPr>
            <w:r>
              <w:t xml:space="preserve">16.77%</w:t>
            </w:r>
          </w:p>
        </w:tc>
      </w:tr>
      <w:tr>
        <w:tc>
          <w:tcPr/>
          <w:p>
            <w:pPr>
              <w:pStyle w:val="Compact"/>
              <w:jc w:val="left"/>
            </w:pPr>
            <w:r>
              <w:t xml:space="preserve">PA MP PRG GABINETE DO PROCURADOR GERAL</w:t>
            </w:r>
          </w:p>
        </w:tc>
        <w:tc>
          <w:tcPr/>
          <w:p>
            <w:pPr>
              <w:pStyle w:val="Compact"/>
              <w:jc w:val="right"/>
            </w:pPr>
            <w:r>
              <w:t xml:space="preserve">2059</w:t>
            </w:r>
          </w:p>
        </w:tc>
        <w:tc>
          <w:tcPr/>
          <w:p>
            <w:pPr>
              <w:pStyle w:val="Compact"/>
              <w:jc w:val="right"/>
            </w:pPr>
            <w:r>
              <w:t xml:space="preserve">4.23%</w:t>
            </w:r>
          </w:p>
        </w:tc>
      </w:tr>
      <w:tr>
        <w:tc>
          <w:tcPr/>
          <w:p>
            <w:pPr>
              <w:pStyle w:val="Compact"/>
              <w:jc w:val="left"/>
            </w:pPr>
            <w:r>
              <w:t xml:space="preserve">IBAMA - CPB</w:t>
            </w:r>
          </w:p>
        </w:tc>
        <w:tc>
          <w:tcPr/>
          <w:p>
            <w:pPr>
              <w:pStyle w:val="Compact"/>
              <w:jc w:val="right"/>
            </w:pPr>
            <w:r>
              <w:t xml:space="preserve">1940</w:t>
            </w:r>
          </w:p>
        </w:tc>
        <w:tc>
          <w:tcPr/>
          <w:p>
            <w:pPr>
              <w:pStyle w:val="Compact"/>
              <w:jc w:val="right"/>
            </w:pPr>
            <w:r>
              <w:t xml:space="preserve">3.98%</w:t>
            </w:r>
          </w:p>
        </w:tc>
      </w:tr>
      <w:tr>
        <w:tc>
          <w:tcPr/>
          <w:p>
            <w:pPr>
              <w:pStyle w:val="Compact"/>
              <w:jc w:val="left"/>
            </w:pPr>
            <w:r>
              <w:t xml:space="preserve">AM PROCURADORIA GERAL DA JUSTICA GAB DO PROCURADOR</w:t>
            </w:r>
          </w:p>
        </w:tc>
        <w:tc>
          <w:tcPr/>
          <w:p>
            <w:pPr>
              <w:pStyle w:val="Compact"/>
              <w:jc w:val="right"/>
            </w:pPr>
            <w:r>
              <w:t xml:space="preserve">1826</w:t>
            </w:r>
          </w:p>
        </w:tc>
        <w:tc>
          <w:tcPr/>
          <w:p>
            <w:pPr>
              <w:pStyle w:val="Compact"/>
              <w:jc w:val="right"/>
            </w:pPr>
            <w:r>
              <w:t xml:space="preserve">3.75%</w:t>
            </w:r>
          </w:p>
        </w:tc>
      </w:tr>
      <w:tr>
        <w:tc>
          <w:tcPr/>
          <w:p>
            <w:pPr>
              <w:pStyle w:val="Compact"/>
              <w:jc w:val="left"/>
            </w:pPr>
            <w:r>
              <w:t xml:space="preserve">TO PROCURADORIA GERAL DA JUSTICA</w:t>
            </w:r>
          </w:p>
        </w:tc>
        <w:tc>
          <w:tcPr/>
          <w:p>
            <w:pPr>
              <w:pStyle w:val="Compact"/>
              <w:jc w:val="right"/>
            </w:pPr>
            <w:r>
              <w:t xml:space="preserve">1673</w:t>
            </w:r>
          </w:p>
        </w:tc>
        <w:tc>
          <w:tcPr/>
          <w:p>
            <w:pPr>
              <w:pStyle w:val="Compact"/>
              <w:jc w:val="right"/>
            </w:pPr>
            <w:r>
              <w:t xml:space="preserve">3.43%</w:t>
            </w:r>
          </w:p>
        </w:tc>
      </w:tr>
      <w:tr>
        <w:tc>
          <w:tcPr/>
          <w:p>
            <w:pPr>
              <w:pStyle w:val="Compact"/>
              <w:jc w:val="left"/>
            </w:pPr>
            <w:r>
              <w:t xml:space="preserve">MINISTERIO PUB EST RONDONIA</w:t>
            </w:r>
          </w:p>
        </w:tc>
        <w:tc>
          <w:tcPr/>
          <w:p>
            <w:pPr>
              <w:pStyle w:val="Compact"/>
              <w:jc w:val="right"/>
            </w:pPr>
            <w:r>
              <w:t xml:space="preserve">1638</w:t>
            </w:r>
          </w:p>
        </w:tc>
        <w:tc>
          <w:tcPr/>
          <w:p>
            <w:pPr>
              <w:pStyle w:val="Compact"/>
              <w:jc w:val="right"/>
            </w:pPr>
            <w:r>
              <w:t xml:space="preserve">3.36%</w:t>
            </w:r>
          </w:p>
        </w:tc>
      </w:tr>
      <w:tr>
        <w:tc>
          <w:tcPr/>
          <w:p>
            <w:pPr>
              <w:pStyle w:val="Compact"/>
              <w:jc w:val="left"/>
            </w:pPr>
            <w:r>
              <w:t xml:space="preserve">GABINETE DO PREFEITO</w:t>
            </w:r>
          </w:p>
        </w:tc>
        <w:tc>
          <w:tcPr/>
          <w:p>
            <w:pPr>
              <w:pStyle w:val="Compact"/>
              <w:jc w:val="right"/>
            </w:pPr>
            <w:r>
              <w:t xml:space="preserve">1071</w:t>
            </w:r>
          </w:p>
        </w:tc>
        <w:tc>
          <w:tcPr/>
          <w:p>
            <w:pPr>
              <w:pStyle w:val="Compact"/>
              <w:jc w:val="right"/>
            </w:pPr>
            <w:r>
              <w:t xml:space="preserve">2.20%</w:t>
            </w:r>
          </w:p>
        </w:tc>
      </w:tr>
      <w:tr>
        <w:tc>
          <w:tcPr/>
          <w:p>
            <w:pPr>
              <w:pStyle w:val="Compact"/>
              <w:jc w:val="left"/>
            </w:pPr>
            <w:r>
              <w:t xml:space="preserve">(vazio)</w:t>
            </w:r>
          </w:p>
        </w:tc>
        <w:tc>
          <w:tcPr/>
          <w:p>
            <w:pPr>
              <w:pStyle w:val="Compact"/>
              <w:jc w:val="right"/>
            </w:pPr>
            <w:r>
              <w:t xml:space="preserve">1068</w:t>
            </w:r>
          </w:p>
        </w:tc>
        <w:tc>
          <w:tcPr/>
          <w:p>
            <w:pPr>
              <w:pStyle w:val="Compact"/>
              <w:jc w:val="right"/>
            </w:pPr>
            <w:r>
              <w:t xml:space="preserve">2.19%</w:t>
            </w:r>
          </w:p>
        </w:tc>
      </w:tr>
      <w:tr>
        <w:tc>
          <w:tcPr/>
          <w:p>
            <w:pPr>
              <w:pStyle w:val="Compact"/>
              <w:jc w:val="left"/>
            </w:pPr>
            <w:r>
              <w:t xml:space="preserve">CASA CIVIL DO ESTADO DE MATO GROSSO</w:t>
            </w:r>
          </w:p>
        </w:tc>
        <w:tc>
          <w:tcPr/>
          <w:p>
            <w:pPr>
              <w:pStyle w:val="Compact"/>
              <w:jc w:val="right"/>
            </w:pPr>
            <w:r>
              <w:t xml:space="preserve">961</w:t>
            </w:r>
          </w:p>
        </w:tc>
        <w:tc>
          <w:tcPr/>
          <w:p>
            <w:pPr>
              <w:pStyle w:val="Compact"/>
              <w:jc w:val="right"/>
            </w:pPr>
            <w:r>
              <w:t xml:space="preserve">1.97%</w:t>
            </w:r>
          </w:p>
        </w:tc>
      </w:tr>
      <w:tr>
        <w:tc>
          <w:tcPr/>
          <w:p>
            <w:pPr>
              <w:pStyle w:val="Compact"/>
              <w:jc w:val="left"/>
            </w:pPr>
            <w:r>
              <w:t xml:space="preserve">PROCURADORIA GERAL DA JUSTICA</w:t>
            </w:r>
          </w:p>
        </w:tc>
        <w:tc>
          <w:tcPr/>
          <w:p>
            <w:pPr>
              <w:pStyle w:val="Compact"/>
              <w:jc w:val="right"/>
            </w:pPr>
            <w:r>
              <w:t xml:space="preserve">935</w:t>
            </w:r>
          </w:p>
        </w:tc>
        <w:tc>
          <w:tcPr/>
          <w:p>
            <w:pPr>
              <w:pStyle w:val="Compact"/>
              <w:jc w:val="right"/>
            </w:pPr>
            <w:r>
              <w:t xml:space="preserve">1.92%</w:t>
            </w:r>
          </w:p>
        </w:tc>
      </w:tr>
      <w:tr>
        <w:tc>
          <w:tcPr/>
          <w:p>
            <w:pPr>
              <w:pStyle w:val="Compact"/>
              <w:jc w:val="left"/>
            </w:pPr>
            <w:r>
              <w:t xml:space="preserve">MPEA</w:t>
            </w:r>
          </w:p>
        </w:tc>
        <w:tc>
          <w:tcPr/>
          <w:p>
            <w:pPr>
              <w:pStyle w:val="Compact"/>
              <w:jc w:val="right"/>
            </w:pPr>
            <w:r>
              <w:t xml:space="preserve">758</w:t>
            </w:r>
          </w:p>
        </w:tc>
        <w:tc>
          <w:tcPr/>
          <w:p>
            <w:pPr>
              <w:pStyle w:val="Compact"/>
              <w:jc w:val="right"/>
            </w:pPr>
            <w:r>
              <w:t xml:space="preserve">1.56%</w:t>
            </w:r>
          </w:p>
        </w:tc>
      </w:tr>
      <w:tr>
        <w:tc>
          <w:tcPr/>
          <w:p>
            <w:pPr>
              <w:pStyle w:val="Compact"/>
              <w:jc w:val="left"/>
            </w:pPr>
            <w:r>
              <w:t xml:space="preserve">PROCURADORIA GERAL DO ESTADO</w:t>
            </w:r>
          </w:p>
        </w:tc>
        <w:tc>
          <w:tcPr/>
          <w:p>
            <w:pPr>
              <w:pStyle w:val="Compact"/>
              <w:jc w:val="right"/>
            </w:pPr>
            <w:r>
              <w:t xml:space="preserve">749</w:t>
            </w:r>
          </w:p>
        </w:tc>
        <w:tc>
          <w:tcPr/>
          <w:p>
            <w:pPr>
              <w:pStyle w:val="Compact"/>
              <w:jc w:val="right"/>
            </w:pPr>
            <w:r>
              <w:t xml:space="preserve">1.54%</w:t>
            </w:r>
          </w:p>
        </w:tc>
      </w:tr>
      <w:tr>
        <w:tc>
          <w:tcPr/>
          <w:p>
            <w:pPr>
              <w:pStyle w:val="Compact"/>
              <w:jc w:val="left"/>
            </w:pPr>
            <w:r>
              <w:t xml:space="preserve">TJPA</w:t>
            </w:r>
          </w:p>
        </w:tc>
        <w:tc>
          <w:tcPr/>
          <w:p>
            <w:pPr>
              <w:pStyle w:val="Compact"/>
              <w:jc w:val="right"/>
            </w:pPr>
            <w:r>
              <w:t xml:space="preserve">412</w:t>
            </w:r>
          </w:p>
        </w:tc>
        <w:tc>
          <w:tcPr/>
          <w:p>
            <w:pPr>
              <w:pStyle w:val="Compact"/>
              <w:jc w:val="right"/>
            </w:pPr>
            <w:r>
              <w:t xml:space="preserve">0.85%</w:t>
            </w:r>
          </w:p>
        </w:tc>
      </w:tr>
      <w:tr>
        <w:tc>
          <w:tcPr/>
          <w:p>
            <w:pPr>
              <w:pStyle w:val="Compact"/>
              <w:jc w:val="left"/>
            </w:pPr>
            <w:r>
              <w:t xml:space="preserve">IBAMA SUPERINT REGIONAL NO GOIAS</w:t>
            </w:r>
          </w:p>
        </w:tc>
        <w:tc>
          <w:tcPr/>
          <w:p>
            <w:pPr>
              <w:pStyle w:val="Compact"/>
              <w:jc w:val="right"/>
            </w:pPr>
            <w:r>
              <w:t xml:space="preserve">336</w:t>
            </w:r>
          </w:p>
        </w:tc>
        <w:tc>
          <w:tcPr/>
          <w:p>
            <w:pPr>
              <w:pStyle w:val="Compact"/>
              <w:jc w:val="right"/>
            </w:pPr>
            <w:r>
              <w:t xml:space="preserve">0.69%</w:t>
            </w:r>
          </w:p>
        </w:tc>
      </w:tr>
      <w:tr>
        <w:tc>
          <w:tcPr/>
          <w:p>
            <w:pPr>
              <w:pStyle w:val="Compact"/>
              <w:jc w:val="left"/>
            </w:pPr>
            <w:r>
              <w:t xml:space="preserve">IBAMA/CGFIN - COORDENACAO GERAL DE FINANCAS</w:t>
            </w:r>
          </w:p>
        </w:tc>
        <w:tc>
          <w:tcPr/>
          <w:p>
            <w:pPr>
              <w:pStyle w:val="Compact"/>
              <w:jc w:val="right"/>
            </w:pPr>
            <w:r>
              <w:t xml:space="preserve">301</w:t>
            </w:r>
          </w:p>
        </w:tc>
        <w:tc>
          <w:tcPr/>
          <w:p>
            <w:pPr>
              <w:pStyle w:val="Compact"/>
              <w:jc w:val="right"/>
            </w:pPr>
            <w:r>
              <w:t xml:space="preserve">0.62%</w:t>
            </w:r>
          </w:p>
        </w:tc>
      </w:tr>
    </w:tbl>
    <w:bookmarkEnd w:id="80"/>
    <w:p>
      <w:pPr>
        <w:pStyle w:val="Corpodetexto"/>
      </w:pPr>
      <w:r>
        <w:t xml:space="preserve">A</w:t>
      </w:r>
      <w:r>
        <w:t xml:space="preserve"> </w:t>
      </w:r>
      <w:hyperlink w:anchor="tbl-cnae">
        <w:r>
          <w:rPr>
            <w:rStyle w:val="Hyperlink"/>
          </w:rPr>
          <w:t xml:space="preserve">Tabela 21</w:t>
        </w:r>
      </w:hyperlink>
      <w:r>
        <w:t xml:space="preserve"> </w:t>
      </w:r>
      <w:r>
        <w:t xml:space="preserve">mostra as atividades principais das empresas no polo passivo, de acordo com a informação da</w:t>
      </w:r>
      <w:r>
        <w:t xml:space="preserve"> </w:t>
      </w:r>
      <w:r>
        <w:t xml:space="preserve">“</w:t>
      </w:r>
      <w:r>
        <w:t xml:space="preserve">Classe</w:t>
      </w:r>
      <w:r>
        <w:t xml:space="preserve">”</w:t>
      </w:r>
      <w:r>
        <w:t xml:space="preserve"> </w:t>
      </w:r>
      <w:r>
        <w:t xml:space="preserve">da tabela CNAE. Os casos de</w:t>
      </w:r>
      <w:r>
        <w:t xml:space="preserve"> </w:t>
      </w:r>
      <w:r>
        <w:t xml:space="preserve">“</w:t>
      </w:r>
      <w:r>
        <w:t xml:space="preserve">administração pública em geral</w:t>
      </w:r>
      <w:r>
        <w:t xml:space="preserve">”</w:t>
      </w:r>
      <w:r>
        <w:t xml:space="preserve"> </w:t>
      </w:r>
      <w:r>
        <w:t xml:space="preserve">provavelmente se referem a diferentes entidades públicas.</w:t>
      </w:r>
    </w:p>
    <w:bookmarkStart w:id="81" w:name="tbl-cnae"/>
    <w:p>
      <w:pPr>
        <w:pStyle w:val="TableCaption"/>
      </w:pPr>
      <w:r>
        <w:t xml:space="preserve">Tabela 21: Quantidade de partes-processos por tipo de atividade.</w:t>
      </w:r>
    </w:p>
    <w:tbl>
      <w:tblPr>
        <w:tblStyle w:val="Table"/>
        <w:tblW w:type="pct" w:w="5000"/>
        <w:tblLook w:firstRow="1" w:lastRow="0" w:firstColumn="0" w:lastColumn="0" w:noHBand="0" w:noVBand="0" w:val="0020"/>
        <w:jc w:val="start"/>
        <w:tblCaption w:val="Tabela 21: Quantidade de partes-processos por tipo de atividade."/>
      </w:tblPr>
      <w:tblGrid>
        <w:gridCol w:w="6864"/>
        <w:gridCol w:w="440"/>
        <w:gridCol w:w="616"/>
      </w:tblGrid>
      <w:tr>
        <w:trPr>
          <w:tblHeader w:val="true"/>
        </w:trPr>
        <w:tc>
          <w:tcPr/>
          <w:p>
            <w:pPr>
              <w:pStyle w:val="Compact"/>
              <w:jc w:val="left"/>
            </w:pPr>
            <w:r>
              <w:t xml:space="preserve">Tipo de atividade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Administração pública em geral</w:t>
            </w:r>
          </w:p>
        </w:tc>
        <w:tc>
          <w:tcPr/>
          <w:p>
            <w:pPr>
              <w:pStyle w:val="Compact"/>
              <w:jc w:val="right"/>
            </w:pPr>
            <w:r>
              <w:t xml:space="preserve">6675</w:t>
            </w:r>
          </w:p>
        </w:tc>
        <w:tc>
          <w:tcPr/>
          <w:p>
            <w:pPr>
              <w:pStyle w:val="Compact"/>
              <w:jc w:val="right"/>
            </w:pPr>
            <w:r>
              <w:t xml:space="preserve">13.70%</w:t>
            </w:r>
          </w:p>
        </w:tc>
      </w:tr>
      <w:tr>
        <w:tc>
          <w:tcPr/>
          <w:p>
            <w:pPr>
              <w:pStyle w:val="Compact"/>
              <w:jc w:val="left"/>
            </w:pPr>
            <w:r>
              <w:t xml:space="preserve">Geração de energia elétrica</w:t>
            </w:r>
          </w:p>
        </w:tc>
        <w:tc>
          <w:tcPr/>
          <w:p>
            <w:pPr>
              <w:pStyle w:val="Compact"/>
              <w:jc w:val="right"/>
            </w:pPr>
            <w:r>
              <w:t xml:space="preserve">3345</w:t>
            </w:r>
          </w:p>
        </w:tc>
        <w:tc>
          <w:tcPr/>
          <w:p>
            <w:pPr>
              <w:pStyle w:val="Compact"/>
              <w:jc w:val="right"/>
            </w:pPr>
            <w:r>
              <w:t xml:space="preserve">6.87%</w:t>
            </w:r>
          </w:p>
        </w:tc>
      </w:tr>
      <w:tr>
        <w:tc>
          <w:tcPr/>
          <w:p>
            <w:pPr>
              <w:pStyle w:val="Compact"/>
              <w:jc w:val="left"/>
            </w:pPr>
            <w:r>
              <w:t xml:space="preserve">Metalurgia do alumínio e suas ligas</w:t>
            </w:r>
          </w:p>
        </w:tc>
        <w:tc>
          <w:tcPr/>
          <w:p>
            <w:pPr>
              <w:pStyle w:val="Compact"/>
              <w:jc w:val="right"/>
            </w:pPr>
            <w:r>
              <w:t xml:space="preserve">1847</w:t>
            </w:r>
          </w:p>
        </w:tc>
        <w:tc>
          <w:tcPr/>
          <w:p>
            <w:pPr>
              <w:pStyle w:val="Compact"/>
              <w:jc w:val="right"/>
            </w:pPr>
            <w:r>
              <w:t xml:space="preserve">3.79%</w:t>
            </w:r>
          </w:p>
        </w:tc>
      </w:tr>
      <w:tr>
        <w:tc>
          <w:tcPr/>
          <w:p>
            <w:pPr>
              <w:pStyle w:val="Compact"/>
              <w:jc w:val="left"/>
            </w:pPr>
            <w:r>
              <w:t xml:space="preserve">Desdobramento de madeira</w:t>
            </w:r>
          </w:p>
        </w:tc>
        <w:tc>
          <w:tcPr/>
          <w:p>
            <w:pPr>
              <w:pStyle w:val="Compact"/>
              <w:jc w:val="right"/>
            </w:pPr>
            <w:r>
              <w:t xml:space="preserve">1691</w:t>
            </w:r>
          </w:p>
        </w:tc>
        <w:tc>
          <w:tcPr/>
          <w:p>
            <w:pPr>
              <w:pStyle w:val="Compact"/>
              <w:jc w:val="right"/>
            </w:pPr>
            <w:r>
              <w:t xml:space="preserve">3.47%</w:t>
            </w:r>
          </w:p>
        </w:tc>
      </w:tr>
      <w:tr>
        <w:tc>
          <w:tcPr/>
          <w:p>
            <w:pPr>
              <w:pStyle w:val="Compact"/>
              <w:jc w:val="left"/>
            </w:pPr>
            <w:r>
              <w:t xml:space="preserve">Justiça</w:t>
            </w:r>
          </w:p>
        </w:tc>
        <w:tc>
          <w:tcPr/>
          <w:p>
            <w:pPr>
              <w:pStyle w:val="Compact"/>
              <w:jc w:val="right"/>
            </w:pPr>
            <w:r>
              <w:t xml:space="preserve">1189</w:t>
            </w:r>
          </w:p>
        </w:tc>
        <w:tc>
          <w:tcPr/>
          <w:p>
            <w:pPr>
              <w:pStyle w:val="Compact"/>
              <w:jc w:val="right"/>
            </w:pPr>
            <w:r>
              <w:t xml:space="preserve">2.44%</w:t>
            </w:r>
          </w:p>
        </w:tc>
      </w:tr>
      <w:tr>
        <w:tc>
          <w:tcPr/>
          <w:p>
            <w:pPr>
              <w:pStyle w:val="Compact"/>
              <w:jc w:val="left"/>
            </w:pPr>
            <w:r>
              <w:t xml:space="preserve">Comércio varejista de ferragens madeira e materiais de construção</w:t>
            </w:r>
          </w:p>
        </w:tc>
        <w:tc>
          <w:tcPr/>
          <w:p>
            <w:pPr>
              <w:pStyle w:val="Compact"/>
              <w:jc w:val="right"/>
            </w:pPr>
            <w:r>
              <w:t xml:space="preserve">493</w:t>
            </w:r>
          </w:p>
        </w:tc>
        <w:tc>
          <w:tcPr/>
          <w:p>
            <w:pPr>
              <w:pStyle w:val="Compact"/>
              <w:jc w:val="right"/>
            </w:pPr>
            <w:r>
              <w:t xml:space="preserve">1.01%</w:t>
            </w:r>
          </w:p>
        </w:tc>
      </w:tr>
      <w:tr>
        <w:tc>
          <w:tcPr/>
          <w:p>
            <w:pPr>
              <w:pStyle w:val="Compact"/>
              <w:jc w:val="left"/>
            </w:pPr>
            <w:r>
              <w:t xml:space="preserve">Transporte rodoviário de carga</w:t>
            </w:r>
          </w:p>
        </w:tc>
        <w:tc>
          <w:tcPr/>
          <w:p>
            <w:pPr>
              <w:pStyle w:val="Compact"/>
              <w:jc w:val="right"/>
            </w:pPr>
            <w:r>
              <w:t xml:space="preserve">291</w:t>
            </w:r>
          </w:p>
        </w:tc>
        <w:tc>
          <w:tcPr/>
          <w:p>
            <w:pPr>
              <w:pStyle w:val="Compact"/>
              <w:jc w:val="right"/>
            </w:pPr>
            <w:r>
              <w:t xml:space="preserve">0.60%</w:t>
            </w:r>
          </w:p>
        </w:tc>
      </w:tr>
      <w:tr>
        <w:tc>
          <w:tcPr/>
          <w:p>
            <w:pPr>
              <w:pStyle w:val="Compact"/>
              <w:jc w:val="left"/>
            </w:pPr>
            <w:r>
              <w:t xml:space="preserve">Construção de edifícios</w:t>
            </w:r>
          </w:p>
        </w:tc>
        <w:tc>
          <w:tcPr/>
          <w:p>
            <w:pPr>
              <w:pStyle w:val="Compact"/>
              <w:jc w:val="right"/>
            </w:pPr>
            <w:r>
              <w:t xml:space="preserve">270</w:t>
            </w:r>
          </w:p>
        </w:tc>
        <w:tc>
          <w:tcPr/>
          <w:p>
            <w:pPr>
              <w:pStyle w:val="Compact"/>
              <w:jc w:val="right"/>
            </w:pPr>
            <w:r>
              <w:t xml:space="preserve">0.55%</w:t>
            </w:r>
          </w:p>
        </w:tc>
      </w:tr>
      <w:tr>
        <w:tc>
          <w:tcPr/>
          <w:p>
            <w:pPr>
              <w:pStyle w:val="Compact"/>
              <w:jc w:val="left"/>
            </w:pPr>
            <w:r>
              <w:t xml:space="preserve">Obras para geração e distribuição de energia elétrica e para telecomunicações</w:t>
            </w:r>
          </w:p>
        </w:tc>
        <w:tc>
          <w:tcPr/>
          <w:p>
            <w:pPr>
              <w:pStyle w:val="Compact"/>
              <w:jc w:val="right"/>
            </w:pPr>
            <w:r>
              <w:t xml:space="preserve">261</w:t>
            </w:r>
          </w:p>
        </w:tc>
        <w:tc>
          <w:tcPr/>
          <w:p>
            <w:pPr>
              <w:pStyle w:val="Compact"/>
              <w:jc w:val="right"/>
            </w:pPr>
            <w:r>
              <w:t xml:space="preserve">0.54%</w:t>
            </w:r>
          </w:p>
        </w:tc>
      </w:tr>
      <w:tr>
        <w:tc>
          <w:tcPr/>
          <w:p>
            <w:pPr>
              <w:pStyle w:val="Compact"/>
              <w:jc w:val="left"/>
            </w:pPr>
            <w:r>
              <w:t xml:space="preserve">Comércio atacadista de madeira e produtos derivados</w:t>
            </w:r>
          </w:p>
        </w:tc>
        <w:tc>
          <w:tcPr/>
          <w:p>
            <w:pPr>
              <w:pStyle w:val="Compact"/>
              <w:jc w:val="right"/>
            </w:pPr>
            <w:r>
              <w:t xml:space="preserve">242</w:t>
            </w:r>
          </w:p>
        </w:tc>
        <w:tc>
          <w:tcPr/>
          <w:p>
            <w:pPr>
              <w:pStyle w:val="Compact"/>
              <w:jc w:val="right"/>
            </w:pPr>
            <w:r>
              <w:t xml:space="preserve">0.50%</w:t>
            </w:r>
          </w:p>
        </w:tc>
      </w:tr>
    </w:tbl>
    <w:bookmarkEnd w:id="81"/>
    <w:bookmarkEnd w:id="82"/>
    <w:bookmarkStart w:id="83" w:name="datajud-2"/>
    <w:p>
      <w:pPr>
        <w:pStyle w:val="Ttulo3"/>
      </w:pPr>
      <w:r>
        <w:t xml:space="preserve">DataJud</w:t>
      </w:r>
    </w:p>
    <w:p>
      <w:pPr>
        <w:pStyle w:val="FirstParagraph"/>
      </w:pPr>
      <w:r>
        <w:t xml:space="preserve">A base do DataJud não disponibiliza nome nem CNPJ das partes, o que impossibilita análises sobre perfil das partes.</w:t>
      </w:r>
    </w:p>
    <w:bookmarkEnd w:id="83"/>
    <w:bookmarkStart w:id="86" w:name="trf1-2"/>
    <w:p>
      <w:pPr>
        <w:pStyle w:val="Ttulo3"/>
      </w:pPr>
      <w:r>
        <w:t xml:space="preserve">TRF1</w:t>
      </w:r>
    </w:p>
    <w:p>
      <w:pPr>
        <w:pStyle w:val="FirstParagraph"/>
      </w:pPr>
      <w:r>
        <w:t xml:space="preserve">A base do TRF1 não disponibiliza o CNPJ das partes, o que impossibilita a realização de análises mais aprofundadas. A única análise feita foi dos maiores litigantes no polo passivo, listados na</w:t>
      </w:r>
      <w:r>
        <w:t xml:space="preserve"> </w:t>
      </w:r>
      <w:hyperlink w:anchor="tbl-litigantes-trf1">
        <w:r>
          <w:rPr>
            <w:rStyle w:val="Hyperlink"/>
          </w:rPr>
          <w:t xml:space="preserve">Tabela 22</w:t>
        </w:r>
      </w:hyperlink>
      <w:r>
        <w:t xml:space="preserve">. As formas de participação para determinar as partes no polo passivo foram:</w:t>
      </w:r>
      <w:r>
        <w:t xml:space="preserve"> </w:t>
      </w:r>
      <w:r>
        <w:t xml:space="preserve">“</w:t>
      </w:r>
      <w:r>
        <w:t xml:space="preserve">réu</w:t>
      </w:r>
      <w:r>
        <w:t xml:space="preserve">”</w:t>
      </w:r>
      <w:r>
        <w:t xml:space="preserve">,</w:t>
      </w:r>
      <w:r>
        <w:t xml:space="preserve"> </w:t>
      </w:r>
      <w:r>
        <w:t xml:space="preserve">“</w:t>
      </w:r>
      <w:r>
        <w:t xml:space="preserve">requerido</w:t>
      </w:r>
      <w:r>
        <w:t xml:space="preserve">”</w:t>
      </w:r>
      <w:r>
        <w:t xml:space="preserve">,</w:t>
      </w:r>
      <w:r>
        <w:t xml:space="preserve"> </w:t>
      </w:r>
      <w:r>
        <w:t xml:space="preserve">“</w:t>
      </w:r>
      <w:r>
        <w:t xml:space="preserve">executado</w:t>
      </w:r>
      <w:r>
        <w:t xml:space="preserve">”</w:t>
      </w:r>
      <w:r>
        <w:t xml:space="preserve"> </w:t>
      </w:r>
      <w:r>
        <w:t xml:space="preserve">e</w:t>
      </w:r>
      <w:r>
        <w:t xml:space="preserve"> </w:t>
      </w:r>
      <w:r>
        <w:t xml:space="preserve">“</w:t>
      </w:r>
      <w:r>
        <w:t xml:space="preserve">impetrado</w:t>
      </w:r>
      <w:r>
        <w:t xml:space="preserve">”</w:t>
      </w:r>
      <w:r>
        <w:t xml:space="preserve">. Os nomes passaram por um processo de padronização, mas ainda podem estar com problemas de taxonomia.</w:t>
      </w:r>
    </w:p>
    <w:bookmarkStart w:id="84" w:name="tbl-litigantes-trf1"/>
    <w:p>
      <w:pPr>
        <w:pStyle w:val="TableCaption"/>
      </w:pPr>
      <w:r>
        <w:t xml:space="preserve">Tabela 22: Lista dos maiores litigantes no polo passivo, no TRF1 (base grande).</w:t>
      </w:r>
    </w:p>
    <w:tbl>
      <w:tblPr>
        <w:tblStyle w:val="Table"/>
        <w:tblW w:type="auto" w:w="0"/>
        <w:tblLook w:firstRow="1" w:lastRow="0" w:firstColumn="0" w:lastColumn="0" w:noHBand="0" w:noVBand="0" w:val="0020"/>
        <w:jc w:val="start"/>
        <w:tblCaption w:val="Tabela 22: Lista dos maiores litigantes no polo passivo, no TRF1 (base grande)."/>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IBAMA</w:t>
            </w:r>
          </w:p>
        </w:tc>
        <w:tc>
          <w:tcPr/>
          <w:p>
            <w:pPr>
              <w:pStyle w:val="Compact"/>
              <w:jc w:val="right"/>
            </w:pPr>
            <w:r>
              <w:t xml:space="preserve">741</w:t>
            </w:r>
          </w:p>
        </w:tc>
        <w:tc>
          <w:tcPr/>
          <w:p>
            <w:pPr>
              <w:pStyle w:val="Compact"/>
              <w:jc w:val="right"/>
            </w:pPr>
            <w:r>
              <w:t xml:space="preserve">17.0%</w:t>
            </w:r>
          </w:p>
        </w:tc>
      </w:tr>
      <w:tr>
        <w:tc>
          <w:tcPr/>
          <w:p>
            <w:pPr>
              <w:pStyle w:val="Compact"/>
              <w:jc w:val="left"/>
            </w:pPr>
            <w:r>
              <w:t xml:space="preserve">INSS</w:t>
            </w:r>
          </w:p>
        </w:tc>
        <w:tc>
          <w:tcPr/>
          <w:p>
            <w:pPr>
              <w:pStyle w:val="Compact"/>
              <w:jc w:val="right"/>
            </w:pPr>
            <w:r>
              <w:t xml:space="preserve">513</w:t>
            </w:r>
          </w:p>
        </w:tc>
        <w:tc>
          <w:tcPr/>
          <w:p>
            <w:pPr>
              <w:pStyle w:val="Compact"/>
              <w:jc w:val="right"/>
            </w:pPr>
            <w:r>
              <w:t xml:space="preserve">11.8%</w:t>
            </w:r>
          </w:p>
        </w:tc>
      </w:tr>
      <w:tr>
        <w:tc>
          <w:tcPr/>
          <w:p>
            <w:pPr>
              <w:pStyle w:val="Compact"/>
              <w:jc w:val="left"/>
            </w:pPr>
            <w:r>
              <w:t xml:space="preserve">UNIAO</w:t>
            </w:r>
          </w:p>
        </w:tc>
        <w:tc>
          <w:tcPr/>
          <w:p>
            <w:pPr>
              <w:pStyle w:val="Compact"/>
              <w:jc w:val="right"/>
            </w:pPr>
            <w:r>
              <w:t xml:space="preserve">437</w:t>
            </w:r>
          </w:p>
        </w:tc>
        <w:tc>
          <w:tcPr/>
          <w:p>
            <w:pPr>
              <w:pStyle w:val="Compact"/>
              <w:jc w:val="right"/>
            </w:pPr>
            <w:r>
              <w:t xml:space="preserve">10.0%</w:t>
            </w:r>
          </w:p>
        </w:tc>
      </w:tr>
      <w:tr>
        <w:tc>
          <w:tcPr/>
          <w:p>
            <w:pPr>
              <w:pStyle w:val="Compact"/>
              <w:jc w:val="left"/>
            </w:pPr>
            <w:r>
              <w:t xml:space="preserve">INCRA</w:t>
            </w:r>
          </w:p>
        </w:tc>
        <w:tc>
          <w:tcPr/>
          <w:p>
            <w:pPr>
              <w:pStyle w:val="Compact"/>
              <w:jc w:val="right"/>
            </w:pPr>
            <w:r>
              <w:t xml:space="preserve">143</w:t>
            </w:r>
          </w:p>
        </w:tc>
        <w:tc>
          <w:tcPr/>
          <w:p>
            <w:pPr>
              <w:pStyle w:val="Compact"/>
              <w:jc w:val="right"/>
            </w:pPr>
            <w:r>
              <w:t xml:space="preserve">3.3%</w:t>
            </w:r>
          </w:p>
        </w:tc>
      </w:tr>
      <w:tr>
        <w:tc>
          <w:tcPr/>
          <w:p>
            <w:pPr>
              <w:pStyle w:val="Compact"/>
              <w:jc w:val="left"/>
            </w:pPr>
            <w:r>
              <w:t xml:space="preserve">FUNAI</w:t>
            </w:r>
          </w:p>
        </w:tc>
        <w:tc>
          <w:tcPr/>
          <w:p>
            <w:pPr>
              <w:pStyle w:val="Compact"/>
              <w:jc w:val="right"/>
            </w:pPr>
            <w:r>
              <w:t xml:space="preserve">121</w:t>
            </w:r>
          </w:p>
        </w:tc>
        <w:tc>
          <w:tcPr/>
          <w:p>
            <w:pPr>
              <w:pStyle w:val="Compact"/>
              <w:jc w:val="right"/>
            </w:pPr>
            <w:r>
              <w:t xml:space="preserve">2.8%</w:t>
            </w:r>
          </w:p>
        </w:tc>
      </w:tr>
      <w:tr>
        <w:tc>
          <w:tcPr/>
          <w:p>
            <w:pPr>
              <w:pStyle w:val="Compact"/>
              <w:jc w:val="left"/>
            </w:pPr>
            <w:r>
              <w:t xml:space="preserve">UNIVERSIDADE FEDERAL DO OESTE DO PARA</w:t>
            </w:r>
          </w:p>
        </w:tc>
        <w:tc>
          <w:tcPr/>
          <w:p>
            <w:pPr>
              <w:pStyle w:val="Compact"/>
              <w:jc w:val="right"/>
            </w:pPr>
            <w:r>
              <w:t xml:space="preserve">34</w:t>
            </w:r>
          </w:p>
        </w:tc>
        <w:tc>
          <w:tcPr/>
          <w:p>
            <w:pPr>
              <w:pStyle w:val="Compact"/>
              <w:jc w:val="right"/>
            </w:pPr>
            <w:r>
              <w:t xml:space="preserve">0.8%</w:t>
            </w:r>
          </w:p>
        </w:tc>
      </w:tr>
      <w:tr>
        <w:tc>
          <w:tcPr/>
          <w:p>
            <w:pPr>
              <w:pStyle w:val="Compact"/>
              <w:jc w:val="left"/>
            </w:pPr>
            <w:r>
              <w:t xml:space="preserve">CAIXA ECONOMICA FEDERAL</w:t>
            </w:r>
          </w:p>
        </w:tc>
        <w:tc>
          <w:tcPr/>
          <w:p>
            <w:pPr>
              <w:pStyle w:val="Compact"/>
              <w:jc w:val="right"/>
            </w:pPr>
            <w:r>
              <w:t xml:space="preserve">31</w:t>
            </w:r>
          </w:p>
        </w:tc>
        <w:tc>
          <w:tcPr/>
          <w:p>
            <w:pPr>
              <w:pStyle w:val="Compact"/>
              <w:jc w:val="right"/>
            </w:pPr>
            <w:r>
              <w:t xml:space="preserve">0.7%</w:t>
            </w:r>
          </w:p>
        </w:tc>
      </w:tr>
      <w:tr>
        <w:tc>
          <w:tcPr/>
          <w:p>
            <w:pPr>
              <w:pStyle w:val="Compact"/>
              <w:jc w:val="left"/>
            </w:pPr>
            <w:r>
              <w:t xml:space="preserve">DEPARTAMENTO NACIONAL DE PRODUCAO MINERAL DNPM</w:t>
            </w:r>
          </w:p>
        </w:tc>
        <w:tc>
          <w:tcPr/>
          <w:p>
            <w:pPr>
              <w:pStyle w:val="Compact"/>
              <w:jc w:val="right"/>
            </w:pPr>
            <w:r>
              <w:t xml:space="preserve">26</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2318</w:t>
            </w:r>
          </w:p>
        </w:tc>
        <w:tc>
          <w:tcPr/>
          <w:p>
            <w:pPr>
              <w:pStyle w:val="Compact"/>
              <w:jc w:val="right"/>
            </w:pPr>
            <w:r>
              <w:t xml:space="preserve">53.1%</w:t>
            </w:r>
          </w:p>
        </w:tc>
      </w:tr>
    </w:tbl>
    <w:bookmarkEnd w:id="84"/>
    <w:p>
      <w:pPr>
        <w:pStyle w:val="Corpodetexto"/>
      </w:pPr>
      <w:r>
        <w:t xml:space="preserve">A</w:t>
      </w:r>
      <w:r>
        <w:t xml:space="preserve"> </w:t>
      </w:r>
      <w:hyperlink w:anchor="tbl-litigantes-trf1-ativo">
        <w:r>
          <w:rPr>
            <w:rStyle w:val="Hyperlink"/>
          </w:rPr>
          <w:t xml:space="preserve">Tabela 23</w:t>
        </w:r>
      </w:hyperlink>
      <w:r>
        <w:t xml:space="preserve"> </w:t>
      </w:r>
      <w:r>
        <w:t xml:space="preserve">mostra os maiores litigantes no polo ativo. As formas de participação para determinar as partes no polo ativo foram:</w:t>
      </w:r>
      <w:r>
        <w:t xml:space="preserve"> </w:t>
      </w:r>
      <w:r>
        <w:t xml:space="preserve">“</w:t>
      </w:r>
      <w:r>
        <w:t xml:space="preserve">autor</w:t>
      </w:r>
      <w:r>
        <w:t xml:space="preserve">”</w:t>
      </w:r>
      <w:r>
        <w:t xml:space="preserve">,</w:t>
      </w:r>
      <w:r>
        <w:t xml:space="preserve"> </w:t>
      </w:r>
      <w:r>
        <w:t xml:space="preserve">“</w:t>
      </w:r>
      <w:r>
        <w:t xml:space="preserve">requerente</w:t>
      </w:r>
      <w:r>
        <w:t xml:space="preserve">”</w:t>
      </w:r>
      <w:r>
        <w:t xml:space="preserve">,</w:t>
      </w:r>
      <w:r>
        <w:t xml:space="preserve"> </w:t>
      </w:r>
      <w:r>
        <w:t xml:space="preserve">“</w:t>
      </w:r>
      <w:r>
        <w:t xml:space="preserve">exequente</w:t>
      </w:r>
      <w:r>
        <w:t xml:space="preserve">”</w:t>
      </w:r>
      <w:r>
        <w:t xml:space="preserve"> </w:t>
      </w:r>
      <w:r>
        <w:t xml:space="preserve">e</w:t>
      </w:r>
      <w:r>
        <w:t xml:space="preserve"> </w:t>
      </w:r>
      <w:r>
        <w:t xml:space="preserve">“</w:t>
      </w:r>
      <w:r>
        <w:t xml:space="preserve">impetrante</w:t>
      </w:r>
      <w:r>
        <w:t xml:space="preserve">”</w:t>
      </w:r>
      <w:r>
        <w:t xml:space="preserve">. Os nomes passaram por um processo de padronização, mas ainda podem estar com problemas de taxonomia.</w:t>
      </w:r>
    </w:p>
    <w:bookmarkStart w:id="85" w:name="tbl-litigantes-trf1-ativo"/>
    <w:p>
      <w:pPr>
        <w:pStyle w:val="TableCaption"/>
      </w:pPr>
      <w:r>
        <w:t xml:space="preserve">Tabela 23: Lista dos maiores litigantes no polo ativo, no TRF1 (base grande).</w:t>
      </w:r>
    </w:p>
    <w:tbl>
      <w:tblPr>
        <w:tblStyle w:val="Table"/>
        <w:tblW w:type="pct" w:w="5000"/>
        <w:tblLook w:firstRow="1" w:lastRow="0" w:firstColumn="0" w:lastColumn="0" w:noHBand="0" w:noVBand="0" w:val="0020"/>
        <w:jc w:val="start"/>
        <w:tblCaption w:val="Tabela 23: Lista dos maiores litigantes no polo ativo, no TRF1 (base grande)."/>
      </w:tblPr>
      <w:tblGrid>
        <w:gridCol w:w="6692"/>
        <w:gridCol w:w="557"/>
        <w:gridCol w:w="669"/>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MINISTERIO PUBLICO FEDERAL</w:t>
            </w:r>
          </w:p>
        </w:tc>
        <w:tc>
          <w:tcPr/>
          <w:p>
            <w:pPr>
              <w:pStyle w:val="Compact"/>
              <w:jc w:val="right"/>
            </w:pPr>
            <w:r>
              <w:t xml:space="preserve">279</w:t>
            </w:r>
          </w:p>
        </w:tc>
        <w:tc>
          <w:tcPr/>
          <w:p>
            <w:pPr>
              <w:pStyle w:val="Compact"/>
              <w:jc w:val="right"/>
            </w:pPr>
            <w:r>
              <w:t xml:space="preserve">8.8%</w:t>
            </w:r>
          </w:p>
        </w:tc>
      </w:tr>
      <w:tr>
        <w:tc>
          <w:tcPr/>
          <w:p>
            <w:pPr>
              <w:pStyle w:val="Compact"/>
              <w:jc w:val="left"/>
            </w:pPr>
            <w:r>
              <w:t xml:space="preserve">IBAMA</w:t>
            </w:r>
          </w:p>
        </w:tc>
        <w:tc>
          <w:tcPr/>
          <w:p>
            <w:pPr>
              <w:pStyle w:val="Compact"/>
              <w:jc w:val="right"/>
            </w:pPr>
            <w:r>
              <w:t xml:space="preserve">169</w:t>
            </w:r>
          </w:p>
        </w:tc>
        <w:tc>
          <w:tcPr/>
          <w:p>
            <w:pPr>
              <w:pStyle w:val="Compact"/>
              <w:jc w:val="right"/>
            </w:pPr>
            <w:r>
              <w:t xml:space="preserve">5.3%</w:t>
            </w:r>
          </w:p>
        </w:tc>
      </w:tr>
      <w:tr>
        <w:tc>
          <w:tcPr/>
          <w:p>
            <w:pPr>
              <w:pStyle w:val="Compact"/>
              <w:jc w:val="left"/>
            </w:pPr>
            <w:r>
              <w:t xml:space="preserve">UNIAO</w:t>
            </w:r>
          </w:p>
        </w:tc>
        <w:tc>
          <w:tcPr/>
          <w:p>
            <w:pPr>
              <w:pStyle w:val="Compact"/>
              <w:jc w:val="right"/>
            </w:pPr>
            <w:r>
              <w:t xml:space="preserve">127</w:t>
            </w:r>
          </w:p>
        </w:tc>
        <w:tc>
          <w:tcPr/>
          <w:p>
            <w:pPr>
              <w:pStyle w:val="Compact"/>
              <w:jc w:val="right"/>
            </w:pPr>
            <w:r>
              <w:t xml:space="preserve">4.0%</w:t>
            </w:r>
          </w:p>
        </w:tc>
      </w:tr>
      <w:tr>
        <w:tc>
          <w:tcPr/>
          <w:p>
            <w:pPr>
              <w:pStyle w:val="Compact"/>
              <w:jc w:val="left"/>
            </w:pPr>
            <w:r>
              <w:t xml:space="preserve">DEPARTAMENTO NACIONAL DE PRODUCAO MINERAL DNPM</w:t>
            </w:r>
          </w:p>
        </w:tc>
        <w:tc>
          <w:tcPr/>
          <w:p>
            <w:pPr>
              <w:pStyle w:val="Compact"/>
              <w:jc w:val="right"/>
            </w:pPr>
            <w:r>
              <w:t xml:space="preserve">78</w:t>
            </w:r>
          </w:p>
        </w:tc>
        <w:tc>
          <w:tcPr/>
          <w:p>
            <w:pPr>
              <w:pStyle w:val="Compact"/>
              <w:jc w:val="right"/>
            </w:pPr>
            <w:r>
              <w:t xml:space="preserve">2.5%</w:t>
            </w:r>
          </w:p>
        </w:tc>
      </w:tr>
      <w:tr>
        <w:tc>
          <w:tcPr/>
          <w:p>
            <w:pPr>
              <w:pStyle w:val="Compact"/>
              <w:jc w:val="left"/>
            </w:pPr>
            <w:r>
              <w:t xml:space="preserve">AGENCIA NACIONAL DE MINERACAO</w:t>
            </w:r>
          </w:p>
        </w:tc>
        <w:tc>
          <w:tcPr/>
          <w:p>
            <w:pPr>
              <w:pStyle w:val="Compact"/>
              <w:jc w:val="right"/>
            </w:pPr>
            <w:r>
              <w:t xml:space="preserve">42</w:t>
            </w:r>
          </w:p>
        </w:tc>
        <w:tc>
          <w:tcPr/>
          <w:p>
            <w:pPr>
              <w:pStyle w:val="Compact"/>
              <w:jc w:val="right"/>
            </w:pPr>
            <w:r>
              <w:t xml:space="preserve">1.3%</w:t>
            </w:r>
          </w:p>
        </w:tc>
      </w:tr>
      <w:tr>
        <w:tc>
          <w:tcPr/>
          <w:p>
            <w:pPr>
              <w:pStyle w:val="Compact"/>
              <w:jc w:val="left"/>
            </w:pPr>
            <w:r>
              <w:t xml:space="preserve">CAIXA ECONOMICA FEDERAL</w:t>
            </w:r>
          </w:p>
        </w:tc>
        <w:tc>
          <w:tcPr/>
          <w:p>
            <w:pPr>
              <w:pStyle w:val="Compact"/>
              <w:jc w:val="right"/>
            </w:pPr>
            <w:r>
              <w:t xml:space="preserve">34</w:t>
            </w:r>
          </w:p>
        </w:tc>
        <w:tc>
          <w:tcPr/>
          <w:p>
            <w:pPr>
              <w:pStyle w:val="Compact"/>
              <w:jc w:val="right"/>
            </w:pPr>
            <w:r>
              <w:t xml:space="preserve">1.1%</w:t>
            </w:r>
          </w:p>
        </w:tc>
      </w:tr>
      <w:tr>
        <w:tc>
          <w:tcPr/>
          <w:p>
            <w:pPr>
              <w:pStyle w:val="Compact"/>
              <w:jc w:val="left"/>
            </w:pPr>
            <w:r>
              <w:t xml:space="preserve">DEPARTAMENTO NACIONAL DE INFRAESTRUTURA DE TRANSPORTES DNIT</w:t>
            </w:r>
          </w:p>
        </w:tc>
        <w:tc>
          <w:tcPr/>
          <w:p>
            <w:pPr>
              <w:pStyle w:val="Compact"/>
              <w:jc w:val="right"/>
            </w:pPr>
            <w:r>
              <w:t xml:space="preserve">27</w:t>
            </w:r>
          </w:p>
        </w:tc>
        <w:tc>
          <w:tcPr/>
          <w:p>
            <w:pPr>
              <w:pStyle w:val="Compact"/>
              <w:jc w:val="right"/>
            </w:pPr>
            <w:r>
              <w:t xml:space="preserve">0.8%</w:t>
            </w:r>
          </w:p>
        </w:tc>
      </w:tr>
      <w:tr>
        <w:tc>
          <w:tcPr/>
          <w:p>
            <w:pPr>
              <w:pStyle w:val="Compact"/>
              <w:jc w:val="left"/>
            </w:pPr>
            <w:r>
              <w:t xml:space="preserve">INCRA</w:t>
            </w:r>
          </w:p>
        </w:tc>
        <w:tc>
          <w:tcPr/>
          <w:p>
            <w:pPr>
              <w:pStyle w:val="Compact"/>
              <w:jc w:val="right"/>
            </w:pPr>
            <w:r>
              <w:t xml:space="preserve">24</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2401</w:t>
            </w:r>
          </w:p>
        </w:tc>
        <w:tc>
          <w:tcPr/>
          <w:p>
            <w:pPr>
              <w:pStyle w:val="Compact"/>
              <w:jc w:val="right"/>
            </w:pPr>
            <w:r>
              <w:t xml:space="preserve">75.5%</w:t>
            </w:r>
          </w:p>
        </w:tc>
      </w:tr>
    </w:tbl>
    <w:bookmarkEnd w:id="85"/>
    <w:bookmarkEnd w:id="86"/>
    <w:bookmarkStart w:id="87" w:name="discussão-1"/>
    <w:p>
      <w:pPr>
        <w:pStyle w:val="Ttulo3"/>
      </w:pPr>
      <w:r>
        <w:t xml:space="preserve">Discussão</w:t>
      </w:r>
    </w:p>
    <w:p>
      <w:pPr>
        <w:pStyle w:val="FirstParagraph"/>
      </w:pPr>
      <w:r>
        <w:t xml:space="preserve">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bookmarkEnd w:id="87"/>
    <w:bookmarkEnd w:id="88"/>
    <w:bookmarkStart w:id="90" w:name="questão-5"/>
    <w:p>
      <w:pPr>
        <w:pStyle w:val="Ttulo2"/>
      </w:pPr>
      <w:r>
        <w:t xml:space="preserve">Questão 5</w:t>
      </w:r>
    </w:p>
    <w:p>
      <w:pPr>
        <w:pStyle w:val="FirstParagraph"/>
      </w:pPr>
      <w:r>
        <w:rPr>
          <w:bCs/>
          <w:b/>
        </w:rPr>
        <w:t xml:space="preserve">Questão</w:t>
      </w:r>
      <w:r>
        <w:t xml:space="preserve">: Existem padrões identificáveis nos casos judicializados quanto às circunstâncias, características dos autores, modalidades e tipos de crimes ambientais?</w:t>
      </w:r>
    </w:p>
    <w:bookmarkStart w:id="89" w:name="discussão-2"/>
    <w:p>
      <w:pPr>
        <w:pStyle w:val="Ttulo3"/>
      </w:pPr>
      <w:r>
        <w:t xml:space="preserve">Discussão</w:t>
      </w:r>
    </w:p>
    <w:p>
      <w:pPr>
        <w:pStyle w:val="FirstParagraph"/>
      </w:pPr>
      <w:r>
        <w:t xml:space="preserve">Esta questão foi discutida nas análises das questões 1 e 2.</w:t>
      </w:r>
    </w:p>
    <w:bookmarkEnd w:id="89"/>
    <w:bookmarkEnd w:id="90"/>
    <w:bookmarkStart w:id="92" w:name="questão-8"/>
    <w:p>
      <w:pPr>
        <w:pStyle w:val="Ttulo2"/>
      </w:pPr>
      <w:r>
        <w:t xml:space="preserve">Questão 8</w:t>
      </w:r>
    </w:p>
    <w:p>
      <w:pPr>
        <w:pStyle w:val="FirstParagraph"/>
      </w:pPr>
      <w:r>
        <w:rPr>
          <w:bCs/>
          <w:b/>
        </w:rPr>
        <w:t xml:space="preserve">Questão</w:t>
      </w:r>
      <w:r>
        <w:t xml:space="preserve">: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bookmarkStart w:id="91" w:name="discussão-3"/>
    <w:p>
      <w:pPr>
        <w:pStyle w:val="Ttulo3"/>
      </w:pPr>
      <w:r>
        <w:t xml:space="preserve">Discussão</w:t>
      </w:r>
    </w:p>
    <w:p>
      <w:pPr>
        <w:pStyle w:val="FirstParagraph"/>
      </w:pPr>
      <w:r>
        <w:t xml:space="preserve">Esta questão foi discutida na análise da questão 2. A</w:t>
      </w:r>
      <w:r>
        <w:t xml:space="preserve"> </w:t>
      </w:r>
      <w:hyperlink w:anchor="tbl-cnae">
        <w:r>
          <w:rPr>
            <w:rStyle w:val="Hyperlink"/>
          </w:rPr>
          <w:t xml:space="preserve">Tabela 21</w:t>
        </w:r>
      </w:hyperlink>
      <w:r>
        <w:t xml:space="preserve"> </w:t>
      </w:r>
      <w:r>
        <w:t xml:space="preserve">mostra que os tipos empresariais mais comuns no polo passivo são empresas de energia, metalurgia e desdobramento de madeira, além de comércio de ferragens e transporte de carga.</w:t>
      </w:r>
    </w:p>
    <w:bookmarkEnd w:id="91"/>
    <w:bookmarkEnd w:id="92"/>
    <w:bookmarkStart w:id="105" w:name="questão-12"/>
    <w:p>
      <w:pPr>
        <w:pStyle w:val="Ttulo2"/>
      </w:pPr>
      <w:r>
        <w:t xml:space="preserve">Questão 12</w:t>
      </w:r>
    </w:p>
    <w:p>
      <w:pPr>
        <w:pStyle w:val="FirstParagraph"/>
      </w:pPr>
      <w:r>
        <w:rPr>
          <w:bCs/>
          <w:b/>
        </w:rPr>
        <w:t xml:space="preserve">Questão</w:t>
      </w:r>
      <w:r>
        <w:t xml:space="preserve">: Há correlação entre a incidência de crimes contra a vida ou ameaça em regiões de alta ocorrência de desmatamento, ou mineração ilegal ou crimes ambientais em geral?</w:t>
      </w:r>
    </w:p>
    <w:p>
      <w:pPr>
        <w:pStyle w:val="Corpodetexto"/>
      </w:pPr>
      <w:r>
        <w:t xml:space="preserve">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w:t>
      </w:r>
    </w:p>
    <w:p>
      <w:pPr>
        <w:pStyle w:val="Corpodetexto"/>
      </w:pPr>
      <w:r>
        <w:t xml:space="preserve">O SINESP por município mostra somente as informações de homicídios dolosos. Ou seja, a base não envolve casos de ameaça. Consideramos o ano de 2021 como referência, que é o ano mais recente com informações completas. A taxa de criminalidade do município foi calculada fazendo-se a razão do número de vítimas por habitante, utilizando os dados de população do Censo de 2010.</w:t>
      </w:r>
    </w:p>
    <w:bookmarkStart w:id="97" w:name="sirenejud-3"/>
    <w:p>
      <w:pPr>
        <w:pStyle w:val="Ttulo3"/>
      </w:pPr>
      <w:r>
        <w:t xml:space="preserve">SireneJud</w:t>
      </w:r>
    </w:p>
    <w:p>
      <w:pPr>
        <w:pStyle w:val="FirstParagraph"/>
      </w:pPr>
      <w:r>
        <w:t xml:space="preserve">A</w:t>
      </w:r>
      <w:r>
        <w:t xml:space="preserve"> </w:t>
      </w:r>
      <w:hyperlink w:anchor="fig-dispersao-crim-sirenejud">
        <w:r>
          <w:rPr>
            <w:rStyle w:val="Hyperlink"/>
          </w:rPr>
          <w:t xml:space="preserve">Figura 7</w:t>
        </w:r>
      </w:hyperlink>
      <w:r>
        <w:t xml:space="preserve"> </w:t>
      </w:r>
      <w:r>
        <w:t xml:space="preserve">mostra um gráfico de dispersão da taxa de criminalidade comparada com a litigiosidade dos municípios, considerando a base do SireneJud como fonte. Aparentemente,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96" w:name="fig-dispersao-crim-sirenejud"/>
          <w:p>
            <w:pPr>
              <w:jc w:val="center"/>
            </w:pPr>
            <w:r>
              <w:drawing>
                <wp:inline>
                  <wp:extent cx="4620126" cy="3696101"/>
                  <wp:effectExtent b="0" l="0" r="0" t="0"/>
                  <wp:docPr descr="" title="" id="94" name="Picture"/>
                  <a:graphic>
                    <a:graphicData uri="http://schemas.openxmlformats.org/drawingml/2006/picture">
                      <pic:pic>
                        <pic:nvPicPr>
                          <pic:cNvPr descr="2-descritiva_files/figure-docx/fig-dispersao-crim-sirenejud-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Gráfico de dispersão da taxa de homicídios e litigiosidade.</w:t>
            </w:r>
          </w:p>
          <w:bookmarkEnd w:id="96"/>
        </w:tc>
      </w:tr>
    </w:tbl>
    <w:bookmarkEnd w:id="97"/>
    <w:bookmarkStart w:id="102" w:name="datajud-3"/>
    <w:p>
      <w:pPr>
        <w:pStyle w:val="Ttulo3"/>
      </w:pPr>
      <w:r>
        <w:t xml:space="preserve">DataJud</w:t>
      </w:r>
    </w:p>
    <w:p>
      <w:pPr>
        <w:pStyle w:val="FirstParagraph"/>
      </w:pPr>
      <w:r>
        <w:t xml:space="preserve">A</w:t>
      </w:r>
      <w:r>
        <w:t xml:space="preserve"> </w:t>
      </w:r>
      <w:hyperlink w:anchor="fig-dispersao-crim-datajud">
        <w:r>
          <w:rPr>
            <w:rStyle w:val="Hyperlink"/>
          </w:rPr>
          <w:t xml:space="preserve">Figura 8</w:t>
        </w:r>
      </w:hyperlink>
      <w:r>
        <w:t xml:space="preserve"> </w:t>
      </w:r>
      <w:r>
        <w:t xml:space="preserve">mostra um gráfico de dispersão da taxa de criminalidade comparada com a litigiosidade dos municípios, considerando a base do DataJud como fonte. Aparentemente, também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101" w:name="fig-dispersao-crim-datajud"/>
          <w:p>
            <w:pPr>
              <w:jc w:val="center"/>
            </w:pPr>
            <w:r>
              <w:drawing>
                <wp:inline>
                  <wp:extent cx="4620126" cy="3696101"/>
                  <wp:effectExtent b="0" l="0" r="0" t="0"/>
                  <wp:docPr descr="" title="" id="99" name="Picture"/>
                  <a:graphic>
                    <a:graphicData uri="http://schemas.openxmlformats.org/drawingml/2006/picture">
                      <pic:pic>
                        <pic:nvPicPr>
                          <pic:cNvPr descr="2-descritiva_files/figure-docx/fig-dispersao-crim-datajud-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Gráfico de dispersão da taxa de homicídios e litigiosidade.</w:t>
            </w:r>
          </w:p>
          <w:bookmarkEnd w:id="101"/>
        </w:tc>
      </w:tr>
    </w:tbl>
    <w:bookmarkEnd w:id="102"/>
    <w:bookmarkStart w:id="103" w:name="trf1-3"/>
    <w:p>
      <w:pPr>
        <w:pStyle w:val="Ttulo3"/>
      </w:pPr>
      <w:r>
        <w:t xml:space="preserve">TRF1</w:t>
      </w:r>
    </w:p>
    <w:p>
      <w:pPr>
        <w:pStyle w:val="FirstParagraph"/>
      </w:pPr>
      <w:r>
        <w:t xml:space="preserve">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bookmarkEnd w:id="103"/>
    <w:bookmarkStart w:id="104" w:name="discussão-4"/>
    <w:p>
      <w:pPr>
        <w:pStyle w:val="Ttulo3"/>
      </w:pPr>
      <w:r>
        <w:t xml:space="preserve">Discussão</w:t>
      </w:r>
    </w:p>
    <w:p>
      <w:pPr>
        <w:pStyle w:val="FirstParagraph"/>
      </w:pPr>
      <w:r>
        <w:t xml:space="preserve">Nas análises realizadas, não foi identificada uma relação entre índice de homicídios e litigiosidade.</w:t>
      </w:r>
    </w:p>
    <w:bookmarkEnd w:id="104"/>
    <w:bookmarkEnd w:id="105"/>
    <w:bookmarkStart w:id="154" w:name="questão-14"/>
    <w:p>
      <w:pPr>
        <w:pStyle w:val="Ttulo2"/>
      </w:pPr>
      <w:r>
        <w:t xml:space="preserve">Questão 14</w:t>
      </w:r>
    </w:p>
    <w:p>
      <w:pPr>
        <w:pStyle w:val="FirstParagraph"/>
      </w:pPr>
      <w:r>
        <w:rPr>
          <w:bCs/>
          <w:b/>
        </w:rPr>
        <w:t xml:space="preserve">Questão</w:t>
      </w:r>
      <w:r>
        <w:t xml:space="preserve">: Qual o tempo de duração médio das ações criminais que envolvam a temática ambiental?</w:t>
      </w:r>
    </w:p>
    <w:p>
      <w:pPr>
        <w:pStyle w:val="Corpodetexto"/>
      </w:pPr>
      <w:r>
        <w:t xml:space="preserve">Como temos processos em andamento, a forma adequada de analisar os tempos é utilizando análise de sobrevivência</w:t>
      </w:r>
      <w:r>
        <w:t xml:space="preserve"> </w:t>
      </w:r>
      <w:r>
        <w:t xml:space="preserve">(Colosimo e Giolo 2006)</w:t>
      </w:r>
      <w:r>
        <w:t xml:space="preserve">. Faremos isso utilizando gráficos descritivos de Kaplan Meier.</w:t>
      </w:r>
    </w:p>
    <w:bookmarkStart w:id="126" w:name="sirenejud-4"/>
    <w:p>
      <w:pPr>
        <w:pStyle w:val="Ttulo3"/>
      </w:pPr>
      <w:r>
        <w:t xml:space="preserve">SireneJud</w:t>
      </w:r>
    </w:p>
    <w:p>
      <w:pPr>
        <w:pStyle w:val="FirstParagraph"/>
      </w:pPr>
      <w:r>
        <w:t xml:space="preserve">O resultado geral é mostrado na</w:t>
      </w:r>
      <w:r>
        <w:t xml:space="preserve"> </w:t>
      </w:r>
      <w:hyperlink w:anchor="fig-km">
        <w:r>
          <w:rPr>
            <w:rStyle w:val="Hyperlink"/>
          </w:rPr>
          <w:t xml:space="preserve">Figura 9</w:t>
        </w:r>
      </w:hyperlink>
      <w:r>
        <w:t xml:space="preserve">. Foram retirados tempos maiores de 10 mil dias e tempos menores que zero. A mediana é de aproximadamente 81 meses, ou seja, quase 7 anos.</w:t>
      </w:r>
    </w:p>
    <w:tbl>
      <w:tblPr>
        <w:tblStyle w:val="Table"/>
        <w:tblW w:type="pct" w:w="5000"/>
        <w:tblLook w:firstRow="0" w:lastRow="0" w:firstColumn="0" w:lastColumn="0" w:noHBand="0" w:noVBand="0" w:val="0000"/>
        <w:jc w:val="start"/>
      </w:tblPr>
      <w:tblGrid>
        <w:gridCol w:w="7920"/>
      </w:tblGrid>
      <w:tr>
        <w:tc>
          <w:tcPr/>
          <w:bookmarkStart w:id="109" w:name="fig-km"/>
          <w:p>
            <w:pPr>
              <w:jc w:val="center"/>
            </w:pPr>
            <w:r>
              <w:drawing>
                <wp:inline>
                  <wp:extent cx="4620126" cy="3696101"/>
                  <wp:effectExtent b="0" l="0" r="0" t="0"/>
                  <wp:docPr descr="" title="" id="107" name="Picture"/>
                  <a:graphic>
                    <a:graphicData uri="http://schemas.openxmlformats.org/drawingml/2006/picture">
                      <pic:pic>
                        <pic:nvPicPr>
                          <pic:cNvPr descr="2-descritiva_files/figure-docx/fig-km-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9: Curva de sobrevivência dos tempos de tramitação dos processos</w:t>
            </w:r>
          </w:p>
          <w:bookmarkEnd w:id="109"/>
        </w:tc>
      </w:tr>
    </w:tbl>
    <w:p>
      <w:pPr>
        <w:pStyle w:val="Corpodetexto"/>
      </w:pPr>
      <w:r>
        <w:t xml:space="preserve">A</w:t>
      </w:r>
      <w:r>
        <w:t xml:space="preserve"> </w:t>
      </w:r>
      <w:hyperlink w:anchor="fig-km-assunto">
        <w:r>
          <w:rPr>
            <w:rStyle w:val="Hyperlink"/>
          </w:rPr>
          <w:t xml:space="preserve">Figura 10</w:t>
        </w:r>
      </w:hyperlink>
      <w:r>
        <w:t xml:space="preserve"> </w:t>
      </w:r>
      <w:r>
        <w:t xml:space="preserve">mostra a distribuição dos tempos por assunto, considerando os cinco assuntos com maior volume de processos. As curvas são parecidas em forma e apresentam medianas similares.</w:t>
      </w:r>
    </w:p>
    <w:tbl>
      <w:tblPr>
        <w:tblStyle w:val="Table"/>
        <w:tblW w:type="pct" w:w="5000"/>
        <w:tblLook w:firstRow="0" w:lastRow="0" w:firstColumn="0" w:lastColumn="0" w:noHBand="0" w:noVBand="0" w:val="0000"/>
        <w:jc w:val="start"/>
      </w:tblPr>
      <w:tblGrid>
        <w:gridCol w:w="7920"/>
      </w:tblGrid>
      <w:tr>
        <w:tc>
          <w:tcPr/>
          <w:bookmarkStart w:id="113" w:name="fig-km-assunto"/>
          <w:p>
            <w:pPr>
              <w:jc w:val="center"/>
            </w:pPr>
            <w:r>
              <w:drawing>
                <wp:inline>
                  <wp:extent cx="5969000" cy="3979333"/>
                  <wp:effectExtent b="0" l="0" r="0" t="0"/>
                  <wp:docPr descr="" title="" id="111" name="Picture"/>
                  <a:graphic>
                    <a:graphicData uri="http://schemas.openxmlformats.org/drawingml/2006/picture">
                      <pic:pic>
                        <pic:nvPicPr>
                          <pic:cNvPr descr="2-descritiva_files/figure-docx/fig-km-assunto-1.png" id="112" name="Picture"/>
                          <pic:cNvPicPr>
                            <a:picLocks noChangeArrowheads="1" noChangeAspect="1"/>
                          </pic:cNvPicPr>
                        </pic:nvPicPr>
                        <pic:blipFill>
                          <a:blip r:embed="rId110"/>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Curva de sobrevivência dos tempos de tramitação dos processos, por assunto</w:t>
            </w:r>
          </w:p>
          <w:bookmarkEnd w:id="113"/>
        </w:tc>
      </w:tr>
    </w:tbl>
    <w:p>
      <w:pPr>
        <w:pStyle w:val="Corpodetexto"/>
      </w:pPr>
      <w:r>
        <w:t xml:space="preserve">A</w:t>
      </w:r>
      <w:r>
        <w:t xml:space="preserve"> </w:t>
      </w:r>
      <w:hyperlink w:anchor="fig-km-classe">
        <w:r>
          <w:rPr>
            <w:rStyle w:val="Hyperlink"/>
          </w:rPr>
          <w:t xml:space="preserve">Figura 11</w:t>
        </w:r>
      </w:hyperlink>
      <w:r>
        <w:t xml:space="preserve"> </w:t>
      </w:r>
      <w:r>
        <w:t xml:space="preserve">mostra os tempos por classe processual. A classe com maior tempo mediano é a execução fiscal, com 189 meses, enquanto a classe com menor tempo mediano é o procedimento comum cível, com 26 meses de duração.</w:t>
      </w:r>
    </w:p>
    <w:tbl>
      <w:tblPr>
        <w:tblStyle w:val="Table"/>
        <w:tblW w:type="pct" w:w="5000"/>
        <w:tblLook w:firstRow="0" w:lastRow="0" w:firstColumn="0" w:lastColumn="0" w:noHBand="0" w:noVBand="0" w:val="0000"/>
        <w:jc w:val="start"/>
      </w:tblPr>
      <w:tblGrid>
        <w:gridCol w:w="7920"/>
      </w:tblGrid>
      <w:tr>
        <w:tc>
          <w:tcPr/>
          <w:bookmarkStart w:id="117" w:name="fig-km-classe"/>
          <w:p>
            <w:pPr>
              <w:jc w:val="center"/>
            </w:pPr>
            <w:r>
              <w:drawing>
                <wp:inline>
                  <wp:extent cx="5969000" cy="3979333"/>
                  <wp:effectExtent b="0" l="0" r="0" t="0"/>
                  <wp:docPr descr="" title="" id="115" name="Picture"/>
                  <a:graphic>
                    <a:graphicData uri="http://schemas.openxmlformats.org/drawingml/2006/picture">
                      <pic:pic>
                        <pic:nvPicPr>
                          <pic:cNvPr descr="2-descritiva_files/figure-docx/fig-km-classe-1.png" id="116" name="Picture"/>
                          <pic:cNvPicPr>
                            <a:picLocks noChangeArrowheads="1" noChangeAspect="1"/>
                          </pic:cNvPicPr>
                        </pic:nvPicPr>
                        <pic:blipFill>
                          <a:blip r:embed="rId11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11: Curva de sobrevivência dos tempos de tramitação dos processos, por classe</w:t>
            </w:r>
          </w:p>
          <w:bookmarkEnd w:id="117"/>
        </w:tc>
      </w:tr>
    </w:tbl>
    <w:p>
      <w:pPr>
        <w:pStyle w:val="Corpodetexto"/>
      </w:pPr>
      <w:r>
        <w:t xml:space="preserve">A</w:t>
      </w:r>
      <w:r>
        <w:t xml:space="preserve"> </w:t>
      </w:r>
      <w:hyperlink w:anchor="fig-km-tribunal">
        <w:r>
          <w:rPr>
            <w:rStyle w:val="Hyperlink"/>
          </w:rPr>
          <w:t xml:space="preserve">Figura 12</w:t>
        </w:r>
      </w:hyperlink>
      <w:r>
        <w:t xml:space="preserve"> </w:t>
      </w:r>
      <w:r>
        <w:t xml:space="preserve">mostra os tempos por tribunal. Por serem 10 categorias, é um pouco difícil de visualizar todas as curvas. O tribunal com mnor mediana de tempo é o TJRO, com mediana de 43 meses, enquanto o tribunal com maior tempo é o TJMT, com mediana de 100 meses.</w:t>
      </w:r>
    </w:p>
    <w:p>
      <w:pPr>
        <w:pStyle w:val="SourceCode"/>
      </w:pPr>
      <w:r>
        <w:rPr>
          <w:rStyle w:val="VerbatimChar"/>
        </w:rPr>
        <w:t xml:space="preserve">Warning: There was 1 warning in `dplyr::mutate()`.</w:t>
      </w:r>
      <w:r>
        <w:br/>
      </w:r>
      <w:r>
        <w:rPr>
          <w:rStyle w:val="VerbatimChar"/>
        </w:rPr>
        <w:t xml:space="preserve">ℹ In argument: `assunto = stringr::str_wrap(sgt_nm_assunto, 20)`.</w:t>
      </w:r>
      <w:r>
        <w:br/>
      </w:r>
      <w:r>
        <w:rPr>
          <w:rStyle w:val="VerbatimChar"/>
        </w:rPr>
        <w:t xml:space="preserve">Caused by warning in `stri_split_lines()`:</w:t>
      </w:r>
      <w:r>
        <w:br/>
      </w:r>
      <w:r>
        <w:rPr>
          <w:rStyle w:val="VerbatimChar"/>
        </w:rPr>
        <w:t xml:space="preserve">! argument is not an atomic vector; coercing</w:t>
      </w:r>
    </w:p>
    <w:tbl>
      <w:tblPr>
        <w:tblStyle w:val="Table"/>
        <w:tblW w:type="pct" w:w="5000"/>
        <w:tblLook w:firstRow="0" w:lastRow="0" w:firstColumn="0" w:lastColumn="0" w:noHBand="0" w:noVBand="0" w:val="0000"/>
        <w:jc w:val="start"/>
      </w:tblPr>
      <w:tblGrid>
        <w:gridCol w:w="7920"/>
      </w:tblGrid>
      <w:tr>
        <w:tc>
          <w:tcPr/>
          <w:bookmarkStart w:id="121" w:name="fig-km-tribunal"/>
          <w:p>
            <w:pPr>
              <w:jc w:val="center"/>
            </w:pPr>
            <w:r>
              <w:drawing>
                <wp:inline>
                  <wp:extent cx="5969000" cy="3979333"/>
                  <wp:effectExtent b="0" l="0" r="0" t="0"/>
                  <wp:docPr descr="" title="" id="119" name="Picture"/>
                  <a:graphic>
                    <a:graphicData uri="http://schemas.openxmlformats.org/drawingml/2006/picture">
                      <pic:pic>
                        <pic:nvPicPr>
                          <pic:cNvPr descr="2-descritiva_files/figure-docx/fig-km-tribunal-1.png" id="120" name="Picture"/>
                          <pic:cNvPicPr>
                            <a:picLocks noChangeArrowheads="1" noChangeAspect="1"/>
                          </pic:cNvPicPr>
                        </pic:nvPicPr>
                        <pic:blipFill>
                          <a:blip r:embed="rId11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12: Curva de sobrevivência dos tempos de tramitação dos processos, por tribunal</w:t>
            </w:r>
          </w:p>
          <w:bookmarkEnd w:id="121"/>
        </w:tc>
      </w:tr>
    </w:tbl>
    <w:p>
      <w:pPr>
        <w:pStyle w:val="Corpodetexto"/>
      </w:pPr>
      <w:r>
        <w:t xml:space="preserve">A</w:t>
      </w:r>
      <w:r>
        <w:t xml:space="preserve"> </w:t>
      </w:r>
      <w:hyperlink w:anchor="fig-km-municipio">
        <w:r>
          <w:rPr>
            <w:rStyle w:val="Hyperlink"/>
          </w:rPr>
          <w:t xml:space="preserve">Figura 13</w:t>
        </w:r>
      </w:hyperlink>
      <w:r>
        <w:t xml:space="preserve"> </w:t>
      </w:r>
      <w:r>
        <w:t xml:space="preserve">mostra os tempos por município. O município com maior tempo mediano é Altamira, com 130 meses, enquanto o município com menor tempo mediano é Barcarena, com 24 meses de duração.</w:t>
      </w:r>
    </w:p>
    <w:tbl>
      <w:tblPr>
        <w:tblStyle w:val="Table"/>
        <w:tblW w:type="pct" w:w="5000"/>
        <w:tblLook w:firstRow="0" w:lastRow="0" w:firstColumn="0" w:lastColumn="0" w:noHBand="0" w:noVBand="0" w:val="0000"/>
        <w:jc w:val="start"/>
      </w:tblPr>
      <w:tblGrid>
        <w:gridCol w:w="7920"/>
      </w:tblGrid>
      <w:tr>
        <w:tc>
          <w:tcPr/>
          <w:bookmarkStart w:id="125" w:name="fig-km-municipio"/>
          <w:p>
            <w:pPr>
              <w:jc w:val="center"/>
            </w:pPr>
            <w:r>
              <w:drawing>
                <wp:inline>
                  <wp:extent cx="5969000" cy="3979333"/>
                  <wp:effectExtent b="0" l="0" r="0" t="0"/>
                  <wp:docPr descr="" title="" id="123" name="Picture"/>
                  <a:graphic>
                    <a:graphicData uri="http://schemas.openxmlformats.org/drawingml/2006/picture">
                      <pic:pic>
                        <pic:nvPicPr>
                          <pic:cNvPr descr="2-descritiva_files/figure-docx/fig-km-municipio-1.png" id="124" name="Picture"/>
                          <pic:cNvPicPr>
                            <a:picLocks noChangeArrowheads="1" noChangeAspect="1"/>
                          </pic:cNvPicPr>
                        </pic:nvPicPr>
                        <pic:blipFill>
                          <a:blip r:embed="rId122"/>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13: Curva de sobrevivência dos tempos de tramitação dos processos, por município</w:t>
            </w:r>
          </w:p>
          <w:bookmarkEnd w:id="125"/>
        </w:tc>
      </w:tr>
    </w:tbl>
    <w:bookmarkEnd w:id="126"/>
    <w:bookmarkStart w:id="143" w:name="datajud-4"/>
    <w:p>
      <w:pPr>
        <w:pStyle w:val="Ttulo3"/>
      </w:pPr>
      <w:r>
        <w:t xml:space="preserve">DataJud</w:t>
      </w:r>
    </w:p>
    <w:p>
      <w:pPr>
        <w:pStyle w:val="FirstParagraph"/>
      </w:pPr>
      <w:r>
        <w:t xml:space="preserve">No DataJud, o tempo foi calculado fazendo-se a diferença entre a data de última baixa e a data do primeiro recebimento. O resultado geral é mostrado na</w:t>
      </w:r>
      <w:r>
        <w:t xml:space="preserve"> </w:t>
      </w:r>
      <w:hyperlink w:anchor="fig-km-datajud">
        <w:r>
          <w:rPr>
            <w:rStyle w:val="Hyperlink"/>
          </w:rPr>
          <w:t xml:space="preserve">Figura 14</w:t>
        </w:r>
      </w:hyperlink>
      <w:r>
        <w:t xml:space="preserve">. Foram retirados tempos maiores de 10 mil dias e tempos menores que zero. A mediana é de aproximadamente 37 meses, pouco mais de 3 anos.</w:t>
      </w:r>
    </w:p>
    <w:tbl>
      <w:tblPr>
        <w:tblStyle w:val="Table"/>
        <w:tblW w:type="pct" w:w="5000"/>
        <w:tblLook w:firstRow="0" w:lastRow="0" w:firstColumn="0" w:lastColumn="0" w:noHBand="0" w:noVBand="0" w:val="0000"/>
        <w:jc w:val="start"/>
      </w:tblPr>
      <w:tblGrid>
        <w:gridCol w:w="7920"/>
      </w:tblGrid>
      <w:tr>
        <w:tc>
          <w:tcPr/>
          <w:bookmarkStart w:id="130" w:name="fig-km-datajud"/>
          <w:p>
            <w:pPr>
              <w:jc w:val="center"/>
            </w:pPr>
            <w:r>
              <w:drawing>
                <wp:inline>
                  <wp:extent cx="4620126" cy="3696101"/>
                  <wp:effectExtent b="0" l="0" r="0" t="0"/>
                  <wp:docPr descr="" title="" id="128" name="Picture"/>
                  <a:graphic>
                    <a:graphicData uri="http://schemas.openxmlformats.org/drawingml/2006/picture">
                      <pic:pic>
                        <pic:nvPicPr>
                          <pic:cNvPr descr="2-descritiva_files/figure-docx/fig-km-datajud-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14: Curva de sobrevivência dos tempos de tramitação dos processos</w:t>
            </w:r>
          </w:p>
          <w:bookmarkEnd w:id="130"/>
        </w:tc>
      </w:tr>
    </w:tbl>
    <w:p>
      <w:pPr>
        <w:pStyle w:val="Corpodetexto"/>
      </w:pPr>
      <w:r>
        <w:t xml:space="preserve">A</w:t>
      </w:r>
      <w:r>
        <w:t xml:space="preserve"> </w:t>
      </w:r>
      <w:hyperlink w:anchor="fig-km-assunto-datajud">
        <w:r>
          <w:rPr>
            <w:rStyle w:val="Hyperlink"/>
          </w:rPr>
          <w:t xml:space="preserve">Figura 15</w:t>
        </w:r>
      </w:hyperlink>
      <w:r>
        <w:t xml:space="preserve"> </w:t>
      </w:r>
      <w:r>
        <w:t xml:space="preserve">mostra a distribuição dos tempos por assunto, considerando os cinco assuntos com maior volume de processos. O assunto</w:t>
      </w:r>
      <w:r>
        <w:t xml:space="preserve"> </w:t>
      </w:r>
      <w:r>
        <w:t xml:space="preserve">“</w:t>
      </w:r>
      <w:r>
        <w:t xml:space="preserve">Quadrilha ou Bando</w:t>
      </w:r>
      <w:r>
        <w:t xml:space="preserve">”</w:t>
      </w:r>
      <w:r>
        <w:t xml:space="preserve"> </w:t>
      </w:r>
      <w:r>
        <w:t xml:space="preserve">apresentou o maior tempo, com 50 meses, enquanto tráfico de drogas apresentou tempo similar à categoria</w:t>
      </w:r>
      <w:r>
        <w:t xml:space="preserve"> </w:t>
      </w:r>
      <w:r>
        <w:t xml:space="preserve">“</w:t>
      </w:r>
      <w:r>
        <w:t xml:space="preserve">Outros</w:t>
      </w:r>
      <w:r>
        <w:t xml:space="preserve">”</w:t>
      </w:r>
      <w:r>
        <w:t xml:space="preserve">, com 36 meses.</w:t>
      </w:r>
    </w:p>
    <w:tbl>
      <w:tblPr>
        <w:tblStyle w:val="Table"/>
        <w:tblW w:type="pct" w:w="5000"/>
        <w:tblLook w:firstRow="0" w:lastRow="0" w:firstColumn="0" w:lastColumn="0" w:noHBand="0" w:noVBand="0" w:val="0000"/>
        <w:jc w:val="start"/>
      </w:tblPr>
      <w:tblGrid>
        <w:gridCol w:w="7920"/>
      </w:tblGrid>
      <w:tr>
        <w:tc>
          <w:tcPr/>
          <w:bookmarkStart w:id="134" w:name="fig-km-assunto-datajud"/>
          <w:p>
            <w:pPr>
              <w:jc w:val="center"/>
            </w:pPr>
            <w:r>
              <w:drawing>
                <wp:inline>
                  <wp:extent cx="5969000" cy="3979333"/>
                  <wp:effectExtent b="0" l="0" r="0" t="0"/>
                  <wp:docPr descr="" title="" id="132" name="Picture"/>
                  <a:graphic>
                    <a:graphicData uri="http://schemas.openxmlformats.org/drawingml/2006/picture">
                      <pic:pic>
                        <pic:nvPicPr>
                          <pic:cNvPr descr="2-descritiva_files/figure-docx/fig-km-assunto-datajud-1.png" id="133" name="Picture"/>
                          <pic:cNvPicPr>
                            <a:picLocks noChangeArrowheads="1" noChangeAspect="1"/>
                          </pic:cNvPicPr>
                        </pic:nvPicPr>
                        <pic:blipFill>
                          <a:blip r:embed="rId131"/>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15: Curva de sobrevivência dos tempos de tramitação dos processos, por assunto</w:t>
            </w:r>
          </w:p>
          <w:bookmarkEnd w:id="134"/>
        </w:tc>
      </w:tr>
    </w:tbl>
    <w:p>
      <w:pPr>
        <w:pStyle w:val="Corpodetexto"/>
      </w:pPr>
      <w:r>
        <w:t xml:space="preserve">A</w:t>
      </w:r>
      <w:r>
        <w:t xml:space="preserve"> </w:t>
      </w:r>
      <w:hyperlink w:anchor="fig-km-tribunal-datajud">
        <w:r>
          <w:rPr>
            <w:rStyle w:val="Hyperlink"/>
          </w:rPr>
          <w:t xml:space="preserve">Figura 16</w:t>
        </w:r>
      </w:hyperlink>
      <w:r>
        <w:t xml:space="preserve"> </w:t>
      </w:r>
      <w:r>
        <w:t xml:space="preserve">mostra os tempos por tribunal. O menor tempo mediano identificado foi no TJRR, com mediana de 5 meses, enquanto o maior tempo foi no TJAM, com mediana de 96 meses.</w:t>
      </w:r>
    </w:p>
    <w:tbl>
      <w:tblPr>
        <w:tblStyle w:val="Table"/>
        <w:tblW w:type="pct" w:w="5000"/>
        <w:tblLook w:firstRow="0" w:lastRow="0" w:firstColumn="0" w:lastColumn="0" w:noHBand="0" w:noVBand="0" w:val="0000"/>
        <w:jc w:val="start"/>
      </w:tblPr>
      <w:tblGrid>
        <w:gridCol w:w="7920"/>
      </w:tblGrid>
      <w:tr>
        <w:tc>
          <w:tcPr/>
          <w:bookmarkStart w:id="138" w:name="fig-km-tribunal-datajud"/>
          <w:p>
            <w:pPr>
              <w:jc w:val="center"/>
            </w:pPr>
            <w:r>
              <w:drawing>
                <wp:inline>
                  <wp:extent cx="5969000" cy="3979333"/>
                  <wp:effectExtent b="0" l="0" r="0" t="0"/>
                  <wp:docPr descr="" title="" id="136" name="Picture"/>
                  <a:graphic>
                    <a:graphicData uri="http://schemas.openxmlformats.org/drawingml/2006/picture">
                      <pic:pic>
                        <pic:nvPicPr>
                          <pic:cNvPr descr="2-descritiva_files/figure-docx/fig-km-tribunal-datajud-1.png" id="137" name="Picture"/>
                          <pic:cNvPicPr>
                            <a:picLocks noChangeArrowheads="1" noChangeAspect="1"/>
                          </pic:cNvPicPr>
                        </pic:nvPicPr>
                        <pic:blipFill>
                          <a:blip r:embed="rId135"/>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16: Curva de sobrevivência dos tempos de tramitação dos processos, por tribunal</w:t>
            </w:r>
          </w:p>
          <w:bookmarkEnd w:id="138"/>
        </w:tc>
      </w:tr>
    </w:tbl>
    <w:p>
      <w:pPr>
        <w:pStyle w:val="Corpodetexto"/>
      </w:pPr>
      <w:r>
        <w:t xml:space="preserve">A</w:t>
      </w:r>
      <w:r>
        <w:t xml:space="preserve"> </w:t>
      </w:r>
      <w:hyperlink w:anchor="fig-km-municipio-datajud">
        <w:r>
          <w:rPr>
            <w:rStyle w:val="Hyperlink"/>
          </w:rPr>
          <w:t xml:space="preserve">Figura 17</w:t>
        </w:r>
      </w:hyperlink>
      <w:r>
        <w:t xml:space="preserve"> </w:t>
      </w:r>
      <w:r>
        <w:t xml:space="preserve">mostra os tempos por município. O município com maior tempo mediano é Boa Vista, com 5 meses meses, enquanto o município com menor tempo mediano é Manaus, com 85 meses de duração.</w:t>
      </w:r>
    </w:p>
    <w:tbl>
      <w:tblPr>
        <w:tblStyle w:val="Table"/>
        <w:tblW w:type="pct" w:w="5000"/>
        <w:tblLook w:firstRow="0" w:lastRow="0" w:firstColumn="0" w:lastColumn="0" w:noHBand="0" w:noVBand="0" w:val="0000"/>
        <w:jc w:val="start"/>
      </w:tblPr>
      <w:tblGrid>
        <w:gridCol w:w="7920"/>
      </w:tblGrid>
      <w:tr>
        <w:tc>
          <w:tcPr/>
          <w:bookmarkStart w:id="142" w:name="fig-km-municipio-datajud"/>
          <w:p>
            <w:pPr>
              <w:jc w:val="center"/>
            </w:pPr>
            <w:r>
              <w:drawing>
                <wp:inline>
                  <wp:extent cx="5969000" cy="3979333"/>
                  <wp:effectExtent b="0" l="0" r="0" t="0"/>
                  <wp:docPr descr="" title="" id="140" name="Picture"/>
                  <a:graphic>
                    <a:graphicData uri="http://schemas.openxmlformats.org/drawingml/2006/picture">
                      <pic:pic>
                        <pic:nvPicPr>
                          <pic:cNvPr descr="2-descritiva_files/figure-docx/fig-km-municipio-datajud-1.png" id="141" name="Picture"/>
                          <pic:cNvPicPr>
                            <a:picLocks noChangeArrowheads="1" noChangeAspect="1"/>
                          </pic:cNvPicPr>
                        </pic:nvPicPr>
                        <pic:blipFill>
                          <a:blip r:embed="rId139"/>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17: Curva de sobrevivência dos tempos de tramitação dos processos, por município</w:t>
            </w:r>
          </w:p>
          <w:bookmarkEnd w:id="142"/>
        </w:tc>
      </w:tr>
    </w:tbl>
    <w:bookmarkEnd w:id="143"/>
    <w:bookmarkStart w:id="152" w:name="trf1-4"/>
    <w:p>
      <w:pPr>
        <w:pStyle w:val="Ttulo3"/>
      </w:pPr>
      <w:r>
        <w:t xml:space="preserve">TRF1</w:t>
      </w:r>
    </w:p>
    <w:p>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w:t>
      </w:r>
      <w:r>
        <w:t xml:space="preserve"> </w:t>
      </w:r>
      <w:r>
        <w:rPr>
          <w:rStyle w:val="VerbatimChar"/>
        </w:rPr>
        <w:t xml:space="preserve">data_de_autuacao</w:t>
      </w:r>
      <w:r>
        <w:t xml:space="preserve">. Todos os processos foram considerados como baixados, já que a pesquisa realizada para listar os processos é retrospectiva. Nesse caso, a análise de sobrevivência não é necessária, mas foi mantida para não mudar as visualizações</w:t>
      </w:r>
    </w:p>
    <w:p>
      <w:pPr>
        <w:pStyle w:val="Corpodetexto"/>
      </w:pPr>
      <w:r>
        <w:t xml:space="preserve">No TRF1, o resultado geral é mostrado na é a</w:t>
      </w:r>
      <w:r>
        <w:t xml:space="preserve"> </w:t>
      </w:r>
      <w:hyperlink w:anchor="fig-km-trf1">
        <w:r>
          <w:rPr>
            <w:rStyle w:val="Hyperlink"/>
          </w:rPr>
          <w:t xml:space="preserve">Figura 18</w:t>
        </w:r>
      </w:hyperlink>
      <w:r>
        <w:t xml:space="preserve">. Foram retirados tempos maiores de 10 mil dias e tempos menores que zero. A mediana é de aproximadamente 29 meses, ou 2 anos e meio.</w:t>
      </w:r>
    </w:p>
    <w:tbl>
      <w:tblPr>
        <w:tblStyle w:val="Table"/>
        <w:tblW w:type="pct" w:w="5000"/>
        <w:tblLook w:firstRow="0" w:lastRow="0" w:firstColumn="0" w:lastColumn="0" w:noHBand="0" w:noVBand="0" w:val="0000"/>
        <w:jc w:val="start"/>
      </w:tblPr>
      <w:tblGrid>
        <w:gridCol w:w="7920"/>
      </w:tblGrid>
      <w:tr>
        <w:tc>
          <w:tcPr/>
          <w:bookmarkStart w:id="147" w:name="fig-km-trf1"/>
          <w:p>
            <w:pPr>
              <w:jc w:val="center"/>
            </w:pPr>
            <w:r>
              <w:drawing>
                <wp:inline>
                  <wp:extent cx="4620126" cy="3696101"/>
                  <wp:effectExtent b="0" l="0" r="0" t="0"/>
                  <wp:docPr descr="" title="" id="145" name="Picture"/>
                  <a:graphic>
                    <a:graphicData uri="http://schemas.openxmlformats.org/drawingml/2006/picture">
                      <pic:pic>
                        <pic:nvPicPr>
                          <pic:cNvPr descr="2-descritiva_files/figure-docx/fig-km-trf1-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18: Curva de sobrevivência dos tempos de tramitação dos processos</w:t>
            </w:r>
          </w:p>
          <w:bookmarkEnd w:id="147"/>
        </w:tc>
      </w:tr>
    </w:tbl>
    <w:p>
      <w:pPr>
        <w:pStyle w:val="Corpodetexto"/>
      </w:pPr>
      <w:r>
        <w:t xml:space="preserve">A</w:t>
      </w:r>
      <w:r>
        <w:t xml:space="preserve"> </w:t>
      </w:r>
      <w:hyperlink w:anchor="fig-km-assunto-trf1">
        <w:r>
          <w:rPr>
            <w:rStyle w:val="Hyperlink"/>
          </w:rPr>
          <w:t xml:space="preserve">Figura 19</w:t>
        </w:r>
      </w:hyperlink>
      <w:r>
        <w:t xml:space="preserve"> </w:t>
      </w:r>
      <w:r>
        <w:t xml:space="preserve">mostra a distribuição dos tempos por assunto, considerando os cinco assuntos com maior volume de processos. Os tempos variam pouco por assunto, sendo que o assunto com menor tempo é</w:t>
      </w:r>
      <w:r>
        <w:t xml:space="preserve"> </w:t>
      </w:r>
      <w:r>
        <w:t xml:space="preserve">“</w:t>
      </w:r>
      <w:r>
        <w:t xml:space="preserve">Ambiental</w:t>
      </w:r>
      <w:r>
        <w:t xml:space="preserve">”</w:t>
      </w:r>
      <w:r>
        <w:t xml:space="preserve"> </w:t>
      </w:r>
      <w:r>
        <w:t xml:space="preserve">e o assunto com maior tempo é o</w:t>
      </w:r>
      <w:r>
        <w:t xml:space="preserve"> </w:t>
      </w:r>
      <w:r>
        <w:t xml:space="preserve">“</w:t>
      </w:r>
      <w:r>
        <w:t xml:space="preserve">Rural Art. 4851</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151" w:name="fig-km-assunto-trf1"/>
          <w:p>
            <w:pPr>
              <w:jc w:val="center"/>
            </w:pPr>
            <w:r>
              <w:drawing>
                <wp:inline>
                  <wp:extent cx="5969000" cy="3979333"/>
                  <wp:effectExtent b="0" l="0" r="0" t="0"/>
                  <wp:docPr descr="" title="" id="149" name="Picture"/>
                  <a:graphic>
                    <a:graphicData uri="http://schemas.openxmlformats.org/drawingml/2006/picture">
                      <pic:pic>
                        <pic:nvPicPr>
                          <pic:cNvPr descr="2-descritiva_files/figure-docx/fig-km-assunto-trf1-1.png" id="150" name="Picture"/>
                          <pic:cNvPicPr>
                            <a:picLocks noChangeArrowheads="1" noChangeAspect="1"/>
                          </pic:cNvPicPr>
                        </pic:nvPicPr>
                        <pic:blipFill>
                          <a:blip r:embed="rId14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19: Curva de sobrevivência dos tempos de tramitação dos processos, por assunto</w:t>
            </w:r>
          </w:p>
          <w:bookmarkEnd w:id="151"/>
        </w:tc>
      </w:tr>
    </w:tbl>
    <w:bookmarkEnd w:id="152"/>
    <w:bookmarkStart w:id="153" w:name="discussão-5"/>
    <w:p>
      <w:pPr>
        <w:pStyle w:val="Ttulo3"/>
      </w:pPr>
      <w:r>
        <w:t xml:space="preserve">Discussão</w:t>
      </w:r>
    </w:p>
    <w:p>
      <w:pPr>
        <w:pStyle w:val="FirstParagraph"/>
      </w:pPr>
      <w:r>
        <w:t xml:space="preserve">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bookmarkEnd w:id="153"/>
    <w:bookmarkEnd w:id="154"/>
    <w:bookmarkEnd w:id="155"/>
    <w:bookmarkStart w:id="158" w:name="referências"/>
    <w:p>
      <w:pPr>
        <w:pStyle w:val="Ttulo1"/>
      </w:pPr>
      <w:r>
        <w:t xml:space="preserve">Referências</w:t>
      </w:r>
    </w:p>
    <w:bookmarkStart w:id="157" w:name="refs"/>
    <w:bookmarkStart w:id="156" w:name="X35cb20f427f61b1005207b5dfcd2c3e632df17c"/>
    <w:p>
      <w:pPr>
        <w:pStyle w:val="Bibliografia"/>
      </w:pPr>
      <w:r>
        <w:t xml:space="preserve">Colosimo, Enrico Antonio, e Suely Ruiz Giolo. 2006.</w:t>
      </w:r>
      <w:r>
        <w:t xml:space="preserve"> </w:t>
      </w:r>
      <w:r>
        <w:rPr>
          <w:iCs/>
          <w:i/>
        </w:rPr>
        <w:t xml:space="preserve">Análise de Sobrevivência Aplicada</w:t>
      </w:r>
      <w:r>
        <w:t xml:space="preserve">.</w:t>
      </w:r>
      <w:r>
        <w:t xml:space="preserve"> </w:t>
      </w:r>
      <w:r>
        <w:t xml:space="preserve">Editora Blucher</w:t>
      </w:r>
      <w:r>
        <w:t xml:space="preserve">.</w:t>
      </w:r>
    </w:p>
    <w:bookmarkEnd w:id="156"/>
    <w:bookmarkEnd w:id="157"/>
    <w:bookmarkEnd w:id="158"/>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31" Target="media/rId131.png" /><Relationship Type="http://schemas.openxmlformats.org/officeDocument/2006/relationships/image" Id="rId148" Target="media/rId148.png" /><Relationship Type="http://schemas.openxmlformats.org/officeDocument/2006/relationships/image" Id="rId114" Target="media/rId114.png" /><Relationship Type="http://schemas.openxmlformats.org/officeDocument/2006/relationships/image" Id="rId127" Target="media/rId127.png" /><Relationship Type="http://schemas.openxmlformats.org/officeDocument/2006/relationships/image" Id="rId122" Target="media/rId122.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18" Target="media/rId118.png" /><Relationship Type="http://schemas.openxmlformats.org/officeDocument/2006/relationships/image" Id="rId135" Target="media/rId135.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dc:language>pt</dc:language>
  <cp:keywords/>
  <dcterms:created xsi:type="dcterms:W3CDTF">2023-05-23T16:24:02Z</dcterms:created>
  <dcterms:modified xsi:type="dcterms:W3CDTF">2023-05-23T16:24:02Z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assets/bib/geral.bib</vt:lpwstr>
  </property>
  <property fmtid="{D5CDD505-2E9C-101B-9397-08002B2CF9AE}" pid="5" name="by-author">
    <vt:lpwstr/>
  </property>
  <property fmtid="{D5CDD505-2E9C-101B-9397-08002B2CF9AE}" pid="6" name="date">
    <vt:lpwstr>2023-05-22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