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media/rId98.png" ContentType="image/png"/>
  <Override PartName="/word/media/rId93.png" ContentType="image/png"/>
  <Override PartName="/word/media/rId66.png" ContentType="image/png"/>
  <Override PartName="/word/media/rId48.png" ContentType="image/png"/>
  <Override PartName="/word/media/rId106.png" ContentType="image/png"/>
  <Override PartName="/word/media/rId110.png" ContentType="image/png"/>
  <Override PartName="/word/media/rId134.png" ContentType="image/png"/>
  <Override PartName="/word/media/rId154.png" ContentType="image/png"/>
  <Override PartName="/word/media/rId114.png" ContentType="image/png"/>
  <Override PartName="/word/media/rId130.png" ContentType="image/png"/>
  <Override PartName="/word/media/rId122.png" ContentType="image/png"/>
  <Override PartName="/word/media/rId142.png" ContentType="image/png"/>
  <Override PartName="/word/media/rId150.png" ContentType="image/png"/>
  <Override PartName="/word/media/rId118.png" ContentType="image/png"/>
  <Override PartName="/word/media/rId138.png" ContentType="image/png"/>
  <Override PartName="/word/media/rId40.png" ContentType="image/png"/>
  <Override PartName="/word/media/rId58.png" ContentType="image/png"/>
  <Override PartName="/word/media/rId28.png" ContentType="image/png"/>
  <Override PartName="/word/media/rId32.png" ContentType="image/pn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Análise</w:t>
      </w:r>
      <w:r>
        <w:t xml:space="preserve"> </w:t>
      </w:r>
      <w:r>
        <w:t xml:space="preserve">descritiva</w:t>
      </w:r>
    </w:p>
    <w:p>
      <w:pPr>
        <w:pStyle w:val="Author"/>
      </w:pPr>
      <w:r>
        <w:t xml:space="preserve">ABJ</w:t>
      </w:r>
    </w:p>
    <w:p>
      <w:pPr>
        <w:pStyle w:val="Data"/>
      </w:pPr>
      <w:r>
        <w:t xml:space="preserve">2023-06-10</w:t>
      </w:r>
    </w:p>
    <w:bookmarkStart w:id="21" w:name="introdução"/>
    <w:p>
      <w:pPr>
        <w:pStyle w:val="Ttulo1"/>
      </w:pPr>
      <w:r>
        <w:t xml:space="preserve">Introdução</w:t>
      </w:r>
    </w:p>
    <w:p>
      <w:pPr>
        <w:pStyle w:val="FirstParagraph"/>
      </w:pPr>
      <w:r>
        <w:t xml:space="preserve">O estudo completo tem como objetivo identificar e analisar as cadeias de lavagem de bens e capitais relacionadas a crimes ambientais. A pesquisa é baseada na sistematização de informações sobre os atores e processos judiciais envolvidos, examinados sob a perspectiva dos crimes ambientais e da atuação jurisdicional no assunto. Ao combinar os temas de crimes ambientais e lavagem de bens e capitais, será possível estudar as sanções previstas nas leis de combate à lavagem de dinheiro, que frequentemente são mais efetivas do que as sanções previstas nas leis de crimes ambientais. Além disso, serão geradas recomendações sobre o assunto.</w:t>
      </w:r>
    </w:p>
    <w:p>
      <w:pPr>
        <w:pStyle w:val="Corpodetexto"/>
      </w:pPr>
      <w:r>
        <w:t xml:space="preserve">A pesquisa será desenvolvida a partir de 16 perguntas norteadoras, listadas abaixo.</w:t>
      </w:r>
    </w:p>
    <w:p>
      <w:pPr>
        <w:numPr>
          <w:ilvl w:val="0"/>
          <w:numId w:val="1001"/>
        </w:numPr>
        <w:pStyle w:val="Compact"/>
      </w:pPr>
      <w:r>
        <w:t xml:space="preserve">Quais são as atividades que conectam e alimentam a cadeia de fluxos de capitais que promovem o desmatamento?</w:t>
      </w:r>
    </w:p>
    <w:p>
      <w:pPr>
        <w:numPr>
          <w:ilvl w:val="0"/>
          <w:numId w:val="1001"/>
        </w:numPr>
        <w:pStyle w:val="Compact"/>
      </w:pPr>
      <w:r>
        <w:t xml:space="preserve">Quem são os atores envolvidos nos casos de lavagem de dinheiro e corrupção relacionados a crimes ambientais?</w:t>
      </w:r>
    </w:p>
    <w:p>
      <w:pPr>
        <w:numPr>
          <w:ilvl w:val="0"/>
          <w:numId w:val="1001"/>
        </w:numPr>
        <w:pStyle w:val="Compact"/>
      </w:pPr>
      <w:r>
        <w:t xml:space="preserve">Quais são os desafios na diferenciação entre atividades legais e ilegais para fins de identificação de fluxos de lavagem de capitais?</w:t>
      </w:r>
    </w:p>
    <w:p>
      <w:pPr>
        <w:numPr>
          <w:ilvl w:val="0"/>
          <w:numId w:val="1001"/>
        </w:numPr>
        <w:pStyle w:val="Compact"/>
      </w:pPr>
      <w:r>
        <w:t xml:space="preserve">Quais as teses jurídicas de defesa mais utilizadas nas ações envolvendo lavagem de dinheiro, fluxos de capitais para atividades ambientais ilegais e lavagem de dinheiro?</w:t>
      </w:r>
    </w:p>
    <w:p>
      <w:pPr>
        <w:numPr>
          <w:ilvl w:val="0"/>
          <w:numId w:val="1001"/>
        </w:numPr>
        <w:pStyle w:val="Compact"/>
      </w:pPr>
      <w:r>
        <w:t xml:space="preserve">Existem padrões identificáveis nos casos judicializados quanto às circunstâncias, características dos autores, modalidades e tipos de crimes ambientais?</w:t>
      </w:r>
    </w:p>
    <w:p>
      <w:pPr>
        <w:numPr>
          <w:ilvl w:val="0"/>
          <w:numId w:val="1001"/>
        </w:numPr>
        <w:pStyle w:val="Compact"/>
      </w:pPr>
      <w:r>
        <w:t xml:space="preserve">Quais são as decisões tomadas e seus fundamentos jurídicos de fato e a razão de decidir apresentadas nesses casos?</w:t>
      </w:r>
    </w:p>
    <w:p>
      <w:pPr>
        <w:numPr>
          <w:ilvl w:val="0"/>
          <w:numId w:val="1001"/>
        </w:numPr>
        <w:pStyle w:val="Compact"/>
      </w:pPr>
      <w:r>
        <w:t xml:space="preserve">Qual o papel do Poder Judiciário no combate à lavagem de dinheiro e corrupção relacionados a crimes ambientais?</w:t>
      </w:r>
    </w:p>
    <w:p>
      <w:pPr>
        <w:numPr>
          <w:ilvl w:val="0"/>
          <w:numId w:val="1001"/>
        </w:numPr>
        <w:pStyle w:val="Compact"/>
      </w:pPr>
      <w:r>
        <w:t xml:space="preserve">Quais os principais segmentos econômicos ou grupos empresariais que estão envolvidos na cadeia de produção que tenha alguma relação com crime ambiental (indústria de equipamentos pesados, maquinário agrícola, maquinário de mineração, táxi aéreo, bancos e instituições financeiras de fomento agrícola, leasing)?</w:t>
      </w:r>
    </w:p>
    <w:p>
      <w:pPr>
        <w:numPr>
          <w:ilvl w:val="0"/>
          <w:numId w:val="1001"/>
        </w:numPr>
        <w:pStyle w:val="Compact"/>
      </w:pPr>
      <w:r>
        <w:t xml:space="preserve">Como especificar, em caso de crimes ambientais complexos e de grande monta, os mandantes indiretos? Há pessoas jurídicas envolvidas? Há desconsideração de pessoa jurídica nesses casos?</w:t>
      </w:r>
    </w:p>
    <w:p>
      <w:pPr>
        <w:numPr>
          <w:ilvl w:val="0"/>
          <w:numId w:val="1001"/>
        </w:numPr>
        <w:pStyle w:val="Compact"/>
      </w:pPr>
      <w:r>
        <w:t xml:space="preserve">Há normas de ESG (</w:t>
      </w:r>
      <w:r>
        <w:rPr>
          <w:iCs/>
          <w:i/>
        </w:rPr>
        <w:t xml:space="preserve">environmental</w:t>
      </w:r>
      <w:r>
        <w:t xml:space="preserve">,</w:t>
      </w:r>
      <w:r>
        <w:t xml:space="preserve"> </w:t>
      </w:r>
      <w:r>
        <w:rPr>
          <w:iCs/>
          <w:i/>
        </w:rPr>
        <w:t xml:space="preserve">social</w:t>
      </w:r>
      <w:r>
        <w:t xml:space="preserve">,</w:t>
      </w:r>
      <w:r>
        <w:t xml:space="preserve"> </w:t>
      </w:r>
      <w:r>
        <w:rPr>
          <w:iCs/>
          <w:i/>
        </w:rPr>
        <w:t xml:space="preserve">and Governance</w:t>
      </w:r>
      <w:r>
        <w:t xml:space="preserve">) que podem reduzir a lavagem de capitais e o fluxo de capitais para atividades ambientais ilegais?</w:t>
      </w:r>
    </w:p>
    <w:p>
      <w:pPr>
        <w:numPr>
          <w:ilvl w:val="0"/>
          <w:numId w:val="1001"/>
        </w:numPr>
        <w:pStyle w:val="Compact"/>
      </w:pPr>
      <w:r>
        <w:t xml:space="preserve">Há atos normativos ou diretrizes no âmbito da Estratégia Nacional de Combate à Corrupção e à Lavagem de Dinheiro - ENCCLA, do Banco Central do Brasil e/ou do Conselho de Controle de Atividades Financeiras - COAF que podem facilitar a identificação de fluxo de capitais em matéria ambiental?</w:t>
      </w:r>
    </w:p>
    <w:p>
      <w:pPr>
        <w:numPr>
          <w:ilvl w:val="0"/>
          <w:numId w:val="1001"/>
        </w:numPr>
        <w:pStyle w:val="Compact"/>
      </w:pPr>
      <w:r>
        <w:t xml:space="preserve">Há correlação entre a incidência de crimes contra a vida ou ameaça em regiões de alta ocorrência de desmatamento, ou mineração ilegal ou crimes ambientais em geral?</w:t>
      </w:r>
    </w:p>
    <w:p>
      <w:pPr>
        <w:numPr>
          <w:ilvl w:val="0"/>
          <w:numId w:val="1001"/>
        </w:numPr>
        <w:pStyle w:val="Compact"/>
      </w:pPr>
      <w:r>
        <w:t xml:space="preserve">Há relação entre a ocorrência da alta incidência de demandas judiciais de conflitos fundiários com crimes ambientais ou crimes contra a vida?</w:t>
      </w:r>
    </w:p>
    <w:p>
      <w:pPr>
        <w:numPr>
          <w:ilvl w:val="0"/>
          <w:numId w:val="1001"/>
        </w:numPr>
        <w:pStyle w:val="Compact"/>
      </w:pPr>
      <w:r>
        <w:t xml:space="preserve">Qual o tempo de duração médio das ações criminais que envolvam a temática ambiental?</w:t>
      </w:r>
    </w:p>
    <w:p>
      <w:pPr>
        <w:numPr>
          <w:ilvl w:val="0"/>
          <w:numId w:val="1001"/>
        </w:numPr>
        <w:pStyle w:val="Compact"/>
      </w:pPr>
      <w:r>
        <w:t xml:space="preserve">Qual a quantidade de ações criminais que apuram crimes contra a vida ou de ameaça contra pessoas ligadas à defesa do meio ambiente ou de movimentos relacionados à proteção de populações indígenas e/ou povos tradicionais que ingressam por ano? Qual o tempo de duração médio dessas ações? Quais as espécies de crime cometidas? Qual a efetividade da identificação da autoria e do cumprimento da pena?</w:t>
      </w:r>
    </w:p>
    <w:p>
      <w:pPr>
        <w:numPr>
          <w:ilvl w:val="0"/>
          <w:numId w:val="1001"/>
        </w:numPr>
        <w:pStyle w:val="Compact"/>
      </w:pPr>
      <w:r>
        <w:t xml:space="preserve">Qual a quantidade de ações criminais que apuram crimes relacionados à questão fundiária que ingressam por ano? Qual o tempo de duração médio dessas ações? Quais as espécies de crime cometidas? Qual a efetividade da identificação da autoria e do cumprimento da pena?</w:t>
      </w:r>
    </w:p>
    <w:bookmarkStart w:id="20" w:name="objetivo"/>
    <w:p>
      <w:pPr>
        <w:pStyle w:val="Ttulo2"/>
      </w:pPr>
      <w:r>
        <w:t xml:space="preserve">Objetivo</w:t>
      </w:r>
    </w:p>
    <w:p>
      <w:pPr>
        <w:pStyle w:val="FirstParagraph"/>
      </w:pPr>
      <w:r>
        <w:t xml:space="preserve">O presente relatório tem como objetivo responder às perguntas de pesquisa que podem ser investigadas do ponto de vista empírico-quantitativo. Por se tratar de um levantamento quantitativo, nem todas as questões podem ser endereçadas. Das 16 perguntas listadas acima, 7 foram efetivamente analisadas. Especificamente, as questões 1, 2, 5, 8, 12 e 14.</w:t>
      </w:r>
    </w:p>
    <w:p>
      <w:pPr>
        <w:pStyle w:val="Corpodetexto"/>
      </w:pPr>
      <w:r>
        <w:t xml:space="preserve">É importante ressaltar que, na maioria dos casos, não é possível responder às perguntas de forma completa. Por ser um tema que está na intersecção de dois tipos processuais, a identificação dos processos nem sempre é possível, especialmente considerando como fonte as bases de informações básicas, partes e movimentações processuais, como é o caso do DataJud. Ainda assim, as análises podem servir como guia para investigações mais profundas.</w:t>
      </w:r>
    </w:p>
    <w:bookmarkEnd w:id="20"/>
    <w:bookmarkEnd w:id="21"/>
    <w:bookmarkStart w:id="37" w:name="bases-de-dados"/>
    <w:p>
      <w:pPr>
        <w:pStyle w:val="Ttulo1"/>
      </w:pPr>
      <w:r>
        <w:t xml:space="preserve">Bases de dados</w:t>
      </w:r>
    </w:p>
    <w:p>
      <w:pPr>
        <w:pStyle w:val="FirstParagraph"/>
      </w:pPr>
      <w:r>
        <w:t xml:space="preserve">A análise considera três bases de processos, que chamamos de SireneJud, DataJud e TRF1. Descrevemos as bases de dados a seguir.</w:t>
      </w:r>
    </w:p>
    <w:bookmarkStart w:id="23" w:name="sirenejud"/>
    <w:p>
      <w:pPr>
        <w:pStyle w:val="Ttulo2"/>
      </w:pPr>
      <w:r>
        <w:t xml:space="preserve">SireneJud</w:t>
      </w:r>
    </w:p>
    <w:p>
      <w:pPr>
        <w:pStyle w:val="FirstParagraph"/>
      </w:pPr>
      <w:r>
        <w:t xml:space="preserve">A base do SireneJud foi fornecida pelo CNJ, a partir de uma extração realizada no dia 26/10/2022. O arquivo foi fornecido no formato CSV, contendo 637.699 linhas e 37 colunas. Diferentes versões da base podem ser acessadas a partir do</w:t>
      </w:r>
      <w:r>
        <w:t xml:space="preserve"> </w:t>
      </w:r>
      <w:hyperlink r:id="rId22">
        <w:r>
          <w:rPr>
            <w:rStyle w:val="Hyperlink"/>
          </w:rPr>
          <w:t xml:space="preserve">link de dados abertos da ferramenta do SireneJud</w:t>
        </w:r>
      </w:hyperlink>
      <w:r>
        <w:t xml:space="preserve">.</w:t>
      </w:r>
    </w:p>
    <w:p>
      <w:pPr>
        <w:pStyle w:val="Corpodetexto"/>
      </w:pPr>
      <w:r>
        <w:t xml:space="preserve">A base de dados do SireneJud apresenta uma estrutura comum de bases de dados judiciais, contendo três unidades amostrais distintas: processos, partes e movimentações.</w:t>
      </w:r>
    </w:p>
    <w:p>
      <w:pPr>
        <w:pStyle w:val="Corpodetexto"/>
      </w:pPr>
      <w:r>
        <w:t xml:space="preserve">O primeiro passo da análise foi realizar filtros para obter uma base mais próxima do escopo da pesquisa. Infelizmente, a base do SireneJud não permite a realização de filtros que identificam de forma precisa os casos relacionados à lavagem de bens e capitais em crimes ambientais. No entanto, a base auxilia no estudo da dinâmica de crimes ambientais, com diferentes níveis de profundidade.</w:t>
      </w:r>
    </w:p>
    <w:p>
      <w:pPr>
        <w:pStyle w:val="Corpodetexto"/>
      </w:pPr>
      <w:r>
        <w:t xml:space="preserve">Os filtros aplicados no momento são:</w:t>
      </w:r>
    </w:p>
    <w:p>
      <w:pPr>
        <w:numPr>
          <w:ilvl w:val="0"/>
          <w:numId w:val="1002"/>
        </w:numPr>
        <w:pStyle w:val="Compact"/>
      </w:pPr>
      <w:r>
        <w:t xml:space="preserve">Considerar apenas processos originários no primeiro grau.</w:t>
      </w:r>
    </w:p>
    <w:p>
      <w:pPr>
        <w:numPr>
          <w:ilvl w:val="0"/>
          <w:numId w:val="1002"/>
        </w:numPr>
        <w:pStyle w:val="Compact"/>
      </w:pPr>
      <w:r>
        <w:t xml:space="preserve">Remover processos de alta complexidade.</w:t>
      </w:r>
    </w:p>
    <w:p>
      <w:pPr>
        <w:numPr>
          <w:ilvl w:val="0"/>
          <w:numId w:val="1002"/>
        </w:numPr>
        <w:pStyle w:val="Compact"/>
      </w:pPr>
      <w:r>
        <w:t xml:space="preserve">Remover duplicatas de número de processo (ordenamos por grau antes de tirar as duplicatas).</w:t>
      </w:r>
    </w:p>
    <w:p>
      <w:pPr>
        <w:numPr>
          <w:ilvl w:val="0"/>
          <w:numId w:val="1002"/>
        </w:numPr>
        <w:pStyle w:val="Compact"/>
      </w:pPr>
      <w:r>
        <w:t xml:space="preserve">Remover casos com as classes</w:t>
      </w:r>
      <w:r>
        <w:t xml:space="preserve"> </w:t>
      </w:r>
      <w:r>
        <w:t xml:space="preserve">“</w:t>
      </w:r>
      <w:r>
        <w:t xml:space="preserve">Termo Circunstanciado</w:t>
      </w:r>
      <w:r>
        <w:t xml:space="preserve">”</w:t>
      </w:r>
      <w:r>
        <w:t xml:space="preserve"> </w:t>
      </w:r>
      <w:r>
        <w:t xml:space="preserve">e</w:t>
      </w:r>
      <w:r>
        <w:t xml:space="preserve"> </w:t>
      </w:r>
      <w:r>
        <w:t xml:space="preserve">“</w:t>
      </w:r>
      <w:r>
        <w:t xml:space="preserve">Inquérito Policial</w:t>
      </w:r>
      <w:r>
        <w:t xml:space="preserve">”</w:t>
      </w:r>
    </w:p>
    <w:p>
      <w:pPr>
        <w:numPr>
          <w:ilvl w:val="0"/>
          <w:numId w:val="1002"/>
        </w:numPr>
        <w:pStyle w:val="Compact"/>
      </w:pPr>
      <w:r>
        <w:t xml:space="preserve">Considerar apenas processos com origem na Amazônia Legal (AC, AM, RR, AP, PA, MA, TO, RO, MT).</w:t>
      </w:r>
    </w:p>
    <w:p>
      <w:pPr>
        <w:pStyle w:val="FirstParagraph"/>
      </w:pPr>
      <w:r>
        <w:t xml:space="preserve">Como resultado, a base ficou com 48.717 processos. A base foi utilizada na investigação das questões norteadoras 1, 2, 5, 8, 12 e 14.</w:t>
      </w:r>
    </w:p>
    <w:bookmarkEnd w:id="23"/>
    <w:bookmarkStart w:id="24" w:name="datajud"/>
    <w:p>
      <w:pPr>
        <w:pStyle w:val="Ttulo2"/>
      </w:pPr>
      <w:r>
        <w:t xml:space="preserve">DataJud</w:t>
      </w:r>
    </w:p>
    <w:p>
      <w:pPr>
        <w:pStyle w:val="FirstParagraph"/>
      </w:pPr>
      <w:r>
        <w:t xml:space="preserve">A base do DataJud também foi fornecida pelo CNJ, em dezembro de 2022. A base contém informações de processos relacionados à corrupção e lavagem de dinheiro, que podem ou não estarem ligados a crimes ambientais.</w:t>
      </w:r>
    </w:p>
    <w:p>
      <w:pPr>
        <w:pStyle w:val="Corpodetexto"/>
      </w:pPr>
      <w:r>
        <w:t xml:space="preserve">A base de dados do DataJud apresenta uma estrutura similar à do SireneJud, com colunas comuns em bases de dados judiciais, mas agrega todas as informações ao nível de processo. Como efeito, as informações das partes e das movimentações são apresentadas de forma agregada (contagens de eventos ou partes).</w:t>
      </w:r>
    </w:p>
    <w:p>
      <w:pPr>
        <w:pStyle w:val="Corpodetexto"/>
      </w:pPr>
      <w:r>
        <w:t xml:space="preserve">A base do DataJud também passou por alguns filtros antes de ser analisada:</w:t>
      </w:r>
    </w:p>
    <w:p>
      <w:pPr>
        <w:numPr>
          <w:ilvl w:val="0"/>
          <w:numId w:val="1003"/>
        </w:numPr>
        <w:pStyle w:val="Compact"/>
      </w:pPr>
      <w:r>
        <w:t xml:space="preserve">Considerar apenas processos originários no primeiro grau.</w:t>
      </w:r>
    </w:p>
    <w:p>
      <w:pPr>
        <w:numPr>
          <w:ilvl w:val="0"/>
          <w:numId w:val="1003"/>
        </w:numPr>
        <w:pStyle w:val="Compact"/>
      </w:pPr>
      <w:r>
        <w:t xml:space="preserve">Remover duplicatas de número de processo.</w:t>
      </w:r>
    </w:p>
    <w:p>
      <w:pPr>
        <w:numPr>
          <w:ilvl w:val="0"/>
          <w:numId w:val="1003"/>
        </w:numPr>
        <w:pStyle w:val="Compact"/>
      </w:pPr>
      <w:r>
        <w:t xml:space="preserve">Remover casos com as classes</w:t>
      </w:r>
      <w:r>
        <w:t xml:space="preserve"> </w:t>
      </w:r>
      <w:r>
        <w:t xml:space="preserve">“</w:t>
      </w:r>
      <w:r>
        <w:t xml:space="preserve">Termo Circunstanciado</w:t>
      </w:r>
      <w:r>
        <w:t xml:space="preserve">”</w:t>
      </w:r>
      <w:r>
        <w:t xml:space="preserve"> </w:t>
      </w:r>
      <w:r>
        <w:t xml:space="preserve">e</w:t>
      </w:r>
      <w:r>
        <w:t xml:space="preserve"> </w:t>
      </w:r>
      <w:r>
        <w:t xml:space="preserve">“</w:t>
      </w:r>
      <w:r>
        <w:t xml:space="preserve">Inquérito Policial</w:t>
      </w:r>
      <w:r>
        <w:t xml:space="preserve">”</w:t>
      </w:r>
      <w:r>
        <w:t xml:space="preserve">.</w:t>
      </w:r>
    </w:p>
    <w:p>
      <w:pPr>
        <w:numPr>
          <w:ilvl w:val="0"/>
          <w:numId w:val="1003"/>
        </w:numPr>
        <w:pStyle w:val="Compact"/>
      </w:pPr>
      <w:r>
        <w:t xml:space="preserve">Remover casos com alguns assuntos relacionados a posse de drogas para uso pessoal, furto e concussão.</w:t>
      </w:r>
    </w:p>
    <w:p>
      <w:pPr>
        <w:numPr>
          <w:ilvl w:val="0"/>
          <w:numId w:val="1003"/>
        </w:numPr>
        <w:pStyle w:val="Compact"/>
      </w:pPr>
      <w:r>
        <w:t xml:space="preserve">Considerar apenas processos com origem nas mesmas unidades jurisdicionais dos processos do SireneJud.</w:t>
      </w:r>
    </w:p>
    <w:p>
      <w:pPr>
        <w:pStyle w:val="FirstParagraph"/>
      </w:pPr>
      <w:r>
        <w:t xml:space="preserve">Como resultado, a base ficou com 184.879 processos. A base foi utilizada na investigação das questões 1, 2, 5 e 12.</w:t>
      </w:r>
    </w:p>
    <w:bookmarkEnd w:id="24"/>
    <w:bookmarkStart w:id="25" w:name="trf1"/>
    <w:p>
      <w:pPr>
        <w:pStyle w:val="Ttulo2"/>
      </w:pPr>
      <w:r>
        <w:t xml:space="preserve">TRF1</w:t>
      </w:r>
    </w:p>
    <w:p>
      <w:pPr>
        <w:pStyle w:val="FirstParagraph"/>
      </w:pPr>
      <w:r>
        <w:t xml:space="preserve">A base do TRF1 foi obtida via raspagem de dados a partir do banco de decisões do TRF1. Raspagem de dados é um processo de extração de informações de fontes da web, como sites, APIs e arquivos, e armazenamento dos dados coletados em um formato estruturado, como uma planilha ou banco de dados. Esse processo é realizado com o uso de linguagens de programação, que automatizam a extração de dados da web.</w:t>
      </w:r>
    </w:p>
    <w:p>
      <w:pPr>
        <w:pStyle w:val="Corpodetexto"/>
      </w:pPr>
      <w:r>
        <w:t xml:space="preserve">A raspagem de dados pode ser usada para coletar dados de várias fontes, sendo uma prática comum para acessar dados que são públicos, mas não são abertos, como é o caso da maior parte dos tribunais brasileiros. É importante destacar que a raspagem de dados só é necessária quando os dados não são abertos: os estudos seriam significativamente facilitados se os tribunais disponibilizassem os dados em formatos eletrônicos legíveis por máquina e não proprietários.</w:t>
      </w:r>
    </w:p>
    <w:p>
      <w:pPr>
        <w:pStyle w:val="Corpodetexto"/>
      </w:pPr>
      <w:r>
        <w:t xml:space="preserve">A vantagem da base do TRF1 é que ela é obtida a partir da consulta de palavras-chave nos textos das decisões. Isso permite uma pesquisa mais focada, já que é possível buscar por termos relacionados a questões ambientais juntamente com termos relacionados a lavagem de bens e capitais ou corrupção.</w:t>
      </w:r>
    </w:p>
    <w:p>
      <w:pPr>
        <w:pStyle w:val="Corpodetexto"/>
      </w:pPr>
      <w:r>
        <w:t xml:space="preserve">Para construir a base, partimos de algumas palavras-chave envolvendo a temática de crimes ambientais para obter uma lista inicial de processos. A lista foi, então, refinada, para obter informações de processos que se relacionam com corrupção e lavagem de bens e capitais.</w:t>
      </w:r>
    </w:p>
    <w:p>
      <w:pPr>
        <w:pStyle w:val="Corpodetexto"/>
      </w:pPr>
      <w:r>
        <w:t xml:space="preserve">Os termos utilizados para captura da primeira lista de processos foram: garimpo, desmatamento, mineração, invasão e grilagem. Os termos foram pesquisados com variações, como existência ou não de acentos e flexões das palavras (por exemplo, garimpo, garimpeiro, etc).</w:t>
      </w:r>
    </w:p>
    <w:p>
      <w:pPr>
        <w:pStyle w:val="Corpodetexto"/>
      </w:pPr>
      <w:r>
        <w:t xml:space="preserve">A primeira base obtida dessa forma tinha 32.046 processos. As informações disponíveis são bastante limitadas: o número do processo, o resumo da decisão e o texto da decisão.</w:t>
      </w:r>
    </w:p>
    <w:p>
      <w:pPr>
        <w:pStyle w:val="Corpodetexto"/>
      </w:pPr>
      <w:r>
        <w:t xml:space="preserve">A base foi, então, filtrada, com o objetivo de listar casos que podem estar dentro do escopo. Aqui existem duas versões da base: a primeira contém informações de todos os processos envolvendo questões ambientais dentro do recorte temporal e regional da pesquisa, enquanto a segunda contém, além dos recortes anteriores, filtros relacionados à lavagem e corrupção.</w:t>
      </w:r>
    </w:p>
    <w:p>
      <w:pPr>
        <w:pStyle w:val="Corpodetexto"/>
      </w:pPr>
      <w:r>
        <w:t xml:space="preserve">A primeira base contém 10.241 processos. A base foi enriquecida com informações da consulta processual (antiga) do TRF1. Os dados também foram obtidos via raspagem de dados, que permitiu a extração de dados como classe, vara, juiz, localização, movimentações e partes. Infelizmente, as partes só estão disponíveis em 2.936 processos.</w:t>
      </w:r>
    </w:p>
    <w:p>
      <w:pPr>
        <w:pStyle w:val="Corpodetexto"/>
      </w:pPr>
      <w:r>
        <w:t xml:space="preserve">A segunda base contém apenas 227 processos. Ao aplicar os filtros sobre lavagem e corrupção (especificamente: organização/associação criminosa, quadrilha, lavagem, corrupção, operação), sobram poucos casos a serem considerados.</w:t>
      </w:r>
    </w:p>
    <w:p>
      <w:pPr>
        <w:pStyle w:val="Corpodetexto"/>
      </w:pPr>
      <w:r>
        <w:t xml:space="preserve">A base grande do TRF1 foi utilizada para responder às questões 2, 5 e 14. Já a base pequena do TRF1 foi utilizada para responder à questão 1.</w:t>
      </w:r>
    </w:p>
    <w:bookmarkEnd w:id="25"/>
    <w:bookmarkStart w:id="26" w:name="limitações"/>
    <w:p>
      <w:pPr>
        <w:pStyle w:val="Ttulo2"/>
      </w:pPr>
      <w:r>
        <w:t xml:space="preserve">Limitações</w:t>
      </w:r>
    </w:p>
    <w:p>
      <w:pPr>
        <w:pStyle w:val="FirstParagraph"/>
      </w:pPr>
      <w:r>
        <w:t xml:space="preserve">Abaixo, explicamos os motivos de algumas questões não serem investigadas, total ou parcialmente, por conta das limitações das bases de dados. Além disso, mencionamos quais seriam os dados necessários para que as perguntas possam ser respondidas integralmente. É importante que muitas dessas informações não existem de forma estruturada no momento, podendo ser interpretadas como sugestões de melhorias dos dados públicos para utilização em estudos futuros.</w:t>
      </w:r>
    </w:p>
    <w:tbl>
      <w:tblPr>
        <w:tblStyle w:val="Table"/>
        <w:tblW w:type="pct" w:w="5000"/>
        <w:tblLook w:firstRow="1" w:lastRow="0" w:firstColumn="0" w:lastColumn="0" w:noHBand="0" w:noVBand="0" w:val="0020"/>
        <w:jc w:val="start"/>
      </w:tblPr>
      <w:tblGrid>
        <w:gridCol w:w="100"/>
        <w:gridCol w:w="162"/>
        <w:gridCol w:w="338"/>
        <w:gridCol w:w="3421"/>
        <w:gridCol w:w="3897"/>
      </w:tblGrid>
      <w:tr>
        <w:trPr>
          <w:tblHeader w:val="true"/>
        </w:trPr>
        <w:tc>
          <w:tcPr/>
          <w:p>
            <w:pPr>
              <w:pStyle w:val="Compact"/>
              <w:jc w:val="right"/>
            </w:pPr>
            <w:r>
              <w:t xml:space="preserve">Questão</w:t>
            </w:r>
          </w:p>
        </w:tc>
        <w:tc>
          <w:tcPr/>
          <w:p>
            <w:pPr>
              <w:pStyle w:val="Compact"/>
              <w:jc w:val="left"/>
            </w:pPr>
            <w:r>
              <w:t xml:space="preserve">Respondida</w:t>
            </w:r>
          </w:p>
        </w:tc>
        <w:tc>
          <w:tcPr/>
          <w:p>
            <w:pPr>
              <w:pStyle w:val="Compact"/>
              <w:jc w:val="left"/>
            </w:pPr>
            <w:r>
              <w:t xml:space="preserve">Bases de dados utilizadas</w:t>
            </w:r>
          </w:p>
        </w:tc>
        <w:tc>
          <w:tcPr/>
          <w:p>
            <w:pPr>
              <w:pStyle w:val="Compact"/>
              <w:jc w:val="left"/>
            </w:pPr>
            <w:r>
              <w:t xml:space="preserve">Limitação</w:t>
            </w:r>
          </w:p>
        </w:tc>
        <w:tc>
          <w:tcPr/>
          <w:p>
            <w:pPr>
              <w:pStyle w:val="Compact"/>
              <w:jc w:val="left"/>
            </w:pPr>
            <w:r>
              <w:t xml:space="preserve">Base de dados necessária</w:t>
            </w:r>
          </w:p>
        </w:tc>
      </w:tr>
      <w:tr>
        <w:tc>
          <w:tcPr/>
          <w:p>
            <w:pPr>
              <w:pStyle w:val="Compact"/>
              <w:jc w:val="right"/>
            </w:pPr>
            <w:r>
              <w:t xml:space="preserve">1</w:t>
            </w:r>
          </w:p>
        </w:tc>
        <w:tc>
          <w:tcPr/>
          <w:p>
            <w:pPr>
              <w:pStyle w:val="Compact"/>
              <w:jc w:val="left"/>
            </w:pPr>
            <w:r>
              <w:t xml:space="preserve">Parcialmente</w:t>
            </w:r>
          </w:p>
        </w:tc>
        <w:tc>
          <w:tcPr/>
          <w:p>
            <w:pPr>
              <w:pStyle w:val="Compact"/>
              <w:jc w:val="left"/>
            </w:pPr>
            <w:r>
              <w:t xml:space="preserve">sirenejud, datajud, TRF1</w:t>
            </w:r>
          </w:p>
        </w:tc>
        <w:tc>
          <w:tcPr/>
          <w:p>
            <w:pPr>
              <w:pStyle w:val="Compact"/>
              <w:jc w:val="left"/>
            </w:pPr>
            <w:r>
              <w:t xml:space="preserve">As atividades só podem ser investigadas através dos assuntos processuais disponíveis.</w:t>
            </w:r>
          </w:p>
        </w:tc>
        <w:tc>
          <w:tcPr/>
          <w:p>
            <w:pPr>
              <w:pStyle w:val="Compact"/>
              <w:jc w:val="left"/>
            </w:pPr>
            <w:r>
              <w:t xml:space="preserve">Amostra (ou a totalidade) de petições iniciais de processos envolvendo lavagem de bens e capitais no recorte regional da pesquisa, verificando quais casos envolvem crimes ambientais ou não. Em seguida, levantar, nos casos identificados, as principais atividades envolvidas.</w:t>
            </w:r>
          </w:p>
        </w:tc>
      </w:tr>
      <w:tr>
        <w:tc>
          <w:tcPr/>
          <w:p>
            <w:pPr>
              <w:pStyle w:val="Compact"/>
              <w:jc w:val="right"/>
            </w:pPr>
            <w:r>
              <w:t xml:space="preserve">2</w:t>
            </w:r>
          </w:p>
        </w:tc>
        <w:tc>
          <w:tcPr/>
          <w:p>
            <w:pPr>
              <w:pStyle w:val="Compact"/>
              <w:jc w:val="left"/>
            </w:pPr>
            <w:r>
              <w:t xml:space="preserve">Parcialmente</w:t>
            </w:r>
          </w:p>
        </w:tc>
        <w:tc>
          <w:tcPr/>
          <w:p>
            <w:pPr>
              <w:pStyle w:val="Compact"/>
              <w:jc w:val="left"/>
            </w:pPr>
            <w:r>
              <w:t xml:space="preserve">sirenejud</w:t>
            </w:r>
          </w:p>
        </w:tc>
        <w:tc>
          <w:tcPr/>
          <w:p>
            <w:pPr>
              <w:pStyle w:val="Compact"/>
              <w:jc w:val="left"/>
            </w:pPr>
            <w:r>
              <w:t xml:space="preserve">Não é possível filtrar os casos envolvendo lavagem de bens e capitais em crimes ambientais na base do Sirenejud. A base do Datajud disponibilizada não contém informação das partes. A base do TRF1 apresenta informações incompletas de partes e poucos casos dentro do escopo.</w:t>
            </w:r>
          </w:p>
        </w:tc>
        <w:tc>
          <w:tcPr/>
          <w:p>
            <w:pPr>
              <w:pStyle w:val="Compact"/>
              <w:jc w:val="left"/>
            </w:pPr>
            <w:r>
              <w:t xml:space="preserve">A partir do filtro realizado para responder à Questão 1, obter as partes relacionadas. Ou seja, ao responder à Questão 1, seria possível responder à Questão 2 somente com os dados do Datajud.</w:t>
            </w:r>
          </w:p>
        </w:tc>
      </w:tr>
      <w:tr>
        <w:tc>
          <w:tcPr/>
          <w:p>
            <w:pPr>
              <w:pStyle w:val="Compact"/>
              <w:jc w:val="right"/>
            </w:pPr>
            <w:r>
              <w:t xml:space="preserve">3</w:t>
            </w:r>
          </w:p>
        </w:tc>
        <w:tc>
          <w:tcPr/>
          <w:p>
            <w:pPr>
              <w:pStyle w:val="Compact"/>
              <w:jc w:val="left"/>
            </w:pPr>
            <w:r>
              <w:t xml:space="preserve">Não</w:t>
            </w:r>
          </w:p>
        </w:tc>
        <w:tc>
          <w:tcPr/>
          <w:p>
            <w:pPr>
              <w:pStyle w:val="Compact"/>
              <w:jc w:val="left"/>
            </w:pPr>
            <w:r>
              <w:t xml:space="preserve">-</w:t>
            </w:r>
          </w:p>
        </w:tc>
        <w:tc>
          <w:tcPr/>
          <w:p>
            <w:pPr>
              <w:pStyle w:val="Compact"/>
              <w:jc w:val="left"/>
            </w:pPr>
            <w:r>
              <w:t xml:space="preserve">Análise jurídica, não quantitativa</w:t>
            </w:r>
          </w:p>
        </w:tc>
        <w:tc>
          <w:tcPr/>
          <w:p>
            <w:pPr>
              <w:pStyle w:val="Compact"/>
              <w:jc w:val="left"/>
            </w:pPr>
            <w:r>
              <w:t xml:space="preserve">-</w:t>
            </w:r>
          </w:p>
        </w:tc>
      </w:tr>
      <w:tr>
        <w:tc>
          <w:tcPr/>
          <w:p>
            <w:pPr>
              <w:pStyle w:val="Compact"/>
              <w:jc w:val="right"/>
            </w:pPr>
            <w:r>
              <w:t xml:space="preserve">4</w:t>
            </w:r>
          </w:p>
        </w:tc>
        <w:tc>
          <w:tcPr/>
          <w:p>
            <w:pPr>
              <w:pStyle w:val="Compact"/>
              <w:jc w:val="left"/>
            </w:pPr>
            <w:r>
              <w:t xml:space="preserve">Não</w:t>
            </w:r>
          </w:p>
        </w:tc>
        <w:tc>
          <w:tcPr/>
          <w:p>
            <w:pPr>
              <w:pStyle w:val="Compact"/>
              <w:jc w:val="left"/>
            </w:pPr>
            <w:r>
              <w:t xml:space="preserve">-</w:t>
            </w:r>
          </w:p>
        </w:tc>
        <w:tc>
          <w:tcPr/>
          <w:p>
            <w:pPr>
              <w:pStyle w:val="Compact"/>
              <w:jc w:val="left"/>
            </w:pPr>
            <w:r>
              <w:t xml:space="preserve">Análise jurídica, não quantitativa</w:t>
            </w:r>
          </w:p>
        </w:tc>
        <w:tc>
          <w:tcPr/>
          <w:p>
            <w:pPr>
              <w:pStyle w:val="Compact"/>
              <w:jc w:val="left"/>
            </w:pPr>
            <w:r>
              <w:t xml:space="preserve">-</w:t>
            </w:r>
          </w:p>
        </w:tc>
      </w:tr>
      <w:tr>
        <w:tc>
          <w:tcPr/>
          <w:p>
            <w:pPr>
              <w:pStyle w:val="Compact"/>
              <w:jc w:val="right"/>
            </w:pPr>
            <w:r>
              <w:t xml:space="preserve">5</w:t>
            </w:r>
          </w:p>
        </w:tc>
        <w:tc>
          <w:tcPr/>
          <w:p>
            <w:pPr>
              <w:pStyle w:val="Compact"/>
              <w:jc w:val="left"/>
            </w:pPr>
            <w:r>
              <w:t xml:space="preserve">Parcialmente</w:t>
            </w:r>
          </w:p>
        </w:tc>
        <w:tc>
          <w:tcPr/>
          <w:p>
            <w:pPr>
              <w:pStyle w:val="Compact"/>
              <w:jc w:val="left"/>
            </w:pPr>
            <w:r>
              <w:t xml:space="preserve">Igual à questão 1</w:t>
            </w:r>
          </w:p>
        </w:tc>
        <w:tc>
          <w:tcPr/>
          <w:p>
            <w:pPr>
              <w:pStyle w:val="Compact"/>
              <w:jc w:val="left"/>
            </w:pPr>
            <w:r>
              <w:t xml:space="preserve">Igual à Questão 1</w:t>
            </w:r>
          </w:p>
        </w:tc>
        <w:tc>
          <w:tcPr/>
          <w:p>
            <w:pPr>
              <w:pStyle w:val="Compact"/>
              <w:jc w:val="left"/>
            </w:pPr>
            <w:r>
              <w:t xml:space="preserve">Igual à Questão 1</w:t>
            </w:r>
          </w:p>
        </w:tc>
      </w:tr>
      <w:tr>
        <w:tc>
          <w:tcPr/>
          <w:p>
            <w:pPr>
              <w:pStyle w:val="Compact"/>
              <w:jc w:val="right"/>
            </w:pPr>
            <w:r>
              <w:t xml:space="preserve">6</w:t>
            </w:r>
          </w:p>
        </w:tc>
        <w:tc>
          <w:tcPr/>
          <w:p>
            <w:pPr>
              <w:pStyle w:val="Compact"/>
              <w:jc w:val="left"/>
            </w:pPr>
            <w:r>
              <w:t xml:space="preserve">Não</w:t>
            </w:r>
          </w:p>
        </w:tc>
        <w:tc>
          <w:tcPr/>
          <w:p>
            <w:pPr>
              <w:pStyle w:val="Compact"/>
              <w:jc w:val="left"/>
            </w:pPr>
            <w:r>
              <w:t xml:space="preserve">-</w:t>
            </w:r>
          </w:p>
        </w:tc>
        <w:tc>
          <w:tcPr/>
          <w:p>
            <w:pPr>
              <w:pStyle w:val="Compact"/>
              <w:jc w:val="left"/>
            </w:pPr>
            <w:r>
              <w:t xml:space="preserve">As bases do Datajud e do Sirenejud não têm informações das sentenças. Na base do TRF1 as sentenças estão disponíveis, mas era inviável extrair as decisões, fundamentos jurídicos e razão de decidir de forma automática.</w:t>
            </w:r>
          </w:p>
        </w:tc>
        <w:tc>
          <w:tcPr/>
          <w:p>
            <w:pPr>
              <w:pStyle w:val="Compact"/>
              <w:jc w:val="left"/>
            </w:pPr>
            <w:r>
              <w:t xml:space="preserve">Seria necessário realizar um estudo com classificação manual das peças a partir de amostragem, ou então um estudo de classificação utilizando técnicas de mineração de texto ou ferramentas de inteligência artificial, que estavam fora do escopo da pesquisa</w:t>
            </w:r>
          </w:p>
        </w:tc>
      </w:tr>
      <w:tr>
        <w:tc>
          <w:tcPr/>
          <w:p>
            <w:pPr>
              <w:pStyle w:val="Compact"/>
              <w:jc w:val="right"/>
            </w:pPr>
            <w:r>
              <w:t xml:space="preserve">7</w:t>
            </w:r>
          </w:p>
        </w:tc>
        <w:tc>
          <w:tcPr/>
          <w:p>
            <w:pPr>
              <w:pStyle w:val="Compact"/>
              <w:jc w:val="left"/>
            </w:pPr>
            <w:r>
              <w:t xml:space="preserve">Não</w:t>
            </w:r>
          </w:p>
        </w:tc>
        <w:tc>
          <w:tcPr/>
          <w:p>
            <w:pPr>
              <w:pStyle w:val="Compact"/>
              <w:jc w:val="left"/>
            </w:pPr>
            <w:r>
              <w:t xml:space="preserve">-</w:t>
            </w:r>
          </w:p>
        </w:tc>
        <w:tc>
          <w:tcPr/>
          <w:p>
            <w:pPr>
              <w:pStyle w:val="Compact"/>
              <w:jc w:val="left"/>
            </w:pPr>
            <w:r>
              <w:t xml:space="preserve">Análise jurídica, não quantitativa</w:t>
            </w:r>
          </w:p>
        </w:tc>
        <w:tc>
          <w:tcPr/>
          <w:p>
            <w:pPr>
              <w:pStyle w:val="Compact"/>
              <w:jc w:val="left"/>
            </w:pPr>
            <w:r>
              <w:t xml:space="preserve">-</w:t>
            </w:r>
          </w:p>
        </w:tc>
      </w:tr>
      <w:tr>
        <w:tc>
          <w:tcPr/>
          <w:p>
            <w:pPr>
              <w:pStyle w:val="Compact"/>
              <w:jc w:val="right"/>
            </w:pPr>
            <w:r>
              <w:t xml:space="preserve">8</w:t>
            </w:r>
          </w:p>
        </w:tc>
        <w:tc>
          <w:tcPr/>
          <w:p>
            <w:pPr>
              <w:pStyle w:val="Compact"/>
              <w:jc w:val="left"/>
            </w:pPr>
            <w:r>
              <w:t xml:space="preserve">Parcialmente</w:t>
            </w:r>
          </w:p>
        </w:tc>
        <w:tc>
          <w:tcPr/>
          <w:p>
            <w:pPr>
              <w:pStyle w:val="Compact"/>
              <w:jc w:val="left"/>
            </w:pPr>
            <w:r>
              <w:t xml:space="preserve">Igual à questão 2</w:t>
            </w:r>
          </w:p>
        </w:tc>
        <w:tc>
          <w:tcPr/>
          <w:p>
            <w:pPr>
              <w:pStyle w:val="Compact"/>
              <w:jc w:val="left"/>
            </w:pPr>
            <w:r>
              <w:t xml:space="preserve">Igual à Questão 2</w:t>
            </w:r>
          </w:p>
        </w:tc>
        <w:tc>
          <w:tcPr/>
          <w:p>
            <w:pPr>
              <w:pStyle w:val="Compact"/>
              <w:jc w:val="left"/>
            </w:pPr>
            <w:r>
              <w:t xml:space="preserve">Igual à Questão 2</w:t>
            </w:r>
          </w:p>
        </w:tc>
      </w:tr>
      <w:tr>
        <w:tc>
          <w:tcPr/>
          <w:p>
            <w:pPr>
              <w:pStyle w:val="Compact"/>
              <w:jc w:val="right"/>
            </w:pPr>
            <w:r>
              <w:t xml:space="preserve">9</w:t>
            </w:r>
          </w:p>
        </w:tc>
        <w:tc>
          <w:tcPr/>
          <w:p>
            <w:pPr>
              <w:pStyle w:val="Compact"/>
              <w:jc w:val="left"/>
            </w:pPr>
            <w:r>
              <w:t xml:space="preserve">Não</w:t>
            </w:r>
          </w:p>
        </w:tc>
        <w:tc>
          <w:tcPr/>
          <w:p>
            <w:pPr>
              <w:pStyle w:val="Compact"/>
              <w:jc w:val="left"/>
            </w:pPr>
            <w:r>
              <w:t xml:space="preserve">NA</w:t>
            </w:r>
          </w:p>
        </w:tc>
        <w:tc>
          <w:tcPr/>
          <w:p>
            <w:pPr>
              <w:pStyle w:val="Compact"/>
              <w:jc w:val="left"/>
            </w:pPr>
            <w:r>
              <w:t xml:space="preserve">Igual à Questão 6</w:t>
            </w:r>
          </w:p>
        </w:tc>
        <w:tc>
          <w:tcPr/>
          <w:p>
            <w:pPr>
              <w:pStyle w:val="Compact"/>
              <w:jc w:val="left"/>
            </w:pPr>
            <w:r>
              <w:t xml:space="preserve">Igual à Questão 6, adicionando-se a dificuldade de informações adicionais como desconsideração da personalidade jurídica não são, necessariamente, mencionadas nas decisões. Seria, portanto, necessário analisar as movimentações processuais e outras peças dos processos para obter todas as informações desejadas.</w:t>
            </w:r>
          </w:p>
        </w:tc>
      </w:tr>
      <w:tr>
        <w:tc>
          <w:tcPr/>
          <w:p>
            <w:pPr>
              <w:pStyle w:val="Compact"/>
              <w:jc w:val="right"/>
            </w:pPr>
            <w:r>
              <w:t xml:space="preserve">10</w:t>
            </w:r>
          </w:p>
        </w:tc>
        <w:tc>
          <w:tcPr/>
          <w:p>
            <w:pPr>
              <w:pStyle w:val="Compact"/>
              <w:jc w:val="left"/>
            </w:pPr>
            <w:r>
              <w:t xml:space="preserve">Não</w:t>
            </w:r>
          </w:p>
        </w:tc>
        <w:tc>
          <w:tcPr/>
          <w:p>
            <w:pPr>
              <w:pStyle w:val="Compact"/>
              <w:jc w:val="left"/>
            </w:pPr>
            <w:r>
              <w:t xml:space="preserve">-</w:t>
            </w:r>
          </w:p>
        </w:tc>
        <w:tc>
          <w:tcPr/>
          <w:p>
            <w:pPr>
              <w:pStyle w:val="Compact"/>
              <w:jc w:val="left"/>
            </w:pPr>
            <w:r>
              <w:t xml:space="preserve">Análise jurídica, não quantitativa</w:t>
            </w:r>
          </w:p>
        </w:tc>
        <w:tc>
          <w:tcPr/>
          <w:p>
            <w:pPr>
              <w:pStyle w:val="Compact"/>
              <w:jc w:val="left"/>
            </w:pPr>
            <w:r>
              <w:t xml:space="preserve">-</w:t>
            </w:r>
          </w:p>
        </w:tc>
      </w:tr>
      <w:tr>
        <w:tc>
          <w:tcPr/>
          <w:p>
            <w:pPr>
              <w:pStyle w:val="Compact"/>
              <w:jc w:val="right"/>
            </w:pPr>
            <w:r>
              <w:t xml:space="preserve">11</w:t>
            </w:r>
          </w:p>
        </w:tc>
        <w:tc>
          <w:tcPr/>
          <w:p>
            <w:pPr>
              <w:pStyle w:val="Compact"/>
              <w:jc w:val="left"/>
            </w:pPr>
            <w:r>
              <w:t xml:space="preserve">Não</w:t>
            </w:r>
          </w:p>
        </w:tc>
        <w:tc>
          <w:tcPr/>
          <w:p>
            <w:pPr>
              <w:pStyle w:val="Compact"/>
              <w:jc w:val="left"/>
            </w:pPr>
            <w:r>
              <w:t xml:space="preserve">-</w:t>
            </w:r>
          </w:p>
        </w:tc>
        <w:tc>
          <w:tcPr/>
          <w:p>
            <w:pPr>
              <w:pStyle w:val="Compact"/>
              <w:jc w:val="left"/>
            </w:pPr>
            <w:r>
              <w:t xml:space="preserve">Análise jurídica, não quantitativa</w:t>
            </w:r>
          </w:p>
        </w:tc>
        <w:tc>
          <w:tcPr/>
          <w:p>
            <w:pPr>
              <w:pStyle w:val="Compact"/>
              <w:jc w:val="left"/>
            </w:pPr>
            <w:r>
              <w:t xml:space="preserve">-</w:t>
            </w:r>
          </w:p>
        </w:tc>
      </w:tr>
      <w:tr>
        <w:tc>
          <w:tcPr/>
          <w:p>
            <w:pPr>
              <w:pStyle w:val="Compact"/>
              <w:jc w:val="right"/>
            </w:pPr>
            <w:r>
              <w:t xml:space="preserve">12</w:t>
            </w:r>
          </w:p>
        </w:tc>
        <w:tc>
          <w:tcPr/>
          <w:p>
            <w:pPr>
              <w:pStyle w:val="Compact"/>
              <w:jc w:val="left"/>
            </w:pPr>
            <w:r>
              <w:t xml:space="preserve">Parcialmente</w:t>
            </w:r>
          </w:p>
        </w:tc>
        <w:tc>
          <w:tcPr/>
          <w:p>
            <w:pPr>
              <w:pStyle w:val="Compact"/>
              <w:jc w:val="left"/>
            </w:pPr>
            <w:r>
              <w:t xml:space="preserve">sirenejud, datajud, sinesp</w:t>
            </w:r>
          </w:p>
        </w:tc>
        <w:tc>
          <w:tcPr/>
          <w:p>
            <w:pPr>
              <w:pStyle w:val="Compact"/>
              <w:jc w:val="left"/>
            </w:pPr>
            <w:r>
              <w:t xml:space="preserve">A base do SINESP mostra apenas informações sobre crimes contra a vida, não ameaça. Além disso, não é possível filtrar os casos envolvendo lavagen de bens e capitais em crimes ambientais nas bases do Sirenejud e Datajud.</w:t>
            </w:r>
          </w:p>
        </w:tc>
        <w:tc>
          <w:tcPr/>
          <w:p>
            <w:pPr>
              <w:pStyle w:val="Compact"/>
              <w:jc w:val="left"/>
            </w:pPr>
            <w:r>
              <w:t xml:space="preserve">Além do filtro realizado para responder à Questão 1</w:t>
            </w:r>
          </w:p>
        </w:tc>
      </w:tr>
      <w:tr>
        <w:tc>
          <w:tcPr/>
          <w:p>
            <w:pPr>
              <w:pStyle w:val="Compact"/>
              <w:jc w:val="right"/>
            </w:pPr>
            <w:r>
              <w:t xml:space="preserve">13</w:t>
            </w:r>
          </w:p>
        </w:tc>
        <w:tc>
          <w:tcPr/>
          <w:p>
            <w:pPr>
              <w:pStyle w:val="Compact"/>
              <w:jc w:val="left"/>
            </w:pPr>
            <w:r>
              <w:t xml:space="preserve">Não</w:t>
            </w:r>
          </w:p>
        </w:tc>
        <w:tc>
          <w:tcPr/>
          <w:p>
            <w:pPr>
              <w:pStyle w:val="Compact"/>
              <w:jc w:val="left"/>
            </w:pPr>
            <w:r>
              <w:t xml:space="preserve">-</w:t>
            </w:r>
          </w:p>
        </w:tc>
        <w:tc>
          <w:tcPr/>
          <w:p>
            <w:pPr>
              <w:pStyle w:val="Compact"/>
              <w:jc w:val="left"/>
            </w:pPr>
            <w:r>
              <w:t xml:space="preserve">Não é possível filtrar os casos envolvendo conflitos fundiários com crimes ambientais ou crimes contra a vida com os dados disponíveis.</w:t>
            </w:r>
          </w:p>
        </w:tc>
        <w:tc>
          <w:tcPr/>
          <w:p>
            <w:pPr>
              <w:pStyle w:val="Compact"/>
              <w:jc w:val="left"/>
            </w:pPr>
            <w:r>
              <w:t xml:space="preserve">Seria necessário que esse assunto estivesse disponível nas Tabelas Processuais Unificadas (TPU). Além disso, os casos envolvendo crimes fundiários devem ser marcados com os assuntos de crime ambiental ou crime contra a vida, quando este for o caso.</w:t>
            </w:r>
          </w:p>
        </w:tc>
      </w:tr>
      <w:tr>
        <w:tc>
          <w:tcPr/>
          <w:p>
            <w:pPr>
              <w:pStyle w:val="Compact"/>
              <w:jc w:val="right"/>
            </w:pPr>
            <w:r>
              <w:t xml:space="preserve">14</w:t>
            </w:r>
          </w:p>
        </w:tc>
        <w:tc>
          <w:tcPr/>
          <w:p>
            <w:pPr>
              <w:pStyle w:val="Compact"/>
              <w:jc w:val="left"/>
            </w:pPr>
            <w:r>
              <w:t xml:space="preserve">Sim</w:t>
            </w:r>
          </w:p>
        </w:tc>
        <w:tc>
          <w:tcPr/>
          <w:p>
            <w:pPr>
              <w:pStyle w:val="Compact"/>
              <w:jc w:val="left"/>
            </w:pPr>
            <w:r>
              <w:t xml:space="preserve">sirenejud</w:t>
            </w:r>
          </w:p>
        </w:tc>
        <w:tc>
          <w:tcPr/>
          <w:p>
            <w:pPr>
              <w:pStyle w:val="Compact"/>
              <w:jc w:val="left"/>
            </w:pPr>
            <w:r>
              <w:t xml:space="preserve">A Questão 14 envolve apenas a análise do tempo médio de duração de ações criminais que envolvem a temática ambiental, sem o recorte de processos envolvendo lavagem de bens e capitais. Portanto, a análise realizada responde à pergunta de forma integral.</w:t>
            </w:r>
          </w:p>
        </w:tc>
        <w:tc>
          <w:tcPr/>
          <w:p>
            <w:pPr>
              <w:pStyle w:val="Compact"/>
              <w:jc w:val="left"/>
            </w:pPr>
            <w:r>
              <w:t xml:space="preserve">-</w:t>
            </w:r>
          </w:p>
        </w:tc>
      </w:tr>
      <w:tr>
        <w:tc>
          <w:tcPr/>
          <w:p>
            <w:pPr>
              <w:pStyle w:val="Compact"/>
              <w:jc w:val="right"/>
            </w:pPr>
            <w:r>
              <w:t xml:space="preserve">15</w:t>
            </w:r>
          </w:p>
        </w:tc>
        <w:tc>
          <w:tcPr/>
          <w:p>
            <w:pPr>
              <w:pStyle w:val="Compact"/>
              <w:jc w:val="left"/>
            </w:pPr>
            <w:r>
              <w:t xml:space="preserve">Não</w:t>
            </w:r>
          </w:p>
        </w:tc>
        <w:tc>
          <w:tcPr/>
          <w:p>
            <w:pPr>
              <w:pStyle w:val="Compact"/>
              <w:jc w:val="left"/>
            </w:pPr>
            <w:r>
              <w:t xml:space="preserve">-</w:t>
            </w:r>
          </w:p>
        </w:tc>
        <w:tc>
          <w:tcPr/>
          <w:p>
            <w:pPr>
              <w:pStyle w:val="Compact"/>
              <w:jc w:val="left"/>
            </w:pPr>
            <w:r>
              <w:t xml:space="preserve">Não é possível filtrar os casos envolvendo crimes contra a vida ou ameaça contra pessoas ligadas à defesa do meio ambiente ou de movimentos relacionados à proteção de populações indígenas e/ou povos tradicionais com os dados disponíveis.</w:t>
            </w:r>
          </w:p>
        </w:tc>
        <w:tc>
          <w:tcPr/>
          <w:p>
            <w:pPr>
              <w:pStyle w:val="Compact"/>
              <w:jc w:val="left"/>
            </w:pPr>
            <w:r>
              <w:t xml:space="preserve">Seria necessário que esse assunto estivesse disponível nas Tabelas Processuais Unificadas (TPU).</w:t>
            </w:r>
          </w:p>
        </w:tc>
      </w:tr>
      <w:tr>
        <w:tc>
          <w:tcPr/>
          <w:p>
            <w:pPr>
              <w:pStyle w:val="Compact"/>
              <w:jc w:val="right"/>
            </w:pPr>
            <w:r>
              <w:t xml:space="preserve">16</w:t>
            </w:r>
          </w:p>
        </w:tc>
        <w:tc>
          <w:tcPr/>
          <w:p>
            <w:pPr>
              <w:pStyle w:val="Compact"/>
              <w:jc w:val="left"/>
            </w:pPr>
            <w:r>
              <w:t xml:space="preserve">Não</w:t>
            </w:r>
          </w:p>
        </w:tc>
        <w:tc>
          <w:tcPr/>
          <w:p>
            <w:pPr>
              <w:pStyle w:val="Compact"/>
              <w:jc w:val="left"/>
            </w:pPr>
            <w:r>
              <w:t xml:space="preserve">-</w:t>
            </w:r>
          </w:p>
        </w:tc>
        <w:tc>
          <w:tcPr/>
          <w:p>
            <w:pPr>
              <w:pStyle w:val="Compact"/>
              <w:jc w:val="left"/>
            </w:pPr>
            <w:r>
              <w:t xml:space="preserve">Igual à Questão 13</w:t>
            </w:r>
          </w:p>
        </w:tc>
        <w:tc>
          <w:tcPr/>
          <w:p>
            <w:pPr>
              <w:pStyle w:val="Compact"/>
              <w:jc w:val="left"/>
            </w:pPr>
            <w:r>
              <w:t xml:space="preserve">Igual à Questão 13</w:t>
            </w:r>
          </w:p>
        </w:tc>
      </w:tr>
    </w:tbl>
    <w:bookmarkEnd w:id="26"/>
    <w:bookmarkStart w:id="36" w:name="dashboard"/>
    <w:p>
      <w:pPr>
        <w:pStyle w:val="Ttulo2"/>
      </w:pPr>
      <w:r>
        <w:t xml:space="preserve">Dashboard</w:t>
      </w:r>
    </w:p>
    <w:p>
      <w:pPr>
        <w:pStyle w:val="FirstParagraph"/>
      </w:pPr>
      <w:r>
        <w:t xml:space="preserve">Para complementar as análises do presente relatório, um</w:t>
      </w:r>
      <w:r>
        <w:t xml:space="preserve"> </w:t>
      </w:r>
      <w:hyperlink r:id="rId27">
        <w:r>
          <w:rPr>
            <w:rStyle w:val="Hyperlink"/>
          </w:rPr>
          <w:t xml:space="preserve">painel de análises estatísticas foi desenvolvido</w:t>
        </w:r>
      </w:hyperlink>
      <w:r>
        <w:t xml:space="preserve">. O painel apresenta informações que reforçam os achados da análise jurimétrica realizada. Por meio dos gráficos específicos disponibilizados no painel, é possível visualizar os dados relacionados aos processos ambientais aplicando filtros. Por exemplo, filtrando pelo TJAM, é possível obter os resultados da pesquisa (assuntos mais comuns, mapa e tempo dos processos) somente para o TJAM, como indicado na figura abaixo.</w:t>
      </w:r>
    </w:p>
    <w:tbl>
      <w:tblPr>
        <w:tblStyle w:val="Table"/>
        <w:tblW w:type="pct" w:w="5000"/>
        <w:tblLook w:firstRow="0" w:lastRow="0" w:firstColumn="0" w:lastColumn="0" w:noHBand="0" w:noVBand="0" w:val="0000"/>
        <w:jc w:val="start"/>
      </w:tblPr>
      <w:tblGrid>
        <w:gridCol w:w="7920"/>
      </w:tblGrid>
      <w:tr>
        <w:tc>
          <w:tcPr/>
          <w:bookmarkStart w:id="31" w:name="fig-dashboard1"/>
          <w:p>
            <w:pPr>
              <w:jc w:val="center"/>
            </w:pPr>
            <w:r>
              <w:drawing>
                <wp:inline>
                  <wp:extent cx="5969000" cy="3214357"/>
                  <wp:effectExtent b="0" l="0" r="0" t="0"/>
                  <wp:docPr descr="" title="" id="29" name="Picture"/>
                  <a:graphic>
                    <a:graphicData uri="http://schemas.openxmlformats.org/drawingml/2006/picture">
                      <pic:pic>
                        <pic:nvPicPr>
                          <pic:cNvPr descr="assets/img/dashboard1.png" id="30" name="Picture"/>
                          <pic:cNvPicPr>
                            <a:picLocks noChangeArrowheads="1" noChangeAspect="1"/>
                          </pic:cNvPicPr>
                        </pic:nvPicPr>
                        <pic:blipFill>
                          <a:blip r:embed="rId28"/>
                          <a:stretch>
                            <a:fillRect/>
                          </a:stretch>
                        </pic:blipFill>
                        <pic:spPr bwMode="auto">
                          <a:xfrm>
                            <a:off x="0" y="0"/>
                            <a:ext cx="5969000" cy="32143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Filtro no dashboard da base SirejeJud em processos do TJAM.</w:t>
            </w:r>
          </w:p>
          <w:bookmarkEnd w:id="31"/>
        </w:tc>
      </w:tr>
    </w:tbl>
    <w:p>
      <w:pPr>
        <w:pStyle w:val="Corpodetexto"/>
      </w:pPr>
      <w:r>
        <w:t xml:space="preserve">Outro filtro relevante é o de ano do processo, que permite identificar os padrões (tempo, assuntos, distribuição regional) no período selecionado. Essa informação é útil para compreender a distribuição temporal dos processos e pode auxiliar na identificação de períodos mais críticos. Ao relacionar esses dados com as respostas da análise descritiva, é possível fortalecer as conclusões sobre a distribuição dos processos e a atuação do sistema jurídico em diferentes localidades.</w:t>
      </w:r>
    </w:p>
    <w:tbl>
      <w:tblPr>
        <w:tblStyle w:val="Table"/>
        <w:tblW w:type="pct" w:w="5000"/>
        <w:tblLook w:firstRow="0" w:lastRow="0" w:firstColumn="0" w:lastColumn="0" w:noHBand="0" w:noVBand="0" w:val="0000"/>
        <w:jc w:val="start"/>
      </w:tblPr>
      <w:tblGrid>
        <w:gridCol w:w="7920"/>
      </w:tblGrid>
      <w:tr>
        <w:tc>
          <w:tcPr/>
          <w:bookmarkStart w:id="35" w:name="fig-dashboard2"/>
          <w:p>
            <w:pPr>
              <w:jc w:val="center"/>
            </w:pPr>
            <w:r>
              <w:drawing>
                <wp:inline>
                  <wp:extent cx="5969000" cy="3119826"/>
                  <wp:effectExtent b="0" l="0" r="0" t="0"/>
                  <wp:docPr descr="" title="" id="33" name="Picture"/>
                  <a:graphic>
                    <a:graphicData uri="http://schemas.openxmlformats.org/drawingml/2006/picture">
                      <pic:pic>
                        <pic:nvPicPr>
                          <pic:cNvPr descr="assets/img/dashboard2.png" id="34" name="Picture"/>
                          <pic:cNvPicPr>
                            <a:picLocks noChangeArrowheads="1" noChangeAspect="1"/>
                          </pic:cNvPicPr>
                        </pic:nvPicPr>
                        <pic:blipFill>
                          <a:blip r:embed="rId32"/>
                          <a:stretch>
                            <a:fillRect/>
                          </a:stretch>
                        </pic:blipFill>
                        <pic:spPr bwMode="auto">
                          <a:xfrm>
                            <a:off x="0" y="0"/>
                            <a:ext cx="5969000" cy="3119826"/>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Filtro no dashboard da base SirejeJud em processos entre 2011 e 2015.</w:t>
            </w:r>
          </w:p>
          <w:bookmarkEnd w:id="35"/>
        </w:tc>
      </w:tr>
    </w:tbl>
    <w:bookmarkEnd w:id="36"/>
    <w:bookmarkEnd w:id="37"/>
    <w:bookmarkStart w:id="161" w:name="análises"/>
    <w:p>
      <w:pPr>
        <w:pStyle w:val="Ttulo1"/>
      </w:pPr>
      <w:r>
        <w:t xml:space="preserve">Análises</w:t>
      </w:r>
    </w:p>
    <w:p>
      <w:pPr>
        <w:pStyle w:val="FirstParagraph"/>
      </w:pPr>
      <w:r>
        <w:t xml:space="preserve">A seguir, apresentamos investigações sobre as questões norteadoras. Cada subseção é de uma das questões. As investigações mostram os resultados principais da análise descritiva.</w:t>
      </w:r>
    </w:p>
    <w:bookmarkStart w:id="77" w:name="questão-1"/>
    <w:p>
      <w:pPr>
        <w:pStyle w:val="Ttulo2"/>
      </w:pPr>
      <w:r>
        <w:t xml:space="preserve">Questão 1</w:t>
      </w:r>
    </w:p>
    <w:p>
      <w:pPr>
        <w:pStyle w:val="FirstParagraph"/>
      </w:pPr>
      <w:r>
        <w:rPr>
          <w:bCs/>
          <w:b/>
        </w:rPr>
        <w:t xml:space="preserve">Questão</w:t>
      </w:r>
      <w:r>
        <w:t xml:space="preserve">: Quais são as atividades que conectam e alimentam a cadeia de fluxos de capitais que promovem o desmatamento?</w:t>
      </w:r>
    </w:p>
    <w:bookmarkStart w:id="56" w:name="sirenejud-1"/>
    <w:p>
      <w:pPr>
        <w:pStyle w:val="Ttulo3"/>
      </w:pPr>
      <w:r>
        <w:t xml:space="preserve">SireneJud</w:t>
      </w:r>
    </w:p>
    <w:p>
      <w:pPr>
        <w:pStyle w:val="FirstParagraph"/>
      </w:pPr>
      <w:r>
        <w:t xml:space="preserve">O SireneJud oferece informações limitadas sobre essa questão. As informações disponíveis na base que podem trazer insumos são os assuntos dos processos e a localização dos processos.</w:t>
      </w:r>
    </w:p>
    <w:p>
      <w:pPr>
        <w:pStyle w:val="Corpodetexto"/>
      </w:pPr>
      <w:r>
        <w:t xml:space="preserve">Do total de 50684 processos, 40505 (80%) são estaduais. Dentre os processos estaduais, o tribunal mais comum é o TJMT, com 12846 (31.7%) dos processos estaduais.</w:t>
      </w:r>
    </w:p>
    <w:p>
      <w:pPr>
        <w:pStyle w:val="Corpodetexto"/>
      </w:pPr>
      <w:r>
        <w:t xml:space="preserve">As 10 classes mais comuns dos processos estão na</w:t>
      </w:r>
      <w:r>
        <w:t xml:space="preserve"> </w:t>
      </w:r>
      <w:hyperlink w:anchor="tbl-classe">
        <w:r>
          <w:rPr>
            <w:rStyle w:val="Hyperlink"/>
          </w:rPr>
          <w:t xml:space="preserve">Tabela 1</w:t>
        </w:r>
      </w:hyperlink>
      <w:r>
        <w:t xml:space="preserve">. A classe com maior volume de processos é a ação civil pública. Essa classe geralmente não é a mais frequente em análises de processos, sendo uma característica específica desta base de dados.</w:t>
      </w:r>
    </w:p>
    <w:bookmarkStart w:id="38" w:name="tbl-classe"/>
    <w:p>
      <w:pPr>
        <w:pStyle w:val="TableCaption"/>
      </w:pPr>
      <w:r>
        <w:t xml:space="preserve">Tabela 1: Dez classes mais comuns.</w:t>
      </w:r>
    </w:p>
    <w:tbl>
      <w:tblPr>
        <w:tblStyle w:val="Table"/>
        <w:tblW w:type="auto" w:w="0"/>
        <w:tblLook w:firstRow="1" w:lastRow="0" w:firstColumn="0" w:lastColumn="0" w:noHBand="0" w:noVBand="0" w:val="0020"/>
        <w:jc w:val="start"/>
        <w:tblCaption w:val="Tabela 1: Dez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Ação Civil Pública</w:t>
            </w:r>
          </w:p>
        </w:tc>
        <w:tc>
          <w:tcPr/>
          <w:p>
            <w:pPr>
              <w:pStyle w:val="Compact"/>
              <w:jc w:val="right"/>
            </w:pPr>
            <w:r>
              <w:t xml:space="preserve">11734</w:t>
            </w:r>
          </w:p>
        </w:tc>
        <w:tc>
          <w:tcPr/>
          <w:p>
            <w:pPr>
              <w:pStyle w:val="Compact"/>
              <w:jc w:val="right"/>
            </w:pPr>
            <w:r>
              <w:t xml:space="preserve">23.2%</w:t>
            </w:r>
          </w:p>
        </w:tc>
      </w:tr>
      <w:tr>
        <w:tc>
          <w:tcPr/>
          <w:p>
            <w:pPr>
              <w:pStyle w:val="Compact"/>
              <w:jc w:val="left"/>
            </w:pPr>
            <w:r>
              <w:t xml:space="preserve">Ação Penal - Procedimento Ordinário</w:t>
            </w:r>
          </w:p>
        </w:tc>
        <w:tc>
          <w:tcPr/>
          <w:p>
            <w:pPr>
              <w:pStyle w:val="Compact"/>
              <w:jc w:val="right"/>
            </w:pPr>
            <w:r>
              <w:t xml:space="preserve">10057</w:t>
            </w:r>
          </w:p>
        </w:tc>
        <w:tc>
          <w:tcPr/>
          <w:p>
            <w:pPr>
              <w:pStyle w:val="Compact"/>
              <w:jc w:val="right"/>
            </w:pPr>
            <w:r>
              <w:t xml:space="preserve">19.8%</w:t>
            </w:r>
          </w:p>
        </w:tc>
      </w:tr>
      <w:tr>
        <w:tc>
          <w:tcPr/>
          <w:p>
            <w:pPr>
              <w:pStyle w:val="Compact"/>
              <w:jc w:val="left"/>
            </w:pPr>
            <w:r>
              <w:t xml:space="preserve">Procedimento Comum Cível</w:t>
            </w:r>
          </w:p>
        </w:tc>
        <w:tc>
          <w:tcPr/>
          <w:p>
            <w:pPr>
              <w:pStyle w:val="Compact"/>
              <w:jc w:val="right"/>
            </w:pPr>
            <w:r>
              <w:t xml:space="preserve">8903</w:t>
            </w:r>
          </w:p>
        </w:tc>
        <w:tc>
          <w:tcPr/>
          <w:p>
            <w:pPr>
              <w:pStyle w:val="Compact"/>
              <w:jc w:val="right"/>
            </w:pPr>
            <w:r>
              <w:t xml:space="preserve">17.6%</w:t>
            </w:r>
          </w:p>
        </w:tc>
      </w:tr>
      <w:tr>
        <w:tc>
          <w:tcPr/>
          <w:p>
            <w:pPr>
              <w:pStyle w:val="Compact"/>
              <w:jc w:val="left"/>
            </w:pPr>
            <w:r>
              <w:t xml:space="preserve">Crimes Ambientais</w:t>
            </w:r>
          </w:p>
        </w:tc>
        <w:tc>
          <w:tcPr/>
          <w:p>
            <w:pPr>
              <w:pStyle w:val="Compact"/>
              <w:jc w:val="right"/>
            </w:pPr>
            <w:r>
              <w:t xml:space="preserve">4293</w:t>
            </w:r>
          </w:p>
        </w:tc>
        <w:tc>
          <w:tcPr/>
          <w:p>
            <w:pPr>
              <w:pStyle w:val="Compact"/>
              <w:jc w:val="right"/>
            </w:pPr>
            <w:r>
              <w:t xml:space="preserve">8.5%</w:t>
            </w:r>
          </w:p>
        </w:tc>
      </w:tr>
      <w:tr>
        <w:tc>
          <w:tcPr/>
          <w:p>
            <w:pPr>
              <w:pStyle w:val="Compact"/>
              <w:jc w:val="left"/>
            </w:pPr>
            <w:r>
              <w:t xml:space="preserve">Execução Fiscal</w:t>
            </w:r>
          </w:p>
        </w:tc>
        <w:tc>
          <w:tcPr/>
          <w:p>
            <w:pPr>
              <w:pStyle w:val="Compact"/>
              <w:jc w:val="right"/>
            </w:pPr>
            <w:r>
              <w:t xml:space="preserve">2030</w:t>
            </w:r>
          </w:p>
        </w:tc>
        <w:tc>
          <w:tcPr/>
          <w:p>
            <w:pPr>
              <w:pStyle w:val="Compact"/>
              <w:jc w:val="right"/>
            </w:pPr>
            <w:r>
              <w:t xml:space="preserve">4.0%</w:t>
            </w:r>
          </w:p>
        </w:tc>
      </w:tr>
      <w:tr>
        <w:tc>
          <w:tcPr/>
          <w:p>
            <w:pPr>
              <w:pStyle w:val="Compact"/>
              <w:jc w:val="left"/>
            </w:pPr>
            <w:r>
              <w:t xml:space="preserve">Ação Penal - Procedimento Sumário</w:t>
            </w:r>
          </w:p>
        </w:tc>
        <w:tc>
          <w:tcPr/>
          <w:p>
            <w:pPr>
              <w:pStyle w:val="Compact"/>
              <w:jc w:val="right"/>
            </w:pPr>
            <w:r>
              <w:t xml:space="preserve">1924</w:t>
            </w:r>
          </w:p>
        </w:tc>
        <w:tc>
          <w:tcPr/>
          <w:p>
            <w:pPr>
              <w:pStyle w:val="Compact"/>
              <w:jc w:val="right"/>
            </w:pPr>
            <w:r>
              <w:t xml:space="preserve">3.8%</w:t>
            </w:r>
          </w:p>
        </w:tc>
      </w:tr>
      <w:tr>
        <w:tc>
          <w:tcPr/>
          <w:p>
            <w:pPr>
              <w:pStyle w:val="Compact"/>
              <w:jc w:val="left"/>
            </w:pPr>
            <w:r>
              <w:t xml:space="preserve">Cumprimento de sentença</w:t>
            </w:r>
          </w:p>
        </w:tc>
        <w:tc>
          <w:tcPr/>
          <w:p>
            <w:pPr>
              <w:pStyle w:val="Compact"/>
              <w:jc w:val="right"/>
            </w:pPr>
            <w:r>
              <w:t xml:space="preserve">1406</w:t>
            </w:r>
          </w:p>
        </w:tc>
        <w:tc>
          <w:tcPr/>
          <w:p>
            <w:pPr>
              <w:pStyle w:val="Compact"/>
              <w:jc w:val="right"/>
            </w:pPr>
            <w:r>
              <w:t xml:space="preserve">2.8%</w:t>
            </w:r>
          </w:p>
        </w:tc>
      </w:tr>
      <w:tr>
        <w:tc>
          <w:tcPr/>
          <w:p>
            <w:pPr>
              <w:pStyle w:val="Compact"/>
              <w:jc w:val="left"/>
            </w:pPr>
            <w:r>
              <w:t xml:space="preserve">Ação Penal - Procedimento Sumaríssimo</w:t>
            </w:r>
          </w:p>
        </w:tc>
        <w:tc>
          <w:tcPr/>
          <w:p>
            <w:pPr>
              <w:pStyle w:val="Compact"/>
              <w:jc w:val="right"/>
            </w:pPr>
            <w:r>
              <w:t xml:space="preserve">1383</w:t>
            </w:r>
          </w:p>
        </w:tc>
        <w:tc>
          <w:tcPr/>
          <w:p>
            <w:pPr>
              <w:pStyle w:val="Compact"/>
              <w:jc w:val="right"/>
            </w:pPr>
            <w:r>
              <w:t xml:space="preserve">2.7%</w:t>
            </w:r>
          </w:p>
        </w:tc>
      </w:tr>
      <w:tr>
        <w:tc>
          <w:tcPr/>
          <w:p>
            <w:pPr>
              <w:pStyle w:val="Compact"/>
              <w:jc w:val="left"/>
            </w:pPr>
            <w:r>
              <w:t xml:space="preserve">Execução da Pena</w:t>
            </w:r>
          </w:p>
        </w:tc>
        <w:tc>
          <w:tcPr/>
          <w:p>
            <w:pPr>
              <w:pStyle w:val="Compact"/>
              <w:jc w:val="right"/>
            </w:pPr>
            <w:r>
              <w:t xml:space="preserve">1338</w:t>
            </w:r>
          </w:p>
        </w:tc>
        <w:tc>
          <w:tcPr/>
          <w:p>
            <w:pPr>
              <w:pStyle w:val="Compact"/>
              <w:jc w:val="right"/>
            </w:pPr>
            <w:r>
              <w:t xml:space="preserve">2.6%</w:t>
            </w:r>
          </w:p>
        </w:tc>
      </w:tr>
      <w:tr>
        <w:tc>
          <w:tcPr/>
          <w:p>
            <w:pPr>
              <w:pStyle w:val="Compact"/>
              <w:jc w:val="left"/>
            </w:pPr>
            <w:r>
              <w:t xml:space="preserve">Auto de Prisão em Flagrante</w:t>
            </w:r>
          </w:p>
        </w:tc>
        <w:tc>
          <w:tcPr/>
          <w:p>
            <w:pPr>
              <w:pStyle w:val="Compact"/>
              <w:jc w:val="right"/>
            </w:pPr>
            <w:r>
              <w:t xml:space="preserve">1300</w:t>
            </w:r>
          </w:p>
        </w:tc>
        <w:tc>
          <w:tcPr/>
          <w:p>
            <w:pPr>
              <w:pStyle w:val="Compact"/>
              <w:jc w:val="right"/>
            </w:pPr>
            <w:r>
              <w:t xml:space="preserve">2.6%</w:t>
            </w:r>
          </w:p>
        </w:tc>
      </w:tr>
      <w:tr>
        <w:tc>
          <w:tcPr/>
          <w:p>
            <w:pPr>
              <w:pStyle w:val="Compact"/>
              <w:jc w:val="left"/>
            </w:pPr>
            <w:r>
              <w:t xml:space="preserve">Outros</w:t>
            </w:r>
          </w:p>
        </w:tc>
        <w:tc>
          <w:tcPr/>
          <w:p>
            <w:pPr>
              <w:pStyle w:val="Compact"/>
              <w:jc w:val="right"/>
            </w:pPr>
            <w:r>
              <w:t xml:space="preserve">6316</w:t>
            </w:r>
          </w:p>
        </w:tc>
        <w:tc>
          <w:tcPr/>
          <w:p>
            <w:pPr>
              <w:pStyle w:val="Compact"/>
              <w:jc w:val="right"/>
            </w:pPr>
            <w:r>
              <w:t xml:space="preserve">12.5%</w:t>
            </w:r>
          </w:p>
        </w:tc>
      </w:tr>
      <w:tr>
        <w:tc>
          <w:tcPr/>
          <w:p>
            <w:pPr>
              <w:pStyle w:val="Compact"/>
              <w:jc w:val="left"/>
            </w:pPr>
            <w:r>
              <w:t xml:space="preserve">Total</w:t>
            </w:r>
          </w:p>
        </w:tc>
        <w:tc>
          <w:tcPr/>
          <w:p>
            <w:pPr>
              <w:pStyle w:val="Compact"/>
              <w:jc w:val="right"/>
            </w:pPr>
            <w:r>
              <w:t xml:space="preserve">50684</w:t>
            </w:r>
          </w:p>
        </w:tc>
        <w:tc>
          <w:tcPr/>
          <w:p>
            <w:pPr>
              <w:pStyle w:val="Compact"/>
              <w:jc w:val="right"/>
            </w:pPr>
            <w:r>
              <w:t xml:space="preserve">100.0%</w:t>
            </w:r>
          </w:p>
        </w:tc>
      </w:tr>
    </w:tbl>
    <w:bookmarkEnd w:id="38"/>
    <w:p>
      <w:pPr>
        <w:pStyle w:val="Corpodetexto"/>
      </w:pPr>
      <w:r>
        <w:t xml:space="preserve">Os 10 assuntos mais comuns estão na</w:t>
      </w:r>
      <w:r>
        <w:t xml:space="preserve"> </w:t>
      </w:r>
      <w:hyperlink w:anchor="tbl-assunto">
        <w:r>
          <w:rPr>
            <w:rStyle w:val="Hyperlink"/>
          </w:rPr>
          <w:t xml:space="preserve">Tabela 2</w:t>
        </w:r>
      </w:hyperlink>
      <w:r>
        <w:t xml:space="preserve">. É possível notar que assuntos genéricos como</w:t>
      </w:r>
      <w:r>
        <w:t xml:space="preserve"> </w:t>
      </w:r>
      <w:r>
        <w:t xml:space="preserve">“</w:t>
      </w:r>
      <w:r>
        <w:t xml:space="preserve">Dano Ambiental</w:t>
      </w:r>
      <w:r>
        <w:t xml:space="preserve">”</w:t>
      </w:r>
      <w:r>
        <w:t xml:space="preserve"> </w:t>
      </w:r>
      <w:r>
        <w:t xml:space="preserve">e</w:t>
      </w:r>
      <w:r>
        <w:t xml:space="preserve"> </w:t>
      </w:r>
      <w:r>
        <w:t xml:space="preserve">“</w:t>
      </w:r>
      <w:r>
        <w:t xml:space="preserve">Flora</w:t>
      </w:r>
      <w:r>
        <w:t xml:space="preserve">”</w:t>
      </w:r>
      <w:r>
        <w:t xml:space="preserve"> </w:t>
      </w:r>
      <w:r>
        <w:t xml:space="preserve">estão bastante presentes nos dados. Por isso, é difícil medir quais são as atividades que conectam e alimentam a cadeia de fluxos de capitais que promovem o desmatamento apenas com essa informação.</w:t>
      </w:r>
    </w:p>
    <w:bookmarkStart w:id="39" w:name="tbl-assunto"/>
    <w:p>
      <w:pPr>
        <w:pStyle w:val="TableCaption"/>
      </w:pPr>
      <w:r>
        <w:t xml:space="preserve">Tabela 2: Dez assuntos mais comuns. Um processo pode ter mais de um assunto.</w:t>
      </w:r>
    </w:p>
    <w:tbl>
      <w:tblPr>
        <w:tblStyle w:val="Table"/>
        <w:tblW w:type="auto" w:w="0"/>
        <w:tblLook w:firstRow="1" w:lastRow="0" w:firstColumn="0" w:lastColumn="0" w:noHBand="0" w:noVBand="0" w:val="0020"/>
        <w:jc w:val="start"/>
        <w:tblCaption w:val="Tabela 2: Dez assuntos mais comuns. Um processo pode ter mais de um assunto."/>
      </w:tblPr>
      <w:tblGrid>
        <w:gridCol w:w="2640"/>
        <w:gridCol w:w="2640"/>
        <w:gridCol w:w="264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Dano Ambiental</w:t>
            </w:r>
          </w:p>
        </w:tc>
        <w:tc>
          <w:tcPr/>
          <w:p>
            <w:pPr>
              <w:pStyle w:val="Compact"/>
              <w:jc w:val="right"/>
            </w:pPr>
            <w:r>
              <w:t xml:space="preserve">14838</w:t>
            </w:r>
          </w:p>
        </w:tc>
        <w:tc>
          <w:tcPr/>
          <w:p>
            <w:pPr>
              <w:pStyle w:val="Compact"/>
              <w:jc w:val="right"/>
            </w:pPr>
            <w:r>
              <w:t xml:space="preserve">27.1%</w:t>
            </w:r>
          </w:p>
        </w:tc>
      </w:tr>
      <w:tr>
        <w:tc>
          <w:tcPr/>
          <w:p>
            <w:pPr>
              <w:pStyle w:val="Compact"/>
              <w:jc w:val="left"/>
            </w:pPr>
            <w:r>
              <w:t xml:space="preserve">Crimes contra a Flora</w:t>
            </w:r>
          </w:p>
        </w:tc>
        <w:tc>
          <w:tcPr/>
          <w:p>
            <w:pPr>
              <w:pStyle w:val="Compact"/>
              <w:jc w:val="right"/>
            </w:pPr>
            <w:r>
              <w:t xml:space="preserve">8880</w:t>
            </w:r>
          </w:p>
        </w:tc>
        <w:tc>
          <w:tcPr/>
          <w:p>
            <w:pPr>
              <w:pStyle w:val="Compact"/>
              <w:jc w:val="right"/>
            </w:pPr>
            <w:r>
              <w:t xml:space="preserve">16.2%</w:t>
            </w:r>
          </w:p>
        </w:tc>
      </w:tr>
      <w:tr>
        <w:tc>
          <w:tcPr/>
          <w:p>
            <w:pPr>
              <w:pStyle w:val="Compact"/>
              <w:jc w:val="left"/>
            </w:pPr>
            <w:r>
              <w:t xml:space="preserve">Crimes contra o Meio Ambiente e o Patrimônio Genético</w:t>
            </w:r>
          </w:p>
        </w:tc>
        <w:tc>
          <w:tcPr/>
          <w:p>
            <w:pPr>
              <w:pStyle w:val="Compact"/>
              <w:jc w:val="right"/>
            </w:pPr>
            <w:r>
              <w:t xml:space="preserve">6356</w:t>
            </w:r>
          </w:p>
        </w:tc>
        <w:tc>
          <w:tcPr/>
          <w:p>
            <w:pPr>
              <w:pStyle w:val="Compact"/>
              <w:jc w:val="right"/>
            </w:pPr>
            <w:r>
              <w:t xml:space="preserve">11.6%</w:t>
            </w:r>
          </w:p>
        </w:tc>
      </w:tr>
      <w:tr>
        <w:tc>
          <w:tcPr/>
          <w:p>
            <w:pPr>
              <w:pStyle w:val="Compact"/>
              <w:jc w:val="left"/>
            </w:pPr>
            <w:r>
              <w:t xml:space="preserve">Revogação/Anulação de multa ambiental</w:t>
            </w:r>
          </w:p>
        </w:tc>
        <w:tc>
          <w:tcPr/>
          <w:p>
            <w:pPr>
              <w:pStyle w:val="Compact"/>
              <w:jc w:val="right"/>
            </w:pPr>
            <w:r>
              <w:t xml:space="preserve">4362</w:t>
            </w:r>
          </w:p>
        </w:tc>
        <w:tc>
          <w:tcPr/>
          <w:p>
            <w:pPr>
              <w:pStyle w:val="Compact"/>
              <w:jc w:val="right"/>
            </w:pPr>
            <w:r>
              <w:t xml:space="preserve">8.0%</w:t>
            </w:r>
          </w:p>
        </w:tc>
      </w:tr>
      <w:tr>
        <w:tc>
          <w:tcPr/>
          <w:p>
            <w:pPr>
              <w:pStyle w:val="Compact"/>
              <w:jc w:val="left"/>
            </w:pPr>
            <w:r>
              <w:t xml:space="preserve">Da Poluição</w:t>
            </w:r>
          </w:p>
        </w:tc>
        <w:tc>
          <w:tcPr/>
          <w:p>
            <w:pPr>
              <w:pStyle w:val="Compact"/>
              <w:jc w:val="right"/>
            </w:pPr>
            <w:r>
              <w:t xml:space="preserve">3292</w:t>
            </w:r>
          </w:p>
        </w:tc>
        <w:tc>
          <w:tcPr/>
          <w:p>
            <w:pPr>
              <w:pStyle w:val="Compact"/>
              <w:jc w:val="right"/>
            </w:pPr>
            <w:r>
              <w:t xml:space="preserve">6.0%</w:t>
            </w:r>
          </w:p>
        </w:tc>
      </w:tr>
      <w:tr>
        <w:tc>
          <w:tcPr/>
          <w:p>
            <w:pPr>
              <w:pStyle w:val="Compact"/>
              <w:jc w:val="left"/>
            </w:pPr>
            <w:r>
              <w:t xml:space="preserve">Flora</w:t>
            </w:r>
          </w:p>
        </w:tc>
        <w:tc>
          <w:tcPr/>
          <w:p>
            <w:pPr>
              <w:pStyle w:val="Compact"/>
              <w:jc w:val="right"/>
            </w:pPr>
            <w:r>
              <w:t xml:space="preserve">2740</w:t>
            </w:r>
          </w:p>
        </w:tc>
        <w:tc>
          <w:tcPr/>
          <w:p>
            <w:pPr>
              <w:pStyle w:val="Compact"/>
              <w:jc w:val="right"/>
            </w:pPr>
            <w:r>
              <w:t xml:space="preserve">5.0%</w:t>
            </w:r>
          </w:p>
        </w:tc>
      </w:tr>
      <w:tr>
        <w:tc>
          <w:tcPr/>
          <w:p>
            <w:pPr>
              <w:pStyle w:val="Compact"/>
              <w:jc w:val="left"/>
            </w:pPr>
            <w:r>
              <w:t xml:space="preserve">Indenização por Dano Ambiental</w:t>
            </w:r>
          </w:p>
        </w:tc>
        <w:tc>
          <w:tcPr/>
          <w:p>
            <w:pPr>
              <w:pStyle w:val="Compact"/>
              <w:jc w:val="right"/>
            </w:pPr>
            <w:r>
              <w:t xml:space="preserve">2641</w:t>
            </w:r>
          </w:p>
        </w:tc>
        <w:tc>
          <w:tcPr/>
          <w:p>
            <w:pPr>
              <w:pStyle w:val="Compact"/>
              <w:jc w:val="right"/>
            </w:pPr>
            <w:r>
              <w:t xml:space="preserve">4.8%</w:t>
            </w:r>
          </w:p>
        </w:tc>
      </w:tr>
      <w:tr>
        <w:tc>
          <w:tcPr/>
          <w:p>
            <w:pPr>
              <w:pStyle w:val="Compact"/>
              <w:jc w:val="left"/>
            </w:pPr>
            <w:r>
              <w:t xml:space="preserve">Crimes contra a Fauna</w:t>
            </w:r>
          </w:p>
        </w:tc>
        <w:tc>
          <w:tcPr/>
          <w:p>
            <w:pPr>
              <w:pStyle w:val="Compact"/>
              <w:jc w:val="right"/>
            </w:pPr>
            <w:r>
              <w:t xml:space="preserve">2147</w:t>
            </w:r>
          </w:p>
        </w:tc>
        <w:tc>
          <w:tcPr/>
          <w:p>
            <w:pPr>
              <w:pStyle w:val="Compact"/>
              <w:jc w:val="right"/>
            </w:pPr>
            <w:r>
              <w:t xml:space="preserve">3.9%</w:t>
            </w:r>
          </w:p>
        </w:tc>
      </w:tr>
      <w:tr>
        <w:tc>
          <w:tcPr/>
          <w:p>
            <w:pPr>
              <w:pStyle w:val="Compact"/>
              <w:jc w:val="left"/>
            </w:pPr>
            <w:r>
              <w:t xml:space="preserve">Revogação/Concessão de Licença Ambiental</w:t>
            </w:r>
          </w:p>
        </w:tc>
        <w:tc>
          <w:tcPr/>
          <w:p>
            <w:pPr>
              <w:pStyle w:val="Compact"/>
              <w:jc w:val="right"/>
            </w:pPr>
            <w:r>
              <w:t xml:space="preserve">1616</w:t>
            </w:r>
          </w:p>
        </w:tc>
        <w:tc>
          <w:tcPr/>
          <w:p>
            <w:pPr>
              <w:pStyle w:val="Compact"/>
              <w:jc w:val="right"/>
            </w:pPr>
            <w:r>
              <w:t xml:space="preserve">3.0%</w:t>
            </w:r>
          </w:p>
        </w:tc>
      </w:tr>
      <w:tr>
        <w:tc>
          <w:tcPr/>
          <w:p>
            <w:pPr>
              <w:pStyle w:val="Compact"/>
              <w:jc w:val="left"/>
            </w:pPr>
            <w:r>
              <w:t xml:space="preserve">Pesca</w:t>
            </w:r>
          </w:p>
        </w:tc>
        <w:tc>
          <w:tcPr/>
          <w:p>
            <w:pPr>
              <w:pStyle w:val="Compact"/>
              <w:jc w:val="right"/>
            </w:pPr>
            <w:r>
              <w:t xml:space="preserve">1423</w:t>
            </w:r>
          </w:p>
        </w:tc>
        <w:tc>
          <w:tcPr/>
          <w:p>
            <w:pPr>
              <w:pStyle w:val="Compact"/>
              <w:jc w:val="right"/>
            </w:pPr>
            <w:r>
              <w:t xml:space="preserve">2.6%</w:t>
            </w:r>
          </w:p>
        </w:tc>
      </w:tr>
      <w:tr>
        <w:tc>
          <w:tcPr/>
          <w:p>
            <w:pPr>
              <w:pStyle w:val="Compact"/>
              <w:jc w:val="left"/>
            </w:pPr>
            <w:r>
              <w:t xml:space="preserve">Outros</w:t>
            </w:r>
          </w:p>
        </w:tc>
        <w:tc>
          <w:tcPr/>
          <w:p>
            <w:pPr>
              <w:pStyle w:val="Compact"/>
              <w:jc w:val="right"/>
            </w:pPr>
            <w:r>
              <w:t xml:space="preserve">6452</w:t>
            </w:r>
          </w:p>
        </w:tc>
        <w:tc>
          <w:tcPr/>
          <w:p>
            <w:pPr>
              <w:pStyle w:val="Compact"/>
              <w:jc w:val="right"/>
            </w:pPr>
            <w:r>
              <w:t xml:space="preserve">11.8%</w:t>
            </w:r>
          </w:p>
        </w:tc>
      </w:tr>
      <w:tr>
        <w:tc>
          <w:tcPr/>
          <w:p>
            <w:pPr>
              <w:pStyle w:val="Compact"/>
              <w:jc w:val="left"/>
            </w:pPr>
            <w:r>
              <w:t xml:space="preserve">Total</w:t>
            </w:r>
          </w:p>
        </w:tc>
        <w:tc>
          <w:tcPr/>
          <w:p>
            <w:pPr>
              <w:pStyle w:val="Compact"/>
              <w:jc w:val="right"/>
            </w:pPr>
            <w:r>
              <w:t xml:space="preserve">54747</w:t>
            </w:r>
          </w:p>
        </w:tc>
        <w:tc>
          <w:tcPr/>
          <w:p>
            <w:pPr>
              <w:pStyle w:val="Compact"/>
              <w:jc w:val="right"/>
            </w:pPr>
            <w:r>
              <w:t xml:space="preserve">100.0%</w:t>
            </w:r>
          </w:p>
        </w:tc>
      </w:tr>
    </w:tbl>
    <w:bookmarkEnd w:id="39"/>
    <w:p>
      <w:pPr>
        <w:pStyle w:val="Corpodetexto"/>
      </w:pPr>
      <w:r>
        <w:t xml:space="preserve">A</w:t>
      </w:r>
      <w:r>
        <w:t xml:space="preserve"> </w:t>
      </w:r>
      <w:hyperlink w:anchor="fig-mapa">
        <w:r>
          <w:rPr>
            <w:rStyle w:val="Hyperlink"/>
          </w:rPr>
          <w:t xml:space="preserve">Figura 3</w:t>
        </w:r>
      </w:hyperlink>
      <w:r>
        <w:t xml:space="preserve"> </w:t>
      </w:r>
      <w:r>
        <w:t xml:space="preserve">mostra os pontos em que os processos foram distribuídos. Os pontos fora da área demarcada indicam processos do Maranhão que estão fora da Amazônia Legal. Os cinco municípios com mais processos são: Cuiabá, Porto Velho, Belém, Manaus e Altamira.</w:t>
      </w:r>
    </w:p>
    <w:tbl>
      <w:tblPr>
        <w:tblStyle w:val="Table"/>
        <w:tblW w:type="pct" w:w="5000"/>
        <w:tblLook w:firstRow="0" w:lastRow="0" w:firstColumn="0" w:lastColumn="0" w:noHBand="0" w:noVBand="0" w:val="0000"/>
        <w:jc w:val="start"/>
      </w:tblPr>
      <w:tblGrid>
        <w:gridCol w:w="7920"/>
      </w:tblGrid>
      <w:tr>
        <w:tc>
          <w:tcPr/>
          <w:bookmarkStart w:id="43" w:name="fig-mapa"/>
          <w:p>
            <w:pPr>
              <w:jc w:val="center"/>
            </w:pPr>
            <w:r>
              <w:drawing>
                <wp:inline>
                  <wp:extent cx="4620126" cy="3696101"/>
                  <wp:effectExtent b="0" l="0" r="0" t="0"/>
                  <wp:docPr descr="" title="" id="41" name="Picture"/>
                  <a:graphic>
                    <a:graphicData uri="http://schemas.openxmlformats.org/drawingml/2006/picture">
                      <pic:pic>
                        <pic:nvPicPr>
                          <pic:cNvPr descr="2-descritiva_files/figure-docx/fig-mapa-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Pontos de distribuição dos processos</w:t>
            </w:r>
          </w:p>
          <w:bookmarkEnd w:id="43"/>
        </w:tc>
      </w:tr>
    </w:tbl>
    <w:p>
      <w:pPr>
        <w:pStyle w:val="Corpodetexto"/>
      </w:pPr>
      <w:r>
        <w:t xml:space="preserve">A</w:t>
      </w:r>
      <w:r>
        <w:t xml:space="preserve"> </w:t>
      </w:r>
      <w:hyperlink w:anchor="tbl-municipios">
        <w:r>
          <w:rPr>
            <w:rStyle w:val="Hyperlink"/>
          </w:rPr>
          <w:t xml:space="preserve">Tabela 3</w:t>
        </w:r>
      </w:hyperlink>
      <w:r>
        <w:t xml:space="preserve"> </w:t>
      </w:r>
      <w:r>
        <w:t xml:space="preserve">mostra os 10 municípios com mais processos. A maioria são capitais, o que é esperado, já que são municípios mais populosos.</w:t>
      </w:r>
    </w:p>
    <w:bookmarkStart w:id="44" w:name="tbl-municipios"/>
    <w:p>
      <w:pPr>
        <w:pStyle w:val="TableCaption"/>
      </w:pPr>
      <w:r>
        <w:t xml:space="preserve">Tabela 3: Municípios com mais processos.</w:t>
      </w:r>
    </w:p>
    <w:tbl>
      <w:tblPr>
        <w:tblStyle w:val="Table"/>
        <w:tblW w:type="auto" w:w="0"/>
        <w:tblLook w:firstRow="1" w:lastRow="0" w:firstColumn="0" w:lastColumn="0" w:noHBand="0" w:noVBand="0" w:val="0020"/>
        <w:jc w:val="start"/>
        <w:tblCaption w:val="Tabela 3: Municípios com mais processos."/>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Cuiaba / MT</w:t>
            </w:r>
          </w:p>
        </w:tc>
        <w:tc>
          <w:tcPr/>
          <w:p>
            <w:pPr>
              <w:pStyle w:val="Compact"/>
              <w:jc w:val="right"/>
            </w:pPr>
            <w:r>
              <w:t xml:space="preserve">5232</w:t>
            </w:r>
          </w:p>
        </w:tc>
        <w:tc>
          <w:tcPr/>
          <w:p>
            <w:pPr>
              <w:pStyle w:val="Compact"/>
              <w:jc w:val="right"/>
            </w:pPr>
            <w:r>
              <w:t xml:space="preserve">10.3%</w:t>
            </w:r>
          </w:p>
        </w:tc>
      </w:tr>
      <w:tr>
        <w:tc>
          <w:tcPr/>
          <w:p>
            <w:pPr>
              <w:pStyle w:val="Compact"/>
              <w:jc w:val="left"/>
            </w:pPr>
            <w:r>
              <w:t xml:space="preserve">Porto Velho / RO</w:t>
            </w:r>
          </w:p>
        </w:tc>
        <w:tc>
          <w:tcPr/>
          <w:p>
            <w:pPr>
              <w:pStyle w:val="Compact"/>
              <w:jc w:val="right"/>
            </w:pPr>
            <w:r>
              <w:t xml:space="preserve">3971</w:t>
            </w:r>
          </w:p>
        </w:tc>
        <w:tc>
          <w:tcPr/>
          <w:p>
            <w:pPr>
              <w:pStyle w:val="Compact"/>
              <w:jc w:val="right"/>
            </w:pPr>
            <w:r>
              <w:t xml:space="preserve">7.8%</w:t>
            </w:r>
          </w:p>
        </w:tc>
      </w:tr>
      <w:tr>
        <w:tc>
          <w:tcPr/>
          <w:p>
            <w:pPr>
              <w:pStyle w:val="Compact"/>
              <w:jc w:val="left"/>
            </w:pPr>
            <w:r>
              <w:t xml:space="preserve">Manaus / AM</w:t>
            </w:r>
          </w:p>
        </w:tc>
        <w:tc>
          <w:tcPr/>
          <w:p>
            <w:pPr>
              <w:pStyle w:val="Compact"/>
              <w:jc w:val="right"/>
            </w:pPr>
            <w:r>
              <w:t xml:space="preserve">3524</w:t>
            </w:r>
          </w:p>
        </w:tc>
        <w:tc>
          <w:tcPr/>
          <w:p>
            <w:pPr>
              <w:pStyle w:val="Compact"/>
              <w:jc w:val="right"/>
            </w:pPr>
            <w:r>
              <w:t xml:space="preserve">7.0%</w:t>
            </w:r>
          </w:p>
        </w:tc>
      </w:tr>
      <w:tr>
        <w:tc>
          <w:tcPr/>
          <w:p>
            <w:pPr>
              <w:pStyle w:val="Compact"/>
              <w:jc w:val="left"/>
            </w:pPr>
            <w:r>
              <w:t xml:space="preserve">Barcarena / PA</w:t>
            </w:r>
          </w:p>
        </w:tc>
        <w:tc>
          <w:tcPr/>
          <w:p>
            <w:pPr>
              <w:pStyle w:val="Compact"/>
              <w:jc w:val="right"/>
            </w:pPr>
            <w:r>
              <w:t xml:space="preserve">2054</w:t>
            </w:r>
          </w:p>
        </w:tc>
        <w:tc>
          <w:tcPr/>
          <w:p>
            <w:pPr>
              <w:pStyle w:val="Compact"/>
              <w:jc w:val="right"/>
            </w:pPr>
            <w:r>
              <w:t xml:space="preserve">4.1%</w:t>
            </w:r>
          </w:p>
        </w:tc>
      </w:tr>
      <w:tr>
        <w:tc>
          <w:tcPr/>
          <w:p>
            <w:pPr>
              <w:pStyle w:val="Compact"/>
              <w:jc w:val="left"/>
            </w:pPr>
            <w:r>
              <w:t xml:space="preserve">Altamira / PA</w:t>
            </w:r>
          </w:p>
        </w:tc>
        <w:tc>
          <w:tcPr/>
          <w:p>
            <w:pPr>
              <w:pStyle w:val="Compact"/>
              <w:jc w:val="right"/>
            </w:pPr>
            <w:r>
              <w:t xml:space="preserve">1931</w:t>
            </w:r>
          </w:p>
        </w:tc>
        <w:tc>
          <w:tcPr/>
          <w:p>
            <w:pPr>
              <w:pStyle w:val="Compact"/>
              <w:jc w:val="right"/>
            </w:pPr>
            <w:r>
              <w:t xml:space="preserve">3.8%</w:t>
            </w:r>
          </w:p>
        </w:tc>
      </w:tr>
      <w:tr>
        <w:tc>
          <w:tcPr/>
          <w:p>
            <w:pPr>
              <w:pStyle w:val="Compact"/>
              <w:jc w:val="left"/>
            </w:pPr>
            <w:r>
              <w:t xml:space="preserve">Belem / PA</w:t>
            </w:r>
          </w:p>
        </w:tc>
        <w:tc>
          <w:tcPr/>
          <w:p>
            <w:pPr>
              <w:pStyle w:val="Compact"/>
              <w:jc w:val="right"/>
            </w:pPr>
            <w:r>
              <w:t xml:space="preserve">1725</w:t>
            </w:r>
          </w:p>
        </w:tc>
        <w:tc>
          <w:tcPr/>
          <w:p>
            <w:pPr>
              <w:pStyle w:val="Compact"/>
              <w:jc w:val="right"/>
            </w:pPr>
            <w:r>
              <w:t xml:space="preserve">3.4%</w:t>
            </w:r>
          </w:p>
        </w:tc>
      </w:tr>
      <w:tr>
        <w:tc>
          <w:tcPr/>
          <w:p>
            <w:pPr>
              <w:pStyle w:val="Compact"/>
              <w:jc w:val="left"/>
            </w:pPr>
            <w:r>
              <w:t xml:space="preserve">Boa Vista / RR</w:t>
            </w:r>
          </w:p>
        </w:tc>
        <w:tc>
          <w:tcPr/>
          <w:p>
            <w:pPr>
              <w:pStyle w:val="Compact"/>
              <w:jc w:val="right"/>
            </w:pPr>
            <w:r>
              <w:t xml:space="preserve">1381</w:t>
            </w:r>
          </w:p>
        </w:tc>
        <w:tc>
          <w:tcPr/>
          <w:p>
            <w:pPr>
              <w:pStyle w:val="Compact"/>
              <w:jc w:val="right"/>
            </w:pPr>
            <w:r>
              <w:t xml:space="preserve">2.7%</w:t>
            </w:r>
          </w:p>
        </w:tc>
      </w:tr>
      <w:tr>
        <w:tc>
          <w:tcPr/>
          <w:p>
            <w:pPr>
              <w:pStyle w:val="Compact"/>
              <w:jc w:val="left"/>
            </w:pPr>
            <w:r>
              <w:t xml:space="preserve">Sao Luis / MA</w:t>
            </w:r>
          </w:p>
        </w:tc>
        <w:tc>
          <w:tcPr/>
          <w:p>
            <w:pPr>
              <w:pStyle w:val="Compact"/>
              <w:jc w:val="right"/>
            </w:pPr>
            <w:r>
              <w:t xml:space="preserve">1150</w:t>
            </w:r>
          </w:p>
        </w:tc>
        <w:tc>
          <w:tcPr/>
          <w:p>
            <w:pPr>
              <w:pStyle w:val="Compact"/>
              <w:jc w:val="right"/>
            </w:pPr>
            <w:r>
              <w:t xml:space="preserve">2.3%</w:t>
            </w:r>
          </w:p>
        </w:tc>
      </w:tr>
      <w:tr>
        <w:tc>
          <w:tcPr/>
          <w:p>
            <w:pPr>
              <w:pStyle w:val="Compact"/>
              <w:jc w:val="left"/>
            </w:pPr>
            <w:r>
              <w:t xml:space="preserve">Sinop / MT</w:t>
            </w:r>
          </w:p>
        </w:tc>
        <w:tc>
          <w:tcPr/>
          <w:p>
            <w:pPr>
              <w:pStyle w:val="Compact"/>
              <w:jc w:val="right"/>
            </w:pPr>
            <w:r>
              <w:t xml:space="preserve">1125</w:t>
            </w:r>
          </w:p>
        </w:tc>
        <w:tc>
          <w:tcPr/>
          <w:p>
            <w:pPr>
              <w:pStyle w:val="Compact"/>
              <w:jc w:val="right"/>
            </w:pPr>
            <w:r>
              <w:t xml:space="preserve">2.2%</w:t>
            </w:r>
          </w:p>
        </w:tc>
      </w:tr>
      <w:tr>
        <w:tc>
          <w:tcPr/>
          <w:p>
            <w:pPr>
              <w:pStyle w:val="Compact"/>
              <w:jc w:val="left"/>
            </w:pPr>
            <w:r>
              <w:t xml:space="preserve">Itaituba / PA</w:t>
            </w:r>
          </w:p>
        </w:tc>
        <w:tc>
          <w:tcPr/>
          <w:p>
            <w:pPr>
              <w:pStyle w:val="Compact"/>
              <w:jc w:val="right"/>
            </w:pPr>
            <w:r>
              <w:t xml:space="preserve">1100</w:t>
            </w:r>
          </w:p>
        </w:tc>
        <w:tc>
          <w:tcPr/>
          <w:p>
            <w:pPr>
              <w:pStyle w:val="Compact"/>
              <w:jc w:val="right"/>
            </w:pPr>
            <w:r>
              <w:t xml:space="preserve">2.2%</w:t>
            </w:r>
          </w:p>
        </w:tc>
      </w:tr>
      <w:tr>
        <w:tc>
          <w:tcPr/>
          <w:p>
            <w:pPr>
              <w:pStyle w:val="Compact"/>
              <w:jc w:val="left"/>
            </w:pPr>
            <w:r>
              <w:t xml:space="preserve">Outros</w:t>
            </w:r>
          </w:p>
        </w:tc>
        <w:tc>
          <w:tcPr/>
          <w:p>
            <w:pPr>
              <w:pStyle w:val="Compact"/>
              <w:jc w:val="right"/>
            </w:pPr>
            <w:r>
              <w:t xml:space="preserve">27491</w:t>
            </w:r>
          </w:p>
        </w:tc>
        <w:tc>
          <w:tcPr/>
          <w:p>
            <w:pPr>
              <w:pStyle w:val="Compact"/>
              <w:jc w:val="right"/>
            </w:pPr>
            <w:r>
              <w:t xml:space="preserve">54.2%</w:t>
            </w:r>
          </w:p>
        </w:tc>
      </w:tr>
      <w:tr>
        <w:tc>
          <w:tcPr/>
          <w:p>
            <w:pPr>
              <w:pStyle w:val="Compact"/>
              <w:jc w:val="left"/>
            </w:pPr>
            <w:r>
              <w:t xml:space="preserve">Total</w:t>
            </w:r>
          </w:p>
        </w:tc>
        <w:tc>
          <w:tcPr/>
          <w:p>
            <w:pPr>
              <w:pStyle w:val="Compact"/>
              <w:jc w:val="right"/>
            </w:pPr>
            <w:r>
              <w:t xml:space="preserve">50684</w:t>
            </w:r>
          </w:p>
        </w:tc>
        <w:tc>
          <w:tcPr/>
          <w:p>
            <w:pPr>
              <w:pStyle w:val="Compact"/>
              <w:jc w:val="right"/>
            </w:pPr>
            <w:r>
              <w:t xml:space="preserve">100.0%</w:t>
            </w:r>
          </w:p>
        </w:tc>
      </w:tr>
    </w:tbl>
    <w:bookmarkEnd w:id="44"/>
    <w:p>
      <w:pPr>
        <w:pStyle w:val="Corpodetexto"/>
      </w:pPr>
      <w:r>
        <w:t xml:space="preserve">A</w:t>
      </w:r>
      <w:r>
        <w:t xml:space="preserve"> </w:t>
      </w:r>
      <w:hyperlink w:anchor="tbl-ilg">
        <w:r>
          <w:rPr>
            <w:rStyle w:val="Hyperlink"/>
          </w:rPr>
          <w:t xml:space="preserve">Tabela 4</w:t>
        </w:r>
      </w:hyperlink>
      <w:r>
        <w:t xml:space="preserve"> </w:t>
      </w:r>
      <w:r>
        <w:t xml:space="preserve">mostra os municípios com maior litigiosidade (processos por 100 mil habitantes). É possível identificar que vários municípios pequenos (com menos de 10 mil habitantes) figuram entre os mais litigiosos.</w:t>
      </w:r>
    </w:p>
    <w:bookmarkStart w:id="45" w:name="tbl-ilg"/>
    <w:p>
      <w:pPr>
        <w:pStyle w:val="TableCaption"/>
      </w:pPr>
      <w:r>
        <w:t xml:space="preserve">Tabela 4: Municípios com mais litigiosidade, considerando população do Censo IBGE de 2010.</w:t>
      </w:r>
    </w:p>
    <w:tbl>
      <w:tblPr>
        <w:tblStyle w:val="Table"/>
        <w:tblW w:type="auto" w:w="0"/>
        <w:tblLook w:firstRow="1" w:lastRow="0" w:firstColumn="0" w:lastColumn="0" w:noHBand="0" w:noVBand="0" w:val="0020"/>
        <w:jc w:val="start"/>
        <w:tblCaption w:val="Tabela 4: Municípios com mais litigiosidade, considerando população do Censo IBGE de 2010."/>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ILG</w:t>
            </w:r>
          </w:p>
        </w:tc>
      </w:tr>
      <w:tr>
        <w:tc>
          <w:tcPr/>
          <w:p>
            <w:pPr>
              <w:pStyle w:val="Compact"/>
              <w:jc w:val="left"/>
            </w:pPr>
            <w:r>
              <w:t xml:space="preserve">Claudia / MT</w:t>
            </w:r>
          </w:p>
        </w:tc>
        <w:tc>
          <w:tcPr/>
          <w:p>
            <w:pPr>
              <w:pStyle w:val="Compact"/>
              <w:jc w:val="right"/>
            </w:pPr>
            <w:r>
              <w:t xml:space="preserve">406</w:t>
            </w:r>
          </w:p>
        </w:tc>
        <w:tc>
          <w:tcPr/>
          <w:p>
            <w:pPr>
              <w:pStyle w:val="Compact"/>
              <w:jc w:val="right"/>
            </w:pPr>
            <w:r>
              <w:t xml:space="preserve">3762.7</w:t>
            </w:r>
          </w:p>
        </w:tc>
      </w:tr>
      <w:tr>
        <w:tc>
          <w:tcPr/>
          <w:p>
            <w:pPr>
              <w:pStyle w:val="Compact"/>
              <w:jc w:val="left"/>
            </w:pPr>
            <w:r>
              <w:t xml:space="preserve">Nova Ubirata / MT</w:t>
            </w:r>
          </w:p>
        </w:tc>
        <w:tc>
          <w:tcPr/>
          <w:p>
            <w:pPr>
              <w:pStyle w:val="Compact"/>
              <w:jc w:val="right"/>
            </w:pPr>
            <w:r>
              <w:t xml:space="preserve">258</w:t>
            </w:r>
          </w:p>
        </w:tc>
        <w:tc>
          <w:tcPr/>
          <w:p>
            <w:pPr>
              <w:pStyle w:val="Compact"/>
              <w:jc w:val="right"/>
            </w:pPr>
            <w:r>
              <w:t xml:space="preserve">3042.5</w:t>
            </w:r>
          </w:p>
        </w:tc>
      </w:tr>
      <w:tr>
        <w:tc>
          <w:tcPr/>
          <w:p>
            <w:pPr>
              <w:pStyle w:val="Compact"/>
              <w:jc w:val="left"/>
            </w:pPr>
            <w:r>
              <w:t xml:space="preserve">Itauba / MT</w:t>
            </w:r>
          </w:p>
        </w:tc>
        <w:tc>
          <w:tcPr/>
          <w:p>
            <w:pPr>
              <w:pStyle w:val="Compact"/>
              <w:jc w:val="right"/>
            </w:pPr>
            <w:r>
              <w:t xml:space="preserve">132</w:t>
            </w:r>
          </w:p>
        </w:tc>
        <w:tc>
          <w:tcPr/>
          <w:p>
            <w:pPr>
              <w:pStyle w:val="Compact"/>
              <w:jc w:val="right"/>
            </w:pPr>
            <w:r>
              <w:t xml:space="preserve">2944.5</w:t>
            </w:r>
          </w:p>
        </w:tc>
      </w:tr>
      <w:tr>
        <w:tc>
          <w:tcPr/>
          <w:p>
            <w:pPr>
              <w:pStyle w:val="Compact"/>
              <w:jc w:val="left"/>
            </w:pPr>
            <w:r>
              <w:t xml:space="preserve">Feliz Natal / MT</w:t>
            </w:r>
          </w:p>
        </w:tc>
        <w:tc>
          <w:tcPr/>
          <w:p>
            <w:pPr>
              <w:pStyle w:val="Compact"/>
              <w:jc w:val="right"/>
            </w:pPr>
            <w:r>
              <w:t xml:space="preserve">302</w:t>
            </w:r>
          </w:p>
        </w:tc>
        <w:tc>
          <w:tcPr/>
          <w:p>
            <w:pPr>
              <w:pStyle w:val="Compact"/>
              <w:jc w:val="right"/>
            </w:pPr>
            <w:r>
              <w:t xml:space="preserve">2799.4</w:t>
            </w:r>
          </w:p>
        </w:tc>
      </w:tr>
      <w:tr>
        <w:tc>
          <w:tcPr/>
          <w:p>
            <w:pPr>
              <w:pStyle w:val="Compact"/>
              <w:jc w:val="left"/>
            </w:pPr>
            <w:r>
              <w:t xml:space="preserve">Cristalandia / TO</w:t>
            </w:r>
          </w:p>
        </w:tc>
        <w:tc>
          <w:tcPr/>
          <w:p>
            <w:pPr>
              <w:pStyle w:val="Compact"/>
              <w:jc w:val="right"/>
            </w:pPr>
            <w:r>
              <w:t xml:space="preserve">162</w:t>
            </w:r>
          </w:p>
        </w:tc>
        <w:tc>
          <w:tcPr/>
          <w:p>
            <w:pPr>
              <w:pStyle w:val="Compact"/>
              <w:jc w:val="right"/>
            </w:pPr>
            <w:r>
              <w:t xml:space="preserve">2333.3</w:t>
            </w:r>
          </w:p>
        </w:tc>
      </w:tr>
      <w:tr>
        <w:tc>
          <w:tcPr/>
          <w:p>
            <w:pPr>
              <w:pStyle w:val="Compact"/>
              <w:jc w:val="left"/>
            </w:pPr>
            <w:r>
              <w:t xml:space="preserve">Barcarena / PA</w:t>
            </w:r>
          </w:p>
        </w:tc>
        <w:tc>
          <w:tcPr/>
          <w:p>
            <w:pPr>
              <w:pStyle w:val="Compact"/>
              <w:jc w:val="right"/>
            </w:pPr>
            <w:r>
              <w:t xml:space="preserve">2054</w:t>
            </w:r>
          </w:p>
        </w:tc>
        <w:tc>
          <w:tcPr/>
          <w:p>
            <w:pPr>
              <w:pStyle w:val="Compact"/>
              <w:jc w:val="right"/>
            </w:pPr>
            <w:r>
              <w:t xml:space="preserve">2100.6</w:t>
            </w:r>
          </w:p>
        </w:tc>
      </w:tr>
      <w:tr>
        <w:tc>
          <w:tcPr/>
          <w:p>
            <w:pPr>
              <w:pStyle w:val="Compact"/>
              <w:jc w:val="left"/>
            </w:pPr>
            <w:r>
              <w:t xml:space="preserve">Altamira / PA</w:t>
            </w:r>
          </w:p>
        </w:tc>
        <w:tc>
          <w:tcPr/>
          <w:p>
            <w:pPr>
              <w:pStyle w:val="Compact"/>
              <w:jc w:val="right"/>
            </w:pPr>
            <w:r>
              <w:t xml:space="preserve">1931</w:t>
            </w:r>
          </w:p>
        </w:tc>
        <w:tc>
          <w:tcPr/>
          <w:p>
            <w:pPr>
              <w:pStyle w:val="Compact"/>
              <w:jc w:val="right"/>
            </w:pPr>
            <w:r>
              <w:t xml:space="preserve">2070.9</w:t>
            </w:r>
          </w:p>
        </w:tc>
      </w:tr>
      <w:tr>
        <w:tc>
          <w:tcPr/>
          <w:p>
            <w:pPr>
              <w:pStyle w:val="Compact"/>
              <w:jc w:val="left"/>
            </w:pPr>
            <w:r>
              <w:t xml:space="preserve">Marcelandia / MT</w:t>
            </w:r>
          </w:p>
        </w:tc>
        <w:tc>
          <w:tcPr/>
          <w:p>
            <w:pPr>
              <w:pStyle w:val="Compact"/>
              <w:jc w:val="right"/>
            </w:pPr>
            <w:r>
              <w:t xml:space="preserve">196</w:t>
            </w:r>
          </w:p>
        </w:tc>
        <w:tc>
          <w:tcPr/>
          <w:p>
            <w:pPr>
              <w:pStyle w:val="Compact"/>
              <w:jc w:val="right"/>
            </w:pPr>
            <w:r>
              <w:t xml:space="preserve">1680.7</w:t>
            </w:r>
          </w:p>
        </w:tc>
      </w:tr>
      <w:tr>
        <w:tc>
          <w:tcPr/>
          <w:p>
            <w:pPr>
              <w:pStyle w:val="Compact"/>
              <w:jc w:val="left"/>
            </w:pPr>
            <w:r>
              <w:t xml:space="preserve">Novo Progresso / PA</w:t>
            </w:r>
          </w:p>
        </w:tc>
        <w:tc>
          <w:tcPr/>
          <w:p>
            <w:pPr>
              <w:pStyle w:val="Compact"/>
              <w:jc w:val="right"/>
            </w:pPr>
            <w:r>
              <w:t xml:space="preserve">393</w:t>
            </w:r>
          </w:p>
        </w:tc>
        <w:tc>
          <w:tcPr/>
          <w:p>
            <w:pPr>
              <w:pStyle w:val="Compact"/>
              <w:jc w:val="right"/>
            </w:pPr>
            <w:r>
              <w:t xml:space="preserve">1590.2</w:t>
            </w:r>
          </w:p>
        </w:tc>
      </w:tr>
      <w:tr>
        <w:tc>
          <w:tcPr/>
          <w:p>
            <w:pPr>
              <w:pStyle w:val="Compact"/>
              <w:jc w:val="left"/>
            </w:pPr>
            <w:r>
              <w:t xml:space="preserve">Colniza / MT</w:t>
            </w:r>
          </w:p>
        </w:tc>
        <w:tc>
          <w:tcPr/>
          <w:p>
            <w:pPr>
              <w:pStyle w:val="Compact"/>
              <w:jc w:val="right"/>
            </w:pPr>
            <w:r>
              <w:t xml:space="preserve">351</w:t>
            </w:r>
          </w:p>
        </w:tc>
        <w:tc>
          <w:tcPr/>
          <w:p>
            <w:pPr>
              <w:pStyle w:val="Compact"/>
              <w:jc w:val="right"/>
            </w:pPr>
            <w:r>
              <w:t xml:space="preserve">1502.9</w:t>
            </w:r>
          </w:p>
        </w:tc>
      </w:tr>
    </w:tbl>
    <w:bookmarkEnd w:id="45"/>
    <w:p>
      <w:pPr>
        <w:pStyle w:val="Corpodetexto"/>
      </w:pPr>
      <w:r>
        <w:t xml:space="preserve">A</w:t>
      </w:r>
      <w:r>
        <w:t xml:space="preserve"> </w:t>
      </w:r>
      <w:hyperlink w:anchor="tbl-ilg-50k">
        <w:r>
          <w:rPr>
            <w:rStyle w:val="Hyperlink"/>
          </w:rPr>
          <w:t xml:space="preserve">Tabela 5</w:t>
        </w:r>
      </w:hyperlink>
      <w:r>
        <w:t xml:space="preserve"> </w:t>
      </w:r>
      <w:r>
        <w:t xml:space="preserve">mostra os municípios com maior litigiosidade, considerando somente municípios com mais de 50 mil habitantes. Novamente aparecem algumas capitais e figuram entre os mais litigiosos o município de Altamira, que é o município com maior área no país.</w:t>
      </w:r>
    </w:p>
    <w:bookmarkStart w:id="46" w:name="tbl-ilg-50k"/>
    <w:p>
      <w:pPr>
        <w:pStyle w:val="TableCaption"/>
      </w:pPr>
      <w:r>
        <w:t xml:space="preserve">Tabela 5: Municípios com mais litigiosidade.</w:t>
      </w:r>
    </w:p>
    <w:tbl>
      <w:tblPr>
        <w:tblStyle w:val="Table"/>
        <w:tblW w:type="auto" w:w="0"/>
        <w:tblLook w:firstRow="1" w:lastRow="0" w:firstColumn="0" w:lastColumn="0" w:noHBand="0" w:noVBand="0" w:val="0020"/>
        <w:jc w:val="start"/>
        <w:tblCaption w:val="Tabela 5: Municípios com mais litigiosidade."/>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Processos/100k hab.</w:t>
            </w:r>
          </w:p>
        </w:tc>
      </w:tr>
      <w:tr>
        <w:tc>
          <w:tcPr/>
          <w:p>
            <w:pPr>
              <w:pStyle w:val="Compact"/>
              <w:jc w:val="left"/>
            </w:pPr>
            <w:r>
              <w:t xml:space="preserve">Barcarena / PA</w:t>
            </w:r>
          </w:p>
        </w:tc>
        <w:tc>
          <w:tcPr/>
          <w:p>
            <w:pPr>
              <w:pStyle w:val="Compact"/>
              <w:jc w:val="right"/>
            </w:pPr>
            <w:r>
              <w:t xml:space="preserve">2054</w:t>
            </w:r>
          </w:p>
        </w:tc>
        <w:tc>
          <w:tcPr/>
          <w:p>
            <w:pPr>
              <w:pStyle w:val="Compact"/>
              <w:jc w:val="right"/>
            </w:pPr>
            <w:r>
              <w:t xml:space="preserve">2100.6</w:t>
            </w:r>
          </w:p>
        </w:tc>
      </w:tr>
      <w:tr>
        <w:tc>
          <w:tcPr/>
          <w:p>
            <w:pPr>
              <w:pStyle w:val="Compact"/>
              <w:jc w:val="left"/>
            </w:pPr>
            <w:r>
              <w:t xml:space="preserve">Altamira / PA</w:t>
            </w:r>
          </w:p>
        </w:tc>
        <w:tc>
          <w:tcPr/>
          <w:p>
            <w:pPr>
              <w:pStyle w:val="Compact"/>
              <w:jc w:val="right"/>
            </w:pPr>
            <w:r>
              <w:t xml:space="preserve">1931</w:t>
            </w:r>
          </w:p>
        </w:tc>
        <w:tc>
          <w:tcPr/>
          <w:p>
            <w:pPr>
              <w:pStyle w:val="Compact"/>
              <w:jc w:val="right"/>
            </w:pPr>
            <w:r>
              <w:t xml:space="preserve">2070.9</w:t>
            </w:r>
          </w:p>
        </w:tc>
      </w:tr>
      <w:tr>
        <w:tc>
          <w:tcPr/>
          <w:p>
            <w:pPr>
              <w:pStyle w:val="Compact"/>
              <w:jc w:val="left"/>
            </w:pPr>
            <w:r>
              <w:t xml:space="preserve">Itaituba / PA</w:t>
            </w:r>
          </w:p>
        </w:tc>
        <w:tc>
          <w:tcPr/>
          <w:p>
            <w:pPr>
              <w:pStyle w:val="Compact"/>
              <w:jc w:val="right"/>
            </w:pPr>
            <w:r>
              <w:t xml:space="preserve">1100</w:t>
            </w:r>
          </w:p>
        </w:tc>
        <w:tc>
          <w:tcPr/>
          <w:p>
            <w:pPr>
              <w:pStyle w:val="Compact"/>
              <w:jc w:val="right"/>
            </w:pPr>
            <w:r>
              <w:t xml:space="preserve">1184.9</w:t>
            </w:r>
          </w:p>
        </w:tc>
      </w:tr>
      <w:tr>
        <w:tc>
          <w:tcPr/>
          <w:p>
            <w:pPr>
              <w:pStyle w:val="Compact"/>
              <w:jc w:val="left"/>
            </w:pPr>
            <w:r>
              <w:t xml:space="preserve">Sinop / MT</w:t>
            </w:r>
          </w:p>
        </w:tc>
        <w:tc>
          <w:tcPr/>
          <w:p>
            <w:pPr>
              <w:pStyle w:val="Compact"/>
              <w:jc w:val="right"/>
            </w:pPr>
            <w:r>
              <w:t xml:space="preserve">1125</w:t>
            </w:r>
          </w:p>
        </w:tc>
        <w:tc>
          <w:tcPr/>
          <w:p>
            <w:pPr>
              <w:pStyle w:val="Compact"/>
              <w:jc w:val="right"/>
            </w:pPr>
            <w:r>
              <w:t xml:space="preserve">1005.1</w:t>
            </w:r>
          </w:p>
        </w:tc>
      </w:tr>
      <w:tr>
        <w:tc>
          <w:tcPr/>
          <w:p>
            <w:pPr>
              <w:pStyle w:val="Compact"/>
              <w:jc w:val="left"/>
            </w:pPr>
            <w:r>
              <w:t xml:space="preserve">Cuiaba / MT</w:t>
            </w:r>
          </w:p>
        </w:tc>
        <w:tc>
          <w:tcPr/>
          <w:p>
            <w:pPr>
              <w:pStyle w:val="Compact"/>
              <w:jc w:val="right"/>
            </w:pPr>
            <w:r>
              <w:t xml:space="preserve">5232</w:t>
            </w:r>
          </w:p>
        </w:tc>
        <w:tc>
          <w:tcPr/>
          <w:p>
            <w:pPr>
              <w:pStyle w:val="Compact"/>
              <w:jc w:val="right"/>
            </w:pPr>
            <w:r>
              <w:t xml:space="preserve">956.9</w:t>
            </w:r>
          </w:p>
        </w:tc>
      </w:tr>
      <w:tr>
        <w:tc>
          <w:tcPr/>
          <w:p>
            <w:pPr>
              <w:pStyle w:val="Compact"/>
              <w:jc w:val="left"/>
            </w:pPr>
            <w:r>
              <w:t xml:space="preserve">Porto Velho / RO</w:t>
            </w:r>
          </w:p>
        </w:tc>
        <w:tc>
          <w:tcPr/>
          <w:p>
            <w:pPr>
              <w:pStyle w:val="Compact"/>
              <w:jc w:val="right"/>
            </w:pPr>
            <w:r>
              <w:t xml:space="preserve">3971</w:t>
            </w:r>
          </w:p>
        </w:tc>
        <w:tc>
          <w:tcPr/>
          <w:p>
            <w:pPr>
              <w:pStyle w:val="Compact"/>
              <w:jc w:val="right"/>
            </w:pPr>
            <w:r>
              <w:t xml:space="preserve">946.9</w:t>
            </w:r>
          </w:p>
        </w:tc>
      </w:tr>
      <w:tr>
        <w:tc>
          <w:tcPr/>
          <w:p>
            <w:pPr>
              <w:pStyle w:val="Compact"/>
              <w:jc w:val="left"/>
            </w:pPr>
            <w:r>
              <w:t xml:space="preserve">Sao Felix Do Xingu / PA</w:t>
            </w:r>
          </w:p>
        </w:tc>
        <w:tc>
          <w:tcPr/>
          <w:p>
            <w:pPr>
              <w:pStyle w:val="Compact"/>
              <w:jc w:val="right"/>
            </w:pPr>
            <w:r>
              <w:t xml:space="preserve">681</w:t>
            </w:r>
          </w:p>
        </w:tc>
        <w:tc>
          <w:tcPr/>
          <w:p>
            <w:pPr>
              <w:pStyle w:val="Compact"/>
              <w:jc w:val="right"/>
            </w:pPr>
            <w:r>
              <w:t xml:space="preserve">891.9</w:t>
            </w:r>
          </w:p>
        </w:tc>
      </w:tr>
      <w:tr>
        <w:tc>
          <w:tcPr/>
          <w:p>
            <w:pPr>
              <w:pStyle w:val="Compact"/>
              <w:jc w:val="left"/>
            </w:pPr>
            <w:r>
              <w:t xml:space="preserve">Breu Branco / PA</w:t>
            </w:r>
          </w:p>
        </w:tc>
        <w:tc>
          <w:tcPr/>
          <w:p>
            <w:pPr>
              <w:pStyle w:val="Compact"/>
              <w:jc w:val="right"/>
            </w:pPr>
            <w:r>
              <w:t xml:space="preserve">357</w:t>
            </w:r>
          </w:p>
        </w:tc>
        <w:tc>
          <w:tcPr/>
          <w:p>
            <w:pPr>
              <w:pStyle w:val="Compact"/>
              <w:jc w:val="right"/>
            </w:pPr>
            <w:r>
              <w:t xml:space="preserve">703.2</w:t>
            </w:r>
          </w:p>
        </w:tc>
      </w:tr>
      <w:tr>
        <w:tc>
          <w:tcPr/>
          <w:p>
            <w:pPr>
              <w:pStyle w:val="Compact"/>
              <w:jc w:val="left"/>
            </w:pPr>
            <w:r>
              <w:t xml:space="preserve">Sorriso / MT</w:t>
            </w:r>
          </w:p>
        </w:tc>
        <w:tc>
          <w:tcPr/>
          <w:p>
            <w:pPr>
              <w:pStyle w:val="Compact"/>
              <w:jc w:val="right"/>
            </w:pPr>
            <w:r>
              <w:t xml:space="preserve">360</w:t>
            </w:r>
          </w:p>
        </w:tc>
        <w:tc>
          <w:tcPr/>
          <w:p>
            <w:pPr>
              <w:pStyle w:val="Compact"/>
              <w:jc w:val="right"/>
            </w:pPr>
            <w:r>
              <w:t xml:space="preserve">547.3</w:t>
            </w:r>
          </w:p>
        </w:tc>
      </w:tr>
      <w:tr>
        <w:tc>
          <w:tcPr/>
          <w:p>
            <w:pPr>
              <w:pStyle w:val="Compact"/>
              <w:jc w:val="left"/>
            </w:pPr>
            <w:r>
              <w:t xml:space="preserve">Tucurui / PA</w:t>
            </w:r>
          </w:p>
        </w:tc>
        <w:tc>
          <w:tcPr/>
          <w:p>
            <w:pPr>
              <w:pStyle w:val="Compact"/>
              <w:jc w:val="right"/>
            </w:pPr>
            <w:r>
              <w:t xml:space="preserve">476</w:t>
            </w:r>
          </w:p>
        </w:tc>
        <w:tc>
          <w:tcPr/>
          <w:p>
            <w:pPr>
              <w:pStyle w:val="Compact"/>
              <w:jc w:val="right"/>
            </w:pPr>
            <w:r>
              <w:t xml:space="preserve">497.5</w:t>
            </w:r>
          </w:p>
        </w:tc>
      </w:tr>
    </w:tbl>
    <w:bookmarkEnd w:id="46"/>
    <w:p>
      <w:pPr>
        <w:pStyle w:val="Corpodetexto"/>
      </w:pPr>
      <w:r>
        <w:t xml:space="preserve">A análise anterior sugere que seja realizado de quantidade de processos por 1000km² de área do município. A</w:t>
      </w:r>
      <w:r>
        <w:t xml:space="preserve"> </w:t>
      </w:r>
      <w:hyperlink w:anchor="tbl-ila-50k">
        <w:r>
          <w:rPr>
            <w:rStyle w:val="Hyperlink"/>
          </w:rPr>
          <w:t xml:space="preserve">Tabela 6</w:t>
        </w:r>
      </w:hyperlink>
      <w:r>
        <w:t xml:space="preserve"> </w:t>
      </w:r>
      <w:r>
        <w:t xml:space="preserve">mostra os municípios com maior litigiosidade por área, considerando somente municípios com mais de 5000 km² de área. Novamente aparecem algumas capitais e figura entre os mais litigiosos o município de Cuiabá.</w:t>
      </w:r>
    </w:p>
    <w:bookmarkStart w:id="47" w:name="tbl-ila-50k"/>
    <w:p>
      <w:pPr>
        <w:pStyle w:val="TableCaption"/>
      </w:pPr>
      <w:r>
        <w:t xml:space="preserve">Tabela 6: Municípios com maiores taxas de processos por mil quilômetros quadrados.</w:t>
      </w:r>
    </w:p>
    <w:tbl>
      <w:tblPr>
        <w:tblStyle w:val="Table"/>
        <w:tblW w:type="auto" w:w="0"/>
        <w:tblLook w:firstRow="1" w:lastRow="0" w:firstColumn="0" w:lastColumn="0" w:noHBand="0" w:noVBand="0" w:val="0020"/>
        <w:jc w:val="start"/>
        <w:tblCaption w:val="Tabela 6: Municípios com maiores taxas de processos por mil quilômetros quadrados."/>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Processos/1000 km²</w:t>
            </w:r>
          </w:p>
        </w:tc>
      </w:tr>
      <w:tr>
        <w:tc>
          <w:tcPr/>
          <w:p>
            <w:pPr>
              <w:pStyle w:val="Compact"/>
              <w:jc w:val="left"/>
            </w:pPr>
            <w:r>
              <w:t xml:space="preserve">Cuiaba / MT</w:t>
            </w:r>
          </w:p>
        </w:tc>
        <w:tc>
          <w:tcPr/>
          <w:p>
            <w:pPr>
              <w:pStyle w:val="Compact"/>
              <w:jc w:val="right"/>
            </w:pPr>
            <w:r>
              <w:t xml:space="preserve">5232</w:t>
            </w:r>
          </w:p>
        </w:tc>
        <w:tc>
          <w:tcPr/>
          <w:p>
            <w:pPr>
              <w:pStyle w:val="Compact"/>
              <w:jc w:val="right"/>
            </w:pPr>
            <w:r>
              <w:t xml:space="preserve">1030.5</w:t>
            </w:r>
          </w:p>
        </w:tc>
      </w:tr>
      <w:tr>
        <w:tc>
          <w:tcPr/>
          <w:p>
            <w:pPr>
              <w:pStyle w:val="Compact"/>
              <w:jc w:val="left"/>
            </w:pPr>
            <w:r>
              <w:t xml:space="preserve">Manaus / AM</w:t>
            </w:r>
          </w:p>
        </w:tc>
        <w:tc>
          <w:tcPr/>
          <w:p>
            <w:pPr>
              <w:pStyle w:val="Compact"/>
              <w:jc w:val="right"/>
            </w:pPr>
            <w:r>
              <w:t xml:space="preserve">3524</w:t>
            </w:r>
          </w:p>
        </w:tc>
        <w:tc>
          <w:tcPr/>
          <w:p>
            <w:pPr>
              <w:pStyle w:val="Compact"/>
              <w:jc w:val="right"/>
            </w:pPr>
            <w:r>
              <w:t xml:space="preserve">309.1</w:t>
            </w:r>
          </w:p>
        </w:tc>
      </w:tr>
      <w:tr>
        <w:tc>
          <w:tcPr/>
          <w:p>
            <w:pPr>
              <w:pStyle w:val="Compact"/>
              <w:jc w:val="left"/>
            </w:pPr>
            <w:r>
              <w:t xml:space="preserve">Boa Vista / RR</w:t>
            </w:r>
          </w:p>
        </w:tc>
        <w:tc>
          <w:tcPr/>
          <w:p>
            <w:pPr>
              <w:pStyle w:val="Compact"/>
              <w:jc w:val="right"/>
            </w:pPr>
            <w:r>
              <w:t xml:space="preserve">1381</w:t>
            </w:r>
          </w:p>
        </w:tc>
        <w:tc>
          <w:tcPr/>
          <w:p>
            <w:pPr>
              <w:pStyle w:val="Compact"/>
              <w:jc w:val="right"/>
            </w:pPr>
            <w:r>
              <w:t xml:space="preserve">242.8</w:t>
            </w:r>
          </w:p>
        </w:tc>
      </w:tr>
      <w:tr>
        <w:tc>
          <w:tcPr/>
          <w:p>
            <w:pPr>
              <w:pStyle w:val="Compact"/>
              <w:jc w:val="left"/>
            </w:pPr>
            <w:r>
              <w:t xml:space="preserve">Macapa / AP</w:t>
            </w:r>
          </w:p>
        </w:tc>
        <w:tc>
          <w:tcPr/>
          <w:p>
            <w:pPr>
              <w:pStyle w:val="Compact"/>
              <w:jc w:val="right"/>
            </w:pPr>
            <w:r>
              <w:t xml:space="preserve">825</w:t>
            </w:r>
          </w:p>
        </w:tc>
        <w:tc>
          <w:tcPr/>
          <w:p>
            <w:pPr>
              <w:pStyle w:val="Compact"/>
              <w:jc w:val="right"/>
            </w:pPr>
            <w:r>
              <w:t xml:space="preserve">125.7</w:t>
            </w:r>
          </w:p>
        </w:tc>
      </w:tr>
      <w:tr>
        <w:tc>
          <w:tcPr/>
          <w:p>
            <w:pPr>
              <w:pStyle w:val="Compact"/>
              <w:jc w:val="left"/>
            </w:pPr>
            <w:r>
              <w:t xml:space="preserve">Porto Velho / RO</w:t>
            </w:r>
          </w:p>
        </w:tc>
        <w:tc>
          <w:tcPr/>
          <w:p>
            <w:pPr>
              <w:pStyle w:val="Compact"/>
              <w:jc w:val="right"/>
            </w:pPr>
            <w:r>
              <w:t xml:space="preserve">3971</w:t>
            </w:r>
          </w:p>
        </w:tc>
        <w:tc>
          <w:tcPr/>
          <w:p>
            <w:pPr>
              <w:pStyle w:val="Compact"/>
              <w:jc w:val="right"/>
            </w:pPr>
            <w:r>
              <w:t xml:space="preserve">116.5</w:t>
            </w:r>
          </w:p>
        </w:tc>
      </w:tr>
      <w:tr>
        <w:tc>
          <w:tcPr/>
          <w:p>
            <w:pPr>
              <w:pStyle w:val="Compact"/>
              <w:jc w:val="left"/>
            </w:pPr>
            <w:r>
              <w:t xml:space="preserve">Maraba / PA</w:t>
            </w:r>
          </w:p>
        </w:tc>
        <w:tc>
          <w:tcPr/>
          <w:p>
            <w:pPr>
              <w:pStyle w:val="Compact"/>
              <w:jc w:val="right"/>
            </w:pPr>
            <w:r>
              <w:t xml:space="preserve">817</w:t>
            </w:r>
          </w:p>
        </w:tc>
        <w:tc>
          <w:tcPr/>
          <w:p>
            <w:pPr>
              <w:pStyle w:val="Compact"/>
              <w:jc w:val="right"/>
            </w:pPr>
            <w:r>
              <w:t xml:space="preserve">54.0</w:t>
            </w:r>
          </w:p>
        </w:tc>
      </w:tr>
      <w:tr>
        <w:tc>
          <w:tcPr/>
          <w:p>
            <w:pPr>
              <w:pStyle w:val="Compact"/>
              <w:jc w:val="left"/>
            </w:pPr>
            <w:r>
              <w:t xml:space="preserve">Rio Branco / AC</w:t>
            </w:r>
          </w:p>
        </w:tc>
        <w:tc>
          <w:tcPr/>
          <w:p>
            <w:pPr>
              <w:pStyle w:val="Compact"/>
              <w:jc w:val="right"/>
            </w:pPr>
            <w:r>
              <w:t xml:space="preserve">416</w:t>
            </w:r>
          </w:p>
        </w:tc>
        <w:tc>
          <w:tcPr/>
          <w:p>
            <w:pPr>
              <w:pStyle w:val="Compact"/>
              <w:jc w:val="right"/>
            </w:pPr>
            <w:r>
              <w:t xml:space="preserve">47.1</w:t>
            </w:r>
          </w:p>
        </w:tc>
      </w:tr>
      <w:tr>
        <w:tc>
          <w:tcPr/>
          <w:p>
            <w:pPr>
              <w:pStyle w:val="Compact"/>
              <w:jc w:val="left"/>
            </w:pPr>
            <w:r>
              <w:t xml:space="preserve">Ulianopolis / PA</w:t>
            </w:r>
          </w:p>
        </w:tc>
        <w:tc>
          <w:tcPr/>
          <w:p>
            <w:pPr>
              <w:pStyle w:val="Compact"/>
              <w:jc w:val="right"/>
            </w:pPr>
            <w:r>
              <w:t xml:space="preserve">201</w:t>
            </w:r>
          </w:p>
        </w:tc>
        <w:tc>
          <w:tcPr/>
          <w:p>
            <w:pPr>
              <w:pStyle w:val="Compact"/>
              <w:jc w:val="right"/>
            </w:pPr>
            <w:r>
              <w:t xml:space="preserve">39.5</w:t>
            </w:r>
          </w:p>
        </w:tc>
      </w:tr>
      <w:tr>
        <w:tc>
          <w:tcPr/>
          <w:p>
            <w:pPr>
              <w:pStyle w:val="Compact"/>
              <w:jc w:val="left"/>
            </w:pPr>
            <w:r>
              <w:t xml:space="preserve">Santarem / PA</w:t>
            </w:r>
          </w:p>
        </w:tc>
        <w:tc>
          <w:tcPr/>
          <w:p>
            <w:pPr>
              <w:pStyle w:val="Compact"/>
              <w:jc w:val="right"/>
            </w:pPr>
            <w:r>
              <w:t xml:space="preserve">702</w:t>
            </w:r>
          </w:p>
        </w:tc>
        <w:tc>
          <w:tcPr/>
          <w:p>
            <w:pPr>
              <w:pStyle w:val="Compact"/>
              <w:jc w:val="right"/>
            </w:pPr>
            <w:r>
              <w:t xml:space="preserve">39.2</w:t>
            </w:r>
          </w:p>
        </w:tc>
      </w:tr>
      <w:tr>
        <w:tc>
          <w:tcPr/>
          <w:p>
            <w:pPr>
              <w:pStyle w:val="Compact"/>
              <w:jc w:val="left"/>
            </w:pPr>
            <w:r>
              <w:t xml:space="preserve">Sorriso / MT</w:t>
            </w:r>
          </w:p>
        </w:tc>
        <w:tc>
          <w:tcPr/>
          <w:p>
            <w:pPr>
              <w:pStyle w:val="Compact"/>
              <w:jc w:val="right"/>
            </w:pPr>
            <w:r>
              <w:t xml:space="preserve">360</w:t>
            </w:r>
          </w:p>
        </w:tc>
        <w:tc>
          <w:tcPr/>
          <w:p>
            <w:pPr>
              <w:pStyle w:val="Compact"/>
              <w:jc w:val="right"/>
            </w:pPr>
            <w:r>
              <w:t xml:space="preserve">38.7</w:t>
            </w:r>
          </w:p>
        </w:tc>
      </w:tr>
    </w:tbl>
    <w:bookmarkEnd w:id="47"/>
    <w:p>
      <w:pPr>
        <w:pStyle w:val="Corpodetexto"/>
      </w:pPr>
      <w:r>
        <w:t xml:space="preserve">Uma análise de interesse é correlacionar a litigiosidade com o desmatamento. Para isso, foi obtida uma base do sistema PRODES, de onde é possível calcular o percentual de área desmatada com relação à área total do município. Tais dados foram confrontados com o índice de litigiosidade (casos novos por 100.000 habitantes). O resultado é a</w:t>
      </w:r>
      <w:r>
        <w:t xml:space="preserve"> </w:t>
      </w:r>
      <w:hyperlink w:anchor="fig-ilg-desmatamento-sirenejud">
        <w:r>
          <w:rPr>
            <w:rStyle w:val="Hyperlink"/>
          </w:rPr>
          <w:t xml:space="preserve">Figura 4</w:t>
        </w:r>
      </w:hyperlink>
      <w:r>
        <w:t xml:space="preserve">, mostrando que as quantidades não são correlacionadas.</w:t>
      </w:r>
    </w:p>
    <w:tbl>
      <w:tblPr>
        <w:tblStyle w:val="Table"/>
        <w:tblW w:type="pct" w:w="5000"/>
        <w:tblLook w:firstRow="0" w:lastRow="0" w:firstColumn="0" w:lastColumn="0" w:noHBand="0" w:noVBand="0" w:val="0000"/>
        <w:jc w:val="start"/>
      </w:tblPr>
      <w:tblGrid>
        <w:gridCol w:w="7920"/>
      </w:tblGrid>
      <w:tr>
        <w:tc>
          <w:tcPr/>
          <w:bookmarkStart w:id="51" w:name="fig-ilg-desmatamento-sirenejud"/>
          <w:p>
            <w:pPr>
              <w:jc w:val="center"/>
            </w:pPr>
            <w:r>
              <w:drawing>
                <wp:inline>
                  <wp:extent cx="4620126" cy="3696101"/>
                  <wp:effectExtent b="0" l="0" r="0" t="0"/>
                  <wp:docPr descr="" title="" id="49" name="Picture"/>
                  <a:graphic>
                    <a:graphicData uri="http://schemas.openxmlformats.org/drawingml/2006/picture">
                      <pic:pic>
                        <pic:nvPicPr>
                          <pic:cNvPr descr="2-descritiva_files/figure-docx/fig-ilg-desmatamento-sirenejud-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Gráfico de dispersão mostrando a relação entre a litigiosidade e o percentual de desmatamento do município.</w:t>
            </w:r>
          </w:p>
          <w:bookmarkEnd w:id="51"/>
        </w:tc>
      </w:tr>
    </w:tbl>
    <w:bookmarkStart w:id="55" w:name="segundo-grau"/>
    <w:p>
      <w:pPr>
        <w:pStyle w:val="Ttulo4"/>
      </w:pPr>
      <w:r>
        <w:t xml:space="preserve">Segundo grau</w:t>
      </w:r>
    </w:p>
    <w:p>
      <w:pPr>
        <w:pStyle w:val="FirstParagraph"/>
      </w:pPr>
      <w:r>
        <w:t xml:space="preserve">Abaixo, repetimos algumas análises considerando a base do segundo grau do SireneJud. A base foi construída utilizando os mesmos filtros que a base do primeiro grau, moficiando apenas o filtro da instância.</w:t>
      </w:r>
    </w:p>
    <w:p>
      <w:pPr>
        <w:pStyle w:val="Corpodetexto"/>
      </w:pPr>
      <w:r>
        <w:t xml:space="preserve">Do total de 6648 processos, 6648 (100%) são estaduais. Dentre os processos estaduais, o tribunal mais comum é o TJPA, com 2509 (37.7%) dos processos estaduais.</w:t>
      </w:r>
    </w:p>
    <w:p>
      <w:pPr>
        <w:pStyle w:val="Corpodetexto"/>
      </w:pPr>
      <w:r>
        <w:t xml:space="preserve">As 10 classes mais comuns dos processos estão na</w:t>
      </w:r>
      <w:r>
        <w:t xml:space="preserve"> </w:t>
      </w:r>
      <w:hyperlink w:anchor="tbl-classe-2grau">
        <w:r>
          <w:rPr>
            <w:rStyle w:val="Hyperlink"/>
          </w:rPr>
          <w:t xml:space="preserve">Tabela 7</w:t>
        </w:r>
      </w:hyperlink>
      <w:r>
        <w:t xml:space="preserve">. A classe com maior volume de processos é a apelação cível, seguida por agravos de instrumento. As classes fazem sentido, considerando que o segundo grau costuma ser formado basicamente de apelações e agravos.</w:t>
      </w:r>
    </w:p>
    <w:bookmarkStart w:id="52" w:name="tbl-classe-2grau"/>
    <w:p>
      <w:pPr>
        <w:pStyle w:val="TableCaption"/>
      </w:pPr>
      <w:r>
        <w:t xml:space="preserve">Tabela 7: Dez classes mais comuns no segundo grau.</w:t>
      </w:r>
    </w:p>
    <w:tbl>
      <w:tblPr>
        <w:tblStyle w:val="Table"/>
        <w:tblW w:type="auto" w:w="0"/>
        <w:tblLook w:firstRow="1" w:lastRow="0" w:firstColumn="0" w:lastColumn="0" w:noHBand="0" w:noVBand="0" w:val="0020"/>
        <w:jc w:val="start"/>
        <w:tblCaption w:val="Tabela 7: Dez classes mais comuns no segundo grau."/>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Apelação Cível</w:t>
            </w:r>
          </w:p>
        </w:tc>
        <w:tc>
          <w:tcPr/>
          <w:p>
            <w:pPr>
              <w:pStyle w:val="Compact"/>
              <w:jc w:val="right"/>
            </w:pPr>
            <w:r>
              <w:t xml:space="preserve">3724</w:t>
            </w:r>
          </w:p>
        </w:tc>
        <w:tc>
          <w:tcPr/>
          <w:p>
            <w:pPr>
              <w:pStyle w:val="Compact"/>
              <w:jc w:val="right"/>
            </w:pPr>
            <w:r>
              <w:t xml:space="preserve">56.0%</w:t>
            </w:r>
          </w:p>
        </w:tc>
      </w:tr>
      <w:tr>
        <w:tc>
          <w:tcPr/>
          <w:p>
            <w:pPr>
              <w:pStyle w:val="Compact"/>
              <w:jc w:val="left"/>
            </w:pPr>
            <w:r>
              <w:t xml:space="preserve">Agravo de Instrumento</w:t>
            </w:r>
          </w:p>
        </w:tc>
        <w:tc>
          <w:tcPr/>
          <w:p>
            <w:pPr>
              <w:pStyle w:val="Compact"/>
              <w:jc w:val="right"/>
            </w:pPr>
            <w:r>
              <w:t xml:space="preserve">1439</w:t>
            </w:r>
          </w:p>
        </w:tc>
        <w:tc>
          <w:tcPr/>
          <w:p>
            <w:pPr>
              <w:pStyle w:val="Compact"/>
              <w:jc w:val="right"/>
            </w:pPr>
            <w:r>
              <w:t xml:space="preserve">21.6%</w:t>
            </w:r>
          </w:p>
        </w:tc>
      </w:tr>
      <w:tr>
        <w:tc>
          <w:tcPr/>
          <w:p>
            <w:pPr>
              <w:pStyle w:val="Compact"/>
              <w:jc w:val="left"/>
            </w:pPr>
            <w:r>
              <w:t xml:space="preserve">Apelação Criminal</w:t>
            </w:r>
          </w:p>
        </w:tc>
        <w:tc>
          <w:tcPr/>
          <w:p>
            <w:pPr>
              <w:pStyle w:val="Compact"/>
              <w:jc w:val="right"/>
            </w:pPr>
            <w:r>
              <w:t xml:space="preserve">346</w:t>
            </w:r>
          </w:p>
        </w:tc>
        <w:tc>
          <w:tcPr/>
          <w:p>
            <w:pPr>
              <w:pStyle w:val="Compact"/>
              <w:jc w:val="right"/>
            </w:pPr>
            <w:r>
              <w:t xml:space="preserve">5.2%</w:t>
            </w:r>
          </w:p>
        </w:tc>
      </w:tr>
      <w:tr>
        <w:tc>
          <w:tcPr/>
          <w:p>
            <w:pPr>
              <w:pStyle w:val="Compact"/>
              <w:jc w:val="left"/>
            </w:pPr>
            <w:r>
              <w:t xml:space="preserve">Remessa Necessária Cível</w:t>
            </w:r>
          </w:p>
        </w:tc>
        <w:tc>
          <w:tcPr/>
          <w:p>
            <w:pPr>
              <w:pStyle w:val="Compact"/>
              <w:jc w:val="right"/>
            </w:pPr>
            <w:r>
              <w:t xml:space="preserve">238</w:t>
            </w:r>
          </w:p>
        </w:tc>
        <w:tc>
          <w:tcPr/>
          <w:p>
            <w:pPr>
              <w:pStyle w:val="Compact"/>
              <w:jc w:val="right"/>
            </w:pPr>
            <w:r>
              <w:t xml:space="preserve">3.6%</w:t>
            </w:r>
          </w:p>
        </w:tc>
      </w:tr>
      <w:tr>
        <w:tc>
          <w:tcPr/>
          <w:p>
            <w:pPr>
              <w:pStyle w:val="Compact"/>
              <w:jc w:val="left"/>
            </w:pPr>
            <w:r>
              <w:t xml:space="preserve">Recurso Especial</w:t>
            </w:r>
          </w:p>
        </w:tc>
        <w:tc>
          <w:tcPr/>
          <w:p>
            <w:pPr>
              <w:pStyle w:val="Compact"/>
              <w:jc w:val="right"/>
            </w:pPr>
            <w:r>
              <w:t xml:space="preserve">228</w:t>
            </w:r>
          </w:p>
        </w:tc>
        <w:tc>
          <w:tcPr/>
          <w:p>
            <w:pPr>
              <w:pStyle w:val="Compact"/>
              <w:jc w:val="right"/>
            </w:pPr>
            <w:r>
              <w:t xml:space="preserve">3.4%</w:t>
            </w:r>
          </w:p>
        </w:tc>
      </w:tr>
      <w:tr>
        <w:tc>
          <w:tcPr/>
          <w:p>
            <w:pPr>
              <w:pStyle w:val="Compact"/>
              <w:jc w:val="left"/>
            </w:pPr>
            <w:r>
              <w:t xml:space="preserve">Habeas Corpus Criminal</w:t>
            </w:r>
          </w:p>
        </w:tc>
        <w:tc>
          <w:tcPr/>
          <w:p>
            <w:pPr>
              <w:pStyle w:val="Compact"/>
              <w:jc w:val="right"/>
            </w:pPr>
            <w:r>
              <w:t xml:space="preserve">142</w:t>
            </w:r>
          </w:p>
        </w:tc>
        <w:tc>
          <w:tcPr/>
          <w:p>
            <w:pPr>
              <w:pStyle w:val="Compact"/>
              <w:jc w:val="right"/>
            </w:pPr>
            <w:r>
              <w:t xml:space="preserve">2.1%</w:t>
            </w:r>
          </w:p>
        </w:tc>
      </w:tr>
      <w:tr>
        <w:tc>
          <w:tcPr/>
          <w:p>
            <w:pPr>
              <w:pStyle w:val="Compact"/>
              <w:jc w:val="left"/>
            </w:pPr>
            <w:r>
              <w:t xml:space="preserve">Apelação / Remessa Necessária</w:t>
            </w:r>
          </w:p>
        </w:tc>
        <w:tc>
          <w:tcPr/>
          <w:p>
            <w:pPr>
              <w:pStyle w:val="Compact"/>
              <w:jc w:val="right"/>
            </w:pPr>
            <w:r>
              <w:t xml:space="preserve">113</w:t>
            </w:r>
          </w:p>
        </w:tc>
        <w:tc>
          <w:tcPr/>
          <w:p>
            <w:pPr>
              <w:pStyle w:val="Compact"/>
              <w:jc w:val="right"/>
            </w:pPr>
            <w:r>
              <w:t xml:space="preserve">1.7%</w:t>
            </w:r>
          </w:p>
        </w:tc>
      </w:tr>
      <w:tr>
        <w:tc>
          <w:tcPr/>
          <w:p>
            <w:pPr>
              <w:pStyle w:val="Compact"/>
              <w:jc w:val="left"/>
            </w:pPr>
            <w:r>
              <w:t xml:space="preserve">Mandado de Segurança Cível</w:t>
            </w:r>
          </w:p>
        </w:tc>
        <w:tc>
          <w:tcPr/>
          <w:p>
            <w:pPr>
              <w:pStyle w:val="Compact"/>
              <w:jc w:val="right"/>
            </w:pPr>
            <w:r>
              <w:t xml:space="preserve">87</w:t>
            </w:r>
          </w:p>
        </w:tc>
        <w:tc>
          <w:tcPr/>
          <w:p>
            <w:pPr>
              <w:pStyle w:val="Compact"/>
              <w:jc w:val="right"/>
            </w:pPr>
            <w:r>
              <w:t xml:space="preserve">1.3%</w:t>
            </w:r>
          </w:p>
        </w:tc>
      </w:tr>
      <w:tr>
        <w:tc>
          <w:tcPr/>
          <w:p>
            <w:pPr>
              <w:pStyle w:val="Compact"/>
              <w:jc w:val="left"/>
            </w:pPr>
            <w:r>
              <w:t xml:space="preserve">Recurso em Sentido Estrito</w:t>
            </w:r>
          </w:p>
        </w:tc>
        <w:tc>
          <w:tcPr/>
          <w:p>
            <w:pPr>
              <w:pStyle w:val="Compact"/>
              <w:jc w:val="right"/>
            </w:pPr>
            <w:r>
              <w:t xml:space="preserve">79</w:t>
            </w:r>
          </w:p>
        </w:tc>
        <w:tc>
          <w:tcPr/>
          <w:p>
            <w:pPr>
              <w:pStyle w:val="Compact"/>
              <w:jc w:val="right"/>
            </w:pPr>
            <w:r>
              <w:t xml:space="preserve">1.2%</w:t>
            </w:r>
          </w:p>
        </w:tc>
      </w:tr>
      <w:tr>
        <w:tc>
          <w:tcPr/>
          <w:p>
            <w:pPr>
              <w:pStyle w:val="Compact"/>
              <w:jc w:val="left"/>
            </w:pPr>
            <w:r>
              <w:t xml:space="preserve">Conflito de competência cível</w:t>
            </w:r>
          </w:p>
        </w:tc>
        <w:tc>
          <w:tcPr/>
          <w:p>
            <w:pPr>
              <w:pStyle w:val="Compact"/>
              <w:jc w:val="right"/>
            </w:pPr>
            <w:r>
              <w:t xml:space="preserve">43</w:t>
            </w:r>
          </w:p>
        </w:tc>
        <w:tc>
          <w:tcPr/>
          <w:p>
            <w:pPr>
              <w:pStyle w:val="Compact"/>
              <w:jc w:val="right"/>
            </w:pPr>
            <w:r>
              <w:t xml:space="preserve">0.6%</w:t>
            </w:r>
          </w:p>
        </w:tc>
      </w:tr>
      <w:tr>
        <w:tc>
          <w:tcPr/>
          <w:p>
            <w:pPr>
              <w:pStyle w:val="Compact"/>
              <w:jc w:val="left"/>
            </w:pPr>
            <w:r>
              <w:t xml:space="preserve">Outros</w:t>
            </w:r>
          </w:p>
        </w:tc>
        <w:tc>
          <w:tcPr/>
          <w:p>
            <w:pPr>
              <w:pStyle w:val="Compact"/>
              <w:jc w:val="right"/>
            </w:pPr>
            <w:r>
              <w:t xml:space="preserve">209</w:t>
            </w:r>
          </w:p>
        </w:tc>
        <w:tc>
          <w:tcPr/>
          <w:p>
            <w:pPr>
              <w:pStyle w:val="Compact"/>
              <w:jc w:val="right"/>
            </w:pPr>
            <w:r>
              <w:t xml:space="preserve">3.1%</w:t>
            </w:r>
          </w:p>
        </w:tc>
      </w:tr>
      <w:tr>
        <w:tc>
          <w:tcPr/>
          <w:p>
            <w:pPr>
              <w:pStyle w:val="Compact"/>
              <w:jc w:val="left"/>
            </w:pPr>
            <w:r>
              <w:t xml:space="preserve">Total</w:t>
            </w:r>
          </w:p>
        </w:tc>
        <w:tc>
          <w:tcPr/>
          <w:p>
            <w:pPr>
              <w:pStyle w:val="Compact"/>
              <w:jc w:val="right"/>
            </w:pPr>
            <w:r>
              <w:t xml:space="preserve">6648</w:t>
            </w:r>
          </w:p>
        </w:tc>
        <w:tc>
          <w:tcPr/>
          <w:p>
            <w:pPr>
              <w:pStyle w:val="Compact"/>
              <w:jc w:val="right"/>
            </w:pPr>
            <w:r>
              <w:t xml:space="preserve">100.0%</w:t>
            </w:r>
          </w:p>
        </w:tc>
      </w:tr>
    </w:tbl>
    <w:bookmarkEnd w:id="52"/>
    <w:p>
      <w:pPr>
        <w:pStyle w:val="Corpodetexto"/>
      </w:pPr>
      <w:r>
        <w:t xml:space="preserve">Os 10 assuntos mais comuns estão na</w:t>
      </w:r>
      <w:r>
        <w:t xml:space="preserve"> </w:t>
      </w:r>
      <w:hyperlink w:anchor="tbl-assunto-2grau">
        <w:r>
          <w:rPr>
            <w:rStyle w:val="Hyperlink"/>
          </w:rPr>
          <w:t xml:space="preserve">Tabela 8</w:t>
        </w:r>
      </w:hyperlink>
      <w:r>
        <w:t xml:space="preserve">. É possível notar que assuntos genéricos como</w:t>
      </w:r>
      <w:r>
        <w:t xml:space="preserve"> </w:t>
      </w:r>
      <w:r>
        <w:t xml:space="preserve">“</w:t>
      </w:r>
      <w:r>
        <w:t xml:space="preserve">Dano Ambiental</w:t>
      </w:r>
      <w:r>
        <w:t xml:space="preserve">”</w:t>
      </w:r>
      <w:r>
        <w:t xml:space="preserve"> </w:t>
      </w:r>
      <w:r>
        <w:t xml:space="preserve">continuam bastante presentes nos dados. Por isso, é difícil medir quais são as atividades que conectam e alimentam a cadeia de fluxos de capitais que promovem o desmatamento apenas com essa informação.</w:t>
      </w:r>
    </w:p>
    <w:bookmarkStart w:id="53" w:name="tbl-assunto-2grau"/>
    <w:p>
      <w:pPr>
        <w:pStyle w:val="TableCaption"/>
      </w:pPr>
      <w:r>
        <w:t xml:space="preserve">Tabela 8: Dez assuntos mais comuns no segundo grau. Um processo pode ter mais de um assunto.</w:t>
      </w:r>
    </w:p>
    <w:tbl>
      <w:tblPr>
        <w:tblStyle w:val="Table"/>
        <w:tblW w:type="auto" w:w="0"/>
        <w:tblLook w:firstRow="1" w:lastRow="0" w:firstColumn="0" w:lastColumn="0" w:noHBand="0" w:noVBand="0" w:val="0020"/>
        <w:jc w:val="start"/>
        <w:tblCaption w:val="Tabela 8: Dez assuntos mais comuns no segundo grau. Um processo pode ter mais de um assunto."/>
      </w:tblPr>
      <w:tblGrid>
        <w:gridCol w:w="2640"/>
        <w:gridCol w:w="2640"/>
        <w:gridCol w:w="264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Dano Ambiental</w:t>
            </w:r>
          </w:p>
        </w:tc>
        <w:tc>
          <w:tcPr/>
          <w:p>
            <w:pPr>
              <w:pStyle w:val="Compact"/>
              <w:jc w:val="right"/>
            </w:pPr>
            <w:r>
              <w:t xml:space="preserve">3629</w:t>
            </w:r>
          </w:p>
        </w:tc>
        <w:tc>
          <w:tcPr/>
          <w:p>
            <w:pPr>
              <w:pStyle w:val="Compact"/>
              <w:jc w:val="right"/>
            </w:pPr>
            <w:r>
              <w:t xml:space="preserve">46.8%</w:t>
            </w:r>
          </w:p>
        </w:tc>
      </w:tr>
      <w:tr>
        <w:tc>
          <w:tcPr/>
          <w:p>
            <w:pPr>
              <w:pStyle w:val="Compact"/>
              <w:jc w:val="left"/>
            </w:pPr>
            <w:r>
              <w:t xml:space="preserve">Indenização por Dano Ambiental</w:t>
            </w:r>
          </w:p>
        </w:tc>
        <w:tc>
          <w:tcPr/>
          <w:p>
            <w:pPr>
              <w:pStyle w:val="Compact"/>
              <w:jc w:val="right"/>
            </w:pPr>
            <w:r>
              <w:t xml:space="preserve">906</w:t>
            </w:r>
          </w:p>
        </w:tc>
        <w:tc>
          <w:tcPr/>
          <w:p>
            <w:pPr>
              <w:pStyle w:val="Compact"/>
              <w:jc w:val="right"/>
            </w:pPr>
            <w:r>
              <w:t xml:space="preserve">11.7%</w:t>
            </w:r>
          </w:p>
        </w:tc>
      </w:tr>
      <w:tr>
        <w:tc>
          <w:tcPr/>
          <w:p>
            <w:pPr>
              <w:pStyle w:val="Compact"/>
              <w:jc w:val="left"/>
            </w:pPr>
            <w:r>
              <w:t xml:space="preserve">Revogação/Anulação de multa ambiental</w:t>
            </w:r>
          </w:p>
        </w:tc>
        <w:tc>
          <w:tcPr/>
          <w:p>
            <w:pPr>
              <w:pStyle w:val="Compact"/>
              <w:jc w:val="right"/>
            </w:pPr>
            <w:r>
              <w:t xml:space="preserve">571</w:t>
            </w:r>
          </w:p>
        </w:tc>
        <w:tc>
          <w:tcPr/>
          <w:p>
            <w:pPr>
              <w:pStyle w:val="Compact"/>
              <w:jc w:val="right"/>
            </w:pPr>
            <w:r>
              <w:t xml:space="preserve">7.4%</w:t>
            </w:r>
          </w:p>
        </w:tc>
      </w:tr>
      <w:tr>
        <w:tc>
          <w:tcPr/>
          <w:p>
            <w:pPr>
              <w:pStyle w:val="Compact"/>
              <w:jc w:val="left"/>
            </w:pPr>
            <w:r>
              <w:t xml:space="preserve">Revogação/Concessão de Licença Ambiental</w:t>
            </w:r>
          </w:p>
        </w:tc>
        <w:tc>
          <w:tcPr/>
          <w:p>
            <w:pPr>
              <w:pStyle w:val="Compact"/>
              <w:jc w:val="right"/>
            </w:pPr>
            <w:r>
              <w:t xml:space="preserve">477</w:t>
            </w:r>
          </w:p>
        </w:tc>
        <w:tc>
          <w:tcPr/>
          <w:p>
            <w:pPr>
              <w:pStyle w:val="Compact"/>
              <w:jc w:val="right"/>
            </w:pPr>
            <w:r>
              <w:t xml:space="preserve">6.2%</w:t>
            </w:r>
          </w:p>
        </w:tc>
      </w:tr>
      <w:tr>
        <w:tc>
          <w:tcPr/>
          <w:p>
            <w:pPr>
              <w:pStyle w:val="Compact"/>
              <w:jc w:val="left"/>
            </w:pPr>
            <w:r>
              <w:t xml:space="preserve">Flora</w:t>
            </w:r>
          </w:p>
        </w:tc>
        <w:tc>
          <w:tcPr/>
          <w:p>
            <w:pPr>
              <w:pStyle w:val="Compact"/>
              <w:jc w:val="right"/>
            </w:pPr>
            <w:r>
              <w:t xml:space="preserve">457</w:t>
            </w:r>
          </w:p>
        </w:tc>
        <w:tc>
          <w:tcPr/>
          <w:p>
            <w:pPr>
              <w:pStyle w:val="Compact"/>
              <w:jc w:val="right"/>
            </w:pPr>
            <w:r>
              <w:t xml:space="preserve">5.9%</w:t>
            </w:r>
          </w:p>
        </w:tc>
      </w:tr>
      <w:tr>
        <w:tc>
          <w:tcPr/>
          <w:p>
            <w:pPr>
              <w:pStyle w:val="Compact"/>
              <w:jc w:val="left"/>
            </w:pPr>
            <w:r>
              <w:t xml:space="preserve">DIREITO AMBIENTAL</w:t>
            </w:r>
          </w:p>
        </w:tc>
        <w:tc>
          <w:tcPr/>
          <w:p>
            <w:pPr>
              <w:pStyle w:val="Compact"/>
              <w:jc w:val="right"/>
            </w:pPr>
            <w:r>
              <w:t xml:space="preserve">216</w:t>
            </w:r>
          </w:p>
        </w:tc>
        <w:tc>
          <w:tcPr/>
          <w:p>
            <w:pPr>
              <w:pStyle w:val="Compact"/>
              <w:jc w:val="right"/>
            </w:pPr>
            <w:r>
              <w:t xml:space="preserve">2.8%</w:t>
            </w:r>
          </w:p>
        </w:tc>
      </w:tr>
      <w:tr>
        <w:tc>
          <w:tcPr/>
          <w:p>
            <w:pPr>
              <w:pStyle w:val="Compact"/>
              <w:jc w:val="left"/>
            </w:pPr>
            <w:r>
              <w:t xml:space="preserve">Crimes contra a Flora</w:t>
            </w:r>
          </w:p>
        </w:tc>
        <w:tc>
          <w:tcPr/>
          <w:p>
            <w:pPr>
              <w:pStyle w:val="Compact"/>
              <w:jc w:val="right"/>
            </w:pPr>
            <w:r>
              <w:t xml:space="preserve">197</w:t>
            </w:r>
          </w:p>
        </w:tc>
        <w:tc>
          <w:tcPr/>
          <w:p>
            <w:pPr>
              <w:pStyle w:val="Compact"/>
              <w:jc w:val="right"/>
            </w:pPr>
            <w:r>
              <w:t xml:space="preserve">2.5%</w:t>
            </w:r>
          </w:p>
        </w:tc>
      </w:tr>
      <w:tr>
        <w:tc>
          <w:tcPr/>
          <w:p>
            <w:pPr>
              <w:pStyle w:val="Compact"/>
              <w:jc w:val="left"/>
            </w:pPr>
            <w:r>
              <w:t xml:space="preserve">Área de Preservação Permanente</w:t>
            </w:r>
          </w:p>
        </w:tc>
        <w:tc>
          <w:tcPr/>
          <w:p>
            <w:pPr>
              <w:pStyle w:val="Compact"/>
              <w:jc w:val="right"/>
            </w:pPr>
            <w:r>
              <w:t xml:space="preserve">179</w:t>
            </w:r>
          </w:p>
        </w:tc>
        <w:tc>
          <w:tcPr/>
          <w:p>
            <w:pPr>
              <w:pStyle w:val="Compact"/>
              <w:jc w:val="right"/>
            </w:pPr>
            <w:r>
              <w:t xml:space="preserve">2.3%</w:t>
            </w:r>
          </w:p>
        </w:tc>
      </w:tr>
      <w:tr>
        <w:tc>
          <w:tcPr/>
          <w:p>
            <w:pPr>
              <w:pStyle w:val="Compact"/>
              <w:jc w:val="left"/>
            </w:pPr>
            <w:r>
              <w:t xml:space="preserve">Da Poluição</w:t>
            </w:r>
          </w:p>
        </w:tc>
        <w:tc>
          <w:tcPr/>
          <w:p>
            <w:pPr>
              <w:pStyle w:val="Compact"/>
              <w:jc w:val="right"/>
            </w:pPr>
            <w:r>
              <w:t xml:space="preserve">163</w:t>
            </w:r>
          </w:p>
        </w:tc>
        <w:tc>
          <w:tcPr/>
          <w:p>
            <w:pPr>
              <w:pStyle w:val="Compact"/>
              <w:jc w:val="right"/>
            </w:pPr>
            <w:r>
              <w:t xml:space="preserve">2.1%</w:t>
            </w:r>
          </w:p>
        </w:tc>
      </w:tr>
      <w:tr>
        <w:tc>
          <w:tcPr/>
          <w:p>
            <w:pPr>
              <w:pStyle w:val="Compact"/>
              <w:jc w:val="left"/>
            </w:pPr>
            <w:r>
              <w:t xml:space="preserve">Poluição</w:t>
            </w:r>
          </w:p>
        </w:tc>
        <w:tc>
          <w:tcPr/>
          <w:p>
            <w:pPr>
              <w:pStyle w:val="Compact"/>
              <w:jc w:val="right"/>
            </w:pPr>
            <w:r>
              <w:t xml:space="preserve">131</w:t>
            </w:r>
          </w:p>
        </w:tc>
        <w:tc>
          <w:tcPr/>
          <w:p>
            <w:pPr>
              <w:pStyle w:val="Compact"/>
              <w:jc w:val="right"/>
            </w:pPr>
            <w:r>
              <w:t xml:space="preserve">1.7%</w:t>
            </w:r>
          </w:p>
        </w:tc>
      </w:tr>
      <w:tr>
        <w:tc>
          <w:tcPr/>
          <w:p>
            <w:pPr>
              <w:pStyle w:val="Compact"/>
              <w:jc w:val="left"/>
            </w:pPr>
            <w:r>
              <w:t xml:space="preserve">Outros</w:t>
            </w:r>
          </w:p>
        </w:tc>
        <w:tc>
          <w:tcPr/>
          <w:p>
            <w:pPr>
              <w:pStyle w:val="Compact"/>
              <w:jc w:val="right"/>
            </w:pPr>
            <w:r>
              <w:t xml:space="preserve">827</w:t>
            </w:r>
          </w:p>
        </w:tc>
        <w:tc>
          <w:tcPr/>
          <w:p>
            <w:pPr>
              <w:pStyle w:val="Compact"/>
              <w:jc w:val="right"/>
            </w:pPr>
            <w:r>
              <w:t xml:space="preserve">10.7%</w:t>
            </w:r>
          </w:p>
        </w:tc>
      </w:tr>
      <w:tr>
        <w:tc>
          <w:tcPr/>
          <w:p>
            <w:pPr>
              <w:pStyle w:val="Compact"/>
              <w:jc w:val="left"/>
            </w:pPr>
            <w:r>
              <w:t xml:space="preserve">Total</w:t>
            </w:r>
          </w:p>
        </w:tc>
        <w:tc>
          <w:tcPr/>
          <w:p>
            <w:pPr>
              <w:pStyle w:val="Compact"/>
              <w:jc w:val="right"/>
            </w:pPr>
            <w:r>
              <w:t xml:space="preserve">7753</w:t>
            </w:r>
          </w:p>
        </w:tc>
        <w:tc>
          <w:tcPr/>
          <w:p>
            <w:pPr>
              <w:pStyle w:val="Compact"/>
              <w:jc w:val="right"/>
            </w:pPr>
            <w:r>
              <w:t xml:space="preserve">100.0%</w:t>
            </w:r>
          </w:p>
        </w:tc>
      </w:tr>
    </w:tbl>
    <w:bookmarkEnd w:id="53"/>
    <w:p>
      <w:pPr>
        <w:pStyle w:val="Corpodetexto"/>
      </w:pPr>
      <w:r>
        <w:t xml:space="preserve">A</w:t>
      </w:r>
      <w:r>
        <w:t xml:space="preserve"> </w:t>
      </w:r>
      <w:hyperlink w:anchor="tbl-tribunais-2grau">
        <w:r>
          <w:rPr>
            <w:rStyle w:val="Hyperlink"/>
          </w:rPr>
          <w:t xml:space="preserve">Tabela 9</w:t>
        </w:r>
      </w:hyperlink>
      <w:r>
        <w:t xml:space="preserve"> </w:t>
      </w:r>
      <w:r>
        <w:t xml:space="preserve">mostra os tribunais que mais aparecem no segundo grau. Pará e Mato Grosso figuram entre os mais frequentes.</w:t>
      </w:r>
    </w:p>
    <w:bookmarkStart w:id="54" w:name="tbl-tribunais-2grau"/>
    <w:p>
      <w:pPr>
        <w:pStyle w:val="TableCaption"/>
      </w:pPr>
      <w:r>
        <w:t xml:space="preserve">Tabela 9: Tribunais mais comuns nos processos de segundo grau.</w:t>
      </w:r>
    </w:p>
    <w:tbl>
      <w:tblPr>
        <w:tblStyle w:val="Table"/>
        <w:tblW w:type="auto" w:w="0"/>
        <w:tblLook w:firstRow="1" w:lastRow="0" w:firstColumn="0" w:lastColumn="0" w:noHBand="0" w:noVBand="0" w:val="0020"/>
        <w:jc w:val="start"/>
        <w:tblCaption w:val="Tabela 9: Tribunais mais comuns nos processos de segundo grau."/>
      </w:tblPr>
      <w:tblGrid>
        <w:gridCol w:w="2640"/>
        <w:gridCol w:w="2640"/>
        <w:gridCol w:w="2640"/>
      </w:tblGrid>
      <w:tr>
        <w:trPr>
          <w:tblHeader w:val="true"/>
        </w:trPr>
        <w:tc>
          <w:tcPr/>
          <w:p>
            <w:pPr>
              <w:pStyle w:val="Compact"/>
              <w:jc w:val="left"/>
            </w:pPr>
            <w:r>
              <w:t xml:space="preserve">UF</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PA</w:t>
            </w:r>
          </w:p>
        </w:tc>
        <w:tc>
          <w:tcPr/>
          <w:p>
            <w:pPr>
              <w:pStyle w:val="Compact"/>
              <w:jc w:val="right"/>
            </w:pPr>
            <w:r>
              <w:t xml:space="preserve">2509</w:t>
            </w:r>
          </w:p>
        </w:tc>
        <w:tc>
          <w:tcPr/>
          <w:p>
            <w:pPr>
              <w:pStyle w:val="Compact"/>
              <w:jc w:val="right"/>
            </w:pPr>
            <w:r>
              <w:t xml:space="preserve">37.7%</w:t>
            </w:r>
          </w:p>
        </w:tc>
      </w:tr>
      <w:tr>
        <w:tc>
          <w:tcPr/>
          <w:p>
            <w:pPr>
              <w:pStyle w:val="Compact"/>
              <w:jc w:val="left"/>
            </w:pPr>
            <w:r>
              <w:t xml:space="preserve">MT</w:t>
            </w:r>
          </w:p>
        </w:tc>
        <w:tc>
          <w:tcPr/>
          <w:p>
            <w:pPr>
              <w:pStyle w:val="Compact"/>
              <w:jc w:val="right"/>
            </w:pPr>
            <w:r>
              <w:t xml:space="preserve">1973</w:t>
            </w:r>
          </w:p>
        </w:tc>
        <w:tc>
          <w:tcPr/>
          <w:p>
            <w:pPr>
              <w:pStyle w:val="Compact"/>
              <w:jc w:val="right"/>
            </w:pPr>
            <w:r>
              <w:t xml:space="preserve">29.7%</w:t>
            </w:r>
          </w:p>
        </w:tc>
      </w:tr>
      <w:tr>
        <w:tc>
          <w:tcPr/>
          <w:p>
            <w:pPr>
              <w:pStyle w:val="Compact"/>
              <w:jc w:val="left"/>
            </w:pPr>
            <w:r>
              <w:t xml:space="preserve">RO</w:t>
            </w:r>
          </w:p>
        </w:tc>
        <w:tc>
          <w:tcPr/>
          <w:p>
            <w:pPr>
              <w:pStyle w:val="Compact"/>
              <w:jc w:val="right"/>
            </w:pPr>
            <w:r>
              <w:t xml:space="preserve">1240</w:t>
            </w:r>
          </w:p>
        </w:tc>
        <w:tc>
          <w:tcPr/>
          <w:p>
            <w:pPr>
              <w:pStyle w:val="Compact"/>
              <w:jc w:val="right"/>
            </w:pPr>
            <w:r>
              <w:t xml:space="preserve">18.7%</w:t>
            </w:r>
          </w:p>
        </w:tc>
      </w:tr>
      <w:tr>
        <w:tc>
          <w:tcPr/>
          <w:p>
            <w:pPr>
              <w:pStyle w:val="Compact"/>
              <w:jc w:val="left"/>
            </w:pPr>
            <w:r>
              <w:t xml:space="preserve">TO</w:t>
            </w:r>
          </w:p>
        </w:tc>
        <w:tc>
          <w:tcPr/>
          <w:p>
            <w:pPr>
              <w:pStyle w:val="Compact"/>
              <w:jc w:val="right"/>
            </w:pPr>
            <w:r>
              <w:t xml:space="preserve">317</w:t>
            </w:r>
          </w:p>
        </w:tc>
        <w:tc>
          <w:tcPr/>
          <w:p>
            <w:pPr>
              <w:pStyle w:val="Compact"/>
              <w:jc w:val="right"/>
            </w:pPr>
            <w:r>
              <w:t xml:space="preserve">4.8%</w:t>
            </w:r>
          </w:p>
        </w:tc>
      </w:tr>
      <w:tr>
        <w:tc>
          <w:tcPr/>
          <w:p>
            <w:pPr>
              <w:pStyle w:val="Compact"/>
              <w:jc w:val="left"/>
            </w:pPr>
            <w:r>
              <w:t xml:space="preserve">AM</w:t>
            </w:r>
          </w:p>
        </w:tc>
        <w:tc>
          <w:tcPr/>
          <w:p>
            <w:pPr>
              <w:pStyle w:val="Compact"/>
              <w:jc w:val="right"/>
            </w:pPr>
            <w:r>
              <w:t xml:space="preserve">227</w:t>
            </w:r>
          </w:p>
        </w:tc>
        <w:tc>
          <w:tcPr/>
          <w:p>
            <w:pPr>
              <w:pStyle w:val="Compact"/>
              <w:jc w:val="right"/>
            </w:pPr>
            <w:r>
              <w:t xml:space="preserve">3.4%</w:t>
            </w:r>
          </w:p>
        </w:tc>
      </w:tr>
      <w:tr>
        <w:tc>
          <w:tcPr/>
          <w:p>
            <w:pPr>
              <w:pStyle w:val="Compact"/>
              <w:jc w:val="left"/>
            </w:pPr>
            <w:r>
              <w:t xml:space="preserve">MA</w:t>
            </w:r>
          </w:p>
        </w:tc>
        <w:tc>
          <w:tcPr/>
          <w:p>
            <w:pPr>
              <w:pStyle w:val="Compact"/>
              <w:jc w:val="right"/>
            </w:pPr>
            <w:r>
              <w:t xml:space="preserve">163</w:t>
            </w:r>
          </w:p>
        </w:tc>
        <w:tc>
          <w:tcPr/>
          <w:p>
            <w:pPr>
              <w:pStyle w:val="Compact"/>
              <w:jc w:val="right"/>
            </w:pPr>
            <w:r>
              <w:t xml:space="preserve">2.5%</w:t>
            </w:r>
          </w:p>
        </w:tc>
      </w:tr>
      <w:tr>
        <w:tc>
          <w:tcPr/>
          <w:p>
            <w:pPr>
              <w:pStyle w:val="Compact"/>
              <w:jc w:val="left"/>
            </w:pPr>
            <w:r>
              <w:t xml:space="preserve">RR</w:t>
            </w:r>
          </w:p>
        </w:tc>
        <w:tc>
          <w:tcPr/>
          <w:p>
            <w:pPr>
              <w:pStyle w:val="Compact"/>
              <w:jc w:val="right"/>
            </w:pPr>
            <w:r>
              <w:t xml:space="preserve">145</w:t>
            </w:r>
          </w:p>
        </w:tc>
        <w:tc>
          <w:tcPr/>
          <w:p>
            <w:pPr>
              <w:pStyle w:val="Compact"/>
              <w:jc w:val="right"/>
            </w:pPr>
            <w:r>
              <w:t xml:space="preserve">2.2%</w:t>
            </w:r>
          </w:p>
        </w:tc>
      </w:tr>
      <w:tr>
        <w:tc>
          <w:tcPr/>
          <w:p>
            <w:pPr>
              <w:pStyle w:val="Compact"/>
              <w:jc w:val="left"/>
            </w:pPr>
            <w:r>
              <w:t xml:space="preserve">AP</w:t>
            </w:r>
          </w:p>
        </w:tc>
        <w:tc>
          <w:tcPr/>
          <w:p>
            <w:pPr>
              <w:pStyle w:val="Compact"/>
              <w:jc w:val="right"/>
            </w:pPr>
            <w:r>
              <w:t xml:space="preserve">41</w:t>
            </w:r>
          </w:p>
        </w:tc>
        <w:tc>
          <w:tcPr/>
          <w:p>
            <w:pPr>
              <w:pStyle w:val="Compact"/>
              <w:jc w:val="right"/>
            </w:pPr>
            <w:r>
              <w:t xml:space="preserve">0.6%</w:t>
            </w:r>
          </w:p>
        </w:tc>
      </w:tr>
      <w:tr>
        <w:tc>
          <w:tcPr/>
          <w:p>
            <w:pPr>
              <w:pStyle w:val="Compact"/>
              <w:jc w:val="left"/>
            </w:pPr>
            <w:r>
              <w:t xml:space="preserve">AC</w:t>
            </w:r>
          </w:p>
        </w:tc>
        <w:tc>
          <w:tcPr/>
          <w:p>
            <w:pPr>
              <w:pStyle w:val="Compact"/>
              <w:jc w:val="right"/>
            </w:pPr>
            <w:r>
              <w:t xml:space="preserve">33</w:t>
            </w:r>
          </w:p>
        </w:tc>
        <w:tc>
          <w:tcPr/>
          <w:p>
            <w:pPr>
              <w:pStyle w:val="Compact"/>
              <w:jc w:val="right"/>
            </w:pPr>
            <w:r>
              <w:t xml:space="preserve">0.5%</w:t>
            </w:r>
          </w:p>
        </w:tc>
      </w:tr>
      <w:tr>
        <w:tc>
          <w:tcPr/>
          <w:p>
            <w:pPr>
              <w:pStyle w:val="Compact"/>
              <w:jc w:val="left"/>
            </w:pPr>
            <w:r>
              <w:t xml:space="preserve">Total</w:t>
            </w:r>
          </w:p>
        </w:tc>
        <w:tc>
          <w:tcPr/>
          <w:p>
            <w:pPr>
              <w:pStyle w:val="Compact"/>
              <w:jc w:val="right"/>
            </w:pPr>
            <w:r>
              <w:t xml:space="preserve">6648</w:t>
            </w:r>
          </w:p>
        </w:tc>
        <w:tc>
          <w:tcPr/>
          <w:p>
            <w:pPr>
              <w:pStyle w:val="Compact"/>
              <w:jc w:val="right"/>
            </w:pPr>
            <w:r>
              <w:t xml:space="preserve">100.0%</w:t>
            </w:r>
          </w:p>
        </w:tc>
      </w:tr>
    </w:tbl>
    <w:bookmarkEnd w:id="54"/>
    <w:bookmarkEnd w:id="55"/>
    <w:bookmarkEnd w:id="56"/>
    <w:bookmarkStart w:id="73" w:name="datajud-1"/>
    <w:p>
      <w:pPr>
        <w:pStyle w:val="Ttulo3"/>
      </w:pPr>
      <w:r>
        <w:t xml:space="preserve">DataJud</w:t>
      </w:r>
    </w:p>
    <w:p>
      <w:pPr>
        <w:pStyle w:val="FirstParagraph"/>
      </w:pPr>
      <w:r>
        <w:t xml:space="preserve">Com relação ao DataJud, a única análise de interesse é nos assuntos dos processos. Ainda assim, a análise é bastante limitada, já que não possui o filtro de processos ambientais. Pode-se dizer, apenas, que nas regiões estudadas esses são os tipos de processos mais comuns.</w:t>
      </w:r>
    </w:p>
    <w:p>
      <w:pPr>
        <w:pStyle w:val="Corpodetexto"/>
      </w:pPr>
      <w:r>
        <w:t xml:space="preserve">A</w:t>
      </w:r>
      <w:r>
        <w:t xml:space="preserve"> </w:t>
      </w:r>
      <w:hyperlink w:anchor="tbl-assuntos-datajud">
        <w:r>
          <w:rPr>
            <w:rStyle w:val="Hyperlink"/>
          </w:rPr>
          <w:t xml:space="preserve">Tabela 10</w:t>
        </w:r>
      </w:hyperlink>
      <w:r>
        <w:t xml:space="preserve"> </w:t>
      </w:r>
      <w:r>
        <w:t xml:space="preserve">mostra os assuntos mais comuns dos processos. É possível notar que assuntos relacionados a tráfico de drogas são os mais frequentes, seguidos de peculato e quadrilha/bando.</w:t>
      </w:r>
    </w:p>
    <w:bookmarkStart w:id="57" w:name="tbl-assuntos-datajud"/>
    <w:p>
      <w:pPr>
        <w:pStyle w:val="TableCaption"/>
      </w:pPr>
      <w:r>
        <w:t xml:space="preserve">Tabela 10: Assuntos com mais processos.</w:t>
      </w:r>
    </w:p>
    <w:tbl>
      <w:tblPr>
        <w:tblStyle w:val="Table"/>
        <w:tblW w:type="pct" w:w="5000"/>
        <w:tblLook w:firstRow="1" w:lastRow="0" w:firstColumn="0" w:lastColumn="0" w:noHBand="0" w:noVBand="0" w:val="0020"/>
        <w:jc w:val="start"/>
        <w:tblCaption w:val="Tabela 10: Assuntos com mais processos."/>
      </w:tblPr>
      <w:tblGrid>
        <w:gridCol w:w="6873"/>
        <w:gridCol w:w="523"/>
        <w:gridCol w:w="523"/>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Tráfico de Drogas e Condutas Afins</w:t>
            </w:r>
          </w:p>
        </w:tc>
        <w:tc>
          <w:tcPr/>
          <w:p>
            <w:pPr>
              <w:pStyle w:val="Compact"/>
              <w:jc w:val="right"/>
            </w:pPr>
            <w:r>
              <w:t xml:space="preserve">121773</w:t>
            </w:r>
          </w:p>
        </w:tc>
        <w:tc>
          <w:tcPr/>
          <w:p>
            <w:pPr>
              <w:pStyle w:val="Compact"/>
              <w:jc w:val="right"/>
            </w:pPr>
            <w:r>
              <w:t xml:space="preserve">66.5%</w:t>
            </w:r>
          </w:p>
        </w:tc>
      </w:tr>
      <w:tr>
        <w:tc>
          <w:tcPr/>
          <w:p>
            <w:pPr>
              <w:pStyle w:val="Compact"/>
              <w:jc w:val="left"/>
            </w:pPr>
            <w:r>
              <w:t xml:space="preserve">Associação para a Produção e Tráfico e Condutas Afins</w:t>
            </w:r>
          </w:p>
        </w:tc>
        <w:tc>
          <w:tcPr/>
          <w:p>
            <w:pPr>
              <w:pStyle w:val="Compact"/>
              <w:jc w:val="right"/>
            </w:pPr>
            <w:r>
              <w:t xml:space="preserve">15124</w:t>
            </w:r>
          </w:p>
        </w:tc>
        <w:tc>
          <w:tcPr/>
          <w:p>
            <w:pPr>
              <w:pStyle w:val="Compact"/>
              <w:jc w:val="right"/>
            </w:pPr>
            <w:r>
              <w:t xml:space="preserve">8.3%</w:t>
            </w:r>
          </w:p>
        </w:tc>
      </w:tr>
      <w:tr>
        <w:tc>
          <w:tcPr/>
          <w:p>
            <w:pPr>
              <w:pStyle w:val="Compact"/>
              <w:jc w:val="left"/>
            </w:pPr>
            <w:r>
              <w:t xml:space="preserve">Crimes de Tráfico Ilícito e Uso Indevido de Drogas</w:t>
            </w:r>
          </w:p>
        </w:tc>
        <w:tc>
          <w:tcPr/>
          <w:p>
            <w:pPr>
              <w:pStyle w:val="Compact"/>
              <w:jc w:val="right"/>
            </w:pPr>
            <w:r>
              <w:t xml:space="preserve">12008</w:t>
            </w:r>
          </w:p>
        </w:tc>
        <w:tc>
          <w:tcPr/>
          <w:p>
            <w:pPr>
              <w:pStyle w:val="Compact"/>
              <w:jc w:val="right"/>
            </w:pPr>
            <w:r>
              <w:t xml:space="preserve">6.6%</w:t>
            </w:r>
          </w:p>
        </w:tc>
      </w:tr>
      <w:tr>
        <w:tc>
          <w:tcPr/>
          <w:p>
            <w:pPr>
              <w:pStyle w:val="Compact"/>
              <w:jc w:val="left"/>
            </w:pPr>
            <w:r>
              <w:t xml:space="preserve">Peculato</w:t>
            </w:r>
          </w:p>
        </w:tc>
        <w:tc>
          <w:tcPr/>
          <w:p>
            <w:pPr>
              <w:pStyle w:val="Compact"/>
              <w:jc w:val="right"/>
            </w:pPr>
            <w:r>
              <w:t xml:space="preserve">4433</w:t>
            </w:r>
          </w:p>
        </w:tc>
        <w:tc>
          <w:tcPr/>
          <w:p>
            <w:pPr>
              <w:pStyle w:val="Compact"/>
              <w:jc w:val="right"/>
            </w:pPr>
            <w:r>
              <w:t xml:space="preserve">2.4%</w:t>
            </w:r>
          </w:p>
        </w:tc>
      </w:tr>
      <w:tr>
        <w:tc>
          <w:tcPr/>
          <w:p>
            <w:pPr>
              <w:pStyle w:val="Compact"/>
              <w:jc w:val="left"/>
            </w:pPr>
            <w:r>
              <w:t xml:space="preserve">Quadrilha ou Bando</w:t>
            </w:r>
          </w:p>
        </w:tc>
        <w:tc>
          <w:tcPr/>
          <w:p>
            <w:pPr>
              <w:pStyle w:val="Compact"/>
              <w:jc w:val="right"/>
            </w:pPr>
            <w:r>
              <w:t xml:space="preserve">4066</w:t>
            </w:r>
          </w:p>
        </w:tc>
        <w:tc>
          <w:tcPr/>
          <w:p>
            <w:pPr>
              <w:pStyle w:val="Compact"/>
              <w:jc w:val="right"/>
            </w:pPr>
            <w:r>
              <w:t xml:space="preserve">2.2%</w:t>
            </w:r>
          </w:p>
        </w:tc>
      </w:tr>
      <w:tr>
        <w:tc>
          <w:tcPr/>
          <w:p>
            <w:pPr>
              <w:pStyle w:val="Compact"/>
              <w:jc w:val="left"/>
            </w:pPr>
            <w:r>
              <w:t xml:space="preserve">Colaboração com Grupo, Organização ou Associação Destinados à Produção ou Tráfico de Drogas</w:t>
            </w:r>
          </w:p>
        </w:tc>
        <w:tc>
          <w:tcPr/>
          <w:p>
            <w:pPr>
              <w:pStyle w:val="Compact"/>
              <w:jc w:val="right"/>
            </w:pPr>
            <w:r>
              <w:t xml:space="preserve">2886</w:t>
            </w:r>
          </w:p>
        </w:tc>
        <w:tc>
          <w:tcPr/>
          <w:p>
            <w:pPr>
              <w:pStyle w:val="Compact"/>
              <w:jc w:val="right"/>
            </w:pPr>
            <w:r>
              <w:t xml:space="preserve">1.6%</w:t>
            </w:r>
          </w:p>
        </w:tc>
      </w:tr>
      <w:tr>
        <w:tc>
          <w:tcPr/>
          <w:p>
            <w:pPr>
              <w:pStyle w:val="Compact"/>
              <w:jc w:val="left"/>
            </w:pPr>
            <w:r>
              <w:t xml:space="preserve">Contrabando ou descaminho</w:t>
            </w:r>
          </w:p>
        </w:tc>
        <w:tc>
          <w:tcPr/>
          <w:p>
            <w:pPr>
              <w:pStyle w:val="Compact"/>
              <w:jc w:val="right"/>
            </w:pPr>
            <w:r>
              <w:t xml:space="preserve">2270</w:t>
            </w:r>
          </w:p>
        </w:tc>
        <w:tc>
          <w:tcPr/>
          <w:p>
            <w:pPr>
              <w:pStyle w:val="Compact"/>
              <w:jc w:val="right"/>
            </w:pPr>
            <w:r>
              <w:t xml:space="preserve">1.2%</w:t>
            </w:r>
          </w:p>
        </w:tc>
      </w:tr>
      <w:tr>
        <w:tc>
          <w:tcPr/>
          <w:p>
            <w:pPr>
              <w:pStyle w:val="Compact"/>
              <w:jc w:val="left"/>
            </w:pPr>
            <w:r>
              <w:t xml:space="preserve">Corrupção ativa</w:t>
            </w:r>
          </w:p>
        </w:tc>
        <w:tc>
          <w:tcPr/>
          <w:p>
            <w:pPr>
              <w:pStyle w:val="Compact"/>
              <w:jc w:val="right"/>
            </w:pPr>
            <w:r>
              <w:t xml:space="preserve">1913</w:t>
            </w:r>
          </w:p>
        </w:tc>
        <w:tc>
          <w:tcPr/>
          <w:p>
            <w:pPr>
              <w:pStyle w:val="Compact"/>
              <w:jc w:val="right"/>
            </w:pPr>
            <w:r>
              <w:t xml:space="preserve">1.0%</w:t>
            </w:r>
          </w:p>
        </w:tc>
      </w:tr>
      <w:tr>
        <w:tc>
          <w:tcPr/>
          <w:p>
            <w:pPr>
              <w:pStyle w:val="Compact"/>
              <w:jc w:val="left"/>
            </w:pPr>
            <w:r>
              <w:t xml:space="preserve">Crimes do Sistema Nacional de Armas</w:t>
            </w:r>
          </w:p>
        </w:tc>
        <w:tc>
          <w:tcPr/>
          <w:p>
            <w:pPr>
              <w:pStyle w:val="Compact"/>
              <w:jc w:val="right"/>
            </w:pPr>
            <w:r>
              <w:t xml:space="preserve">1613</w:t>
            </w:r>
          </w:p>
        </w:tc>
        <w:tc>
          <w:tcPr/>
          <w:p>
            <w:pPr>
              <w:pStyle w:val="Compact"/>
              <w:jc w:val="right"/>
            </w:pPr>
            <w:r>
              <w:t xml:space="preserve">0.9%</w:t>
            </w:r>
          </w:p>
        </w:tc>
      </w:tr>
      <w:tr>
        <w:tc>
          <w:tcPr/>
          <w:p>
            <w:pPr>
              <w:pStyle w:val="Compact"/>
              <w:jc w:val="left"/>
            </w:pPr>
            <w:r>
              <w:t xml:space="preserve">Promoção, constituição, financiamento ou integração de Organização Criminosa</w:t>
            </w:r>
          </w:p>
        </w:tc>
        <w:tc>
          <w:tcPr/>
          <w:p>
            <w:pPr>
              <w:pStyle w:val="Compact"/>
              <w:jc w:val="right"/>
            </w:pPr>
            <w:r>
              <w:t xml:space="preserve">1288</w:t>
            </w:r>
          </w:p>
        </w:tc>
        <w:tc>
          <w:tcPr/>
          <w:p>
            <w:pPr>
              <w:pStyle w:val="Compact"/>
              <w:jc w:val="right"/>
            </w:pPr>
            <w:r>
              <w:t xml:space="preserve">0.7%</w:t>
            </w:r>
          </w:p>
        </w:tc>
      </w:tr>
      <w:tr>
        <w:tc>
          <w:tcPr/>
          <w:p>
            <w:pPr>
              <w:pStyle w:val="Compact"/>
              <w:jc w:val="left"/>
            </w:pPr>
            <w:r>
              <w:t xml:space="preserve">Outros</w:t>
            </w:r>
          </w:p>
        </w:tc>
        <w:tc>
          <w:tcPr/>
          <w:p>
            <w:pPr>
              <w:pStyle w:val="Compact"/>
              <w:jc w:val="right"/>
            </w:pPr>
            <w:r>
              <w:t xml:space="preserve">14610</w:t>
            </w:r>
          </w:p>
        </w:tc>
        <w:tc>
          <w:tcPr/>
          <w:p>
            <w:pPr>
              <w:pStyle w:val="Compact"/>
              <w:jc w:val="right"/>
            </w:pPr>
            <w:r>
              <w:t xml:space="preserve">8.0%</w:t>
            </w:r>
          </w:p>
        </w:tc>
      </w:tr>
      <w:tr>
        <w:tc>
          <w:tcPr/>
          <w:p>
            <w:pPr>
              <w:pStyle w:val="Compact"/>
              <w:jc w:val="left"/>
            </w:pPr>
            <w:r>
              <w:t xml:space="preserve">(vazio)</w:t>
            </w:r>
          </w:p>
        </w:tc>
        <w:tc>
          <w:tcPr/>
          <w:p>
            <w:pPr>
              <w:pStyle w:val="Compact"/>
              <w:jc w:val="right"/>
            </w:pPr>
            <w:r>
              <w:t xml:space="preserve">1193</w:t>
            </w:r>
          </w:p>
        </w:tc>
        <w:tc>
          <w:tcPr/>
          <w:p>
            <w:pPr>
              <w:pStyle w:val="Compact"/>
              <w:jc w:val="right"/>
            </w:pPr>
            <w:r>
              <w:t xml:space="preserve">0.7%</w:t>
            </w:r>
          </w:p>
        </w:tc>
      </w:tr>
      <w:tr>
        <w:tc>
          <w:tcPr/>
          <w:p>
            <w:pPr>
              <w:pStyle w:val="Compact"/>
              <w:jc w:val="left"/>
            </w:pPr>
            <w:r>
              <w:t xml:space="preserve">Total</w:t>
            </w:r>
          </w:p>
        </w:tc>
        <w:tc>
          <w:tcPr/>
          <w:p>
            <w:pPr>
              <w:pStyle w:val="Compact"/>
              <w:jc w:val="right"/>
            </w:pPr>
            <w:r>
              <w:t xml:space="preserve">183177</w:t>
            </w:r>
          </w:p>
        </w:tc>
        <w:tc>
          <w:tcPr/>
          <w:p>
            <w:pPr>
              <w:pStyle w:val="Compact"/>
              <w:jc w:val="right"/>
            </w:pPr>
            <w:r>
              <w:t xml:space="preserve">100.0%</w:t>
            </w:r>
          </w:p>
        </w:tc>
      </w:tr>
    </w:tbl>
    <w:bookmarkEnd w:id="57"/>
    <w:p>
      <w:pPr>
        <w:pStyle w:val="Corpodetexto"/>
      </w:pPr>
      <w:r>
        <w:t xml:space="preserve">A</w:t>
      </w:r>
      <w:r>
        <w:t xml:space="preserve"> </w:t>
      </w:r>
      <w:hyperlink w:anchor="fig-mapa-datajud">
        <w:r>
          <w:rPr>
            <w:rStyle w:val="Hyperlink"/>
          </w:rPr>
          <w:t xml:space="preserve">Figura 5</w:t>
        </w:r>
      </w:hyperlink>
      <w:r>
        <w:t xml:space="preserve"> </w:t>
      </w:r>
      <w:r>
        <w:t xml:space="preserve">mostra os pontos em que os processos foram distribuídos. Os pontos fora da área demarcada indicam processos do Maranhão que estão fora da Amazônia Legal. Os cinco municípios com mais processos são: Belém, Boa Vista, São Luís, Rio Branco e Manaus.</w:t>
      </w:r>
    </w:p>
    <w:tbl>
      <w:tblPr>
        <w:tblStyle w:val="Table"/>
        <w:tblW w:type="pct" w:w="5000"/>
        <w:tblLook w:firstRow="0" w:lastRow="0" w:firstColumn="0" w:lastColumn="0" w:noHBand="0" w:noVBand="0" w:val="0000"/>
        <w:jc w:val="start"/>
      </w:tblPr>
      <w:tblGrid>
        <w:gridCol w:w="7920"/>
      </w:tblGrid>
      <w:tr>
        <w:tc>
          <w:tcPr/>
          <w:bookmarkStart w:id="61" w:name="fig-mapa-datajud"/>
          <w:p>
            <w:pPr>
              <w:jc w:val="center"/>
            </w:pPr>
            <w:r>
              <w:drawing>
                <wp:inline>
                  <wp:extent cx="4620126" cy="3696101"/>
                  <wp:effectExtent b="0" l="0" r="0" t="0"/>
                  <wp:docPr descr="" title="" id="59" name="Picture"/>
                  <a:graphic>
                    <a:graphicData uri="http://schemas.openxmlformats.org/drawingml/2006/picture">
                      <pic:pic>
                        <pic:nvPicPr>
                          <pic:cNvPr descr="2-descritiva_files/figure-docx/fig-mapa-datajud-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Pontos de distribuição dos processos</w:t>
            </w:r>
          </w:p>
          <w:bookmarkEnd w:id="61"/>
        </w:tc>
      </w:tr>
    </w:tbl>
    <w:p>
      <w:pPr>
        <w:pStyle w:val="Corpodetexto"/>
      </w:pPr>
      <w:r>
        <w:t xml:space="preserve">A</w:t>
      </w:r>
      <w:r>
        <w:t xml:space="preserve"> </w:t>
      </w:r>
      <w:hyperlink w:anchor="tbl-municipios-datajud">
        <w:r>
          <w:rPr>
            <w:rStyle w:val="Hyperlink"/>
          </w:rPr>
          <w:t xml:space="preserve">Tabela 11</w:t>
        </w:r>
      </w:hyperlink>
      <w:r>
        <w:t xml:space="preserve"> </w:t>
      </w:r>
      <w:r>
        <w:t xml:space="preserve">mostra os 10 municípios com mais processos. A maioria são capitais, o que é esperado, já que são municípios mais populosos.</w:t>
      </w:r>
    </w:p>
    <w:bookmarkStart w:id="62" w:name="tbl-municipios-datajud"/>
    <w:p>
      <w:pPr>
        <w:pStyle w:val="TableCaption"/>
      </w:pPr>
      <w:r>
        <w:t xml:space="preserve">Tabela 11: Municípios com mais processos.</w:t>
      </w:r>
    </w:p>
    <w:tbl>
      <w:tblPr>
        <w:tblStyle w:val="Table"/>
        <w:tblW w:type="auto" w:w="0"/>
        <w:tblLook w:firstRow="1" w:lastRow="0" w:firstColumn="0" w:lastColumn="0" w:noHBand="0" w:noVBand="0" w:val="0020"/>
        <w:jc w:val="start"/>
        <w:tblCaption w:val="Tabela 11: Municípios com mais processos."/>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Belém / Pará</w:t>
            </w:r>
          </w:p>
        </w:tc>
        <w:tc>
          <w:tcPr/>
          <w:p>
            <w:pPr>
              <w:pStyle w:val="Compact"/>
              <w:jc w:val="right"/>
            </w:pPr>
            <w:r>
              <w:t xml:space="preserve">14435</w:t>
            </w:r>
          </w:p>
        </w:tc>
        <w:tc>
          <w:tcPr/>
          <w:p>
            <w:pPr>
              <w:pStyle w:val="Compact"/>
              <w:jc w:val="right"/>
            </w:pPr>
            <w:r>
              <w:t xml:space="preserve">7.9%</w:t>
            </w:r>
          </w:p>
        </w:tc>
      </w:tr>
      <w:tr>
        <w:tc>
          <w:tcPr/>
          <w:p>
            <w:pPr>
              <w:pStyle w:val="Compact"/>
              <w:jc w:val="left"/>
            </w:pPr>
            <w:r>
              <w:t xml:space="preserve">Boa Vista / Roraima</w:t>
            </w:r>
          </w:p>
        </w:tc>
        <w:tc>
          <w:tcPr/>
          <w:p>
            <w:pPr>
              <w:pStyle w:val="Compact"/>
              <w:jc w:val="right"/>
            </w:pPr>
            <w:r>
              <w:t xml:space="preserve">8573</w:t>
            </w:r>
          </w:p>
        </w:tc>
        <w:tc>
          <w:tcPr/>
          <w:p>
            <w:pPr>
              <w:pStyle w:val="Compact"/>
              <w:jc w:val="right"/>
            </w:pPr>
            <w:r>
              <w:t xml:space="preserve">4.7%</w:t>
            </w:r>
          </w:p>
        </w:tc>
      </w:tr>
      <w:tr>
        <w:tc>
          <w:tcPr/>
          <w:p>
            <w:pPr>
              <w:pStyle w:val="Compact"/>
              <w:jc w:val="left"/>
            </w:pPr>
            <w:r>
              <w:t xml:space="preserve">Rio Branco / Acre</w:t>
            </w:r>
          </w:p>
        </w:tc>
        <w:tc>
          <w:tcPr/>
          <w:p>
            <w:pPr>
              <w:pStyle w:val="Compact"/>
              <w:jc w:val="right"/>
            </w:pPr>
            <w:r>
              <w:t xml:space="preserve">6608</w:t>
            </w:r>
          </w:p>
        </w:tc>
        <w:tc>
          <w:tcPr/>
          <w:p>
            <w:pPr>
              <w:pStyle w:val="Compact"/>
              <w:jc w:val="right"/>
            </w:pPr>
            <w:r>
              <w:t xml:space="preserve">3.6%</w:t>
            </w:r>
          </w:p>
        </w:tc>
      </w:tr>
      <w:tr>
        <w:tc>
          <w:tcPr/>
          <w:p>
            <w:pPr>
              <w:pStyle w:val="Compact"/>
              <w:jc w:val="left"/>
            </w:pPr>
            <w:r>
              <w:t xml:space="preserve">Manaus / Amazônas</w:t>
            </w:r>
          </w:p>
        </w:tc>
        <w:tc>
          <w:tcPr/>
          <w:p>
            <w:pPr>
              <w:pStyle w:val="Compact"/>
              <w:jc w:val="right"/>
            </w:pPr>
            <w:r>
              <w:t xml:space="preserve">5307</w:t>
            </w:r>
          </w:p>
        </w:tc>
        <w:tc>
          <w:tcPr/>
          <w:p>
            <w:pPr>
              <w:pStyle w:val="Compact"/>
              <w:jc w:val="right"/>
            </w:pPr>
            <w:r>
              <w:t xml:space="preserve">2.9%</w:t>
            </w:r>
          </w:p>
        </w:tc>
      </w:tr>
      <w:tr>
        <w:tc>
          <w:tcPr/>
          <w:p>
            <w:pPr>
              <w:pStyle w:val="Compact"/>
              <w:jc w:val="left"/>
            </w:pPr>
            <w:r>
              <w:t xml:space="preserve">São Luís / Maranhão</w:t>
            </w:r>
          </w:p>
        </w:tc>
        <w:tc>
          <w:tcPr/>
          <w:p>
            <w:pPr>
              <w:pStyle w:val="Compact"/>
              <w:jc w:val="right"/>
            </w:pPr>
            <w:r>
              <w:t xml:space="preserve">5009</w:t>
            </w:r>
          </w:p>
        </w:tc>
        <w:tc>
          <w:tcPr/>
          <w:p>
            <w:pPr>
              <w:pStyle w:val="Compact"/>
              <w:jc w:val="right"/>
            </w:pPr>
            <w:r>
              <w:t xml:space="preserve">2.7%</w:t>
            </w:r>
          </w:p>
        </w:tc>
      </w:tr>
      <w:tr>
        <w:tc>
          <w:tcPr/>
          <w:p>
            <w:pPr>
              <w:pStyle w:val="Compact"/>
              <w:jc w:val="left"/>
            </w:pPr>
            <w:r>
              <w:t xml:space="preserve">Santarém / Pará</w:t>
            </w:r>
          </w:p>
        </w:tc>
        <w:tc>
          <w:tcPr/>
          <w:p>
            <w:pPr>
              <w:pStyle w:val="Compact"/>
              <w:jc w:val="right"/>
            </w:pPr>
            <w:r>
              <w:t xml:space="preserve">4161</w:t>
            </w:r>
          </w:p>
        </w:tc>
        <w:tc>
          <w:tcPr/>
          <w:p>
            <w:pPr>
              <w:pStyle w:val="Compact"/>
              <w:jc w:val="right"/>
            </w:pPr>
            <w:r>
              <w:t xml:space="preserve">2.3%</w:t>
            </w:r>
          </w:p>
        </w:tc>
      </w:tr>
      <w:tr>
        <w:tc>
          <w:tcPr/>
          <w:p>
            <w:pPr>
              <w:pStyle w:val="Compact"/>
              <w:jc w:val="left"/>
            </w:pPr>
            <w:r>
              <w:t xml:space="preserve">Ananindeua / Pará</w:t>
            </w:r>
          </w:p>
        </w:tc>
        <w:tc>
          <w:tcPr/>
          <w:p>
            <w:pPr>
              <w:pStyle w:val="Compact"/>
              <w:jc w:val="right"/>
            </w:pPr>
            <w:r>
              <w:t xml:space="preserve">3714</w:t>
            </w:r>
          </w:p>
        </w:tc>
        <w:tc>
          <w:tcPr/>
          <w:p>
            <w:pPr>
              <w:pStyle w:val="Compact"/>
              <w:jc w:val="right"/>
            </w:pPr>
            <w:r>
              <w:t xml:space="preserve">2.0%</w:t>
            </w:r>
          </w:p>
        </w:tc>
      </w:tr>
      <w:tr>
        <w:tc>
          <w:tcPr/>
          <w:p>
            <w:pPr>
              <w:pStyle w:val="Compact"/>
              <w:jc w:val="left"/>
            </w:pPr>
            <w:r>
              <w:t xml:space="preserve">Cuiabá / Mato Grosso</w:t>
            </w:r>
          </w:p>
        </w:tc>
        <w:tc>
          <w:tcPr/>
          <w:p>
            <w:pPr>
              <w:pStyle w:val="Compact"/>
              <w:jc w:val="right"/>
            </w:pPr>
            <w:r>
              <w:t xml:space="preserve">3323</w:t>
            </w:r>
          </w:p>
        </w:tc>
        <w:tc>
          <w:tcPr/>
          <w:p>
            <w:pPr>
              <w:pStyle w:val="Compact"/>
              <w:jc w:val="right"/>
            </w:pPr>
            <w:r>
              <w:t xml:space="preserve">1.8%</w:t>
            </w:r>
          </w:p>
        </w:tc>
      </w:tr>
      <w:tr>
        <w:tc>
          <w:tcPr/>
          <w:p>
            <w:pPr>
              <w:pStyle w:val="Compact"/>
              <w:jc w:val="left"/>
            </w:pPr>
            <w:r>
              <w:t xml:space="preserve">Castanhal / Pará</w:t>
            </w:r>
          </w:p>
        </w:tc>
        <w:tc>
          <w:tcPr/>
          <w:p>
            <w:pPr>
              <w:pStyle w:val="Compact"/>
              <w:jc w:val="right"/>
            </w:pPr>
            <w:r>
              <w:t xml:space="preserve">2671</w:t>
            </w:r>
          </w:p>
        </w:tc>
        <w:tc>
          <w:tcPr/>
          <w:p>
            <w:pPr>
              <w:pStyle w:val="Compact"/>
              <w:jc w:val="right"/>
            </w:pPr>
            <w:r>
              <w:t xml:space="preserve">1.5%</w:t>
            </w:r>
          </w:p>
        </w:tc>
      </w:tr>
      <w:tr>
        <w:tc>
          <w:tcPr/>
          <w:p>
            <w:pPr>
              <w:pStyle w:val="Compact"/>
              <w:jc w:val="left"/>
            </w:pPr>
            <w:r>
              <w:t xml:space="preserve">Macapá / Amapá</w:t>
            </w:r>
          </w:p>
        </w:tc>
        <w:tc>
          <w:tcPr/>
          <w:p>
            <w:pPr>
              <w:pStyle w:val="Compact"/>
              <w:jc w:val="right"/>
            </w:pPr>
            <w:r>
              <w:t xml:space="preserve">2615</w:t>
            </w:r>
          </w:p>
        </w:tc>
        <w:tc>
          <w:tcPr/>
          <w:p>
            <w:pPr>
              <w:pStyle w:val="Compact"/>
              <w:jc w:val="right"/>
            </w:pPr>
            <w:r>
              <w:t xml:space="preserve">1.4%</w:t>
            </w:r>
          </w:p>
        </w:tc>
      </w:tr>
      <w:tr>
        <w:tc>
          <w:tcPr/>
          <w:p>
            <w:pPr>
              <w:pStyle w:val="Compact"/>
              <w:jc w:val="left"/>
            </w:pPr>
            <w:r>
              <w:t xml:space="preserve">Outros</w:t>
            </w:r>
          </w:p>
        </w:tc>
        <w:tc>
          <w:tcPr/>
          <w:p>
            <w:pPr>
              <w:pStyle w:val="Compact"/>
              <w:jc w:val="right"/>
            </w:pPr>
            <w:r>
              <w:t xml:space="preserve">126761</w:t>
            </w:r>
          </w:p>
        </w:tc>
        <w:tc>
          <w:tcPr/>
          <w:p>
            <w:pPr>
              <w:pStyle w:val="Compact"/>
              <w:jc w:val="right"/>
            </w:pPr>
            <w:r>
              <w:t xml:space="preserve">69.2%</w:t>
            </w:r>
          </w:p>
        </w:tc>
      </w:tr>
      <w:tr>
        <w:tc>
          <w:tcPr/>
          <w:p>
            <w:pPr>
              <w:pStyle w:val="Compact"/>
              <w:jc w:val="left"/>
            </w:pPr>
            <w:r>
              <w:t xml:space="preserve">Total</w:t>
            </w:r>
          </w:p>
        </w:tc>
        <w:tc>
          <w:tcPr/>
          <w:p>
            <w:pPr>
              <w:pStyle w:val="Compact"/>
              <w:jc w:val="right"/>
            </w:pPr>
            <w:r>
              <w:t xml:space="preserve">183177</w:t>
            </w:r>
          </w:p>
        </w:tc>
        <w:tc>
          <w:tcPr/>
          <w:p>
            <w:pPr>
              <w:pStyle w:val="Compact"/>
              <w:jc w:val="right"/>
            </w:pPr>
            <w:r>
              <w:t xml:space="preserve">100.0%</w:t>
            </w:r>
          </w:p>
        </w:tc>
      </w:tr>
    </w:tbl>
    <w:bookmarkEnd w:id="62"/>
    <w:p>
      <w:pPr>
        <w:pStyle w:val="Corpodetexto"/>
      </w:pPr>
      <w:r>
        <w:t xml:space="preserve">A</w:t>
      </w:r>
      <w:r>
        <w:t xml:space="preserve"> </w:t>
      </w:r>
      <w:hyperlink w:anchor="tbl-ilg-datajud">
        <w:r>
          <w:rPr>
            <w:rStyle w:val="Hyperlink"/>
          </w:rPr>
          <w:t xml:space="preserve">Tabela 12</w:t>
        </w:r>
      </w:hyperlink>
      <w:r>
        <w:t xml:space="preserve"> </w:t>
      </w:r>
      <w:r>
        <w:t xml:space="preserve">mostra os municípios com maior litigiosidade (processos por 100 mil habitantes). É possível identificar que vários municípios pequenos (com menos de 10 mil habitantes) figuram entre os mais litigiosos.</w:t>
      </w:r>
    </w:p>
    <w:bookmarkStart w:id="63" w:name="tbl-ilg-datajud"/>
    <w:p>
      <w:pPr>
        <w:pStyle w:val="TableCaption"/>
      </w:pPr>
      <w:r>
        <w:t xml:space="preserve">Tabela 12: Municípios com mais litigiosidade. Considerada população do Censo IBGE de 2010.</w:t>
      </w:r>
    </w:p>
    <w:tbl>
      <w:tblPr>
        <w:tblStyle w:val="Table"/>
        <w:tblW w:type="auto" w:w="0"/>
        <w:tblLook w:firstRow="1" w:lastRow="0" w:firstColumn="0" w:lastColumn="0" w:noHBand="0" w:noVBand="0" w:val="0020"/>
        <w:jc w:val="start"/>
        <w:tblCaption w:val="Tabela 12: Municípios com mais litigiosidade. Considerada população do Censo IBGE de 2010."/>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ILG</w:t>
            </w:r>
          </w:p>
        </w:tc>
      </w:tr>
      <w:tr>
        <w:tc>
          <w:tcPr/>
          <w:p>
            <w:pPr>
              <w:pStyle w:val="Compact"/>
              <w:jc w:val="left"/>
            </w:pPr>
            <w:r>
              <w:t xml:space="preserve">Santarém Novo / Pará</w:t>
            </w:r>
          </w:p>
        </w:tc>
        <w:tc>
          <w:tcPr/>
          <w:p>
            <w:pPr>
              <w:pStyle w:val="Compact"/>
              <w:jc w:val="right"/>
            </w:pPr>
            <w:r>
              <w:t xml:space="preserve">437</w:t>
            </w:r>
          </w:p>
        </w:tc>
        <w:tc>
          <w:tcPr/>
          <w:p>
            <w:pPr>
              <w:pStyle w:val="Compact"/>
              <w:jc w:val="right"/>
            </w:pPr>
            <w:r>
              <w:t xml:space="preserve">7684.2</w:t>
            </w:r>
          </w:p>
        </w:tc>
      </w:tr>
      <w:tr>
        <w:tc>
          <w:tcPr/>
          <w:p>
            <w:pPr>
              <w:pStyle w:val="Compact"/>
              <w:jc w:val="left"/>
            </w:pPr>
            <w:r>
              <w:t xml:space="preserve">Cristalândia / Tocantins</w:t>
            </w:r>
          </w:p>
        </w:tc>
        <w:tc>
          <w:tcPr/>
          <w:p>
            <w:pPr>
              <w:pStyle w:val="Compact"/>
              <w:jc w:val="right"/>
            </w:pPr>
            <w:r>
              <w:t xml:space="preserve">477</w:t>
            </w:r>
          </w:p>
        </w:tc>
        <w:tc>
          <w:tcPr/>
          <w:p>
            <w:pPr>
              <w:pStyle w:val="Compact"/>
              <w:jc w:val="right"/>
            </w:pPr>
            <w:r>
              <w:t xml:space="preserve">6870.2</w:t>
            </w:r>
          </w:p>
        </w:tc>
      </w:tr>
      <w:tr>
        <w:tc>
          <w:tcPr/>
          <w:p>
            <w:pPr>
              <w:pStyle w:val="Compact"/>
              <w:jc w:val="left"/>
            </w:pPr>
            <w:r>
              <w:t xml:space="preserve">Filadélfia / Tocantins</w:t>
            </w:r>
          </w:p>
        </w:tc>
        <w:tc>
          <w:tcPr/>
          <w:p>
            <w:pPr>
              <w:pStyle w:val="Compact"/>
              <w:jc w:val="right"/>
            </w:pPr>
            <w:r>
              <w:t xml:space="preserve">477</w:t>
            </w:r>
          </w:p>
        </w:tc>
        <w:tc>
          <w:tcPr/>
          <w:p>
            <w:pPr>
              <w:pStyle w:val="Compact"/>
              <w:jc w:val="right"/>
            </w:pPr>
            <w:r>
              <w:t xml:space="preserve">5924.0</w:t>
            </w:r>
          </w:p>
        </w:tc>
      </w:tr>
      <w:tr>
        <w:tc>
          <w:tcPr/>
          <w:p>
            <w:pPr>
              <w:pStyle w:val="Compact"/>
              <w:jc w:val="left"/>
            </w:pPr>
            <w:r>
              <w:t xml:space="preserve">Pedro Afonso / Tocantins</w:t>
            </w:r>
          </w:p>
        </w:tc>
        <w:tc>
          <w:tcPr/>
          <w:p>
            <w:pPr>
              <w:pStyle w:val="Compact"/>
              <w:jc w:val="right"/>
            </w:pPr>
            <w:r>
              <w:t xml:space="preserve">547</w:t>
            </w:r>
          </w:p>
        </w:tc>
        <w:tc>
          <w:tcPr/>
          <w:p>
            <w:pPr>
              <w:pStyle w:val="Compact"/>
              <w:jc w:val="right"/>
            </w:pPr>
            <w:r>
              <w:t xml:space="preserve">4804.6</w:t>
            </w:r>
          </w:p>
        </w:tc>
      </w:tr>
      <w:tr>
        <w:tc>
          <w:tcPr/>
          <w:p>
            <w:pPr>
              <w:pStyle w:val="Compact"/>
              <w:jc w:val="left"/>
            </w:pPr>
            <w:r>
              <w:t xml:space="preserve">Itaguatins / Tocantins</w:t>
            </w:r>
          </w:p>
        </w:tc>
        <w:tc>
          <w:tcPr/>
          <w:p>
            <w:pPr>
              <w:pStyle w:val="Compact"/>
              <w:jc w:val="right"/>
            </w:pPr>
            <w:r>
              <w:t xml:space="preserve">233</w:t>
            </w:r>
          </w:p>
        </w:tc>
        <w:tc>
          <w:tcPr/>
          <w:p>
            <w:pPr>
              <w:pStyle w:val="Compact"/>
              <w:jc w:val="right"/>
            </w:pPr>
            <w:r>
              <w:t xml:space="preserve">4051.5</w:t>
            </w:r>
          </w:p>
        </w:tc>
      </w:tr>
      <w:tr>
        <w:tc>
          <w:tcPr/>
          <w:p>
            <w:pPr>
              <w:pStyle w:val="Compact"/>
              <w:jc w:val="left"/>
            </w:pPr>
            <w:r>
              <w:t xml:space="preserve">Miracema Do Tocantins / Tocantins</w:t>
            </w:r>
          </w:p>
        </w:tc>
        <w:tc>
          <w:tcPr/>
          <w:p>
            <w:pPr>
              <w:pStyle w:val="Compact"/>
              <w:jc w:val="right"/>
            </w:pPr>
            <w:r>
              <w:t xml:space="preserve">797</w:t>
            </w:r>
          </w:p>
        </w:tc>
        <w:tc>
          <w:tcPr/>
          <w:p>
            <w:pPr>
              <w:pStyle w:val="Compact"/>
              <w:jc w:val="right"/>
            </w:pPr>
            <w:r>
              <w:t xml:space="preserve">3904.2</w:t>
            </w:r>
          </w:p>
        </w:tc>
      </w:tr>
      <w:tr>
        <w:tc>
          <w:tcPr/>
          <w:p>
            <w:pPr>
              <w:pStyle w:val="Compact"/>
              <w:jc w:val="left"/>
            </w:pPr>
            <w:r>
              <w:t xml:space="preserve">Manoel Urbano / Acre</w:t>
            </w:r>
          </w:p>
        </w:tc>
        <w:tc>
          <w:tcPr/>
          <w:p>
            <w:pPr>
              <w:pStyle w:val="Compact"/>
              <w:jc w:val="right"/>
            </w:pPr>
            <w:r>
              <w:t xml:space="preserve">280</w:t>
            </w:r>
          </w:p>
        </w:tc>
        <w:tc>
          <w:tcPr/>
          <w:p>
            <w:pPr>
              <w:pStyle w:val="Compact"/>
              <w:jc w:val="right"/>
            </w:pPr>
            <w:r>
              <w:t xml:space="preserve">3770.0</w:t>
            </w:r>
          </w:p>
        </w:tc>
      </w:tr>
      <w:tr>
        <w:tc>
          <w:tcPr/>
          <w:p>
            <w:pPr>
              <w:pStyle w:val="Compact"/>
              <w:jc w:val="left"/>
            </w:pPr>
            <w:r>
              <w:t xml:space="preserve">Salinópolis / Pará</w:t>
            </w:r>
          </w:p>
        </w:tc>
        <w:tc>
          <w:tcPr/>
          <w:p>
            <w:pPr>
              <w:pStyle w:val="Compact"/>
              <w:jc w:val="right"/>
            </w:pPr>
            <w:r>
              <w:t xml:space="preserve">1268</w:t>
            </w:r>
          </w:p>
        </w:tc>
        <w:tc>
          <w:tcPr/>
          <w:p>
            <w:pPr>
              <w:pStyle w:val="Compact"/>
              <w:jc w:val="right"/>
            </w:pPr>
            <w:r>
              <w:t xml:space="preserve">3456.5</w:t>
            </w:r>
          </w:p>
        </w:tc>
      </w:tr>
      <w:tr>
        <w:tc>
          <w:tcPr/>
          <w:p>
            <w:pPr>
              <w:pStyle w:val="Compact"/>
              <w:jc w:val="left"/>
            </w:pPr>
            <w:r>
              <w:t xml:space="preserve">Augustinópolis / Tocantins</w:t>
            </w:r>
          </w:p>
        </w:tc>
        <w:tc>
          <w:tcPr/>
          <w:p>
            <w:pPr>
              <w:pStyle w:val="Compact"/>
              <w:jc w:val="right"/>
            </w:pPr>
            <w:r>
              <w:t xml:space="preserve">539</w:t>
            </w:r>
          </w:p>
        </w:tc>
        <w:tc>
          <w:tcPr/>
          <w:p>
            <w:pPr>
              <w:pStyle w:val="Compact"/>
              <w:jc w:val="right"/>
            </w:pPr>
            <w:r>
              <w:t xml:space="preserve">3432.2</w:t>
            </w:r>
          </w:p>
        </w:tc>
      </w:tr>
      <w:tr>
        <w:tc>
          <w:tcPr/>
          <w:p>
            <w:pPr>
              <w:pStyle w:val="Compact"/>
              <w:jc w:val="left"/>
            </w:pPr>
            <w:r>
              <w:t xml:space="preserve">São Luiz / Roraima</w:t>
            </w:r>
          </w:p>
        </w:tc>
        <w:tc>
          <w:tcPr/>
          <w:p>
            <w:pPr>
              <w:pStyle w:val="Compact"/>
              <w:jc w:val="right"/>
            </w:pPr>
            <w:r>
              <w:t xml:space="preserve">208</w:t>
            </w:r>
          </w:p>
        </w:tc>
        <w:tc>
          <w:tcPr/>
          <w:p>
            <w:pPr>
              <w:pStyle w:val="Compact"/>
              <w:jc w:val="right"/>
            </w:pPr>
            <w:r>
              <w:t xml:space="preserve">3251.5</w:t>
            </w:r>
          </w:p>
        </w:tc>
      </w:tr>
    </w:tbl>
    <w:bookmarkEnd w:id="63"/>
    <w:p>
      <w:pPr>
        <w:pStyle w:val="Corpodetexto"/>
      </w:pPr>
      <w:r>
        <w:t xml:space="preserve">A</w:t>
      </w:r>
      <w:r>
        <w:t xml:space="preserve"> </w:t>
      </w:r>
      <w:hyperlink w:anchor="tbl-ilg-50k-datajud">
        <w:r>
          <w:rPr>
            <w:rStyle w:val="Hyperlink"/>
          </w:rPr>
          <w:t xml:space="preserve">Tabela 13</w:t>
        </w:r>
      </w:hyperlink>
      <w:r>
        <w:t xml:space="preserve"> </w:t>
      </w:r>
      <w:r>
        <w:t xml:space="preserve">mostra os municípios com maior litigiosidade, considerando somente municípios com mais de 50 mil habitantes. Novamente aparecem algumas capitais e figuram entre os mais litigiosos o município de Cáceres/MT.</w:t>
      </w:r>
    </w:p>
    <w:bookmarkStart w:id="64" w:name="tbl-ilg-50k-datajud"/>
    <w:p>
      <w:pPr>
        <w:pStyle w:val="TableCaption"/>
      </w:pPr>
      <w:r>
        <w:t xml:space="preserve">Tabela 13: Municípios com mais litigiosidade.</w:t>
      </w:r>
    </w:p>
    <w:tbl>
      <w:tblPr>
        <w:tblStyle w:val="Table"/>
        <w:tblW w:type="auto" w:w="0"/>
        <w:tblLook w:firstRow="1" w:lastRow="0" w:firstColumn="0" w:lastColumn="0" w:noHBand="0" w:noVBand="0" w:val="0020"/>
        <w:jc w:val="start"/>
        <w:tblCaption w:val="Tabela 13: Municípios com mais litigiosidade."/>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Processos/100k hab.</w:t>
            </w:r>
          </w:p>
        </w:tc>
      </w:tr>
      <w:tr>
        <w:tc>
          <w:tcPr/>
          <w:p>
            <w:pPr>
              <w:pStyle w:val="Compact"/>
              <w:jc w:val="left"/>
            </w:pPr>
            <w:r>
              <w:t xml:space="preserve">Boa Vista / Roraima</w:t>
            </w:r>
          </w:p>
        </w:tc>
        <w:tc>
          <w:tcPr/>
          <w:p>
            <w:pPr>
              <w:pStyle w:val="Compact"/>
              <w:jc w:val="right"/>
            </w:pPr>
            <w:r>
              <w:t xml:space="preserve">8573</w:t>
            </w:r>
          </w:p>
        </w:tc>
        <w:tc>
          <w:tcPr/>
          <w:p>
            <w:pPr>
              <w:pStyle w:val="Compact"/>
              <w:jc w:val="right"/>
            </w:pPr>
            <w:r>
              <w:t xml:space="preserve">3054.2</w:t>
            </w:r>
          </w:p>
        </w:tc>
      </w:tr>
      <w:tr>
        <w:tc>
          <w:tcPr/>
          <w:p>
            <w:pPr>
              <w:pStyle w:val="Compact"/>
              <w:jc w:val="left"/>
            </w:pPr>
            <w:r>
              <w:t xml:space="preserve">Benevides / Pará</w:t>
            </w:r>
          </w:p>
        </w:tc>
        <w:tc>
          <w:tcPr/>
          <w:p>
            <w:pPr>
              <w:pStyle w:val="Compact"/>
              <w:jc w:val="right"/>
            </w:pPr>
            <w:r>
              <w:t xml:space="preserve">1274</w:t>
            </w:r>
          </w:p>
        </w:tc>
        <w:tc>
          <w:tcPr/>
          <w:p>
            <w:pPr>
              <w:pStyle w:val="Compact"/>
              <w:jc w:val="right"/>
            </w:pPr>
            <w:r>
              <w:t xml:space="preserve">2505.0</w:t>
            </w:r>
          </w:p>
        </w:tc>
      </w:tr>
      <w:tr>
        <w:tc>
          <w:tcPr/>
          <w:p>
            <w:pPr>
              <w:pStyle w:val="Compact"/>
              <w:jc w:val="left"/>
            </w:pPr>
            <w:r>
              <w:t xml:space="preserve">Santa Izabel Do Pará / Pará</w:t>
            </w:r>
          </w:p>
        </w:tc>
        <w:tc>
          <w:tcPr/>
          <w:p>
            <w:pPr>
              <w:pStyle w:val="Compact"/>
              <w:jc w:val="right"/>
            </w:pPr>
            <w:r>
              <w:t xml:space="preserve">1200</w:t>
            </w:r>
          </w:p>
        </w:tc>
        <w:tc>
          <w:tcPr/>
          <w:p>
            <w:pPr>
              <w:pStyle w:val="Compact"/>
              <w:jc w:val="right"/>
            </w:pPr>
            <w:r>
              <w:t xml:space="preserve">2141.3</w:t>
            </w:r>
          </w:p>
        </w:tc>
      </w:tr>
      <w:tr>
        <w:tc>
          <w:tcPr/>
          <w:p>
            <w:pPr>
              <w:pStyle w:val="Compact"/>
              <w:jc w:val="left"/>
            </w:pPr>
            <w:r>
              <w:t xml:space="preserve">Bragança / Pará</w:t>
            </w:r>
          </w:p>
        </w:tc>
        <w:tc>
          <w:tcPr/>
          <w:p>
            <w:pPr>
              <w:pStyle w:val="Compact"/>
              <w:jc w:val="right"/>
            </w:pPr>
            <w:r>
              <w:t xml:space="preserve">2295</w:t>
            </w:r>
          </w:p>
        </w:tc>
        <w:tc>
          <w:tcPr/>
          <w:p>
            <w:pPr>
              <w:pStyle w:val="Compact"/>
              <w:jc w:val="right"/>
            </w:pPr>
            <w:r>
              <w:t xml:space="preserve">2094.8</w:t>
            </w:r>
          </w:p>
        </w:tc>
      </w:tr>
      <w:tr>
        <w:tc>
          <w:tcPr/>
          <w:p>
            <w:pPr>
              <w:pStyle w:val="Compact"/>
              <w:jc w:val="left"/>
            </w:pPr>
            <w:r>
              <w:t xml:space="preserve">Rio Branco / Acre</w:t>
            </w:r>
          </w:p>
        </w:tc>
        <w:tc>
          <w:tcPr/>
          <w:p>
            <w:pPr>
              <w:pStyle w:val="Compact"/>
              <w:jc w:val="right"/>
            </w:pPr>
            <w:r>
              <w:t xml:space="preserve">6608</w:t>
            </w:r>
          </w:p>
        </w:tc>
        <w:tc>
          <w:tcPr/>
          <w:p>
            <w:pPr>
              <w:pStyle w:val="Compact"/>
              <w:jc w:val="right"/>
            </w:pPr>
            <w:r>
              <w:t xml:space="preserve">2010.6</w:t>
            </w:r>
          </w:p>
        </w:tc>
      </w:tr>
      <w:tr>
        <w:tc>
          <w:tcPr/>
          <w:p>
            <w:pPr>
              <w:pStyle w:val="Compact"/>
              <w:jc w:val="left"/>
            </w:pPr>
            <w:r>
              <w:t xml:space="preserve">Gurupi / Tocantins</w:t>
            </w:r>
          </w:p>
        </w:tc>
        <w:tc>
          <w:tcPr/>
          <w:p>
            <w:pPr>
              <w:pStyle w:val="Compact"/>
              <w:jc w:val="right"/>
            </w:pPr>
            <w:r>
              <w:t xml:space="preserve">1328</w:t>
            </w:r>
          </w:p>
        </w:tc>
        <w:tc>
          <w:tcPr/>
          <w:p>
            <w:pPr>
              <w:pStyle w:val="Compact"/>
              <w:jc w:val="right"/>
            </w:pPr>
            <w:r>
              <w:t xml:space="preserve">1743.9</w:t>
            </w:r>
          </w:p>
        </w:tc>
      </w:tr>
      <w:tr>
        <w:tc>
          <w:tcPr/>
          <w:p>
            <w:pPr>
              <w:pStyle w:val="Compact"/>
              <w:jc w:val="left"/>
            </w:pPr>
            <w:r>
              <w:t xml:space="preserve">Castanhal / Pará</w:t>
            </w:r>
          </w:p>
        </w:tc>
        <w:tc>
          <w:tcPr/>
          <w:p>
            <w:pPr>
              <w:pStyle w:val="Compact"/>
              <w:jc w:val="right"/>
            </w:pPr>
            <w:r>
              <w:t xml:space="preserve">2671</w:t>
            </w:r>
          </w:p>
        </w:tc>
        <w:tc>
          <w:tcPr/>
          <w:p>
            <w:pPr>
              <w:pStyle w:val="Compact"/>
              <w:jc w:val="right"/>
            </w:pPr>
            <w:r>
              <w:t xml:space="preserve">1566.1</w:t>
            </w:r>
          </w:p>
        </w:tc>
      </w:tr>
      <w:tr>
        <w:tc>
          <w:tcPr/>
          <w:p>
            <w:pPr>
              <w:pStyle w:val="Compact"/>
              <w:jc w:val="left"/>
            </w:pPr>
            <w:r>
              <w:t xml:space="preserve">Redenção / Pará</w:t>
            </w:r>
          </w:p>
        </w:tc>
        <w:tc>
          <w:tcPr/>
          <w:p>
            <w:pPr>
              <w:pStyle w:val="Compact"/>
              <w:jc w:val="right"/>
            </w:pPr>
            <w:r>
              <w:t xml:space="preserve">1076</w:t>
            </w:r>
          </w:p>
        </w:tc>
        <w:tc>
          <w:tcPr/>
          <w:p>
            <w:pPr>
              <w:pStyle w:val="Compact"/>
              <w:jc w:val="right"/>
            </w:pPr>
            <w:r>
              <w:t xml:space="preserve">1471.3</w:t>
            </w:r>
          </w:p>
        </w:tc>
      </w:tr>
      <w:tr>
        <w:tc>
          <w:tcPr/>
          <w:p>
            <w:pPr>
              <w:pStyle w:val="Compact"/>
              <w:jc w:val="left"/>
            </w:pPr>
            <w:r>
              <w:t xml:space="preserve">Santarém / Pará</w:t>
            </w:r>
          </w:p>
        </w:tc>
        <w:tc>
          <w:tcPr/>
          <w:p>
            <w:pPr>
              <w:pStyle w:val="Compact"/>
              <w:jc w:val="right"/>
            </w:pPr>
            <w:r>
              <w:t xml:space="preserve">4161</w:t>
            </w:r>
          </w:p>
        </w:tc>
        <w:tc>
          <w:tcPr/>
          <w:p>
            <w:pPr>
              <w:pStyle w:val="Compact"/>
              <w:jc w:val="right"/>
            </w:pPr>
            <w:r>
              <w:t xml:space="preserve">1452.0</w:t>
            </w:r>
          </w:p>
        </w:tc>
      </w:tr>
      <w:tr>
        <w:tc>
          <w:tcPr/>
          <w:p>
            <w:pPr>
              <w:pStyle w:val="Compact"/>
              <w:jc w:val="left"/>
            </w:pPr>
            <w:r>
              <w:t xml:space="preserve">Cáceres / Mato Grosso</w:t>
            </w:r>
          </w:p>
        </w:tc>
        <w:tc>
          <w:tcPr/>
          <w:p>
            <w:pPr>
              <w:pStyle w:val="Compact"/>
              <w:jc w:val="right"/>
            </w:pPr>
            <w:r>
              <w:t xml:space="preserve">1230</w:t>
            </w:r>
          </w:p>
        </w:tc>
        <w:tc>
          <w:tcPr/>
          <w:p>
            <w:pPr>
              <w:pStyle w:val="Compact"/>
              <w:jc w:val="right"/>
            </w:pPr>
            <w:r>
              <w:t xml:space="preserve">1430.8</w:t>
            </w:r>
          </w:p>
        </w:tc>
      </w:tr>
    </w:tbl>
    <w:bookmarkEnd w:id="64"/>
    <w:p>
      <w:pPr>
        <w:pStyle w:val="Corpodetexto"/>
      </w:pPr>
      <w:r>
        <w:t xml:space="preserve">A</w:t>
      </w:r>
      <w:r>
        <w:t xml:space="preserve"> </w:t>
      </w:r>
      <w:hyperlink w:anchor="tbl-ila-50k-datajud">
        <w:r>
          <w:rPr>
            <w:rStyle w:val="Hyperlink"/>
          </w:rPr>
          <w:t xml:space="preserve">Tabela 14</w:t>
        </w:r>
      </w:hyperlink>
      <w:r>
        <w:t xml:space="preserve"> </w:t>
      </w:r>
      <w:r>
        <w:t xml:space="preserve">mostra os municípios com maior litigiosidade por área, considerando somente municípios com mais de 5000 km² de área. Novamente aparecem algumas capitais e figura entre os mais litigiosos o município de Cuiabá.</w:t>
      </w:r>
    </w:p>
    <w:bookmarkStart w:id="65" w:name="tbl-ila-50k-datajud"/>
    <w:p>
      <w:pPr>
        <w:pStyle w:val="TableCaption"/>
      </w:pPr>
      <w:r>
        <w:t xml:space="preserve">Tabela 14: Municípios com maiores taxas de processos por mil quilômetros quadrados.</w:t>
      </w:r>
    </w:p>
    <w:tbl>
      <w:tblPr>
        <w:tblStyle w:val="Table"/>
        <w:tblW w:type="auto" w:w="0"/>
        <w:tblLook w:firstRow="1" w:lastRow="0" w:firstColumn="0" w:lastColumn="0" w:noHBand="0" w:noVBand="0" w:val="0020"/>
        <w:jc w:val="start"/>
        <w:tblCaption w:val="Tabela 14: Municípios com maiores taxas de processos por mil quilômetros quadrados."/>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Processos/1000 km²</w:t>
            </w:r>
          </w:p>
        </w:tc>
      </w:tr>
      <w:tr>
        <w:tc>
          <w:tcPr/>
          <w:p>
            <w:pPr>
              <w:pStyle w:val="Compact"/>
              <w:jc w:val="left"/>
            </w:pPr>
            <w:r>
              <w:t xml:space="preserve">Boa Vista</w:t>
            </w:r>
          </w:p>
        </w:tc>
        <w:tc>
          <w:tcPr/>
          <w:p>
            <w:pPr>
              <w:pStyle w:val="Compact"/>
              <w:jc w:val="right"/>
            </w:pPr>
            <w:r>
              <w:t xml:space="preserve">8573</w:t>
            </w:r>
          </w:p>
        </w:tc>
        <w:tc>
          <w:tcPr/>
          <w:p>
            <w:pPr>
              <w:pStyle w:val="Compact"/>
              <w:jc w:val="right"/>
            </w:pPr>
            <w:r>
              <w:t xml:space="preserve">1507.5</w:t>
            </w:r>
          </w:p>
        </w:tc>
      </w:tr>
      <w:tr>
        <w:tc>
          <w:tcPr/>
          <w:p>
            <w:pPr>
              <w:pStyle w:val="Compact"/>
              <w:jc w:val="left"/>
            </w:pPr>
            <w:r>
              <w:t xml:space="preserve">Rio Branco</w:t>
            </w:r>
          </w:p>
        </w:tc>
        <w:tc>
          <w:tcPr/>
          <w:p>
            <w:pPr>
              <w:pStyle w:val="Compact"/>
              <w:jc w:val="right"/>
            </w:pPr>
            <w:r>
              <w:t xml:space="preserve">6608</w:t>
            </w:r>
          </w:p>
        </w:tc>
        <w:tc>
          <w:tcPr/>
          <w:p>
            <w:pPr>
              <w:pStyle w:val="Compact"/>
              <w:jc w:val="right"/>
            </w:pPr>
            <w:r>
              <w:t xml:space="preserve">747.9</w:t>
            </w:r>
          </w:p>
        </w:tc>
      </w:tr>
      <w:tr>
        <w:tc>
          <w:tcPr/>
          <w:p>
            <w:pPr>
              <w:pStyle w:val="Compact"/>
              <w:jc w:val="left"/>
            </w:pPr>
            <w:r>
              <w:t xml:space="preserve">Cuiabá</w:t>
            </w:r>
          </w:p>
        </w:tc>
        <w:tc>
          <w:tcPr/>
          <w:p>
            <w:pPr>
              <w:pStyle w:val="Compact"/>
              <w:jc w:val="right"/>
            </w:pPr>
            <w:r>
              <w:t xml:space="preserve">3323</w:t>
            </w:r>
          </w:p>
        </w:tc>
        <w:tc>
          <w:tcPr/>
          <w:p>
            <w:pPr>
              <w:pStyle w:val="Compact"/>
              <w:jc w:val="right"/>
            </w:pPr>
            <w:r>
              <w:t xml:space="preserve">654.5</w:t>
            </w:r>
          </w:p>
        </w:tc>
      </w:tr>
      <w:tr>
        <w:tc>
          <w:tcPr/>
          <w:p>
            <w:pPr>
              <w:pStyle w:val="Compact"/>
              <w:jc w:val="left"/>
            </w:pPr>
            <w:r>
              <w:t xml:space="preserve">Manaus</w:t>
            </w:r>
          </w:p>
        </w:tc>
        <w:tc>
          <w:tcPr/>
          <w:p>
            <w:pPr>
              <w:pStyle w:val="Compact"/>
              <w:jc w:val="right"/>
            </w:pPr>
            <w:r>
              <w:t xml:space="preserve">5307</w:t>
            </w:r>
          </w:p>
        </w:tc>
        <w:tc>
          <w:tcPr/>
          <w:p>
            <w:pPr>
              <w:pStyle w:val="Compact"/>
              <w:jc w:val="right"/>
            </w:pPr>
            <w:r>
              <w:t xml:space="preserve">465.5</w:t>
            </w:r>
          </w:p>
        </w:tc>
      </w:tr>
      <w:tr>
        <w:tc>
          <w:tcPr/>
          <w:p>
            <w:pPr>
              <w:pStyle w:val="Compact"/>
              <w:jc w:val="left"/>
            </w:pPr>
            <w:r>
              <w:t xml:space="preserve">Macapá</w:t>
            </w:r>
          </w:p>
        </w:tc>
        <w:tc>
          <w:tcPr/>
          <w:p>
            <w:pPr>
              <w:pStyle w:val="Compact"/>
              <w:jc w:val="right"/>
            </w:pPr>
            <w:r>
              <w:t xml:space="preserve">2615</w:t>
            </w:r>
          </w:p>
        </w:tc>
        <w:tc>
          <w:tcPr/>
          <w:p>
            <w:pPr>
              <w:pStyle w:val="Compact"/>
              <w:jc w:val="right"/>
            </w:pPr>
            <w:r>
              <w:t xml:space="preserve">398.4</w:t>
            </w:r>
          </w:p>
        </w:tc>
      </w:tr>
      <w:tr>
        <w:tc>
          <w:tcPr/>
          <w:p>
            <w:pPr>
              <w:pStyle w:val="Compact"/>
              <w:jc w:val="left"/>
            </w:pPr>
            <w:r>
              <w:t xml:space="preserve">Santarém</w:t>
            </w:r>
          </w:p>
        </w:tc>
        <w:tc>
          <w:tcPr/>
          <w:p>
            <w:pPr>
              <w:pStyle w:val="Compact"/>
              <w:jc w:val="right"/>
            </w:pPr>
            <w:r>
              <w:t xml:space="preserve">4161</w:t>
            </w:r>
          </w:p>
        </w:tc>
        <w:tc>
          <w:tcPr/>
          <w:p>
            <w:pPr>
              <w:pStyle w:val="Compact"/>
              <w:jc w:val="right"/>
            </w:pPr>
            <w:r>
              <w:t xml:space="preserve">232.5</w:t>
            </w:r>
          </w:p>
        </w:tc>
      </w:tr>
      <w:tr>
        <w:tc>
          <w:tcPr/>
          <w:p>
            <w:pPr>
              <w:pStyle w:val="Compact"/>
              <w:jc w:val="left"/>
            </w:pPr>
            <w:r>
              <w:t xml:space="preserve">Parauapebas</w:t>
            </w:r>
          </w:p>
        </w:tc>
        <w:tc>
          <w:tcPr/>
          <w:p>
            <w:pPr>
              <w:pStyle w:val="Compact"/>
              <w:jc w:val="right"/>
            </w:pPr>
            <w:r>
              <w:t xml:space="preserve">1588</w:t>
            </w:r>
          </w:p>
        </w:tc>
        <w:tc>
          <w:tcPr/>
          <w:p>
            <w:pPr>
              <w:pStyle w:val="Compact"/>
              <w:jc w:val="right"/>
            </w:pPr>
            <w:r>
              <w:t xml:space="preserve">230.6</w:t>
            </w:r>
          </w:p>
        </w:tc>
      </w:tr>
      <w:tr>
        <w:tc>
          <w:tcPr/>
          <w:p>
            <w:pPr>
              <w:pStyle w:val="Compact"/>
              <w:jc w:val="left"/>
            </w:pPr>
            <w:r>
              <w:t xml:space="preserve">Açailândia</w:t>
            </w:r>
          </w:p>
        </w:tc>
        <w:tc>
          <w:tcPr/>
          <w:p>
            <w:pPr>
              <w:pStyle w:val="Compact"/>
              <w:jc w:val="right"/>
            </w:pPr>
            <w:r>
              <w:t xml:space="preserve">1035</w:t>
            </w:r>
          </w:p>
        </w:tc>
        <w:tc>
          <w:tcPr/>
          <w:p>
            <w:pPr>
              <w:pStyle w:val="Compact"/>
              <w:jc w:val="right"/>
            </w:pPr>
            <w:r>
              <w:t xml:space="preserve">178.3</w:t>
            </w:r>
          </w:p>
        </w:tc>
      </w:tr>
      <w:tr>
        <w:tc>
          <w:tcPr/>
          <w:p>
            <w:pPr>
              <w:pStyle w:val="Compact"/>
              <w:jc w:val="left"/>
            </w:pPr>
            <w:r>
              <w:t xml:space="preserve">Ji-Paraná</w:t>
            </w:r>
          </w:p>
        </w:tc>
        <w:tc>
          <w:tcPr/>
          <w:p>
            <w:pPr>
              <w:pStyle w:val="Compact"/>
              <w:jc w:val="right"/>
            </w:pPr>
            <w:r>
              <w:t xml:space="preserve">1100</w:t>
            </w:r>
          </w:p>
        </w:tc>
        <w:tc>
          <w:tcPr/>
          <w:p>
            <w:pPr>
              <w:pStyle w:val="Compact"/>
              <w:jc w:val="right"/>
            </w:pPr>
            <w:r>
              <w:t xml:space="preserve">159.5</w:t>
            </w:r>
          </w:p>
        </w:tc>
      </w:tr>
      <w:tr>
        <w:tc>
          <w:tcPr/>
          <w:p>
            <w:pPr>
              <w:pStyle w:val="Compact"/>
              <w:jc w:val="left"/>
            </w:pPr>
            <w:r>
              <w:t xml:space="preserve">Manacapuru</w:t>
            </w:r>
          </w:p>
        </w:tc>
        <w:tc>
          <w:tcPr/>
          <w:p>
            <w:pPr>
              <w:pStyle w:val="Compact"/>
              <w:jc w:val="right"/>
            </w:pPr>
            <w:r>
              <w:t xml:space="preserve">1089</w:t>
            </w:r>
          </w:p>
        </w:tc>
        <w:tc>
          <w:tcPr/>
          <w:p>
            <w:pPr>
              <w:pStyle w:val="Compact"/>
              <w:jc w:val="right"/>
            </w:pPr>
            <w:r>
              <w:t xml:space="preserve">148.4</w:t>
            </w:r>
          </w:p>
        </w:tc>
      </w:tr>
    </w:tbl>
    <w:bookmarkEnd w:id="65"/>
    <w:p>
      <w:pPr>
        <w:pStyle w:val="Corpodetexto"/>
      </w:pPr>
      <w:r>
        <w:t xml:space="preserve">Uma análise de interesse é correlacionar a litigiosidade com o desmatamento. Para isso, foi obtida uma base do sistema PRODES, de onde é possível calcular o percentual de área desmatada com relação à área total do município. O resultado é a</w:t>
      </w:r>
      <w:r>
        <w:t xml:space="preserve"> </w:t>
      </w:r>
      <w:hyperlink w:anchor="fig-ilg-desmatamento-datajud">
        <w:r>
          <w:rPr>
            <w:rStyle w:val="Hyperlink"/>
          </w:rPr>
          <w:t xml:space="preserve">Figura 6</w:t>
        </w:r>
      </w:hyperlink>
      <w:r>
        <w:t xml:space="preserve">, que mostra que as quantidades não são correlacionadas.</w:t>
      </w:r>
    </w:p>
    <w:tbl>
      <w:tblPr>
        <w:tblStyle w:val="Table"/>
        <w:tblW w:type="pct" w:w="5000"/>
        <w:tblLook w:firstRow="0" w:lastRow="0" w:firstColumn="0" w:lastColumn="0" w:noHBand="0" w:noVBand="0" w:val="0000"/>
        <w:jc w:val="start"/>
      </w:tblPr>
      <w:tblGrid>
        <w:gridCol w:w="7920"/>
      </w:tblGrid>
      <w:tr>
        <w:tc>
          <w:tcPr/>
          <w:bookmarkStart w:id="69" w:name="fig-ilg-desmatamento-datajud"/>
          <w:p>
            <w:pPr>
              <w:jc w:val="center"/>
            </w:pPr>
            <w:r>
              <w:drawing>
                <wp:inline>
                  <wp:extent cx="4620126" cy="3696101"/>
                  <wp:effectExtent b="0" l="0" r="0" t="0"/>
                  <wp:docPr descr="" title="" id="67" name="Picture"/>
                  <a:graphic>
                    <a:graphicData uri="http://schemas.openxmlformats.org/drawingml/2006/picture">
                      <pic:pic>
                        <pic:nvPicPr>
                          <pic:cNvPr descr="2-descritiva_files/figure-docx/fig-ilg-desmatamento-datajud-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6: Gráfico de dispersão mostrando a relação entre a litigiosidade e o percentual de desmatamento do município.</w:t>
            </w:r>
          </w:p>
          <w:bookmarkEnd w:id="69"/>
        </w:tc>
      </w:tr>
    </w:tbl>
    <w:bookmarkStart w:id="72" w:name="segundo-grau-1"/>
    <w:p>
      <w:pPr>
        <w:pStyle w:val="Ttulo4"/>
      </w:pPr>
      <w:r>
        <w:t xml:space="preserve">Segundo grau</w:t>
      </w:r>
    </w:p>
    <w:p>
      <w:pPr>
        <w:pStyle w:val="FirstParagraph"/>
      </w:pPr>
      <w:r>
        <w:t xml:space="preserve">Abaixo, repetimos algumas análises considerando a base do segundo grau do DataJud. A base foi construída utilizando os mesmos filtros que a base do primeiro grau, moficiando apenas o filtro da instância.</w:t>
      </w:r>
    </w:p>
    <w:p>
      <w:pPr>
        <w:pStyle w:val="Corpodetexto"/>
      </w:pPr>
      <w:r>
        <w:t xml:space="preserve">Os 10 assuntos mais comuns estão na</w:t>
      </w:r>
      <w:r>
        <w:t xml:space="preserve"> </w:t>
      </w:r>
      <w:hyperlink w:anchor="tbl-assunto-datajud-2grau">
        <w:r>
          <w:rPr>
            <w:rStyle w:val="Hyperlink"/>
          </w:rPr>
          <w:t xml:space="preserve">Tabela 15</w:t>
        </w:r>
      </w:hyperlink>
      <w:r>
        <w:t xml:space="preserve">. Assuntos relacionados a tráfico de drogas são os mais frequentes, seguidos de quadrilha ou bando, mas com um percentual bem menor.</w:t>
      </w:r>
    </w:p>
    <w:bookmarkStart w:id="70" w:name="tbl-assunto-datajud-2grau"/>
    <w:p>
      <w:pPr>
        <w:pStyle w:val="TableCaption"/>
      </w:pPr>
      <w:r>
        <w:t xml:space="preserve">Tabela 15: Dez assuntos mais comuns no segundo grau. Um processo pode ter mais de um assunto.</w:t>
      </w:r>
    </w:p>
    <w:tbl>
      <w:tblPr>
        <w:tblStyle w:val="Table"/>
        <w:tblW w:type="pct" w:w="5000"/>
        <w:tblLook w:firstRow="1" w:lastRow="0" w:firstColumn="0" w:lastColumn="0" w:noHBand="0" w:noVBand="0" w:val="0020"/>
        <w:jc w:val="start"/>
        <w:tblCaption w:val="Tabela 15: Dez assuntos mais comuns no segundo grau. Um processo pode ter mais de um assunto."/>
      </w:tblPr>
      <w:tblGrid>
        <w:gridCol w:w="6939"/>
        <w:gridCol w:w="452"/>
        <w:gridCol w:w="528"/>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Tráfico de Drogas e Condutas Afins</w:t>
            </w:r>
          </w:p>
        </w:tc>
        <w:tc>
          <w:tcPr/>
          <w:p>
            <w:pPr>
              <w:pStyle w:val="Compact"/>
              <w:jc w:val="right"/>
            </w:pPr>
            <w:r>
              <w:t xml:space="preserve">33773</w:t>
            </w:r>
          </w:p>
        </w:tc>
        <w:tc>
          <w:tcPr/>
          <w:p>
            <w:pPr>
              <w:pStyle w:val="Compact"/>
              <w:jc w:val="right"/>
            </w:pPr>
            <w:r>
              <w:t xml:space="preserve">66.0%</w:t>
            </w:r>
          </w:p>
        </w:tc>
      </w:tr>
      <w:tr>
        <w:tc>
          <w:tcPr/>
          <w:p>
            <w:pPr>
              <w:pStyle w:val="Compact"/>
              <w:jc w:val="left"/>
            </w:pPr>
            <w:r>
              <w:t xml:space="preserve">Associação para a Produção e Tráfico e Condutas Afins</w:t>
            </w:r>
          </w:p>
        </w:tc>
        <w:tc>
          <w:tcPr/>
          <w:p>
            <w:pPr>
              <w:pStyle w:val="Compact"/>
              <w:jc w:val="right"/>
            </w:pPr>
            <w:r>
              <w:t xml:space="preserve">6168</w:t>
            </w:r>
          </w:p>
        </w:tc>
        <w:tc>
          <w:tcPr/>
          <w:p>
            <w:pPr>
              <w:pStyle w:val="Compact"/>
              <w:jc w:val="right"/>
            </w:pPr>
            <w:r>
              <w:t xml:space="preserve">12.0%</w:t>
            </w:r>
          </w:p>
        </w:tc>
      </w:tr>
      <w:tr>
        <w:tc>
          <w:tcPr/>
          <w:p>
            <w:pPr>
              <w:pStyle w:val="Compact"/>
              <w:jc w:val="left"/>
            </w:pPr>
            <w:r>
              <w:t xml:space="preserve">Crimes de Tráfico Ilícito e Uso Indevido de Drogas</w:t>
            </w:r>
          </w:p>
        </w:tc>
        <w:tc>
          <w:tcPr/>
          <w:p>
            <w:pPr>
              <w:pStyle w:val="Compact"/>
              <w:jc w:val="right"/>
            </w:pPr>
            <w:r>
              <w:t xml:space="preserve">2335</w:t>
            </w:r>
          </w:p>
        </w:tc>
        <w:tc>
          <w:tcPr/>
          <w:p>
            <w:pPr>
              <w:pStyle w:val="Compact"/>
              <w:jc w:val="right"/>
            </w:pPr>
            <w:r>
              <w:t xml:space="preserve">4.6%</w:t>
            </w:r>
          </w:p>
        </w:tc>
      </w:tr>
      <w:tr>
        <w:tc>
          <w:tcPr/>
          <w:p>
            <w:pPr>
              <w:pStyle w:val="Compact"/>
              <w:jc w:val="left"/>
            </w:pPr>
            <w:r>
              <w:t xml:space="preserve">Colaboração com Grupo, Organização ou Associação Destinados à Produção ou Tráfico de Drogas</w:t>
            </w:r>
          </w:p>
        </w:tc>
        <w:tc>
          <w:tcPr/>
          <w:p>
            <w:pPr>
              <w:pStyle w:val="Compact"/>
              <w:jc w:val="right"/>
            </w:pPr>
            <w:r>
              <w:t xml:space="preserve">1075</w:t>
            </w:r>
          </w:p>
        </w:tc>
        <w:tc>
          <w:tcPr/>
          <w:p>
            <w:pPr>
              <w:pStyle w:val="Compact"/>
              <w:jc w:val="right"/>
            </w:pPr>
            <w:r>
              <w:t xml:space="preserve">2.1%</w:t>
            </w:r>
          </w:p>
        </w:tc>
      </w:tr>
      <w:tr>
        <w:tc>
          <w:tcPr/>
          <w:p>
            <w:pPr>
              <w:pStyle w:val="Compact"/>
              <w:jc w:val="left"/>
            </w:pPr>
            <w:r>
              <w:t xml:space="preserve">Quadrilha ou Bando</w:t>
            </w:r>
          </w:p>
        </w:tc>
        <w:tc>
          <w:tcPr/>
          <w:p>
            <w:pPr>
              <w:pStyle w:val="Compact"/>
              <w:jc w:val="right"/>
            </w:pPr>
            <w:r>
              <w:t xml:space="preserve">948</w:t>
            </w:r>
          </w:p>
        </w:tc>
        <w:tc>
          <w:tcPr/>
          <w:p>
            <w:pPr>
              <w:pStyle w:val="Compact"/>
              <w:jc w:val="right"/>
            </w:pPr>
            <w:r>
              <w:t xml:space="preserve">1.9%</w:t>
            </w:r>
          </w:p>
        </w:tc>
      </w:tr>
      <w:tr>
        <w:tc>
          <w:tcPr/>
          <w:p>
            <w:pPr>
              <w:pStyle w:val="Compact"/>
              <w:jc w:val="left"/>
            </w:pPr>
            <w:r>
              <w:t xml:space="preserve">Peculato</w:t>
            </w:r>
          </w:p>
        </w:tc>
        <w:tc>
          <w:tcPr/>
          <w:p>
            <w:pPr>
              <w:pStyle w:val="Compact"/>
              <w:jc w:val="right"/>
            </w:pPr>
            <w:r>
              <w:t xml:space="preserve">781</w:t>
            </w:r>
          </w:p>
        </w:tc>
        <w:tc>
          <w:tcPr/>
          <w:p>
            <w:pPr>
              <w:pStyle w:val="Compact"/>
              <w:jc w:val="right"/>
            </w:pPr>
            <w:r>
              <w:t xml:space="preserve">1.5%</w:t>
            </w:r>
          </w:p>
        </w:tc>
      </w:tr>
      <w:tr>
        <w:tc>
          <w:tcPr/>
          <w:p>
            <w:pPr>
              <w:pStyle w:val="Compact"/>
              <w:jc w:val="left"/>
            </w:pPr>
            <w:r>
              <w:t xml:space="preserve">Habeas Corpus - Cabimento</w:t>
            </w:r>
          </w:p>
        </w:tc>
        <w:tc>
          <w:tcPr/>
          <w:p>
            <w:pPr>
              <w:pStyle w:val="Compact"/>
              <w:jc w:val="right"/>
            </w:pPr>
            <w:r>
              <w:t xml:space="preserve">635</w:t>
            </w:r>
          </w:p>
        </w:tc>
        <w:tc>
          <w:tcPr/>
          <w:p>
            <w:pPr>
              <w:pStyle w:val="Compact"/>
              <w:jc w:val="right"/>
            </w:pPr>
            <w:r>
              <w:t xml:space="preserve">1.2%</w:t>
            </w:r>
          </w:p>
        </w:tc>
      </w:tr>
      <w:tr>
        <w:tc>
          <w:tcPr/>
          <w:p>
            <w:pPr>
              <w:pStyle w:val="Compact"/>
              <w:jc w:val="left"/>
            </w:pPr>
            <w:r>
              <w:t xml:space="preserve">Promoção, constituição, financiamento ou integração de Organização Criminosa</w:t>
            </w:r>
          </w:p>
        </w:tc>
        <w:tc>
          <w:tcPr/>
          <w:p>
            <w:pPr>
              <w:pStyle w:val="Compact"/>
              <w:jc w:val="right"/>
            </w:pPr>
            <w:r>
              <w:t xml:space="preserve">523</w:t>
            </w:r>
          </w:p>
        </w:tc>
        <w:tc>
          <w:tcPr/>
          <w:p>
            <w:pPr>
              <w:pStyle w:val="Compact"/>
              <w:jc w:val="right"/>
            </w:pPr>
            <w:r>
              <w:t xml:space="preserve">1.0%</w:t>
            </w:r>
          </w:p>
        </w:tc>
      </w:tr>
      <w:tr>
        <w:tc>
          <w:tcPr/>
          <w:p>
            <w:pPr>
              <w:pStyle w:val="Compact"/>
              <w:jc w:val="left"/>
            </w:pPr>
            <w:r>
              <w:t xml:space="preserve">Crimes do Sistema Nacional de Armas</w:t>
            </w:r>
          </w:p>
        </w:tc>
        <w:tc>
          <w:tcPr/>
          <w:p>
            <w:pPr>
              <w:pStyle w:val="Compact"/>
              <w:jc w:val="right"/>
            </w:pPr>
            <w:r>
              <w:t xml:space="preserve">411</w:t>
            </w:r>
          </w:p>
        </w:tc>
        <w:tc>
          <w:tcPr/>
          <w:p>
            <w:pPr>
              <w:pStyle w:val="Compact"/>
              <w:jc w:val="right"/>
            </w:pPr>
            <w:r>
              <w:t xml:space="preserve">0.8%</w:t>
            </w:r>
          </w:p>
        </w:tc>
      </w:tr>
      <w:tr>
        <w:tc>
          <w:tcPr/>
          <w:p>
            <w:pPr>
              <w:pStyle w:val="Compact"/>
              <w:jc w:val="left"/>
            </w:pPr>
            <w:r>
              <w:t xml:space="preserve">Prisão Preventiva</w:t>
            </w:r>
          </w:p>
        </w:tc>
        <w:tc>
          <w:tcPr/>
          <w:p>
            <w:pPr>
              <w:pStyle w:val="Compact"/>
              <w:jc w:val="right"/>
            </w:pPr>
            <w:r>
              <w:t xml:space="preserve">405</w:t>
            </w:r>
          </w:p>
        </w:tc>
        <w:tc>
          <w:tcPr/>
          <w:p>
            <w:pPr>
              <w:pStyle w:val="Compact"/>
              <w:jc w:val="right"/>
            </w:pPr>
            <w:r>
              <w:t xml:space="preserve">0.8%</w:t>
            </w:r>
          </w:p>
        </w:tc>
      </w:tr>
      <w:tr>
        <w:tc>
          <w:tcPr/>
          <w:p>
            <w:pPr>
              <w:pStyle w:val="Compact"/>
              <w:jc w:val="left"/>
            </w:pPr>
            <w:r>
              <w:t xml:space="preserve">Outros</w:t>
            </w:r>
          </w:p>
        </w:tc>
        <w:tc>
          <w:tcPr/>
          <w:p>
            <w:pPr>
              <w:pStyle w:val="Compact"/>
              <w:jc w:val="right"/>
            </w:pPr>
            <w:r>
              <w:t xml:space="preserve">4151</w:t>
            </w:r>
          </w:p>
        </w:tc>
        <w:tc>
          <w:tcPr/>
          <w:p>
            <w:pPr>
              <w:pStyle w:val="Compact"/>
              <w:jc w:val="right"/>
            </w:pPr>
            <w:r>
              <w:t xml:space="preserve">8.1%</w:t>
            </w:r>
          </w:p>
        </w:tc>
      </w:tr>
      <w:tr>
        <w:tc>
          <w:tcPr/>
          <w:p>
            <w:pPr>
              <w:pStyle w:val="Compact"/>
              <w:jc w:val="left"/>
            </w:pPr>
            <w:r>
              <w:t xml:space="preserve">Total</w:t>
            </w:r>
          </w:p>
        </w:tc>
        <w:tc>
          <w:tcPr/>
          <w:p>
            <w:pPr>
              <w:pStyle w:val="Compact"/>
              <w:jc w:val="right"/>
            </w:pPr>
            <w:r>
              <w:t xml:space="preserve">51205</w:t>
            </w:r>
          </w:p>
        </w:tc>
        <w:tc>
          <w:tcPr/>
          <w:p>
            <w:pPr>
              <w:pStyle w:val="Compact"/>
              <w:jc w:val="right"/>
            </w:pPr>
            <w:r>
              <w:t xml:space="preserve">100.0%</w:t>
            </w:r>
          </w:p>
        </w:tc>
      </w:tr>
    </w:tbl>
    <w:bookmarkEnd w:id="70"/>
    <w:p>
      <w:pPr>
        <w:pStyle w:val="Corpodetexto"/>
      </w:pPr>
      <w:r>
        <w:t xml:space="preserve">A</w:t>
      </w:r>
      <w:r>
        <w:t xml:space="preserve"> </w:t>
      </w:r>
      <w:hyperlink w:anchor="tbl-tribunais-datajud-2grau">
        <w:r>
          <w:rPr>
            <w:rStyle w:val="Hyperlink"/>
          </w:rPr>
          <w:t xml:space="preserve">Tabela 16</w:t>
        </w:r>
      </w:hyperlink>
      <w:r>
        <w:t xml:space="preserve"> </w:t>
      </w:r>
      <w:r>
        <w:t xml:space="preserve">mostra os tribunais que mais aparecem no segundo grau. Assim como no SireneJud, Pará e Mato Grosso figuram entre os mais frequentes.</w:t>
      </w:r>
    </w:p>
    <w:bookmarkStart w:id="71" w:name="tbl-tribunais-datajud-2grau"/>
    <w:p>
      <w:pPr>
        <w:pStyle w:val="TableCaption"/>
      </w:pPr>
      <w:r>
        <w:t xml:space="preserve">Tabela 16: Tribunais mais comuns nos processos de segundo grau.</w:t>
      </w:r>
    </w:p>
    <w:tbl>
      <w:tblPr>
        <w:tblStyle w:val="Table"/>
        <w:tblW w:type="auto" w:w="0"/>
        <w:tblLook w:firstRow="1" w:lastRow="0" w:firstColumn="0" w:lastColumn="0" w:noHBand="0" w:noVBand="0" w:val="0020"/>
        <w:jc w:val="start"/>
        <w:tblCaption w:val="Tabela 16: Tribunais mais comuns nos processos de segundo grau."/>
      </w:tblPr>
      <w:tblGrid>
        <w:gridCol w:w="2640"/>
        <w:gridCol w:w="2640"/>
        <w:gridCol w:w="2640"/>
      </w:tblGrid>
      <w:tr>
        <w:trPr>
          <w:tblHeader w:val="true"/>
        </w:trPr>
        <w:tc>
          <w:tcPr/>
          <w:p>
            <w:pPr>
              <w:pStyle w:val="Compact"/>
              <w:jc w:val="left"/>
            </w:pPr>
            <w:r>
              <w:t xml:space="preserve">UF</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PA</w:t>
            </w:r>
          </w:p>
        </w:tc>
        <w:tc>
          <w:tcPr/>
          <w:p>
            <w:pPr>
              <w:pStyle w:val="Compact"/>
              <w:jc w:val="right"/>
            </w:pPr>
            <w:r>
              <w:t xml:space="preserve">15924</w:t>
            </w:r>
          </w:p>
        </w:tc>
        <w:tc>
          <w:tcPr/>
          <w:p>
            <w:pPr>
              <w:pStyle w:val="Compact"/>
              <w:jc w:val="right"/>
            </w:pPr>
            <w:r>
              <w:t xml:space="preserve">31.1%</w:t>
            </w:r>
          </w:p>
        </w:tc>
      </w:tr>
      <w:tr>
        <w:tc>
          <w:tcPr/>
          <w:p>
            <w:pPr>
              <w:pStyle w:val="Compact"/>
              <w:jc w:val="left"/>
            </w:pPr>
            <w:r>
              <w:t xml:space="preserve">MT</w:t>
            </w:r>
          </w:p>
        </w:tc>
        <w:tc>
          <w:tcPr/>
          <w:p>
            <w:pPr>
              <w:pStyle w:val="Compact"/>
              <w:jc w:val="right"/>
            </w:pPr>
            <w:r>
              <w:t xml:space="preserve">9632</w:t>
            </w:r>
          </w:p>
        </w:tc>
        <w:tc>
          <w:tcPr/>
          <w:p>
            <w:pPr>
              <w:pStyle w:val="Compact"/>
              <w:jc w:val="right"/>
            </w:pPr>
            <w:r>
              <w:t xml:space="preserve">18.8%</w:t>
            </w:r>
          </w:p>
        </w:tc>
      </w:tr>
      <w:tr>
        <w:tc>
          <w:tcPr/>
          <w:p>
            <w:pPr>
              <w:pStyle w:val="Compact"/>
              <w:jc w:val="left"/>
            </w:pPr>
            <w:r>
              <w:t xml:space="preserve">TO</w:t>
            </w:r>
          </w:p>
        </w:tc>
        <w:tc>
          <w:tcPr/>
          <w:p>
            <w:pPr>
              <w:pStyle w:val="Compact"/>
              <w:jc w:val="right"/>
            </w:pPr>
            <w:r>
              <w:t xml:space="preserve">6164</w:t>
            </w:r>
          </w:p>
        </w:tc>
        <w:tc>
          <w:tcPr/>
          <w:p>
            <w:pPr>
              <w:pStyle w:val="Compact"/>
              <w:jc w:val="right"/>
            </w:pPr>
            <w:r>
              <w:t xml:space="preserve">12.0%</w:t>
            </w:r>
          </w:p>
        </w:tc>
      </w:tr>
      <w:tr>
        <w:tc>
          <w:tcPr/>
          <w:p>
            <w:pPr>
              <w:pStyle w:val="Compact"/>
              <w:jc w:val="left"/>
            </w:pPr>
            <w:r>
              <w:t xml:space="preserve">AC</w:t>
            </w:r>
          </w:p>
        </w:tc>
        <w:tc>
          <w:tcPr/>
          <w:p>
            <w:pPr>
              <w:pStyle w:val="Compact"/>
              <w:jc w:val="right"/>
            </w:pPr>
            <w:r>
              <w:t xml:space="preserve">5254</w:t>
            </w:r>
          </w:p>
        </w:tc>
        <w:tc>
          <w:tcPr/>
          <w:p>
            <w:pPr>
              <w:pStyle w:val="Compact"/>
              <w:jc w:val="right"/>
            </w:pPr>
            <w:r>
              <w:t xml:space="preserve">10.3%</w:t>
            </w:r>
          </w:p>
        </w:tc>
      </w:tr>
      <w:tr>
        <w:tc>
          <w:tcPr/>
          <w:p>
            <w:pPr>
              <w:pStyle w:val="Compact"/>
              <w:jc w:val="left"/>
            </w:pPr>
            <w:r>
              <w:t xml:space="preserve">MA</w:t>
            </w:r>
          </w:p>
        </w:tc>
        <w:tc>
          <w:tcPr/>
          <w:p>
            <w:pPr>
              <w:pStyle w:val="Compact"/>
              <w:jc w:val="right"/>
            </w:pPr>
            <w:r>
              <w:t xml:space="preserve">4791</w:t>
            </w:r>
          </w:p>
        </w:tc>
        <w:tc>
          <w:tcPr/>
          <w:p>
            <w:pPr>
              <w:pStyle w:val="Compact"/>
              <w:jc w:val="right"/>
            </w:pPr>
            <w:r>
              <w:t xml:space="preserve">9.4%</w:t>
            </w:r>
          </w:p>
        </w:tc>
      </w:tr>
      <w:tr>
        <w:tc>
          <w:tcPr/>
          <w:p>
            <w:pPr>
              <w:pStyle w:val="Compact"/>
              <w:jc w:val="left"/>
            </w:pPr>
            <w:r>
              <w:t xml:space="preserve">RO</w:t>
            </w:r>
          </w:p>
        </w:tc>
        <w:tc>
          <w:tcPr/>
          <w:p>
            <w:pPr>
              <w:pStyle w:val="Compact"/>
              <w:jc w:val="right"/>
            </w:pPr>
            <w:r>
              <w:t xml:space="preserve">3894</w:t>
            </w:r>
          </w:p>
        </w:tc>
        <w:tc>
          <w:tcPr/>
          <w:p>
            <w:pPr>
              <w:pStyle w:val="Compact"/>
              <w:jc w:val="right"/>
            </w:pPr>
            <w:r>
              <w:t xml:space="preserve">7.6%</w:t>
            </w:r>
          </w:p>
        </w:tc>
      </w:tr>
      <w:tr>
        <w:tc>
          <w:tcPr/>
          <w:p>
            <w:pPr>
              <w:pStyle w:val="Compact"/>
              <w:jc w:val="left"/>
            </w:pPr>
            <w:r>
              <w:t xml:space="preserve">AM</w:t>
            </w:r>
          </w:p>
        </w:tc>
        <w:tc>
          <w:tcPr/>
          <w:p>
            <w:pPr>
              <w:pStyle w:val="Compact"/>
              <w:jc w:val="right"/>
            </w:pPr>
            <w:r>
              <w:t xml:space="preserve">2858</w:t>
            </w:r>
          </w:p>
        </w:tc>
        <w:tc>
          <w:tcPr/>
          <w:p>
            <w:pPr>
              <w:pStyle w:val="Compact"/>
              <w:jc w:val="right"/>
            </w:pPr>
            <w:r>
              <w:t xml:space="preserve">5.6%</w:t>
            </w:r>
          </w:p>
        </w:tc>
      </w:tr>
      <w:tr>
        <w:tc>
          <w:tcPr/>
          <w:p>
            <w:pPr>
              <w:pStyle w:val="Compact"/>
              <w:jc w:val="left"/>
            </w:pPr>
            <w:r>
              <w:t xml:space="preserve">RR</w:t>
            </w:r>
          </w:p>
        </w:tc>
        <w:tc>
          <w:tcPr/>
          <w:p>
            <w:pPr>
              <w:pStyle w:val="Compact"/>
              <w:jc w:val="right"/>
            </w:pPr>
            <w:r>
              <w:t xml:space="preserve">2387</w:t>
            </w:r>
          </w:p>
        </w:tc>
        <w:tc>
          <w:tcPr/>
          <w:p>
            <w:pPr>
              <w:pStyle w:val="Compact"/>
              <w:jc w:val="right"/>
            </w:pPr>
            <w:r>
              <w:t xml:space="preserve">4.7%</w:t>
            </w:r>
          </w:p>
        </w:tc>
      </w:tr>
      <w:tr>
        <w:tc>
          <w:tcPr/>
          <w:p>
            <w:pPr>
              <w:pStyle w:val="Compact"/>
              <w:jc w:val="left"/>
            </w:pPr>
            <w:r>
              <w:t xml:space="preserve">AP</w:t>
            </w:r>
          </w:p>
        </w:tc>
        <w:tc>
          <w:tcPr/>
          <w:p>
            <w:pPr>
              <w:pStyle w:val="Compact"/>
              <w:jc w:val="right"/>
            </w:pPr>
            <w:r>
              <w:t xml:space="preserve">301</w:t>
            </w:r>
          </w:p>
        </w:tc>
        <w:tc>
          <w:tcPr/>
          <w:p>
            <w:pPr>
              <w:pStyle w:val="Compact"/>
              <w:jc w:val="right"/>
            </w:pPr>
            <w:r>
              <w:t xml:space="preserve">0.6%</w:t>
            </w:r>
          </w:p>
        </w:tc>
      </w:tr>
      <w:tr>
        <w:tc>
          <w:tcPr/>
          <w:p>
            <w:pPr>
              <w:pStyle w:val="Compact"/>
              <w:jc w:val="left"/>
            </w:pPr>
            <w:r>
              <w:t xml:space="preserve">Total</w:t>
            </w:r>
          </w:p>
        </w:tc>
        <w:tc>
          <w:tcPr/>
          <w:p>
            <w:pPr>
              <w:pStyle w:val="Compact"/>
              <w:jc w:val="right"/>
            </w:pPr>
            <w:r>
              <w:t xml:space="preserve">51205</w:t>
            </w:r>
          </w:p>
        </w:tc>
        <w:tc>
          <w:tcPr/>
          <w:p>
            <w:pPr>
              <w:pStyle w:val="Compact"/>
              <w:jc w:val="right"/>
            </w:pPr>
            <w:r>
              <w:t xml:space="preserve">100.0%</w:t>
            </w:r>
          </w:p>
        </w:tc>
      </w:tr>
    </w:tbl>
    <w:bookmarkEnd w:id="71"/>
    <w:bookmarkEnd w:id="72"/>
    <w:bookmarkEnd w:id="73"/>
    <w:bookmarkStart w:id="75" w:name="trf1-1"/>
    <w:p>
      <w:pPr>
        <w:pStyle w:val="Ttulo3"/>
      </w:pPr>
      <w:r>
        <w:t xml:space="preserve">TRF1</w:t>
      </w:r>
    </w:p>
    <w:p>
      <w:pPr>
        <w:pStyle w:val="FirstParagraph"/>
      </w:pPr>
      <w:r>
        <w:t xml:space="preserve">A análise no TRF1 foi baseada na quantidade e proporção de casos que apareceram nas consultas de processos. Apesar de ser mais curta, a análise pode dar informações um pouco mais relevantes do que as análises anteriores, que se baseiam apenas em estatísticas gerais.</w:t>
      </w:r>
    </w:p>
    <w:p>
      <w:pPr>
        <w:pStyle w:val="Corpodetexto"/>
      </w:pPr>
      <w:r>
        <w:t xml:space="preserve">A</w:t>
      </w:r>
      <w:r>
        <w:t xml:space="preserve"> </w:t>
      </w:r>
      <w:hyperlink w:anchor="tbl-tema-trf1">
        <w:r>
          <w:rPr>
            <w:rStyle w:val="Hyperlink"/>
          </w:rPr>
          <w:t xml:space="preserve">Tabela 17</w:t>
        </w:r>
      </w:hyperlink>
      <w:r>
        <w:t xml:space="preserve"> </w:t>
      </w:r>
      <w:r>
        <w:t xml:space="preserve">mostra as atividades com maior volume processual na base pequena do TRF1. É possível notar que o desmatamento é a atividade que mais aparece na consulta, seguida por garimpo.</w:t>
      </w:r>
    </w:p>
    <w:bookmarkStart w:id="74" w:name="tbl-tema-trf1"/>
    <w:p>
      <w:pPr>
        <w:pStyle w:val="TableCaption"/>
      </w:pPr>
      <w:r>
        <w:t xml:space="preserve">Tabela 17: Atividades com maior volume processual no TRF1.</w:t>
      </w:r>
    </w:p>
    <w:tbl>
      <w:tblPr>
        <w:tblStyle w:val="Table"/>
        <w:tblW w:type="auto" w:w="0"/>
        <w:tblLook w:firstRow="1" w:lastRow="0" w:firstColumn="0" w:lastColumn="0" w:noHBand="0" w:noVBand="0" w:val="0020"/>
        <w:jc w:val="start"/>
        <w:tblCaption w:val="Tabela 17: Atividades com maior volume processual no TRF1."/>
      </w:tblPr>
      <w:tblGrid>
        <w:gridCol w:w="2640"/>
        <w:gridCol w:w="2640"/>
        <w:gridCol w:w="2640"/>
      </w:tblGrid>
      <w:tr>
        <w:trPr>
          <w:tblHeader w:val="true"/>
        </w:trPr>
        <w:tc>
          <w:tcPr/>
          <w:p>
            <w:pPr>
              <w:pStyle w:val="Compact"/>
              <w:jc w:val="left"/>
            </w:pPr>
            <w:r>
              <w:t xml:space="preserve">Tema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Desmatamento</w:t>
            </w:r>
          </w:p>
        </w:tc>
        <w:tc>
          <w:tcPr/>
          <w:p>
            <w:pPr>
              <w:pStyle w:val="Compact"/>
              <w:jc w:val="right"/>
            </w:pPr>
            <w:r>
              <w:t xml:space="preserve">102</w:t>
            </w:r>
          </w:p>
        </w:tc>
        <w:tc>
          <w:tcPr/>
          <w:p>
            <w:pPr>
              <w:pStyle w:val="Compact"/>
              <w:jc w:val="right"/>
            </w:pPr>
            <w:r>
              <w:t xml:space="preserve">44.9%</w:t>
            </w:r>
          </w:p>
        </w:tc>
      </w:tr>
      <w:tr>
        <w:tc>
          <w:tcPr/>
          <w:p>
            <w:pPr>
              <w:pStyle w:val="Compact"/>
              <w:jc w:val="left"/>
            </w:pPr>
            <w:r>
              <w:t xml:space="preserve">Garimpo</w:t>
            </w:r>
          </w:p>
        </w:tc>
        <w:tc>
          <w:tcPr/>
          <w:p>
            <w:pPr>
              <w:pStyle w:val="Compact"/>
              <w:jc w:val="right"/>
            </w:pPr>
            <w:r>
              <w:t xml:space="preserve">90</w:t>
            </w:r>
          </w:p>
        </w:tc>
        <w:tc>
          <w:tcPr/>
          <w:p>
            <w:pPr>
              <w:pStyle w:val="Compact"/>
              <w:jc w:val="right"/>
            </w:pPr>
            <w:r>
              <w:t xml:space="preserve">39.6%</w:t>
            </w:r>
          </w:p>
        </w:tc>
      </w:tr>
      <w:tr>
        <w:tc>
          <w:tcPr/>
          <w:p>
            <w:pPr>
              <w:pStyle w:val="Compact"/>
              <w:jc w:val="left"/>
            </w:pPr>
            <w:r>
              <w:t xml:space="preserve">Invasão</w:t>
            </w:r>
          </w:p>
        </w:tc>
        <w:tc>
          <w:tcPr/>
          <w:p>
            <w:pPr>
              <w:pStyle w:val="Compact"/>
              <w:jc w:val="right"/>
            </w:pPr>
            <w:r>
              <w:t xml:space="preserve">27</w:t>
            </w:r>
          </w:p>
        </w:tc>
        <w:tc>
          <w:tcPr/>
          <w:p>
            <w:pPr>
              <w:pStyle w:val="Compact"/>
              <w:jc w:val="right"/>
            </w:pPr>
            <w:r>
              <w:t xml:space="preserve">11.9%</w:t>
            </w:r>
          </w:p>
        </w:tc>
      </w:tr>
      <w:tr>
        <w:tc>
          <w:tcPr/>
          <w:p>
            <w:pPr>
              <w:pStyle w:val="Compact"/>
              <w:jc w:val="left"/>
            </w:pPr>
            <w:r>
              <w:t xml:space="preserve">Grilagem</w:t>
            </w:r>
          </w:p>
        </w:tc>
        <w:tc>
          <w:tcPr/>
          <w:p>
            <w:pPr>
              <w:pStyle w:val="Compact"/>
              <w:jc w:val="right"/>
            </w:pPr>
            <w:r>
              <w:t xml:space="preserve">4</w:t>
            </w:r>
          </w:p>
        </w:tc>
        <w:tc>
          <w:tcPr/>
          <w:p>
            <w:pPr>
              <w:pStyle w:val="Compact"/>
              <w:jc w:val="right"/>
            </w:pPr>
            <w:r>
              <w:t xml:space="preserve">1.8%</w:t>
            </w:r>
          </w:p>
        </w:tc>
      </w:tr>
      <w:tr>
        <w:tc>
          <w:tcPr/>
          <w:p>
            <w:pPr>
              <w:pStyle w:val="Compact"/>
              <w:jc w:val="left"/>
            </w:pPr>
            <w:r>
              <w:t xml:space="preserve">Mineração</w:t>
            </w:r>
          </w:p>
        </w:tc>
        <w:tc>
          <w:tcPr/>
          <w:p>
            <w:pPr>
              <w:pStyle w:val="Compact"/>
              <w:jc w:val="right"/>
            </w:pPr>
            <w:r>
              <w:t xml:space="preserve">4</w:t>
            </w:r>
          </w:p>
        </w:tc>
        <w:tc>
          <w:tcPr/>
          <w:p>
            <w:pPr>
              <w:pStyle w:val="Compact"/>
              <w:jc w:val="right"/>
            </w:pPr>
            <w:r>
              <w:t xml:space="preserve">1.8%</w:t>
            </w:r>
          </w:p>
        </w:tc>
      </w:tr>
      <w:tr>
        <w:tc>
          <w:tcPr/>
          <w:p>
            <w:pPr>
              <w:pStyle w:val="Compact"/>
              <w:jc w:val="left"/>
            </w:pPr>
            <w:r>
              <w:t xml:space="preserve">Total</w:t>
            </w:r>
          </w:p>
        </w:tc>
        <w:tc>
          <w:tcPr/>
          <w:p>
            <w:pPr>
              <w:pStyle w:val="Compact"/>
              <w:jc w:val="right"/>
            </w:pPr>
            <w:r>
              <w:t xml:space="preserve">227</w:t>
            </w:r>
          </w:p>
        </w:tc>
        <w:tc>
          <w:tcPr/>
          <w:p>
            <w:pPr>
              <w:pStyle w:val="Compact"/>
              <w:jc w:val="right"/>
            </w:pPr>
            <w:r>
              <w:t xml:space="preserve">100.0%</w:t>
            </w:r>
          </w:p>
        </w:tc>
      </w:tr>
    </w:tbl>
    <w:bookmarkEnd w:id="74"/>
    <w:bookmarkEnd w:id="75"/>
    <w:bookmarkStart w:id="76" w:name="discussão"/>
    <w:p>
      <w:pPr>
        <w:pStyle w:val="Ttulo3"/>
      </w:pPr>
      <w:r>
        <w:t xml:space="preserve">Discussão</w:t>
      </w:r>
    </w:p>
    <w:p>
      <w:pPr>
        <w:pStyle w:val="FirstParagraph"/>
      </w:pPr>
      <w:r>
        <w:t xml:space="preserve">As análises mostradas acima são apenas um guia para responder à questão norteadora. Os resultados indicam que a atividade mais comum é o desmatamento, seguida pelo garimpo. Além disso, as análises do DataJud e SireneJud, apesar de limitadas, mostram regiões e assuntos processuais que podem estar relacionados ao tema de interesse.</w:t>
      </w:r>
    </w:p>
    <w:bookmarkEnd w:id="76"/>
    <w:bookmarkEnd w:id="77"/>
    <w:bookmarkStart w:id="88" w:name="questão-2"/>
    <w:p>
      <w:pPr>
        <w:pStyle w:val="Ttulo2"/>
      </w:pPr>
      <w:r>
        <w:t xml:space="preserve">Questão 2</w:t>
      </w:r>
    </w:p>
    <w:p>
      <w:pPr>
        <w:pStyle w:val="FirstParagraph"/>
      </w:pPr>
      <w:r>
        <w:rPr>
          <w:bCs/>
          <w:b/>
        </w:rPr>
        <w:t xml:space="preserve">Questão</w:t>
      </w:r>
      <w:r>
        <w:t xml:space="preserve">: Quem são os atores envolvidos nos casos de lavagem de dinheiro e corrupção relacionados a crimes ambientais?</w:t>
      </w:r>
    </w:p>
    <w:bookmarkStart w:id="82" w:name="sirenejud-2"/>
    <w:p>
      <w:pPr>
        <w:pStyle w:val="Ttulo3"/>
      </w:pPr>
      <w:r>
        <w:t xml:space="preserve">SireneJud</w:t>
      </w:r>
    </w:p>
    <w:p>
      <w:pPr>
        <w:pStyle w:val="FirstParagraph"/>
      </w:pPr>
      <w:r>
        <w:t xml:space="preserve">A</w:t>
      </w:r>
      <w:r>
        <w:t xml:space="preserve"> </w:t>
      </w:r>
      <w:hyperlink w:anchor="tbl-tipo-pessoa">
        <w:r>
          <w:rPr>
            <w:rStyle w:val="Hyperlink"/>
          </w:rPr>
          <w:t xml:space="preserve">Tabela 18</w:t>
        </w:r>
      </w:hyperlink>
      <w:r>
        <w:t xml:space="preserve"> </w:t>
      </w:r>
      <w:r>
        <w:t xml:space="preserve">mostra os tipos de pessoas que estão no polo passivo. A maior parte é de pessoas físicas, sendo que quase 2% da base possui autoridades, órgão de representação ou valores vazios.</w:t>
      </w:r>
    </w:p>
    <w:bookmarkStart w:id="78" w:name="tbl-tipo-pessoa"/>
    <w:p>
      <w:pPr>
        <w:pStyle w:val="TableCaption"/>
      </w:pPr>
      <w:r>
        <w:t xml:space="preserve">Tabela 18: Tipos de pessoas</w:t>
      </w:r>
    </w:p>
    <w:tbl>
      <w:tblPr>
        <w:tblStyle w:val="Table"/>
        <w:tblW w:type="auto" w:w="0"/>
        <w:tblLook w:firstRow="1" w:lastRow="0" w:firstColumn="0" w:lastColumn="0" w:noHBand="0" w:noVBand="0" w:val="0020"/>
        <w:jc w:val="start"/>
        <w:tblCaption w:val="Tabela 18: Tipos de pessoas"/>
      </w:tblPr>
      <w:tblGrid>
        <w:gridCol w:w="2640"/>
        <w:gridCol w:w="2640"/>
        <w:gridCol w:w="2640"/>
      </w:tblGrid>
      <w:tr>
        <w:trPr>
          <w:tblHeader w:val="true"/>
        </w:trPr>
        <w:tc>
          <w:tcPr/>
          <w:p>
            <w:pPr>
              <w:pStyle w:val="Compact"/>
              <w:jc w:val="left"/>
            </w:pPr>
            <w:r>
              <w:t xml:space="preserve">Tipo de pessoa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FISICA</w:t>
            </w:r>
          </w:p>
        </w:tc>
        <w:tc>
          <w:tcPr/>
          <w:p>
            <w:pPr>
              <w:pStyle w:val="Compact"/>
              <w:jc w:val="right"/>
            </w:pPr>
            <w:r>
              <w:t xml:space="preserve">70550</w:t>
            </w:r>
          </w:p>
        </w:tc>
        <w:tc>
          <w:tcPr/>
          <w:p>
            <w:pPr>
              <w:pStyle w:val="Compact"/>
              <w:jc w:val="right"/>
            </w:pPr>
            <w:r>
              <w:t xml:space="preserve">66.6%</w:t>
            </w:r>
          </w:p>
        </w:tc>
      </w:tr>
      <w:tr>
        <w:tc>
          <w:tcPr/>
          <w:p>
            <w:pPr>
              <w:pStyle w:val="Compact"/>
              <w:jc w:val="left"/>
            </w:pPr>
            <w:r>
              <w:t xml:space="preserve">JURIDICA</w:t>
            </w:r>
          </w:p>
        </w:tc>
        <w:tc>
          <w:tcPr/>
          <w:p>
            <w:pPr>
              <w:pStyle w:val="Compact"/>
              <w:jc w:val="right"/>
            </w:pPr>
            <w:r>
              <w:t xml:space="preserve">33656</w:t>
            </w:r>
          </w:p>
        </w:tc>
        <w:tc>
          <w:tcPr/>
          <w:p>
            <w:pPr>
              <w:pStyle w:val="Compact"/>
              <w:jc w:val="right"/>
            </w:pPr>
            <w:r>
              <w:t xml:space="preserve">31.8%</w:t>
            </w:r>
          </w:p>
        </w:tc>
      </w:tr>
      <w:tr>
        <w:tc>
          <w:tcPr/>
          <w:p>
            <w:pPr>
              <w:pStyle w:val="Compact"/>
              <w:jc w:val="left"/>
            </w:pPr>
            <w:r>
              <w:t xml:space="preserve">AUTORIDADE</w:t>
            </w:r>
          </w:p>
        </w:tc>
        <w:tc>
          <w:tcPr/>
          <w:p>
            <w:pPr>
              <w:pStyle w:val="Compact"/>
              <w:jc w:val="right"/>
            </w:pPr>
            <w:r>
              <w:t xml:space="preserve">1577</w:t>
            </w:r>
          </w:p>
        </w:tc>
        <w:tc>
          <w:tcPr/>
          <w:p>
            <w:pPr>
              <w:pStyle w:val="Compact"/>
              <w:jc w:val="right"/>
            </w:pPr>
            <w:r>
              <w:t xml:space="preserve">1.5%</w:t>
            </w:r>
          </w:p>
        </w:tc>
      </w:tr>
      <w:tr>
        <w:tc>
          <w:tcPr/>
          <w:p>
            <w:pPr>
              <w:pStyle w:val="Compact"/>
              <w:jc w:val="left"/>
            </w:pPr>
            <w:r>
              <w:t xml:space="preserve">ORGAOREPRESENTACAO</w:t>
            </w:r>
          </w:p>
        </w:tc>
        <w:tc>
          <w:tcPr/>
          <w:p>
            <w:pPr>
              <w:pStyle w:val="Compact"/>
              <w:jc w:val="right"/>
            </w:pPr>
            <w:r>
              <w:t xml:space="preserve">146</w:t>
            </w:r>
          </w:p>
        </w:tc>
        <w:tc>
          <w:tcPr/>
          <w:p>
            <w:pPr>
              <w:pStyle w:val="Compact"/>
              <w:jc w:val="right"/>
            </w:pPr>
            <w:r>
              <w:t xml:space="preserve">0.1%</w:t>
            </w:r>
          </w:p>
        </w:tc>
      </w:tr>
      <w:tr>
        <w:tc>
          <w:tcPr/>
          <w:p>
            <w:pPr>
              <w:pStyle w:val="Compact"/>
              <w:jc w:val="left"/>
            </w:pPr>
            <w:r>
              <w:t xml:space="preserve">Total</w:t>
            </w:r>
          </w:p>
        </w:tc>
        <w:tc>
          <w:tcPr/>
          <w:p>
            <w:pPr>
              <w:pStyle w:val="Compact"/>
              <w:jc w:val="right"/>
            </w:pPr>
            <w:r>
              <w:t xml:space="preserve">105929</w:t>
            </w:r>
          </w:p>
        </w:tc>
        <w:tc>
          <w:tcPr/>
          <w:p>
            <w:pPr>
              <w:pStyle w:val="Compact"/>
              <w:jc w:val="right"/>
            </w:pPr>
            <w:r>
              <w:t xml:space="preserve">100.0%</w:t>
            </w:r>
          </w:p>
        </w:tc>
      </w:tr>
    </w:tbl>
    <w:bookmarkEnd w:id="78"/>
    <w:p>
      <w:pPr>
        <w:pStyle w:val="Corpodetexto"/>
      </w:pPr>
      <w:r>
        <w:t xml:space="preserve">Vamos analisar apenas as pessoas jurídicas. Dentre as partes, aproximadamente 4% têm CNPJ vazio e 96% preenchido. No total, são cerca de 8000 CNPJs distintos e com 14 dígitos, que foram pesquisados na base de dados abertos da Receita Federal do Brasil (RFB). Quase a totalidade (99%) foram encontrados. Alguns resultados disso foram colocados a seguir.</w:t>
      </w:r>
    </w:p>
    <w:p>
      <w:pPr>
        <w:pStyle w:val="Corpodetexto"/>
      </w:pPr>
      <w:r>
        <w:t xml:space="preserve">A</w:t>
      </w:r>
      <w:r>
        <w:t xml:space="preserve"> </w:t>
      </w:r>
      <w:hyperlink w:anchor="tbl-litigantes-passivo">
        <w:r>
          <w:rPr>
            <w:rStyle w:val="Hyperlink"/>
          </w:rPr>
          <w:t xml:space="preserve">Tabela 19</w:t>
        </w:r>
      </w:hyperlink>
      <w:r>
        <w:t xml:space="preserve"> </w:t>
      </w:r>
      <w:r>
        <w:t xml:space="preserve">mostra os quinze maiores litigantes no polo passivo. O nome que mais aparece é o vazio, que são casos em que o campo do CNPJ está vazio. Outros nomes da lista não fazem muito sentido estarem no polo passivo. Das empresas privadas, destacam-se as empresas de energia.</w:t>
      </w:r>
    </w:p>
    <w:bookmarkStart w:id="79" w:name="tbl-litigantes-passivo"/>
    <w:p>
      <w:pPr>
        <w:pStyle w:val="TableCaption"/>
      </w:pPr>
      <w:r>
        <w:t xml:space="preserve">Tabela 19: 10 Maiores litigantes nos processos</w:t>
      </w:r>
    </w:p>
    <w:tbl>
      <w:tblPr>
        <w:tblStyle w:val="Table"/>
        <w:tblW w:type="pct" w:w="5000"/>
        <w:tblLook w:firstRow="1" w:lastRow="0" w:firstColumn="0" w:lastColumn="0" w:noHBand="0" w:noVBand="0" w:val="0020"/>
        <w:jc w:val="start"/>
        <w:tblCaption w:val="Tabela 19: 10 Maiores litigantes nos processos"/>
      </w:tblPr>
      <w:tblGrid>
        <w:gridCol w:w="4950"/>
        <w:gridCol w:w="2200"/>
        <w:gridCol w:w="770"/>
      </w:tblGrid>
      <w:tr>
        <w:trPr>
          <w:tblHeader w:val="true"/>
        </w:trPr>
        <w:tc>
          <w:tcPr/>
          <w:p>
            <w:pPr>
              <w:pStyle w:val="Compact"/>
              <w:jc w:val="left"/>
            </w:pPr>
            <w:r>
              <w:t xml:space="preserve">Nome fantasia</w:t>
            </w:r>
          </w:p>
        </w:tc>
        <w:tc>
          <w:tcPr/>
          <w:p>
            <w:pPr>
              <w:pStyle w:val="Compact"/>
              <w:jc w:val="right"/>
            </w:pPr>
            <w:r>
              <w:t xml:space="preserve">Número de processos</w:t>
            </w:r>
          </w:p>
        </w:tc>
        <w:tc>
          <w:tcPr/>
          <w:p>
            <w:pPr>
              <w:pStyle w:val="Compact"/>
              <w:jc w:val="right"/>
            </w:pPr>
            <w:r>
              <w:t xml:space="preserve">%</w:t>
            </w:r>
          </w:p>
        </w:tc>
      </w:tr>
      <w:tr>
        <w:tc>
          <w:tcPr/>
          <w:p>
            <w:pPr>
              <w:pStyle w:val="Compact"/>
              <w:jc w:val="left"/>
            </w:pPr>
            <w:r>
              <w:t xml:space="preserve">(vazio)</w:t>
            </w:r>
          </w:p>
        </w:tc>
        <w:tc>
          <w:tcPr/>
          <w:p>
            <w:pPr>
              <w:pStyle w:val="Compact"/>
              <w:jc w:val="right"/>
            </w:pPr>
            <w:r>
              <w:t xml:space="preserve">5368</w:t>
            </w:r>
          </w:p>
        </w:tc>
        <w:tc>
          <w:tcPr/>
          <w:p>
            <w:pPr>
              <w:pStyle w:val="Compact"/>
              <w:jc w:val="right"/>
            </w:pPr>
            <w:r>
              <w:t xml:space="preserve">10.59%</w:t>
            </w:r>
          </w:p>
        </w:tc>
      </w:tr>
      <w:tr>
        <w:tc>
          <w:tcPr/>
          <w:p>
            <w:pPr>
              <w:pStyle w:val="Compact"/>
              <w:jc w:val="left"/>
            </w:pPr>
            <w:r>
              <w:t xml:space="preserve">CASA CIVIL DO ESTADO DE MATO GROSSO</w:t>
            </w:r>
          </w:p>
        </w:tc>
        <w:tc>
          <w:tcPr/>
          <w:p>
            <w:pPr>
              <w:pStyle w:val="Compact"/>
              <w:jc w:val="right"/>
            </w:pPr>
            <w:r>
              <w:t xml:space="preserve">1694</w:t>
            </w:r>
          </w:p>
        </w:tc>
        <w:tc>
          <w:tcPr/>
          <w:p>
            <w:pPr>
              <w:pStyle w:val="Compact"/>
              <w:jc w:val="right"/>
            </w:pPr>
            <w:r>
              <w:t xml:space="preserve">3.34%</w:t>
            </w:r>
          </w:p>
        </w:tc>
      </w:tr>
      <w:tr>
        <w:tc>
          <w:tcPr/>
          <w:p>
            <w:pPr>
              <w:pStyle w:val="Compact"/>
              <w:jc w:val="left"/>
            </w:pPr>
            <w:r>
              <w:t xml:space="preserve">IBAMA - CPB</w:t>
            </w:r>
          </w:p>
        </w:tc>
        <w:tc>
          <w:tcPr/>
          <w:p>
            <w:pPr>
              <w:pStyle w:val="Compact"/>
              <w:jc w:val="right"/>
            </w:pPr>
            <w:r>
              <w:t xml:space="preserve">1464</w:t>
            </w:r>
          </w:p>
        </w:tc>
        <w:tc>
          <w:tcPr/>
          <w:p>
            <w:pPr>
              <w:pStyle w:val="Compact"/>
              <w:jc w:val="right"/>
            </w:pPr>
            <w:r>
              <w:t xml:space="preserve">2.89%</w:t>
            </w:r>
          </w:p>
        </w:tc>
      </w:tr>
      <w:tr>
        <w:tc>
          <w:tcPr/>
          <w:p>
            <w:pPr>
              <w:pStyle w:val="Compact"/>
              <w:jc w:val="left"/>
            </w:pPr>
            <w:r>
              <w:t xml:space="preserve">NORTE ENERGIA</w:t>
            </w:r>
          </w:p>
        </w:tc>
        <w:tc>
          <w:tcPr/>
          <w:p>
            <w:pPr>
              <w:pStyle w:val="Compact"/>
              <w:jc w:val="right"/>
            </w:pPr>
            <w:r>
              <w:t xml:space="preserve">1203</w:t>
            </w:r>
          </w:p>
        </w:tc>
        <w:tc>
          <w:tcPr/>
          <w:p>
            <w:pPr>
              <w:pStyle w:val="Compact"/>
              <w:jc w:val="right"/>
            </w:pPr>
            <w:r>
              <w:t xml:space="preserve">2.37%</w:t>
            </w:r>
          </w:p>
        </w:tc>
      </w:tr>
      <w:tr>
        <w:tc>
          <w:tcPr/>
          <w:p>
            <w:pPr>
              <w:pStyle w:val="Compact"/>
              <w:jc w:val="left"/>
            </w:pPr>
            <w:r>
              <w:t xml:space="preserve">DEFENSORIA PUBLICA</w:t>
            </w:r>
          </w:p>
        </w:tc>
        <w:tc>
          <w:tcPr/>
          <w:p>
            <w:pPr>
              <w:pStyle w:val="Compact"/>
              <w:jc w:val="right"/>
            </w:pPr>
            <w:r>
              <w:t xml:space="preserve">1014</w:t>
            </w:r>
          </w:p>
        </w:tc>
        <w:tc>
          <w:tcPr/>
          <w:p>
            <w:pPr>
              <w:pStyle w:val="Compact"/>
              <w:jc w:val="right"/>
            </w:pPr>
            <w:r>
              <w:t xml:space="preserve">2.00%</w:t>
            </w:r>
          </w:p>
        </w:tc>
      </w:tr>
      <w:tr>
        <w:tc>
          <w:tcPr/>
          <w:p>
            <w:pPr>
              <w:pStyle w:val="Compact"/>
              <w:jc w:val="left"/>
            </w:pPr>
            <w:r>
              <w:t xml:space="preserve">PROCURADORIA GERAL DO ESTADO</w:t>
            </w:r>
          </w:p>
        </w:tc>
        <w:tc>
          <w:tcPr/>
          <w:p>
            <w:pPr>
              <w:pStyle w:val="Compact"/>
              <w:jc w:val="right"/>
            </w:pPr>
            <w:r>
              <w:t xml:space="preserve">885</w:t>
            </w:r>
          </w:p>
        </w:tc>
        <w:tc>
          <w:tcPr/>
          <w:p>
            <w:pPr>
              <w:pStyle w:val="Compact"/>
              <w:jc w:val="right"/>
            </w:pPr>
            <w:r>
              <w:t xml:space="preserve">1.75%</w:t>
            </w:r>
          </w:p>
        </w:tc>
      </w:tr>
      <w:tr>
        <w:tc>
          <w:tcPr/>
          <w:p>
            <w:pPr>
              <w:pStyle w:val="Compact"/>
              <w:jc w:val="left"/>
            </w:pPr>
            <w:r>
              <w:t xml:space="preserve">ELETROBRAS ELETRONORTE</w:t>
            </w:r>
          </w:p>
        </w:tc>
        <w:tc>
          <w:tcPr/>
          <w:p>
            <w:pPr>
              <w:pStyle w:val="Compact"/>
              <w:jc w:val="right"/>
            </w:pPr>
            <w:r>
              <w:t xml:space="preserve">718</w:t>
            </w:r>
          </w:p>
        </w:tc>
        <w:tc>
          <w:tcPr/>
          <w:p>
            <w:pPr>
              <w:pStyle w:val="Compact"/>
              <w:jc w:val="right"/>
            </w:pPr>
            <w:r>
              <w:t xml:space="preserve">1.42%</w:t>
            </w:r>
          </w:p>
        </w:tc>
      </w:tr>
      <w:tr>
        <w:tc>
          <w:tcPr/>
          <w:p>
            <w:pPr>
              <w:pStyle w:val="Compact"/>
              <w:jc w:val="left"/>
            </w:pPr>
            <w:r>
              <w:t xml:space="preserve">SECRETARIA DE ESTADO DE MEIO AMBIENTE - SEMA</w:t>
            </w:r>
          </w:p>
        </w:tc>
        <w:tc>
          <w:tcPr/>
          <w:p>
            <w:pPr>
              <w:pStyle w:val="Compact"/>
              <w:jc w:val="right"/>
            </w:pPr>
            <w:r>
              <w:t xml:space="preserve">441</w:t>
            </w:r>
          </w:p>
        </w:tc>
        <w:tc>
          <w:tcPr/>
          <w:p>
            <w:pPr>
              <w:pStyle w:val="Compact"/>
              <w:jc w:val="right"/>
            </w:pPr>
            <w:r>
              <w:t xml:space="preserve">0.87%</w:t>
            </w:r>
          </w:p>
        </w:tc>
      </w:tr>
      <w:tr>
        <w:tc>
          <w:tcPr/>
          <w:p>
            <w:pPr>
              <w:pStyle w:val="Compact"/>
              <w:jc w:val="left"/>
            </w:pPr>
            <w:r>
              <w:t xml:space="preserve">GABINETE DO PREFEITO</w:t>
            </w:r>
          </w:p>
        </w:tc>
        <w:tc>
          <w:tcPr/>
          <w:p>
            <w:pPr>
              <w:pStyle w:val="Compact"/>
              <w:jc w:val="right"/>
            </w:pPr>
            <w:r>
              <w:t xml:space="preserve">369</w:t>
            </w:r>
          </w:p>
        </w:tc>
        <w:tc>
          <w:tcPr/>
          <w:p>
            <w:pPr>
              <w:pStyle w:val="Compact"/>
              <w:jc w:val="right"/>
            </w:pPr>
            <w:r>
              <w:t xml:space="preserve">0.73%</w:t>
            </w:r>
          </w:p>
        </w:tc>
      </w:tr>
      <w:tr>
        <w:tc>
          <w:tcPr/>
          <w:p>
            <w:pPr>
              <w:pStyle w:val="Compact"/>
              <w:jc w:val="left"/>
            </w:pPr>
            <w:r>
              <w:t xml:space="preserve">SUPERINTENDENCIA DE ADMINISTRACAO DO MF/ RJ</w:t>
            </w:r>
          </w:p>
        </w:tc>
        <w:tc>
          <w:tcPr/>
          <w:p>
            <w:pPr>
              <w:pStyle w:val="Compact"/>
              <w:jc w:val="right"/>
            </w:pPr>
            <w:r>
              <w:t xml:space="preserve">256</w:t>
            </w:r>
          </w:p>
        </w:tc>
        <w:tc>
          <w:tcPr/>
          <w:p>
            <w:pPr>
              <w:pStyle w:val="Compact"/>
              <w:jc w:val="right"/>
            </w:pPr>
            <w:r>
              <w:t xml:space="preserve">0.51%</w:t>
            </w:r>
          </w:p>
        </w:tc>
      </w:tr>
      <w:tr>
        <w:tc>
          <w:tcPr/>
          <w:p>
            <w:pPr>
              <w:pStyle w:val="Compact"/>
              <w:jc w:val="left"/>
            </w:pPr>
            <w:r>
              <w:t xml:space="preserve">JIRAU ENERGIA</w:t>
            </w:r>
          </w:p>
        </w:tc>
        <w:tc>
          <w:tcPr/>
          <w:p>
            <w:pPr>
              <w:pStyle w:val="Compact"/>
              <w:jc w:val="right"/>
            </w:pPr>
            <w:r>
              <w:t xml:space="preserve">247</w:t>
            </w:r>
          </w:p>
        </w:tc>
        <w:tc>
          <w:tcPr/>
          <w:p>
            <w:pPr>
              <w:pStyle w:val="Compact"/>
              <w:jc w:val="right"/>
            </w:pPr>
            <w:r>
              <w:t xml:space="preserve">0.49%</w:t>
            </w:r>
          </w:p>
        </w:tc>
      </w:tr>
      <w:tr>
        <w:tc>
          <w:tcPr/>
          <w:p>
            <w:pPr>
              <w:pStyle w:val="Compact"/>
              <w:jc w:val="left"/>
            </w:pPr>
            <w:r>
              <w:t xml:space="preserve">CCBM</w:t>
            </w:r>
          </w:p>
        </w:tc>
        <w:tc>
          <w:tcPr/>
          <w:p>
            <w:pPr>
              <w:pStyle w:val="Compact"/>
              <w:jc w:val="right"/>
            </w:pPr>
            <w:r>
              <w:t xml:space="preserve">246</w:t>
            </w:r>
          </w:p>
        </w:tc>
        <w:tc>
          <w:tcPr/>
          <w:p>
            <w:pPr>
              <w:pStyle w:val="Compact"/>
              <w:jc w:val="right"/>
            </w:pPr>
            <w:r>
              <w:t xml:space="preserve">0.49%</w:t>
            </w:r>
          </w:p>
        </w:tc>
      </w:tr>
      <w:tr>
        <w:tc>
          <w:tcPr/>
          <w:p>
            <w:pPr>
              <w:pStyle w:val="Compact"/>
              <w:jc w:val="left"/>
            </w:pPr>
            <w:r>
              <w:t xml:space="preserve">SECRETARIA DE ESTADO DE FAZENDA - SEFAZ</w:t>
            </w:r>
          </w:p>
        </w:tc>
        <w:tc>
          <w:tcPr/>
          <w:p>
            <w:pPr>
              <w:pStyle w:val="Compact"/>
              <w:jc w:val="right"/>
            </w:pPr>
            <w:r>
              <w:t xml:space="preserve">219</w:t>
            </w:r>
          </w:p>
        </w:tc>
        <w:tc>
          <w:tcPr/>
          <w:p>
            <w:pPr>
              <w:pStyle w:val="Compact"/>
              <w:jc w:val="right"/>
            </w:pPr>
            <w:r>
              <w:t xml:space="preserve">0.43%</w:t>
            </w:r>
          </w:p>
        </w:tc>
      </w:tr>
      <w:tr>
        <w:tc>
          <w:tcPr/>
          <w:p>
            <w:pPr>
              <w:pStyle w:val="Compact"/>
              <w:jc w:val="left"/>
            </w:pPr>
            <w:r>
              <w:t xml:space="preserve">MINISTERIO PUBLICO DO ESTADO DE MATO GROSSO</w:t>
            </w:r>
          </w:p>
        </w:tc>
        <w:tc>
          <w:tcPr/>
          <w:p>
            <w:pPr>
              <w:pStyle w:val="Compact"/>
              <w:jc w:val="right"/>
            </w:pPr>
            <w:r>
              <w:t xml:space="preserve">203</w:t>
            </w:r>
          </w:p>
        </w:tc>
        <w:tc>
          <w:tcPr/>
          <w:p>
            <w:pPr>
              <w:pStyle w:val="Compact"/>
              <w:jc w:val="right"/>
            </w:pPr>
            <w:r>
              <w:t xml:space="preserve">0.40%</w:t>
            </w:r>
          </w:p>
        </w:tc>
      </w:tr>
      <w:tr>
        <w:tc>
          <w:tcPr/>
          <w:p>
            <w:pPr>
              <w:pStyle w:val="Compact"/>
              <w:jc w:val="left"/>
            </w:pPr>
            <w:r>
              <w:t xml:space="preserve">IBAMA SUPERINT REGIONAL NO GOIAS</w:t>
            </w:r>
          </w:p>
        </w:tc>
        <w:tc>
          <w:tcPr/>
          <w:p>
            <w:pPr>
              <w:pStyle w:val="Compact"/>
              <w:jc w:val="right"/>
            </w:pPr>
            <w:r>
              <w:t xml:space="preserve">195</w:t>
            </w:r>
          </w:p>
        </w:tc>
        <w:tc>
          <w:tcPr/>
          <w:p>
            <w:pPr>
              <w:pStyle w:val="Compact"/>
              <w:jc w:val="right"/>
            </w:pPr>
            <w:r>
              <w:t xml:space="preserve">0.38%</w:t>
            </w:r>
          </w:p>
        </w:tc>
      </w:tr>
    </w:tbl>
    <w:bookmarkEnd w:id="79"/>
    <w:p>
      <w:pPr>
        <w:pStyle w:val="Corpodetexto"/>
      </w:pPr>
      <w:r>
        <w:t xml:space="preserve">A</w:t>
      </w:r>
      <w:r>
        <w:t xml:space="preserve"> </w:t>
      </w:r>
      <w:hyperlink w:anchor="tbl-litigantes-ativo">
        <w:r>
          <w:rPr>
            <w:rStyle w:val="Hyperlink"/>
          </w:rPr>
          <w:t xml:space="preserve">Tabela 20</w:t>
        </w:r>
      </w:hyperlink>
      <w:r>
        <w:t xml:space="preserve"> </w:t>
      </w:r>
      <w:r>
        <w:t xml:space="preserve">mostra os quinze maiores litigantes no polo ativo. Como esperado, figuram entre os maiores litigantes os ministérios públicos e procuradorias.</w:t>
      </w:r>
    </w:p>
    <w:bookmarkStart w:id="80" w:name="tbl-litigantes-ativo"/>
    <w:p>
      <w:pPr>
        <w:pStyle w:val="TableCaption"/>
      </w:pPr>
      <w:r>
        <w:t xml:space="preserve">Tabela 20: 10 Maiores litigantes nos processos</w:t>
      </w:r>
    </w:p>
    <w:tbl>
      <w:tblPr>
        <w:tblStyle w:val="Table"/>
        <w:tblW w:type="pct" w:w="5000"/>
        <w:tblLook w:firstRow="1" w:lastRow="0" w:firstColumn="0" w:lastColumn="0" w:noHBand="0" w:noVBand="0" w:val="0020"/>
        <w:jc w:val="start"/>
        <w:tblCaption w:val="Tabela 20: 10 Maiores litigantes nos processos"/>
      </w:tblPr>
      <w:tblGrid>
        <w:gridCol w:w="5178"/>
        <w:gridCol w:w="2030"/>
        <w:gridCol w:w="710"/>
      </w:tblGrid>
      <w:tr>
        <w:trPr>
          <w:tblHeader w:val="true"/>
        </w:trPr>
        <w:tc>
          <w:tcPr/>
          <w:p>
            <w:pPr>
              <w:pStyle w:val="Compact"/>
              <w:jc w:val="left"/>
            </w:pPr>
            <w:r>
              <w:t xml:space="preserve">Nome fantasia</w:t>
            </w:r>
          </w:p>
        </w:tc>
        <w:tc>
          <w:tcPr/>
          <w:p>
            <w:pPr>
              <w:pStyle w:val="Compact"/>
              <w:jc w:val="right"/>
            </w:pPr>
            <w:r>
              <w:t xml:space="preserve">Número de processos</w:t>
            </w:r>
          </w:p>
        </w:tc>
        <w:tc>
          <w:tcPr/>
          <w:p>
            <w:pPr>
              <w:pStyle w:val="Compact"/>
              <w:jc w:val="right"/>
            </w:pPr>
            <w:r>
              <w:t xml:space="preserve">%</w:t>
            </w:r>
          </w:p>
        </w:tc>
      </w:tr>
      <w:tr>
        <w:tc>
          <w:tcPr/>
          <w:p>
            <w:pPr>
              <w:pStyle w:val="Compact"/>
              <w:jc w:val="left"/>
            </w:pPr>
            <w:r>
              <w:t xml:space="preserve">MINISTERIO PUBLICO DO ESTADO DE MATO GROSSO</w:t>
            </w:r>
          </w:p>
        </w:tc>
        <w:tc>
          <w:tcPr/>
          <w:p>
            <w:pPr>
              <w:pStyle w:val="Compact"/>
              <w:jc w:val="right"/>
            </w:pPr>
            <w:r>
              <w:t xml:space="preserve">8168</w:t>
            </w:r>
          </w:p>
        </w:tc>
        <w:tc>
          <w:tcPr/>
          <w:p>
            <w:pPr>
              <w:pStyle w:val="Compact"/>
              <w:jc w:val="right"/>
            </w:pPr>
            <w:r>
              <w:t xml:space="preserve">16.12%</w:t>
            </w:r>
          </w:p>
        </w:tc>
      </w:tr>
      <w:tr>
        <w:tc>
          <w:tcPr/>
          <w:p>
            <w:pPr>
              <w:pStyle w:val="Compact"/>
              <w:jc w:val="left"/>
            </w:pPr>
            <w:r>
              <w:t xml:space="preserve">PA MP PRG GABINETE DO PROCURADOR GERAL</w:t>
            </w:r>
          </w:p>
        </w:tc>
        <w:tc>
          <w:tcPr/>
          <w:p>
            <w:pPr>
              <w:pStyle w:val="Compact"/>
              <w:jc w:val="right"/>
            </w:pPr>
            <w:r>
              <w:t xml:space="preserve">2059</w:t>
            </w:r>
          </w:p>
        </w:tc>
        <w:tc>
          <w:tcPr/>
          <w:p>
            <w:pPr>
              <w:pStyle w:val="Compact"/>
              <w:jc w:val="right"/>
            </w:pPr>
            <w:r>
              <w:t xml:space="preserve">4.06%</w:t>
            </w:r>
          </w:p>
        </w:tc>
      </w:tr>
      <w:tr>
        <w:tc>
          <w:tcPr/>
          <w:p>
            <w:pPr>
              <w:pStyle w:val="Compact"/>
              <w:jc w:val="left"/>
            </w:pPr>
            <w:r>
              <w:t xml:space="preserve">IBAMA - CPB</w:t>
            </w:r>
          </w:p>
        </w:tc>
        <w:tc>
          <w:tcPr/>
          <w:p>
            <w:pPr>
              <w:pStyle w:val="Compact"/>
              <w:jc w:val="right"/>
            </w:pPr>
            <w:r>
              <w:t xml:space="preserve">1940</w:t>
            </w:r>
          </w:p>
        </w:tc>
        <w:tc>
          <w:tcPr/>
          <w:p>
            <w:pPr>
              <w:pStyle w:val="Compact"/>
              <w:jc w:val="right"/>
            </w:pPr>
            <w:r>
              <w:t xml:space="preserve">3.83%</w:t>
            </w:r>
          </w:p>
        </w:tc>
      </w:tr>
      <w:tr>
        <w:tc>
          <w:tcPr/>
          <w:p>
            <w:pPr>
              <w:pStyle w:val="Compact"/>
              <w:jc w:val="left"/>
            </w:pPr>
            <w:r>
              <w:t xml:space="preserve">AM PROCURADORIA GERAL DA JUSTICA GAB DO PROCURADOR</w:t>
            </w:r>
          </w:p>
        </w:tc>
        <w:tc>
          <w:tcPr/>
          <w:p>
            <w:pPr>
              <w:pStyle w:val="Compact"/>
              <w:jc w:val="right"/>
            </w:pPr>
            <w:r>
              <w:t xml:space="preserve">1826</w:t>
            </w:r>
          </w:p>
        </w:tc>
        <w:tc>
          <w:tcPr/>
          <w:p>
            <w:pPr>
              <w:pStyle w:val="Compact"/>
              <w:jc w:val="right"/>
            </w:pPr>
            <w:r>
              <w:t xml:space="preserve">3.60%</w:t>
            </w:r>
          </w:p>
        </w:tc>
      </w:tr>
      <w:tr>
        <w:tc>
          <w:tcPr/>
          <w:p>
            <w:pPr>
              <w:pStyle w:val="Compact"/>
              <w:jc w:val="left"/>
            </w:pPr>
            <w:r>
              <w:t xml:space="preserve">TO PROCURADORIA GERAL DA JUSTICA</w:t>
            </w:r>
          </w:p>
        </w:tc>
        <w:tc>
          <w:tcPr/>
          <w:p>
            <w:pPr>
              <w:pStyle w:val="Compact"/>
              <w:jc w:val="right"/>
            </w:pPr>
            <w:r>
              <w:t xml:space="preserve">1673</w:t>
            </w:r>
          </w:p>
        </w:tc>
        <w:tc>
          <w:tcPr/>
          <w:p>
            <w:pPr>
              <w:pStyle w:val="Compact"/>
              <w:jc w:val="right"/>
            </w:pPr>
            <w:r>
              <w:t xml:space="preserve">3.30%</w:t>
            </w:r>
          </w:p>
        </w:tc>
      </w:tr>
      <w:tr>
        <w:tc>
          <w:tcPr/>
          <w:p>
            <w:pPr>
              <w:pStyle w:val="Compact"/>
              <w:jc w:val="left"/>
            </w:pPr>
            <w:r>
              <w:t xml:space="preserve">MINISTERIO PUB EST RONDONIA</w:t>
            </w:r>
          </w:p>
        </w:tc>
        <w:tc>
          <w:tcPr/>
          <w:p>
            <w:pPr>
              <w:pStyle w:val="Compact"/>
              <w:jc w:val="right"/>
            </w:pPr>
            <w:r>
              <w:t xml:space="preserve">1638</w:t>
            </w:r>
          </w:p>
        </w:tc>
        <w:tc>
          <w:tcPr/>
          <w:p>
            <w:pPr>
              <w:pStyle w:val="Compact"/>
              <w:jc w:val="right"/>
            </w:pPr>
            <w:r>
              <w:t xml:space="preserve">3.23%</w:t>
            </w:r>
          </w:p>
        </w:tc>
      </w:tr>
      <w:tr>
        <w:tc>
          <w:tcPr/>
          <w:p>
            <w:pPr>
              <w:pStyle w:val="Compact"/>
              <w:jc w:val="left"/>
            </w:pPr>
            <w:r>
              <w:t xml:space="preserve">GABINETE DO PREFEITO</w:t>
            </w:r>
          </w:p>
        </w:tc>
        <w:tc>
          <w:tcPr/>
          <w:p>
            <w:pPr>
              <w:pStyle w:val="Compact"/>
              <w:jc w:val="right"/>
            </w:pPr>
            <w:r>
              <w:t xml:space="preserve">1071</w:t>
            </w:r>
          </w:p>
        </w:tc>
        <w:tc>
          <w:tcPr/>
          <w:p>
            <w:pPr>
              <w:pStyle w:val="Compact"/>
              <w:jc w:val="right"/>
            </w:pPr>
            <w:r>
              <w:t xml:space="preserve">2.11%</w:t>
            </w:r>
          </w:p>
        </w:tc>
      </w:tr>
      <w:tr>
        <w:tc>
          <w:tcPr/>
          <w:p>
            <w:pPr>
              <w:pStyle w:val="Compact"/>
              <w:jc w:val="left"/>
            </w:pPr>
            <w:r>
              <w:t xml:space="preserve">(vazio)</w:t>
            </w:r>
          </w:p>
        </w:tc>
        <w:tc>
          <w:tcPr/>
          <w:p>
            <w:pPr>
              <w:pStyle w:val="Compact"/>
              <w:jc w:val="right"/>
            </w:pPr>
            <w:r>
              <w:t xml:space="preserve">1068</w:t>
            </w:r>
          </w:p>
        </w:tc>
        <w:tc>
          <w:tcPr/>
          <w:p>
            <w:pPr>
              <w:pStyle w:val="Compact"/>
              <w:jc w:val="right"/>
            </w:pPr>
            <w:r>
              <w:t xml:space="preserve">2.11%</w:t>
            </w:r>
          </w:p>
        </w:tc>
      </w:tr>
      <w:tr>
        <w:tc>
          <w:tcPr/>
          <w:p>
            <w:pPr>
              <w:pStyle w:val="Compact"/>
              <w:jc w:val="left"/>
            </w:pPr>
            <w:r>
              <w:t xml:space="preserve">CASA CIVIL DO ESTADO DE MATO GROSSO</w:t>
            </w:r>
          </w:p>
        </w:tc>
        <w:tc>
          <w:tcPr/>
          <w:p>
            <w:pPr>
              <w:pStyle w:val="Compact"/>
              <w:jc w:val="right"/>
            </w:pPr>
            <w:r>
              <w:t xml:space="preserve">961</w:t>
            </w:r>
          </w:p>
        </w:tc>
        <w:tc>
          <w:tcPr/>
          <w:p>
            <w:pPr>
              <w:pStyle w:val="Compact"/>
              <w:jc w:val="right"/>
            </w:pPr>
            <w:r>
              <w:t xml:space="preserve">1.90%</w:t>
            </w:r>
          </w:p>
        </w:tc>
      </w:tr>
      <w:tr>
        <w:tc>
          <w:tcPr/>
          <w:p>
            <w:pPr>
              <w:pStyle w:val="Compact"/>
              <w:jc w:val="left"/>
            </w:pPr>
            <w:r>
              <w:t xml:space="preserve">PROCURADORIA GERAL DA JUSTICA</w:t>
            </w:r>
          </w:p>
        </w:tc>
        <w:tc>
          <w:tcPr/>
          <w:p>
            <w:pPr>
              <w:pStyle w:val="Compact"/>
              <w:jc w:val="right"/>
            </w:pPr>
            <w:r>
              <w:t xml:space="preserve">935</w:t>
            </w:r>
          </w:p>
        </w:tc>
        <w:tc>
          <w:tcPr/>
          <w:p>
            <w:pPr>
              <w:pStyle w:val="Compact"/>
              <w:jc w:val="right"/>
            </w:pPr>
            <w:r>
              <w:t xml:space="preserve">1.84%</w:t>
            </w:r>
          </w:p>
        </w:tc>
      </w:tr>
      <w:tr>
        <w:tc>
          <w:tcPr/>
          <w:p>
            <w:pPr>
              <w:pStyle w:val="Compact"/>
              <w:jc w:val="left"/>
            </w:pPr>
            <w:r>
              <w:t xml:space="preserve">MPEA</w:t>
            </w:r>
          </w:p>
        </w:tc>
        <w:tc>
          <w:tcPr/>
          <w:p>
            <w:pPr>
              <w:pStyle w:val="Compact"/>
              <w:jc w:val="right"/>
            </w:pPr>
            <w:r>
              <w:t xml:space="preserve">758</w:t>
            </w:r>
          </w:p>
        </w:tc>
        <w:tc>
          <w:tcPr/>
          <w:p>
            <w:pPr>
              <w:pStyle w:val="Compact"/>
              <w:jc w:val="right"/>
            </w:pPr>
            <w:r>
              <w:t xml:space="preserve">1.50%</w:t>
            </w:r>
          </w:p>
        </w:tc>
      </w:tr>
      <w:tr>
        <w:tc>
          <w:tcPr/>
          <w:p>
            <w:pPr>
              <w:pStyle w:val="Compact"/>
              <w:jc w:val="left"/>
            </w:pPr>
            <w:r>
              <w:t xml:space="preserve">PROCURADORIA GERAL DO ESTADO</w:t>
            </w:r>
          </w:p>
        </w:tc>
        <w:tc>
          <w:tcPr/>
          <w:p>
            <w:pPr>
              <w:pStyle w:val="Compact"/>
              <w:jc w:val="right"/>
            </w:pPr>
            <w:r>
              <w:t xml:space="preserve">749</w:t>
            </w:r>
          </w:p>
        </w:tc>
        <w:tc>
          <w:tcPr/>
          <w:p>
            <w:pPr>
              <w:pStyle w:val="Compact"/>
              <w:jc w:val="right"/>
            </w:pPr>
            <w:r>
              <w:t xml:space="preserve">1.48%</w:t>
            </w:r>
          </w:p>
        </w:tc>
      </w:tr>
      <w:tr>
        <w:tc>
          <w:tcPr/>
          <w:p>
            <w:pPr>
              <w:pStyle w:val="Compact"/>
              <w:jc w:val="left"/>
            </w:pPr>
            <w:r>
              <w:t xml:space="preserve">TJPA</w:t>
            </w:r>
          </w:p>
        </w:tc>
        <w:tc>
          <w:tcPr/>
          <w:p>
            <w:pPr>
              <w:pStyle w:val="Compact"/>
              <w:jc w:val="right"/>
            </w:pPr>
            <w:r>
              <w:t xml:space="preserve">412</w:t>
            </w:r>
          </w:p>
        </w:tc>
        <w:tc>
          <w:tcPr/>
          <w:p>
            <w:pPr>
              <w:pStyle w:val="Compact"/>
              <w:jc w:val="right"/>
            </w:pPr>
            <w:r>
              <w:t xml:space="preserve">0.81%</w:t>
            </w:r>
          </w:p>
        </w:tc>
      </w:tr>
      <w:tr>
        <w:tc>
          <w:tcPr/>
          <w:p>
            <w:pPr>
              <w:pStyle w:val="Compact"/>
              <w:jc w:val="left"/>
            </w:pPr>
            <w:r>
              <w:t xml:space="preserve">IBAMA SUPERINT REGIONAL NO GOIAS</w:t>
            </w:r>
          </w:p>
        </w:tc>
        <w:tc>
          <w:tcPr/>
          <w:p>
            <w:pPr>
              <w:pStyle w:val="Compact"/>
              <w:jc w:val="right"/>
            </w:pPr>
            <w:r>
              <w:t xml:space="preserve">336</w:t>
            </w:r>
          </w:p>
        </w:tc>
        <w:tc>
          <w:tcPr/>
          <w:p>
            <w:pPr>
              <w:pStyle w:val="Compact"/>
              <w:jc w:val="right"/>
            </w:pPr>
            <w:r>
              <w:t xml:space="preserve">0.66%</w:t>
            </w:r>
          </w:p>
        </w:tc>
      </w:tr>
      <w:tr>
        <w:tc>
          <w:tcPr/>
          <w:p>
            <w:pPr>
              <w:pStyle w:val="Compact"/>
              <w:jc w:val="left"/>
            </w:pPr>
            <w:r>
              <w:t xml:space="preserve">IBAMA/CGFIN - COORDENACAO GERAL DE FINANCAS</w:t>
            </w:r>
          </w:p>
        </w:tc>
        <w:tc>
          <w:tcPr/>
          <w:p>
            <w:pPr>
              <w:pStyle w:val="Compact"/>
              <w:jc w:val="right"/>
            </w:pPr>
            <w:r>
              <w:t xml:space="preserve">301</w:t>
            </w:r>
          </w:p>
        </w:tc>
        <w:tc>
          <w:tcPr/>
          <w:p>
            <w:pPr>
              <w:pStyle w:val="Compact"/>
              <w:jc w:val="right"/>
            </w:pPr>
            <w:r>
              <w:t xml:space="preserve">0.59%</w:t>
            </w:r>
          </w:p>
        </w:tc>
      </w:tr>
    </w:tbl>
    <w:bookmarkEnd w:id="80"/>
    <w:p>
      <w:pPr>
        <w:pStyle w:val="Corpodetexto"/>
      </w:pPr>
      <w:r>
        <w:t xml:space="preserve">A</w:t>
      </w:r>
      <w:r>
        <w:t xml:space="preserve"> </w:t>
      </w:r>
      <w:hyperlink w:anchor="tbl-cnae">
        <w:r>
          <w:rPr>
            <w:rStyle w:val="Hyperlink"/>
          </w:rPr>
          <w:t xml:space="preserve">Tabela 21</w:t>
        </w:r>
      </w:hyperlink>
      <w:r>
        <w:t xml:space="preserve"> </w:t>
      </w:r>
      <w:r>
        <w:t xml:space="preserve">mostra as atividades principais das empresas no polo passivo, de acordo com a informação da</w:t>
      </w:r>
      <w:r>
        <w:t xml:space="preserve"> </w:t>
      </w:r>
      <w:r>
        <w:t xml:space="preserve">“</w:t>
      </w:r>
      <w:r>
        <w:t xml:space="preserve">Classe</w:t>
      </w:r>
      <w:r>
        <w:t xml:space="preserve">”</w:t>
      </w:r>
      <w:r>
        <w:t xml:space="preserve"> </w:t>
      </w:r>
      <w:r>
        <w:t xml:space="preserve">da tabela CNAE. Os casos de</w:t>
      </w:r>
      <w:r>
        <w:t xml:space="preserve"> </w:t>
      </w:r>
      <w:r>
        <w:t xml:space="preserve">“</w:t>
      </w:r>
      <w:r>
        <w:t xml:space="preserve">administração pública em geral</w:t>
      </w:r>
      <w:r>
        <w:t xml:space="preserve">”</w:t>
      </w:r>
      <w:r>
        <w:t xml:space="preserve"> </w:t>
      </w:r>
      <w:r>
        <w:t xml:space="preserve">provavelmente se referem a diferentes entidades públicas.</w:t>
      </w:r>
    </w:p>
    <w:bookmarkStart w:id="81" w:name="tbl-cnae"/>
    <w:p>
      <w:pPr>
        <w:pStyle w:val="TableCaption"/>
      </w:pPr>
      <w:r>
        <w:t xml:space="preserve">Tabela 21: Quantidade de partes-processos por tipo de atividade.</w:t>
      </w:r>
    </w:p>
    <w:tbl>
      <w:tblPr>
        <w:tblStyle w:val="Table"/>
        <w:tblW w:type="pct" w:w="5000"/>
        <w:tblLook w:firstRow="1" w:lastRow="0" w:firstColumn="0" w:lastColumn="0" w:noHBand="0" w:noVBand="0" w:val="0020"/>
        <w:jc w:val="start"/>
        <w:tblCaption w:val="Tabela 21: Quantidade de partes-processos por tipo de atividade."/>
      </w:tblPr>
      <w:tblGrid>
        <w:gridCol w:w="6864"/>
        <w:gridCol w:w="440"/>
        <w:gridCol w:w="616"/>
      </w:tblGrid>
      <w:tr>
        <w:trPr>
          <w:tblHeader w:val="true"/>
        </w:trPr>
        <w:tc>
          <w:tcPr/>
          <w:p>
            <w:pPr>
              <w:pStyle w:val="Compact"/>
              <w:jc w:val="left"/>
            </w:pPr>
            <w:r>
              <w:t xml:space="preserve">Tipo de atividade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Administração pública em geral</w:t>
            </w:r>
          </w:p>
        </w:tc>
        <w:tc>
          <w:tcPr/>
          <w:p>
            <w:pPr>
              <w:pStyle w:val="Compact"/>
              <w:jc w:val="right"/>
            </w:pPr>
            <w:r>
              <w:t xml:space="preserve">6675</w:t>
            </w:r>
          </w:p>
        </w:tc>
        <w:tc>
          <w:tcPr/>
          <w:p>
            <w:pPr>
              <w:pStyle w:val="Compact"/>
              <w:jc w:val="right"/>
            </w:pPr>
            <w:r>
              <w:t xml:space="preserve">13.17%</w:t>
            </w:r>
          </w:p>
        </w:tc>
      </w:tr>
      <w:tr>
        <w:tc>
          <w:tcPr/>
          <w:p>
            <w:pPr>
              <w:pStyle w:val="Compact"/>
              <w:jc w:val="left"/>
            </w:pPr>
            <w:r>
              <w:t xml:space="preserve">Geração de energia elétrica</w:t>
            </w:r>
          </w:p>
        </w:tc>
        <w:tc>
          <w:tcPr/>
          <w:p>
            <w:pPr>
              <w:pStyle w:val="Compact"/>
              <w:jc w:val="right"/>
            </w:pPr>
            <w:r>
              <w:t xml:space="preserve">3345</w:t>
            </w:r>
          </w:p>
        </w:tc>
        <w:tc>
          <w:tcPr/>
          <w:p>
            <w:pPr>
              <w:pStyle w:val="Compact"/>
              <w:jc w:val="right"/>
            </w:pPr>
            <w:r>
              <w:t xml:space="preserve">6.60%</w:t>
            </w:r>
          </w:p>
        </w:tc>
      </w:tr>
      <w:tr>
        <w:tc>
          <w:tcPr/>
          <w:p>
            <w:pPr>
              <w:pStyle w:val="Compact"/>
              <w:jc w:val="left"/>
            </w:pPr>
            <w:r>
              <w:t xml:space="preserve">Metalurgia do alumínio e suas ligas</w:t>
            </w:r>
          </w:p>
        </w:tc>
        <w:tc>
          <w:tcPr/>
          <w:p>
            <w:pPr>
              <w:pStyle w:val="Compact"/>
              <w:jc w:val="right"/>
            </w:pPr>
            <w:r>
              <w:t xml:space="preserve">1847</w:t>
            </w:r>
          </w:p>
        </w:tc>
        <w:tc>
          <w:tcPr/>
          <w:p>
            <w:pPr>
              <w:pStyle w:val="Compact"/>
              <w:jc w:val="right"/>
            </w:pPr>
            <w:r>
              <w:t xml:space="preserve">3.64%</w:t>
            </w:r>
          </w:p>
        </w:tc>
      </w:tr>
      <w:tr>
        <w:tc>
          <w:tcPr/>
          <w:p>
            <w:pPr>
              <w:pStyle w:val="Compact"/>
              <w:jc w:val="left"/>
            </w:pPr>
            <w:r>
              <w:t xml:space="preserve">Desdobramento de madeira</w:t>
            </w:r>
          </w:p>
        </w:tc>
        <w:tc>
          <w:tcPr/>
          <w:p>
            <w:pPr>
              <w:pStyle w:val="Compact"/>
              <w:jc w:val="right"/>
            </w:pPr>
            <w:r>
              <w:t xml:space="preserve">1691</w:t>
            </w:r>
          </w:p>
        </w:tc>
        <w:tc>
          <w:tcPr/>
          <w:p>
            <w:pPr>
              <w:pStyle w:val="Compact"/>
              <w:jc w:val="right"/>
            </w:pPr>
            <w:r>
              <w:t xml:space="preserve">3.34%</w:t>
            </w:r>
          </w:p>
        </w:tc>
      </w:tr>
      <w:tr>
        <w:tc>
          <w:tcPr/>
          <w:p>
            <w:pPr>
              <w:pStyle w:val="Compact"/>
              <w:jc w:val="left"/>
            </w:pPr>
            <w:r>
              <w:t xml:space="preserve">Justiça</w:t>
            </w:r>
          </w:p>
        </w:tc>
        <w:tc>
          <w:tcPr/>
          <w:p>
            <w:pPr>
              <w:pStyle w:val="Compact"/>
              <w:jc w:val="right"/>
            </w:pPr>
            <w:r>
              <w:t xml:space="preserve">1189</w:t>
            </w:r>
          </w:p>
        </w:tc>
        <w:tc>
          <w:tcPr/>
          <w:p>
            <w:pPr>
              <w:pStyle w:val="Compact"/>
              <w:jc w:val="right"/>
            </w:pPr>
            <w:r>
              <w:t xml:space="preserve">2.35%</w:t>
            </w:r>
          </w:p>
        </w:tc>
      </w:tr>
      <w:tr>
        <w:tc>
          <w:tcPr/>
          <w:p>
            <w:pPr>
              <w:pStyle w:val="Compact"/>
              <w:jc w:val="left"/>
            </w:pPr>
            <w:r>
              <w:t xml:space="preserve">Comércio varejista de ferragens madeira e materiais de construção</w:t>
            </w:r>
          </w:p>
        </w:tc>
        <w:tc>
          <w:tcPr/>
          <w:p>
            <w:pPr>
              <w:pStyle w:val="Compact"/>
              <w:jc w:val="right"/>
            </w:pPr>
            <w:r>
              <w:t xml:space="preserve">493</w:t>
            </w:r>
          </w:p>
        </w:tc>
        <w:tc>
          <w:tcPr/>
          <w:p>
            <w:pPr>
              <w:pStyle w:val="Compact"/>
              <w:jc w:val="right"/>
            </w:pPr>
            <w:r>
              <w:t xml:space="preserve">0.97%</w:t>
            </w:r>
          </w:p>
        </w:tc>
      </w:tr>
      <w:tr>
        <w:tc>
          <w:tcPr/>
          <w:p>
            <w:pPr>
              <w:pStyle w:val="Compact"/>
              <w:jc w:val="left"/>
            </w:pPr>
            <w:r>
              <w:t xml:space="preserve">Transporte rodoviário de carga</w:t>
            </w:r>
          </w:p>
        </w:tc>
        <w:tc>
          <w:tcPr/>
          <w:p>
            <w:pPr>
              <w:pStyle w:val="Compact"/>
              <w:jc w:val="right"/>
            </w:pPr>
            <w:r>
              <w:t xml:space="preserve">291</w:t>
            </w:r>
          </w:p>
        </w:tc>
        <w:tc>
          <w:tcPr/>
          <w:p>
            <w:pPr>
              <w:pStyle w:val="Compact"/>
              <w:jc w:val="right"/>
            </w:pPr>
            <w:r>
              <w:t xml:space="preserve">0.57%</w:t>
            </w:r>
          </w:p>
        </w:tc>
      </w:tr>
      <w:tr>
        <w:tc>
          <w:tcPr/>
          <w:p>
            <w:pPr>
              <w:pStyle w:val="Compact"/>
              <w:jc w:val="left"/>
            </w:pPr>
            <w:r>
              <w:t xml:space="preserve">Construção de edifícios</w:t>
            </w:r>
          </w:p>
        </w:tc>
        <w:tc>
          <w:tcPr/>
          <w:p>
            <w:pPr>
              <w:pStyle w:val="Compact"/>
              <w:jc w:val="right"/>
            </w:pPr>
            <w:r>
              <w:t xml:space="preserve">270</w:t>
            </w:r>
          </w:p>
        </w:tc>
        <w:tc>
          <w:tcPr/>
          <w:p>
            <w:pPr>
              <w:pStyle w:val="Compact"/>
              <w:jc w:val="right"/>
            </w:pPr>
            <w:r>
              <w:t xml:space="preserve">0.53%</w:t>
            </w:r>
          </w:p>
        </w:tc>
      </w:tr>
      <w:tr>
        <w:tc>
          <w:tcPr/>
          <w:p>
            <w:pPr>
              <w:pStyle w:val="Compact"/>
              <w:jc w:val="left"/>
            </w:pPr>
            <w:r>
              <w:t xml:space="preserve">Obras para geração e distribuição de energia elétrica e para telecomunicações</w:t>
            </w:r>
          </w:p>
        </w:tc>
        <w:tc>
          <w:tcPr/>
          <w:p>
            <w:pPr>
              <w:pStyle w:val="Compact"/>
              <w:jc w:val="right"/>
            </w:pPr>
            <w:r>
              <w:t xml:space="preserve">261</w:t>
            </w:r>
          </w:p>
        </w:tc>
        <w:tc>
          <w:tcPr/>
          <w:p>
            <w:pPr>
              <w:pStyle w:val="Compact"/>
              <w:jc w:val="right"/>
            </w:pPr>
            <w:r>
              <w:t xml:space="preserve">0.51%</w:t>
            </w:r>
          </w:p>
        </w:tc>
      </w:tr>
      <w:tr>
        <w:tc>
          <w:tcPr/>
          <w:p>
            <w:pPr>
              <w:pStyle w:val="Compact"/>
              <w:jc w:val="left"/>
            </w:pPr>
            <w:r>
              <w:t xml:space="preserve">Comércio atacadista de madeira e produtos derivados</w:t>
            </w:r>
          </w:p>
        </w:tc>
        <w:tc>
          <w:tcPr/>
          <w:p>
            <w:pPr>
              <w:pStyle w:val="Compact"/>
              <w:jc w:val="right"/>
            </w:pPr>
            <w:r>
              <w:t xml:space="preserve">242</w:t>
            </w:r>
          </w:p>
        </w:tc>
        <w:tc>
          <w:tcPr/>
          <w:p>
            <w:pPr>
              <w:pStyle w:val="Compact"/>
              <w:jc w:val="right"/>
            </w:pPr>
            <w:r>
              <w:t xml:space="preserve">0.48%</w:t>
            </w:r>
          </w:p>
        </w:tc>
      </w:tr>
    </w:tbl>
    <w:bookmarkEnd w:id="81"/>
    <w:bookmarkEnd w:id="82"/>
    <w:bookmarkStart w:id="83" w:name="datajud-2"/>
    <w:p>
      <w:pPr>
        <w:pStyle w:val="Ttulo3"/>
      </w:pPr>
      <w:r>
        <w:t xml:space="preserve">DataJud</w:t>
      </w:r>
    </w:p>
    <w:p>
      <w:pPr>
        <w:pStyle w:val="FirstParagraph"/>
      </w:pPr>
      <w:r>
        <w:t xml:space="preserve">A base do DataJud não disponibiliza nome nem CNPJ das partes, o que impossibilita análises sobre perfil das partes.</w:t>
      </w:r>
    </w:p>
    <w:bookmarkEnd w:id="83"/>
    <w:bookmarkStart w:id="86" w:name="trf1-2"/>
    <w:p>
      <w:pPr>
        <w:pStyle w:val="Ttulo3"/>
      </w:pPr>
      <w:r>
        <w:t xml:space="preserve">TRF1</w:t>
      </w:r>
    </w:p>
    <w:p>
      <w:pPr>
        <w:pStyle w:val="FirstParagraph"/>
      </w:pPr>
      <w:r>
        <w:t xml:space="preserve">A base do TRF1 não disponibiliza o CNPJ das partes, o que impossibilita a realização de análises mais aprofundadas. A única análise feita foi dos maiores litigantes no polo passivo, listados na</w:t>
      </w:r>
      <w:r>
        <w:t xml:space="preserve"> </w:t>
      </w:r>
      <w:hyperlink w:anchor="tbl-litigantes-trf1">
        <w:r>
          <w:rPr>
            <w:rStyle w:val="Hyperlink"/>
          </w:rPr>
          <w:t xml:space="preserve">Tabela 22</w:t>
        </w:r>
      </w:hyperlink>
      <w:r>
        <w:t xml:space="preserve">. As formas de participação para determinar as partes no polo passivo foram:</w:t>
      </w:r>
      <w:r>
        <w:t xml:space="preserve"> </w:t>
      </w:r>
      <w:r>
        <w:t xml:space="preserve">“</w:t>
      </w:r>
      <w:r>
        <w:t xml:space="preserve">réu</w:t>
      </w:r>
      <w:r>
        <w:t xml:space="preserve">”</w:t>
      </w:r>
      <w:r>
        <w:t xml:space="preserve">,</w:t>
      </w:r>
      <w:r>
        <w:t xml:space="preserve"> </w:t>
      </w:r>
      <w:r>
        <w:t xml:space="preserve">“</w:t>
      </w:r>
      <w:r>
        <w:t xml:space="preserve">requerido</w:t>
      </w:r>
      <w:r>
        <w:t xml:space="preserve">”</w:t>
      </w:r>
      <w:r>
        <w:t xml:space="preserve">,</w:t>
      </w:r>
      <w:r>
        <w:t xml:space="preserve"> </w:t>
      </w:r>
      <w:r>
        <w:t xml:space="preserve">“</w:t>
      </w:r>
      <w:r>
        <w:t xml:space="preserve">executado</w:t>
      </w:r>
      <w:r>
        <w:t xml:space="preserve">”</w:t>
      </w:r>
      <w:r>
        <w:t xml:space="preserve"> </w:t>
      </w:r>
      <w:r>
        <w:t xml:space="preserve">e</w:t>
      </w:r>
      <w:r>
        <w:t xml:space="preserve"> </w:t>
      </w:r>
      <w:r>
        <w:t xml:space="preserve">“</w:t>
      </w:r>
      <w:r>
        <w:t xml:space="preserve">impetrado</w:t>
      </w:r>
      <w:r>
        <w:t xml:space="preserve">”</w:t>
      </w:r>
      <w:r>
        <w:t xml:space="preserve">. Os nomes passaram por um processo de padronização, mas ainda podem estar com problemas de taxonomia.</w:t>
      </w:r>
    </w:p>
    <w:bookmarkStart w:id="84" w:name="tbl-litigantes-trf1"/>
    <w:p>
      <w:pPr>
        <w:pStyle w:val="TableCaption"/>
      </w:pPr>
      <w:r>
        <w:t xml:space="preserve">Tabela 22: Lista dos maiores litigantes no polo passivo, no TRF1 (base grande).</w:t>
      </w:r>
    </w:p>
    <w:tbl>
      <w:tblPr>
        <w:tblStyle w:val="Table"/>
        <w:tblW w:type="auto" w:w="0"/>
        <w:tblLook w:firstRow="1" w:lastRow="0" w:firstColumn="0" w:lastColumn="0" w:noHBand="0" w:noVBand="0" w:val="0020"/>
        <w:jc w:val="start"/>
        <w:tblCaption w:val="Tabela 22: Lista dos maiores litigantes no polo passivo, no TRF1 (base grande)."/>
      </w:tblPr>
      <w:tblGrid>
        <w:gridCol w:w="2640"/>
        <w:gridCol w:w="2640"/>
        <w:gridCol w:w="2640"/>
      </w:tblGrid>
      <w:tr>
        <w:trPr>
          <w:tblHeader w:val="true"/>
        </w:trPr>
        <w:tc>
          <w:tcPr/>
          <w:p>
            <w:pPr>
              <w:pStyle w:val="Compact"/>
              <w:jc w:val="left"/>
            </w:pPr>
            <w:r>
              <w:t xml:space="preserve">Nome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IBAMA</w:t>
            </w:r>
          </w:p>
        </w:tc>
        <w:tc>
          <w:tcPr/>
          <w:p>
            <w:pPr>
              <w:pStyle w:val="Compact"/>
              <w:jc w:val="right"/>
            </w:pPr>
            <w:r>
              <w:t xml:space="preserve">741</w:t>
            </w:r>
          </w:p>
        </w:tc>
        <w:tc>
          <w:tcPr/>
          <w:p>
            <w:pPr>
              <w:pStyle w:val="Compact"/>
              <w:jc w:val="right"/>
            </w:pPr>
            <w:r>
              <w:t xml:space="preserve">17.0%</w:t>
            </w:r>
          </w:p>
        </w:tc>
      </w:tr>
      <w:tr>
        <w:tc>
          <w:tcPr/>
          <w:p>
            <w:pPr>
              <w:pStyle w:val="Compact"/>
              <w:jc w:val="left"/>
            </w:pPr>
            <w:r>
              <w:t xml:space="preserve">INSS</w:t>
            </w:r>
          </w:p>
        </w:tc>
        <w:tc>
          <w:tcPr/>
          <w:p>
            <w:pPr>
              <w:pStyle w:val="Compact"/>
              <w:jc w:val="right"/>
            </w:pPr>
            <w:r>
              <w:t xml:space="preserve">513</w:t>
            </w:r>
          </w:p>
        </w:tc>
        <w:tc>
          <w:tcPr/>
          <w:p>
            <w:pPr>
              <w:pStyle w:val="Compact"/>
              <w:jc w:val="right"/>
            </w:pPr>
            <w:r>
              <w:t xml:space="preserve">11.8%</w:t>
            </w:r>
          </w:p>
        </w:tc>
      </w:tr>
      <w:tr>
        <w:tc>
          <w:tcPr/>
          <w:p>
            <w:pPr>
              <w:pStyle w:val="Compact"/>
              <w:jc w:val="left"/>
            </w:pPr>
            <w:r>
              <w:t xml:space="preserve">UNIAO</w:t>
            </w:r>
          </w:p>
        </w:tc>
        <w:tc>
          <w:tcPr/>
          <w:p>
            <w:pPr>
              <w:pStyle w:val="Compact"/>
              <w:jc w:val="right"/>
            </w:pPr>
            <w:r>
              <w:t xml:space="preserve">437</w:t>
            </w:r>
          </w:p>
        </w:tc>
        <w:tc>
          <w:tcPr/>
          <w:p>
            <w:pPr>
              <w:pStyle w:val="Compact"/>
              <w:jc w:val="right"/>
            </w:pPr>
            <w:r>
              <w:t xml:space="preserve">10.0%</w:t>
            </w:r>
          </w:p>
        </w:tc>
      </w:tr>
      <w:tr>
        <w:tc>
          <w:tcPr/>
          <w:p>
            <w:pPr>
              <w:pStyle w:val="Compact"/>
              <w:jc w:val="left"/>
            </w:pPr>
            <w:r>
              <w:t xml:space="preserve">INCRA</w:t>
            </w:r>
          </w:p>
        </w:tc>
        <w:tc>
          <w:tcPr/>
          <w:p>
            <w:pPr>
              <w:pStyle w:val="Compact"/>
              <w:jc w:val="right"/>
            </w:pPr>
            <w:r>
              <w:t xml:space="preserve">143</w:t>
            </w:r>
          </w:p>
        </w:tc>
        <w:tc>
          <w:tcPr/>
          <w:p>
            <w:pPr>
              <w:pStyle w:val="Compact"/>
              <w:jc w:val="right"/>
            </w:pPr>
            <w:r>
              <w:t xml:space="preserve">3.3%</w:t>
            </w:r>
          </w:p>
        </w:tc>
      </w:tr>
      <w:tr>
        <w:tc>
          <w:tcPr/>
          <w:p>
            <w:pPr>
              <w:pStyle w:val="Compact"/>
              <w:jc w:val="left"/>
            </w:pPr>
            <w:r>
              <w:t xml:space="preserve">FUNAI</w:t>
            </w:r>
          </w:p>
        </w:tc>
        <w:tc>
          <w:tcPr/>
          <w:p>
            <w:pPr>
              <w:pStyle w:val="Compact"/>
              <w:jc w:val="right"/>
            </w:pPr>
            <w:r>
              <w:t xml:space="preserve">121</w:t>
            </w:r>
          </w:p>
        </w:tc>
        <w:tc>
          <w:tcPr/>
          <w:p>
            <w:pPr>
              <w:pStyle w:val="Compact"/>
              <w:jc w:val="right"/>
            </w:pPr>
            <w:r>
              <w:t xml:space="preserve">2.8%</w:t>
            </w:r>
          </w:p>
        </w:tc>
      </w:tr>
      <w:tr>
        <w:tc>
          <w:tcPr/>
          <w:p>
            <w:pPr>
              <w:pStyle w:val="Compact"/>
              <w:jc w:val="left"/>
            </w:pPr>
            <w:r>
              <w:t xml:space="preserve">UNIVERSIDADE FEDERAL DO OESTE DO PARA</w:t>
            </w:r>
          </w:p>
        </w:tc>
        <w:tc>
          <w:tcPr/>
          <w:p>
            <w:pPr>
              <w:pStyle w:val="Compact"/>
              <w:jc w:val="right"/>
            </w:pPr>
            <w:r>
              <w:t xml:space="preserve">34</w:t>
            </w:r>
          </w:p>
        </w:tc>
        <w:tc>
          <w:tcPr/>
          <w:p>
            <w:pPr>
              <w:pStyle w:val="Compact"/>
              <w:jc w:val="right"/>
            </w:pPr>
            <w:r>
              <w:t xml:space="preserve">0.8%</w:t>
            </w:r>
          </w:p>
        </w:tc>
      </w:tr>
      <w:tr>
        <w:tc>
          <w:tcPr/>
          <w:p>
            <w:pPr>
              <w:pStyle w:val="Compact"/>
              <w:jc w:val="left"/>
            </w:pPr>
            <w:r>
              <w:t xml:space="preserve">CAIXA ECONOMICA FEDERAL</w:t>
            </w:r>
          </w:p>
        </w:tc>
        <w:tc>
          <w:tcPr/>
          <w:p>
            <w:pPr>
              <w:pStyle w:val="Compact"/>
              <w:jc w:val="right"/>
            </w:pPr>
            <w:r>
              <w:t xml:space="preserve">31</w:t>
            </w:r>
          </w:p>
        </w:tc>
        <w:tc>
          <w:tcPr/>
          <w:p>
            <w:pPr>
              <w:pStyle w:val="Compact"/>
              <w:jc w:val="right"/>
            </w:pPr>
            <w:r>
              <w:t xml:space="preserve">0.7%</w:t>
            </w:r>
          </w:p>
        </w:tc>
      </w:tr>
      <w:tr>
        <w:tc>
          <w:tcPr/>
          <w:p>
            <w:pPr>
              <w:pStyle w:val="Compact"/>
              <w:jc w:val="left"/>
            </w:pPr>
            <w:r>
              <w:t xml:space="preserve">DEPARTAMENTO NACIONAL DE PRODUCAO MINERAL DNPM</w:t>
            </w:r>
          </w:p>
        </w:tc>
        <w:tc>
          <w:tcPr/>
          <w:p>
            <w:pPr>
              <w:pStyle w:val="Compact"/>
              <w:jc w:val="right"/>
            </w:pPr>
            <w:r>
              <w:t xml:space="preserve">26</w:t>
            </w:r>
          </w:p>
        </w:tc>
        <w:tc>
          <w:tcPr/>
          <w:p>
            <w:pPr>
              <w:pStyle w:val="Compact"/>
              <w:jc w:val="right"/>
            </w:pPr>
            <w:r>
              <w:t xml:space="preserve">0.6%</w:t>
            </w:r>
          </w:p>
        </w:tc>
      </w:tr>
      <w:tr>
        <w:tc>
          <w:tcPr/>
          <w:p>
            <w:pPr>
              <w:pStyle w:val="Compact"/>
              <w:jc w:val="left"/>
            </w:pPr>
            <w:r>
              <w:t xml:space="preserve">Outros</w:t>
            </w:r>
          </w:p>
        </w:tc>
        <w:tc>
          <w:tcPr/>
          <w:p>
            <w:pPr>
              <w:pStyle w:val="Compact"/>
              <w:jc w:val="right"/>
            </w:pPr>
            <w:r>
              <w:t xml:space="preserve">2318</w:t>
            </w:r>
          </w:p>
        </w:tc>
        <w:tc>
          <w:tcPr/>
          <w:p>
            <w:pPr>
              <w:pStyle w:val="Compact"/>
              <w:jc w:val="right"/>
            </w:pPr>
            <w:r>
              <w:t xml:space="preserve">53.1%</w:t>
            </w:r>
          </w:p>
        </w:tc>
      </w:tr>
    </w:tbl>
    <w:bookmarkEnd w:id="84"/>
    <w:p>
      <w:pPr>
        <w:pStyle w:val="Corpodetexto"/>
      </w:pPr>
      <w:r>
        <w:t xml:space="preserve">A</w:t>
      </w:r>
      <w:r>
        <w:t xml:space="preserve"> </w:t>
      </w:r>
      <w:hyperlink w:anchor="tbl-litigantes-trf1-ativo">
        <w:r>
          <w:rPr>
            <w:rStyle w:val="Hyperlink"/>
          </w:rPr>
          <w:t xml:space="preserve">Tabela 23</w:t>
        </w:r>
      </w:hyperlink>
      <w:r>
        <w:t xml:space="preserve"> </w:t>
      </w:r>
      <w:r>
        <w:t xml:space="preserve">mostra os maiores litigantes no polo ativo. As formas de participação para determinar as partes no polo ativo foram:</w:t>
      </w:r>
      <w:r>
        <w:t xml:space="preserve"> </w:t>
      </w:r>
      <w:r>
        <w:t xml:space="preserve">“</w:t>
      </w:r>
      <w:r>
        <w:t xml:space="preserve">autor</w:t>
      </w:r>
      <w:r>
        <w:t xml:space="preserve">”</w:t>
      </w:r>
      <w:r>
        <w:t xml:space="preserve">,</w:t>
      </w:r>
      <w:r>
        <w:t xml:space="preserve"> </w:t>
      </w:r>
      <w:r>
        <w:t xml:space="preserve">“</w:t>
      </w:r>
      <w:r>
        <w:t xml:space="preserve">requerente</w:t>
      </w:r>
      <w:r>
        <w:t xml:space="preserve">”</w:t>
      </w:r>
      <w:r>
        <w:t xml:space="preserve">,</w:t>
      </w:r>
      <w:r>
        <w:t xml:space="preserve"> </w:t>
      </w:r>
      <w:r>
        <w:t xml:space="preserve">“</w:t>
      </w:r>
      <w:r>
        <w:t xml:space="preserve">exequente</w:t>
      </w:r>
      <w:r>
        <w:t xml:space="preserve">”</w:t>
      </w:r>
      <w:r>
        <w:t xml:space="preserve"> </w:t>
      </w:r>
      <w:r>
        <w:t xml:space="preserve">e</w:t>
      </w:r>
      <w:r>
        <w:t xml:space="preserve"> </w:t>
      </w:r>
      <w:r>
        <w:t xml:space="preserve">“</w:t>
      </w:r>
      <w:r>
        <w:t xml:space="preserve">impetrante</w:t>
      </w:r>
      <w:r>
        <w:t xml:space="preserve">”</w:t>
      </w:r>
      <w:r>
        <w:t xml:space="preserve">. Os nomes passaram por um processo de padronização, mas ainda podem estar com problemas de taxonomia.</w:t>
      </w:r>
    </w:p>
    <w:bookmarkStart w:id="85" w:name="tbl-litigantes-trf1-ativo"/>
    <w:p>
      <w:pPr>
        <w:pStyle w:val="TableCaption"/>
      </w:pPr>
      <w:r>
        <w:t xml:space="preserve">Tabela 23: Lista dos maiores litigantes no polo ativo, no TRF1 (base grande).</w:t>
      </w:r>
    </w:p>
    <w:tbl>
      <w:tblPr>
        <w:tblStyle w:val="Table"/>
        <w:tblW w:type="pct" w:w="5000"/>
        <w:tblLook w:firstRow="1" w:lastRow="0" w:firstColumn="0" w:lastColumn="0" w:noHBand="0" w:noVBand="0" w:val="0020"/>
        <w:jc w:val="start"/>
        <w:tblCaption w:val="Tabela 23: Lista dos maiores litigantes no polo ativo, no TRF1 (base grande)."/>
      </w:tblPr>
      <w:tblGrid>
        <w:gridCol w:w="6692"/>
        <w:gridCol w:w="557"/>
        <w:gridCol w:w="669"/>
      </w:tblGrid>
      <w:tr>
        <w:trPr>
          <w:tblHeader w:val="true"/>
        </w:trPr>
        <w:tc>
          <w:tcPr/>
          <w:p>
            <w:pPr>
              <w:pStyle w:val="Compact"/>
              <w:jc w:val="left"/>
            </w:pPr>
            <w:r>
              <w:t xml:space="preserve">Nome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MINISTERIO PUBLICO FEDERAL</w:t>
            </w:r>
          </w:p>
        </w:tc>
        <w:tc>
          <w:tcPr/>
          <w:p>
            <w:pPr>
              <w:pStyle w:val="Compact"/>
              <w:jc w:val="right"/>
            </w:pPr>
            <w:r>
              <w:t xml:space="preserve">279</w:t>
            </w:r>
          </w:p>
        </w:tc>
        <w:tc>
          <w:tcPr/>
          <w:p>
            <w:pPr>
              <w:pStyle w:val="Compact"/>
              <w:jc w:val="right"/>
            </w:pPr>
            <w:r>
              <w:t xml:space="preserve">8.8%</w:t>
            </w:r>
          </w:p>
        </w:tc>
      </w:tr>
      <w:tr>
        <w:tc>
          <w:tcPr/>
          <w:p>
            <w:pPr>
              <w:pStyle w:val="Compact"/>
              <w:jc w:val="left"/>
            </w:pPr>
            <w:r>
              <w:t xml:space="preserve">IBAMA</w:t>
            </w:r>
          </w:p>
        </w:tc>
        <w:tc>
          <w:tcPr/>
          <w:p>
            <w:pPr>
              <w:pStyle w:val="Compact"/>
              <w:jc w:val="right"/>
            </w:pPr>
            <w:r>
              <w:t xml:space="preserve">169</w:t>
            </w:r>
          </w:p>
        </w:tc>
        <w:tc>
          <w:tcPr/>
          <w:p>
            <w:pPr>
              <w:pStyle w:val="Compact"/>
              <w:jc w:val="right"/>
            </w:pPr>
            <w:r>
              <w:t xml:space="preserve">5.3%</w:t>
            </w:r>
          </w:p>
        </w:tc>
      </w:tr>
      <w:tr>
        <w:tc>
          <w:tcPr/>
          <w:p>
            <w:pPr>
              <w:pStyle w:val="Compact"/>
              <w:jc w:val="left"/>
            </w:pPr>
            <w:r>
              <w:t xml:space="preserve">UNIAO</w:t>
            </w:r>
          </w:p>
        </w:tc>
        <w:tc>
          <w:tcPr/>
          <w:p>
            <w:pPr>
              <w:pStyle w:val="Compact"/>
              <w:jc w:val="right"/>
            </w:pPr>
            <w:r>
              <w:t xml:space="preserve">127</w:t>
            </w:r>
          </w:p>
        </w:tc>
        <w:tc>
          <w:tcPr/>
          <w:p>
            <w:pPr>
              <w:pStyle w:val="Compact"/>
              <w:jc w:val="right"/>
            </w:pPr>
            <w:r>
              <w:t xml:space="preserve">4.0%</w:t>
            </w:r>
          </w:p>
        </w:tc>
      </w:tr>
      <w:tr>
        <w:tc>
          <w:tcPr/>
          <w:p>
            <w:pPr>
              <w:pStyle w:val="Compact"/>
              <w:jc w:val="left"/>
            </w:pPr>
            <w:r>
              <w:t xml:space="preserve">DEPARTAMENTO NACIONAL DE PRODUCAO MINERAL DNPM</w:t>
            </w:r>
          </w:p>
        </w:tc>
        <w:tc>
          <w:tcPr/>
          <w:p>
            <w:pPr>
              <w:pStyle w:val="Compact"/>
              <w:jc w:val="right"/>
            </w:pPr>
            <w:r>
              <w:t xml:space="preserve">78</w:t>
            </w:r>
          </w:p>
        </w:tc>
        <w:tc>
          <w:tcPr/>
          <w:p>
            <w:pPr>
              <w:pStyle w:val="Compact"/>
              <w:jc w:val="right"/>
            </w:pPr>
            <w:r>
              <w:t xml:space="preserve">2.5%</w:t>
            </w:r>
          </w:p>
        </w:tc>
      </w:tr>
      <w:tr>
        <w:tc>
          <w:tcPr/>
          <w:p>
            <w:pPr>
              <w:pStyle w:val="Compact"/>
              <w:jc w:val="left"/>
            </w:pPr>
            <w:r>
              <w:t xml:space="preserve">AGENCIA NACIONAL DE MINERACAO</w:t>
            </w:r>
          </w:p>
        </w:tc>
        <w:tc>
          <w:tcPr/>
          <w:p>
            <w:pPr>
              <w:pStyle w:val="Compact"/>
              <w:jc w:val="right"/>
            </w:pPr>
            <w:r>
              <w:t xml:space="preserve">42</w:t>
            </w:r>
          </w:p>
        </w:tc>
        <w:tc>
          <w:tcPr/>
          <w:p>
            <w:pPr>
              <w:pStyle w:val="Compact"/>
              <w:jc w:val="right"/>
            </w:pPr>
            <w:r>
              <w:t xml:space="preserve">1.3%</w:t>
            </w:r>
          </w:p>
        </w:tc>
      </w:tr>
      <w:tr>
        <w:tc>
          <w:tcPr/>
          <w:p>
            <w:pPr>
              <w:pStyle w:val="Compact"/>
              <w:jc w:val="left"/>
            </w:pPr>
            <w:r>
              <w:t xml:space="preserve">CAIXA ECONOMICA FEDERAL</w:t>
            </w:r>
          </w:p>
        </w:tc>
        <w:tc>
          <w:tcPr/>
          <w:p>
            <w:pPr>
              <w:pStyle w:val="Compact"/>
              <w:jc w:val="right"/>
            </w:pPr>
            <w:r>
              <w:t xml:space="preserve">34</w:t>
            </w:r>
          </w:p>
        </w:tc>
        <w:tc>
          <w:tcPr/>
          <w:p>
            <w:pPr>
              <w:pStyle w:val="Compact"/>
              <w:jc w:val="right"/>
            </w:pPr>
            <w:r>
              <w:t xml:space="preserve">1.1%</w:t>
            </w:r>
          </w:p>
        </w:tc>
      </w:tr>
      <w:tr>
        <w:tc>
          <w:tcPr/>
          <w:p>
            <w:pPr>
              <w:pStyle w:val="Compact"/>
              <w:jc w:val="left"/>
            </w:pPr>
            <w:r>
              <w:t xml:space="preserve">DEPARTAMENTO NACIONAL DE INFRAESTRUTURA DE TRANSPORTES DNIT</w:t>
            </w:r>
          </w:p>
        </w:tc>
        <w:tc>
          <w:tcPr/>
          <w:p>
            <w:pPr>
              <w:pStyle w:val="Compact"/>
              <w:jc w:val="right"/>
            </w:pPr>
            <w:r>
              <w:t xml:space="preserve">27</w:t>
            </w:r>
          </w:p>
        </w:tc>
        <w:tc>
          <w:tcPr/>
          <w:p>
            <w:pPr>
              <w:pStyle w:val="Compact"/>
              <w:jc w:val="right"/>
            </w:pPr>
            <w:r>
              <w:t xml:space="preserve">0.8%</w:t>
            </w:r>
          </w:p>
        </w:tc>
      </w:tr>
      <w:tr>
        <w:tc>
          <w:tcPr/>
          <w:p>
            <w:pPr>
              <w:pStyle w:val="Compact"/>
              <w:jc w:val="left"/>
            </w:pPr>
            <w:r>
              <w:t xml:space="preserve">INCRA</w:t>
            </w:r>
          </w:p>
        </w:tc>
        <w:tc>
          <w:tcPr/>
          <w:p>
            <w:pPr>
              <w:pStyle w:val="Compact"/>
              <w:jc w:val="right"/>
            </w:pPr>
            <w:r>
              <w:t xml:space="preserve">24</w:t>
            </w:r>
          </w:p>
        </w:tc>
        <w:tc>
          <w:tcPr/>
          <w:p>
            <w:pPr>
              <w:pStyle w:val="Compact"/>
              <w:jc w:val="right"/>
            </w:pPr>
            <w:r>
              <w:t xml:space="preserve">0.8%</w:t>
            </w:r>
          </w:p>
        </w:tc>
      </w:tr>
      <w:tr>
        <w:tc>
          <w:tcPr/>
          <w:p>
            <w:pPr>
              <w:pStyle w:val="Compact"/>
              <w:jc w:val="left"/>
            </w:pPr>
            <w:r>
              <w:t xml:space="preserve">Outros</w:t>
            </w:r>
          </w:p>
        </w:tc>
        <w:tc>
          <w:tcPr/>
          <w:p>
            <w:pPr>
              <w:pStyle w:val="Compact"/>
              <w:jc w:val="right"/>
            </w:pPr>
            <w:r>
              <w:t xml:space="preserve">2401</w:t>
            </w:r>
          </w:p>
        </w:tc>
        <w:tc>
          <w:tcPr/>
          <w:p>
            <w:pPr>
              <w:pStyle w:val="Compact"/>
              <w:jc w:val="right"/>
            </w:pPr>
            <w:r>
              <w:t xml:space="preserve">75.5%</w:t>
            </w:r>
          </w:p>
        </w:tc>
      </w:tr>
    </w:tbl>
    <w:bookmarkEnd w:id="85"/>
    <w:bookmarkEnd w:id="86"/>
    <w:bookmarkStart w:id="87" w:name="discussão-1"/>
    <w:p>
      <w:pPr>
        <w:pStyle w:val="Ttulo3"/>
      </w:pPr>
      <w:r>
        <w:t xml:space="preserve">Discussão</w:t>
      </w:r>
    </w:p>
    <w:p>
      <w:pPr>
        <w:pStyle w:val="FirstParagraph"/>
      </w:pPr>
      <w:r>
        <w:t xml:space="preserve">A análise do SireneJud indica que empresas de energia são as mais comuns em processos de crime ambiental na região. Já a análise do DataJud não foi possível. Por fim, a análise do TRF1 mostra majoritariamente a União e órgãos como IBAMA, INCRA e FUNAI no polo passivo.</w:t>
      </w:r>
    </w:p>
    <w:bookmarkEnd w:id="87"/>
    <w:bookmarkEnd w:id="88"/>
    <w:bookmarkStart w:id="90" w:name="questão-5"/>
    <w:p>
      <w:pPr>
        <w:pStyle w:val="Ttulo2"/>
      </w:pPr>
      <w:r>
        <w:t xml:space="preserve">Questão 5</w:t>
      </w:r>
    </w:p>
    <w:p>
      <w:pPr>
        <w:pStyle w:val="FirstParagraph"/>
      </w:pPr>
      <w:r>
        <w:rPr>
          <w:bCs/>
          <w:b/>
        </w:rPr>
        <w:t xml:space="preserve">Questão</w:t>
      </w:r>
      <w:r>
        <w:t xml:space="preserve">: Existem padrões identificáveis nos casos judicializados quanto às circunstâncias, características dos autores, modalidades e tipos de crimes ambientais?</w:t>
      </w:r>
    </w:p>
    <w:bookmarkStart w:id="89" w:name="discussão-2"/>
    <w:p>
      <w:pPr>
        <w:pStyle w:val="Ttulo3"/>
      </w:pPr>
      <w:r>
        <w:t xml:space="preserve">Discussão</w:t>
      </w:r>
    </w:p>
    <w:p>
      <w:pPr>
        <w:pStyle w:val="FirstParagraph"/>
      </w:pPr>
      <w:r>
        <w:t xml:space="preserve">Esta questão foi discutida nas análises das questões 1 e 2.</w:t>
      </w:r>
    </w:p>
    <w:bookmarkEnd w:id="89"/>
    <w:bookmarkEnd w:id="90"/>
    <w:bookmarkStart w:id="92" w:name="questão-8"/>
    <w:p>
      <w:pPr>
        <w:pStyle w:val="Ttulo2"/>
      </w:pPr>
      <w:r>
        <w:t xml:space="preserve">Questão 8</w:t>
      </w:r>
    </w:p>
    <w:p>
      <w:pPr>
        <w:pStyle w:val="FirstParagraph"/>
      </w:pPr>
      <w:r>
        <w:rPr>
          <w:bCs/>
          <w:b/>
        </w:rPr>
        <w:t xml:space="preserve">Questão</w:t>
      </w:r>
      <w:r>
        <w:t xml:space="preserve">: Quais os principais segmentos econômicos ou grupos empresariais que estão envolvidos na cadeia de produção que tenha alguma relação com crime ambiental (indústria de equipamentos pesados, maquinário agrícola, maquinário de mineração, táxi aéreo, bancos e instituições financeiras de fomento agrícola, leasing)?</w:t>
      </w:r>
    </w:p>
    <w:bookmarkStart w:id="91" w:name="discussão-3"/>
    <w:p>
      <w:pPr>
        <w:pStyle w:val="Ttulo3"/>
      </w:pPr>
      <w:r>
        <w:t xml:space="preserve">Discussão</w:t>
      </w:r>
    </w:p>
    <w:p>
      <w:pPr>
        <w:pStyle w:val="FirstParagraph"/>
      </w:pPr>
      <w:r>
        <w:t xml:space="preserve">Esta questão foi discutida na análise da questão 2. A</w:t>
      </w:r>
      <w:r>
        <w:t xml:space="preserve"> </w:t>
      </w:r>
      <w:hyperlink w:anchor="tbl-cnae">
        <w:r>
          <w:rPr>
            <w:rStyle w:val="Hyperlink"/>
          </w:rPr>
          <w:t xml:space="preserve">Tabela 21</w:t>
        </w:r>
      </w:hyperlink>
      <w:r>
        <w:t xml:space="preserve"> </w:t>
      </w:r>
      <w:r>
        <w:t xml:space="preserve">mostra que os tipos empresariais mais comuns no polo passivo são empresas de energia, metalurgia e desdobramento de madeira, além de comércio de ferragens e transporte de carga.</w:t>
      </w:r>
    </w:p>
    <w:bookmarkEnd w:id="91"/>
    <w:bookmarkEnd w:id="92"/>
    <w:bookmarkStart w:id="105" w:name="questão-12"/>
    <w:p>
      <w:pPr>
        <w:pStyle w:val="Ttulo2"/>
      </w:pPr>
      <w:r>
        <w:t xml:space="preserve">Questão 12</w:t>
      </w:r>
    </w:p>
    <w:p>
      <w:pPr>
        <w:pStyle w:val="FirstParagraph"/>
      </w:pPr>
      <w:r>
        <w:rPr>
          <w:bCs/>
          <w:b/>
        </w:rPr>
        <w:t xml:space="preserve">Questão</w:t>
      </w:r>
      <w:r>
        <w:t xml:space="preserve">: Há correlação entre a incidência de crimes contra a vida ou ameaça em regiões de alta ocorrência de desmatamento, ou mineração ilegal ou crimes ambientais em geral?</w:t>
      </w:r>
    </w:p>
    <w:p>
      <w:pPr>
        <w:pStyle w:val="Corpodetexto"/>
      </w:pPr>
      <w:r>
        <w:t xml:space="preserve">Uma possibilidade de análise é comparar índices de homicídios pela população do município com a litigiosidade do município. Para isso, vamos utilizar dados do Sistema Nacional de Informações de Segurança Pública, Prisionais, de Rastreabilidade de Armas e Munições, de Material Genético, de Digitais e de Drogas (SINESP).</w:t>
      </w:r>
    </w:p>
    <w:p>
      <w:pPr>
        <w:pStyle w:val="Corpodetexto"/>
      </w:pPr>
      <w:r>
        <w:t xml:space="preserve">O SINESP por município mostra somente as informações de homicídios dolosos. Ou seja, a base não envolve casos de ameaça. Consideramos o ano de 2021 como referência, que é o ano mais recente com informações completas. A taxa de criminalidade do município foi calculada fazendo-se a razão do número de vítimas por habitante, utilizando os dados de população do Censo de 2010.</w:t>
      </w:r>
    </w:p>
    <w:bookmarkStart w:id="97" w:name="sirenejud-3"/>
    <w:p>
      <w:pPr>
        <w:pStyle w:val="Ttulo3"/>
      </w:pPr>
      <w:r>
        <w:t xml:space="preserve">SireneJud</w:t>
      </w:r>
    </w:p>
    <w:p>
      <w:pPr>
        <w:pStyle w:val="FirstParagraph"/>
      </w:pPr>
      <w:r>
        <w:t xml:space="preserve">A</w:t>
      </w:r>
      <w:r>
        <w:t xml:space="preserve"> </w:t>
      </w:r>
      <w:hyperlink w:anchor="fig-dispersao-crim-sirenejud">
        <w:r>
          <w:rPr>
            <w:rStyle w:val="Hyperlink"/>
          </w:rPr>
          <w:t xml:space="preserve">Figura 7</w:t>
        </w:r>
      </w:hyperlink>
      <w:r>
        <w:t xml:space="preserve"> </w:t>
      </w:r>
      <w:r>
        <w:t xml:space="preserve">mostra um gráfico de dispersão da taxa de criminalidade comparada com a litigiosidade dos municípios, considerando a base do SireneJud como fonte. Aparentemente, não existe uma relação clara entre as duas quantidades.</w:t>
      </w:r>
    </w:p>
    <w:tbl>
      <w:tblPr>
        <w:tblStyle w:val="Table"/>
        <w:tblW w:type="pct" w:w="5000"/>
        <w:tblLook w:firstRow="0" w:lastRow="0" w:firstColumn="0" w:lastColumn="0" w:noHBand="0" w:noVBand="0" w:val="0000"/>
        <w:jc w:val="start"/>
      </w:tblPr>
      <w:tblGrid>
        <w:gridCol w:w="7920"/>
      </w:tblGrid>
      <w:tr>
        <w:tc>
          <w:tcPr/>
          <w:bookmarkStart w:id="96" w:name="fig-dispersao-crim-sirenejud"/>
          <w:p>
            <w:pPr>
              <w:jc w:val="center"/>
            </w:pPr>
            <w:r>
              <w:drawing>
                <wp:inline>
                  <wp:extent cx="4620126" cy="3696101"/>
                  <wp:effectExtent b="0" l="0" r="0" t="0"/>
                  <wp:docPr descr="" title="" id="94" name="Picture"/>
                  <a:graphic>
                    <a:graphicData uri="http://schemas.openxmlformats.org/drawingml/2006/picture">
                      <pic:pic>
                        <pic:nvPicPr>
                          <pic:cNvPr descr="2-descritiva_files/figure-docx/fig-dispersao-crim-sirenejud-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7: Gráfico de dispersão da taxa de homicídios e litigiosidade.</w:t>
            </w:r>
          </w:p>
          <w:bookmarkEnd w:id="96"/>
        </w:tc>
      </w:tr>
    </w:tbl>
    <w:bookmarkEnd w:id="97"/>
    <w:bookmarkStart w:id="102" w:name="datajud-3"/>
    <w:p>
      <w:pPr>
        <w:pStyle w:val="Ttulo3"/>
      </w:pPr>
      <w:r>
        <w:t xml:space="preserve">DataJud</w:t>
      </w:r>
    </w:p>
    <w:p>
      <w:pPr>
        <w:pStyle w:val="FirstParagraph"/>
      </w:pPr>
      <w:r>
        <w:t xml:space="preserve">A</w:t>
      </w:r>
      <w:r>
        <w:t xml:space="preserve"> </w:t>
      </w:r>
      <w:hyperlink w:anchor="fig-dispersao-crim-datajud">
        <w:r>
          <w:rPr>
            <w:rStyle w:val="Hyperlink"/>
          </w:rPr>
          <w:t xml:space="preserve">Figura 8</w:t>
        </w:r>
      </w:hyperlink>
      <w:r>
        <w:t xml:space="preserve"> </w:t>
      </w:r>
      <w:r>
        <w:t xml:space="preserve">mostra um gráfico de dispersão da taxa de criminalidade comparada com a litigiosidade dos municípios, considerando a base do DataJud como fonte. Aparentemente, também não existe uma relação clara entre as duas quantidades.</w:t>
      </w:r>
    </w:p>
    <w:tbl>
      <w:tblPr>
        <w:tblStyle w:val="Table"/>
        <w:tblW w:type="pct" w:w="5000"/>
        <w:tblLook w:firstRow="0" w:lastRow="0" w:firstColumn="0" w:lastColumn="0" w:noHBand="0" w:noVBand="0" w:val="0000"/>
        <w:jc w:val="start"/>
      </w:tblPr>
      <w:tblGrid>
        <w:gridCol w:w="7920"/>
      </w:tblGrid>
      <w:tr>
        <w:tc>
          <w:tcPr/>
          <w:bookmarkStart w:id="101" w:name="fig-dispersao-crim-datajud"/>
          <w:p>
            <w:pPr>
              <w:jc w:val="center"/>
            </w:pPr>
            <w:r>
              <w:drawing>
                <wp:inline>
                  <wp:extent cx="4620126" cy="3696101"/>
                  <wp:effectExtent b="0" l="0" r="0" t="0"/>
                  <wp:docPr descr="" title="" id="99" name="Picture"/>
                  <a:graphic>
                    <a:graphicData uri="http://schemas.openxmlformats.org/drawingml/2006/picture">
                      <pic:pic>
                        <pic:nvPicPr>
                          <pic:cNvPr descr="2-descritiva_files/figure-docx/fig-dispersao-crim-datajud-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8: Gráfico de dispersão da taxa de homicídios e litigiosidade.</w:t>
            </w:r>
          </w:p>
          <w:bookmarkEnd w:id="101"/>
        </w:tc>
      </w:tr>
    </w:tbl>
    <w:bookmarkEnd w:id="102"/>
    <w:bookmarkStart w:id="103" w:name="trf1-3"/>
    <w:p>
      <w:pPr>
        <w:pStyle w:val="Ttulo3"/>
      </w:pPr>
      <w:r>
        <w:t xml:space="preserve">TRF1</w:t>
      </w:r>
    </w:p>
    <w:p>
      <w:pPr>
        <w:pStyle w:val="FirstParagraph"/>
      </w:pPr>
      <w:r>
        <w:t xml:space="preserve">O TRF1 não possui informações de município. Seria possível realizar uma análise a partir dos últimos quatro dígitos dos números dos processos, mas seria uma análise muito limitada. Como as outras bases já não mostraram indícios de relação, decidimos por não realizar essa análise.</w:t>
      </w:r>
    </w:p>
    <w:bookmarkEnd w:id="103"/>
    <w:bookmarkStart w:id="104" w:name="discussão-4"/>
    <w:p>
      <w:pPr>
        <w:pStyle w:val="Ttulo3"/>
      </w:pPr>
      <w:r>
        <w:t xml:space="preserve">Discussão</w:t>
      </w:r>
    </w:p>
    <w:p>
      <w:pPr>
        <w:pStyle w:val="FirstParagraph"/>
      </w:pPr>
      <w:r>
        <w:t xml:space="preserve">Nas análises realizadas, não foi identificada uma relação entre índice de homicídios e litigiosidade.</w:t>
      </w:r>
    </w:p>
    <w:bookmarkEnd w:id="104"/>
    <w:bookmarkEnd w:id="105"/>
    <w:bookmarkStart w:id="160" w:name="questão-14"/>
    <w:p>
      <w:pPr>
        <w:pStyle w:val="Ttulo2"/>
      </w:pPr>
      <w:r>
        <w:t xml:space="preserve">Questão 14</w:t>
      </w:r>
    </w:p>
    <w:p>
      <w:pPr>
        <w:pStyle w:val="FirstParagraph"/>
      </w:pPr>
      <w:r>
        <w:rPr>
          <w:bCs/>
          <w:b/>
        </w:rPr>
        <w:t xml:space="preserve">Questão</w:t>
      </w:r>
      <w:r>
        <w:t xml:space="preserve">: Qual o tempo de duração médio das ações criminais que envolvam a temática ambiental?</w:t>
      </w:r>
    </w:p>
    <w:p>
      <w:pPr>
        <w:pStyle w:val="Corpodetexto"/>
      </w:pPr>
      <w:r>
        <w:t xml:space="preserve">Como temos processos em andamento, a forma adequada de analisar os tempos é utilizando análise de sobrevivência</w:t>
      </w:r>
      <w:r>
        <w:t xml:space="preserve"> </w:t>
      </w:r>
      <w:r>
        <w:t xml:space="preserve">(Colosimo e Giolo 2006)</w:t>
      </w:r>
      <w:r>
        <w:t xml:space="preserve">. Faremos isso utilizando gráficos descritivos de Kaplan-Meier.</w:t>
      </w:r>
    </w:p>
    <w:p>
      <w:pPr>
        <w:pStyle w:val="Corpodetexto"/>
      </w:pPr>
      <w:r>
        <w:t xml:space="preserve">Ao longo da pesquisa qualitativa, foi identificada a necessidade de analisar a proporção de processos que apresentaram prescrição. Por isso, além das análises de tempos, adicionamos análises sobre a proporção de processos que prescreveram nas bases de dados onde essa informação foi encontrada.</w:t>
      </w:r>
    </w:p>
    <w:bookmarkStart w:id="129" w:name="sirenejud-4"/>
    <w:p>
      <w:pPr>
        <w:pStyle w:val="Ttulo3"/>
      </w:pPr>
      <w:r>
        <w:t xml:space="preserve">SireneJud</w:t>
      </w:r>
    </w:p>
    <w:p>
      <w:pPr>
        <w:pStyle w:val="FirstParagraph"/>
      </w:pPr>
      <w:r>
        <w:t xml:space="preserve">O resultado geral é mostrado na</w:t>
      </w:r>
      <w:r>
        <w:t xml:space="preserve"> </w:t>
      </w:r>
      <w:hyperlink w:anchor="fig-km">
        <w:r>
          <w:rPr>
            <w:rStyle w:val="Hyperlink"/>
          </w:rPr>
          <w:t xml:space="preserve">Figura 9</w:t>
        </w:r>
      </w:hyperlink>
      <w:r>
        <w:t xml:space="preserve">. Foram retirados tempos maiores de 10 mil dias e tempos menores que zero. A mediana é de aproximadamente 81 meses, ou seja, quase 7 anos.</w:t>
      </w:r>
    </w:p>
    <w:tbl>
      <w:tblPr>
        <w:tblStyle w:val="Table"/>
        <w:tblW w:type="pct" w:w="5000"/>
        <w:tblLook w:firstRow="0" w:lastRow="0" w:firstColumn="0" w:lastColumn="0" w:noHBand="0" w:noVBand="0" w:val="0000"/>
        <w:jc w:val="start"/>
      </w:tblPr>
      <w:tblGrid>
        <w:gridCol w:w="7920"/>
      </w:tblGrid>
      <w:tr>
        <w:tc>
          <w:tcPr/>
          <w:bookmarkStart w:id="109" w:name="fig-km"/>
          <w:p>
            <w:pPr>
              <w:jc w:val="center"/>
            </w:pPr>
            <w:r>
              <w:drawing>
                <wp:inline>
                  <wp:extent cx="4620126" cy="3696101"/>
                  <wp:effectExtent b="0" l="0" r="0" t="0"/>
                  <wp:docPr descr="" title="" id="107" name="Picture"/>
                  <a:graphic>
                    <a:graphicData uri="http://schemas.openxmlformats.org/drawingml/2006/picture">
                      <pic:pic>
                        <pic:nvPicPr>
                          <pic:cNvPr descr="2-descritiva_files/figure-docx/fig-km-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9: Curva de sobrevivência dos tempos de tramitação dos processos</w:t>
            </w:r>
          </w:p>
          <w:bookmarkEnd w:id="109"/>
        </w:tc>
      </w:tr>
    </w:tbl>
    <w:p>
      <w:pPr>
        <w:pStyle w:val="Corpodetexto"/>
      </w:pPr>
      <w:r>
        <w:t xml:space="preserve">A</w:t>
      </w:r>
      <w:r>
        <w:t xml:space="preserve"> </w:t>
      </w:r>
      <w:hyperlink w:anchor="fig-km-assunto">
        <w:r>
          <w:rPr>
            <w:rStyle w:val="Hyperlink"/>
          </w:rPr>
          <w:t xml:space="preserve">Figura 10</w:t>
        </w:r>
      </w:hyperlink>
      <w:r>
        <w:t xml:space="preserve"> </w:t>
      </w:r>
      <w:r>
        <w:t xml:space="preserve">mostra a distribuição dos tempos por assunto, considerando os cinco assuntos com maior volume de processos. As curvas são parecidas em forma e apresentam medianas similares.</w:t>
      </w:r>
    </w:p>
    <w:tbl>
      <w:tblPr>
        <w:tblStyle w:val="Table"/>
        <w:tblW w:type="pct" w:w="5000"/>
        <w:tblLook w:firstRow="0" w:lastRow="0" w:firstColumn="0" w:lastColumn="0" w:noHBand="0" w:noVBand="0" w:val="0000"/>
        <w:jc w:val="start"/>
      </w:tblPr>
      <w:tblGrid>
        <w:gridCol w:w="7920"/>
      </w:tblGrid>
      <w:tr>
        <w:tc>
          <w:tcPr/>
          <w:bookmarkStart w:id="113" w:name="fig-km-assunto"/>
          <w:p>
            <w:pPr>
              <w:jc w:val="center"/>
            </w:pPr>
            <w:r>
              <w:drawing>
                <wp:inline>
                  <wp:extent cx="5969000" cy="3979333"/>
                  <wp:effectExtent b="0" l="0" r="0" t="0"/>
                  <wp:docPr descr="" title="" id="111" name="Picture"/>
                  <a:graphic>
                    <a:graphicData uri="http://schemas.openxmlformats.org/drawingml/2006/picture">
                      <pic:pic>
                        <pic:nvPicPr>
                          <pic:cNvPr descr="2-descritiva_files/figure-docx/fig-km-assunto-1.png" id="112" name="Picture"/>
                          <pic:cNvPicPr>
                            <a:picLocks noChangeArrowheads="1" noChangeAspect="1"/>
                          </pic:cNvPicPr>
                        </pic:nvPicPr>
                        <pic:blipFill>
                          <a:blip r:embed="rId110"/>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10: Curva de sobrevivência dos tempos de tramitação dos processos, por assunto</w:t>
            </w:r>
          </w:p>
          <w:bookmarkEnd w:id="113"/>
        </w:tc>
      </w:tr>
    </w:tbl>
    <w:p>
      <w:pPr>
        <w:pStyle w:val="Corpodetexto"/>
      </w:pPr>
      <w:r>
        <w:t xml:space="preserve">A</w:t>
      </w:r>
      <w:r>
        <w:t xml:space="preserve"> </w:t>
      </w:r>
      <w:hyperlink w:anchor="fig-km-classe">
        <w:r>
          <w:rPr>
            <w:rStyle w:val="Hyperlink"/>
          </w:rPr>
          <w:t xml:space="preserve">Figura 11</w:t>
        </w:r>
      </w:hyperlink>
      <w:r>
        <w:t xml:space="preserve"> </w:t>
      </w:r>
      <w:r>
        <w:t xml:space="preserve">mostra os tempos por classe processual. A classe com maior tempo mediano é a execução fiscal, com 189 meses, enquanto a classe com menor tempo mediano é o procedimento comum cível, com 26 meses de duração.</w:t>
      </w:r>
    </w:p>
    <w:tbl>
      <w:tblPr>
        <w:tblStyle w:val="Table"/>
        <w:tblW w:type="pct" w:w="5000"/>
        <w:tblLook w:firstRow="0" w:lastRow="0" w:firstColumn="0" w:lastColumn="0" w:noHBand="0" w:noVBand="0" w:val="0000"/>
        <w:jc w:val="start"/>
      </w:tblPr>
      <w:tblGrid>
        <w:gridCol w:w="7920"/>
      </w:tblGrid>
      <w:tr>
        <w:tc>
          <w:tcPr/>
          <w:bookmarkStart w:id="117" w:name="fig-km-classe"/>
          <w:p>
            <w:pPr>
              <w:jc w:val="center"/>
            </w:pPr>
            <w:r>
              <w:drawing>
                <wp:inline>
                  <wp:extent cx="5969000" cy="3979333"/>
                  <wp:effectExtent b="0" l="0" r="0" t="0"/>
                  <wp:docPr descr="" title="" id="115" name="Picture"/>
                  <a:graphic>
                    <a:graphicData uri="http://schemas.openxmlformats.org/drawingml/2006/picture">
                      <pic:pic>
                        <pic:nvPicPr>
                          <pic:cNvPr descr="2-descritiva_files/figure-docx/fig-km-classe-1.png" id="116" name="Picture"/>
                          <pic:cNvPicPr>
                            <a:picLocks noChangeArrowheads="1" noChangeAspect="1"/>
                          </pic:cNvPicPr>
                        </pic:nvPicPr>
                        <pic:blipFill>
                          <a:blip r:embed="rId114"/>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11: Curva de sobrevivência dos tempos de tramitação dos processos, por classe</w:t>
            </w:r>
          </w:p>
          <w:bookmarkEnd w:id="117"/>
        </w:tc>
      </w:tr>
    </w:tbl>
    <w:p>
      <w:pPr>
        <w:pStyle w:val="Corpodetexto"/>
      </w:pPr>
      <w:r>
        <w:t xml:space="preserve">A</w:t>
      </w:r>
      <w:r>
        <w:t xml:space="preserve"> </w:t>
      </w:r>
      <w:hyperlink w:anchor="fig-km-tribunal">
        <w:r>
          <w:rPr>
            <w:rStyle w:val="Hyperlink"/>
          </w:rPr>
          <w:t xml:space="preserve">Figura 12</w:t>
        </w:r>
      </w:hyperlink>
      <w:r>
        <w:t xml:space="preserve"> </w:t>
      </w:r>
      <w:r>
        <w:t xml:space="preserve">mostra os tempos por tribunal. Por serem 10 categorias, é um pouco difícil de visualizar todas as curvas. O tribunal com mnor mediana de tempo é o TJRO, com mediana de 43 meses, enquanto o tribunal com maior tempo é o TJMT, com mediana de 100 meses.</w:t>
      </w:r>
    </w:p>
    <w:tbl>
      <w:tblPr>
        <w:tblStyle w:val="Table"/>
        <w:tblW w:type="pct" w:w="5000"/>
        <w:tblLook w:firstRow="0" w:lastRow="0" w:firstColumn="0" w:lastColumn="0" w:noHBand="0" w:noVBand="0" w:val="0000"/>
        <w:jc w:val="start"/>
      </w:tblPr>
      <w:tblGrid>
        <w:gridCol w:w="7920"/>
      </w:tblGrid>
      <w:tr>
        <w:tc>
          <w:tcPr/>
          <w:bookmarkStart w:id="121" w:name="fig-km-tribunal"/>
          <w:p>
            <w:pPr>
              <w:jc w:val="center"/>
            </w:pPr>
            <w:r>
              <w:drawing>
                <wp:inline>
                  <wp:extent cx="5969000" cy="3979333"/>
                  <wp:effectExtent b="0" l="0" r="0" t="0"/>
                  <wp:docPr descr="" title="" id="119" name="Picture"/>
                  <a:graphic>
                    <a:graphicData uri="http://schemas.openxmlformats.org/drawingml/2006/picture">
                      <pic:pic>
                        <pic:nvPicPr>
                          <pic:cNvPr descr="2-descritiva_files/figure-docx/fig-km-tribunal-1.png" id="120" name="Picture"/>
                          <pic:cNvPicPr>
                            <a:picLocks noChangeArrowheads="1" noChangeAspect="1"/>
                          </pic:cNvPicPr>
                        </pic:nvPicPr>
                        <pic:blipFill>
                          <a:blip r:embed="rId118"/>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12: Curva de sobrevivência dos tempos de tramitação dos processos, por tribunal</w:t>
            </w:r>
          </w:p>
          <w:bookmarkEnd w:id="121"/>
        </w:tc>
      </w:tr>
    </w:tbl>
    <w:p>
      <w:pPr>
        <w:pStyle w:val="Corpodetexto"/>
      </w:pPr>
      <w:r>
        <w:t xml:space="preserve">A</w:t>
      </w:r>
      <w:r>
        <w:t xml:space="preserve"> </w:t>
      </w:r>
      <w:hyperlink w:anchor="fig-km-municipio">
        <w:r>
          <w:rPr>
            <w:rStyle w:val="Hyperlink"/>
          </w:rPr>
          <w:t xml:space="preserve">Figura 13</w:t>
        </w:r>
      </w:hyperlink>
      <w:r>
        <w:t xml:space="preserve"> </w:t>
      </w:r>
      <w:r>
        <w:t xml:space="preserve">mostra os tempos por município. O município com maior tempo mediano é Altamira, com 130 meses, enquanto o município com menor tempo mediano é Barcarena, com 24 meses de duração.</w:t>
      </w:r>
    </w:p>
    <w:tbl>
      <w:tblPr>
        <w:tblStyle w:val="Table"/>
        <w:tblW w:type="pct" w:w="5000"/>
        <w:tblLook w:firstRow="0" w:lastRow="0" w:firstColumn="0" w:lastColumn="0" w:noHBand="0" w:noVBand="0" w:val="0000"/>
        <w:jc w:val="start"/>
      </w:tblPr>
      <w:tblGrid>
        <w:gridCol w:w="7920"/>
      </w:tblGrid>
      <w:tr>
        <w:tc>
          <w:tcPr/>
          <w:bookmarkStart w:id="125" w:name="fig-km-municipio"/>
          <w:p>
            <w:pPr>
              <w:jc w:val="center"/>
            </w:pPr>
            <w:r>
              <w:drawing>
                <wp:inline>
                  <wp:extent cx="5969000" cy="3979333"/>
                  <wp:effectExtent b="0" l="0" r="0" t="0"/>
                  <wp:docPr descr="" title="" id="123" name="Picture"/>
                  <a:graphic>
                    <a:graphicData uri="http://schemas.openxmlformats.org/drawingml/2006/picture">
                      <pic:pic>
                        <pic:nvPicPr>
                          <pic:cNvPr descr="2-descritiva_files/figure-docx/fig-km-municipio-1.png" id="124" name="Picture"/>
                          <pic:cNvPicPr>
                            <a:picLocks noChangeArrowheads="1" noChangeAspect="1"/>
                          </pic:cNvPicPr>
                        </pic:nvPicPr>
                        <pic:blipFill>
                          <a:blip r:embed="rId122"/>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13: Curva de sobrevivência dos tempos de tramitação dos processos, por município</w:t>
            </w:r>
          </w:p>
          <w:bookmarkEnd w:id="125"/>
        </w:tc>
      </w:tr>
    </w:tbl>
    <w:p>
      <w:pPr>
        <w:pStyle w:val="Corpodetexto"/>
      </w:pPr>
      <w:r>
        <w:t xml:space="preserve">A</w:t>
      </w:r>
      <w:r>
        <w:t xml:space="preserve"> </w:t>
      </w:r>
      <w:hyperlink w:anchor="tbl-prescricao-sirenejud">
        <w:r>
          <w:rPr>
            <w:rStyle w:val="Hyperlink"/>
          </w:rPr>
          <w:t xml:space="preserve">Tabela 24</w:t>
        </w:r>
      </w:hyperlink>
      <w:r>
        <w:t xml:space="preserve"> </w:t>
      </w:r>
      <w:r>
        <w:t xml:space="preserve">mostra a proporção de casos na base que apresentaram prescrição. Na base do Sirenejud, foi identificada uma proporção geral de 8% de prescrição.</w:t>
      </w:r>
    </w:p>
    <w:bookmarkStart w:id="126" w:name="tbl-prescricao-sirenejud"/>
    <w:p>
      <w:pPr>
        <w:pStyle w:val="TableCaption"/>
      </w:pPr>
      <w:r>
        <w:t xml:space="preserve">Tabela 24: Proporção de processos com prescrição</w:t>
      </w:r>
    </w:p>
    <w:tbl>
      <w:tblPr>
        <w:tblStyle w:val="Table"/>
        <w:tblW w:type="auto" w:w="0"/>
        <w:tblLook w:firstRow="1" w:lastRow="0" w:firstColumn="0" w:lastColumn="0" w:noHBand="0" w:noVBand="0" w:val="0020"/>
        <w:jc w:val="start"/>
        <w:tblCaption w:val="Tabela 24: Proporção de processos com prescrição"/>
      </w:tblPr>
      <w:tblGrid>
        <w:gridCol w:w="2640"/>
        <w:gridCol w:w="2640"/>
        <w:gridCol w:w="2640"/>
      </w:tblGrid>
      <w:tr>
        <w:trPr>
          <w:tblHeader w:val="true"/>
        </w:trPr>
        <w:tc>
          <w:tcPr/>
          <w:p>
            <w:pPr>
              <w:pStyle w:val="Compact"/>
              <w:jc w:val="left"/>
            </w:pPr>
            <w:r>
              <w:t xml:space="preserve">Nome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Não</w:t>
            </w:r>
          </w:p>
        </w:tc>
        <w:tc>
          <w:tcPr/>
          <w:p>
            <w:pPr>
              <w:pStyle w:val="Compact"/>
              <w:jc w:val="right"/>
            </w:pPr>
            <w:r>
              <w:t xml:space="preserve">46681</w:t>
            </w:r>
          </w:p>
        </w:tc>
        <w:tc>
          <w:tcPr/>
          <w:p>
            <w:pPr>
              <w:pStyle w:val="Compact"/>
              <w:jc w:val="right"/>
            </w:pPr>
            <w:r>
              <w:t xml:space="preserve">92.1%</w:t>
            </w:r>
          </w:p>
        </w:tc>
      </w:tr>
      <w:tr>
        <w:tc>
          <w:tcPr/>
          <w:p>
            <w:pPr>
              <w:pStyle w:val="Compact"/>
              <w:jc w:val="left"/>
            </w:pPr>
            <w:r>
              <w:t xml:space="preserve">Sim</w:t>
            </w:r>
          </w:p>
        </w:tc>
        <w:tc>
          <w:tcPr/>
          <w:p>
            <w:pPr>
              <w:pStyle w:val="Compact"/>
              <w:jc w:val="right"/>
            </w:pPr>
            <w:r>
              <w:t xml:space="preserve">4003</w:t>
            </w:r>
          </w:p>
        </w:tc>
        <w:tc>
          <w:tcPr/>
          <w:p>
            <w:pPr>
              <w:pStyle w:val="Compact"/>
              <w:jc w:val="right"/>
            </w:pPr>
            <w:r>
              <w:t xml:space="preserve">7.9%</w:t>
            </w:r>
          </w:p>
        </w:tc>
      </w:tr>
    </w:tbl>
    <w:bookmarkEnd w:id="126"/>
    <w:p>
      <w:pPr>
        <w:pStyle w:val="Corpodetexto"/>
      </w:pPr>
      <w:r>
        <w:t xml:space="preserve">A</w:t>
      </w:r>
      <w:r>
        <w:t xml:space="preserve"> </w:t>
      </w:r>
      <w:hyperlink w:anchor="tbl-prescricao-sirenejud-assunto">
        <w:r>
          <w:rPr>
            <w:rStyle w:val="Hyperlink"/>
          </w:rPr>
          <w:t xml:space="preserve">Tabela 25</w:t>
        </w:r>
      </w:hyperlink>
      <w:r>
        <w:t xml:space="preserve"> </w:t>
      </w:r>
      <w:r>
        <w:t xml:space="preserve">mostra a proporção prescrição por assunto. Os assuntos com maior proporção de prescrição são os relacionados a crimes contra o meio ambiente e crimes contra a flora, com quase um quinto dos casos envolvendo prescrição. Já os casos relacionados à dano ambiental e revogação/anulação de multa ambiental apresentam proporção de prescrição abaixo de 1%.</w:t>
      </w:r>
    </w:p>
    <w:bookmarkStart w:id="127" w:name="tbl-prescricao-sirenejud-assunto"/>
    <w:p>
      <w:pPr>
        <w:pStyle w:val="TableCaption"/>
      </w:pPr>
      <w:r>
        <w:t xml:space="preserve">Tabela 25: Proporção de processos com prescrição por assunto</w:t>
      </w:r>
    </w:p>
    <w:tbl>
      <w:tblPr>
        <w:tblStyle w:val="Table"/>
        <w:tblW w:type="pct" w:w="5000"/>
        <w:tblLook w:firstRow="1" w:lastRow="0" w:firstColumn="0" w:lastColumn="0" w:noHBand="0" w:noVBand="0" w:val="0020"/>
        <w:jc w:val="start"/>
        <w:tblCaption w:val="Tabela 25: Proporção de processos com prescrição por assunto"/>
      </w:tblPr>
      <w:tblGrid>
        <w:gridCol w:w="5858"/>
        <w:gridCol w:w="650"/>
        <w:gridCol w:w="141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 Prescricao</w:t>
            </w:r>
          </w:p>
        </w:tc>
      </w:tr>
      <w:tr>
        <w:tc>
          <w:tcPr/>
          <w:p>
            <w:pPr>
              <w:pStyle w:val="Compact"/>
              <w:jc w:val="left"/>
            </w:pPr>
            <w:r>
              <w:t xml:space="preserve">Crimes contra o Meio Ambiente e o Patrimônio Genético</w:t>
            </w:r>
          </w:p>
        </w:tc>
        <w:tc>
          <w:tcPr/>
          <w:p>
            <w:pPr>
              <w:pStyle w:val="Compact"/>
              <w:jc w:val="right"/>
            </w:pPr>
            <w:r>
              <w:t xml:space="preserve">5216</w:t>
            </w:r>
          </w:p>
        </w:tc>
        <w:tc>
          <w:tcPr/>
          <w:p>
            <w:pPr>
              <w:pStyle w:val="Compact"/>
              <w:jc w:val="right"/>
            </w:pPr>
            <w:r>
              <w:t xml:space="preserve">19.7%</w:t>
            </w:r>
          </w:p>
        </w:tc>
      </w:tr>
      <w:tr>
        <w:tc>
          <w:tcPr/>
          <w:p>
            <w:pPr>
              <w:pStyle w:val="Compact"/>
              <w:jc w:val="left"/>
            </w:pPr>
            <w:r>
              <w:t xml:space="preserve">Crimes contra a Flora</w:t>
            </w:r>
          </w:p>
        </w:tc>
        <w:tc>
          <w:tcPr/>
          <w:p>
            <w:pPr>
              <w:pStyle w:val="Compact"/>
              <w:jc w:val="right"/>
            </w:pPr>
            <w:r>
              <w:t xml:space="preserve">7793</w:t>
            </w:r>
          </w:p>
        </w:tc>
        <w:tc>
          <w:tcPr/>
          <w:p>
            <w:pPr>
              <w:pStyle w:val="Compact"/>
              <w:jc w:val="right"/>
            </w:pPr>
            <w:r>
              <w:t xml:space="preserve">18.6%</w:t>
            </w:r>
          </w:p>
        </w:tc>
      </w:tr>
      <w:tr>
        <w:tc>
          <w:tcPr/>
          <w:p>
            <w:pPr>
              <w:pStyle w:val="Compact"/>
              <w:jc w:val="left"/>
            </w:pPr>
            <w:r>
              <w:t xml:space="preserve">Da Poluição</w:t>
            </w:r>
          </w:p>
        </w:tc>
        <w:tc>
          <w:tcPr/>
          <w:p>
            <w:pPr>
              <w:pStyle w:val="Compact"/>
              <w:jc w:val="right"/>
            </w:pPr>
            <w:r>
              <w:t xml:space="preserve">3086</w:t>
            </w:r>
          </w:p>
        </w:tc>
        <w:tc>
          <w:tcPr/>
          <w:p>
            <w:pPr>
              <w:pStyle w:val="Compact"/>
              <w:jc w:val="right"/>
            </w:pPr>
            <w:r>
              <w:t xml:space="preserve">13.7%</w:t>
            </w:r>
          </w:p>
        </w:tc>
      </w:tr>
      <w:tr>
        <w:tc>
          <w:tcPr/>
          <w:p>
            <w:pPr>
              <w:pStyle w:val="Compact"/>
              <w:jc w:val="left"/>
            </w:pPr>
            <w:r>
              <w:t xml:space="preserve">Outros</w:t>
            </w:r>
          </w:p>
        </w:tc>
        <w:tc>
          <w:tcPr/>
          <w:p>
            <w:pPr>
              <w:pStyle w:val="Compact"/>
              <w:jc w:val="right"/>
            </w:pPr>
            <w:r>
              <w:t xml:space="preserve">16890</w:t>
            </w:r>
          </w:p>
        </w:tc>
        <w:tc>
          <w:tcPr/>
          <w:p>
            <w:pPr>
              <w:pStyle w:val="Compact"/>
              <w:jc w:val="right"/>
            </w:pPr>
            <w:r>
              <w:t xml:space="preserve">6.0%</w:t>
            </w:r>
          </w:p>
        </w:tc>
      </w:tr>
      <w:tr>
        <w:tc>
          <w:tcPr/>
          <w:p>
            <w:pPr>
              <w:pStyle w:val="Compact"/>
              <w:jc w:val="left"/>
            </w:pPr>
            <w:r>
              <w:t xml:space="preserve">Dano Ambiental</w:t>
            </w:r>
          </w:p>
        </w:tc>
        <w:tc>
          <w:tcPr/>
          <w:p>
            <w:pPr>
              <w:pStyle w:val="Compact"/>
              <w:jc w:val="right"/>
            </w:pPr>
            <w:r>
              <w:t xml:space="preserve">13594</w:t>
            </w:r>
          </w:p>
        </w:tc>
        <w:tc>
          <w:tcPr/>
          <w:p>
            <w:pPr>
              <w:pStyle w:val="Compact"/>
              <w:jc w:val="right"/>
            </w:pPr>
            <w:r>
              <w:t xml:space="preserve">0.6%</w:t>
            </w:r>
          </w:p>
        </w:tc>
      </w:tr>
      <w:tr>
        <w:tc>
          <w:tcPr/>
          <w:p>
            <w:pPr>
              <w:pStyle w:val="Compact"/>
              <w:jc w:val="left"/>
            </w:pPr>
            <w:r>
              <w:t xml:space="preserve">Revogação/Anulação de multa ambiental</w:t>
            </w:r>
          </w:p>
        </w:tc>
        <w:tc>
          <w:tcPr/>
          <w:p>
            <w:pPr>
              <w:pStyle w:val="Compact"/>
              <w:jc w:val="right"/>
            </w:pPr>
            <w:r>
              <w:t xml:space="preserve">4105</w:t>
            </w:r>
          </w:p>
        </w:tc>
        <w:tc>
          <w:tcPr/>
          <w:p>
            <w:pPr>
              <w:pStyle w:val="Compact"/>
              <w:jc w:val="right"/>
            </w:pPr>
            <w:r>
              <w:t xml:space="preserve">0.1%</w:t>
            </w:r>
          </w:p>
        </w:tc>
      </w:tr>
    </w:tbl>
    <w:bookmarkEnd w:id="127"/>
    <w:p>
      <w:pPr>
        <w:pStyle w:val="Corpodetexto"/>
      </w:pPr>
      <w:r>
        <w:t xml:space="preserve">No segundo grau, a proporção de prescrição é significativamente menor. A</w:t>
      </w:r>
      <w:r>
        <w:t xml:space="preserve"> </w:t>
      </w:r>
      <w:hyperlink w:anchor="tbl-prescricao-sirenejud-2grau">
        <w:r>
          <w:rPr>
            <w:rStyle w:val="Hyperlink"/>
          </w:rPr>
          <w:t xml:space="preserve">Tabela 26</w:t>
        </w:r>
      </w:hyperlink>
      <w:r>
        <w:t xml:space="preserve"> </w:t>
      </w:r>
      <w:r>
        <w:t xml:space="preserve">mostra a proporção de casos na base do segundo grau que apresentaram prescrição. No segundo grau, foi identificada uma proporção de 1% de prescrição.</w:t>
      </w:r>
    </w:p>
    <w:bookmarkStart w:id="128" w:name="tbl-prescricao-sirenejud-2grau"/>
    <w:p>
      <w:pPr>
        <w:pStyle w:val="TableCaption"/>
      </w:pPr>
      <w:r>
        <w:t xml:space="preserve">Tabela 26: Proporção de processos com prescrição no segundo grau</w:t>
      </w:r>
    </w:p>
    <w:tbl>
      <w:tblPr>
        <w:tblStyle w:val="Table"/>
        <w:tblW w:type="auto" w:w="0"/>
        <w:tblLook w:firstRow="1" w:lastRow="0" w:firstColumn="0" w:lastColumn="0" w:noHBand="0" w:noVBand="0" w:val="0020"/>
        <w:jc w:val="start"/>
        <w:tblCaption w:val="Tabela 26: Proporção de processos com prescrição no segundo grau"/>
      </w:tblPr>
      <w:tblGrid>
        <w:gridCol w:w="2640"/>
        <w:gridCol w:w="2640"/>
        <w:gridCol w:w="2640"/>
      </w:tblGrid>
      <w:tr>
        <w:trPr>
          <w:tblHeader w:val="true"/>
        </w:trPr>
        <w:tc>
          <w:tcPr/>
          <w:p>
            <w:pPr>
              <w:pStyle w:val="Compact"/>
              <w:jc w:val="left"/>
            </w:pPr>
            <w:r>
              <w:t xml:space="preserve">Nome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Não</w:t>
            </w:r>
          </w:p>
        </w:tc>
        <w:tc>
          <w:tcPr/>
          <w:p>
            <w:pPr>
              <w:pStyle w:val="Compact"/>
              <w:jc w:val="right"/>
            </w:pPr>
            <w:r>
              <w:t xml:space="preserve">6588</w:t>
            </w:r>
          </w:p>
        </w:tc>
        <w:tc>
          <w:tcPr/>
          <w:p>
            <w:pPr>
              <w:pStyle w:val="Compact"/>
              <w:jc w:val="right"/>
            </w:pPr>
            <w:r>
              <w:t xml:space="preserve">99.1%</w:t>
            </w:r>
          </w:p>
        </w:tc>
      </w:tr>
      <w:tr>
        <w:tc>
          <w:tcPr/>
          <w:p>
            <w:pPr>
              <w:pStyle w:val="Compact"/>
              <w:jc w:val="left"/>
            </w:pPr>
            <w:r>
              <w:t xml:space="preserve">Sim</w:t>
            </w:r>
          </w:p>
        </w:tc>
        <w:tc>
          <w:tcPr/>
          <w:p>
            <w:pPr>
              <w:pStyle w:val="Compact"/>
              <w:jc w:val="right"/>
            </w:pPr>
            <w:r>
              <w:t xml:space="preserve">60</w:t>
            </w:r>
          </w:p>
        </w:tc>
        <w:tc>
          <w:tcPr/>
          <w:p>
            <w:pPr>
              <w:pStyle w:val="Compact"/>
              <w:jc w:val="right"/>
            </w:pPr>
            <w:r>
              <w:t xml:space="preserve">0.9%</w:t>
            </w:r>
          </w:p>
        </w:tc>
      </w:tr>
    </w:tbl>
    <w:bookmarkEnd w:id="128"/>
    <w:bookmarkEnd w:id="129"/>
    <w:bookmarkStart w:id="149" w:name="datajud-4"/>
    <w:p>
      <w:pPr>
        <w:pStyle w:val="Ttulo3"/>
      </w:pPr>
      <w:r>
        <w:t xml:space="preserve">DataJud</w:t>
      </w:r>
    </w:p>
    <w:p>
      <w:pPr>
        <w:pStyle w:val="FirstParagraph"/>
      </w:pPr>
      <w:r>
        <w:t xml:space="preserve">No DataJud, o tempo foi calculado fazendo-se a diferença entre a data de última baixa e a data do primeiro recebimento. O resultado geral é mostrado na</w:t>
      </w:r>
      <w:r>
        <w:t xml:space="preserve"> </w:t>
      </w:r>
      <w:hyperlink w:anchor="fig-km-datajud">
        <w:r>
          <w:rPr>
            <w:rStyle w:val="Hyperlink"/>
          </w:rPr>
          <w:t xml:space="preserve">Figura 14</w:t>
        </w:r>
      </w:hyperlink>
      <w:r>
        <w:t xml:space="preserve">. Foram retirados tempos maiores de 10 mil dias e tempos menores que zero. A mediana é de aproximadamente 70 meses, quase 6 anos.</w:t>
      </w:r>
    </w:p>
    <w:tbl>
      <w:tblPr>
        <w:tblStyle w:val="Table"/>
        <w:tblW w:type="pct" w:w="5000"/>
        <w:tblLook w:firstRow="0" w:lastRow="0" w:firstColumn="0" w:lastColumn="0" w:noHBand="0" w:noVBand="0" w:val="0000"/>
        <w:jc w:val="start"/>
      </w:tblPr>
      <w:tblGrid>
        <w:gridCol w:w="7920"/>
      </w:tblGrid>
      <w:tr>
        <w:tc>
          <w:tcPr/>
          <w:bookmarkStart w:id="133" w:name="fig-km-datajud"/>
          <w:p>
            <w:pPr>
              <w:jc w:val="center"/>
            </w:pPr>
            <w:r>
              <w:drawing>
                <wp:inline>
                  <wp:extent cx="4620126" cy="3696101"/>
                  <wp:effectExtent b="0" l="0" r="0" t="0"/>
                  <wp:docPr descr="" title="" id="131" name="Picture"/>
                  <a:graphic>
                    <a:graphicData uri="http://schemas.openxmlformats.org/drawingml/2006/picture">
                      <pic:pic>
                        <pic:nvPicPr>
                          <pic:cNvPr descr="2-descritiva_files/figure-docx/fig-km-datajud-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14: Curva de sobrevivência dos tempos de tramitação dos processos</w:t>
            </w:r>
          </w:p>
          <w:bookmarkEnd w:id="133"/>
        </w:tc>
      </w:tr>
    </w:tbl>
    <w:p>
      <w:pPr>
        <w:pStyle w:val="Corpodetexto"/>
      </w:pPr>
      <w:r>
        <w:t xml:space="preserve">A</w:t>
      </w:r>
      <w:r>
        <w:t xml:space="preserve"> </w:t>
      </w:r>
      <w:hyperlink w:anchor="fig-km-assunto-datajud">
        <w:r>
          <w:rPr>
            <w:rStyle w:val="Hyperlink"/>
          </w:rPr>
          <w:t xml:space="preserve">Figura 15</w:t>
        </w:r>
      </w:hyperlink>
      <w:r>
        <w:t xml:space="preserve"> </w:t>
      </w:r>
      <w:r>
        <w:t xml:space="preserve">mostra a distribuição dos tempos por assunto, considerando os cinco assuntos com maior volume de processos. O assunto</w:t>
      </w:r>
      <w:r>
        <w:t xml:space="preserve"> </w:t>
      </w:r>
      <w:r>
        <w:t xml:space="preserve">“</w:t>
      </w:r>
      <w:r>
        <w:t xml:space="preserve">Quadrilha ou Bando</w:t>
      </w:r>
      <w:r>
        <w:t xml:space="preserve">”</w:t>
      </w:r>
      <w:r>
        <w:t xml:space="preserve"> </w:t>
      </w:r>
      <w:r>
        <w:t xml:space="preserve">apresentou o maior tempo, quase 9 anos, enquanto tráfico de drogas apresentou tempo de aproximadamente 5 anos e meio.</w:t>
      </w:r>
    </w:p>
    <w:tbl>
      <w:tblPr>
        <w:tblStyle w:val="Table"/>
        <w:tblW w:type="pct" w:w="5000"/>
        <w:tblLook w:firstRow="0" w:lastRow="0" w:firstColumn="0" w:lastColumn="0" w:noHBand="0" w:noVBand="0" w:val="0000"/>
        <w:jc w:val="start"/>
      </w:tblPr>
      <w:tblGrid>
        <w:gridCol w:w="7920"/>
      </w:tblGrid>
      <w:tr>
        <w:tc>
          <w:tcPr/>
          <w:bookmarkStart w:id="137" w:name="fig-km-assunto-datajud"/>
          <w:p>
            <w:pPr>
              <w:jc w:val="center"/>
            </w:pPr>
            <w:r>
              <w:drawing>
                <wp:inline>
                  <wp:extent cx="5969000" cy="3979333"/>
                  <wp:effectExtent b="0" l="0" r="0" t="0"/>
                  <wp:docPr descr="" title="" id="135" name="Picture"/>
                  <a:graphic>
                    <a:graphicData uri="http://schemas.openxmlformats.org/drawingml/2006/picture">
                      <pic:pic>
                        <pic:nvPicPr>
                          <pic:cNvPr descr="2-descritiva_files/figure-docx/fig-km-assunto-datajud-1.png" id="136" name="Picture"/>
                          <pic:cNvPicPr>
                            <a:picLocks noChangeArrowheads="1" noChangeAspect="1"/>
                          </pic:cNvPicPr>
                        </pic:nvPicPr>
                        <pic:blipFill>
                          <a:blip r:embed="rId134"/>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15: Curva de sobrevivência dos tempos de tramitação dos processos, por assunto</w:t>
            </w:r>
          </w:p>
          <w:bookmarkEnd w:id="137"/>
        </w:tc>
      </w:tr>
    </w:tbl>
    <w:p>
      <w:pPr>
        <w:pStyle w:val="Corpodetexto"/>
      </w:pPr>
      <w:r>
        <w:t xml:space="preserve">A</w:t>
      </w:r>
      <w:r>
        <w:t xml:space="preserve"> </w:t>
      </w:r>
      <w:hyperlink w:anchor="fig-km-tribunal-datajud">
        <w:r>
          <w:rPr>
            <w:rStyle w:val="Hyperlink"/>
          </w:rPr>
          <w:t xml:space="preserve">Figura 16</w:t>
        </w:r>
      </w:hyperlink>
      <w:r>
        <w:t xml:space="preserve"> </w:t>
      </w:r>
      <w:r>
        <w:t xml:space="preserve">mostra os tempos por tribunal. O menor tempo mediano identificado foi no TJRR, com mediana de 9 meses, enquanto o maior tempo foi no TJTO, com mediana de quase 12 anos.</w:t>
      </w:r>
    </w:p>
    <w:tbl>
      <w:tblPr>
        <w:tblStyle w:val="Table"/>
        <w:tblW w:type="pct" w:w="5000"/>
        <w:tblLook w:firstRow="0" w:lastRow="0" w:firstColumn="0" w:lastColumn="0" w:noHBand="0" w:noVBand="0" w:val="0000"/>
        <w:jc w:val="start"/>
      </w:tblPr>
      <w:tblGrid>
        <w:gridCol w:w="7920"/>
      </w:tblGrid>
      <w:tr>
        <w:tc>
          <w:tcPr/>
          <w:bookmarkStart w:id="141" w:name="fig-km-tribunal-datajud"/>
          <w:p>
            <w:pPr>
              <w:jc w:val="center"/>
            </w:pPr>
            <w:r>
              <w:drawing>
                <wp:inline>
                  <wp:extent cx="5969000" cy="3979333"/>
                  <wp:effectExtent b="0" l="0" r="0" t="0"/>
                  <wp:docPr descr="" title="" id="139" name="Picture"/>
                  <a:graphic>
                    <a:graphicData uri="http://schemas.openxmlformats.org/drawingml/2006/picture">
                      <pic:pic>
                        <pic:nvPicPr>
                          <pic:cNvPr descr="2-descritiva_files/figure-docx/fig-km-tribunal-datajud-1.png" id="140" name="Picture"/>
                          <pic:cNvPicPr>
                            <a:picLocks noChangeArrowheads="1" noChangeAspect="1"/>
                          </pic:cNvPicPr>
                        </pic:nvPicPr>
                        <pic:blipFill>
                          <a:blip r:embed="rId138"/>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16: Curva de sobrevivência dos tempos de tramitação dos processos, por tribunal</w:t>
            </w:r>
          </w:p>
          <w:bookmarkEnd w:id="141"/>
        </w:tc>
      </w:tr>
    </w:tbl>
    <w:p>
      <w:pPr>
        <w:pStyle w:val="Corpodetexto"/>
      </w:pPr>
      <w:r>
        <w:t xml:space="preserve">A</w:t>
      </w:r>
      <w:r>
        <w:t xml:space="preserve"> </w:t>
      </w:r>
      <w:hyperlink w:anchor="fig-km-municipio-datajud">
        <w:r>
          <w:rPr>
            <w:rStyle w:val="Hyperlink"/>
          </w:rPr>
          <w:t xml:space="preserve">Figura 17</w:t>
        </w:r>
      </w:hyperlink>
      <w:r>
        <w:t xml:space="preserve"> </w:t>
      </w:r>
      <w:r>
        <w:t xml:space="preserve">mostra os tempos por município. O município com maior tempo mediano é Belém (PA), com 6 anos e meio, enquanto o município com menor tempo mediano é Boa Vista (RR), com pouco menos de 7 meses de duração.</w:t>
      </w:r>
    </w:p>
    <w:tbl>
      <w:tblPr>
        <w:tblStyle w:val="Table"/>
        <w:tblW w:type="pct" w:w="5000"/>
        <w:tblLook w:firstRow="0" w:lastRow="0" w:firstColumn="0" w:lastColumn="0" w:noHBand="0" w:noVBand="0" w:val="0000"/>
        <w:jc w:val="start"/>
      </w:tblPr>
      <w:tblGrid>
        <w:gridCol w:w="7920"/>
      </w:tblGrid>
      <w:tr>
        <w:tc>
          <w:tcPr/>
          <w:bookmarkStart w:id="145" w:name="fig-km-municipio-datajud"/>
          <w:p>
            <w:pPr>
              <w:jc w:val="center"/>
            </w:pPr>
            <w:r>
              <w:drawing>
                <wp:inline>
                  <wp:extent cx="5969000" cy="3979333"/>
                  <wp:effectExtent b="0" l="0" r="0" t="0"/>
                  <wp:docPr descr="" title="" id="143" name="Picture"/>
                  <a:graphic>
                    <a:graphicData uri="http://schemas.openxmlformats.org/drawingml/2006/picture">
                      <pic:pic>
                        <pic:nvPicPr>
                          <pic:cNvPr descr="2-descritiva_files/figure-docx/fig-km-municipio-datajud-1.png" id="144" name="Picture"/>
                          <pic:cNvPicPr>
                            <a:picLocks noChangeArrowheads="1" noChangeAspect="1"/>
                          </pic:cNvPicPr>
                        </pic:nvPicPr>
                        <pic:blipFill>
                          <a:blip r:embed="rId142"/>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17: Curva de sobrevivência dos tempos de tramitação dos processos, por município</w:t>
            </w:r>
          </w:p>
          <w:bookmarkEnd w:id="145"/>
        </w:tc>
      </w:tr>
    </w:tbl>
    <w:p>
      <w:pPr>
        <w:pStyle w:val="Corpodetexto"/>
      </w:pPr>
      <w:r>
        <w:t xml:space="preserve">A</w:t>
      </w:r>
      <w:r>
        <w:t xml:space="preserve"> </w:t>
      </w:r>
      <w:hyperlink w:anchor="tbl-prescricao-datajud">
        <w:r>
          <w:rPr>
            <w:rStyle w:val="Hyperlink"/>
          </w:rPr>
          <w:t xml:space="preserve">Tabela 27</w:t>
        </w:r>
      </w:hyperlink>
      <w:r>
        <w:t xml:space="preserve"> </w:t>
      </w:r>
      <w:r>
        <w:t xml:space="preserve">mostra a proporção de casos na base que apresentaram prescrição. Na base do Datajud, foi identificada uma proporção geral de 4% de prescrição, metade da proporção encontrada na base do Sirenejud.</w:t>
      </w:r>
    </w:p>
    <w:bookmarkStart w:id="146" w:name="tbl-prescricao-datajud"/>
    <w:p>
      <w:pPr>
        <w:pStyle w:val="TableCaption"/>
      </w:pPr>
      <w:r>
        <w:t xml:space="preserve">Tabela 27: Proporção de processos com prescrição</w:t>
      </w:r>
    </w:p>
    <w:tbl>
      <w:tblPr>
        <w:tblStyle w:val="Table"/>
        <w:tblW w:type="auto" w:w="0"/>
        <w:tblLook w:firstRow="1" w:lastRow="0" w:firstColumn="0" w:lastColumn="0" w:noHBand="0" w:noVBand="0" w:val="0020"/>
        <w:jc w:val="start"/>
        <w:tblCaption w:val="Tabela 27: Proporção de processos com prescrição"/>
      </w:tblPr>
      <w:tblGrid>
        <w:gridCol w:w="2640"/>
        <w:gridCol w:w="2640"/>
        <w:gridCol w:w="2640"/>
      </w:tblGrid>
      <w:tr>
        <w:trPr>
          <w:tblHeader w:val="true"/>
        </w:trPr>
        <w:tc>
          <w:tcPr/>
          <w:p>
            <w:pPr>
              <w:pStyle w:val="Compact"/>
              <w:jc w:val="left"/>
            </w:pPr>
            <w:r>
              <w:t xml:space="preserve">Nome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Não</w:t>
            </w:r>
          </w:p>
        </w:tc>
        <w:tc>
          <w:tcPr/>
          <w:p>
            <w:pPr>
              <w:pStyle w:val="Compact"/>
              <w:jc w:val="right"/>
            </w:pPr>
            <w:r>
              <w:t xml:space="preserve">176377</w:t>
            </w:r>
          </w:p>
        </w:tc>
        <w:tc>
          <w:tcPr/>
          <w:p>
            <w:pPr>
              <w:pStyle w:val="Compact"/>
              <w:jc w:val="right"/>
            </w:pPr>
            <w:r>
              <w:t xml:space="preserve">96.3%</w:t>
            </w:r>
          </w:p>
        </w:tc>
      </w:tr>
      <w:tr>
        <w:tc>
          <w:tcPr/>
          <w:p>
            <w:pPr>
              <w:pStyle w:val="Compact"/>
              <w:jc w:val="left"/>
            </w:pPr>
            <w:r>
              <w:t xml:space="preserve">Sim</w:t>
            </w:r>
          </w:p>
        </w:tc>
        <w:tc>
          <w:tcPr/>
          <w:p>
            <w:pPr>
              <w:pStyle w:val="Compact"/>
              <w:jc w:val="right"/>
            </w:pPr>
            <w:r>
              <w:t xml:space="preserve">6800</w:t>
            </w:r>
          </w:p>
        </w:tc>
        <w:tc>
          <w:tcPr/>
          <w:p>
            <w:pPr>
              <w:pStyle w:val="Compact"/>
              <w:jc w:val="right"/>
            </w:pPr>
            <w:r>
              <w:t xml:space="preserve">3.7%</w:t>
            </w:r>
          </w:p>
        </w:tc>
      </w:tr>
    </w:tbl>
    <w:bookmarkEnd w:id="146"/>
    <w:p>
      <w:pPr>
        <w:pStyle w:val="Corpodetexto"/>
      </w:pPr>
      <w:r>
        <w:t xml:space="preserve">A</w:t>
      </w:r>
      <w:r>
        <w:t xml:space="preserve"> </w:t>
      </w:r>
      <w:hyperlink w:anchor="tbl-prescricao-datajud-assunto">
        <w:r>
          <w:rPr>
            <w:rStyle w:val="Hyperlink"/>
          </w:rPr>
          <w:t xml:space="preserve">Tabela 28</w:t>
        </w:r>
      </w:hyperlink>
      <w:r>
        <w:t xml:space="preserve"> </w:t>
      </w:r>
      <w:r>
        <w:t xml:space="preserve">mostra a proporção prescrição por assunto. O assunto com maior proporção de prescrição é o relacionado à quadrilha ou bando, com aproximadamente 8% dos casos. Já os casos relacionados à tráfico de drogas apresentam proporções de prescrição abaixo de 4%.</w:t>
      </w:r>
    </w:p>
    <w:bookmarkStart w:id="147" w:name="tbl-prescricao-datajud-assunto"/>
    <w:p>
      <w:pPr>
        <w:pStyle w:val="TableCaption"/>
      </w:pPr>
      <w:r>
        <w:t xml:space="preserve">Tabela 28: Proporção de processos com prescrição por assunto</w:t>
      </w:r>
    </w:p>
    <w:tbl>
      <w:tblPr>
        <w:tblStyle w:val="Table"/>
        <w:tblW w:type="pct" w:w="5000"/>
        <w:tblLook w:firstRow="1" w:lastRow="0" w:firstColumn="0" w:lastColumn="0" w:noHBand="0" w:noVBand="0" w:val="0020"/>
        <w:jc w:val="start"/>
        <w:tblCaption w:val="Tabela 28: Proporção de processos com prescrição por assunto"/>
      </w:tblPr>
      <w:tblGrid>
        <w:gridCol w:w="5779"/>
        <w:gridCol w:w="749"/>
        <w:gridCol w:w="1391"/>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 Prescricao</w:t>
            </w:r>
          </w:p>
        </w:tc>
      </w:tr>
      <w:tr>
        <w:tc>
          <w:tcPr/>
          <w:p>
            <w:pPr>
              <w:pStyle w:val="Compact"/>
              <w:jc w:val="left"/>
            </w:pPr>
            <w:r>
              <w:t xml:space="preserve">Quadrilha ou Bando</w:t>
            </w:r>
          </w:p>
        </w:tc>
        <w:tc>
          <w:tcPr/>
          <w:p>
            <w:pPr>
              <w:pStyle w:val="Compact"/>
              <w:jc w:val="right"/>
            </w:pPr>
            <w:r>
              <w:t xml:space="preserve">4066</w:t>
            </w:r>
          </w:p>
        </w:tc>
        <w:tc>
          <w:tcPr/>
          <w:p>
            <w:pPr>
              <w:pStyle w:val="Compact"/>
              <w:jc w:val="right"/>
            </w:pPr>
            <w:r>
              <w:t xml:space="preserve">8.3%</w:t>
            </w:r>
          </w:p>
        </w:tc>
      </w:tr>
      <w:tr>
        <w:tc>
          <w:tcPr/>
          <w:p>
            <w:pPr>
              <w:pStyle w:val="Compact"/>
              <w:jc w:val="left"/>
            </w:pPr>
            <w:r>
              <w:t xml:space="preserve">Peculato</w:t>
            </w:r>
          </w:p>
        </w:tc>
        <w:tc>
          <w:tcPr/>
          <w:p>
            <w:pPr>
              <w:pStyle w:val="Compact"/>
              <w:jc w:val="right"/>
            </w:pPr>
            <w:r>
              <w:t xml:space="preserve">4433</w:t>
            </w:r>
          </w:p>
        </w:tc>
        <w:tc>
          <w:tcPr/>
          <w:p>
            <w:pPr>
              <w:pStyle w:val="Compact"/>
              <w:jc w:val="right"/>
            </w:pPr>
            <w:r>
              <w:t xml:space="preserve">5.8%</w:t>
            </w:r>
          </w:p>
        </w:tc>
      </w:tr>
      <w:tr>
        <w:tc>
          <w:tcPr/>
          <w:p>
            <w:pPr>
              <w:pStyle w:val="Compact"/>
              <w:jc w:val="left"/>
            </w:pPr>
            <w:r>
              <w:t xml:space="preserve">Outros</w:t>
            </w:r>
          </w:p>
        </w:tc>
        <w:tc>
          <w:tcPr/>
          <w:p>
            <w:pPr>
              <w:pStyle w:val="Compact"/>
              <w:jc w:val="right"/>
            </w:pPr>
            <w:r>
              <w:t xml:space="preserve">25773</w:t>
            </w:r>
          </w:p>
        </w:tc>
        <w:tc>
          <w:tcPr/>
          <w:p>
            <w:pPr>
              <w:pStyle w:val="Compact"/>
              <w:jc w:val="right"/>
            </w:pPr>
            <w:r>
              <w:t xml:space="preserve">5.4%</w:t>
            </w:r>
          </w:p>
        </w:tc>
      </w:tr>
      <w:tr>
        <w:tc>
          <w:tcPr/>
          <w:p>
            <w:pPr>
              <w:pStyle w:val="Compact"/>
              <w:jc w:val="left"/>
            </w:pPr>
            <w:r>
              <w:t xml:space="preserve">Crimes de Tráfico Ilícito e Uso Indevido de Drogas</w:t>
            </w:r>
          </w:p>
        </w:tc>
        <w:tc>
          <w:tcPr/>
          <w:p>
            <w:pPr>
              <w:pStyle w:val="Compact"/>
              <w:jc w:val="right"/>
            </w:pPr>
            <w:r>
              <w:t xml:space="preserve">12008</w:t>
            </w:r>
          </w:p>
        </w:tc>
        <w:tc>
          <w:tcPr/>
          <w:p>
            <w:pPr>
              <w:pStyle w:val="Compact"/>
              <w:jc w:val="right"/>
            </w:pPr>
            <w:r>
              <w:t xml:space="preserve">3.7%</w:t>
            </w:r>
          </w:p>
        </w:tc>
      </w:tr>
      <w:tr>
        <w:tc>
          <w:tcPr/>
          <w:p>
            <w:pPr>
              <w:pStyle w:val="Compact"/>
              <w:jc w:val="left"/>
            </w:pPr>
            <w:r>
              <w:t xml:space="preserve">Tráfico de Drogas e Condutas Afins</w:t>
            </w:r>
          </w:p>
        </w:tc>
        <w:tc>
          <w:tcPr/>
          <w:p>
            <w:pPr>
              <w:pStyle w:val="Compact"/>
              <w:jc w:val="right"/>
            </w:pPr>
            <w:r>
              <w:t xml:space="preserve">121773</w:t>
            </w:r>
          </w:p>
        </w:tc>
        <w:tc>
          <w:tcPr/>
          <w:p>
            <w:pPr>
              <w:pStyle w:val="Compact"/>
              <w:jc w:val="right"/>
            </w:pPr>
            <w:r>
              <w:t xml:space="preserve">3.3%</w:t>
            </w:r>
          </w:p>
        </w:tc>
      </w:tr>
      <w:tr>
        <w:tc>
          <w:tcPr/>
          <w:p>
            <w:pPr>
              <w:pStyle w:val="Compact"/>
              <w:jc w:val="left"/>
            </w:pPr>
            <w:r>
              <w:t xml:space="preserve">Associação para a Produção e Tráfico e Condutas Afins</w:t>
            </w:r>
          </w:p>
        </w:tc>
        <w:tc>
          <w:tcPr/>
          <w:p>
            <w:pPr>
              <w:pStyle w:val="Compact"/>
              <w:jc w:val="right"/>
            </w:pPr>
            <w:r>
              <w:t xml:space="preserve">15124</w:t>
            </w:r>
          </w:p>
        </w:tc>
        <w:tc>
          <w:tcPr/>
          <w:p>
            <w:pPr>
              <w:pStyle w:val="Compact"/>
              <w:jc w:val="right"/>
            </w:pPr>
            <w:r>
              <w:t xml:space="preserve">2.3%</w:t>
            </w:r>
          </w:p>
        </w:tc>
      </w:tr>
    </w:tbl>
    <w:bookmarkEnd w:id="147"/>
    <w:p>
      <w:pPr>
        <w:pStyle w:val="Corpodetexto"/>
      </w:pPr>
      <w:r>
        <w:t xml:space="preserve">No segundo grau, a proporção de prescrição é parecida com a do Sirenejud. A</w:t>
      </w:r>
      <w:r>
        <w:t xml:space="preserve"> </w:t>
      </w:r>
      <w:hyperlink w:anchor="tbl-prescricao-datajud-2grau">
        <w:r>
          <w:rPr>
            <w:rStyle w:val="Hyperlink"/>
          </w:rPr>
          <w:t xml:space="preserve">Tabela 29</w:t>
        </w:r>
      </w:hyperlink>
      <w:r>
        <w:t xml:space="preserve"> </w:t>
      </w:r>
      <w:r>
        <w:t xml:space="preserve">mostra a proporção de casos na base do segundo grau que apresentaram prescrição. No segundo grau, foi identificada uma proporção de 1% de prescrição.</w:t>
      </w:r>
    </w:p>
    <w:bookmarkStart w:id="148" w:name="tbl-prescricao-datajud-2grau"/>
    <w:p>
      <w:pPr>
        <w:pStyle w:val="TableCaption"/>
      </w:pPr>
      <w:r>
        <w:t xml:space="preserve">Tabela 29: Proporção de processos com prescrição no segundo grau</w:t>
      </w:r>
    </w:p>
    <w:tbl>
      <w:tblPr>
        <w:tblStyle w:val="Table"/>
        <w:tblW w:type="auto" w:w="0"/>
        <w:tblLook w:firstRow="1" w:lastRow="0" w:firstColumn="0" w:lastColumn="0" w:noHBand="0" w:noVBand="0" w:val="0020"/>
        <w:jc w:val="start"/>
        <w:tblCaption w:val="Tabela 29: Proporção de processos com prescrição no segundo grau"/>
      </w:tblPr>
      <w:tblGrid>
        <w:gridCol w:w="2640"/>
        <w:gridCol w:w="2640"/>
        <w:gridCol w:w="2640"/>
      </w:tblGrid>
      <w:tr>
        <w:trPr>
          <w:tblHeader w:val="true"/>
        </w:trPr>
        <w:tc>
          <w:tcPr/>
          <w:p>
            <w:pPr>
              <w:pStyle w:val="Compact"/>
              <w:jc w:val="left"/>
            </w:pPr>
            <w:r>
              <w:t xml:space="preserve">Nome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Não</w:t>
            </w:r>
          </w:p>
        </w:tc>
        <w:tc>
          <w:tcPr/>
          <w:p>
            <w:pPr>
              <w:pStyle w:val="Compact"/>
              <w:jc w:val="right"/>
            </w:pPr>
            <w:r>
              <w:t xml:space="preserve">50699</w:t>
            </w:r>
          </w:p>
        </w:tc>
        <w:tc>
          <w:tcPr/>
          <w:p>
            <w:pPr>
              <w:pStyle w:val="Compact"/>
              <w:jc w:val="right"/>
            </w:pPr>
            <w:r>
              <w:t xml:space="preserve">99.0%</w:t>
            </w:r>
          </w:p>
        </w:tc>
      </w:tr>
      <w:tr>
        <w:tc>
          <w:tcPr/>
          <w:p>
            <w:pPr>
              <w:pStyle w:val="Compact"/>
              <w:jc w:val="left"/>
            </w:pPr>
            <w:r>
              <w:t xml:space="preserve">Sim</w:t>
            </w:r>
          </w:p>
        </w:tc>
        <w:tc>
          <w:tcPr/>
          <w:p>
            <w:pPr>
              <w:pStyle w:val="Compact"/>
              <w:jc w:val="right"/>
            </w:pPr>
            <w:r>
              <w:t xml:space="preserve">506</w:t>
            </w:r>
          </w:p>
        </w:tc>
        <w:tc>
          <w:tcPr/>
          <w:p>
            <w:pPr>
              <w:pStyle w:val="Compact"/>
              <w:jc w:val="right"/>
            </w:pPr>
            <w:r>
              <w:t xml:space="preserve">1.0%</w:t>
            </w:r>
          </w:p>
        </w:tc>
      </w:tr>
    </w:tbl>
    <w:bookmarkEnd w:id="148"/>
    <w:bookmarkEnd w:id="149"/>
    <w:bookmarkStart w:id="158" w:name="trf1-4"/>
    <w:p>
      <w:pPr>
        <w:pStyle w:val="Ttulo3"/>
      </w:pPr>
      <w:r>
        <w:t xml:space="preserve">TRF1</w:t>
      </w:r>
    </w:p>
    <w:p>
      <w:pPr>
        <w:pStyle w:val="FirstParagraph"/>
      </w:pPr>
      <w:r>
        <w:t xml:space="preserve">A análise do TRF1 exige um esforço maior no tratamento das movimentações processuais. Para realizar a análise, foram consideradas algumas heurísticas de classificação. Primeiro, o evento de baixa considerado foi o último cuja movimentação apresenta a informação de baixa. O início do processo foi considerado pelo campo</w:t>
      </w:r>
      <w:r>
        <w:t xml:space="preserve"> </w:t>
      </w:r>
      <w:r>
        <w:rPr>
          <w:rStyle w:val="VerbatimChar"/>
        </w:rPr>
        <w:t xml:space="preserve">data_de_autuacao</w:t>
      </w:r>
      <w:r>
        <w:t xml:space="preserve">. Todos os processos foram considerados como baixados, já que a pesquisa realizada para listar os processos é retrospectiva. Nesse caso, a análise de sobrevivência não é necessária, mas foi mantida para não mudar as visualizações</w:t>
      </w:r>
    </w:p>
    <w:p>
      <w:pPr>
        <w:pStyle w:val="Corpodetexto"/>
      </w:pPr>
      <w:r>
        <w:t xml:space="preserve">No TRF1, o resultado geral é mostrado na é a</w:t>
      </w:r>
      <w:r>
        <w:t xml:space="preserve"> </w:t>
      </w:r>
      <w:hyperlink w:anchor="fig-km-trf1">
        <w:r>
          <w:rPr>
            <w:rStyle w:val="Hyperlink"/>
          </w:rPr>
          <w:t xml:space="preserve">Figura 18</w:t>
        </w:r>
      </w:hyperlink>
      <w:r>
        <w:t xml:space="preserve">. Foram retirados tempos maiores de 10 mil dias e tempos menores que zero. A mediana é de aproximadamente 29 meses, ou 2 anos e meio.</w:t>
      </w:r>
    </w:p>
    <w:tbl>
      <w:tblPr>
        <w:tblStyle w:val="Table"/>
        <w:tblW w:type="pct" w:w="5000"/>
        <w:tblLook w:firstRow="0" w:lastRow="0" w:firstColumn="0" w:lastColumn="0" w:noHBand="0" w:noVBand="0" w:val="0000"/>
        <w:jc w:val="start"/>
      </w:tblPr>
      <w:tblGrid>
        <w:gridCol w:w="7920"/>
      </w:tblGrid>
      <w:tr>
        <w:tc>
          <w:tcPr/>
          <w:bookmarkStart w:id="153" w:name="fig-km-trf1"/>
          <w:p>
            <w:pPr>
              <w:jc w:val="center"/>
            </w:pPr>
            <w:r>
              <w:drawing>
                <wp:inline>
                  <wp:extent cx="4620126" cy="3696101"/>
                  <wp:effectExtent b="0" l="0" r="0" t="0"/>
                  <wp:docPr descr="" title="" id="151" name="Picture"/>
                  <a:graphic>
                    <a:graphicData uri="http://schemas.openxmlformats.org/drawingml/2006/picture">
                      <pic:pic>
                        <pic:nvPicPr>
                          <pic:cNvPr descr="2-descritiva_files/figure-docx/fig-km-trf1-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18: Curva de sobrevivência dos tempos de tramitação dos processos</w:t>
            </w:r>
          </w:p>
          <w:bookmarkEnd w:id="153"/>
        </w:tc>
      </w:tr>
    </w:tbl>
    <w:p>
      <w:pPr>
        <w:pStyle w:val="Corpodetexto"/>
      </w:pPr>
      <w:r>
        <w:t xml:space="preserve">A</w:t>
      </w:r>
      <w:r>
        <w:t xml:space="preserve"> </w:t>
      </w:r>
      <w:hyperlink w:anchor="fig-km-assunto-trf1">
        <w:r>
          <w:rPr>
            <w:rStyle w:val="Hyperlink"/>
          </w:rPr>
          <w:t xml:space="preserve">Figura 19</w:t>
        </w:r>
      </w:hyperlink>
      <w:r>
        <w:t xml:space="preserve"> </w:t>
      </w:r>
      <w:r>
        <w:t xml:space="preserve">mostra a distribuição dos tempos por assunto, considerando os cinco assuntos com maior volume de processos. Os tempos variam pouco por assunto, sendo que o assunto com menor tempo é</w:t>
      </w:r>
      <w:r>
        <w:t xml:space="preserve"> </w:t>
      </w:r>
      <w:r>
        <w:t xml:space="preserve">“</w:t>
      </w:r>
      <w:r>
        <w:t xml:space="preserve">Ambiental</w:t>
      </w:r>
      <w:r>
        <w:t xml:space="preserve">”</w:t>
      </w:r>
      <w:r>
        <w:t xml:space="preserve"> </w:t>
      </w:r>
      <w:r>
        <w:t xml:space="preserve">e o assunto com maior tempo é o</w:t>
      </w:r>
      <w:r>
        <w:t xml:space="preserve"> </w:t>
      </w:r>
      <w:r>
        <w:t xml:space="preserve">“</w:t>
      </w:r>
      <w:r>
        <w:t xml:space="preserve">Rural Art. 4851</w:t>
      </w:r>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157" w:name="fig-km-assunto-trf1"/>
          <w:p>
            <w:pPr>
              <w:jc w:val="center"/>
            </w:pPr>
            <w:r>
              <w:drawing>
                <wp:inline>
                  <wp:extent cx="5969000" cy="3979333"/>
                  <wp:effectExtent b="0" l="0" r="0" t="0"/>
                  <wp:docPr descr="" title="" id="155" name="Picture"/>
                  <a:graphic>
                    <a:graphicData uri="http://schemas.openxmlformats.org/drawingml/2006/picture">
                      <pic:pic>
                        <pic:nvPicPr>
                          <pic:cNvPr descr="2-descritiva_files/figure-docx/fig-km-assunto-trf1-1.png" id="156" name="Picture"/>
                          <pic:cNvPicPr>
                            <a:picLocks noChangeArrowheads="1" noChangeAspect="1"/>
                          </pic:cNvPicPr>
                        </pic:nvPicPr>
                        <pic:blipFill>
                          <a:blip r:embed="rId154"/>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19: Curva de sobrevivência dos tempos de tramitação dos processos, por assunto</w:t>
            </w:r>
          </w:p>
          <w:bookmarkEnd w:id="157"/>
        </w:tc>
      </w:tr>
    </w:tbl>
    <w:bookmarkEnd w:id="158"/>
    <w:bookmarkStart w:id="159" w:name="discussão-5"/>
    <w:p>
      <w:pPr>
        <w:pStyle w:val="Ttulo3"/>
      </w:pPr>
      <w:r>
        <w:t xml:space="preserve">Discussão</w:t>
      </w:r>
    </w:p>
    <w:p>
      <w:pPr>
        <w:pStyle w:val="FirstParagraph"/>
      </w:pPr>
      <w:r>
        <w:t xml:space="preserve">As três bases apresentam padrões de tempos diferentes. No SireneJud, os processos são longos, com duração mediana maior que 7 anos e o tempo dos processos não varia muito por tema. No DataJud, os processos são um pouco mais rápidos (6 anos), com uma variação considerável por assunto. No TRF1, os processos são mais curtos, o que possivelmente é um efeito do método retrospectivo de coleta, e com pouca variação nas medianas por assunto.</w:t>
      </w:r>
    </w:p>
    <w:bookmarkEnd w:id="159"/>
    <w:bookmarkEnd w:id="160"/>
    <w:bookmarkEnd w:id="161"/>
    <w:bookmarkStart w:id="164" w:name="referências"/>
    <w:p>
      <w:pPr>
        <w:pStyle w:val="Ttulo1"/>
      </w:pPr>
      <w:r>
        <w:t xml:space="preserve">Referências</w:t>
      </w:r>
    </w:p>
    <w:bookmarkStart w:id="163" w:name="refs"/>
    <w:bookmarkStart w:id="162" w:name="X35cb20f427f61b1005207b5dfcd2c3e632df17c"/>
    <w:p>
      <w:pPr>
        <w:pStyle w:val="Bibliografia"/>
      </w:pPr>
      <w:r>
        <w:t xml:space="preserve">Colosimo, Enrico Antonio, e Suely Ruiz Giolo. 2006.</w:t>
      </w:r>
      <w:r>
        <w:t xml:space="preserve"> </w:t>
      </w:r>
      <w:r>
        <w:rPr>
          <w:iCs/>
          <w:i/>
        </w:rPr>
        <w:t xml:space="preserve">Análise de Sobrevivência Aplicada</w:t>
      </w:r>
      <w:r>
        <w:t xml:space="preserve">.</w:t>
      </w:r>
      <w:r>
        <w:t xml:space="preserve"> </w:t>
      </w:r>
      <w:r>
        <w:t xml:space="preserve">Editora Blucher</w:t>
      </w:r>
      <w:r>
        <w:t xml:space="preserve">.</w:t>
      </w:r>
    </w:p>
    <w:bookmarkEnd w:id="162"/>
    <w:bookmarkEnd w:id="163"/>
    <w:bookmarkEnd w:id="164"/>
    <w:sectPr w:rsidR="00F15E69" w:rsidSect="00155855">
      <w:headerReference r:id="rId9" w:type="default"/>
      <w:footerReference r:id="rId14" w:type="default"/>
      <w:headerReference r:id="rId11" w:type="first"/>
      <w:footerReference r:id="rId13" w:type="first"/>
      <w:pgSz w:h="15840" w:w="12240"/>
      <w:pgMar w:bottom="1418" w:footer="720" w:gutter="0" w:header="720" w:left="1418" w:right="1418" w:top="1418"/>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10785"/>
      <w:docPartObj>
        <w:docPartGallery w:val="Page Numbers (Bottom of Page)"/>
        <w:docPartUnique/>
      </w:docPartObj>
    </w:sdtPr>
    <w:sdtContent>
      <w:p w14:paraId="7B330F97" w14:textId="725A86C4" w:rsidR="00C87C85" w:rsidRDefault="00C87C85">
        <w:pPr>
          <w:pStyle w:val="Rodap"/>
          <w:jc w:val="right"/>
        </w:pPr>
        <w:r>
          <w:fldChar w:fldCharType="begin"/>
        </w:r>
        <w:r>
          <w:instrText>PAGE   \* MERGEFORMAT</w:instrText>
        </w:r>
        <w:r>
          <w:fldChar w:fldCharType="separate"/>
        </w:r>
        <w:r>
          <w:t>2</w:t>
        </w:r>
        <w:r>
          <w:fldChar w:fldCharType="end"/>
        </w:r>
      </w:p>
    </w:sdtContent>
  </w:sdt>
  <w:p w14:paraId="61451FFC" w14:textId="77777777" w:rsidR="00C87C85" w:rsidRDefault="00C87C8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98EA" w14:textId="77777777" w:rsidR="00C87C85" w:rsidRDefault="00C87C85" w:rsidP="00C87C85">
    <w:pPr>
      <w:pStyle w:val="Rodap"/>
      <w:jc w:val="center"/>
    </w:pPr>
  </w:p>
  <w:p w14:paraId="725F43F6" w14:textId="77777777" w:rsidR="00C87C85" w:rsidRDefault="00C87C85" w:rsidP="00C87C85">
    <w:pPr>
      <w:pStyle w:val="Rodap"/>
      <w:jc w:val="center"/>
    </w:pPr>
    <w:r>
      <w:t>Associação Brasileira de Jurimetria - CNPJ: 13.612.840/0001-57</w:t>
    </w:r>
  </w:p>
  <w:p w14:paraId="4BBF376B" w14:textId="0667B7C7" w:rsidR="00C87C85" w:rsidRDefault="00C87C85" w:rsidP="00C87C85">
    <w:pPr>
      <w:pStyle w:val="Rodap"/>
      <w:jc w:val="center"/>
    </w:pPr>
    <w:r>
      <w:t xml:space="preserve"> Rua Bela Cintra - 768 - conjunto 102 - 10º andar- CEP 01415-000 - Consolação, São Paulo - SP</w:t>
    </w:r>
  </w:p>
  <w:p w14:paraId="416EC8B7" w14:textId="36334B2A" w:rsidR="00C87C85" w:rsidRDefault="00000000" w:rsidP="00C87C85">
    <w:pPr>
      <w:pStyle w:val="Rodap"/>
      <w:jc w:val="center"/>
    </w:pPr>
    <w:hyperlink r:id="rId1" w:history="1">
      <w:r w:rsidR="00C87C85" w:rsidRPr="00C17CC0">
        <w:rPr>
          <w:rStyle w:val="Hyperlink"/>
        </w:rPr>
        <w:t>https://abj.org.br</w:t>
      </w:r>
    </w:hyperlink>
    <w:r w:rsidR="00C87C8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477381"/>
      <w:docPartObj>
        <w:docPartGallery w:val="Page Numbers (Bottom of Page)"/>
        <w:docPartUnique/>
      </w:docPartObj>
    </w:sdtPr>
    <w:sdtContent>
      <w:p w14:paraId="4FC1FE0B" w14:textId="66446C28" w:rsidR="00F15E69" w:rsidRDefault="00000000">
        <w:pPr>
          <w:pStyle w:val="Rodap"/>
          <w:jc w:val="right"/>
        </w:pPr>
      </w:p>
    </w:sdtContent>
  </w:sdt>
  <w:p w14:paraId="603BD019" w14:textId="77777777" w:rsidR="00F15E69" w:rsidRDefault="00F15E6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679386"/>
      <w:docPartObj>
        <w:docPartGallery w:val="Page Numbers (Bottom of Page)"/>
        <w:docPartUnique/>
      </w:docPartObj>
    </w:sdtPr>
    <w:sdtContent>
      <w:p w14:paraId="3845C0C9" w14:textId="6794E508" w:rsidR="00F15E69" w:rsidRDefault="00F15E69">
        <w:pPr>
          <w:pStyle w:val="Rodap"/>
          <w:jc w:val="right"/>
        </w:pPr>
        <w:r>
          <w:fldChar w:fldCharType="begin"/>
        </w:r>
        <w:r>
          <w:instrText>PAGE   \* MERGEFORMAT</w:instrText>
        </w:r>
        <w:r>
          <w:fldChar w:fldCharType="separate"/>
        </w:r>
        <w:r>
          <w:t>2</w:t>
        </w:r>
        <w:r>
          <w:fldChar w:fldCharType="end"/>
        </w:r>
      </w:p>
    </w:sdtContent>
  </w:sdt>
  <w:p w14:paraId="4F01C476" w14:textId="61774959" w:rsidR="00F15E69" w:rsidRDefault="00F15E69" w:rsidP="00C87C85">
    <w:pPr>
      <w:pStyle w:val="Rodap"/>
      <w:jc w:val="cen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E7CF" w14:textId="16F2AE5F" w:rsidR="00C87C85" w:rsidRDefault="00155855" w:rsidP="00F15E69">
    <w:pPr>
      <w:pStyle w:val="Cabealho"/>
      <w:jc w:val="right"/>
    </w:pPr>
    <w:r>
      <w:fldChar w:fldCharType="begin"/>
    </w:r>
    <w:r>
      <w:instrText xml:space="preserve"> STYLEREF  "Título 1"  \* MERGEFORMAT </w:instrText>
    </w:r>
    <w:r>
      <w:fldChar w:fldCharType="separate"/>
    </w:r>
    <w:r w:rsidR="00F15E69">
      <w:rPr>
        <w:b/>
        <w:bCs/>
        <w:noProof/>
      </w:rPr>
      <w:t>Erro! Nenhum texto com o estilo especificado foi encontrado no documento.</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1F5B" w14:textId="0304BB64" w:rsidR="00C87C85" w:rsidRDefault="00C87C85" w:rsidP="00C87C85">
    <w:pPr>
      <w:pStyle w:val="Cabealho"/>
      <w:jc w:val="right"/>
    </w:pPr>
    <w:r>
      <w:rPr>
        <w:noProof/>
        <w:color w:val="00000A"/>
        <w:sz w:val="10"/>
        <w:szCs w:val="10"/>
        <w:bdr w:val="none" w:sz="0" w:space="0" w:color="auto" w:frame="1"/>
      </w:rPr>
      <w:drawing>
        <wp:inline distT="0" distB="0" distL="0" distR="0" wp14:anchorId="312AB259" wp14:editId="7095A68B">
          <wp:extent cx="1190625" cy="523875"/>
          <wp:effectExtent l="0" t="0" r="9525" b="9525"/>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C457" w14:textId="40C959C9" w:rsidR="00F15E69" w:rsidRDefault="00F15E69" w:rsidP="00F15E69">
    <w:pPr>
      <w:pStyle w:val="Cabealho"/>
      <w:jc w:val="right"/>
    </w:pPr>
    <w:r>
      <w:fldChar w:fldCharType="begin"/>
    </w:r>
    <w:r>
      <w:instrText xml:space="preserve"> STYLEREF  "Título 1"  \* MERGEFORMAT </w:instrText>
    </w:r>
    <w:r>
      <w:fldChar w:fldCharType="separate"/>
    </w:r>
    <w:r w:rsidR="00C86C65">
      <w:rPr>
        <w:b/>
        <w:bCs/>
        <w:noProof/>
      </w:rPr>
      <w:t>Erro! Nenhum texto com o estilo especificado foi encontrado no documento.</w:t>
    </w:r>
    <w: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5989E4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8089E0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98E5EC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048B05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E6050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062C02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13CBA6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77A74F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D6476F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DBA87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4D4738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BCB62C5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363C2704"/>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9431543" w:numId="1">
    <w:abstractNumId w:val="10"/>
  </w:num>
  <w:num w16cid:durableId="404575644" w:numId="2">
    <w:abstractNumId w:val="11"/>
  </w:num>
  <w:num w16cid:durableId="435446727" w:numId="3">
    <w:abstractNumId w:val="11"/>
  </w:num>
  <w:num w16cid:durableId="1485005307"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234251" w:numId="5">
    <w:abstractNumId w:val="11"/>
  </w:num>
  <w:num w16cid:durableId="1979988738" w:numId="6">
    <w:abstractNumId w:val="11"/>
  </w:num>
  <w:num w16cid:durableId="1913545803" w:numId="7">
    <w:abstractNumId w:val="9"/>
  </w:num>
  <w:num w16cid:durableId="1114054951" w:numId="8">
    <w:abstractNumId w:val="7"/>
  </w:num>
  <w:num w16cid:durableId="305162575" w:numId="9">
    <w:abstractNumId w:val="6"/>
  </w:num>
  <w:num w16cid:durableId="1360156654" w:numId="10">
    <w:abstractNumId w:val="5"/>
  </w:num>
  <w:num w16cid:durableId="771320521" w:numId="11">
    <w:abstractNumId w:val="4"/>
  </w:num>
  <w:num w16cid:durableId="40327899" w:numId="12">
    <w:abstractNumId w:val="8"/>
  </w:num>
  <w:num w16cid:durableId="1132669381" w:numId="13">
    <w:abstractNumId w:val="3"/>
  </w:num>
  <w:num w16cid:durableId="2068141743" w:numId="14">
    <w:abstractNumId w:val="2"/>
  </w:num>
  <w:num w16cid:durableId="85274579" w:numId="15">
    <w:abstractNumId w:val="1"/>
  </w:num>
  <w:num w16cid:durableId="1231696422"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339C"/>
    <w:rPr>
      <w:rFonts w:ascii="Lato" w:hAnsi="Lato"/>
    </w:rPr>
  </w:style>
  <w:style w:styleId="Ttulo1" w:type="paragraph">
    <w:name w:val="heading 1"/>
    <w:basedOn w:val="Normal"/>
    <w:next w:val="Corpodetexto"/>
    <w:uiPriority w:val="9"/>
    <w:qFormat/>
    <w:rsid w:val="00AF5086"/>
    <w:pPr>
      <w:keepNext/>
      <w:keepLines/>
      <w:pageBreakBefore/>
      <w:spacing w:after="0" w:before="480"/>
      <w:outlineLvl w:val="0"/>
    </w:pPr>
    <w:rPr>
      <w:rFonts w:asciiTheme="majorHAnsi" w:cstheme="majorBidi" w:eastAsiaTheme="majorEastAsia" w:hAnsiTheme="majorHAnsi"/>
      <w:b/>
      <w:bCs/>
      <w:color w:val="233262"/>
      <w:sz w:val="32"/>
      <w:szCs w:val="32"/>
    </w:rPr>
  </w:style>
  <w:style w:styleId="Ttulo2" w:type="paragraph">
    <w:name w:val="heading 2"/>
    <w:basedOn w:val="Normal"/>
    <w:next w:val="Corpodetexto"/>
    <w:autoRedefine/>
    <w:uiPriority w:val="9"/>
    <w:unhideWhenUsed/>
    <w:qFormat/>
    <w:rsid w:val="0039709D"/>
    <w:pPr>
      <w:keepNext/>
      <w:keepLines/>
      <w:spacing w:after="0" w:before="200"/>
      <w:outlineLvl w:val="1"/>
    </w:pPr>
    <w:rPr>
      <w:rFonts w:cstheme="majorBidi" w:eastAsiaTheme="majorEastAsia"/>
      <w:b/>
      <w:bCs/>
      <w:color w:val="233262"/>
      <w:sz w:val="28"/>
      <w:szCs w:val="28"/>
    </w:rPr>
  </w:style>
  <w:style w:styleId="Ttulo3" w:type="paragraph">
    <w:name w:val="heading 3"/>
    <w:basedOn w:val="Normal"/>
    <w:next w:val="Corpodetexto"/>
    <w:autoRedefine/>
    <w:uiPriority w:val="9"/>
    <w:unhideWhenUsed/>
    <w:qFormat/>
    <w:rsid w:val="008C6290"/>
    <w:pPr>
      <w:keepNext/>
      <w:keepLines/>
      <w:spacing w:after="0" w:before="200"/>
      <w:outlineLvl w:val="2"/>
    </w:pPr>
    <w:rPr>
      <w:rFonts w:asciiTheme="majorHAnsi" w:cstheme="majorBidi" w:eastAsiaTheme="majorEastAsia" w:hAnsiTheme="majorHAnsi"/>
      <w:b/>
      <w:bCs/>
      <w:color w:val="233262"/>
    </w:rPr>
  </w:style>
  <w:style w:styleId="Ttulo4" w:type="paragraph">
    <w:name w:val="heading 4"/>
    <w:basedOn w:val="Normal"/>
    <w:next w:val="Corpodetexto"/>
    <w:uiPriority w:val="9"/>
    <w:unhideWhenUsed/>
    <w:qFormat/>
    <w:rsid w:val="008C6290"/>
    <w:pPr>
      <w:keepNext/>
      <w:keepLines/>
      <w:spacing w:after="0" w:before="200"/>
      <w:outlineLvl w:val="3"/>
    </w:pPr>
    <w:rPr>
      <w:rFonts w:cstheme="majorBidi" w:eastAsiaTheme="majorEastAsia"/>
      <w:bCs/>
      <w:i/>
      <w:color w:val="233262"/>
    </w:rPr>
  </w:style>
  <w:style w:styleId="Ttulo5" w:type="paragraph">
    <w:name w:val="heading 5"/>
    <w:basedOn w:val="Normal"/>
    <w:next w:val="Corpodetexto"/>
    <w:autoRedefine/>
    <w:uiPriority w:val="9"/>
    <w:unhideWhenUsed/>
    <w:qFormat/>
    <w:rsid w:val="008C6290"/>
    <w:pPr>
      <w:keepNext/>
      <w:keepLines/>
      <w:spacing w:after="0" w:before="200"/>
      <w:outlineLvl w:val="4"/>
    </w:pPr>
    <w:rPr>
      <w:rFonts w:cstheme="majorBidi" w:eastAsiaTheme="majorEastAsia"/>
      <w:iCs/>
      <w:color w:val="233262"/>
    </w:rPr>
  </w:style>
  <w:style w:styleId="Ttulo6" w:type="paragraph">
    <w:name w:val="heading 6"/>
    <w:basedOn w:val="Normal"/>
    <w:next w:val="Corpodetexto"/>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CA7DCC"/>
    <w:pPr>
      <w:spacing w:after="180" w:before="180"/>
      <w:jc w:val="both"/>
    </w:pPr>
    <w:rPr>
      <w:sz w:val="20"/>
    </w:rPr>
  </w:style>
  <w:style w:customStyle="1" w:styleId="FirstParagraph" w:type="paragraph">
    <w:name w:val="First Paragraph"/>
    <w:basedOn w:val="Corpodetexto"/>
    <w:next w:val="Corpodetexto"/>
    <w:qFormat/>
  </w:style>
  <w:style w:customStyle="1" w:styleId="Compact" w:type="paragraph">
    <w:name w:val="Compact"/>
    <w:basedOn w:val="Corpodetexto"/>
    <w:qFormat/>
    <w:pPr>
      <w:spacing w:after="36" w:before="36"/>
    </w:pPr>
  </w:style>
  <w:style w:styleId="Ttulo" w:type="paragraph">
    <w:name w:val="Title"/>
    <w:basedOn w:val="Normal"/>
    <w:next w:val="Corpodetexto"/>
    <w:autoRedefine/>
    <w:qFormat/>
    <w:rsid w:val="009800A6"/>
    <w:pPr>
      <w:keepNext/>
      <w:keepLines/>
      <w:spacing w:after="240" w:before="3000"/>
      <w:jc w:val="center"/>
    </w:pPr>
    <w:rPr>
      <w:rFonts w:cstheme="majorBidi" w:eastAsiaTheme="majorEastAsia"/>
      <w:b/>
      <w:bCs/>
      <w:color w:val="233262"/>
      <w:sz w:val="36"/>
      <w:szCs w:val="36"/>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autoRedefine/>
    <w:qFormat/>
    <w:rsid w:val="00CA7DCC"/>
    <w:pPr>
      <w:keepNext/>
      <w:keepLines/>
      <w:jc w:val="center"/>
    </w:pPr>
    <w:rPr>
      <w:rFonts w:ascii="Lato" w:hAnsi="Lato"/>
      <w:sz w:val="22"/>
    </w:rPr>
  </w:style>
  <w:style w:styleId="Data" w:type="paragraph">
    <w:name w:val="Date"/>
    <w:next w:val="Corpodetexto"/>
    <w:qFormat/>
    <w:pPr>
      <w:keepNext/>
      <w:keepLines/>
      <w:jc w:val="center"/>
    </w:pPr>
  </w:style>
  <w:style w:customStyle="1" w:styleId="Abstract" w:type="paragraph">
    <w:name w:val="Abstract"/>
    <w:basedOn w:val="Normal"/>
    <w:next w:val="Corpodetexto"/>
    <w:autoRedefine/>
    <w:qFormat/>
    <w:rsid w:val="008C6290"/>
    <w:pPr>
      <w:keepNext/>
      <w:keepLines/>
      <w:spacing w:after="300" w:before="300"/>
    </w:pPr>
    <w:rPr>
      <w:sz w:val="20"/>
      <w:szCs w:val="20"/>
    </w:rPr>
  </w:style>
  <w:style w:styleId="Bibliografia" w:type="paragraph">
    <w:name w:val="Bibliography"/>
    <w:basedOn w:val="Normal"/>
    <w:qFormat/>
  </w:style>
  <w:style w:styleId="Textoembloco" w:type="paragraph">
    <w:name w:val="Block Text"/>
    <w:basedOn w:val="Corpodetexto"/>
    <w:next w:val="Corpodetexto"/>
    <w:uiPriority w:val="9"/>
    <w:unhideWhenUsed/>
    <w:qFormat/>
    <w:pPr>
      <w:spacing w:after="100" w:before="100"/>
      <w:ind w:left="480" w:right="480"/>
    </w:pPr>
  </w:style>
  <w:style w:styleId="Textodenotaderodap" w:type="paragraph">
    <w:name w:val="footnote text"/>
    <w:basedOn w:val="Normal"/>
    <w:autoRedefine/>
    <w:uiPriority w:val="9"/>
    <w:unhideWhenUsed/>
    <w:qFormat/>
    <w:rsid w:val="00C87C85"/>
    <w:pPr>
      <w:spacing w:after="0"/>
    </w:pPr>
    <w:rPr>
      <w:sz w:val="16"/>
    </w:rPr>
  </w:style>
  <w:style w:customStyle="1" w:styleId="Table" w:type="table">
    <w:name w:val="Table"/>
    <w:semiHidden/>
    <w:unhideWhenUsed/>
    <w:qFormat/>
    <w:rsid w:val="00460CA9"/>
    <w:pPr>
      <w:spacing w:after="0"/>
      <w:jc w:val="center"/>
    </w:pPr>
    <w:rPr>
      <w:rFonts w:ascii="Lato" w:hAnsi="Lato"/>
      <w:sz w:val="20"/>
      <w:szCs w:val="20"/>
      <w:lang w:eastAsia="pt-BR"/>
    </w:rPr>
    <w:tblPr>
      <w:tblStyleRowBandSize w:val="1"/>
      <w:jc w:val="center"/>
      <w:tblInd w:type="dxa" w:w="0"/>
      <w:tblCellMar>
        <w:top w:type="dxa" w:w="0"/>
        <w:left w:type="dxa" w:w="108"/>
        <w:bottom w:type="dxa" w:w="0"/>
        <w:right w:type="dxa" w:w="108"/>
      </w:tblCellMar>
    </w:tblPr>
    <w:trPr>
      <w:jc w:val="center"/>
    </w:trPr>
    <w:tcPr>
      <w:vAlign w:val="center"/>
    </w:tcPr>
    <w:tblStylePr w:type="firstRow">
      <w:tblPr/>
      <w:tcPr>
        <w:tcBorders>
          <w:bottom w:color="auto" w:space="0" w:sz="4" w:val="single"/>
        </w:tcBorders>
        <w:shd w:color="auto" w:fill="D9D9D9" w:themeFill="background1" w:themeFillShade="D9" w:val="clear"/>
      </w:tcPr>
    </w:tblStylePr>
    <w:tblStylePr w:type="lastRow">
      <w:rPr>
        <w:rFonts w:ascii="Lato" w:hAnsi="Lato"/>
        <w:sz w:val="20"/>
      </w:rPr>
      <w:tblPr>
        <w:jc w:val="center"/>
      </w:tblPr>
      <w:trPr>
        <w:jc w:val="center"/>
      </w:trPr>
      <w:tcPr>
        <w:tcBorders>
          <w:top w:color="auto" w:space="0" w:sz="4" w:val="single"/>
          <w:bottom w:color="auto" w:space="0" w:sz="4" w:val="single"/>
        </w:tcBorders>
      </w:tcPr>
    </w:tblStylePr>
    <w:tblStylePr w:type="band2Horz">
      <w:rPr>
        <w:rFonts w:ascii="Lato" w:hAnsi="Lato"/>
        <w:sz w:val="20"/>
      </w:rPr>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autoRedefine/>
    <w:rsid w:val="00755E8A"/>
    <w:pPr>
      <w:keepNext/>
      <w:jc w:val="center"/>
    </w:pPr>
    <w:rPr>
      <w:i w:val="0"/>
      <w:sz w:val="20"/>
    </w:rPr>
  </w:style>
  <w:style w:customStyle="1" w:styleId="ImageCaption" w:type="paragraph">
    <w:name w:val="Image Caption"/>
    <w:basedOn w:val="Legenda"/>
    <w:rsid w:val="004505C7"/>
    <w:pPr>
      <w:jc w:val="center"/>
    </w:pPr>
    <w:rPr>
      <w:i w:val="0"/>
      <w:sz w:val="20"/>
    </w:rPr>
  </w:style>
  <w:style w:customStyle="1" w:styleId="Figure" w:type="paragraph">
    <w:name w:val="Figure"/>
    <w:basedOn w:val="Normal"/>
  </w:style>
  <w:style w:customStyle="1" w:styleId="CaptionedFigure" w:type="paragraph">
    <w:name w:val="Captioned Figure"/>
    <w:basedOn w:val="Figure"/>
    <w:rsid w:val="00CA339C"/>
    <w:pPr>
      <w:keepNext/>
    </w:pPr>
    <w:rPr>
      <w:sz w:val="20"/>
    </w:rPr>
  </w:style>
  <w:style w:customStyle="1" w:styleId="LegendaChar" w:type="character">
    <w:name w:val="Legenda Char"/>
    <w:basedOn w:val="Fontepargpadro"/>
    <w:link w:val="Legenda"/>
  </w:style>
  <w:style w:customStyle="1" w:styleId="VerbatimChar" w:type="character">
    <w:name w:val="Verbatim Char"/>
    <w:basedOn w:val="LegendaChar"/>
    <w:link w:val="SourceCode"/>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uiPriority w:val="99"/>
    <w:rsid w:val="00755E8A"/>
    <w:rPr>
      <w:color w:val="3E8399"/>
    </w:rPr>
  </w:style>
  <w:style w:styleId="CabealhodoSumrio" w:type="paragraph">
    <w:name w:val="TOC Heading"/>
    <w:basedOn w:val="Ttulo1"/>
    <w:next w:val="Corpodetexto"/>
    <w:uiPriority w:val="39"/>
    <w:unhideWhenUsed/>
    <w:qFormat/>
    <w:rsid w:val="00050AB3"/>
    <w:pPr>
      <w:spacing w:before="240" w:line="360" w:lineRule="auto"/>
      <w:outlineLvl w:val="9"/>
    </w:pPr>
    <w:rPr>
      <w:rFonts w:ascii="Lato" w:hAnsi="Lato"/>
      <w:bCs w:val="0"/>
      <w:sz w:val="28"/>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Sumrio2" w:type="paragraph">
    <w:name w:val="toc 2"/>
    <w:basedOn w:val="Normal"/>
    <w:next w:val="Normal"/>
    <w:autoRedefine/>
    <w:uiPriority w:val="39"/>
    <w:unhideWhenUsed/>
    <w:rsid w:val="00CA7DCC"/>
    <w:pPr>
      <w:spacing w:after="100"/>
      <w:ind w:left="240"/>
    </w:pPr>
    <w:rPr>
      <w:sz w:val="20"/>
    </w:rPr>
  </w:style>
  <w:style w:styleId="Sumrio3" w:type="paragraph">
    <w:name w:val="toc 3"/>
    <w:basedOn w:val="Normal"/>
    <w:next w:val="Normal"/>
    <w:autoRedefine/>
    <w:uiPriority w:val="39"/>
    <w:unhideWhenUsed/>
    <w:rsid w:val="00CA7DCC"/>
    <w:pPr>
      <w:spacing w:after="100"/>
      <w:ind w:left="480"/>
    </w:pPr>
    <w:rPr>
      <w:sz w:val="20"/>
    </w:rPr>
  </w:style>
  <w:style w:styleId="Corpodetexto2" w:type="paragraph">
    <w:name w:val="Body Text 2"/>
    <w:basedOn w:val="Normal"/>
    <w:link w:val="Corpodetexto2Char"/>
    <w:rsid w:val="008C6290"/>
    <w:pPr>
      <w:spacing w:after="120" w:line="480" w:lineRule="auto"/>
    </w:pPr>
  </w:style>
  <w:style w:customStyle="1" w:styleId="CorpodetextoChar" w:type="character">
    <w:name w:val="Corpo de texto Char"/>
    <w:basedOn w:val="Fontepargpadro"/>
    <w:link w:val="Corpodetexto"/>
    <w:rsid w:val="00CA7DCC"/>
    <w:rPr>
      <w:rFonts w:ascii="Lato" w:hAnsi="Lato"/>
      <w:sz w:val="20"/>
    </w:rPr>
  </w:style>
  <w:style w:customStyle="1" w:styleId="Corpodetexto2Char" w:type="character">
    <w:name w:val="Corpo de texto 2 Char"/>
    <w:basedOn w:val="Fontepargpadro"/>
    <w:link w:val="Corpodetexto2"/>
    <w:rsid w:val="008C6290"/>
    <w:rPr>
      <w:rFonts w:ascii="Lato" w:hAnsi="Lato"/>
    </w:rPr>
  </w:style>
  <w:style w:styleId="Corpodetexto3" w:type="paragraph">
    <w:name w:val="Body Text 3"/>
    <w:basedOn w:val="Normal"/>
    <w:link w:val="Corpodetexto3Char"/>
    <w:rsid w:val="008C6290"/>
    <w:pPr>
      <w:spacing w:after="120"/>
    </w:pPr>
    <w:rPr>
      <w:sz w:val="16"/>
      <w:szCs w:val="16"/>
    </w:rPr>
  </w:style>
  <w:style w:customStyle="1" w:styleId="Corpodetexto3Char" w:type="character">
    <w:name w:val="Corpo de texto 3 Char"/>
    <w:basedOn w:val="Fontepargpadro"/>
    <w:link w:val="Corpodetexto3"/>
    <w:rsid w:val="008C6290"/>
    <w:rPr>
      <w:rFonts w:ascii="Lato" w:hAnsi="Lato"/>
      <w:sz w:val="16"/>
      <w:szCs w:val="16"/>
    </w:rPr>
  </w:style>
  <w:style w:styleId="Sumrio4" w:type="paragraph">
    <w:name w:val="toc 4"/>
    <w:basedOn w:val="Normal"/>
    <w:next w:val="Normal"/>
    <w:autoRedefine/>
    <w:semiHidden/>
    <w:unhideWhenUsed/>
    <w:rsid w:val="008C6290"/>
    <w:pPr>
      <w:spacing w:after="100"/>
      <w:ind w:left="720"/>
    </w:pPr>
  </w:style>
  <w:style w:styleId="Sumrio5" w:type="paragraph">
    <w:name w:val="toc 5"/>
    <w:basedOn w:val="Normal"/>
    <w:next w:val="Normal"/>
    <w:autoRedefine/>
    <w:semiHidden/>
    <w:unhideWhenUsed/>
    <w:rsid w:val="008C6290"/>
    <w:pPr>
      <w:spacing w:after="100"/>
      <w:ind w:left="960"/>
    </w:pPr>
  </w:style>
  <w:style w:styleId="TextodoEspaoReservado" w:type="character">
    <w:name w:val="Placeholder Text"/>
    <w:basedOn w:val="Fontepargpadro"/>
    <w:semiHidden/>
    <w:rsid w:val="00446AE8"/>
    <w:rPr>
      <w:color w:val="808080"/>
    </w:rPr>
  </w:style>
  <w:style w:styleId="Sumrio1" w:type="paragraph">
    <w:name w:val="toc 1"/>
    <w:basedOn w:val="Normal"/>
    <w:next w:val="Normal"/>
    <w:autoRedefine/>
    <w:semiHidden/>
    <w:unhideWhenUsed/>
    <w:rsid w:val="00850BDF"/>
    <w:pPr>
      <w:spacing w:after="100"/>
    </w:pPr>
    <w:rPr>
      <w:sz w:val="20"/>
    </w:rPr>
  </w:style>
  <w:style w:styleId="Linkinteligente" w:type="character">
    <w:name w:val="Smart Link"/>
    <w:basedOn w:val="Fontepargpadro"/>
    <w:uiPriority w:val="99"/>
    <w:semiHidden/>
    <w:unhideWhenUsed/>
    <w:rsid w:val="00850BDF"/>
    <w:rPr>
      <w:color w:val="233262"/>
      <w:u w:val="single"/>
      <w:shd w:color="auto" w:fill="F3F2F1" w:val="clear"/>
    </w:rPr>
  </w:style>
  <w:style w:styleId="CitaoIntensa" w:type="paragraph">
    <w:name w:val="Intense Quote"/>
    <w:basedOn w:val="Normal"/>
    <w:next w:val="Normal"/>
    <w:link w:val="CitaoIntensaChar"/>
    <w:rsid w:val="00755E8A"/>
    <w:pPr>
      <w:pBdr>
        <w:top w:color="4F81BD" w:space="10" w:sz="4" w:themeColor="accent1" w:val="single"/>
        <w:bottom w:color="4F81BD" w:space="10" w:sz="4" w:themeColor="accent1" w:val="single"/>
      </w:pBdr>
      <w:spacing w:after="360" w:before="360"/>
      <w:ind w:left="864" w:right="864"/>
      <w:jc w:val="center"/>
    </w:pPr>
    <w:rPr>
      <w:i/>
      <w:iCs/>
      <w:color w:val="233262"/>
    </w:rPr>
  </w:style>
  <w:style w:customStyle="1" w:styleId="CitaoIntensaChar" w:type="character">
    <w:name w:val="Citação Intensa Char"/>
    <w:basedOn w:val="Fontepargpadro"/>
    <w:link w:val="CitaoIntensa"/>
    <w:rsid w:val="00755E8A"/>
    <w:rPr>
      <w:rFonts w:ascii="Lato" w:hAnsi="Lato"/>
      <w:i/>
      <w:iCs/>
      <w:color w:val="233262"/>
    </w:rPr>
  </w:style>
  <w:style w:styleId="Rodap" w:type="paragraph">
    <w:name w:val="footer"/>
    <w:basedOn w:val="Normal"/>
    <w:link w:val="RodapChar"/>
    <w:uiPriority w:val="99"/>
    <w:unhideWhenUsed/>
    <w:rsid w:val="00755E8A"/>
    <w:pPr>
      <w:tabs>
        <w:tab w:pos="4252" w:val="center"/>
        <w:tab w:pos="8504" w:val="right"/>
      </w:tabs>
      <w:spacing w:after="0"/>
    </w:pPr>
    <w:rPr>
      <w:sz w:val="16"/>
    </w:rPr>
  </w:style>
  <w:style w:customStyle="1" w:styleId="RodapChar" w:type="character">
    <w:name w:val="Rodapé Char"/>
    <w:basedOn w:val="Fontepargpadro"/>
    <w:link w:val="Rodap"/>
    <w:uiPriority w:val="99"/>
    <w:rsid w:val="00755E8A"/>
    <w:rPr>
      <w:rFonts w:ascii="Lato" w:hAnsi="Lato"/>
      <w:sz w:val="16"/>
    </w:rPr>
  </w:style>
  <w:style w:styleId="Meno" w:type="character">
    <w:name w:val="Mention"/>
    <w:basedOn w:val="Fontepargpadro"/>
    <w:uiPriority w:val="99"/>
    <w:semiHidden/>
    <w:unhideWhenUsed/>
    <w:rsid w:val="007517E5"/>
    <w:rPr>
      <w:color w:val="3E8399"/>
      <w:shd w:color="auto" w:fill="E1DFDD" w:val="clear"/>
    </w:rPr>
  </w:style>
  <w:style w:customStyle="1" w:styleId="ABJ" w:type="table">
    <w:name w:val="ABJ"/>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deGrade1Clara" w:type="table">
    <w:name w:val="Grid Table 1 Light"/>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comgrade" w:type="table">
    <w:name w:val="Table Grid"/>
    <w:basedOn w:val="Tabelanormal"/>
    <w:rsid w:val="00CA339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bealho" w:type="paragraph">
    <w:name w:val="header"/>
    <w:basedOn w:val="Normal"/>
    <w:link w:val="CabealhoChar"/>
    <w:unhideWhenUsed/>
    <w:rsid w:val="00C87C85"/>
    <w:pPr>
      <w:tabs>
        <w:tab w:pos="4252" w:val="center"/>
        <w:tab w:pos="8504" w:val="right"/>
      </w:tabs>
      <w:spacing w:after="0"/>
    </w:pPr>
    <w:rPr>
      <w:i/>
      <w:sz w:val="16"/>
    </w:rPr>
  </w:style>
  <w:style w:customStyle="1" w:styleId="CabealhoChar" w:type="character">
    <w:name w:val="Cabeçalho Char"/>
    <w:basedOn w:val="Fontepargpadro"/>
    <w:link w:val="Cabealho"/>
    <w:rsid w:val="00C87C85"/>
    <w:rPr>
      <w:rFonts w:ascii="Lato" w:hAnsi="Lato"/>
      <w:i/>
      <w:sz w:val="16"/>
    </w:rPr>
  </w:style>
  <w:style w:styleId="MenoPendente" w:type="character">
    <w:name w:val="Unresolved Mention"/>
    <w:basedOn w:val="Fontepargpadro"/>
    <w:uiPriority w:val="99"/>
    <w:semiHidden/>
    <w:unhideWhenUsed/>
    <w:rsid w:val="00C87C85"/>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5983">
      <w:bodyDiv w:val="1"/>
      <w:marLeft w:val="0"/>
      <w:marRight w:val="0"/>
      <w:marTop w:val="0"/>
      <w:marBottom w:val="0"/>
      <w:divBdr>
        <w:top w:val="none" w:sz="0" w:space="0" w:color="auto"/>
        <w:left w:val="none" w:sz="0" w:space="0" w:color="auto"/>
        <w:bottom w:val="none" w:sz="0" w:space="0" w:color="auto"/>
        <w:right w:val="none" w:sz="0" w:space="0" w:color="auto"/>
      </w:divBdr>
    </w:div>
    <w:div w:id="1732843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Id="rId15" Target="footer4.xml" Type="http://schemas.openxmlformats.org/officeDocument/2006/relationships/footer" /><Relationship Type="http://schemas.openxmlformats.org/officeDocument/2006/relationships/image" Id="rId98" Target="media/rId98.png" /><Relationship Type="http://schemas.openxmlformats.org/officeDocument/2006/relationships/image" Id="rId93" Target="media/rId93.png" /><Relationship Type="http://schemas.openxmlformats.org/officeDocument/2006/relationships/image" Id="rId66" Target="media/rId66.png" /><Relationship Type="http://schemas.openxmlformats.org/officeDocument/2006/relationships/image" Id="rId48" Target="media/rId48.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134" Target="media/rId134.png" /><Relationship Type="http://schemas.openxmlformats.org/officeDocument/2006/relationships/image" Id="rId154" Target="media/rId154.png" /><Relationship Type="http://schemas.openxmlformats.org/officeDocument/2006/relationships/image" Id="rId114" Target="media/rId114.png" /><Relationship Type="http://schemas.openxmlformats.org/officeDocument/2006/relationships/image" Id="rId130" Target="media/rId130.png" /><Relationship Type="http://schemas.openxmlformats.org/officeDocument/2006/relationships/image" Id="rId122" Target="media/rId122.png" /><Relationship Type="http://schemas.openxmlformats.org/officeDocument/2006/relationships/image" Id="rId142" Target="media/rId142.png" /><Relationship Type="http://schemas.openxmlformats.org/officeDocument/2006/relationships/image" Id="rId150" Target="media/rId150.png" /><Relationship Type="http://schemas.openxmlformats.org/officeDocument/2006/relationships/image" Id="rId118" Target="media/rId118.png" /><Relationship Type="http://schemas.openxmlformats.org/officeDocument/2006/relationships/image" Id="rId138" Target="media/rId138.png" /><Relationship Type="http://schemas.openxmlformats.org/officeDocument/2006/relationships/image" Id="rId40" Target="media/rId40.png" /><Relationship Type="http://schemas.openxmlformats.org/officeDocument/2006/relationships/image" Id="rId58" Target="media/rId58.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27" Target="https://abjur.shinyapps.io/ambientalCNJ/" TargetMode="External" /><Relationship Type="http://schemas.openxmlformats.org/officeDocument/2006/relationships/hyperlink" Id="rId22" Target="https://sirenejud.cnj.jus.br/mapa/geral"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abj.org.br" TargetMode="External"/></Relationships>
</file>

<file path=word/_rels/footnotes.xml.rels><?xml version="1.0" encoding="UTF-8"?><Relationships xmlns="http://schemas.openxmlformats.org/package/2006/relationships"><Relationship Type="http://schemas.openxmlformats.org/officeDocument/2006/relationships/hyperlink" Id="rId27" Target="https://abjur.shinyapps.io/ambientalCNJ/" TargetMode="External" /><Relationship Type="http://schemas.openxmlformats.org/officeDocument/2006/relationships/hyperlink" Id="rId22" Target="https://sirenejud.cnj.jus.br/mapa/geral"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BJ">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506</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descritiva</dc:title>
  <dc:creator>ABJ</dc:creator>
  <dc:language>pt</dc:language>
  <cp:keywords/>
  <dcterms:created xsi:type="dcterms:W3CDTF">2023-07-09T19:41:16Z</dcterms:created>
  <dcterms:modified xsi:type="dcterms:W3CDTF">2023-07-09T19:41:16Z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assets/bib/geral.bib</vt:lpwstr>
  </property>
  <property fmtid="{D5CDD505-2E9C-101B-9397-08002B2CF9AE}" pid="5" name="by-author">
    <vt:lpwstr/>
  </property>
  <property fmtid="{D5CDD505-2E9C-101B-9397-08002B2CF9AE}" pid="6" name="date">
    <vt:lpwstr>2023-06-10</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Índice</vt:lpwstr>
  </property>
</Properties>
</file>