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6.png" ContentType="image/png"/>
  <Override PartName="/word/media/rId44.png" ContentType="image/png"/>
  <Override PartName="/word/media/rId4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do</w:t>
      </w:r>
      <w:r>
        <w:t xml:space="preserve"> </w:t>
      </w:r>
      <w:r>
        <w:t xml:space="preserve">SireneJud</w:t>
      </w:r>
    </w:p>
    <w:p>
      <w:pPr>
        <w:pStyle w:val="Author"/>
      </w:pPr>
      <w:r>
        <w:t xml:space="preserve">ABJ</w:t>
      </w:r>
    </w:p>
    <w:p>
      <w:pPr>
        <w:pStyle w:val="Date"/>
      </w:pPr>
      <w:r>
        <w:t xml:space="preserve">04/11/2022</w:t>
      </w:r>
    </w:p>
    <w:p>
      <w:pPr>
        <w:pStyle w:val="FirstParagraph"/>
      </w:pPr>
      <w:r>
        <w:t xml:space="preserve">Este relatório mostra uma análise exploratória de dados (</w:t>
      </w:r>
      <w:r>
        <w:rPr>
          <w:iCs/>
          <w:i/>
        </w:rPr>
        <w:t xml:space="preserve">Exploratory Data Analysis</w:t>
      </w:r>
      <w:r>
        <w:t xml:space="preserve">, EDA) da base de dados do SireneJud. A base foi baixada no dia 04/09/2022, a partir de um arquivo CSV, contendo 588.197 linhas e 26 colunas. A base foi baixada a partir do</w:t>
      </w:r>
      <w:r>
        <w:t xml:space="preserve"> </w:t>
      </w:r>
      <w:hyperlink r:id="rId20">
        <w:r>
          <w:rPr>
            <w:rStyle w:val="Hyperlink"/>
          </w:rPr>
          <w:t xml:space="preserve">link de dados abertos da ferramenta do SireneJud</w:t>
        </w:r>
      </w:hyperlink>
      <w:r>
        <w:t xml:space="preserve">.</w:t>
      </w:r>
    </w:p>
    <w:bookmarkStart w:id="21" w:name="sobre-a-base-de-dados"/>
    <w:p>
      <w:pPr>
        <w:pStyle w:val="Ttulo2"/>
      </w:pPr>
      <w:r>
        <w:t xml:space="preserve">Sobre a base de dados</w:t>
      </w:r>
    </w:p>
    <w:p>
      <w:pPr>
        <w:pStyle w:val="FirstParagraph"/>
      </w:pPr>
      <w:r>
        <w:t xml:space="preserve">A base de dados do SireneJud apresenta uma estrutura comum de bases de dados judiciais, contendo três unidades amostrais distintas: processos, partes e movimentações.</w:t>
      </w:r>
    </w:p>
    <w:p>
      <w:pPr>
        <w:pStyle w:val="BodyText"/>
      </w:pPr>
      <w:r>
        <w:t xml:space="preserve">Os processos apresentam as seguintes colunas: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FID</w:t>
      </w:r>
      <w:r>
        <w:t xml:space="preserve">: ID único, linha da base.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geom</w:t>
      </w:r>
      <w:r>
        <w:t xml:space="preserve">: geometria do ponto de origem (latitude e longitude).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ano</w:t>
      </w:r>
      <w:r>
        <w:t xml:space="preserve">: ano de distribuição do processo.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uf</w:t>
      </w:r>
      <w:r>
        <w:t xml:space="preserve">: unidade federativa de distribuição do processo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municipio</w:t>
      </w:r>
      <w:r>
        <w:t xml:space="preserve">: municipio de distribuição do processo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grau</w:t>
      </w:r>
      <w:r>
        <w:t xml:space="preserve">: grau originário do processo (G1: primeiro grau, G2: segundo grau, JE: juizado especial, TR: turma recursal, TRU: turma recursal unificada).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esfera</w:t>
      </w:r>
      <w:r>
        <w:t xml:space="preserve">: federal ou estadual.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tribunal</w:t>
      </w:r>
      <w:r>
        <w:t xml:space="preserve">: tribunal de origem do processo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orgao</w:t>
      </w:r>
      <w:r>
        <w:t xml:space="preserve">: órgão julgador (vara, câmara etc)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porte</w:t>
      </w:r>
      <w:r>
        <w:t xml:space="preserve">: porte do tribunal, segundo classificação do CNJ disponível no relatório Justiça em Números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classe</w:t>
      </w:r>
      <w:r>
        <w:t xml:space="preserve">: classe do processo segundo a SGT.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assunto</w:t>
      </w:r>
      <w:r>
        <w:t xml:space="preserve">: códigos e nomes dos assuntos dos processos segundo a SGT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datas</w:t>
      </w:r>
      <w:r>
        <w:t xml:space="preserve">: início do processo, julgamento e baixado. Caso o processo esteja ativo, a data de julgamento ou baixado é vazia.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tempo</w:t>
      </w:r>
      <w:r>
        <w:t xml:space="preserve">: tempo de tramitação até o dia de extração dos dados.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julgamento</w:t>
      </w:r>
      <w:r>
        <w:t xml:space="preserve">: indicador de processo concluído ou em andamento.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complexo</w:t>
      </w:r>
      <w:r>
        <w:t xml:space="preserve">: indicador de processo de alta complexidade.</w:t>
      </w:r>
    </w:p>
    <w:p>
      <w:pPr>
        <w:pStyle w:val="FirstParagraph"/>
      </w:pPr>
      <w:r>
        <w:t xml:space="preserve">Os dados de partes apresentam as seguintes colunas: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polo</w:t>
      </w:r>
      <w:r>
        <w:t xml:space="preserve">: ativo ou passivo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nome</w:t>
      </w:r>
      <w:r>
        <w:t xml:space="preserve">: nome da parte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sexo</w:t>
      </w:r>
      <w:r>
        <w:t xml:space="preserve">: sexo da parte (se pessoa física)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tipo</w:t>
      </w:r>
      <w:r>
        <w:t xml:space="preserve">: jurídica ou física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documento</w:t>
      </w:r>
      <w:r>
        <w:t xml:space="preserve">: CNPJ da parte, se juridica, e vazia caso contrário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nacionalidade</w:t>
      </w:r>
      <w:r>
        <w:t xml:space="preserve">: nacionalidade da parte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assistencia</w:t>
      </w:r>
      <w:r>
        <w:t xml:space="preserve">: assistência judiciária gratuita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intimacao</w:t>
      </w:r>
      <w:r>
        <w:t xml:space="preserve">: intimação pendente</w:t>
      </w:r>
    </w:p>
    <w:p>
      <w:pPr>
        <w:pStyle w:val="FirstParagraph"/>
      </w:pPr>
      <w:r>
        <w:t xml:space="preserve">Os dados de movimentações apresentam as seguintes colunas: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</w:t>
      </w:r>
      <w:r>
        <w:t xml:space="preserve">: data da movimentação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grau</w:t>
      </w:r>
      <w:r>
        <w:t xml:space="preserve">: grau da movimentação (primeiro grau, segundo grau, etc)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nome_situacao</w:t>
      </w:r>
      <w:r>
        <w:t xml:space="preserve">: nome da situação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fase</w:t>
      </w:r>
      <w:r>
        <w:t xml:space="preserve">: fase processual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tipo</w:t>
      </w:r>
      <w:r>
        <w:t xml:space="preserve">: tipo de procedimento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natureza</w:t>
      </w:r>
      <w:r>
        <w:t xml:space="preserve">: natureza do procedimento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nome</w:t>
      </w:r>
      <w:r>
        <w:t xml:space="preserve">: nome do movimento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julgador</w:t>
      </w:r>
      <w:r>
        <w:t xml:space="preserve">: nome do julgador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criminal</w:t>
      </w:r>
      <w:r>
        <w:t xml:space="preserve">: indicador de criminal</w:t>
      </w:r>
    </w:p>
    <w:p>
      <w:pPr>
        <w:pStyle w:val="FirstParagraph"/>
      </w:pPr>
      <w:r>
        <w:t xml:space="preserve">No momento, vamos analisar somente os dados de</w:t>
      </w:r>
      <w:r>
        <w:t xml:space="preserve"> </w:t>
      </w:r>
      <w:r>
        <w:rPr>
          <w:bCs/>
          <w:b/>
        </w:rPr>
        <w:t xml:space="preserve">processos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partes</w:t>
      </w:r>
      <w:r>
        <w:t xml:space="preserve">. A análise das movimentações ficará para um estudo futuro.</w:t>
      </w:r>
    </w:p>
    <w:bookmarkEnd w:id="21"/>
    <w:bookmarkStart w:id="22" w:name="filtros"/>
    <w:p>
      <w:pPr>
        <w:pStyle w:val="Ttulo2"/>
      </w:pPr>
      <w:r>
        <w:t xml:space="preserve">Filtros</w:t>
      </w:r>
    </w:p>
    <w:p>
      <w:pPr>
        <w:pStyle w:val="FirstParagraph"/>
      </w:pPr>
      <w:r>
        <w:t xml:space="preserve">O primeiro passo da análise é realizar filtros para obter uma base que faz parte do escopo da pesquisa. O escopo da pesquisa ainda não está totalmente definido no momento de escrita do presente relatório, mas vamos fazer algumas escolhas para facilitar a análise.</w:t>
      </w:r>
    </w:p>
    <w:p>
      <w:pPr>
        <w:pStyle w:val="BodyText"/>
      </w:pPr>
      <w:r>
        <w:t xml:space="preserve">Os filtros aplicados no momento são:</w:t>
      </w:r>
    </w:p>
    <w:p>
      <w:pPr>
        <w:numPr>
          <w:ilvl w:val="0"/>
          <w:numId w:val="1004"/>
        </w:numPr>
        <w:pStyle w:val="Compact"/>
      </w:pPr>
      <w:r>
        <w:t xml:space="preserve">Apenas processos originários no primeiro grau ou segundo grau (remover juizado especial e turma recursal).</w:t>
      </w:r>
    </w:p>
    <w:p>
      <w:pPr>
        <w:numPr>
          <w:ilvl w:val="0"/>
          <w:numId w:val="1004"/>
        </w:numPr>
        <w:pStyle w:val="Compact"/>
      </w:pPr>
      <w:r>
        <w:t xml:space="preserve">Remover processos de alta complexidade</w:t>
      </w:r>
    </w:p>
    <w:p>
      <w:pPr>
        <w:numPr>
          <w:ilvl w:val="0"/>
          <w:numId w:val="1004"/>
        </w:numPr>
        <w:pStyle w:val="Compact"/>
      </w:pPr>
      <w:r>
        <w:t xml:space="preserve">Remover duplicatas de número de processo (ordenamos por grau antes de tirar as duplicatas)</w:t>
      </w:r>
    </w:p>
    <w:bookmarkEnd w:id="22"/>
    <w:bookmarkStart w:id="26" w:name="informações-básicas"/>
    <w:p>
      <w:pPr>
        <w:pStyle w:val="Ttulo2"/>
      </w:pPr>
      <w:r>
        <w:t xml:space="preserve">Informações básicas</w:t>
      </w:r>
    </w:p>
    <w:p>
      <w:pPr>
        <w:pStyle w:val="FirstParagraph"/>
      </w:pPr>
      <w:r>
        <w:t xml:space="preserve">Do total de 353385 processos, 293987 (83%) são estaduais. Dentre os processos estaduais, o tribunal mais comum é o TJSP, com 57129 (19.4%) dos processos estaduais.</w:t>
      </w:r>
    </w:p>
    <w:p>
      <w:pPr>
        <w:pStyle w:val="BodyText"/>
      </w:pPr>
      <w:r>
        <w:t xml:space="preserve">As 10 classes mais comuns dos processos estão na</w:t>
      </w:r>
      <w:r>
        <w:t xml:space="preserve"> </w:t>
      </w:r>
      <w:hyperlink w:anchor="tbl-classe">
        <w:r>
          <w:rPr>
            <w:rStyle w:val="Hyperlink"/>
          </w:rPr>
          <w:t xml:space="preserve">Tabela 1</w:t>
        </w:r>
      </w:hyperlink>
      <w:r>
        <w:t xml:space="preserve">. Como as classes podem variar conforme a fase do processo (e.g. inquéito policial, cumprimento de sentença), é preciso tomar cuidado na hora de realizar filtros por essa variável.</w:t>
      </w:r>
    </w:p>
    <w:bookmarkStart w:id="23" w:name="tbl-classe"/>
    <w:p>
      <w:pPr>
        <w:pStyle w:val="TableCaption"/>
      </w:pPr>
      <w:r>
        <w:t xml:space="preserve">Tabela 1: Dez classes mais comuns.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1: Dez classes mais comun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sgt_nm_classe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Inquérito Policial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Ação Civil Pública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Procedimento Comum Cível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Ação Penal - Procedimento Ordinário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Crimes Ambientais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Agravo de Instrumento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Termo Circunstanciado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Ação Penal - Procedimento Sumário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Apelação Cível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Cumprimento de sentença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3.08%</w:t>
            </w:r>
          </w:p>
        </w:tc>
      </w:tr>
    </w:tbl>
    <w:bookmarkEnd w:id="23"/>
    <w:p>
      <w:pPr>
        <w:pStyle w:val="BodyText"/>
      </w:pPr>
      <w:r>
        <w:t xml:space="preserve">Os 10 assuntos mais comuns estão na</w:t>
      </w:r>
      <w:r>
        <w:t xml:space="preserve"> </w:t>
      </w:r>
      <w:hyperlink w:anchor="tbl-assunto">
        <w:r>
          <w:rPr>
            <w:rStyle w:val="Hyperlink"/>
          </w:rPr>
          <w:t xml:space="preserve">Tabela 2</w:t>
        </w:r>
      </w:hyperlink>
      <w:r>
        <w:t xml:space="preserve">. É possível notar que assuntos genéricos como</w:t>
      </w:r>
      <w:r>
        <w:t xml:space="preserve"> </w:t>
      </w:r>
      <w:r>
        <w:t xml:space="preserve">“</w:t>
      </w:r>
      <w:r>
        <w:t xml:space="preserve">Dano Ambiental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DIREITO AMBIENTAL</w:t>
      </w:r>
      <w:r>
        <w:t xml:space="preserve">”</w:t>
      </w:r>
      <w:r>
        <w:t xml:space="preserve"> </w:t>
      </w:r>
      <w:r>
        <w:t xml:space="preserve">são bastante presentes nos dados.</w:t>
      </w:r>
    </w:p>
    <w:bookmarkStart w:id="24" w:name="tbl-assunto"/>
    <w:p>
      <w:pPr>
        <w:pStyle w:val="TableCaption"/>
      </w:pPr>
      <w:r>
        <w:t xml:space="preserve">Tabela 2: Dez assuntos mais comuns. Um processo pode ter mais de um assunto.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2: Dez assuntos mais comuns. Um processo pode ter mais de um assunto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sgt_nm_assunto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Dano Ambiental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Crimes contra a Flora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Crimes contra o Meio Ambiente e o Patrimônio Genético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Crimes contra a Fauna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 Poluição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Revogação/Anulação de multa ambiental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DIREITO AMBIENTAL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Indenização por Dano Ambiental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2.75%</w:t>
            </w:r>
          </w:p>
        </w:tc>
      </w:tr>
    </w:tbl>
    <w:bookmarkEnd w:id="24"/>
    <w:p>
      <w:pPr>
        <w:pStyle w:val="BodyText"/>
      </w:pPr>
      <w:r>
        <w:t xml:space="preserve">As combinações de classes e assuntos mais comuns estão na</w:t>
      </w:r>
      <w:r>
        <w:t xml:space="preserve"> </w:t>
      </w:r>
      <w:hyperlink w:anchor="tbl-classe-assunto">
        <w:r>
          <w:rPr>
            <w:rStyle w:val="Hyperlink"/>
          </w:rPr>
          <w:t xml:space="preserve">Tabela 3</w:t>
        </w:r>
      </w:hyperlink>
      <w:r>
        <w:t xml:space="preserve">. Aparentemente, as classes ajudam mais a pegar informações das fases (que estão disponíveis nas movimentações) do que do tipo de procedimento.</w:t>
      </w:r>
    </w:p>
    <w:bookmarkStart w:id="25" w:name="tbl-classe-assunto"/>
    <w:p>
      <w:pPr>
        <w:pStyle w:val="TableCaption"/>
      </w:pPr>
      <w:r>
        <w:t xml:space="preserve">Tabela 3: Dez combinações de classes e assuntos mais comuns. Um processo pode ter mais de um assunto.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ela 3: Dez combinações de classes e assuntos mais comuns. Um processo pode ter mais de um assunto."/>
      </w:tblPr>
      <w:tblGrid>
        <w:gridCol w:w="2795"/>
        <w:gridCol w:w="4192"/>
        <w:gridCol w:w="465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sgt_nm_classe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sgt_nm_assunto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Inquérito Policial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Crimes contra a Flora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Procedimento Comum Cível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Dano Ambiental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Ação Civil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Dano Ambiental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Inquérito Policial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Crimes contra o Meio Ambiente e o Patrimônio Genético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Inquérito Policial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Crimes contra a Fauna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Ação Penal - Procedimento Ordinário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Crimes contra o Meio Ambiente e o Patrimônio Genético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Inquérito Policial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 Poluição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Ação Penal - Procedimento Ordinário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Crimes contra a Flora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Crimes Ambientais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Crimes contra a Flora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Ação Civil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2.03%</w:t>
            </w:r>
          </w:p>
        </w:tc>
      </w:tr>
    </w:tbl>
    <w:bookmarkEnd w:id="25"/>
    <w:bookmarkEnd w:id="26"/>
    <w:bookmarkStart w:id="35" w:name="localização"/>
    <w:p>
      <w:pPr>
        <w:pStyle w:val="Ttulo2"/>
      </w:pPr>
      <w:r>
        <w:t xml:space="preserve">Localização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mapa">
        <w:r>
          <w:rPr>
            <w:rStyle w:val="Hyperlink"/>
          </w:rPr>
          <w:t xml:space="preserve">Figura 1</w:t>
        </w:r>
      </w:hyperlink>
      <w:r>
        <w:t xml:space="preserve"> </w:t>
      </w:r>
      <w:r>
        <w:t xml:space="preserve">mostra os pontos em que os processos foram distribuídos. A maior parte dos casos foi distribuída em Brasília, o que a princípio não faz muito sentido.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a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1-eda_files/figure-docx/fig-mapa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Pontos de distribuição dos processos</w:t>
            </w:r>
          </w:p>
          <w:bookmarkEnd w:id="30"/>
        </w:tc>
      </w:tr>
    </w:tbl>
    <w:p>
      <w:pPr>
        <w:pStyle w:val="BodyText"/>
      </w:pPr>
      <w:r>
        <w:t xml:space="preserve">A</w:t>
      </w:r>
      <w:r>
        <w:t xml:space="preserve"> </w:t>
      </w:r>
      <w:hyperlink w:anchor="tbl-municipios">
        <w:r>
          <w:rPr>
            <w:rStyle w:val="Hyperlink"/>
          </w:rPr>
          <w:t xml:space="preserve">Tabela 4</w:t>
        </w:r>
      </w:hyperlink>
      <w:r>
        <w:t xml:space="preserve"> </w:t>
      </w:r>
      <w:r>
        <w:t xml:space="preserve">mostra os 10 municípios com mais processos. A maioria são capitais, o que é esperado, já que são municípios mais populosos.</w:t>
      </w:r>
    </w:p>
    <w:bookmarkStart w:id="31" w:name="tbl-municipios"/>
    <w:p>
      <w:pPr>
        <w:pStyle w:val="TableCaption"/>
      </w:pPr>
      <w:r>
        <w:t xml:space="preserve">Tabela 4: Municípios com mais processos.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4: Municípios com mais processos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loc_uf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loc_muni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BRASÍLIA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SAO PAULO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PARANAGUA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VELHO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FLORIANOPOLIS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1.29%</w:t>
            </w:r>
          </w:p>
        </w:tc>
      </w:tr>
    </w:tbl>
    <w:bookmarkEnd w:id="31"/>
    <w:p>
      <w:pPr>
        <w:pStyle w:val="BodyText"/>
      </w:pPr>
      <w:r>
        <w:t xml:space="preserve">A</w:t>
      </w:r>
      <w:r>
        <w:t xml:space="preserve"> </w:t>
      </w:r>
      <w:hyperlink w:anchor="tbl-ilg">
        <w:r>
          <w:rPr>
            <w:rStyle w:val="Hyperlink"/>
          </w:rPr>
          <w:t xml:space="preserve">Tabela 5</w:t>
        </w:r>
      </w:hyperlink>
      <w:r>
        <w:t xml:space="preserve"> </w:t>
      </w:r>
      <w:r>
        <w:t xml:space="preserve">mostra os municípios com maior litigiosidade (processos por 100 mil habitantes). É possível identificar que vários municípios pequenos (com menos de 10 mil habitantes) figuram entre os mais litigiosos.</w:t>
      </w:r>
    </w:p>
    <w:bookmarkStart w:id="32" w:name="tbl-ilg"/>
    <w:p>
      <w:pPr>
        <w:pStyle w:val="TableCaption"/>
      </w:pPr>
      <w:r>
        <w:t xml:space="preserve">Tabela 5: Municípios com mais litigiosidade. Considerada população do Censo IBGE de 2010.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5: Municípios com mais litigiosidade. Considerada população do Censo IBGE de 2010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loc_uf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loc_muni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ilg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BOCAIUVA DO SUL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22014.375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ALFREDO CHAVES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18428.223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SANTANA DO SAO FRANCISCO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9458.681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BONFIM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5149.896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PARANAGUA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4829.224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AIURUOCA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4465.024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CLAUDIA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3707.136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IGUAPE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3528.794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CANANEIA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3470.588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CEDRO DE SAO JOAO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3411.933</w:t>
            </w:r>
          </w:p>
        </w:tc>
      </w:tr>
    </w:tbl>
    <w:bookmarkEnd w:id="32"/>
    <w:p>
      <w:pPr>
        <w:pStyle w:val="BodyText"/>
      </w:pPr>
      <w:r>
        <w:t xml:space="preserve">A</w:t>
      </w:r>
      <w:r>
        <w:t xml:space="preserve"> </w:t>
      </w:r>
      <w:hyperlink w:anchor="tbl-ilg-50k">
        <w:r>
          <w:rPr>
            <w:rStyle w:val="Hyperlink"/>
          </w:rPr>
          <w:t xml:space="preserve">Tabela 6</w:t>
        </w:r>
      </w:hyperlink>
      <w:r>
        <w:t xml:space="preserve"> </w:t>
      </w:r>
      <w:r>
        <w:t xml:space="preserve">mostra os municípios com maior litigiosidade, considerando somente municípios com mais de 50 mil habitantes. Novamente aparecem algumas capitais e figuram entre os mais litigiosos municípios do sul e sudeste.</w:t>
      </w:r>
    </w:p>
    <w:bookmarkStart w:id="33" w:name="tbl-ilg-50k"/>
    <w:p>
      <w:pPr>
        <w:pStyle w:val="TableCaption"/>
      </w:pPr>
      <w:r>
        <w:t xml:space="preserve">Tabela 6: Municípios com mais litigiosidade.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6: Municípios com mais litigiosidad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loc_uf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loc_muni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ilg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PARANAGUA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4829.224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UBATUBA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2729.957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BARCARENA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2176.314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ALTAMIRA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2171.745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SAO SEBASTIAO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1448.526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1376.300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1268.491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1255.606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VELHO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419354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1215.441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ITAITUBA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1208.609</w:t>
            </w:r>
          </w:p>
        </w:tc>
      </w:tr>
    </w:tbl>
    <w:bookmarkEnd w:id="33"/>
    <w:p>
      <w:pPr>
        <w:pStyle w:val="BodyText"/>
      </w:pPr>
      <w:r>
        <w:t xml:space="preserve">Considerando somente os estados que fazem parte da Amazônia Legal e populações acima de 50 mil pessoas, temos a</w:t>
      </w:r>
      <w:r>
        <w:t xml:space="preserve"> </w:t>
      </w:r>
      <w:hyperlink w:anchor="tbl-ilg-50k-amazon">
        <w:r>
          <w:rPr>
            <w:rStyle w:val="Hyperlink"/>
          </w:rPr>
          <w:t xml:space="preserve">Tabela 7</w:t>
        </w:r>
      </w:hyperlink>
      <w:r>
        <w:t xml:space="preserve">. Barcarena e Altamira são as regiões com maior litigiosidade, acompanhadas das capitais Cuiabá e Porto Velho.</w:t>
      </w:r>
    </w:p>
    <w:bookmarkStart w:id="34" w:name="tbl-ilg-50k-amazon"/>
    <w:p>
      <w:pPr>
        <w:pStyle w:val="TableCaption"/>
      </w:pPr>
      <w:r>
        <w:t xml:space="preserve">Tabela 7: Municípios com mais litigiosidade.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7: Municípios com mais litigiosidad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loc_uf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loc_muni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ilg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BARCARENA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2176.3142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ALTAMIRA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2171.7448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1255.6059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VELHO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419354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1215.4409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ITAITUBA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1208.6089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1047.0924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SAO FELIX DO XINGU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BREU BRANCO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868.6403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 VISTA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628.7986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TUCURUI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567.5760</w:t>
            </w:r>
          </w:p>
        </w:tc>
      </w:tr>
    </w:tbl>
    <w:bookmarkEnd w:id="34"/>
    <w:bookmarkEnd w:id="35"/>
    <w:bookmarkStart w:id="48" w:name="tempos"/>
    <w:p>
      <w:pPr>
        <w:pStyle w:val="Ttulo2"/>
      </w:pPr>
      <w:r>
        <w:t xml:space="preserve">Tempos</w:t>
      </w:r>
    </w:p>
    <w:p>
      <w:pPr>
        <w:pStyle w:val="FirstParagraph"/>
      </w:pPr>
      <w:r>
        <w:t xml:space="preserve">Como temos processos em andamento, a forma adequada de analisar os tempos é utilizando análise de sobrevivência</w:t>
      </w:r>
      <w:r>
        <w:t xml:space="preserve"> </w:t>
      </w:r>
      <w:r>
        <w:t xml:space="preserve">(Colosimo e Giolo 2006)</w:t>
      </w:r>
      <w:r>
        <w:t xml:space="preserve">. Faremos isso utilizando gráficos descritivos de Kaplan Meier. O resultado é a</w:t>
      </w:r>
      <w:r>
        <w:t xml:space="preserve"> </w:t>
      </w:r>
      <w:hyperlink w:anchor="fig-km">
        <w:r>
          <w:rPr>
            <w:rStyle w:val="Hyperlink"/>
          </w:rPr>
          <w:t xml:space="preserve">Figura 2</w:t>
        </w:r>
      </w:hyperlink>
      <w:r>
        <w:t xml:space="preserve">. Foram retirados tempos maiores de 10 mil dias e tempos menores que zero. A mediana é de aproximadamente 98 meses, ou seja, 8 anos.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km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1-eda_files/figure-docx/fig-km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Curva de sobrevivência dos tempos de tramitação dos processos</w:t>
            </w:r>
          </w:p>
          <w:bookmarkEnd w:id="39"/>
        </w:tc>
      </w:tr>
    </w:tbl>
    <w:p>
      <w:pPr>
        <w:pStyle w:val="BodyText"/>
      </w:pPr>
      <w:r>
        <w:t xml:space="preserve">A</w:t>
      </w:r>
      <w:r>
        <w:t xml:space="preserve"> </w:t>
      </w:r>
      <w:hyperlink w:anchor="fig-km-classe">
        <w:r>
          <w:rPr>
            <w:rStyle w:val="Hyperlink"/>
          </w:rPr>
          <w:t xml:space="preserve">Figura 3</w:t>
        </w:r>
      </w:hyperlink>
      <w:r>
        <w:t xml:space="preserve"> </w:t>
      </w:r>
      <w:r>
        <w:t xml:space="preserve">mostra a disribuição dos tempos por classe, considerando as cinco classes com maior volume processual. As curvas são parecidas em forma e apresentam medianas similares. Inquéritos policiais, ações civis públicas e crimes ambientais apresentam tempos medianos acima de 110 meses.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km-classe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1-eda_files/figure-docx/fig-km-class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Curva de sobrevivência dos tempos de tramitação dos processos, por classe</w:t>
            </w:r>
          </w:p>
          <w:bookmarkEnd w:id="43"/>
        </w:tc>
      </w:tr>
    </w:tbl>
    <w:p>
      <w:pPr>
        <w:pStyle w:val="BodyText"/>
      </w:pPr>
      <w:r>
        <w:t xml:space="preserve">A</w:t>
      </w:r>
      <w:r>
        <w:t xml:space="preserve"> </w:t>
      </w:r>
      <w:hyperlink w:anchor="fig-km-assunto">
        <w:r>
          <w:rPr>
            <w:rStyle w:val="Hyperlink"/>
          </w:rPr>
          <w:t xml:space="preserve">Figura 4</w:t>
        </w:r>
      </w:hyperlink>
      <w:r>
        <w:t xml:space="preserve"> </w:t>
      </w:r>
      <w:r>
        <w:t xml:space="preserve">mostra a disribuição dos tempos por assunto, considerando os cinco assuntos com maior volume. As curvas são parecidas em forma e apresentam medianas similares.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km-assunto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1-eda_files/figure-docx/fig-km-assunto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Curva de sobrevivência dos tempos de tramitação dos processos, por assunto</w:t>
            </w:r>
          </w:p>
          <w:bookmarkEnd w:id="47"/>
        </w:tc>
      </w:tr>
    </w:tbl>
    <w:bookmarkEnd w:id="48"/>
    <w:bookmarkStart w:id="54" w:name="partes"/>
    <w:p>
      <w:pPr>
        <w:pStyle w:val="Ttulo2"/>
      </w:pPr>
      <w:r>
        <w:t xml:space="preserve">Partes</w:t>
      </w:r>
    </w:p>
    <w:p>
      <w:pPr>
        <w:pStyle w:val="FirstParagraph"/>
      </w:pPr>
      <w:r>
        <w:t xml:space="preserve">Nessa seção, estudamos apenas o polo passivo das ações. A base de dados estava com o nome da coluna</w:t>
      </w:r>
      <w:r>
        <w:t xml:space="preserve"> </w:t>
      </w:r>
      <w:r>
        <w:rPr>
          <w:rStyle w:val="VerbatimChar"/>
        </w:rPr>
        <w:t xml:space="preserve">partes_at_desc</w:t>
      </w:r>
      <w:r>
        <w:t xml:space="preserve"> </w:t>
      </w:r>
      <w:r>
        <w:t xml:space="preserve">com o valor</w:t>
      </w:r>
      <w:r>
        <w:t xml:space="preserve"> </w:t>
      </w:r>
      <w:r>
        <w:t xml:space="preserve">“</w:t>
      </w:r>
      <w:r>
        <w:t xml:space="preserve">polo passivo</w:t>
      </w:r>
      <w:r>
        <w:t xml:space="preserve">”</w:t>
      </w:r>
      <w:r>
        <w:t xml:space="preserve">. No entanto, ao considerar que</w:t>
      </w:r>
      <w:r>
        <w:t xml:space="preserve"> </w:t>
      </w:r>
      <w:r>
        <w:t xml:space="preserve">“</w:t>
      </w:r>
      <w:r>
        <w:t xml:space="preserve">at</w:t>
      </w:r>
      <w:r>
        <w:t xml:space="preserve">”</w:t>
      </w:r>
      <w:r>
        <w:t xml:space="preserve"> </w:t>
      </w:r>
      <w:r>
        <w:t xml:space="preserve">significa</w:t>
      </w:r>
      <w:r>
        <w:t xml:space="preserve"> </w:t>
      </w:r>
      <w:r>
        <w:t xml:space="preserve">“</w:t>
      </w:r>
      <w:r>
        <w:t xml:space="preserve">passivo</w:t>
      </w:r>
      <w:r>
        <w:t xml:space="preserve">”</w:t>
      </w:r>
      <w:r>
        <w:t xml:space="preserve">, os resultados não fizeram muito sentido (ministério público tinha a maioria dos casos). Portanto, consideramos os casos</w:t>
      </w:r>
      <w:r>
        <w:t xml:space="preserve"> </w:t>
      </w:r>
      <w:r>
        <w:t xml:space="preserve">“</w:t>
      </w:r>
      <w:r>
        <w:t xml:space="preserve">pa</w:t>
      </w:r>
      <w:r>
        <w:t xml:space="preserve">”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passivo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tbl-tipo-pessoa">
        <w:r>
          <w:rPr>
            <w:rStyle w:val="Hyperlink"/>
          </w:rPr>
          <w:t xml:space="preserve">Tabela 8</w:t>
        </w:r>
      </w:hyperlink>
      <w:r>
        <w:t xml:space="preserve"> </w:t>
      </w:r>
      <w:r>
        <w:t xml:space="preserve">mostra os tipos de pessoa. A maior parte é de pessoas jurídicas, sendo que quase 1% da base possui autoridades, orgão de representação ou valores vazios.</w:t>
      </w:r>
    </w:p>
    <w:bookmarkStart w:id="49" w:name="tbl-tipo-pessoa"/>
    <w:p>
      <w:pPr>
        <w:pStyle w:val="TableCaption"/>
      </w:pPr>
      <w:r>
        <w:t xml:space="preserve">Tabela 8: Tipos de pessoa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8: Tipos de pesso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tipo_pessoa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60.63%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JURIDICA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ORGAOREPRESENTACAO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100.00%</w:t>
            </w:r>
          </w:p>
        </w:tc>
      </w:tr>
    </w:tbl>
    <w:bookmarkEnd w:id="49"/>
    <w:p>
      <w:pPr>
        <w:pStyle w:val="BodyText"/>
      </w:pPr>
      <w:r>
        <w:t xml:space="preserve">Vamos analisar apenas as pessoas jurídicas. Dentre as partes, aproximadamente 10% tem CNPJ vazio e 90% preenchido. No total, são cerca de 48000 CNPJs distintos e com 14 dígitos, que foram pesquisados na base de dados abertos da Receita Federal do Brasil (RFB). Quase a totalidade (99%) foram encontrados. Alguns resultados disso foram colocados a seguir.</w:t>
      </w:r>
    </w:p>
    <w:p>
      <w:pPr>
        <w:pStyle w:val="BodyText"/>
      </w:pPr>
      <w:r>
        <w:t xml:space="preserve">A</w:t>
      </w:r>
      <w:r>
        <w:t xml:space="preserve"> </w:t>
      </w:r>
      <w:hyperlink w:anchor="tbl-litigantes">
        <w:r>
          <w:rPr>
            <w:rStyle w:val="Hyperlink"/>
          </w:rPr>
          <w:t xml:space="preserve">Tabela 9</w:t>
        </w:r>
      </w:hyperlink>
      <w:r>
        <w:t xml:space="preserve"> </w:t>
      </w:r>
      <w:r>
        <w:t xml:space="preserve">mostra os quinze maiores litigantes. O nome que mais aparece é o vazio, que são casos em que o campo do CNPJ está vazio. Em seguida, vem a Samarco e a Vale.</w:t>
      </w:r>
    </w:p>
    <w:bookmarkStart w:id="50" w:name="tbl-litigantes"/>
    <w:p>
      <w:pPr>
        <w:pStyle w:val="TableCaption"/>
      </w:pPr>
      <w:r>
        <w:t xml:space="preserve">Tabela 9: 10 Maiores litigantes nos processos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ela 9: 10 Maiores litigantes nos processos"/>
      </w:tblPr>
      <w:tblGrid>
        <w:gridCol w:w="5800"/>
        <w:gridCol w:w="1338"/>
        <w:gridCol w:w="7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nome_fantasia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n_processos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SAMARCO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VALE - AREA OPERACIONAL GOVERNADOR VALADARES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IBAMA SUPERINT REGIONAL NO GOIAS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SANEPAR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PLUMBUM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IBAMA/CGFIN - COORDENACAO GERAL DE FINANCAS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PETROBRAS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COORDENACAO GERAL DE ORCAM FINAN E ANALISE CONTABIL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SUPERINTENDENCIA DE ADMINISTRACAO DO MF/ 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 ENERGIA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PETROBRAS - EDISE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IBAMA - CPB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MPF GABINETE DO MINISTRO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PROCURADORIA GERAL DE JUSTICA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0.32%</w:t>
            </w:r>
          </w:p>
        </w:tc>
      </w:tr>
    </w:tbl>
    <w:bookmarkEnd w:id="50"/>
    <w:p>
      <w:pPr>
        <w:pStyle w:val="BodyText"/>
      </w:pPr>
      <w:r>
        <w:t xml:space="preserve">A</w:t>
      </w:r>
      <w:r>
        <w:t xml:space="preserve"> </w:t>
      </w:r>
      <w:hyperlink w:anchor="tbl-cnae">
        <w:r>
          <w:rPr>
            <w:rStyle w:val="Hyperlink"/>
          </w:rPr>
          <w:t xml:space="preserve">Tabela 10</w:t>
        </w:r>
      </w:hyperlink>
      <w:r>
        <w:t xml:space="preserve"> </w:t>
      </w:r>
      <w:r>
        <w:t xml:space="preserve">mostra as atividades principais das empresas no polo passivo, de acordo com a informação da</w:t>
      </w:r>
      <w:r>
        <w:t xml:space="preserve"> </w:t>
      </w:r>
      <w:r>
        <w:t xml:space="preserve">“</w:t>
      </w:r>
      <w:r>
        <w:t xml:space="preserve">Classe</w:t>
      </w:r>
      <w:r>
        <w:t xml:space="preserve">”</w:t>
      </w:r>
      <w:r>
        <w:t xml:space="preserve"> </w:t>
      </w:r>
      <w:r>
        <w:t xml:space="preserve">da tabela CNAE. Os casos de</w:t>
      </w:r>
      <w:r>
        <w:t xml:space="preserve"> </w:t>
      </w:r>
      <w:r>
        <w:t xml:space="preserve">“</w:t>
      </w:r>
      <w:r>
        <w:t xml:space="preserve">administração pública em geral</w:t>
      </w:r>
      <w:r>
        <w:t xml:space="preserve">”</w:t>
      </w:r>
      <w:r>
        <w:t xml:space="preserve"> </w:t>
      </w:r>
      <w:r>
        <w:t xml:space="preserve">provavelmente se referem a diferentes entidades públicas.</w:t>
      </w:r>
    </w:p>
    <w:bookmarkStart w:id="51" w:name="tbl-cnae"/>
    <w:p>
      <w:pPr>
        <w:pStyle w:val="TableCaption"/>
      </w:pPr>
      <w:r>
        <w:t xml:space="preserve">Tabela 10: Quantidade de partes-processos por tipo de atividade.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 10: Quantidade de partes-processos por tipo de atividade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nm_classe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n_processos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Administração pública em geral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Extração de minério de ferro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Outras sociedades de participação exceto holdings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Transporte ferroviário de carga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Holdings de instituições não financeiras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Geração de energia elétrica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Captação tratamento e distribuição de água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Atividades imobiliárias de imóveis próprios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Bancos múltiplos com carteira comercial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Desdobramento de madeira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0.79%</w:t>
            </w:r>
          </w:p>
        </w:tc>
      </w:tr>
    </w:tbl>
    <w:bookmarkEnd w:id="51"/>
    <w:p>
      <w:pPr>
        <w:pStyle w:val="BodyText"/>
      </w:pPr>
      <w:r>
        <w:t xml:space="preserve">A tabela da RFB permite fazer muitos outros cruzamentos. Ela contém informações como localização da sede, situação da empresa, natureza da empresa, quantidade de sócios, entre outras.</w:t>
      </w:r>
    </w:p>
    <w:bookmarkStart w:id="53" w:name="refs"/>
    <w:bookmarkStart w:id="52" w:name="X35cb20f427f61b1005207b5dfcd2c3e632df17c"/>
    <w:p>
      <w:pPr>
        <w:pStyle w:val="Bibliography"/>
      </w:pPr>
      <w:r>
        <w:t xml:space="preserve">Colosimo, Enrico Antonio, e Suely Ruiz Giolo. 2006.</w:t>
      </w:r>
      <w:r>
        <w:t xml:space="preserve"> </w:t>
      </w:r>
      <w:r>
        <w:rPr>
          <w:iCs/>
          <w:i/>
        </w:rPr>
        <w:t xml:space="preserve">Análise de Sobrevivência Aplicada</w:t>
      </w:r>
      <w:r>
        <w:t xml:space="preserve">.</w:t>
      </w:r>
      <w:r>
        <w:t xml:space="preserve"> </w:t>
      </w:r>
      <w:r>
        <w:t xml:space="preserve">Editora Blucher</w:t>
      </w:r>
      <w:r>
        <w:t xml:space="preserve">.</w:t>
      </w:r>
    </w:p>
    <w:bookmarkEnd w:id="52"/>
    <w:bookmarkEnd w:id="53"/>
    <w:bookmarkEnd w:id="54"/>
    <w:sectPr w:rsidR="00855982" w:rsidRPr="00855982" w:rsidSect="00095E54">
      <w:footerReference r:id="rId9" w:type="default"/>
      <w:pgSz w:code="9" w:h="16839" w:w="11907"/>
      <w:pgMar w:bottom="720" w:footer="720" w:gutter="0" w:header="720" w:left="720" w:right="720" w:top="720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15CC6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firstLine="0" w:left="0"/>
      </w:pPr>
    </w:lvl>
    <w:lvl w:ilvl="1">
      <w:start w:val="1"/>
      <w:numFmt w:val="decimalZero"/>
      <w:isLgl/>
      <w:lvlText w:val="Seção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2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firstLine="0" w:left="0"/>
      </w:pPr>
    </w:lvl>
    <w:lvl w:ilvl="1">
      <w:start w:val="1"/>
      <w:numFmt w:val="decimalZero"/>
      <w:isLgl/>
      <w:lvlText w:val="Seção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firstLine="0" w:left="0"/>
      </w:pPr>
    </w:lvl>
    <w:lvl w:ilvl="1">
      <w:start w:val="1"/>
      <w:numFmt w:val="decimalZero"/>
      <w:isLgl/>
      <w:lvlText w:val="Seção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39804366" w:numId="1">
    <w:abstractNumId w:val="14"/>
  </w:num>
  <w:num w16cid:durableId="613907095"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29142929" w:numId="3">
    <w:abstractNumId w:val="14"/>
  </w:num>
  <w:num w16cid:durableId="234828800" w:numId="4">
    <w:abstractNumId w:val="14"/>
  </w:num>
  <w:num w16cid:durableId="522131081" w:numId="5">
    <w:abstractNumId w:val="14"/>
  </w:num>
  <w:num w16cid:durableId="1485243874" w:numId="6">
    <w:abstractNumId w:val="14"/>
  </w:num>
  <w:num w16cid:durableId="1519810332" w:numId="7">
    <w:abstractNumId w:val="14"/>
  </w:num>
  <w:num w16cid:durableId="1000548208" w:numId="8">
    <w:abstractNumId w:val="14"/>
  </w:num>
  <w:num w16cid:durableId="1689674606" w:numId="9">
    <w:abstractNumId w:val="14"/>
  </w:num>
  <w:num w16cid:durableId="1282882205" w:numId="10">
    <w:abstractNumId w:val="14"/>
  </w:num>
  <w:num w16cid:durableId="1984191912" w:numId="11">
    <w:abstractNumId w:val="14"/>
  </w:num>
  <w:num w16cid:durableId="1290404760" w:numId="12">
    <w:abstractNumId w:val="14"/>
  </w:num>
  <w:num w16cid:durableId="1826555538" w:numId="13">
    <w:abstractNumId w:val="10"/>
  </w:num>
  <w:num w16cid:durableId="1344699873" w:numId="14">
    <w:abstractNumId w:val="17"/>
  </w:num>
  <w:num w16cid:durableId="1504274494" w:numId="15">
    <w:abstractNumId w:val="11"/>
  </w:num>
  <w:num w16cid:durableId="90396294" w:numId="16">
    <w:abstractNumId w:val="12"/>
  </w:num>
  <w:num w16cid:durableId="15546795" w:numId="17">
    <w:abstractNumId w:val="9"/>
  </w:num>
  <w:num w16cid:durableId="1477603117" w:numId="18">
    <w:abstractNumId w:val="7"/>
  </w:num>
  <w:num w16cid:durableId="2014068240" w:numId="19">
    <w:abstractNumId w:val="6"/>
  </w:num>
  <w:num w16cid:durableId="774399682" w:numId="20">
    <w:abstractNumId w:val="5"/>
  </w:num>
  <w:num w16cid:durableId="574825221" w:numId="21">
    <w:abstractNumId w:val="4"/>
  </w:num>
  <w:num w16cid:durableId="1701736802" w:numId="22">
    <w:abstractNumId w:val="8"/>
  </w:num>
  <w:num w16cid:durableId="1099906522" w:numId="23">
    <w:abstractNumId w:val="3"/>
  </w:num>
  <w:num w16cid:durableId="280648952" w:numId="24">
    <w:abstractNumId w:val="2"/>
  </w:num>
  <w:num w16cid:durableId="1714498460" w:numId="25">
    <w:abstractNumId w:val="1"/>
  </w:num>
  <w:num w16cid:durableId="1248492181" w:numId="26">
    <w:abstractNumId w:val="0"/>
  </w:num>
  <w:num w16cid:durableId="1836066811" w:numId="27">
    <w:abstractNumId w:val="13"/>
  </w:num>
  <w:num w16cid:durableId="1184520256" w:numId="28">
    <w:abstractNumId w:val="15"/>
  </w:num>
  <w:num w16cid:durableId="778833553" w:numId="29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pt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D262C"/>
  </w:style>
  <w:style w:styleId="Ttulo1" w:type="paragraph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color="595959" w:space="1" w:sz="4" w:themeColor="text1" w:themeTint="A6" w:val="single"/>
      </w:pBdr>
      <w:spacing w:before="360"/>
      <w:outlineLvl w:val="0"/>
    </w:pPr>
    <w:rPr>
      <w:rFonts w:asciiTheme="majorHAnsi" w:cstheme="majorBidi" w:eastAsiaTheme="majorEastAsia" w:hAnsiTheme="majorHAnsi"/>
      <w:b/>
      <w:bCs/>
      <w:smallCaps/>
      <w:sz w:val="36"/>
      <w:szCs w:val="36"/>
    </w:rPr>
  </w:style>
  <w:style w:styleId="Ttulo2" w:type="paragraph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after="0" w:before="360"/>
      <w:outlineLvl w:val="1"/>
    </w:pPr>
    <w:rPr>
      <w:rFonts w:asciiTheme="majorHAnsi" w:cstheme="majorBidi" w:eastAsiaTheme="majorEastAsia" w:hAnsiTheme="majorHAnsi"/>
      <w:b/>
      <w:bCs/>
      <w:smallCaps/>
      <w:sz w:val="28"/>
      <w:szCs w:val="28"/>
    </w:rPr>
  </w:style>
  <w:style w:styleId="Ttulo3" w:type="paragraph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Ttulo4" w:type="paragraph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</w:rPr>
  </w:style>
  <w:style w:styleId="Ttulo5" w:type="paragraph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text1" w:themeTint="BF" w:val="404040"/>
    </w:rPr>
  </w:style>
  <w:style w:styleId="Ttulo6" w:type="paragraph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Cs w:val="20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Cs w:val="20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cstheme="majorBidi" w:eastAsiaTheme="majorEastAsia" w:hAnsiTheme="majorHAnsi"/>
      <w:sz w:val="56"/>
      <w:szCs w:val="56"/>
    </w:rPr>
  </w:style>
  <w:style w:customStyle="1" w:styleId="TtuloChar" w:type="character">
    <w:name w:val="Título Char"/>
    <w:basedOn w:val="Fontepargpadro"/>
    <w:link w:val="Ttulo"/>
    <w:uiPriority w:val="1"/>
    <w:rsid w:val="00FD262C"/>
    <w:rPr>
      <w:rFonts w:asciiTheme="majorHAnsi" w:cstheme="majorBidi" w:eastAsiaTheme="majorEastAsia" w:hAnsiTheme="majorHAnsi"/>
      <w:sz w:val="56"/>
      <w:szCs w:val="56"/>
    </w:rPr>
  </w:style>
  <w:style w:styleId="Cabealho" w:type="paragraph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customStyle="1" w:styleId="CabealhoChar" w:type="character">
    <w:name w:val="Cabeçalho Char"/>
    <w:basedOn w:val="Fontepargpadro"/>
    <w:link w:val="Cabealho"/>
    <w:uiPriority w:val="99"/>
    <w:rsid w:val="00855982"/>
  </w:style>
  <w:style w:customStyle="1" w:styleId="Ttulo1Char" w:type="character">
    <w:name w:val="Título 1 Char"/>
    <w:basedOn w:val="Fontepargpadro"/>
    <w:link w:val="Ttulo1"/>
    <w:uiPriority w:val="9"/>
    <w:rsid w:val="00FD262C"/>
    <w:rPr>
      <w:rFonts w:asciiTheme="majorHAnsi" w:cstheme="majorBidi" w:eastAsiaTheme="majorEastAsia" w:hAnsiTheme="majorHAnsi"/>
      <w:b/>
      <w:bCs/>
      <w:smallCaps/>
      <w:sz w:val="36"/>
      <w:szCs w:val="36"/>
    </w:rPr>
  </w:style>
  <w:style w:customStyle="1" w:styleId="Ttulo2Char" w:type="character">
    <w:name w:val="Título 2 Char"/>
    <w:basedOn w:val="Fontepargpadro"/>
    <w:link w:val="Ttulo2"/>
    <w:uiPriority w:val="9"/>
    <w:semiHidden/>
    <w:rsid w:val="00FD262C"/>
    <w:rPr>
      <w:rFonts w:asciiTheme="majorHAnsi" w:cstheme="majorBidi" w:eastAsiaTheme="majorEastAsia" w:hAnsiTheme="majorHAnsi"/>
      <w:b/>
      <w:bCs/>
      <w:smallCaps/>
      <w:sz w:val="28"/>
      <w:szCs w:val="28"/>
    </w:rPr>
  </w:style>
  <w:style w:customStyle="1" w:styleId="Ttulo3Char" w:type="character">
    <w:name w:val="Título 3 Char"/>
    <w:basedOn w:val="Fontepargpadro"/>
    <w:link w:val="Ttulo3"/>
    <w:uiPriority w:val="9"/>
    <w:semiHidden/>
    <w:rsid w:val="00FD262C"/>
    <w:rPr>
      <w:rFonts w:asciiTheme="majorHAnsi" w:cstheme="majorBidi" w:eastAsiaTheme="majorEastAsia" w:hAnsiTheme="majorHAnsi"/>
      <w:b/>
      <w:bCs/>
    </w:rPr>
  </w:style>
  <w:style w:customStyle="1" w:styleId="Ttulo4Char" w:type="character">
    <w:name w:val="Título 4 Char"/>
    <w:basedOn w:val="Fontepargpadro"/>
    <w:link w:val="Ttulo4"/>
    <w:uiPriority w:val="9"/>
    <w:semiHidden/>
    <w:rsid w:val="00FD262C"/>
    <w:rPr>
      <w:rFonts w:asciiTheme="majorHAnsi" w:cstheme="majorBidi" w:eastAsiaTheme="majorEastAsia" w:hAnsiTheme="majorHAnsi"/>
      <w:b/>
      <w:bCs/>
      <w:i/>
      <w:iCs/>
    </w:rPr>
  </w:style>
  <w:style w:customStyle="1" w:styleId="Ttulo5Char" w:type="character">
    <w:name w:val="Título 5 Char"/>
    <w:basedOn w:val="Fontepargpadro"/>
    <w:link w:val="Ttulo5"/>
    <w:uiPriority w:val="9"/>
    <w:semiHidden/>
    <w:rsid w:val="00FD262C"/>
    <w:rPr>
      <w:rFonts w:asciiTheme="majorHAnsi" w:cstheme="majorBidi" w:eastAsiaTheme="majorEastAsia" w:hAnsiTheme="majorHAnsi"/>
      <w:color w:themeColor="text1" w:themeTint="BF" w:val="404040"/>
    </w:rPr>
  </w:style>
  <w:style w:customStyle="1" w:styleId="Ttulo6Char" w:type="character">
    <w:name w:val="Título 6 Char"/>
    <w:basedOn w:val="Fontepargpadro"/>
    <w:link w:val="Ttulo6"/>
    <w:uiPriority w:val="9"/>
    <w:semiHidden/>
    <w:rsid w:val="00FD262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tulo7Char" w:type="character">
    <w:name w:val="Título 7 Char"/>
    <w:basedOn w:val="Fontepargpadro"/>
    <w:link w:val="Ttulo7"/>
    <w:uiPriority w:val="9"/>
    <w:semiHidden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tulo8Char" w:type="character">
    <w:name w:val="Título 8 Char"/>
    <w:basedOn w:val="Fontepargpadro"/>
    <w:link w:val="Ttulo8"/>
    <w:uiPriority w:val="9"/>
    <w:semiHidden/>
    <w:rsid w:val="001D4362"/>
    <w:rPr>
      <w:rFonts w:asciiTheme="majorHAnsi" w:cstheme="majorBidi" w:eastAsiaTheme="majorEastAsia" w:hAnsiTheme="majorHAnsi"/>
      <w:color w:themeColor="text1" w:themeTint="BF" w:val="404040"/>
      <w:szCs w:val="20"/>
    </w:rPr>
  </w:style>
  <w:style w:customStyle="1" w:styleId="Ttulo9Char" w:type="character">
    <w:name w:val="Título 9 Char"/>
    <w:basedOn w:val="Fontepargpadro"/>
    <w:link w:val="Ttulo9"/>
    <w:uiPriority w:val="9"/>
    <w:semiHidden/>
    <w:rsid w:val="001D4362"/>
    <w:rPr>
      <w:rFonts w:asciiTheme="majorHAnsi" w:cstheme="majorBidi" w:eastAsiaTheme="majorEastAsia" w:hAnsiTheme="majorHAnsi"/>
      <w:i/>
      <w:iCs/>
      <w:color w:themeColor="text1" w:themeTint="BF" w:val="404040"/>
      <w:szCs w:val="20"/>
    </w:rPr>
  </w:style>
  <w:style w:styleId="Rodap" w:type="paragraph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customStyle="1" w:styleId="RodapChar" w:type="character">
    <w:name w:val="Rodapé Char"/>
    <w:basedOn w:val="Fontepargpadro"/>
    <w:link w:val="Rodap"/>
    <w:uiPriority w:val="99"/>
    <w:rsid w:val="00855982"/>
  </w:style>
  <w:style w:styleId="Legenda" w:type="paragraph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themeColor="text2" w:val="323232"/>
      <w:szCs w:val="18"/>
    </w:rPr>
  </w:style>
  <w:style w:styleId="CabealhodoSumrio" w:type="paragraph">
    <w:name w:val="TOC Heading"/>
    <w:basedOn w:val="Ttulo1"/>
    <w:next w:val="Normal"/>
    <w:uiPriority w:val="39"/>
    <w:semiHidden/>
    <w:unhideWhenUsed/>
    <w:qFormat/>
    <w:pPr>
      <w:outlineLvl w:val="9"/>
    </w:pPr>
  </w:style>
  <w:style w:styleId="Textodebalo" w:type="paragraph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cs="Segoe UI" w:hAnsi="Segoe UI"/>
      <w:szCs w:val="18"/>
    </w:rPr>
  </w:style>
  <w:style w:customStyle="1" w:styleId="TextodebaloChar" w:type="character">
    <w:name w:val="Texto de balão Char"/>
    <w:basedOn w:val="Fontepargpadro"/>
    <w:link w:val="Textodebalo"/>
    <w:uiPriority w:val="99"/>
    <w:semiHidden/>
    <w:rsid w:val="001D4362"/>
    <w:rPr>
      <w:rFonts w:ascii="Segoe UI" w:cs="Segoe UI" w:hAnsi="Segoe UI"/>
      <w:szCs w:val="18"/>
    </w:rPr>
  </w:style>
  <w:style w:styleId="Corpodetexto3" w:type="paragraph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customStyle="1" w:styleId="Corpodetexto3Char" w:type="characte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styleId="Recuodecorpodetexto3" w:type="paragraph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customStyle="1" w:styleId="Recuodecorpodetexto3Char" w:type="characte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styleId="Refdecomentrio" w:type="character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styleId="Textodecomentrio" w:type="paragraph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customStyle="1" w:styleId="TextodecomentrioChar" w:type="characte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styleId="Assuntodocomentrio" w:type="paragraph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customStyle="1" w:styleId="AssuntodocomentrioChar" w:type="characte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styleId="MapadoDocumento" w:type="paragraph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cs="Segoe UI" w:hAnsi="Segoe UI"/>
      <w:szCs w:val="16"/>
    </w:rPr>
  </w:style>
  <w:style w:customStyle="1" w:styleId="MapadoDocumentoChar" w:type="character">
    <w:name w:val="Mapa do Documento Char"/>
    <w:basedOn w:val="Fontepargpadro"/>
    <w:link w:val="MapadoDocumento"/>
    <w:uiPriority w:val="99"/>
    <w:semiHidden/>
    <w:rsid w:val="001D4362"/>
    <w:rPr>
      <w:rFonts w:ascii="Segoe UI" w:cs="Segoe UI" w:hAnsi="Segoe UI"/>
      <w:szCs w:val="16"/>
    </w:rPr>
  </w:style>
  <w:style w:styleId="Textodenotadefim" w:type="paragraph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customStyle="1" w:styleId="TextodenotadefimChar" w:type="characte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styleId="Remetente" w:type="paragraph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styleId="Textodenotaderodap" w:type="paragraph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customStyle="1" w:styleId="TextodenotaderodapChar" w:type="characte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styleId="CdigoHTML" w:type="character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styleId="TecladoHTML" w:type="character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styleId="Pr-formataoHTML" w:type="paragraph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customStyle="1" w:styleId="Pr-formataoHTMLChar" w:type="characte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styleId="MquinadeescreverHTML" w:type="character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styleId="Textodemacro" w:type="paragraph">
    <w:name w:val="macro"/>
    <w:link w:val="TextodemacroChar"/>
    <w:uiPriority w:val="99"/>
    <w:semiHidden/>
    <w:unhideWhenUsed/>
    <w:rsid w:val="001D436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Cs w:val="20"/>
    </w:rPr>
  </w:style>
  <w:style w:customStyle="1" w:styleId="TextodemacroChar" w:type="characte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styleId="TextosemFormatao" w:type="paragraph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customStyle="1" w:styleId="TextosemFormataoChar" w:type="characte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styleId="Textoembloco" w:type="paragraph">
    <w:name w:val="Block Text"/>
    <w:basedOn w:val="Normal"/>
    <w:uiPriority w:val="99"/>
    <w:semiHidden/>
    <w:unhideWhenUsed/>
    <w:rsid w:val="00FD262C"/>
    <w:pPr>
      <w:pBdr>
        <w:top w:color="783F04" w:shadow="1" w:space="10" w:sz="2" w:themeColor="accent1" w:themeShade="80" w:val="single"/>
        <w:left w:color="783F04" w:shadow="1" w:space="10" w:sz="2" w:themeColor="accent1" w:themeShade="80" w:val="single"/>
        <w:bottom w:color="783F04" w:shadow="1" w:space="10" w:sz="2" w:themeColor="accent1" w:themeShade="80" w:val="single"/>
        <w:right w:color="783F04" w:shadow="1" w:space="10" w:sz="2" w:themeColor="accent1" w:themeShade="80" w:val="single"/>
      </w:pBdr>
      <w:ind w:left="1152" w:right="1152"/>
    </w:pPr>
    <w:rPr>
      <w:i/>
      <w:iCs/>
      <w:color w:themeColor="accent1" w:themeShade="80" w:val="783F04"/>
    </w:rPr>
  </w:style>
  <w:style w:styleId="HiperlinkVisitado" w:type="character">
    <w:name w:val="FollowedHyperlink"/>
    <w:basedOn w:val="Fontepargpadro"/>
    <w:uiPriority w:val="99"/>
    <w:semiHidden/>
    <w:unhideWhenUsed/>
    <w:rsid w:val="007833A7"/>
    <w:rPr>
      <w:color w:themeColor="accent1" w:themeShade="80" w:val="783F04"/>
      <w:u w:val="single"/>
    </w:rPr>
  </w:style>
  <w:style w:styleId="Hyperlink" w:type="character">
    <w:name w:val="Hyperlink"/>
    <w:basedOn w:val="Fontepargpadro"/>
    <w:uiPriority w:val="99"/>
    <w:semiHidden/>
    <w:unhideWhenUsed/>
    <w:rsid w:val="007833A7"/>
    <w:rPr>
      <w:color w:themeColor="accent4" w:themeShade="BF" w:val="3A6331"/>
      <w:u w:val="single"/>
    </w:rPr>
  </w:style>
  <w:style w:styleId="TextodoEspaoReservado" w:type="character">
    <w:name w:val="Placeholder Text"/>
    <w:basedOn w:val="Fontepargpadro"/>
    <w:uiPriority w:val="99"/>
    <w:semiHidden/>
    <w:rsid w:val="007833A7"/>
    <w:rPr>
      <w:color w:themeColor="text1" w:themeTint="A6" w:val="595959"/>
    </w:rPr>
  </w:style>
  <w:style w:styleId="nfaseIntensa" w:type="character">
    <w:name w:val="Intense Emphasis"/>
    <w:basedOn w:val="Fontepargpadro"/>
    <w:uiPriority w:val="21"/>
    <w:semiHidden/>
    <w:unhideWhenUsed/>
    <w:qFormat/>
    <w:rsid w:val="00FD262C"/>
    <w:rPr>
      <w:i/>
      <w:iCs/>
      <w:color w:themeColor="accent1" w:themeShade="BF" w:val="B35E06"/>
    </w:rPr>
  </w:style>
  <w:style w:styleId="CitaoIntensa" w:type="paragraph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color="B35E06" w:space="10" w:sz="4" w:themeColor="accent1" w:themeShade="BF" w:val="single"/>
        <w:bottom w:color="B35E0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B35E06"/>
    </w:rPr>
  </w:style>
  <w:style w:customStyle="1" w:styleId="CitaoIntensaChar" w:type="character">
    <w:name w:val="Citação Intensa Char"/>
    <w:basedOn w:val="Fontepargpadro"/>
    <w:link w:val="CitaoIntensa"/>
    <w:uiPriority w:val="30"/>
    <w:semiHidden/>
    <w:rsid w:val="00FD262C"/>
    <w:rPr>
      <w:i/>
      <w:iCs/>
      <w:color w:themeColor="accent1" w:themeShade="BF" w:val="B35E06"/>
    </w:rPr>
  </w:style>
  <w:style w:styleId="RefernciaIntensa" w:type="character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themeColor="accent1" w:themeShade="BF" w:val="B35E06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hyperlink" Id="rId20" Target="https://sirenejud.cnj.jus.br/mapa/ger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irenejud.cnj.jus.br/mapa/geral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Roaming\Microsoft\Templates\Design%20do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branco).dotx</Template>
  <TotalTime>1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exploratória do SireneJud</dc:title>
  <dc:creator>ABJ</dc:creator>
  <dc:language>pt</dc:language>
  <cp:keywords/>
  <dcterms:created xsi:type="dcterms:W3CDTF">2022-11-10T18:45:01Z</dcterms:created>
  <dcterms:modified xsi:type="dcterms:W3CDTF">2022-11-10T18:45:01Z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geral.bib</vt:lpwstr>
  </property>
  <property fmtid="{D5CDD505-2E9C-101B-9397-08002B2CF9AE}" pid="5" name="by-author">
    <vt:lpwstr/>
  </property>
  <property fmtid="{D5CDD505-2E9C-101B-9397-08002B2CF9AE}" pid="6" name="date">
    <vt:lpwstr>04/11/2022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Índice</vt:lpwstr>
  </property>
</Properties>
</file>