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Câmaras</w:t>
      </w:r>
      <w:r>
        <w:t xml:space="preserve"> </w:t>
      </w:r>
      <w:r>
        <w:t xml:space="preserve">do</w:t>
      </w:r>
      <w:r>
        <w:t xml:space="preserve"> </w:t>
      </w:r>
      <w:r>
        <w:t xml:space="preserve">TJSP</w:t>
      </w:r>
    </w:p>
    <w:p>
      <w:pPr>
        <w:pStyle w:val="Heading1"/>
      </w:pPr>
      <w:bookmarkStart w:id="21" w:name="exemplo-trabalhado"/>
      <w:bookmarkEnd w:id="21"/>
      <w:r>
        <w:t xml:space="preserve">Exemplo trabalhado</w:t>
      </w:r>
    </w:p>
    <w:p>
      <w:pPr>
        <w:pStyle w:val="Heading2"/>
      </w:pPr>
      <w:bookmarkStart w:id="22" w:name="camaras-do-tjsp"/>
      <w:bookmarkEnd w:id="22"/>
      <w:r>
        <w:t xml:space="preserve">Câmaras do TJSP</w:t>
      </w:r>
    </w:p>
    <w:p>
      <w:pPr>
        <w:pStyle w:val="FirstParagraph"/>
      </w:pPr>
      <w:r>
        <w:t xml:space="preserve">Uma das principais questões que surgem quando o tema é impunidade e que motivou esse trabalho é: quando um réu condenado deve começar a cumprir pena? A justiça deve esperar o encerramento definitivo do processo, com o chamado trânsito em julgado, ou pode iniciar o cumprimento já a partir de uma decisão terminativa, como a sentença ou o acórdão de segundo grau?</w:t>
      </w:r>
    </w:p>
    <w:p>
      <w:pPr>
        <w:pStyle w:val="BodyText"/>
      </w:pPr>
      <w:r>
        <w:t xml:space="preserve">Uma forma de solucionar esse debate é calculando as taxas de reforma de decisões em matéria criminal. Uma condição necessária para a viabilidade da antecipação do cumprimento de pena é uma baixa taxa de reforma das decisões, pois uma taxa alta implicaria que muitas pessoas seriam presas injustamente.</w:t>
      </w:r>
    </w:p>
    <w:p>
      <w:pPr>
        <w:pStyle w:val="BodyText"/>
      </w:pPr>
      <w:r>
        <w:t xml:space="preserve">Com o objetivo de obter essas taxas, fizemos uma pesquisa usando como base de dados um levantamento de 157.379 decisões em segunda instância, das quais pouco menos de 60.000 envolvem apelações contra o Ministério Público, todas proferidas entre 01/01/2014 e 31/12/2014 nas dezesseis Câmaras de Direito Criminal, e nas quatro Câmaras Extraordinárias do Tribunal de Justiça de São Paulo.</w:t>
      </w:r>
    </w:p>
    <w:p>
      <w:pPr>
        <w:pStyle w:val="BodyText"/>
      </w:pPr>
      <w:r>
        <w:t xml:space="preserve">Os resultados revelam taxas de reforma próximas a 50%. As taxas obtidas são relevantes e justificam a não antecipação do cumprimento de pena para a decisão em primeira instância.</w:t>
      </w:r>
    </w:p>
    <w:p>
      <w:pPr>
        <w:pStyle w:val="BodyText"/>
      </w:pPr>
      <w:r>
        <w:t xml:space="preserve">Para aprofundar a análise, realizamos análises para tipos específicos de crime, como roubo e tráfico de drogas, comparando as taxas de reforma em cada grupo. Também comparamos resultados relativamente às câmaras de julgamento e relatores.</w:t>
      </w:r>
    </w:p>
    <w:p>
      <w:pPr>
        <w:pStyle w:val="BodyText"/>
      </w:pPr>
      <w:r>
        <w:t xml:space="preserve">Observamos uma alta variabilidade na taxa de reforma entre as vinte câmaras. Encontramos câmaras com mais de 75% de recursos negados (quarta e sexta) e câmaras com menos de 30% de recursos negados (primeira, segunda e décima segunda). O resultado é contraintuitivo pois teoricamente a alocação de novos recursos nas câmaras é aleatória.</w:t>
      </w:r>
    </w:p>
    <w:p>
      <w:pPr>
        <w:pStyle w:val="BodyText"/>
      </w:pPr>
      <w:r>
        <w:t xml:space="preserve">No curso, vamos replicar o estudo das câmaras para 2015.</w:t>
      </w:r>
    </w:p>
    <w:p>
      <w:pPr>
        <w:pStyle w:val="Heading2"/>
      </w:pPr>
      <w:bookmarkStart w:id="23" w:name="resultados-esperados"/>
      <w:bookmarkEnd w:id="23"/>
      <w:r>
        <w:t xml:space="preserve">Resultados esperados</w:t>
      </w:r>
    </w:p>
    <w:p>
      <w:pPr>
        <w:pStyle w:val="FirstParagraph"/>
      </w:pPr>
      <w:r>
        <w:t xml:space="preserve">No exemplo das câmaras, vamos fazer três gráficos.</w:t>
      </w:r>
      <w:r>
        <w:t xml:space="preserve"> </w:t>
      </w:r>
      <w:r>
        <w:t xml:space="preserve">O primeiro mostra a proporção de processos por assunto em cada câmara.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4-01-word_files/figure-docx/graf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segundo mostra a proporção de decisões favoráveis no tempo.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4-01-word_files/figure-docx/graf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terceiro mostra a proporção de cada tipo de decisão em cada câmara.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4-01-word_files/figure-docx/graf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Fim :D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6c81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Câmaras do TJSP</dc:title>
  <dc:creator/>
  <dcterms:created xsi:type="dcterms:W3CDTF">2017-06-02T14:34:04Z</dcterms:created>
  <dcterms:modified xsi:type="dcterms:W3CDTF">2017-06-02T14:34:04Z</dcterms:modified>
</cp:coreProperties>
</file>