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Poá</w:t>
      </w:r>
    </w:p>
    <w:p>
      <w:pPr>
        <w:pStyle w:val="BodyText"/>
      </w:pPr>
      <w:r>
        <w:t xml:space="preserve">Foro Distrital de Ferraz de Vasconcelos</w:t>
      </w:r>
    </w:p>
    <w:p>
      <w:pPr>
        <w:pStyle w:val="BodyText"/>
      </w:pPr>
      <w:r>
        <w:t xml:space="preserve">3ª Vara</w:t>
      </w:r>
    </w:p>
    <w:p>
      <w:pPr>
        <w:pStyle w:val="BodyText"/>
      </w:pPr>
      <w:r>
        <w:t xml:space="preserve">Av. Santos Dumont, 1535, Compl. do Endereço da Vara &lt;&lt; Nenhuma informação disponível &gt;&gt; - Jardim Vista Alegre</w:t>
      </w:r>
    </w:p>
    <w:p>
      <w:pPr>
        <w:pStyle w:val="BodyText"/>
      </w:pPr>
      <w:r>
        <w:t xml:space="preserve">CEP: 08531-100 - Ferraz de Vasconcelos - SP</w:t>
      </w:r>
    </w:p>
    <w:p>
      <w:pPr>
        <w:pStyle w:val="BodyText"/>
      </w:pPr>
      <w:r>
        <w:t xml:space="preserve">Telefone: (11)46751022 - E-mail:</w:t>
      </w:r>
      <w:r>
        <w:t xml:space="preserve"> </w:t>
      </w:r>
      <w:hyperlink r:id="rId21">
        <w:r>
          <w:rPr>
            <w:rStyle w:val="Hyperlink"/>
          </w:rPr>
          <w:t xml:space="preserve">ferraz3@tjsp.jus.br</w:t>
        </w:r>
      </w:hyperlink>
    </w:p>
    <w:p>
      <w:pPr>
        <w:pStyle w:val="BodyText"/>
      </w:pPr>
      <w:r>
        <w:t xml:space="preserve">0006603-50.2013.8.26.0191 - lauda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13 de dezembro de 2013,</w:t>
      </w:r>
    </w:p>
    <w:p>
      <w:pPr>
        <w:pStyle w:val="BodyText"/>
      </w:pPr>
      <w:r>
        <w:t xml:space="preserve">faço estes autos conclusos ao MM. Juiz de Direito</w:t>
      </w:r>
    </w:p>
    <w:p>
      <w:pPr>
        <w:pStyle w:val="BodyText"/>
      </w:pPr>
      <w:r>
        <w:t xml:space="preserve">ANDRÉ FORATO ANHÊ</w:t>
      </w:r>
    </w:p>
    <w:p>
      <w:pPr>
        <w:pStyle w:val="BodyText"/>
      </w:pPr>
      <w:r>
        <w:t xml:space="preserve">Eu,______,(Soledade Rosa Voss Giopato), Escrev, subsc.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0006603-50.2013.8.26.0191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Ensino Fundamental e Médio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VITORIA EDUARDA GAMA DE MATOS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Secretária de Educação do Município de Ferraz de Vasconcelos - Sra. Maria Aparecida Cervan Vidal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André Forato Anhê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VITORIA EDUARDA GAMA DE MATOS, representada por sua genitora Josilene dos Santos Gama, ajuíza ação cível, pelo procedimento de Mandado de Segurança, contra a FAZENDA PÚBLICA MUNICIPAL DE FERRAZ DE VASCONCELOS, na pessoa de seu Prefeito onde pleiteia vaga em creche próxima ao Bairro Vila Andeyara.</w:t>
      </w:r>
    </w:p>
    <w:p>
      <w:pPr>
        <w:pStyle w:val="BodyText"/>
      </w:pPr>
      <w:r>
        <w:t xml:space="preserve">Em síntese, aduz que é criança, em tenra idade. Seus genitores precisam trabalhar e não tem condições de contratar babá. Tenta vaga em creche, mas não a consegue. Requereu, em natureza liminar, vaga em creche.</w:t>
      </w:r>
    </w:p>
    <w:p>
      <w:pPr>
        <w:pStyle w:val="BodyText"/>
      </w:pPr>
      <w:r>
        <w:t xml:space="preserve">Foi concedida liminar e a ré comunicou o cumprimento da decisão interlocutória.</w:t>
      </w:r>
    </w:p>
    <w:p>
      <w:pPr>
        <w:pStyle w:val="BodyText"/>
      </w:pPr>
      <w:r>
        <w:t xml:space="preserve">Devidamente notificado, O Município ofereceu resposta ofertando vaga em local determinado.</w:t>
      </w:r>
    </w:p>
    <w:p>
      <w:pPr>
        <w:pStyle w:val="BodyText"/>
      </w:pPr>
      <w:r>
        <w:t xml:space="preserve">Em regular parecer, o Ministério Público opinou pela procedência do feito, confirmando a tutela concedida.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A presente ação deve ser julgada procedente.</w:t>
      </w:r>
    </w:p>
    <w:p>
      <w:pPr>
        <w:pStyle w:val="BodyText"/>
      </w:pPr>
      <w:r>
        <w:t xml:space="preserve">É dever do Poder Público a disponibilização de vaga em escola pública de ensino fundamental, obrigatório e gratuito (artigo 208, inciso IV, da Constituição Federal).</w:t>
      </w:r>
    </w:p>
    <w:p>
      <w:pPr>
        <w:pStyle w:val="BodyText"/>
      </w:pPr>
      <w:r>
        <w:t xml:space="preserve">Ainda, é direito da criança o acesso ao sistema público de educação, próximo à sua residência, conforme dispõe o artigo 53, inciso V, da Lei n° 8.069/90.</w:t>
      </w:r>
    </w:p>
    <w:p>
      <w:pPr>
        <w:pStyle w:val="BodyText"/>
      </w:pPr>
      <w:r>
        <w:t xml:space="preserve">Por evidente, a autora busca a efetivação de um direito básico, que não pode ser negado pela ré, sob qualquer pretexto.</w:t>
      </w:r>
    </w:p>
    <w:p>
      <w:pPr>
        <w:pStyle w:val="BodyText"/>
      </w:pPr>
      <w:r>
        <w:t xml:space="preserve">É o entendimento do Egrégio Tribunal de Justiça de São Paulo:</w:t>
      </w:r>
    </w:p>
    <w:p>
      <w:pPr>
        <w:pStyle w:val="BodyText"/>
      </w:pPr>
      <w:r>
        <w:t xml:space="preserve">Ementa: RECURSO EX OFFICIO - A lei do Mandado de Segurança, por ser especial, não se sujeita ao disposto no art. 475, § 2o, do CPC. Reexame necessário conhecido de ofício. APELAÇÃO CÍVEL. Sentença que concedeu ordem em mandado de segurança, tornando definitiva liminar, determinando o fornecimento de vaga em creche municipal para criança menor de seis anos. Preliminar de carência de ação afastada. Documentos que comprovam a negativa de vaga pela Municipalidade. No mérito, recurso voluntário visando à reforma integral da sentença, sob o fundamento de ingerência no Poder Executivo, desrespeito a princípios constitucionais e ausência de dotação orçamentária. Direito à pré-escola e ao ensino infantil constitucionalmente garantidos. Norma recepcionada pelo Estatuto da Criança e do Adolescente (artigo 54). Decisão que não implica em ingerência do Poder Judiciário no Poder Executivo. Harmonização dos princípios constitucionais. Prevalência de normas constitucionais de caráter programático sobre leis ordinárias. Recurso e reexame necessário desprovidos. (Apelação n° 994092231115, Câmara Especial, Rel. Des. PAULO ALCIDES, j. em 30.11.09. Fonte: www.tj.sp.gov.br)</w:t>
      </w:r>
    </w:p>
    <w:p>
      <w:pPr>
        <w:pStyle w:val="BodyText"/>
      </w:pPr>
      <w:r>
        <w:t xml:space="preserve">Ementa: MANDADO DE SEGURANÇA - Apelação contra sentença que garantiu à menor o direito a vaga em creche municipal -Preliminar de ilegitimidade de parte - Inocorrência - Direito à pré-escola assegurado pela Constituição Federal e pela legislação ordinária - Constitui dever do Estado, a disponibilização de vagas independente da discricionariedade da Administração Municipal - Inteligência do art 208 da Constituição Federal - Preliminar afastada e recursos desprovidos." (Apelação n° 994092231447, Câmara Especial, Rel. Des. MOREIRA DE CARVALHO, j. em 30.11.09. Fonte: www.tj.sp.gov.Br)</w:t>
      </w:r>
    </w:p>
    <w:p>
      <w:pPr>
        <w:pStyle w:val="BodyText"/>
      </w:pPr>
      <w:r>
        <w:t xml:space="preserve">Assim, a concessão da tutela requerida, em caráter definitivo, é medida de rigor.</w:t>
      </w:r>
    </w:p>
    <w:p>
      <w:pPr>
        <w:pStyle w:val="BodyText"/>
      </w:pPr>
      <w:r>
        <w:t xml:space="preserve">Nestes termos, JULGO PROCEDENTE a presente ação civil, com fundamento no artigo 269, inciso I, do Código de Processo Civil, para tornar definitiva a segurança concedida à VITORIA EDUARDA GAMA DE MATOS em caráter liminar, conferindo-lhe a vaga na creche CEI "Dr. Oliveira Laet", próxima ao Bairro Vila Andeyara.</w:t>
      </w:r>
    </w:p>
    <w:p>
      <w:pPr>
        <w:pStyle w:val="BodyText"/>
      </w:pPr>
      <w:r>
        <w:t xml:space="preserve">Sem custas e demais despesas, em face do artigo 141, parágrafo 2º do E.C.A.</w:t>
      </w:r>
    </w:p>
    <w:p>
      <w:pPr>
        <w:pStyle w:val="BodyText"/>
      </w:pPr>
      <w:r>
        <w:t xml:space="preserve">Deixo de condenar a ré em honorários de sucumbência, face a redação dada pelo artigo 25 da nova Lei de Mandado de Segurança 12.016/09.</w:t>
      </w:r>
    </w:p>
    <w:p>
      <w:pPr>
        <w:pStyle w:val="BodyText"/>
      </w:pPr>
      <w:r>
        <w:t xml:space="preserve">Por fim, arbitro honorários em favor da patrona da autora no equivalente a 100% da tabela própria instituída pelo convênio firmado entre a OAB/SP e a DPE/SP.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Após, à Superior Instância.</w:t>
      </w:r>
    </w:p>
    <w:p>
      <w:pPr>
        <w:pStyle w:val="BodyText"/>
      </w:pPr>
      <w:r>
        <w:t xml:space="preserve">Int.</w:t>
      </w:r>
    </w:p>
    <w:p>
      <w:pPr>
        <w:pStyle w:val="BodyText"/>
      </w:pPr>
      <w:r>
        <w:t xml:space="preserve">Ferraz de Vasconcelos, 13 de dezembro de 2013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bd33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ferraz3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ferraz3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2017-04-02T14:07:57Z</dcterms:created>
  <dcterms:modified xsi:type="dcterms:W3CDTF">2017-04-02T14:07:57Z</dcterms:modified>
</cp:coreProperties>
</file>