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IV - Lapa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Rua Tomás Ramos Jordão, 101, São Paulo-SP - cep 02736-000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0011096-83.2012.8.26.0004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Evelin Ceskcel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Uniban</w:t>
      </w:r>
    </w:p>
    <w:p>
      <w:pPr>
        <w:pStyle w:val="BodyText"/>
      </w:pPr>
      <w:r>
        <w:t xml:space="preserve">Juiz(a) de Direito: Dr(a). Ana Carolina Netto Mascarenhas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Trata-se de ação de indenização por danos materiais e morais, alegando a autora que pagou em duplicidade a mensalidade com vencimento em 05 de dezembro de 2011.</w:t>
      </w:r>
    </w:p>
    <w:p>
      <w:pPr>
        <w:pStyle w:val="BodyText"/>
      </w:pPr>
      <w:r>
        <w:t xml:space="preserve">A ré, de outro lado, nega tal fato, aduzindo que somente houve o pagamento de uma mensalidade apenas.</w:t>
      </w:r>
    </w:p>
    <w:p>
      <w:pPr>
        <w:pStyle w:val="BodyText"/>
      </w:pPr>
      <w:r>
        <w:t xml:space="preserve">Sem nenhuma razão, contudo.</w:t>
      </w:r>
    </w:p>
    <w:p>
      <w:pPr>
        <w:pStyle w:val="BodyText"/>
      </w:pPr>
      <w:r>
        <w:t xml:space="preserve">Além dos comprovantes de pagamentos acostados pela autora, que de plano já demonstram o pagamento em duplicidade (fls. 04/07), os documentos de fls. 09 e 27 emitidos pela própria ré comprovam, de forma cristalina, que houve o pagamento em duplicidade, sendo devida a restituição do valor pago a maior, portanto.</w:t>
      </w:r>
    </w:p>
    <w:p>
      <w:pPr>
        <w:pStyle w:val="BodyText"/>
      </w:pPr>
      <w:r>
        <w:t xml:space="preserve">Os danos morais não podem ser afastados, não tendo a autora sofrido mero aborrecimento, considerando que não teve o seu crédito reconhecido de pronto (até hoje não foi reconhecido), tendo que ingressar com a presente ação para ver reconhecida uma simples falha O valor pleiteado, no entanto, é excessivo.</w:t>
      </w:r>
    </w:p>
    <w:p>
      <w:pPr>
        <w:pStyle w:val="BodyText"/>
      </w:pPr>
      <w:r>
        <w:t xml:space="preserve">Na indenização por dano moral devem ser levadas em consideração as condições das partes, além das conseqüências do fato, não se esquecendo que o valor deve ser fixado de forma a não permitir o enriquecimento ilícito do ofendido. Conforme entendimento de Yussef Said Cahali, in Dano Moral, Ed. Revista dos Tribunais: “o seu valor deve ser fixado prudentemente pelo julgador, a fim de que não se transforme em fonte de enriquecimento da vítima nem seja ínfimo ou simbólico; a reparação do dano moral tem natureza também punitiva, aflitiva para o ofensor, com o que tem a importante função, entre outros efeitos, de evitar que se repitam situações semelhantes (exemplary damages)”.</w:t>
      </w:r>
    </w:p>
    <w:p>
      <w:pPr>
        <w:pStyle w:val="BodyText"/>
      </w:pPr>
      <w:r>
        <w:t xml:space="preserve">Sopesados os argumentos expostos, entendo de boa medida fixar o valor da indenização em R$2.500,00.</w:t>
      </w:r>
    </w:p>
    <w:p>
      <w:pPr>
        <w:pStyle w:val="BodyText"/>
      </w:pPr>
      <w:r>
        <w:t xml:space="preserve">Diante do exposto, julgo PARCIALMENTE PROCEDENTE o pedido para condenar a ré ao pagamento de indenização por danos materiais no valor de R$ 303,00, valor que deverá ser corrigido desde o desembolso com juros desde a citação.</w:t>
      </w:r>
    </w:p>
    <w:p>
      <w:pPr>
        <w:pStyle w:val="BodyText"/>
      </w:pPr>
      <w:r>
        <w:t xml:space="preserve">Condeno a ré no pagamento de R$ 2.500,00 por danos morais, com correção desde a sentença e juros desde a citação.</w:t>
      </w:r>
    </w:p>
    <w:p>
      <w:pPr>
        <w:pStyle w:val="BodyText"/>
      </w:pPr>
      <w:r>
        <w:t xml:space="preserve">O réu fica intimado de que deverá cumprir a sentença no prazo de 15 dias contados do trânsito em julgado, independentemente de intimação, sob pena de multa de 10%.</w:t>
      </w:r>
    </w:p>
    <w:p>
      <w:pPr>
        <w:pStyle w:val="BodyText"/>
      </w:pPr>
      <w:r>
        <w:t xml:space="preserve">Sem condenação em custas e honorários, nos termos da Lei 9.099/95.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03 de dezembro de 2012.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43f5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2017-04-02T14:08:02Z</dcterms:created>
  <dcterms:modified xsi:type="dcterms:W3CDTF">2017-04-02T14:08:02Z</dcterms:modified>
</cp:coreProperties>
</file>