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SÃO PAULO</w:t>
      </w:r>
    </w:p>
    <w:p>
      <w:pPr>
        <w:pStyle w:val="BodyText"/>
      </w:pPr>
      <w:r>
        <w:t xml:space="preserve">1ª Vara do Juizado Especial Cível</w:t>
      </w:r>
    </w:p>
    <w:p>
      <w:pPr>
        <w:pStyle w:val="BodyText"/>
      </w:pPr>
      <w:r>
        <w:t xml:space="preserve">Avenida Engenheiro Caetano Álvares, 594, Casa Verde - CEP 02546-000, Fone: (11) 3951-2525, São Paulo-SP - E-mail:</w:t>
      </w:r>
      <w:r>
        <w:t xml:space="preserve"> </w:t>
      </w:r>
      <w:hyperlink r:id="rId21">
        <w:r>
          <w:rPr>
            <w:rStyle w:val="Hyperlink"/>
          </w:rPr>
          <w:t xml:space="preserve">santanajec@tj.sp.gov.br</w:t>
        </w:r>
      </w:hyperlink>
    </w:p>
    <w:p>
      <w:pPr>
        <w:pStyle w:val="BodyText"/>
      </w:pPr>
      <w:r>
        <w:t xml:space="preserve">Autos nº</w:t>
      </w:r>
    </w:p>
    <w:p>
      <w:pPr>
        <w:pStyle w:val="BodyText"/>
      </w:pPr>
      <w:r>
        <w:t xml:space="preserve">0011177-07.2013.8.26.0001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Bruna de Azevedo Freire Prado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ISCP - Sociedade Educacional S.A.</w:t>
      </w:r>
    </w:p>
    <w:p>
      <w:pPr>
        <w:pStyle w:val="BodyText"/>
      </w:pPr>
      <w:r>
        <w:t xml:space="preserve">Vistos.</w:t>
      </w:r>
    </w:p>
    <w:p>
      <w:pPr>
        <w:pStyle w:val="BodyText"/>
      </w:pPr>
      <w:r>
        <w:t xml:space="preserve">Relatório dispensado.</w:t>
      </w:r>
    </w:p>
    <w:p>
      <w:pPr>
        <w:pStyle w:val="BodyText"/>
      </w:pPr>
      <w:r>
        <w:t xml:space="preserve">Fundamento e decido.</w:t>
      </w:r>
    </w:p>
    <w:p>
      <w:pPr>
        <w:pStyle w:val="BodyText"/>
      </w:pPr>
      <w:r>
        <w:t xml:space="preserve">O que se discute nestes autos é a legalidade na retenção da matrícula por parte da ré.</w:t>
      </w:r>
    </w:p>
    <w:p>
      <w:pPr>
        <w:pStyle w:val="BodyText"/>
      </w:pPr>
      <w:r>
        <w:t xml:space="preserve">Consoante narra a autora, o pedido de resolução do contrato foi feito no dia 15, sendo que as aulas se iniciaram no dia 18, daí porque entendo não ser devida a devolução, já que a matrícula diante da proximidade de datas corresponde a arras, tendo a a autora perdido o sinal que deu.</w:t>
      </w:r>
    </w:p>
    <w:p>
      <w:pPr>
        <w:pStyle w:val="BodyText"/>
      </w:pPr>
      <w:r>
        <w:t xml:space="preserve">Ante o exposto, julgo improcedente a ação, julgando extinto o processo com julgamento do mérito nos termos do artigo 269, I do Código de Processo Civil. Sem ônus da sucumbência nesta fase processual nos termos do artigo 55 da Lei nº 9.099/95.</w:t>
      </w:r>
    </w:p>
    <w:p>
      <w:pPr>
        <w:pStyle w:val="BodyText"/>
      </w:pPr>
      <w:r>
        <w:t xml:space="preserve">O valor do preparo corresponde a R$ 193,70 e do porte de remessa e retorno R$ 29,50 por volume.</w:t>
      </w:r>
    </w:p>
    <w:p>
      <w:pPr>
        <w:pStyle w:val="BodyText"/>
      </w:pPr>
      <w:r>
        <w:t xml:space="preserve">P.I.C.</w:t>
      </w:r>
    </w:p>
    <w:p>
      <w:pPr>
        <w:pStyle w:val="BodyText"/>
      </w:pPr>
      <w:r>
        <w:t xml:space="preserve">São Paulo,13 de maio de 2013.</w:t>
      </w:r>
    </w:p>
    <w:p>
      <w:pPr>
        <w:pStyle w:val="SourceCode"/>
      </w:pPr>
      <w:r>
        <w:rPr>
          <w:rStyle w:val="VerbatimChar"/>
        </w:rPr>
        <w:t xml:space="preserve"> Rubens Hideo Arai  </w:t>
      </w:r>
    </w:p>
    <w:p>
      <w:pPr>
        <w:pStyle w:val="FirstParagraph"/>
      </w:pPr>
      <w:r>
        <w:t xml:space="preserve">Juiz de Direito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0457d0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santanajec@tj.sp.gov.b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santanajec@tj.sp.gov.b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2017-04-02T14:08:16Z</dcterms:created>
  <dcterms:modified xsi:type="dcterms:W3CDTF">2017-04-02T14:08:16Z</dcterms:modified>
</cp:coreProperties>
</file>