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Carapicuíba</w:t>
      </w:r>
    </w:p>
    <w:p>
      <w:pPr>
        <w:pStyle w:val="BodyText"/>
      </w:pPr>
      <w:r>
        <w:t xml:space="preserve">Foro de Carapicuíba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Avenida Desembargador Doutor Eduardo Cunha de Abreu, nº 215, Carapicuiba - SP - cep 06328-330</w:t>
      </w:r>
    </w:p>
    <w:p>
      <w:pPr>
        <w:pStyle w:val="BodyText"/>
      </w:pPr>
      <w:r>
        <w:t xml:space="preserve">Horário de Atendimento ao Público: das Horário de Atendimento ao Público&lt;&lt; Campo excluído do banco de dados &gt;&gt;</w:t>
      </w:r>
    </w:p>
    <w:p>
      <w:pPr>
        <w:pStyle w:val="BodyText"/>
      </w:pPr>
      <w:r>
        <w:t xml:space="preserve">0013068-39.2014.8.26.0127 -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0013068-39.2014.8.26.0127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SARA GARCIA DA SILVA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FUNDAÇÃO INTITUTO DE ENSINO PARA OSASCO- FIEO</w:t>
      </w:r>
    </w:p>
    <w:p>
      <w:pPr>
        <w:pStyle w:val="BodyText"/>
      </w:pPr>
      <w:r>
        <w:t xml:space="preserve">Juiz(a) de Direito: Dr(a). Claudia Marina Maimone Spagnuolo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Dispensado o relatório, nos termos do art. 38, caput, da Lei nº 9.099/95, decido.</w:t>
      </w:r>
    </w:p>
    <w:p>
      <w:pPr>
        <w:pStyle w:val="BodyText"/>
      </w:pPr>
      <w:r>
        <w:t xml:space="preserve">A autora afirmou na inicial ela não frequentou todas as aulas da disciplina de Gestão de Custos por estar enferma.</w:t>
      </w:r>
    </w:p>
    <w:p>
      <w:pPr>
        <w:pStyle w:val="BodyText"/>
      </w:pPr>
      <w:r>
        <w:t xml:space="preserve">Contudo, sua alegação não merece acolhimento.</w:t>
      </w:r>
    </w:p>
    <w:p>
      <w:pPr>
        <w:pStyle w:val="BodyText"/>
      </w:pPr>
      <w:r>
        <w:t xml:space="preserve">Nota-se às fls. 11, verso, que ela teve frequência de 100% nas disciplinas de Contabilidade e Microeconomia. Apenas na disciplina de Gestão de Custos ela extrapolou o limite de faltas.</w:t>
      </w:r>
    </w:p>
    <w:p>
      <w:pPr>
        <w:pStyle w:val="BodyText"/>
      </w:pPr>
      <w:r>
        <w:t xml:space="preserve">Ora, se ela estava incapacitada para frequentar uma disciplina também o estaria para as demais...</w:t>
      </w:r>
    </w:p>
    <w:p>
      <w:pPr>
        <w:pStyle w:val="BodyText"/>
      </w:pPr>
      <w:r>
        <w:t xml:space="preserve">Ademais, não há sequer indicação médica para afastamento das atividades acadêmicas, não devendo ser prestigiada a declaração de psicólogo juntada às fls. 12.</w:t>
      </w:r>
    </w:p>
    <w:p>
      <w:pPr>
        <w:pStyle w:val="BodyText"/>
      </w:pPr>
      <w:r>
        <w:t xml:space="preserve">Nesse sentido, não merece acolhimento a pretensão da autora em obter a compensação de faltas.</w:t>
      </w:r>
    </w:p>
    <w:p>
      <w:pPr>
        <w:pStyle w:val="BodyText"/>
      </w:pPr>
      <w:r>
        <w:t xml:space="preserve">O pedido consistente em obter o trancamento da matricula sem qualquer ônus também não é devido, pois está previsto no regulamento da instituição de ensino a cobrança pelo trancamento de matricula no valor de R$ 12,00, como se observa às fls. 133, desde que ate o decurso da primeira terça parte do período letivo, juntamente com o comprovante de estar quite com a tesouraria (art. 39 do Regimento Geral) e tal disposição não afronta qualquer legislação em vigor, sendo, portanto, possível, tal exigência.</w:t>
      </w:r>
    </w:p>
    <w:p>
      <w:pPr>
        <w:pStyle w:val="BodyText"/>
      </w:pPr>
      <w:r>
        <w:t xml:space="preserve">Diante do exposto, com fulcro no artigo 269, I, do Código de Processo Civil, julgo improcedente a ação.</w:t>
      </w:r>
    </w:p>
    <w:p>
      <w:pPr>
        <w:pStyle w:val="BodyText"/>
      </w:pPr>
      <w:r>
        <w:t xml:space="preserve">Sem condenação em custas e honorários, por não vislumbrar hipótese de litigância de má-fé.</w:t>
      </w:r>
    </w:p>
    <w:p>
      <w:pPr>
        <w:pStyle w:val="BodyText"/>
      </w:pPr>
      <w:r>
        <w:t xml:space="preserve">Em caso de recurso, que deverá ser interposto no prazo de dez dias, contados da ciência da sentença, deverá o interessado recolher o preparo, independentemente de intimação, nas 48 horas seguintes à interposição.</w:t>
      </w:r>
    </w:p>
    <w:p>
      <w:pPr>
        <w:pStyle w:val="BodyText"/>
      </w:pPr>
      <w:r>
        <w:t xml:space="preserve">O preparo corresponde à somatória dos seguintes valores: a) um por cento sobre o valor da causa no momento da distribuição, sendo que o valor mínimo a recolher-se deve ser cinco UFESPs; b) dois por cento sobre o valor da condenação, sendo que o valor mínimo a recolher-se deve ser cinco UFESPs. Total = R$ 212,50.</w:t>
      </w:r>
    </w:p>
    <w:p>
      <w:pPr>
        <w:pStyle w:val="BodyText"/>
      </w:pPr>
      <w:r>
        <w:t xml:space="preserve">O porte de remessa e de retorno, no valor de R$ 32,70 por volume, deverá ser recolhido em guia distinta.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Carapicuiba, 22 de abril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172e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2017-04-02T14:08:03Z</dcterms:created>
  <dcterms:modified xsi:type="dcterms:W3CDTF">2017-04-02T14:08:03Z</dcterms:modified>
</cp:coreProperties>
</file>