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 - Santana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Avenida Engenheiro Caetano Álvares, 594, São Paulo - SP - cep 02546-000</w:t>
      </w:r>
    </w:p>
    <w:p>
      <w:pPr>
        <w:pStyle w:val="BodyText"/>
      </w:pPr>
      <w:r>
        <w:t xml:space="preserve">0029524-93.2010.8.26.0001 -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0029524-93.2010.8.26.0001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Renata de Brito Dias Moraes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Instituto Brasileiro da Formação e do Emprego LTDA - EPP</w:t>
      </w:r>
    </w:p>
    <w:p>
      <w:pPr>
        <w:pStyle w:val="BodyText"/>
      </w:pPr>
      <w:r>
        <w:t xml:space="preserve">Juiz(a) de Direito: Dr(a). Anderson Suzuki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Dispenso o relatório nos termos da lei.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A ação é parcialmente procedente.</w:t>
      </w:r>
    </w:p>
    <w:p>
      <w:pPr>
        <w:pStyle w:val="BodyText"/>
      </w:pPr>
      <w:r>
        <w:t xml:space="preserve">A autora alega que seu filho foi matriculado em dois cursos da ré sucessivamente, pois não teria se adequado ao primeiro curso.</w:t>
      </w:r>
    </w:p>
    <w:p>
      <w:pPr>
        <w:pStyle w:val="BodyText"/>
      </w:pPr>
      <w:r>
        <w:t xml:space="preserve">A ré por sua vez juntou aos autos os contratos firmados entre as partes, onde consta expressamente a cláusula penal de 10% do valor do contrato (fls. 62).</w:t>
      </w:r>
    </w:p>
    <w:p>
      <w:pPr>
        <w:pStyle w:val="BodyText"/>
      </w:pPr>
      <w:r>
        <w:t xml:space="preserve">Verificando-se o documento de fls. 66, houve distrato entre as partes relacionado ao primeiro curso (Hotelaria), sendo que não houve cobrança de nenhuma multa, logo, é inexigível a cobrança de R$340,00, por desistência ou por qualquer outro motivo, do curso de hotelaria.</w:t>
      </w:r>
    </w:p>
    <w:p>
      <w:pPr>
        <w:pStyle w:val="BodyText"/>
      </w:pPr>
      <w:r>
        <w:t xml:space="preserve">Não há necessidade de desconstituir o contrato de hotelaria, pois já houve distrato do mesmo, quanto ao contrato de informática não há fundamento legal para a desconstituição do mesmo, já que não há no mesmo nenhum cláusula abusiva. Por esse motivo não há reparação de danos materiais, pois o valor de R$160,00, foi feito para o curso de informativa (fls. 62).</w:t>
      </w:r>
    </w:p>
    <w:p>
      <w:pPr>
        <w:pStyle w:val="BodyText"/>
      </w:pPr>
      <w:r>
        <w:t xml:space="preserve">Pelo que foi narrado na inicial pela autora não há fato que tenha causado danos morais, pois a presente situação não ultrapassou o mero aborrecimento.</w:t>
      </w:r>
    </w:p>
    <w:p>
      <w:pPr>
        <w:pStyle w:val="BodyText"/>
      </w:pPr>
      <w:r>
        <w:t xml:space="preserve">Posto isto, JULGO PARCIALMENTE PROCEDENTE a ação para DECLARAR inexigível o valor de R$340,00, e IMPROCEDENTE os demais pedidos, pelas razões acima expostas. Julgo extinta a ação com fundamento no artigo 269, I, do CPC.</w:t>
      </w:r>
    </w:p>
    <w:p>
      <w:pPr>
        <w:pStyle w:val="BodyText"/>
      </w:pPr>
      <w:r>
        <w:t xml:space="preserve">Sem custas e honorários advocatícios nos termos da lei.</w:t>
      </w:r>
    </w:p>
    <w:p>
      <w:pPr>
        <w:pStyle w:val="BodyText"/>
      </w:pPr>
      <w:r>
        <w:t xml:space="preserve">O valor do preparo é de R$184,10 e o de porte de remessa e retorno é no valor de R$25,00, por volume.</w:t>
      </w:r>
    </w:p>
    <w:p>
      <w:pPr>
        <w:pStyle w:val="BodyText"/>
      </w:pPr>
      <w:r>
        <w:t xml:space="preserve">Após o trânsito em julgado aguarde-se por 90 dias, após realize-se o desmonte do feito.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19 de novembro de 2010.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d18e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2017-04-02T14:08:18Z</dcterms:created>
  <dcterms:modified xsi:type="dcterms:W3CDTF">2017-04-02T14:08:18Z</dcterms:modified>
</cp:coreProperties>
</file>