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594, Casa Verde - CEP 02546-000, Fone: 3966-9235, São Paulo-SP - E-mail:</w:t>
      </w:r>
      <w:r>
        <w:t xml:space="preserve"> </w:t>
      </w:r>
      <w:hyperlink r:id="rId21">
        <w:r>
          <w:rPr>
            <w:rStyle w:val="Hyperlink"/>
          </w:rPr>
          <w:t xml:space="preserve">santanajec@tj.sp.gov.br</w:t>
        </w:r>
      </w:hyperlink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001.08.617419-4 -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Vicente Demetrio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Editora Planeta de Agostini S.A.</w:t>
      </w:r>
    </w:p>
    <w:p>
      <w:pPr>
        <w:pStyle w:val="BodyText"/>
      </w:pPr>
      <w:r>
        <w:t xml:space="preserve">Juiz(ª) de Direito Dr.(ª): Alberto Gentil de Almeida Pedroso</w:t>
      </w:r>
    </w:p>
    <w:p>
      <w:pPr>
        <w:pStyle w:val="SourceCode"/>
      </w:pPr>
      <w:r>
        <w:rPr>
          <w:rStyle w:val="VerbatimChar"/>
        </w:rPr>
        <w:t xml:space="preserve">    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Dou por intimada a parte, ante a alteração de domicílio sem comunicação.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Depositado o valor devido, dou por satisfeita a obrigação e JULGO EXTINTA a presente ação, nos termos do artigo 794, inciso I, do Código de Processo Civil.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Após o trânsito em julgado, conforme o caso, defiro o levantamento da quantia depositada pela parte credora, expedindo-se o competente mandado, a parte fica ciente de que os autos serão automaticamente remetidos ao arquivo, com as anotações e comunicações de praxe.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Intime-se por telefone para retirada do MLJ.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P.R.I. </w:t>
      </w:r>
    </w:p>
    <w:p>
      <w:pPr>
        <w:pStyle w:val="FirstParagraph"/>
      </w:pPr>
      <w:r>
        <w:t xml:space="preserve">São Paulo, 08/09/2010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c5f0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ntanajec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ntanajec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2017-04-02T14:08:22Z</dcterms:created>
  <dcterms:modified xsi:type="dcterms:W3CDTF">2017-04-02T14:08:22Z</dcterms:modified>
</cp:coreProperties>
</file>