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Mogi das Cruzes</w:t>
      </w:r>
    </w:p>
    <w:p>
      <w:pPr>
        <w:pStyle w:val="BodyText"/>
      </w:pPr>
      <w:r>
        <w:t xml:space="preserve">Foro de Mogi das Cruzes</w:t>
      </w:r>
    </w:p>
    <w:p>
      <w:pPr>
        <w:pStyle w:val="BodyText"/>
      </w:pPr>
      <w:r>
        <w:t xml:space="preserve">4ª Vara Cível</w:t>
      </w:r>
    </w:p>
    <w:p>
      <w:pPr>
        <w:pStyle w:val="BodyText"/>
      </w:pPr>
      <w:r>
        <w:t xml:space="preserve">Av.Cândido Xavier de Almeida e Souza, 159, Mogi das Cruzes - SP - cep 08780-912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1003658-14.2014.8.26.0361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Moradinha Serviços Ltda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Karen Silva Lopes</w:t>
      </w:r>
    </w:p>
    <w:p>
      <w:pPr>
        <w:pStyle w:val="BodyText"/>
      </w:pPr>
      <w:r>
        <w:t xml:space="preserve">Juiz(a) de Direito: Dr(a). Marcos Alexandre Santos Ambrogi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por sentença, o acordo a que chegaram as partes para que produza os seus jurídicos e legais efeitos, julgando extinto o processo nos termos do artigo 269, III, do C.P.C.</w:t>
      </w:r>
    </w:p>
    <w:p>
      <w:pPr>
        <w:pStyle w:val="BodyText"/>
      </w:pPr>
      <w:r>
        <w:t xml:space="preserve">Aguarde-se o prazo para cumprimento espontâneo da avença, que dispõe acerca do parcelamento do débito, devendo, posteriormente, ser informado nos autos para extinção definitiva.</w:t>
      </w:r>
    </w:p>
    <w:p>
      <w:pPr>
        <w:pStyle w:val="BodyText"/>
      </w:pPr>
      <w:r>
        <w:t xml:space="preserve">Diante da preclusão lógica, incompatível o direito de recorrer desta decisão, devendo ser cumprida de imediato, arquivando-se os autos.</w:t>
      </w:r>
    </w:p>
    <w:p>
      <w:pPr>
        <w:pStyle w:val="BodyText"/>
      </w:pPr>
      <w:r>
        <w:t xml:space="preserve">Custas como de direito.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Mogi das Cruzes, 21 de janeiro de 2015.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dccc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2017-04-02T14:07:59Z</dcterms:created>
  <dcterms:modified xsi:type="dcterms:W3CDTF">2017-04-02T14:07:59Z</dcterms:modified>
</cp:coreProperties>
</file>