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Taubaté</w:t>
      </w:r>
    </w:p>
    <w:p>
      <w:pPr>
        <w:pStyle w:val="BodyText"/>
      </w:pPr>
      <w:r>
        <w:t xml:space="preserve">Foro de Taubaté</w:t>
      </w:r>
    </w:p>
    <w:p>
      <w:pPr>
        <w:pStyle w:val="BodyText"/>
      </w:pPr>
      <w:r>
        <w:t xml:space="preserve">Vara da Fazenda Pública</w:t>
      </w:r>
    </w:p>
    <w:p>
      <w:pPr>
        <w:pStyle w:val="BodyText"/>
      </w:pPr>
      <w:r>
        <w:t xml:space="preserve">Av. John Fitzgerald Kennedy, 520, Taubaté-SP - cep 12030-200</w:t>
      </w:r>
    </w:p>
    <w:p>
      <w:pPr>
        <w:pStyle w:val="BodyText"/>
      </w:pPr>
      <w:r>
        <w:t xml:space="preserve">1005636-73.2015.8.26.0625 - lauda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nº:</w:t>
      </w:r>
    </w:p>
    <w:p>
      <w:pPr>
        <w:pStyle w:val="BodyText"/>
      </w:pPr>
      <w:r>
        <w:t xml:space="preserve">1005636-73.2015.8.26.0625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Ordinário - Ação de Cobrança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Universidade de Taubaté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Marcio Aurelio Nogueiro</w:t>
      </w:r>
    </w:p>
    <w:p>
      <w:pPr>
        <w:pStyle w:val="BodyText"/>
      </w:pPr>
      <w:r>
        <w:t xml:space="preserve">C O N C L U S Ã O</w:t>
      </w:r>
    </w:p>
    <w:p>
      <w:pPr>
        <w:pStyle w:val="BodyText"/>
      </w:pPr>
      <w:r>
        <w:t xml:space="preserve">Nesta data, faço conclusos estes autos ao MM.(a) Juiz(a) de Direito da Vara da Fazenda Pública da Comarca de Taubaté</w:t>
      </w:r>
    </w:p>
    <w:p>
      <w:pPr>
        <w:pStyle w:val="BodyText"/>
      </w:pPr>
      <w:r>
        <w:t xml:space="preserve">Taubaté, 20 de novembro de 2015.</w:t>
      </w:r>
    </w:p>
    <w:p>
      <w:pPr>
        <w:pStyle w:val="BodyText"/>
      </w:pPr>
      <w:r>
        <w:t xml:space="preserve">Escrevente Técnico Judiciário: Célia Pereira Barboza</w:t>
      </w:r>
    </w:p>
    <w:p>
      <w:pPr>
        <w:pStyle w:val="BodyText"/>
      </w:pPr>
      <w:r>
        <w:t xml:space="preserve">Juiz(a) de Direito: Dr(a). Paulo Roberto da Silva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Cuida-se de Ação de Cobrança movida pela Universidade de Taubaté contra Marcio Aurelio Nogueiro, em síntese, o recebimento da importância de R$ 9.948,02, relativamente à mensalidades escolares em atraso.</w:t>
      </w:r>
    </w:p>
    <w:p>
      <w:pPr>
        <w:pStyle w:val="BodyText"/>
      </w:pPr>
      <w:r>
        <w:t xml:space="preserve">A inicial veio instruída com os documentos essenciais.</w:t>
      </w:r>
    </w:p>
    <w:p>
      <w:pPr>
        <w:pStyle w:val="BodyText"/>
      </w:pPr>
      <w:r>
        <w:t xml:space="preserve">Citado o requerido e regularmente advertido sobre os efeitos da revelia, ele não apresentou defesa.</w:t>
      </w:r>
    </w:p>
    <w:p>
      <w:pPr>
        <w:pStyle w:val="BodyText"/>
      </w:pPr>
      <w:r>
        <w:t xml:space="preserve">Relatei.</w:t>
      </w:r>
    </w:p>
    <w:p>
      <w:pPr>
        <w:pStyle w:val="BodyText"/>
      </w:pPr>
      <w:r>
        <w:t xml:space="preserve">Decido:</w:t>
      </w:r>
    </w:p>
    <w:p>
      <w:pPr>
        <w:pStyle w:val="BodyText"/>
      </w:pPr>
      <w:r>
        <w:t xml:space="preserve">A presente ação comporta julgamento antecipado.</w:t>
      </w:r>
    </w:p>
    <w:p>
      <w:pPr>
        <w:pStyle w:val="BodyText"/>
      </w:pPr>
      <w:r>
        <w:t xml:space="preserve">A revelia faz presumir aceitos como verdadeiros os fatos alegados pela autora, na forma dos artigos 285 e 319 do Código de Processo Civil, acarretando as consequências jurídicas apontadas na inicial.</w:t>
      </w:r>
    </w:p>
    <w:p>
      <w:pPr>
        <w:pStyle w:val="BodyText"/>
      </w:pPr>
      <w:r>
        <w:t xml:space="preserve">Quanto à multa pleiteada ao início, por ser contratual, integra a condenação do valor principal.</w:t>
      </w:r>
    </w:p>
    <w:p>
      <w:pPr>
        <w:pStyle w:val="BodyText"/>
      </w:pPr>
      <w:r>
        <w:t xml:space="preserve">Quanto aos juros e à correção monetária, eles incidirão a partir da citação, pois se trata de processo de cognição.</w:t>
      </w:r>
    </w:p>
    <w:p>
      <w:pPr>
        <w:pStyle w:val="BodyText"/>
      </w:pPr>
      <w:r>
        <w:t xml:space="preserve">Posto isso, julgo procedente a ação de cobrança, com resolução de mérito, nos termos do artigo 269, II do Código de Processo Civil, para condenar o requerido ao pagamento da importância declinada ao início, acrescida de juros de 1% ao mês e correção monetária a partir da citação, das custas processuais e honorários advocatícios, que arbitro em 10% sobre o valor da causa.</w:t>
      </w:r>
    </w:p>
    <w:p>
      <w:pPr>
        <w:pStyle w:val="BodyText"/>
      </w:pPr>
      <w:r>
        <w:t xml:space="preserve">P. R. I. C.</w:t>
      </w:r>
    </w:p>
    <w:p>
      <w:pPr>
        <w:pStyle w:val="BodyText"/>
      </w:pPr>
      <w:r>
        <w:t xml:space="preserve">Taubaté, 20 de novembro de 2015</w:t>
      </w:r>
    </w:p>
    <w:p>
      <w:pPr>
        <w:pStyle w:val="SourceCode"/>
      </w:pPr>
      <w:r>
        <w:rPr>
          <w:rStyle w:val="VerbatimChar"/>
        </w:rPr>
        <w:t xml:space="preserve">                                      Paulo Roberto da Silva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                                         Juiz de Direito</w:t>
      </w:r>
    </w:p>
    <w:p>
      <w:pPr>
        <w:pStyle w:val="FirstParagraph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7b0508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2017-04-02T14:08:18Z</dcterms:created>
  <dcterms:modified xsi:type="dcterms:W3CDTF">2017-04-02T14:08:18Z</dcterms:modified>
</cp:coreProperties>
</file>