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Ribeirão Preto</w:t>
      </w:r>
    </w:p>
    <w:p>
      <w:pPr>
        <w:pStyle w:val="BodyText"/>
      </w:pPr>
      <w:r>
        <w:t xml:space="preserve">Vara do Juizado Especial Cível</w:t>
      </w:r>
    </w:p>
    <w:p>
      <w:pPr>
        <w:pStyle w:val="BodyText"/>
      </w:pPr>
      <w:r>
        <w:t xml:space="preserve">Rua Alice Alem Saadi, 1010, ., Nova Ribeirania - CEP 14096-570, Fone: (16) 3629-0004, Ribeirão Preto-SP - E-mail:</w:t>
      </w:r>
      <w:r>
        <w:t xml:space="preserve"> </w:t>
      </w:r>
      <w:hyperlink r:id="rId21">
        <w:r>
          <w:rPr>
            <w:rStyle w:val="Hyperlink"/>
          </w:rPr>
          <w:t xml:space="preserve">ribpretojec@tjsp.jus.br</w:t>
        </w:r>
      </w:hyperlink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1040546-95.2015.8.26.0506 - Procedimento do Juizado Especial Cível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WFS Empreendimentos Educacionais Ltda Me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Roseane da Silva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29/11/16�, faço estes autos conclusos a(o) Juiz(a) de Direito, Dr(a). VINÍCIUS RODRIGUES VIEIRA. Eu, Clarissa Helena Mehmari, Assistente Judiciário. Ribeirão Preto, 29 de novembro de 2016.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Trata-se de ação de condenação em dinheiro da qual são partes WFS Empreendimentos Educacionais Ltda Me e Roseane da Silva.</w:t>
      </w:r>
    </w:p>
    <w:p>
      <w:pPr>
        <w:pStyle w:val="BodyText"/>
      </w:pPr>
      <w:r>
        <w:t xml:space="preserve">Dispensado o relatório, nos termos do art. 38 da Lei 9.099/95, FUNDAMENTO E DECIDO.</w:t>
      </w:r>
    </w:p>
    <w:p>
      <w:pPr>
        <w:pStyle w:val="BodyText"/>
      </w:pPr>
      <w:r>
        <w:t xml:space="preserve">É caso de aplicação dos efeitos da revelia, haja vista a ausência da parte requerida na audiência, embora devidamente citada.</w:t>
      </w:r>
    </w:p>
    <w:p>
      <w:pPr>
        <w:pStyle w:val="BodyText"/>
      </w:pPr>
      <w:r>
        <w:t xml:space="preserve">É que o artigo 20 da Lei n. 9.099/95 disciplina que, não comparecendo o demandado à sessão de conciliação ou à audiência de instrução e julgamento, reputar-se-ão verdadeiros os fatos alegados no pedido inicial, salvo se o contrário resultar da convicção do juiz.</w:t>
      </w:r>
    </w:p>
    <w:p>
      <w:pPr>
        <w:pStyle w:val="BodyText"/>
      </w:pPr>
      <w:r>
        <w:t xml:space="preserve">Assim, é ônus do requerido comparecer à audiência, sob pena de revelia. Sendo caso de aplicação dos efeitos da revelia, reputam-se verdadeiros os fatos narrados no pedido inicial, ficando a parte requerida condenada a pagar à autora o pleiteado.</w:t>
      </w:r>
    </w:p>
    <w:p>
      <w:pPr>
        <w:pStyle w:val="BodyText"/>
      </w:pPr>
      <w:r>
        <w:t xml:space="preserve">Ante o exposto e considerando todo mais que dos autos constam, JULGO PROCEDENTE O PEDIDO e CONDENO Roseane da Silva a pagar a WFS Empreendimentos Educacionais Ltda Me a quantia de R$ 1.452,46, com correção monetária desde o ajuizamento da ação e juros legais de 1% (um por cento) a partir da citação.</w:t>
      </w:r>
    </w:p>
    <w:p>
      <w:pPr>
        <w:pStyle w:val="BodyText"/>
      </w:pPr>
      <w:r>
        <w:t xml:space="preserve">Sem condenação nos ônus da sucumbência.</w:t>
      </w:r>
    </w:p>
    <w:p>
      <w:pPr>
        <w:pStyle w:val="BodyText"/>
      </w:pPr>
      <w:r>
        <w:t xml:space="preserve">Nos termos do art. 523, § 1º, do CPC, deverá o vencido ser intimado a efetuar o pagamento do montante da condenação, em 15 dias, sob pena de acréscimo de multa de 10%, sem prejuízo de, a requerimento da(s) parte(s) vencedora(s) e observado o disposto no art. 798, inciso I, alínea "b", do CPC, ser expedido mandado de penhora e avaliação.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Ribeirão Preto,29 de novembro de 2016.</w:t>
      </w:r>
    </w:p>
    <w:p>
      <w:pPr>
        <w:pStyle w:val="BodyText"/>
      </w:pPr>
      <w:r>
        <w:t xml:space="preserve">Vinicius Rodrigues Vieira</w:t>
      </w:r>
    </w:p>
    <w:p>
      <w:pPr>
        <w:pStyle w:val="BodyText"/>
      </w:pPr>
      <w:r>
        <w:t xml:space="preserve">Juiz de Direito</w:t>
      </w:r>
    </w:p>
    <w:p>
      <w:pPr>
        <w:pStyle w:val="BodyText"/>
      </w:pPr>
      <w:r>
        <w:t xml:space="preserve">DATA</w:t>
      </w:r>
    </w:p>
    <w:p>
      <w:pPr>
        <w:pStyle w:val="BodyText"/>
      </w:pPr>
      <w:r>
        <w:t xml:space="preserve">Na data supra, recebi estes autos em cartório. Eu, _____escrevente digitei.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0574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ribpretojec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ribpretojec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2017-04-02T14:08:01Z</dcterms:created>
  <dcterms:modified xsi:type="dcterms:W3CDTF">2017-04-02T14:08:01Z</dcterms:modified>
</cp:coreProperties>
</file>